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14B88">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 xml:space="preserve">Evolving Machine Learning Models for Anomaly Detection: An Integrative Review </w:t>
      </w:r>
      <w:r>
        <w:rPr>
          <w:rFonts w:hint="default" w:ascii="Times New Roman" w:hAnsi="Times New Roman" w:cs="Times New Roman"/>
          <w:b/>
          <w:bCs/>
          <w:sz w:val="24"/>
          <w:szCs w:val="24"/>
          <w:lang w:val="en-US"/>
        </w:rPr>
        <w:t xml:space="preserve">on </w:t>
      </w:r>
      <w:r>
        <w:rPr>
          <w:rFonts w:hint="default" w:ascii="Times New Roman" w:hAnsi="Times New Roman" w:cs="Times New Roman"/>
          <w:b/>
          <w:bCs/>
          <w:sz w:val="24"/>
          <w:szCs w:val="24"/>
        </w:rPr>
        <w:t>Evolving Machine Learning Models for Anomaly Detection</w:t>
      </w:r>
      <w:r>
        <w:rPr>
          <w:rFonts w:hint="default" w:ascii="Times New Roman" w:hAnsi="Times New Roman" w:cs="Times New Roman"/>
          <w:b/>
          <w:bCs/>
          <w:sz w:val="24"/>
          <w:szCs w:val="24"/>
          <w:lang w:val="en-US"/>
        </w:rPr>
        <w:t xml:space="preserve"> of </w:t>
      </w:r>
      <w:r>
        <w:rPr>
          <w:rFonts w:hint="default" w:ascii="Times New Roman" w:hAnsi="Times New Roman" w:cs="Times New Roman"/>
          <w:b/>
          <w:bCs/>
          <w:sz w:val="24"/>
          <w:szCs w:val="24"/>
        </w:rPr>
        <w:t>Cross-Domain Approaches</w:t>
      </w:r>
    </w:p>
    <w:p w14:paraId="6ADAF409">
      <w:pPr>
        <w:pStyle w:val="3"/>
        <w:keepNext w:val="0"/>
        <w:keepLines w:val="0"/>
        <w:pageBreakBefore w:val="0"/>
        <w:widowControl/>
        <w:suppressLineNumbers w:val="0"/>
        <w:kinsoku/>
        <w:wordWrap/>
        <w:overflowPunct/>
        <w:topLinePunct w:val="0"/>
        <w:autoSpaceDE/>
        <w:autoSpaceDN/>
        <w:bidi w:val="0"/>
        <w:adjustRightInd/>
        <w:snapToGrid/>
        <w:spacing w:before="0" w:after="0" w:line="240" w:lineRule="auto"/>
        <w:rPr>
          <w:rStyle w:val="92"/>
          <w:rFonts w:hint="default" w:ascii="Times New Roman" w:hAnsi="Times New Roman" w:cs="Times New Roman"/>
          <w:b w:val="0"/>
          <w:bCs w:val="0"/>
          <w:sz w:val="24"/>
          <w:szCs w:val="24"/>
        </w:rPr>
      </w:pPr>
    </w:p>
    <w:p w14:paraId="187DAB74">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Segoe UI" w:cs="Times New Roman"/>
          <w:b/>
          <w:bCs/>
          <w:i w:val="0"/>
          <w:iCs w:val="0"/>
          <w:color w:val="auto"/>
          <w:spacing w:val="0"/>
          <w:sz w:val="24"/>
          <w:szCs w:val="24"/>
          <w:lang w:val="en-US"/>
        </w:rPr>
      </w:pPr>
      <w:r>
        <w:rPr>
          <w:rFonts w:hint="default" w:ascii="Times New Roman" w:hAnsi="Times New Roman" w:eastAsia="Segoe UI" w:cs="Times New Roman"/>
          <w:b/>
          <w:bCs/>
          <w:i w:val="0"/>
          <w:iCs w:val="0"/>
          <w:color w:val="auto"/>
          <w:spacing w:val="0"/>
          <w:sz w:val="24"/>
          <w:szCs w:val="24"/>
          <w:lang w:val="en-US"/>
        </w:rPr>
        <w:t>Corresponding Author:</w:t>
      </w:r>
    </w:p>
    <w:p w14:paraId="4F921ACB">
      <w:pPr>
        <w:keepNext w:val="0"/>
        <w:keepLines w:val="0"/>
        <w:pageBreakBefore w:val="0"/>
        <w:widowControl/>
        <w:kinsoku/>
        <w:wordWrap/>
        <w:overflowPunct/>
        <w:topLinePunct w:val="0"/>
        <w:autoSpaceDE/>
        <w:autoSpaceDN/>
        <w:bidi w:val="0"/>
        <w:adjustRightInd/>
        <w:snapToGrid/>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Muhammad Nuraddeen Ado</w:t>
      </w:r>
    </w:p>
    <w:p w14:paraId="5FC95A89">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i w:val="0"/>
          <w:iCs w:val="0"/>
          <w:sz w:val="24"/>
          <w:szCs w:val="24"/>
          <w:lang w:val="en-US"/>
        </w:rPr>
      </w:pPr>
      <w:r>
        <w:rPr>
          <w:rFonts w:ascii="Times New Roman" w:hAnsi="Times New Roman" w:cs="Times New Roman"/>
          <w:i w:val="0"/>
          <w:iCs w:val="0"/>
          <w:sz w:val="24"/>
          <w:szCs w:val="24"/>
        </w:rPr>
        <w:t>Department of Cyber Security, ACETEL, National Open University of Nigeria</w:t>
      </w:r>
    </w:p>
    <w:p w14:paraId="6FF30CEE">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 &amp; Department of Information Sciences, Federal University, DutsinMa; Nigeria.</w:t>
      </w:r>
    </w:p>
    <w:p w14:paraId="6E68D3FE">
      <w:pPr>
        <w:pStyle w:val="3"/>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color w:val="auto"/>
          <w:sz w:val="24"/>
          <w:szCs w:val="24"/>
          <w:u w:val="none"/>
        </w:rPr>
      </w:pPr>
      <w:r>
        <w:rPr>
          <w:rFonts w:hint="default" w:ascii="Times New Roman" w:hAnsi="Times New Roman" w:cs="Times New Roman"/>
          <w:i/>
          <w:iCs/>
          <w:color w:val="auto"/>
          <w:sz w:val="24"/>
          <w:szCs w:val="24"/>
          <w:u w:val="none"/>
          <w:lang w:val="en-US"/>
        </w:rPr>
        <w:fldChar w:fldCharType="begin"/>
      </w:r>
      <w:r>
        <w:rPr>
          <w:rFonts w:hint="default" w:ascii="Times New Roman" w:hAnsi="Times New Roman" w:cs="Times New Roman"/>
          <w:i/>
          <w:iCs/>
          <w:color w:val="auto"/>
          <w:sz w:val="24"/>
          <w:szCs w:val="24"/>
          <w:u w:val="none"/>
          <w:lang w:val="en-US"/>
        </w:rPr>
        <w:instrText xml:space="preserve"> HYPERLINK "mailto:mnado@fudutsinma.edu.ng" </w:instrText>
      </w:r>
      <w:r>
        <w:rPr>
          <w:rFonts w:hint="default" w:ascii="Times New Roman" w:hAnsi="Times New Roman" w:cs="Times New Roman"/>
          <w:i/>
          <w:iCs/>
          <w:color w:val="auto"/>
          <w:sz w:val="24"/>
          <w:szCs w:val="24"/>
          <w:u w:val="none"/>
          <w:lang w:val="en-US"/>
        </w:rPr>
        <w:fldChar w:fldCharType="separate"/>
      </w:r>
      <w:r>
        <w:rPr>
          <w:rStyle w:val="51"/>
          <w:rFonts w:hint="default" w:ascii="Times New Roman" w:hAnsi="Times New Roman" w:cs="Times New Roman"/>
          <w:i/>
          <w:iCs/>
          <w:color w:val="auto"/>
          <w:sz w:val="24"/>
          <w:szCs w:val="24"/>
          <w:u w:val="none"/>
          <w:lang w:val="en-US"/>
        </w:rPr>
        <w:t>mnado@fudutsinma.edu.ng</w:t>
      </w:r>
      <w:r>
        <w:rPr>
          <w:rFonts w:hint="default" w:ascii="Times New Roman" w:hAnsi="Times New Roman" w:cs="Times New Roman"/>
          <w:i/>
          <w:iCs/>
          <w:color w:val="auto"/>
          <w:sz w:val="24"/>
          <w:szCs w:val="24"/>
          <w:u w:val="none"/>
          <w:lang w:val="en-US"/>
        </w:rPr>
        <w:fldChar w:fldCharType="end"/>
      </w:r>
    </w:p>
    <w:p w14:paraId="0768A92B">
      <w:pPr>
        <w:pStyle w:val="3"/>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sz w:val="24"/>
          <w:szCs w:val="24"/>
        </w:rPr>
      </w:pPr>
    </w:p>
    <w:p w14:paraId="3CDC7893">
      <w:pPr>
        <w:pStyle w:val="3"/>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sz w:val="24"/>
          <w:szCs w:val="24"/>
          <w:lang w:val="en-US"/>
        </w:rPr>
      </w:pPr>
      <w:r>
        <w:rPr>
          <w:rFonts w:hint="default" w:ascii="Times New Roman" w:hAnsi="Times New Roman" w:cs="Times New Roman"/>
          <w:sz w:val="24"/>
          <w:szCs w:val="24"/>
          <w:lang w:val="en-US"/>
        </w:rPr>
        <w:t>Authors:</w:t>
      </w:r>
    </w:p>
    <w:p w14:paraId="00EF0A24">
      <w:pPr>
        <w:pStyle w:val="3"/>
        <w:keepNext w:val="0"/>
        <w:keepLines w:val="0"/>
        <w:pageBreakBefore w:val="0"/>
        <w:widowControl/>
        <w:suppressLineNumbers w:val="0"/>
        <w:kinsoku/>
        <w:wordWrap/>
        <w:overflowPunct/>
        <w:topLinePunct w:val="0"/>
        <w:autoSpaceDE/>
        <w:autoSpaceDN/>
        <w:bidi w:val="0"/>
        <w:adjustRightInd/>
        <w:snapToGrid/>
        <w:spacing w:before="0" w:after="0" w:line="240" w:lineRule="auto"/>
        <w:jc w:val="center"/>
        <w:rPr>
          <w:rFonts w:hint="default" w:ascii="Times New Roman" w:hAnsi="Times New Roman" w:cs="Times New Roman"/>
          <w:sz w:val="24"/>
          <w:szCs w:val="24"/>
          <w:vertAlign w:val="superscript"/>
          <w:lang w:val="en-US"/>
        </w:rPr>
      </w:pPr>
      <w:r>
        <w:rPr>
          <w:rFonts w:hint="default" w:ascii="Times New Roman" w:hAnsi="Times New Roman" w:cs="Times New Roman"/>
          <w:sz w:val="24"/>
          <w:szCs w:val="24"/>
        </w:rPr>
        <w:t>Muhammad Nuraddeen Ado</w:t>
      </w:r>
      <w:r>
        <w:rPr>
          <w:rFonts w:hint="default" w:ascii="Times New Roman" w:hAnsi="Times New Roman" w:cs="Times New Roman"/>
          <w:sz w:val="24"/>
          <w:szCs w:val="24"/>
          <w:vertAlign w:val="superscript"/>
        </w:rPr>
        <w:t>1,2*</w:t>
      </w:r>
      <w:r>
        <w:rPr>
          <w:rFonts w:hint="default" w:ascii="Times New Roman" w:hAnsi="Times New Roman" w:cs="Times New Roman"/>
          <w:sz w:val="24"/>
          <w:szCs w:val="24"/>
        </w:rPr>
        <w:t>; Jabir Isah Karofi</w:t>
      </w:r>
      <w:r>
        <w:rPr>
          <w:rFonts w:hint="default" w:ascii="Times New Roman" w:hAnsi="Times New Roman" w:cs="Times New Roman"/>
          <w:sz w:val="24"/>
          <w:szCs w:val="24"/>
          <w:vertAlign w:val="superscript"/>
          <w:lang w:val="en-US"/>
        </w:rPr>
        <w:t>3</w:t>
      </w:r>
      <w:r>
        <w:rPr>
          <w:rFonts w:hint="default" w:ascii="Times New Roman" w:hAnsi="Times New Roman" w:cs="Times New Roman"/>
          <w:sz w:val="24"/>
          <w:szCs w:val="24"/>
        </w:rPr>
        <w:t xml:space="preserve"> &amp; Hamisu Mukhtar</w:t>
      </w:r>
      <w:r>
        <w:rPr>
          <w:rFonts w:hint="default" w:ascii="Times New Roman" w:hAnsi="Times New Roman" w:cs="Times New Roman"/>
          <w:sz w:val="24"/>
          <w:szCs w:val="24"/>
          <w:vertAlign w:val="superscript"/>
          <w:lang w:val="en-US"/>
        </w:rPr>
        <w:t>4</w:t>
      </w:r>
    </w:p>
    <w:p w14:paraId="50216530">
      <w:pPr>
        <w:jc w:val="center"/>
        <w:rPr>
          <w:rFonts w:hint="default" w:ascii="Times New Roman" w:hAnsi="Times New Roman" w:cs="Times New Roman"/>
          <w:sz w:val="24"/>
          <w:szCs w:val="24"/>
          <w:vertAlign w:val="superscript"/>
          <w:lang w:val="en-US"/>
        </w:rPr>
      </w:pPr>
    </w:p>
    <w:p w14:paraId="6C1B1185">
      <w:pPr>
        <w:ind w:left="90"/>
        <w:jc w:val="center"/>
        <w:rPr>
          <w:rFonts w:hint="default" w:ascii="Times New Roman" w:hAnsi="Times New Roman" w:cs="Times New Roman"/>
          <w:sz w:val="24"/>
          <w:szCs w:val="24"/>
        </w:rPr>
      </w:pPr>
      <w:r>
        <w:rPr>
          <w:rFonts w:hint="default" w:ascii="Times New Roman" w:hAnsi="Times New Roman" w:cs="Times New Roman"/>
          <w:sz w:val="24"/>
          <w:szCs w:val="24"/>
          <w:vertAlign w:val="superscript"/>
        </w:rPr>
        <w:t>*1</w:t>
      </w:r>
      <w:r>
        <w:rPr>
          <w:rFonts w:hint="default" w:ascii="Times New Roman" w:hAnsi="Times New Roman" w:cs="Times New Roman"/>
          <w:sz w:val="24"/>
          <w:szCs w:val="24"/>
        </w:rPr>
        <w:t>Department. Of Information Sciences, Federal University, Dutsin-Ma</w:t>
      </w:r>
    </w:p>
    <w:p w14:paraId="657C087C">
      <w:pPr>
        <w:ind w:left="90"/>
        <w:jc w:val="center"/>
        <w:rPr>
          <w:rFonts w:hint="default" w:ascii="Times New Roman" w:hAnsi="Times New Roman" w:cs="Times New Roman"/>
          <w:sz w:val="24"/>
          <w:szCs w:val="24"/>
        </w:rPr>
      </w:pPr>
      <w:r>
        <w:rPr>
          <w:rFonts w:hint="default" w:ascii="Times New Roman" w:hAnsi="Times New Roman" w:cs="Times New Roman"/>
          <w:sz w:val="24"/>
          <w:szCs w:val="24"/>
          <w:vertAlign w:val="superscript"/>
        </w:rPr>
        <w:t>*2</w:t>
      </w:r>
      <w:r>
        <w:rPr>
          <w:rFonts w:hint="default" w:ascii="Times New Roman" w:hAnsi="Times New Roman" w:cs="Times New Roman"/>
          <w:sz w:val="24"/>
          <w:szCs w:val="24"/>
        </w:rPr>
        <w:t>Department of Cyber Security, ACETEL, National Open University of Nigeria</w:t>
      </w:r>
    </w:p>
    <w:p w14:paraId="625E6FE9">
      <w:pPr>
        <w:ind w:left="90"/>
        <w:jc w:val="center"/>
        <w:rPr>
          <w:rFonts w:hint="default" w:ascii="Times New Roman" w:hAnsi="Times New Roman" w:cs="Times New Roman"/>
          <w:sz w:val="24"/>
          <w:szCs w:val="24"/>
        </w:rPr>
      </w:pPr>
      <w:r>
        <w:rPr>
          <w:rFonts w:hint="default" w:ascii="Times New Roman" w:hAnsi="Times New Roman" w:cs="Times New Roman"/>
          <w:sz w:val="24"/>
          <w:szCs w:val="24"/>
          <w:vertAlign w:val="superscript"/>
          <w:lang w:val="en-US"/>
        </w:rPr>
        <w:t>*3</w:t>
      </w:r>
      <w:r>
        <w:rPr>
          <w:rFonts w:hint="default" w:ascii="Times New Roman" w:hAnsi="Times New Roman" w:cs="Times New Roman"/>
          <w:sz w:val="24"/>
          <w:szCs w:val="24"/>
        </w:rPr>
        <w:t>Department of Information Sciences, Federal University, Dutsin-Ma</w:t>
      </w:r>
    </w:p>
    <w:p w14:paraId="38177FCA">
      <w:pPr>
        <w:ind w:left="90"/>
        <w:jc w:val="center"/>
        <w:rPr>
          <w:rFonts w:hint="default" w:ascii="Times New Roman" w:hAnsi="Times New Roman" w:cs="Times New Roman"/>
          <w:sz w:val="24"/>
          <w:szCs w:val="24"/>
        </w:rPr>
      </w:pPr>
      <w:r>
        <w:rPr>
          <w:rFonts w:hint="default" w:ascii="Times New Roman" w:hAnsi="Times New Roman" w:cs="Times New Roman"/>
          <w:sz w:val="24"/>
          <w:szCs w:val="24"/>
          <w:vertAlign w:val="superscript"/>
          <w:lang w:val="en-US"/>
        </w:rPr>
        <w:t>4</w:t>
      </w:r>
      <w:r>
        <w:rPr>
          <w:rFonts w:hint="default" w:ascii="Times New Roman" w:hAnsi="Times New Roman" w:cs="Times New Roman"/>
          <w:sz w:val="24"/>
          <w:szCs w:val="24"/>
        </w:rPr>
        <w:t>Department of ICT, Air Force Institute of Technology, Kaduna</w:t>
      </w:r>
    </w:p>
    <w:p w14:paraId="2761ABE2">
      <w:pPr>
        <w:ind w:left="90"/>
        <w:rPr>
          <w:sz w:val="20"/>
          <w:szCs w:val="24"/>
        </w:rPr>
      </w:pPr>
    </w:p>
    <w:p w14:paraId="0A80D06F">
      <w:pPr>
        <w:ind w:left="90"/>
        <w:rPr>
          <w:rFonts w:hint="default"/>
          <w:sz w:val="20"/>
          <w:szCs w:val="24"/>
          <w:lang w:val="en-US"/>
        </w:rPr>
      </w:pPr>
    </w:p>
    <w:p w14:paraId="10AD02BB">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Abstract</w:t>
      </w:r>
    </w:p>
    <w:p w14:paraId="788D9264">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Machine learning (ML) has become a cornerstone of modern anomaly detection, yet existing reviews predominantly emphasize pre-2021 studies and focus narrowly on network intrusion detection. Building upon these limitations, this paper presents an integrative review of machine learning models for anomaly detection published between 2020 and 2025, emphasizing hybridization, explainability, and cross-domain applicability. Using Bou Nassif et al. (2021) and Yang et al. (2022) as baseline systematic reviews, we extend their scope through the inclusion of recent developments such as adaptive density-based clustering (K-DBSCAN, GWOKM), optimized support-vector models (EMSVM), explainable Isolation Forest derivatives (DIFFI, RIFIFI), and active-learning frameworks (ALIF). The study systematically maps algorithms, performance metrics, and application domains ranging from cybersecurity and industrial systems to geochemical and renewable-energy contexts. Results reveal an emerging shift toward interpretable, data-centric, and federated approaches capable of handling concept drift and limited labeling. We identify persistent challenges in cross-domain generalization, dataset imbalance, and evaluation standardization. A conceptual taxonomy linking model family, evaluation criteria, and domain context is proposed to guide future research. This review thus bridges earlier surveys with the current generation of intelligent, interpretable, and adaptive ML systems, providing a comprehensive foundation for advancing anomaly detection research beyond traditional network-centric paradigms.</w:t>
      </w:r>
    </w:p>
    <w:p w14:paraId="67EFF0A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lang w:val="en-US"/>
        </w:rPr>
      </w:pPr>
      <w:r>
        <w:rPr>
          <w:rFonts w:hint="default" w:ascii="Times New Roman" w:hAnsi="Times New Roman" w:cs="Times New Roman"/>
          <w:b/>
          <w:bCs/>
          <w:sz w:val="24"/>
          <w:szCs w:val="24"/>
        </w:rPr>
        <w:t>Keywords</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Anomaly Detection</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Machine Learning Models</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Hybrid and Explainable AI</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Cross-Domain Applications</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Concept Drift and Adaptive Learning</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Integrative Literature Review</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Federated and Data-Centric Intelligence</w:t>
      </w:r>
      <w:r>
        <w:rPr>
          <w:rFonts w:hint="default" w:ascii="Times New Roman" w:hAnsi="Times New Roman" w:cs="Times New Roman"/>
          <w:b w:val="0"/>
          <w:bCs w:val="0"/>
          <w:sz w:val="24"/>
          <w:szCs w:val="24"/>
          <w:lang w:val="en-US"/>
        </w:rPr>
        <w:t>.</w:t>
      </w:r>
    </w:p>
    <w:p w14:paraId="75A2AA6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lang w:val="en-US"/>
        </w:rPr>
      </w:pPr>
    </w:p>
    <w:p w14:paraId="46DD1A05">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1. Introduction</w:t>
      </w:r>
    </w:p>
    <w:p w14:paraId="26B31316">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Anomaly detection, the task of identifying patterns that deviate from expected behavior, has become an indispensable function across multiple disciplines—including cybersecurity, industrial monitoring, healthcare analytics, and environmental science. Traditional statistical approaches, while foundational, often fail to capture the complex, nonlinear, and high-dimensional relationships present in modern datasets. In recent years, </w:t>
      </w:r>
      <w:r>
        <w:rPr>
          <w:rStyle w:val="92"/>
          <w:rFonts w:hint="default" w:ascii="Times New Roman" w:hAnsi="Times New Roman" w:cs="Times New Roman"/>
          <w:b w:val="0"/>
          <w:bCs w:val="0"/>
          <w:sz w:val="24"/>
          <w:szCs w:val="24"/>
        </w:rPr>
        <w:t>machine learning (ML)</w:t>
      </w:r>
      <w:r>
        <w:rPr>
          <w:rFonts w:hint="default" w:ascii="Times New Roman" w:hAnsi="Times New Roman" w:cs="Times New Roman"/>
          <w:b w:val="0"/>
          <w:bCs w:val="0"/>
          <w:sz w:val="24"/>
          <w:szCs w:val="24"/>
        </w:rPr>
        <w:t xml:space="preserve"> has emerged as the dominant paradigm for anomaly detection, offering data-driven models capable of learning latent representations, adaptive thresholds, and contextual dependencies. This paradigm shift has been propelled by advances in deep learning, ensemble optimization, and data-centric AI methods that enhance detection accuracy, scalability, and interpretability.</w:t>
      </w:r>
    </w:p>
    <w:p w14:paraId="336767C7">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However, the research landscape surrounding ML-based anomaly detection remains fragmented. Earlier studies primarily concentrated on </w:t>
      </w:r>
      <w:r>
        <w:rPr>
          <w:rStyle w:val="92"/>
          <w:rFonts w:hint="default" w:ascii="Times New Roman" w:hAnsi="Times New Roman" w:cs="Times New Roman"/>
          <w:b w:val="0"/>
          <w:bCs w:val="0"/>
          <w:sz w:val="24"/>
          <w:szCs w:val="24"/>
        </w:rPr>
        <w:t>network intrusion detection systems (NIDS)</w:t>
      </w:r>
      <w:r>
        <w:rPr>
          <w:rFonts w:hint="default" w:ascii="Times New Roman" w:hAnsi="Times New Roman" w:cs="Times New Roman"/>
          <w:b w:val="0"/>
          <w:bCs w:val="0"/>
          <w:sz w:val="24"/>
          <w:szCs w:val="24"/>
        </w:rPr>
        <w:t xml:space="preserve"> and cyber-related anomalies, with limited integration of insights from other fields. For example, </w:t>
      </w:r>
      <w:r>
        <w:rPr>
          <w:rStyle w:val="31"/>
          <w:rFonts w:hint="default" w:ascii="Times New Roman" w:hAnsi="Times New Roman" w:cs="Times New Roman"/>
          <w:b w:val="0"/>
          <w:bCs w:val="0"/>
          <w:sz w:val="24"/>
          <w:szCs w:val="24"/>
        </w:rPr>
        <w:t>Bou Nassif et al.</w:t>
      </w:r>
      <w:r>
        <w:rPr>
          <w:rFonts w:hint="default" w:ascii="Times New Roman" w:hAnsi="Times New Roman" w:cs="Times New Roman"/>
          <w:b w:val="0"/>
          <w:bCs w:val="0"/>
          <w:sz w:val="24"/>
          <w:szCs w:val="24"/>
        </w:rPr>
        <w:t xml:space="preserve"> (2021) conducted one of the most comprehensive systematic literature reviews (SLRs) on the subject, analyzing 290 studies published between 2000 and 2020. Their work categorized algorithms by learning type, performance metric, and application area, revealing the dominance of Support Vector Machines (SVM), K-Means clustering, and Random Forest models in traditional anomaly detection. While valuable, their synthesis was largely descriptive—summarizing algorithm usage frequencies and metrics without exploring hybrid or explainable frameworks, nor extending analysis beyond conventional domains.</w:t>
      </w:r>
    </w:p>
    <w:p w14:paraId="774FEABF">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In contrast, </w:t>
      </w:r>
      <w:r>
        <w:rPr>
          <w:rStyle w:val="31"/>
          <w:rFonts w:hint="default" w:ascii="Times New Roman" w:hAnsi="Times New Roman" w:cs="Times New Roman"/>
          <w:b w:val="0"/>
          <w:bCs w:val="0"/>
          <w:sz w:val="24"/>
          <w:szCs w:val="24"/>
        </w:rPr>
        <w:t>Yang et al.</w:t>
      </w:r>
      <w:r>
        <w:rPr>
          <w:rFonts w:hint="default" w:ascii="Times New Roman" w:hAnsi="Times New Roman" w:cs="Times New Roman"/>
          <w:b w:val="0"/>
          <w:bCs w:val="0"/>
          <w:sz w:val="24"/>
          <w:szCs w:val="24"/>
        </w:rPr>
        <w:t xml:space="preserve"> (2022) offered a focused SLR on </w:t>
      </w:r>
      <w:r>
        <w:rPr>
          <w:rStyle w:val="92"/>
          <w:rFonts w:hint="default" w:ascii="Times New Roman" w:hAnsi="Times New Roman" w:cs="Times New Roman"/>
          <w:b w:val="0"/>
          <w:bCs w:val="0"/>
          <w:sz w:val="24"/>
          <w:szCs w:val="24"/>
        </w:rPr>
        <w:t>anomaly-based network intrusion detection</w:t>
      </w:r>
      <w:r>
        <w:rPr>
          <w:rFonts w:hint="default" w:ascii="Times New Roman" w:hAnsi="Times New Roman" w:cs="Times New Roman"/>
          <w:b w:val="0"/>
          <w:bCs w:val="0"/>
          <w:sz w:val="24"/>
          <w:szCs w:val="24"/>
        </w:rPr>
        <w:t>, examining 119 highly cited studies from 2010–2021. Their analysis emphasized technical aspects such as data preprocessing, feature selection, and the benchmarking of intrusion detection datasets (e.g., KDD99, UNSW-NB15, CICIDS2017). Although methodologically rigorous, their study was limited to the cybersecurity context and did not encompass the broader spectrum of anomaly detection tasks emerging in industrial control systems, energy grids, or environmental monitoring. Moreover, neither review incorporated post-2021 developments such as transformer-based architectures, federated anomaly detection, or explainable machine learning (XAI).</w:t>
      </w:r>
    </w:p>
    <w:p w14:paraId="74A6330A">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rapid evolution of ML techniques since 2020 has introduced </w:t>
      </w:r>
      <w:r>
        <w:rPr>
          <w:rStyle w:val="92"/>
          <w:rFonts w:hint="default" w:ascii="Times New Roman" w:hAnsi="Times New Roman" w:cs="Times New Roman"/>
          <w:b w:val="0"/>
          <w:bCs w:val="0"/>
          <w:sz w:val="24"/>
          <w:szCs w:val="24"/>
        </w:rPr>
        <w:t>hybrid, interpretable, and adaptive models</w:t>
      </w:r>
      <w:r>
        <w:rPr>
          <w:rFonts w:hint="default" w:ascii="Times New Roman" w:hAnsi="Times New Roman" w:cs="Times New Roman"/>
          <w:b w:val="0"/>
          <w:bCs w:val="0"/>
          <w:sz w:val="24"/>
          <w:szCs w:val="24"/>
        </w:rPr>
        <w:t xml:space="preserve"> that transcend the boundaries of earlier paradigms. Novel frameworks—such as K-DBSCAN for adaptive density clustering, EMSVM for enhanced multiclass classification, and GWOKM for hybrid swarm-based optimization—demonstrate a trend toward algorithmic synergy and scalability across heterogeneous datasets. Similarly, explainable variants of Isolation Forests (e.g., DIFFI, FIF, RIFIFI) and active learning extensions (e.g., ALIF) have redefined interpretability and domain adaptability, enabling more transparent and context-aware anomaly detection. These advancements are complemented by models addressing </w:t>
      </w:r>
      <w:r>
        <w:rPr>
          <w:rStyle w:val="92"/>
          <w:rFonts w:hint="default" w:ascii="Times New Roman" w:hAnsi="Times New Roman" w:cs="Times New Roman"/>
          <w:b w:val="0"/>
          <w:bCs w:val="0"/>
          <w:sz w:val="24"/>
          <w:szCs w:val="24"/>
        </w:rPr>
        <w:t>concept drift</w:t>
      </w:r>
      <w:r>
        <w:rPr>
          <w:rFonts w:hint="default" w:ascii="Times New Roman" w:hAnsi="Times New Roman" w:cs="Times New Roman"/>
          <w:b w:val="0"/>
          <w:bCs w:val="0"/>
          <w:sz w:val="24"/>
          <w:szCs w:val="24"/>
        </w:rPr>
        <w:t>, such as Error Rate-Based and Distribution-Based Concept Drift Detection (ERbCDD, DDbCDD), which ensure sustained performance in dynamic data streams.</w:t>
      </w:r>
    </w:p>
    <w:p w14:paraId="48AE706F">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Despite these developments, a comprehensive synthesis of this </w:t>
      </w:r>
      <w:r>
        <w:rPr>
          <w:rStyle w:val="92"/>
          <w:rFonts w:hint="default" w:ascii="Times New Roman" w:hAnsi="Times New Roman" w:cs="Times New Roman"/>
          <w:b w:val="0"/>
          <w:bCs w:val="0"/>
          <w:sz w:val="24"/>
          <w:szCs w:val="24"/>
        </w:rPr>
        <w:t>post-2020 wave of ML innovation</w:t>
      </w:r>
      <w:r>
        <w:rPr>
          <w:rFonts w:hint="default" w:ascii="Times New Roman" w:hAnsi="Times New Roman" w:cs="Times New Roman"/>
          <w:b w:val="0"/>
          <w:bCs w:val="0"/>
          <w:sz w:val="24"/>
          <w:szCs w:val="24"/>
        </w:rPr>
        <w:t xml:space="preserve"> is lacking. Existing reviews have yet to consolidate how hybridization, explainability, and cross-domain generalization collectively redefine the state of the art. Furthermore, the absence of standardized evaluation protocols and the persistent imbalance across datasets complicate comparative analysis. As anomaly detection systems increasingly operate in distributed and privacy-sensitive environments, </w:t>
      </w:r>
      <w:r>
        <w:rPr>
          <w:rStyle w:val="92"/>
          <w:rFonts w:hint="default" w:ascii="Times New Roman" w:hAnsi="Times New Roman" w:cs="Times New Roman"/>
          <w:b w:val="0"/>
          <w:bCs w:val="0"/>
          <w:sz w:val="24"/>
          <w:szCs w:val="24"/>
        </w:rPr>
        <w:t>federated and data-centric learning</w:t>
      </w:r>
      <w:r>
        <w:rPr>
          <w:rFonts w:hint="default" w:ascii="Times New Roman" w:hAnsi="Times New Roman" w:cs="Times New Roman"/>
          <w:b w:val="0"/>
          <w:bCs w:val="0"/>
          <w:sz w:val="24"/>
          <w:szCs w:val="24"/>
        </w:rPr>
        <w:t xml:space="preserve"> paradigms have also emerged—introducing new challenges in data availability, interpretability, and model transferability.</w:t>
      </w:r>
    </w:p>
    <w:p w14:paraId="0786884B">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This paper addresses these gaps by conducting an </w:t>
      </w:r>
      <w:r>
        <w:rPr>
          <w:rStyle w:val="92"/>
          <w:rFonts w:hint="default" w:ascii="Times New Roman" w:hAnsi="Times New Roman" w:cs="Times New Roman"/>
          <w:b w:val="0"/>
          <w:bCs w:val="0"/>
          <w:sz w:val="24"/>
          <w:szCs w:val="24"/>
        </w:rPr>
        <w:t>integrative literature review</w:t>
      </w:r>
      <w:r>
        <w:rPr>
          <w:rFonts w:hint="default" w:ascii="Times New Roman" w:hAnsi="Times New Roman" w:cs="Times New Roman"/>
          <w:b w:val="0"/>
          <w:bCs w:val="0"/>
          <w:sz w:val="24"/>
          <w:szCs w:val="24"/>
        </w:rPr>
        <w:t xml:space="preserve"> of ML-based anomaly detection models published between 2020 and 2025. Building upon the foundations of Bou Nassif et al. (2021) and Yang et al. (2022), this study extends the chronological, methodological, and domain scope of prior reviews. Specifically, it (1) synthesizes the evolution of hybrid ML models and their optimization strategies; (2) examines the role of explainability and feature interpretability in unsupervised and semi-supervised detection; (3)</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 xml:space="preserve">compares evaluation metrics across diverse applications; and (4) maps emerging research directions including federated learning, adaptive algorithms, and cross-domain transferability. By unifying results across disciplines—from cybersecurity to geochemical and renewable-energy anomaly detection—the paper introduces a </w:t>
      </w:r>
      <w:r>
        <w:rPr>
          <w:rStyle w:val="92"/>
          <w:rFonts w:hint="default" w:ascii="Times New Roman" w:hAnsi="Times New Roman" w:cs="Times New Roman"/>
          <w:b w:val="0"/>
          <w:bCs w:val="0"/>
          <w:sz w:val="24"/>
          <w:szCs w:val="24"/>
        </w:rPr>
        <w:t>conceptual taxonomy</w:t>
      </w:r>
      <w:r>
        <w:rPr>
          <w:rFonts w:hint="default" w:ascii="Times New Roman" w:hAnsi="Times New Roman" w:cs="Times New Roman"/>
          <w:b w:val="0"/>
          <w:bCs w:val="0"/>
          <w:sz w:val="24"/>
          <w:szCs w:val="24"/>
        </w:rPr>
        <w:t xml:space="preserve"> that links algorithmic families, performance metrics, and domain-specific applications.</w:t>
      </w:r>
    </w:p>
    <w:p w14:paraId="3FAFC2B5">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review consolidates and critically analyzes 109 peer-reviewed studies published between 2020 and 2025, representing the most extensive synthesis of recent ML-based anomaly detection research to date.</w:t>
      </w:r>
    </w:p>
    <w:p w14:paraId="1DEFA090">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remainder of the paper is organized as follows. Section 2 outlines the review methodology, including search strategy, inclusion criteria, and analytical framework. Section 3 presents a detailed synthesis of ML algorithms and performance metrics categorized by learning paradigm and application domain. Section 4 discusses key trends, interpretability challenges, and limitations in existing literature. Section 5 proposes a taxonomy and future research agenda that integrates hybridization, explainability, and adaptivity. Finally, Section 6 concludes with the implications of these findings for both theoretical research and practical deployment of anomaly detection systems.</w:t>
      </w:r>
    </w:p>
    <w:p w14:paraId="4EDC31BE">
      <w:pPr>
        <w:pStyle w:val="3"/>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Style w:val="92"/>
          <w:rFonts w:hint="default" w:ascii="Times New Roman" w:hAnsi="Times New Roman" w:cs="Times New Roman"/>
          <w:b w:val="0"/>
          <w:bCs w:val="0"/>
          <w:sz w:val="24"/>
          <w:szCs w:val="24"/>
        </w:rPr>
      </w:pPr>
    </w:p>
    <w:p w14:paraId="0AA1B586">
      <w:pPr>
        <w:pStyle w:val="3"/>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Fonts w:hint="default" w:ascii="Times New Roman" w:hAnsi="Times New Roman" w:cs="Times New Roman"/>
          <w:b/>
          <w:bCs/>
          <w:sz w:val="24"/>
          <w:szCs w:val="24"/>
        </w:rPr>
      </w:pPr>
      <w:r>
        <w:rPr>
          <w:rStyle w:val="92"/>
          <w:rFonts w:hint="default" w:ascii="Times New Roman" w:hAnsi="Times New Roman" w:cs="Times New Roman"/>
          <w:b/>
          <w:bCs/>
          <w:sz w:val="24"/>
          <w:szCs w:val="24"/>
        </w:rPr>
        <w:t>2. Literature Review and Research Gap</w:t>
      </w:r>
    </w:p>
    <w:p w14:paraId="235E42EC">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Fonts w:hint="default" w:ascii="Times New Roman" w:hAnsi="Times New Roman" w:cs="Times New Roman"/>
          <w:b/>
          <w:bCs/>
          <w:sz w:val="24"/>
          <w:szCs w:val="24"/>
        </w:rPr>
      </w:pPr>
      <w:r>
        <w:rPr>
          <w:rStyle w:val="92"/>
          <w:rFonts w:hint="default" w:ascii="Times New Roman" w:hAnsi="Times New Roman" w:cs="Times New Roman"/>
          <w:b/>
          <w:bCs/>
          <w:sz w:val="24"/>
          <w:szCs w:val="24"/>
        </w:rPr>
        <w:t>2.1 Overview of Prior Reviews</w:t>
      </w:r>
    </w:p>
    <w:p w14:paraId="05B88F01">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Machine learning has been increasingly adopted as a core approach for anomaly detection across diverse data-driven systems. Several literature reviews have attempted to synthesize this expanding research domain. Among these, </w:t>
      </w:r>
      <w:r>
        <w:rPr>
          <w:rStyle w:val="31"/>
          <w:rFonts w:hint="default" w:ascii="Times New Roman" w:hAnsi="Times New Roman" w:cs="Times New Roman"/>
          <w:b w:val="0"/>
          <w:bCs w:val="0"/>
          <w:sz w:val="24"/>
          <w:szCs w:val="24"/>
        </w:rPr>
        <w:t>Bou Nassif et al.</w:t>
      </w:r>
      <w:r>
        <w:rPr>
          <w:rFonts w:hint="default" w:ascii="Times New Roman" w:hAnsi="Times New Roman" w:cs="Times New Roman"/>
          <w:b w:val="0"/>
          <w:bCs w:val="0"/>
          <w:sz w:val="24"/>
          <w:szCs w:val="24"/>
        </w:rPr>
        <w:t xml:space="preserve"> (2021) presented one of the earliest comprehensive </w:t>
      </w:r>
      <w:r>
        <w:rPr>
          <w:rStyle w:val="92"/>
          <w:rFonts w:hint="default" w:ascii="Times New Roman" w:hAnsi="Times New Roman" w:cs="Times New Roman"/>
          <w:b w:val="0"/>
          <w:bCs w:val="0"/>
          <w:sz w:val="24"/>
          <w:szCs w:val="24"/>
        </w:rPr>
        <w:t>systematic literature reviews (SLR)</w:t>
      </w:r>
      <w:r>
        <w:rPr>
          <w:rFonts w:hint="default" w:ascii="Times New Roman" w:hAnsi="Times New Roman" w:cs="Times New Roman"/>
          <w:b w:val="0"/>
          <w:bCs w:val="0"/>
          <w:sz w:val="24"/>
          <w:szCs w:val="24"/>
        </w:rPr>
        <w:t xml:space="preserve"> of machine learning techniques for anomaly detection. Their study examined 290 papers published between 2000 and 2020, categorizing them by machine learning algorithm, performance metric, and application domain. The review identified 29 ML models and 43 anomaly detection applications, revealing the predominance of classical algorithms such as Support Vector Machines (SVM), K-Means clustering, and Random Forests. It also noted that unsupervised learning methods were increasingly favored due to limited labeled data.</w:t>
      </w:r>
      <w:r>
        <w:rPr>
          <w:rFonts w:hint="default" w:ascii="Times New Roman" w:hAnsi="Times New Roman" w:cs="Times New Roman"/>
          <w:b w:val="0"/>
          <w:bCs w:val="0"/>
          <w:sz w:val="24"/>
          <w:szCs w:val="24"/>
        </w:rPr>
        <w:br w:type="textWrapping"/>
      </w:r>
      <w:r>
        <w:rPr>
          <w:rFonts w:hint="default" w:ascii="Times New Roman" w:hAnsi="Times New Roman" w:cs="Times New Roman"/>
          <w:b w:val="0"/>
          <w:bCs w:val="0"/>
          <w:sz w:val="24"/>
          <w:szCs w:val="24"/>
        </w:rPr>
        <w:t xml:space="preserve">Despite its breadth, </w:t>
      </w:r>
      <w:r>
        <w:rPr>
          <w:rStyle w:val="31"/>
          <w:rFonts w:hint="default" w:ascii="Times New Roman" w:hAnsi="Times New Roman" w:cs="Times New Roman"/>
          <w:b w:val="0"/>
          <w:bCs w:val="0"/>
          <w:sz w:val="24"/>
          <w:szCs w:val="24"/>
        </w:rPr>
        <w:t>Bou Nassif et al.</w:t>
      </w:r>
      <w:r>
        <w:rPr>
          <w:rFonts w:hint="default" w:ascii="Times New Roman" w:hAnsi="Times New Roman" w:cs="Times New Roman"/>
          <w:b w:val="0"/>
          <w:bCs w:val="0"/>
          <w:sz w:val="24"/>
          <w:szCs w:val="24"/>
        </w:rPr>
        <w:t>’s synthesis was largely descriptive. It summarized the frequency of model usage and evaluation metrics but did not delve into emerging hybrid models, interpretability frameworks, or the comparative strengths and weaknesses of evolving algorithms. Furthermore, its temporal scope—ending in 2020—excluded the recent wave of post-2021 developments involving explainable and adaptive ML systems.</w:t>
      </w:r>
    </w:p>
    <w:p w14:paraId="0403C6F6">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Building upon this foundation, </w:t>
      </w:r>
      <w:r>
        <w:rPr>
          <w:rStyle w:val="31"/>
          <w:rFonts w:hint="default" w:ascii="Times New Roman" w:hAnsi="Times New Roman" w:cs="Times New Roman"/>
          <w:b w:val="0"/>
          <w:bCs w:val="0"/>
          <w:sz w:val="24"/>
          <w:szCs w:val="24"/>
        </w:rPr>
        <w:t>Yang et al.</w:t>
      </w:r>
      <w:r>
        <w:rPr>
          <w:rFonts w:hint="default" w:ascii="Times New Roman" w:hAnsi="Times New Roman" w:cs="Times New Roman"/>
          <w:b w:val="0"/>
          <w:bCs w:val="0"/>
          <w:sz w:val="24"/>
          <w:szCs w:val="24"/>
        </w:rPr>
        <w:t xml:space="preserve"> (2022) conducted a focused SLR specifically targeting </w:t>
      </w:r>
      <w:r>
        <w:rPr>
          <w:rStyle w:val="92"/>
          <w:rFonts w:hint="default" w:ascii="Times New Roman" w:hAnsi="Times New Roman" w:cs="Times New Roman"/>
          <w:b w:val="0"/>
          <w:bCs w:val="0"/>
          <w:sz w:val="24"/>
          <w:szCs w:val="24"/>
        </w:rPr>
        <w:t>anomaly-based network intrusion detection systems (NIDS)</w:t>
      </w:r>
      <w:r>
        <w:rPr>
          <w:rFonts w:hint="default" w:ascii="Times New Roman" w:hAnsi="Times New Roman" w:cs="Times New Roman"/>
          <w:b w:val="0"/>
          <w:bCs w:val="0"/>
          <w:sz w:val="24"/>
          <w:szCs w:val="24"/>
        </w:rPr>
        <w:t xml:space="preserve">. Their review synthesized 119 highly cited studies, examining data preprocessing, learning frameworks, evaluation metrics, and the use of public cybersecurity datasets such as KDD99, UNSW-NB15, and CICIDS2017. While this review provided a granular methodological perspective on intrusion detection, its scope was limited to </w:t>
      </w:r>
      <w:r>
        <w:rPr>
          <w:rStyle w:val="92"/>
          <w:rFonts w:hint="default" w:ascii="Times New Roman" w:hAnsi="Times New Roman" w:cs="Times New Roman"/>
          <w:b w:val="0"/>
          <w:bCs w:val="0"/>
          <w:sz w:val="24"/>
          <w:szCs w:val="24"/>
        </w:rPr>
        <w:t>network-based applications</w:t>
      </w:r>
      <w:r>
        <w:rPr>
          <w:rFonts w:hint="default" w:ascii="Times New Roman" w:hAnsi="Times New Roman" w:cs="Times New Roman"/>
          <w:b w:val="0"/>
          <w:bCs w:val="0"/>
          <w:sz w:val="24"/>
          <w:szCs w:val="24"/>
        </w:rPr>
        <w:t>, omitting broader anomaly detection contexts such as industrial monitoring, geochemical data, and energy system diagnostics. Moreover, although it acknowledged the emergence of deep learning methods like CNNs, RNNs, and LSTMs, it did not explore interpretability, concept drift, federated learning, or the cross-domain transferability of ML models.</w:t>
      </w:r>
    </w:p>
    <w:p w14:paraId="5576A425">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Collectively, these two reviews provide an essential foundation for understanding how ML techniques have evolved for anomaly detection. However, both focus heavily on classical or network-centric models and pre-2021 research, leaving an analytical gap concerning the </w:t>
      </w:r>
      <w:r>
        <w:rPr>
          <w:rStyle w:val="92"/>
          <w:rFonts w:hint="default" w:ascii="Times New Roman" w:hAnsi="Times New Roman" w:cs="Times New Roman"/>
          <w:b w:val="0"/>
          <w:bCs w:val="0"/>
          <w:sz w:val="24"/>
          <w:szCs w:val="24"/>
        </w:rPr>
        <w:t>new generation of hybrid, explainable, and domain-agnostic approaches</w:t>
      </w:r>
      <w:r>
        <w:rPr>
          <w:rFonts w:hint="default" w:ascii="Times New Roman" w:hAnsi="Times New Roman" w:cs="Times New Roman"/>
          <w:b w:val="0"/>
          <w:bCs w:val="0"/>
          <w:sz w:val="24"/>
          <w:szCs w:val="24"/>
        </w:rPr>
        <w:t xml:space="preserve"> that have emerged in recent years.</w:t>
      </w:r>
    </w:p>
    <w:p w14:paraId="56205CD1">
      <w:pPr>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p>
    <w:p w14:paraId="24809F18">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Fonts w:hint="default" w:ascii="Times New Roman" w:hAnsi="Times New Roman" w:cs="Times New Roman"/>
          <w:b/>
          <w:bCs/>
          <w:sz w:val="24"/>
          <w:szCs w:val="24"/>
        </w:rPr>
      </w:pPr>
      <w:r>
        <w:rPr>
          <w:rStyle w:val="92"/>
          <w:rFonts w:hint="default" w:ascii="Times New Roman" w:hAnsi="Times New Roman" w:cs="Times New Roman"/>
          <w:b/>
          <w:bCs/>
          <w:sz w:val="24"/>
          <w:szCs w:val="24"/>
        </w:rPr>
        <w:t>2.2 Identified Gaps and Justification</w:t>
      </w:r>
    </w:p>
    <w:p w14:paraId="570B1BDB">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Comparative analysis of the above reviews reveals several critical gaps in the current literature:</w:t>
      </w:r>
    </w:p>
    <w:p w14:paraId="32C07BAF">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Temporal Gap:</w:t>
      </w:r>
      <w:r>
        <w:rPr>
          <w:rFonts w:hint="default" w:ascii="Times New Roman" w:hAnsi="Times New Roman" w:cs="Times New Roman"/>
          <w:b/>
          <w:bCs/>
          <w:sz w:val="24"/>
          <w:szCs w:val="24"/>
        </w:rPr>
        <w:br w:type="textWrapping"/>
      </w:r>
      <w:r>
        <w:rPr>
          <w:rFonts w:hint="default" w:ascii="Times New Roman" w:hAnsi="Times New Roman" w:cs="Times New Roman"/>
          <w:b w:val="0"/>
          <w:bCs w:val="0"/>
          <w:sz w:val="24"/>
          <w:szCs w:val="24"/>
        </w:rPr>
        <w:t xml:space="preserve">The studies by </w:t>
      </w:r>
      <w:r>
        <w:rPr>
          <w:rStyle w:val="31"/>
          <w:rFonts w:hint="default" w:ascii="Times New Roman" w:hAnsi="Times New Roman" w:cs="Times New Roman"/>
          <w:b w:val="0"/>
          <w:bCs w:val="0"/>
          <w:sz w:val="24"/>
          <w:szCs w:val="24"/>
        </w:rPr>
        <w:t>Bou Nassif et al.</w:t>
      </w:r>
      <w:r>
        <w:rPr>
          <w:rFonts w:hint="default" w:ascii="Times New Roman" w:hAnsi="Times New Roman" w:cs="Times New Roman"/>
          <w:b w:val="0"/>
          <w:bCs w:val="0"/>
          <w:sz w:val="24"/>
          <w:szCs w:val="24"/>
        </w:rPr>
        <w:t xml:space="preserve"> (2021) and </w:t>
      </w:r>
      <w:r>
        <w:rPr>
          <w:rStyle w:val="31"/>
          <w:rFonts w:hint="default" w:ascii="Times New Roman" w:hAnsi="Times New Roman" w:cs="Times New Roman"/>
          <w:b w:val="0"/>
          <w:bCs w:val="0"/>
          <w:sz w:val="24"/>
          <w:szCs w:val="24"/>
        </w:rPr>
        <w:t>Yang et al.</w:t>
      </w:r>
      <w:r>
        <w:rPr>
          <w:rFonts w:hint="default" w:ascii="Times New Roman" w:hAnsi="Times New Roman" w:cs="Times New Roman"/>
          <w:b w:val="0"/>
          <w:bCs w:val="0"/>
          <w:sz w:val="24"/>
          <w:szCs w:val="24"/>
        </w:rPr>
        <w:t xml:space="preserve"> (2022) cover works up to 2020 and 2021 respectively, excluding newer models developed between 2021 and 2025. The past four years have witnessed significant innovations such as adaptive density-based clustering (K-DBSCAN, GWOKM), enhanced multiclass SVMs (EMSVM), explainable Isolation Forest derivatives (DIFFI, RIFIFI), and active learning extensions (ALIF), which remain unreviewed.</w:t>
      </w:r>
    </w:p>
    <w:p w14:paraId="57DF3D83">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Methodological Gap:</w:t>
      </w:r>
      <w:r>
        <w:rPr>
          <w:rFonts w:hint="default" w:ascii="Times New Roman" w:hAnsi="Times New Roman" w:cs="Times New Roman"/>
          <w:b/>
          <w:bCs/>
          <w:sz w:val="24"/>
          <w:szCs w:val="24"/>
        </w:rPr>
        <w:br w:type="textWrapping"/>
      </w:r>
      <w:r>
        <w:rPr>
          <w:rFonts w:hint="default" w:ascii="Times New Roman" w:hAnsi="Times New Roman" w:cs="Times New Roman"/>
          <w:b w:val="0"/>
          <w:bCs w:val="0"/>
          <w:sz w:val="24"/>
          <w:szCs w:val="24"/>
        </w:rPr>
        <w:t xml:space="preserve">Both baseline reviews employ systematic methodologies that focus on classification and frequency of techniques rather than their </w:t>
      </w:r>
      <w:r>
        <w:rPr>
          <w:rStyle w:val="31"/>
          <w:rFonts w:hint="default" w:ascii="Times New Roman" w:hAnsi="Times New Roman" w:cs="Times New Roman"/>
          <w:b w:val="0"/>
          <w:bCs w:val="0"/>
          <w:sz w:val="24"/>
          <w:szCs w:val="24"/>
        </w:rPr>
        <w:t>evolutionary relationships</w:t>
      </w:r>
      <w:r>
        <w:rPr>
          <w:rFonts w:hint="default" w:ascii="Times New Roman" w:hAnsi="Times New Roman" w:cs="Times New Roman"/>
          <w:b w:val="0"/>
          <w:bCs w:val="0"/>
          <w:sz w:val="24"/>
          <w:szCs w:val="24"/>
        </w:rPr>
        <w:t xml:space="preserve"> or </w:t>
      </w:r>
      <w:r>
        <w:rPr>
          <w:rStyle w:val="31"/>
          <w:rFonts w:hint="default" w:ascii="Times New Roman" w:hAnsi="Times New Roman" w:cs="Times New Roman"/>
          <w:b w:val="0"/>
          <w:bCs w:val="0"/>
          <w:sz w:val="24"/>
          <w:szCs w:val="24"/>
        </w:rPr>
        <w:t>hybrid configurations</w:t>
      </w:r>
      <w:r>
        <w:rPr>
          <w:rFonts w:hint="default" w:ascii="Times New Roman" w:hAnsi="Times New Roman" w:cs="Times New Roman"/>
          <w:b w:val="0"/>
          <w:bCs w:val="0"/>
          <w:sz w:val="24"/>
          <w:szCs w:val="24"/>
        </w:rPr>
        <w:t>. The growing convergence of optimization algorithms, ensemble models, and deep architectures calls for an integrative synthesis that goes beyond categorical listings to explain model interactions and performance trade-offs.</w:t>
      </w:r>
    </w:p>
    <w:p w14:paraId="63880093">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Domain Gap:</w:t>
      </w:r>
      <w:r>
        <w:rPr>
          <w:rFonts w:hint="default" w:ascii="Times New Roman" w:hAnsi="Times New Roman" w:cs="Times New Roman"/>
          <w:b/>
          <w:bCs/>
          <w:sz w:val="24"/>
          <w:szCs w:val="24"/>
        </w:rPr>
        <w:br w:type="textWrapping"/>
      </w:r>
      <w:r>
        <w:rPr>
          <w:rFonts w:hint="default" w:ascii="Times New Roman" w:hAnsi="Times New Roman" w:cs="Times New Roman"/>
          <w:b w:val="0"/>
          <w:bCs w:val="0"/>
          <w:sz w:val="24"/>
          <w:szCs w:val="24"/>
        </w:rPr>
        <w:t>Previous reviews primarily address anomaly detection within cybersecurity and network intrusion contexts. Yet, ML-driven anomaly detection has expanded into fields such as industrial control systems, renewable energy monitoring, healthcare, and geochemical exploration. These cross-domain applications involve distinct data modalities and evaluation metrics that have not been comparatively analyzed.</w:t>
      </w:r>
    </w:p>
    <w:p w14:paraId="442D4F99">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Interpretability and Adaptivity Gap:</w:t>
      </w:r>
      <w:r>
        <w:rPr>
          <w:rFonts w:hint="default" w:ascii="Times New Roman" w:hAnsi="Times New Roman" w:cs="Times New Roman"/>
          <w:b/>
          <w:bCs/>
          <w:sz w:val="24"/>
          <w:szCs w:val="24"/>
        </w:rPr>
        <w:br w:type="textWrapping"/>
      </w:r>
      <w:r>
        <w:rPr>
          <w:rFonts w:hint="default" w:ascii="Times New Roman" w:hAnsi="Times New Roman" w:cs="Times New Roman"/>
          <w:b w:val="0"/>
          <w:bCs w:val="0"/>
          <w:sz w:val="24"/>
          <w:szCs w:val="24"/>
        </w:rPr>
        <w:t xml:space="preserve">Neither </w:t>
      </w:r>
      <w:r>
        <w:rPr>
          <w:rStyle w:val="31"/>
          <w:rFonts w:hint="default" w:ascii="Times New Roman" w:hAnsi="Times New Roman" w:cs="Times New Roman"/>
          <w:b w:val="0"/>
          <w:bCs w:val="0"/>
          <w:sz w:val="24"/>
          <w:szCs w:val="24"/>
        </w:rPr>
        <w:t>Bou Nassif et al.</w:t>
      </w:r>
      <w:r>
        <w:rPr>
          <w:rFonts w:hint="default" w:ascii="Times New Roman" w:hAnsi="Times New Roman" w:cs="Times New Roman"/>
          <w:b w:val="0"/>
          <w:bCs w:val="0"/>
          <w:sz w:val="24"/>
          <w:szCs w:val="24"/>
        </w:rPr>
        <w:t xml:space="preserve"> nor </w:t>
      </w:r>
      <w:r>
        <w:rPr>
          <w:rStyle w:val="31"/>
          <w:rFonts w:hint="default" w:ascii="Times New Roman" w:hAnsi="Times New Roman" w:cs="Times New Roman"/>
          <w:b w:val="0"/>
          <w:bCs w:val="0"/>
          <w:sz w:val="24"/>
          <w:szCs w:val="24"/>
        </w:rPr>
        <w:t>Yang et al.</w:t>
      </w:r>
      <w:r>
        <w:rPr>
          <w:rFonts w:hint="default" w:ascii="Times New Roman" w:hAnsi="Times New Roman" w:cs="Times New Roman"/>
          <w:b w:val="0"/>
          <w:bCs w:val="0"/>
          <w:sz w:val="24"/>
          <w:szCs w:val="24"/>
        </w:rPr>
        <w:t xml:space="preserve"> adequately discuss explainability, interpretability, or concept drift adaptation—core themes of modern machine learning. Models like DIFFI and RIFIFI address transparency, while frameworks such as ERbCDD and IForestASD tackle dynamic data environments, yet these remain absent from prior syntheses.</w:t>
      </w:r>
    </w:p>
    <w:p w14:paraId="2DE74BFB">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Evaluation and Standardization Gap:</w:t>
      </w:r>
      <w:r>
        <w:rPr>
          <w:rFonts w:hint="default" w:ascii="Times New Roman" w:hAnsi="Times New Roman" w:cs="Times New Roman"/>
          <w:b/>
          <w:bCs/>
          <w:sz w:val="24"/>
          <w:szCs w:val="24"/>
        </w:rPr>
        <w:br w:type="textWrapping"/>
      </w:r>
      <w:r>
        <w:rPr>
          <w:rFonts w:hint="default" w:ascii="Times New Roman" w:hAnsi="Times New Roman" w:cs="Times New Roman"/>
          <w:b w:val="0"/>
          <w:bCs w:val="0"/>
          <w:sz w:val="24"/>
          <w:szCs w:val="24"/>
        </w:rPr>
        <w:t>Prior reviews summarize metrics such as accuracy, precision, recall, and AUC but lack cross-comparative evaluation frameworks. A need remains for mapping performance measures to algorithm categories and domain contexts to enable reproducibility and fair benchmarking.</w:t>
      </w:r>
    </w:p>
    <w:p w14:paraId="3FDDD538">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2.3 Present Study Objectives</w:t>
      </w:r>
    </w:p>
    <w:p w14:paraId="6B482FB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In response to these identified gaps, the present study undertakes an </w:t>
      </w:r>
      <w:r>
        <w:rPr>
          <w:rStyle w:val="92"/>
          <w:rFonts w:hint="default" w:ascii="Times New Roman" w:hAnsi="Times New Roman" w:cs="Times New Roman"/>
          <w:b w:val="0"/>
          <w:bCs w:val="0"/>
          <w:sz w:val="24"/>
          <w:szCs w:val="24"/>
        </w:rPr>
        <w:t>integrative literature review</w:t>
      </w:r>
      <w:r>
        <w:rPr>
          <w:rFonts w:hint="default" w:ascii="Times New Roman" w:hAnsi="Times New Roman" w:cs="Times New Roman"/>
          <w:b w:val="0"/>
          <w:bCs w:val="0"/>
          <w:sz w:val="24"/>
          <w:szCs w:val="24"/>
        </w:rPr>
        <w:t xml:space="preserve"> of machine learning models for anomaly detection published between </w:t>
      </w:r>
      <w:r>
        <w:rPr>
          <w:rStyle w:val="92"/>
          <w:rFonts w:hint="default" w:ascii="Times New Roman" w:hAnsi="Times New Roman" w:cs="Times New Roman"/>
          <w:b w:val="0"/>
          <w:bCs w:val="0"/>
          <w:sz w:val="24"/>
          <w:szCs w:val="24"/>
        </w:rPr>
        <w:t>2020 and 2025</w:t>
      </w:r>
      <w:r>
        <w:rPr>
          <w:rFonts w:hint="default" w:ascii="Times New Roman" w:hAnsi="Times New Roman" w:cs="Times New Roman"/>
          <w:b w:val="0"/>
          <w:bCs w:val="0"/>
          <w:sz w:val="24"/>
          <w:szCs w:val="24"/>
        </w:rPr>
        <w:t xml:space="preserve">. Using </w:t>
      </w:r>
      <w:r>
        <w:rPr>
          <w:rStyle w:val="31"/>
          <w:rFonts w:hint="default" w:ascii="Times New Roman" w:hAnsi="Times New Roman" w:cs="Times New Roman"/>
          <w:b w:val="0"/>
          <w:bCs w:val="0"/>
          <w:sz w:val="24"/>
          <w:szCs w:val="24"/>
        </w:rPr>
        <w:t>Bou Nassif et al.</w:t>
      </w:r>
      <w:r>
        <w:rPr>
          <w:rFonts w:hint="default" w:ascii="Times New Roman" w:hAnsi="Times New Roman" w:cs="Times New Roman"/>
          <w:b w:val="0"/>
          <w:bCs w:val="0"/>
          <w:sz w:val="24"/>
          <w:szCs w:val="24"/>
        </w:rPr>
        <w:t xml:space="preserve"> (2021) and </w:t>
      </w:r>
      <w:r>
        <w:rPr>
          <w:rStyle w:val="31"/>
          <w:rFonts w:hint="default" w:ascii="Times New Roman" w:hAnsi="Times New Roman" w:cs="Times New Roman"/>
          <w:b w:val="0"/>
          <w:bCs w:val="0"/>
          <w:sz w:val="24"/>
          <w:szCs w:val="24"/>
        </w:rPr>
        <w:t>Yang et al.</w:t>
      </w:r>
      <w:r>
        <w:rPr>
          <w:rFonts w:hint="default" w:ascii="Times New Roman" w:hAnsi="Times New Roman" w:cs="Times New Roman"/>
          <w:b w:val="0"/>
          <w:bCs w:val="0"/>
          <w:sz w:val="24"/>
          <w:szCs w:val="24"/>
        </w:rPr>
        <w:t xml:space="preserve"> (2022) as baseline references, this study expands both the </w:t>
      </w:r>
      <w:r>
        <w:rPr>
          <w:rStyle w:val="92"/>
          <w:rFonts w:hint="default" w:ascii="Times New Roman" w:hAnsi="Times New Roman" w:cs="Times New Roman"/>
          <w:b w:val="0"/>
          <w:bCs w:val="0"/>
          <w:sz w:val="24"/>
          <w:szCs w:val="24"/>
        </w:rPr>
        <w:t>chronological and conceptual scope</w:t>
      </w:r>
      <w:r>
        <w:rPr>
          <w:rFonts w:hint="default" w:ascii="Times New Roman" w:hAnsi="Times New Roman" w:cs="Times New Roman"/>
          <w:b w:val="0"/>
          <w:bCs w:val="0"/>
          <w:sz w:val="24"/>
          <w:szCs w:val="24"/>
        </w:rPr>
        <w:t xml:space="preserve"> of prior work. Its specific objectives are:</w:t>
      </w:r>
    </w:p>
    <w:p w14:paraId="58A7B9B2">
      <w:pPr>
        <w:pStyle w:val="85"/>
        <w:keepNext w:val="0"/>
        <w:keepLines w:val="0"/>
        <w:pageBreakBefore w:val="0"/>
        <w:widowControl/>
        <w:numPr>
          <w:ilvl w:val="0"/>
          <w:numId w:val="11"/>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To synthesize recent advancements in </w:t>
      </w:r>
      <w:r>
        <w:rPr>
          <w:rStyle w:val="92"/>
          <w:rFonts w:hint="default" w:ascii="Times New Roman" w:hAnsi="Times New Roman" w:cs="Times New Roman"/>
          <w:b w:val="0"/>
          <w:bCs w:val="0"/>
          <w:sz w:val="24"/>
          <w:szCs w:val="24"/>
        </w:rPr>
        <w:t>hybrid and explainable ML models</w:t>
      </w:r>
      <w:r>
        <w:rPr>
          <w:rFonts w:hint="default" w:ascii="Times New Roman" w:hAnsi="Times New Roman" w:cs="Times New Roman"/>
          <w:b w:val="0"/>
          <w:bCs w:val="0"/>
          <w:sz w:val="24"/>
          <w:szCs w:val="24"/>
        </w:rPr>
        <w:t xml:space="preserve"> for anomaly detection across multiple domains.</w:t>
      </w:r>
    </w:p>
    <w:p w14:paraId="4693D3A4">
      <w:pPr>
        <w:pStyle w:val="85"/>
        <w:keepNext w:val="0"/>
        <w:keepLines w:val="0"/>
        <w:pageBreakBefore w:val="0"/>
        <w:widowControl/>
        <w:numPr>
          <w:ilvl w:val="0"/>
          <w:numId w:val="11"/>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To evaluate </w:t>
      </w:r>
      <w:r>
        <w:rPr>
          <w:rStyle w:val="92"/>
          <w:rFonts w:hint="default" w:ascii="Times New Roman" w:hAnsi="Times New Roman" w:cs="Times New Roman"/>
          <w:b w:val="0"/>
          <w:bCs w:val="0"/>
          <w:sz w:val="24"/>
          <w:szCs w:val="24"/>
        </w:rPr>
        <w:t>adaptive and data-centric learning approaches</w:t>
      </w:r>
      <w:r>
        <w:rPr>
          <w:rFonts w:hint="default" w:ascii="Times New Roman" w:hAnsi="Times New Roman" w:cs="Times New Roman"/>
          <w:b w:val="0"/>
          <w:bCs w:val="0"/>
          <w:sz w:val="24"/>
          <w:szCs w:val="24"/>
        </w:rPr>
        <w:t>, including concept drift handling and federated frameworks.</w:t>
      </w:r>
    </w:p>
    <w:p w14:paraId="073C6E12">
      <w:pPr>
        <w:pStyle w:val="85"/>
        <w:keepNext w:val="0"/>
        <w:keepLines w:val="0"/>
        <w:pageBreakBefore w:val="0"/>
        <w:widowControl/>
        <w:numPr>
          <w:ilvl w:val="0"/>
          <w:numId w:val="11"/>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To map </w:t>
      </w:r>
      <w:r>
        <w:rPr>
          <w:rStyle w:val="92"/>
          <w:rFonts w:hint="default" w:ascii="Times New Roman" w:hAnsi="Times New Roman" w:cs="Times New Roman"/>
          <w:b w:val="0"/>
          <w:bCs w:val="0"/>
          <w:sz w:val="24"/>
          <w:szCs w:val="24"/>
        </w:rPr>
        <w:t>evaluation metrics</w:t>
      </w:r>
      <w:r>
        <w:rPr>
          <w:rFonts w:hint="default" w:ascii="Times New Roman" w:hAnsi="Times New Roman" w:cs="Times New Roman"/>
          <w:b w:val="0"/>
          <w:bCs w:val="0"/>
          <w:sz w:val="24"/>
          <w:szCs w:val="24"/>
        </w:rPr>
        <w:t xml:space="preserve"> to algorithmic categories and application domains for improved benchmarking.</w:t>
      </w:r>
    </w:p>
    <w:p w14:paraId="7B795687">
      <w:pPr>
        <w:pStyle w:val="85"/>
        <w:keepNext w:val="0"/>
        <w:keepLines w:val="0"/>
        <w:pageBreakBefore w:val="0"/>
        <w:widowControl/>
        <w:numPr>
          <w:ilvl w:val="0"/>
          <w:numId w:val="11"/>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To propose a </w:t>
      </w:r>
      <w:r>
        <w:rPr>
          <w:rStyle w:val="92"/>
          <w:rFonts w:hint="default" w:ascii="Times New Roman" w:hAnsi="Times New Roman" w:cs="Times New Roman"/>
          <w:b w:val="0"/>
          <w:bCs w:val="0"/>
          <w:sz w:val="24"/>
          <w:szCs w:val="24"/>
        </w:rPr>
        <w:t>conceptual taxonomy</w:t>
      </w:r>
      <w:r>
        <w:rPr>
          <w:rFonts w:hint="default" w:ascii="Times New Roman" w:hAnsi="Times New Roman" w:cs="Times New Roman"/>
          <w:b w:val="0"/>
          <w:bCs w:val="0"/>
          <w:sz w:val="24"/>
          <w:szCs w:val="24"/>
        </w:rPr>
        <w:t xml:space="preserve"> linking model families, interpretability features, and performance measures as a foundation for future research.</w:t>
      </w:r>
    </w:p>
    <w:p w14:paraId="3643F197">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By addressing these objectives, this review bridges the gap between earlier systematic surveys and the evolving generation of intelligent, interpretable, and cross-domain ML systems, thereby advancing the scholarly understanding of anomaly detection beyond traditional, network-centric paradigms.</w:t>
      </w:r>
    </w:p>
    <w:p w14:paraId="2849AC8B">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3. Methodology</w:t>
      </w:r>
    </w:p>
    <w:p w14:paraId="24BCB31F">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This section outlines the methodological framework adopted for the present integrative review of machine learning (ML) models for anomaly detection. The review follows a structured process inspired by the guidelines of </w:t>
      </w:r>
      <w:r>
        <w:rPr>
          <w:rStyle w:val="31"/>
          <w:rFonts w:hint="default" w:ascii="Times New Roman" w:hAnsi="Times New Roman" w:cs="Times New Roman"/>
          <w:b w:val="0"/>
          <w:bCs w:val="0"/>
          <w:sz w:val="24"/>
          <w:szCs w:val="24"/>
        </w:rPr>
        <w:t>Kitchenham and Charters (2007)</w:t>
      </w:r>
      <w:r>
        <w:rPr>
          <w:rFonts w:hint="default" w:ascii="Times New Roman" w:hAnsi="Times New Roman" w:cs="Times New Roman"/>
          <w:b w:val="0"/>
          <w:bCs w:val="0"/>
          <w:sz w:val="24"/>
          <w:szCs w:val="24"/>
        </w:rPr>
        <w:t xml:space="preserve"> for evidence-based software engineering reviews, adapted to suit the broader, multi-domain focus of this study. The procedure includes five key stages: research question formulation, search strategy, study selection, quality assessment, data extraction, and synthesis.</w:t>
      </w:r>
    </w:p>
    <w:p w14:paraId="3988A375">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Style w:val="92"/>
          <w:rFonts w:hint="default" w:ascii="Times New Roman" w:hAnsi="Times New Roman" w:cs="Times New Roman"/>
          <w:b w:val="0"/>
          <w:bCs w:val="0"/>
          <w:sz w:val="24"/>
          <w:szCs w:val="24"/>
        </w:rPr>
      </w:pPr>
    </w:p>
    <w:p w14:paraId="2A8F0468">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3.1 Research Questions</w:t>
      </w:r>
    </w:p>
    <w:p w14:paraId="77638BA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extend the scope of prior reviews and address the identified gaps, this study was guided by the following research questions (RQs):</w:t>
      </w:r>
    </w:p>
    <w:p w14:paraId="36EFF965">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RQ1</w:t>
      </w:r>
      <w:r>
        <w:rPr>
          <w:rStyle w:val="92"/>
          <w:rFonts w:hint="default" w:ascii="Times New Roman" w:hAnsi="Times New Roman" w:cs="Times New Roman"/>
          <w:b w:val="0"/>
          <w:bCs w:val="0"/>
          <w:sz w:val="24"/>
          <w:szCs w:val="24"/>
        </w:rPr>
        <w:t>:</w:t>
      </w:r>
      <w:r>
        <w:rPr>
          <w:rFonts w:hint="default" w:ascii="Times New Roman" w:hAnsi="Times New Roman" w:cs="Times New Roman"/>
          <w:b w:val="0"/>
          <w:bCs w:val="0"/>
          <w:sz w:val="24"/>
          <w:szCs w:val="24"/>
        </w:rPr>
        <w:t xml:space="preserve"> What machine learning algorithms and hybrid frameworks have been developed for anomaly detection between 2020 and 2025?</w:t>
      </w:r>
    </w:p>
    <w:p w14:paraId="69D6FD97">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RQ2</w:t>
      </w:r>
      <w:r>
        <w:rPr>
          <w:rStyle w:val="92"/>
          <w:rFonts w:hint="default" w:ascii="Times New Roman" w:hAnsi="Times New Roman" w:cs="Times New Roman"/>
          <w:b w:val="0"/>
          <w:bCs w:val="0"/>
          <w:sz w:val="24"/>
          <w:szCs w:val="24"/>
        </w:rPr>
        <w:t>:</w:t>
      </w:r>
      <w:r>
        <w:rPr>
          <w:rFonts w:hint="default" w:ascii="Times New Roman" w:hAnsi="Times New Roman" w:cs="Times New Roman"/>
          <w:b w:val="0"/>
          <w:bCs w:val="0"/>
          <w:sz w:val="24"/>
          <w:szCs w:val="24"/>
        </w:rPr>
        <w:t xml:space="preserve"> How have recent advances in explainability, interpretability, and adaptivity influenced anomaly detection models?</w:t>
      </w:r>
    </w:p>
    <w:p w14:paraId="44D71589">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RQ3</w:t>
      </w:r>
      <w:r>
        <w:rPr>
          <w:rStyle w:val="92"/>
          <w:rFonts w:hint="default" w:ascii="Times New Roman" w:hAnsi="Times New Roman" w:cs="Times New Roman"/>
          <w:b w:val="0"/>
          <w:bCs w:val="0"/>
          <w:sz w:val="24"/>
          <w:szCs w:val="24"/>
        </w:rPr>
        <w:t>:</w:t>
      </w:r>
      <w:r>
        <w:rPr>
          <w:rFonts w:hint="default" w:ascii="Times New Roman" w:hAnsi="Times New Roman" w:cs="Times New Roman"/>
          <w:b w:val="0"/>
          <w:bCs w:val="0"/>
          <w:sz w:val="24"/>
          <w:szCs w:val="24"/>
        </w:rPr>
        <w:t xml:space="preserve"> What evaluation metrics and benchmarking practices are commonly used in the post-2020 literature?</w:t>
      </w:r>
    </w:p>
    <w:p w14:paraId="7C7552A6">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RQ4</w:t>
      </w:r>
      <w:r>
        <w:rPr>
          <w:rStyle w:val="92"/>
          <w:rFonts w:hint="default" w:ascii="Times New Roman" w:hAnsi="Times New Roman" w:cs="Times New Roman"/>
          <w:b w:val="0"/>
          <w:bCs w:val="0"/>
          <w:sz w:val="24"/>
          <w:szCs w:val="24"/>
        </w:rPr>
        <w:t>:</w:t>
      </w:r>
      <w:r>
        <w:rPr>
          <w:rFonts w:hint="default" w:ascii="Times New Roman" w:hAnsi="Times New Roman" w:cs="Times New Roman"/>
          <w:b w:val="0"/>
          <w:bCs w:val="0"/>
          <w:sz w:val="24"/>
          <w:szCs w:val="24"/>
        </w:rPr>
        <w:t xml:space="preserve"> Which domains and datasets have been explored beyond traditional network intrusion detection, and how have ML models been adapted to them?</w:t>
      </w:r>
    </w:p>
    <w:p w14:paraId="21A98612">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Style w:val="92"/>
          <w:rFonts w:hint="default" w:ascii="Times New Roman" w:hAnsi="Times New Roman" w:cs="Times New Roman"/>
          <w:b/>
          <w:bCs/>
          <w:sz w:val="24"/>
          <w:szCs w:val="24"/>
        </w:rPr>
        <w:t>RQ5</w:t>
      </w:r>
      <w:r>
        <w:rPr>
          <w:rStyle w:val="92"/>
          <w:rFonts w:hint="default" w:ascii="Times New Roman" w:hAnsi="Times New Roman" w:cs="Times New Roman"/>
          <w:b w:val="0"/>
          <w:bCs w:val="0"/>
          <w:sz w:val="24"/>
          <w:szCs w:val="24"/>
        </w:rPr>
        <w:t>:</w:t>
      </w:r>
      <w:r>
        <w:rPr>
          <w:rFonts w:hint="default" w:ascii="Times New Roman" w:hAnsi="Times New Roman" w:cs="Times New Roman"/>
          <w:b w:val="0"/>
          <w:bCs w:val="0"/>
          <w:sz w:val="24"/>
          <w:szCs w:val="24"/>
        </w:rPr>
        <w:t xml:space="preserve"> What are the emerging research directions in hybrid, explainable, and cross-domain anomaly detection?</w:t>
      </w:r>
    </w:p>
    <w:p w14:paraId="3FEB965E">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These questions collectively guided the search, inclusion, and synthesis processes to ensure analytical coherence and methodological transparency.</w:t>
      </w:r>
    </w:p>
    <w:p w14:paraId="20FEAC1D">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Style w:val="92"/>
          <w:rFonts w:hint="default" w:ascii="Times New Roman" w:hAnsi="Times New Roman" w:cs="Times New Roman"/>
          <w:b w:val="0"/>
          <w:bCs w:val="0"/>
          <w:sz w:val="24"/>
          <w:szCs w:val="24"/>
        </w:rPr>
      </w:pPr>
    </w:p>
    <w:p w14:paraId="55730C8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3.2 Search Strategy</w:t>
      </w:r>
    </w:p>
    <w:p w14:paraId="03F7CE9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A systematic and comprehensive search strategy was employed to capture relevant studies published between </w:t>
      </w:r>
      <w:r>
        <w:rPr>
          <w:rStyle w:val="92"/>
          <w:rFonts w:hint="default" w:ascii="Times New Roman" w:hAnsi="Times New Roman" w:cs="Times New Roman"/>
          <w:b w:val="0"/>
          <w:bCs w:val="0"/>
          <w:sz w:val="24"/>
          <w:szCs w:val="24"/>
        </w:rPr>
        <w:t>January 2020 and December 2025</w:t>
      </w:r>
      <w:r>
        <w:rPr>
          <w:rFonts w:hint="default" w:ascii="Times New Roman" w:hAnsi="Times New Roman" w:cs="Times New Roman"/>
          <w:b w:val="0"/>
          <w:bCs w:val="0"/>
          <w:sz w:val="24"/>
          <w:szCs w:val="24"/>
        </w:rPr>
        <w:t>. Multiple digital libraries were queried to ensure domain diversity, including:</w:t>
      </w:r>
    </w:p>
    <w:p w14:paraId="7548A12B">
      <w:pPr>
        <w:pStyle w:val="85"/>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IEEE Xplore</w:t>
      </w:r>
    </w:p>
    <w:p w14:paraId="709ABCAF">
      <w:pPr>
        <w:pStyle w:val="85"/>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ScienceDirect (Elsevier)</w:t>
      </w:r>
    </w:p>
    <w:p w14:paraId="267659F2">
      <w:pPr>
        <w:pStyle w:val="85"/>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SpringerLink</w:t>
      </w:r>
    </w:p>
    <w:p w14:paraId="6EC380F6">
      <w:pPr>
        <w:pStyle w:val="85"/>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ACM Digital Library</w:t>
      </w:r>
    </w:p>
    <w:p w14:paraId="44F3838E">
      <w:pPr>
        <w:pStyle w:val="85"/>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Wiley Online Library</w:t>
      </w:r>
    </w:p>
    <w:p w14:paraId="35104E8D">
      <w:pPr>
        <w:pStyle w:val="85"/>
        <w:keepNext w:val="0"/>
        <w:keepLines w:val="0"/>
        <w:pageBreakBefore w:val="0"/>
        <w:widowControl/>
        <w:numPr>
          <w:ilvl w:val="0"/>
          <w:numId w:val="12"/>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Google Scholar</w:t>
      </w:r>
      <w:r>
        <w:rPr>
          <w:rFonts w:hint="default" w:ascii="Times New Roman" w:hAnsi="Times New Roman" w:cs="Times New Roman"/>
          <w:b w:val="0"/>
          <w:bCs w:val="0"/>
          <w:sz w:val="24"/>
          <w:szCs w:val="24"/>
        </w:rPr>
        <w:t xml:space="preserve"> (for cross-referencing and gray literature)</w:t>
      </w:r>
    </w:p>
    <w:p w14:paraId="57DE2803">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search terms combined Boolean operators to reflect the intersection of machine learning and anomaly detection. The primary search string used across databases was:</w:t>
      </w:r>
    </w:p>
    <w:p w14:paraId="0C9E0305">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720" w:right="720"/>
        <w:jc w:val="both"/>
        <w:rPr>
          <w:rFonts w:hint="default" w:ascii="Times New Roman" w:hAnsi="Times New Roman" w:cs="Times New Roman"/>
          <w:b w:val="0"/>
          <w:bCs w:val="0"/>
          <w:sz w:val="24"/>
          <w:szCs w:val="24"/>
        </w:rPr>
      </w:pPr>
      <w:r>
        <w:rPr>
          <w:rFonts w:hint="default" w:ascii="Times New Roman" w:hAnsi="Times New Roman" w:eastAsia="SimSun" w:cs="Times New Roman"/>
          <w:b w:val="0"/>
          <w:bCs w:val="0"/>
          <w:sz w:val="24"/>
          <w:szCs w:val="24"/>
        </w:rPr>
        <w:t>(“machine learning” OR “deep learning” OR “artificial intelligence”) AND (“anomaly detection” OR “outlier detection” OR “novelty detection”) AND (“hybrid” OR “explainable” OR “interpretability” OR “adaptive” OR “concept drift” OR “cross-domain”)</w:t>
      </w:r>
    </w:p>
    <w:p w14:paraId="691FAD6B">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To ensure relevance, only peer-reviewed journal articles, conference papers, and high-impact preprints with substantive experimental or conceptual contributions were included.</w:t>
      </w:r>
    </w:p>
    <w:p w14:paraId="58573D08">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3.3 Inclusion and Exclusion Criteria</w:t>
      </w:r>
    </w:p>
    <w:p w14:paraId="76B0B4CE">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rPr>
        <w:t>S</w:t>
      </w:r>
      <w:r>
        <w:rPr>
          <w:rFonts w:hint="default" w:ascii="Times New Roman" w:hAnsi="Times New Roman" w:cs="Times New Roman"/>
          <w:b w:val="0"/>
          <w:bCs w:val="0"/>
          <w:sz w:val="24"/>
          <w:szCs w:val="24"/>
        </w:rPr>
        <w:t>tudies were screened through a three-step process—title/abstract review, full-text evaluation, and quality validation.</w:t>
      </w:r>
    </w:p>
    <w:p w14:paraId="3E06FA43">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eastAsia="SimSun" w:cs="Times New Roman"/>
          <w:b w:val="0"/>
          <w:bCs w:val="0"/>
          <w:sz w:val="24"/>
          <w:szCs w:val="24"/>
        </w:rPr>
        <w:t xml:space="preserve">After applying these criteria, </w:t>
      </w:r>
      <w:r>
        <w:rPr>
          <w:rStyle w:val="92"/>
          <w:rFonts w:hint="default" w:ascii="Times New Roman" w:hAnsi="Times New Roman" w:eastAsia="SimSun" w:cs="Times New Roman"/>
          <w:b w:val="0"/>
          <w:bCs w:val="0"/>
          <w:sz w:val="24"/>
          <w:szCs w:val="24"/>
        </w:rPr>
        <w:t>214 studies</w:t>
      </w:r>
      <w:r>
        <w:rPr>
          <w:rFonts w:hint="default" w:ascii="Times New Roman" w:hAnsi="Times New Roman" w:eastAsia="SimSun" w:cs="Times New Roman"/>
          <w:b w:val="0"/>
          <w:bCs w:val="0"/>
          <w:sz w:val="24"/>
          <w:szCs w:val="24"/>
        </w:rPr>
        <w:t xml:space="preserve"> were initially retrieved across all databases. After removing duplicates and low-quality entries, </w:t>
      </w:r>
      <w:r>
        <w:rPr>
          <w:rStyle w:val="92"/>
          <w:rFonts w:hint="default" w:ascii="Times New Roman" w:hAnsi="Times New Roman" w:eastAsia="SimSun" w:cs="Times New Roman"/>
          <w:b w:val="0"/>
          <w:bCs w:val="0"/>
          <w:sz w:val="24"/>
          <w:szCs w:val="24"/>
        </w:rPr>
        <w:t>109 studies</w:t>
      </w:r>
      <w:r>
        <w:rPr>
          <w:rFonts w:hint="default" w:ascii="Times New Roman" w:hAnsi="Times New Roman" w:eastAsia="SimSun" w:cs="Times New Roman"/>
          <w:b w:val="0"/>
          <w:bCs w:val="0"/>
          <w:sz w:val="24"/>
          <w:szCs w:val="24"/>
        </w:rPr>
        <w:t xml:space="preserve"> were retained for full-text analysis and synthesis. These papers span 2020–2025 and represent a broad range of machine learning paradigms and application domains.</w:t>
      </w:r>
    </w:p>
    <w:p w14:paraId="0E7E023F">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Style w:val="92"/>
          <w:rFonts w:hint="default" w:ascii="Times New Roman" w:hAnsi="Times New Roman" w:cs="Times New Roman"/>
          <w:b w:val="0"/>
          <w:bCs w:val="0"/>
          <w:sz w:val="24"/>
          <w:szCs w:val="24"/>
        </w:rPr>
      </w:pPr>
    </w:p>
    <w:p w14:paraId="71E0551F">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bCs/>
          <w:sz w:val="24"/>
          <w:szCs w:val="24"/>
        </w:rPr>
      </w:pPr>
      <w:r>
        <w:rPr>
          <w:rStyle w:val="92"/>
          <w:rFonts w:hint="default" w:ascii="Times New Roman" w:hAnsi="Times New Roman" w:cs="Times New Roman"/>
          <w:b/>
          <w:bCs/>
          <w:sz w:val="24"/>
          <w:szCs w:val="24"/>
        </w:rPr>
        <w:t>Inclusion Criteria (IC):</w:t>
      </w:r>
    </w:p>
    <w:p w14:paraId="01B0714C">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0" w:leftChars="0" w:hanging="600" w:hangingChars="25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IC1: The paper explicitly focuses on anomaly detection using ML or DL methods.</w:t>
      </w:r>
    </w:p>
    <w:p w14:paraId="2856AB07">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0" w:leftChars="0" w:hanging="600" w:hangingChars="25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IC2: The study was published between 2020 and 2025 in a peer-reviewed source.</w:t>
      </w:r>
    </w:p>
    <w:p w14:paraId="24D93F8F">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0" w:leftChars="0" w:hanging="600" w:hangingChars="25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IC3: The work discusses model innovation (e.g., hybridization, explainability, concept drift handling, or adaptive frameworks).</w:t>
      </w:r>
    </w:p>
    <w:p w14:paraId="3F1E301E">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0" w:leftChars="0" w:hanging="600" w:hangingChars="25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IC4: Performance metrics and experimental evaluation are reported or discussed.</w:t>
      </w:r>
    </w:p>
    <w:p w14:paraId="05F88559">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Style w:val="92"/>
          <w:rFonts w:hint="default" w:ascii="Times New Roman" w:hAnsi="Times New Roman" w:cs="Times New Roman"/>
          <w:b w:val="0"/>
          <w:bCs w:val="0"/>
          <w:sz w:val="24"/>
          <w:szCs w:val="24"/>
        </w:rPr>
      </w:pPr>
    </w:p>
    <w:p w14:paraId="11A5ED2F">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bCs/>
          <w:sz w:val="24"/>
          <w:szCs w:val="24"/>
        </w:rPr>
      </w:pPr>
      <w:r>
        <w:rPr>
          <w:rStyle w:val="92"/>
          <w:rFonts w:hint="default" w:ascii="Times New Roman" w:hAnsi="Times New Roman" w:cs="Times New Roman"/>
          <w:b/>
          <w:bCs/>
          <w:sz w:val="24"/>
          <w:szCs w:val="24"/>
        </w:rPr>
        <w:t>Exclusion Criteria (EC):</w:t>
      </w:r>
    </w:p>
    <w:p w14:paraId="2C19F857">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Fonts w:hint="default" w:ascii="Times New Roman" w:hAnsi="Times New Roman" w:cs="Times New Roman"/>
          <w:b/>
          <w:bCs/>
          <w:sz w:val="24"/>
          <w:szCs w:val="24"/>
        </w:rPr>
        <w:t>EC1</w:t>
      </w:r>
      <w:r>
        <w:rPr>
          <w:rFonts w:hint="default" w:ascii="Times New Roman" w:hAnsi="Times New Roman" w:cs="Times New Roman"/>
          <w:b w:val="0"/>
          <w:bCs w:val="0"/>
          <w:sz w:val="24"/>
          <w:szCs w:val="24"/>
        </w:rPr>
        <w:t>: Studies limited to non-ML anomaly detection (e.g., purely statistical or rule-based).</w:t>
      </w:r>
    </w:p>
    <w:p w14:paraId="504C1CC1">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Fonts w:hint="default" w:ascii="Times New Roman" w:hAnsi="Times New Roman" w:cs="Times New Roman"/>
          <w:b/>
          <w:bCs/>
          <w:sz w:val="24"/>
          <w:szCs w:val="24"/>
        </w:rPr>
        <w:t>EC2</w:t>
      </w:r>
      <w:r>
        <w:rPr>
          <w:rFonts w:hint="default" w:ascii="Times New Roman" w:hAnsi="Times New Roman" w:cs="Times New Roman"/>
          <w:b w:val="0"/>
          <w:bCs w:val="0"/>
          <w:sz w:val="24"/>
          <w:szCs w:val="24"/>
        </w:rPr>
        <w:t>: Duplicates, short communications, or non-peer-reviewed reports.</w:t>
      </w:r>
    </w:p>
    <w:p w14:paraId="2C7995D9">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Fonts w:hint="default" w:ascii="Times New Roman" w:hAnsi="Times New Roman" w:cs="Times New Roman"/>
          <w:b/>
          <w:bCs/>
          <w:sz w:val="24"/>
          <w:szCs w:val="24"/>
        </w:rPr>
        <w:t>EC3</w:t>
      </w:r>
      <w:r>
        <w:rPr>
          <w:rFonts w:hint="default" w:ascii="Times New Roman" w:hAnsi="Times New Roman" w:cs="Times New Roman"/>
          <w:b w:val="0"/>
          <w:bCs w:val="0"/>
          <w:sz w:val="24"/>
          <w:szCs w:val="24"/>
        </w:rPr>
        <w:t>: Studies focusing solely on dataset description without algorithmic contribution.</w:t>
      </w:r>
    </w:p>
    <w:p w14:paraId="6BC41EB3">
      <w:pPr>
        <w:pStyle w:val="85"/>
        <w:keepNext w:val="0"/>
        <w:keepLines w:val="0"/>
        <w:pageBreakBefore w:val="0"/>
        <w:widowControl/>
        <w:suppressLineNumbers w:val="0"/>
        <w:kinsoku/>
        <w:wordWrap/>
        <w:overflowPunct/>
        <w:topLinePunct w:val="0"/>
        <w:autoSpaceDE/>
        <w:autoSpaceDN/>
        <w:bidi w:val="0"/>
        <w:adjustRightInd/>
        <w:snapToGrid/>
        <w:spacing w:line="240" w:lineRule="auto"/>
        <w:ind w:left="602" w:leftChars="0" w:hanging="602" w:hangingChars="250"/>
        <w:jc w:val="both"/>
        <w:rPr>
          <w:rFonts w:hint="default" w:ascii="Times New Roman" w:hAnsi="Times New Roman" w:cs="Times New Roman"/>
          <w:b w:val="0"/>
          <w:bCs w:val="0"/>
          <w:sz w:val="24"/>
          <w:szCs w:val="24"/>
        </w:rPr>
      </w:pPr>
      <w:r>
        <w:rPr>
          <w:rFonts w:hint="default" w:ascii="Times New Roman" w:hAnsi="Times New Roman" w:cs="Times New Roman"/>
          <w:b/>
          <w:bCs/>
          <w:sz w:val="24"/>
          <w:szCs w:val="24"/>
        </w:rPr>
        <w:t>EC4</w:t>
      </w:r>
      <w:r>
        <w:rPr>
          <w:rFonts w:hint="default" w:ascii="Times New Roman" w:hAnsi="Times New Roman" w:cs="Times New Roman"/>
          <w:b w:val="0"/>
          <w:bCs w:val="0"/>
          <w:sz w:val="24"/>
          <w:szCs w:val="24"/>
        </w:rPr>
        <w:t>: Non-English publications.</w:t>
      </w:r>
    </w:p>
    <w:p w14:paraId="6E98E425">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After applying these criteria, </w:t>
      </w:r>
      <w:r>
        <w:rPr>
          <w:rStyle w:val="92"/>
          <w:rFonts w:hint="default" w:ascii="Times New Roman" w:hAnsi="Times New Roman" w:cs="Times New Roman"/>
          <w:b w:val="0"/>
          <w:bCs w:val="0"/>
          <w:sz w:val="24"/>
          <w:szCs w:val="24"/>
        </w:rPr>
        <w:t>173 studies</w:t>
      </w:r>
      <w:r>
        <w:rPr>
          <w:rFonts w:hint="default" w:ascii="Times New Roman" w:hAnsi="Times New Roman" w:cs="Times New Roman"/>
          <w:b w:val="0"/>
          <w:bCs w:val="0"/>
          <w:sz w:val="24"/>
          <w:szCs w:val="24"/>
        </w:rPr>
        <w:t xml:space="preserve"> were initially retrieved, and </w:t>
      </w:r>
      <w:r>
        <w:rPr>
          <w:rStyle w:val="92"/>
          <w:rFonts w:hint="default" w:ascii="Times New Roman" w:hAnsi="Times New Roman" w:cs="Times New Roman"/>
          <w:b w:val="0"/>
          <w:bCs w:val="0"/>
          <w:sz w:val="24"/>
          <w:szCs w:val="24"/>
        </w:rPr>
        <w:t>84</w:t>
      </w:r>
      <w:r>
        <w:rPr>
          <w:rFonts w:hint="default" w:ascii="Times New Roman" w:hAnsi="Times New Roman" w:cs="Times New Roman"/>
          <w:b w:val="0"/>
          <w:bCs w:val="0"/>
          <w:sz w:val="24"/>
          <w:szCs w:val="24"/>
        </w:rPr>
        <w:t xml:space="preserve"> were retained for full-text analysis and synthesis.</w:t>
      </w:r>
    </w:p>
    <w:p w14:paraId="32074793">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Style w:val="92"/>
          <w:rFonts w:hint="default" w:ascii="Times New Roman" w:hAnsi="Times New Roman" w:cs="Times New Roman"/>
          <w:b w:val="0"/>
          <w:bCs w:val="0"/>
          <w:sz w:val="24"/>
          <w:szCs w:val="24"/>
        </w:rPr>
      </w:pPr>
    </w:p>
    <w:p w14:paraId="5FC086B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3.4 Quality Assessment</w:t>
      </w:r>
    </w:p>
    <w:p w14:paraId="20355FA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To ensure the reliability of the reviewed studies, a </w:t>
      </w:r>
      <w:r>
        <w:rPr>
          <w:rStyle w:val="92"/>
          <w:rFonts w:hint="default" w:ascii="Times New Roman" w:hAnsi="Times New Roman" w:cs="Times New Roman"/>
          <w:b w:val="0"/>
          <w:bCs w:val="0"/>
          <w:sz w:val="24"/>
          <w:szCs w:val="24"/>
        </w:rPr>
        <w:t>Quality Assessment Framework (QAF)</w:t>
      </w:r>
      <w:r>
        <w:rPr>
          <w:rFonts w:hint="default" w:ascii="Times New Roman" w:hAnsi="Times New Roman" w:cs="Times New Roman"/>
          <w:b w:val="0"/>
          <w:bCs w:val="0"/>
          <w:sz w:val="24"/>
          <w:szCs w:val="24"/>
        </w:rPr>
        <w:t xml:space="preserve"> was developed based on ten evaluation indicators (adapted from </w:t>
      </w:r>
      <w:r>
        <w:rPr>
          <w:rStyle w:val="31"/>
          <w:rFonts w:hint="default" w:ascii="Times New Roman" w:hAnsi="Times New Roman" w:cs="Times New Roman"/>
          <w:b w:val="0"/>
          <w:bCs w:val="0"/>
          <w:sz w:val="24"/>
          <w:szCs w:val="24"/>
        </w:rPr>
        <w:t>Bou Nassif et al., 2021</w:t>
      </w:r>
      <w:r>
        <w:rPr>
          <w:rFonts w:hint="default" w:ascii="Times New Roman" w:hAnsi="Times New Roman" w:cs="Times New Roman"/>
          <w:b w:val="0"/>
          <w:bCs w:val="0"/>
          <w:sz w:val="24"/>
          <w:szCs w:val="24"/>
        </w:rPr>
        <w:t>). Each paper was scored from 0 to 1 for each criterion, and only studies scoring ≥5/10 were retained. The indicators included:</w:t>
      </w:r>
    </w:p>
    <w:p w14:paraId="36152391">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Clarity of objectives and research problem</w:t>
      </w:r>
    </w:p>
    <w:p w14:paraId="69937862">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Relevance to anomaly detection using ML</w:t>
      </w:r>
    </w:p>
    <w:p w14:paraId="35CDBB9C">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Description of model architecture and algorithms</w:t>
      </w:r>
    </w:p>
    <w:p w14:paraId="3FAE88E7">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Explanation of data preprocessing or feature engineering</w:t>
      </w:r>
    </w:p>
    <w:p w14:paraId="4652E4E6">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Experimental validation or case study evidence</w:t>
      </w:r>
    </w:p>
    <w:p w14:paraId="58B65F42">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Use of quantitative evaluation metrics</w:t>
      </w:r>
    </w:p>
    <w:p w14:paraId="706207EB">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Inclusion of comparative or baseline models</w:t>
      </w:r>
    </w:p>
    <w:p w14:paraId="66FDCF38">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Discussion of interpretability or adaptability</w:t>
      </w:r>
    </w:p>
    <w:p w14:paraId="5C1FC8F6">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Transparency of methodology and dataset use</w:t>
      </w:r>
    </w:p>
    <w:p w14:paraId="336908EE">
      <w:pPr>
        <w:pStyle w:val="85"/>
        <w:keepNext w:val="0"/>
        <w:keepLines w:val="0"/>
        <w:pageBreakBefore w:val="0"/>
        <w:widowControl/>
        <w:numPr>
          <w:ilvl w:val="0"/>
          <w:numId w:val="13"/>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Overall contribution to the advancement of anomaly detection research</w:t>
      </w:r>
    </w:p>
    <w:p w14:paraId="0ADA2A0C">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Quality scoring was performed independently by two reviewers, and discrepancies were resolved through consensus discussions.</w:t>
      </w:r>
    </w:p>
    <w:p w14:paraId="60B9167B">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Style w:val="92"/>
          <w:rFonts w:hint="default" w:ascii="Times New Roman" w:hAnsi="Times New Roman" w:cs="Times New Roman"/>
          <w:b w:val="0"/>
          <w:bCs w:val="0"/>
          <w:sz w:val="24"/>
          <w:szCs w:val="24"/>
        </w:rPr>
      </w:pPr>
    </w:p>
    <w:p w14:paraId="714E1C82">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Fonts w:hint="default" w:ascii="Times New Roman" w:hAnsi="Times New Roman" w:cs="Times New Roman"/>
          <w:b/>
          <w:bCs/>
          <w:sz w:val="24"/>
          <w:szCs w:val="24"/>
        </w:rPr>
      </w:pPr>
      <w:r>
        <w:rPr>
          <w:rStyle w:val="92"/>
          <w:rFonts w:hint="default" w:ascii="Times New Roman" w:hAnsi="Times New Roman" w:cs="Times New Roman"/>
          <w:b/>
          <w:bCs/>
          <w:sz w:val="24"/>
          <w:szCs w:val="24"/>
        </w:rPr>
        <w:t>3.5 Data Extraction</w:t>
      </w:r>
    </w:p>
    <w:p w14:paraId="44A58E2D">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each selected study, key information was systematically extracted using a structured data extraction form. The following attributes were recorded:</w:t>
      </w:r>
    </w:p>
    <w:p w14:paraId="5A2F02A7">
      <w:pPr>
        <w:pStyle w:val="85"/>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Bibliographic details (authors, year, publication type)</w:t>
      </w:r>
    </w:p>
    <w:p w14:paraId="09E91FAE">
      <w:pPr>
        <w:pStyle w:val="85"/>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Model type and algorithmic family (e.g., clustering, ensemble, deep learning)</w:t>
      </w:r>
    </w:p>
    <w:p w14:paraId="6BEE00BF">
      <w:pPr>
        <w:pStyle w:val="85"/>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Hybrid or optimization methods (e.g., GA, ACO, PSO, or meta-learning approaches)</w:t>
      </w:r>
    </w:p>
    <w:p w14:paraId="0BE7C156">
      <w:pPr>
        <w:pStyle w:val="85"/>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Explainability and interpretability components (e.g., feature attribution, transparency tools)</w:t>
      </w:r>
    </w:p>
    <w:p w14:paraId="1FE52223">
      <w:pPr>
        <w:pStyle w:val="85"/>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Application domain and dataset used</w:t>
      </w:r>
    </w:p>
    <w:p w14:paraId="637CC862">
      <w:pPr>
        <w:pStyle w:val="85"/>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Evaluation metrics (accuracy, precision, recall, F1, AUC, Kappa, etc.)</w:t>
      </w:r>
    </w:p>
    <w:p w14:paraId="33E2E25E">
      <w:pPr>
        <w:pStyle w:val="85"/>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Reported outcomes and comparative performance</w:t>
      </w:r>
    </w:p>
    <w:p w14:paraId="3E6628F7">
      <w:pPr>
        <w:pStyle w:val="85"/>
        <w:keepNext w:val="0"/>
        <w:keepLines w:val="0"/>
        <w:pageBreakBefore w:val="0"/>
        <w:widowControl/>
        <w:numPr>
          <w:ilvl w:val="0"/>
          <w:numId w:val="14"/>
        </w:numPr>
        <w:suppressLineNumbers w:val="0"/>
        <w:kinsoku/>
        <w:wordWrap/>
        <w:overflowPunct/>
        <w:topLinePunct w:val="0"/>
        <w:autoSpaceDE/>
        <w:autoSpaceDN/>
        <w:bidi w:val="0"/>
        <w:adjustRightInd/>
        <w:snapToGrid/>
        <w:spacing w:line="240" w:lineRule="auto"/>
        <w:ind w:left="425" w:leftChars="0" w:hanging="425"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Limitations and recommendations noted by authors</w:t>
      </w:r>
    </w:p>
    <w:p w14:paraId="6C56B70A">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data formed the basis for cross-model comparison and synthesis.</w:t>
      </w:r>
    </w:p>
    <w:p w14:paraId="0B3067DC">
      <w:pPr>
        <w:pStyle w:val="4"/>
        <w:keepNext w:val="0"/>
        <w:keepLines w:val="0"/>
        <w:pageBreakBefore w:val="0"/>
        <w:widowControl/>
        <w:suppressLineNumbers w:val="0"/>
        <w:kinsoku/>
        <w:wordWrap/>
        <w:overflowPunct/>
        <w:topLinePunct w:val="0"/>
        <w:autoSpaceDE/>
        <w:autoSpaceDN/>
        <w:bidi w:val="0"/>
        <w:adjustRightInd/>
        <w:snapToGrid/>
        <w:spacing w:before="0" w:after="0" w:line="240" w:lineRule="auto"/>
        <w:jc w:val="both"/>
        <w:rPr>
          <w:rStyle w:val="92"/>
          <w:rFonts w:hint="default" w:ascii="Times New Roman" w:hAnsi="Times New Roman" w:cs="Times New Roman"/>
          <w:b w:val="0"/>
          <w:bCs w:val="0"/>
          <w:sz w:val="24"/>
          <w:szCs w:val="24"/>
        </w:rPr>
      </w:pPr>
    </w:p>
    <w:p w14:paraId="2C08ADB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3.6 Data Synthesis</w:t>
      </w:r>
    </w:p>
    <w:p w14:paraId="4D866AC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An </w:t>
      </w:r>
      <w:r>
        <w:rPr>
          <w:rStyle w:val="92"/>
          <w:rFonts w:hint="default" w:ascii="Times New Roman" w:hAnsi="Times New Roman" w:cs="Times New Roman"/>
          <w:b w:val="0"/>
          <w:bCs w:val="0"/>
          <w:sz w:val="24"/>
          <w:szCs w:val="24"/>
        </w:rPr>
        <w:t>integrative synthesis</w:t>
      </w:r>
      <w:r>
        <w:rPr>
          <w:rFonts w:hint="default" w:ascii="Times New Roman" w:hAnsi="Times New Roman" w:cs="Times New Roman"/>
          <w:b w:val="0"/>
          <w:bCs w:val="0"/>
          <w:sz w:val="24"/>
          <w:szCs w:val="24"/>
        </w:rPr>
        <w:t xml:space="preserve"> approach was adopted to combine qualitative and quantitative evidence. Studies were grouped according to </w:t>
      </w:r>
      <w:r>
        <w:rPr>
          <w:rStyle w:val="92"/>
          <w:rFonts w:hint="default" w:ascii="Times New Roman" w:hAnsi="Times New Roman" w:cs="Times New Roman"/>
          <w:b w:val="0"/>
          <w:bCs w:val="0"/>
          <w:sz w:val="24"/>
          <w:szCs w:val="24"/>
        </w:rPr>
        <w:t>algorithmic category</w:t>
      </w:r>
      <w:r>
        <w:rPr>
          <w:rFonts w:hint="default" w:ascii="Times New Roman" w:hAnsi="Times New Roman" w:cs="Times New Roman"/>
          <w:b w:val="0"/>
          <w:bCs w:val="0"/>
          <w:sz w:val="24"/>
          <w:szCs w:val="24"/>
        </w:rPr>
        <w:t xml:space="preserve"> (e.g., clustering, ensemble, neural, hybrid), </w:t>
      </w:r>
      <w:r>
        <w:rPr>
          <w:rStyle w:val="92"/>
          <w:rFonts w:hint="default" w:ascii="Times New Roman" w:hAnsi="Times New Roman" w:cs="Times New Roman"/>
          <w:b w:val="0"/>
          <w:bCs w:val="0"/>
          <w:sz w:val="24"/>
          <w:szCs w:val="24"/>
        </w:rPr>
        <w:t>domain</w:t>
      </w:r>
      <w:r>
        <w:rPr>
          <w:rFonts w:hint="default" w:ascii="Times New Roman" w:hAnsi="Times New Roman" w:cs="Times New Roman"/>
          <w:b w:val="0"/>
          <w:bCs w:val="0"/>
          <w:sz w:val="24"/>
          <w:szCs w:val="24"/>
        </w:rPr>
        <w:t xml:space="preserve"> (e.g., cybersecurity, industrial, geochemical, renewable energy), and </w:t>
      </w:r>
      <w:r>
        <w:rPr>
          <w:rStyle w:val="92"/>
          <w:rFonts w:hint="default" w:ascii="Times New Roman" w:hAnsi="Times New Roman" w:cs="Times New Roman"/>
          <w:b w:val="0"/>
          <w:bCs w:val="0"/>
          <w:sz w:val="24"/>
          <w:szCs w:val="24"/>
        </w:rPr>
        <w:t>interpretability level</w:t>
      </w:r>
      <w:r>
        <w:rPr>
          <w:rFonts w:hint="default" w:ascii="Times New Roman" w:hAnsi="Times New Roman" w:cs="Times New Roman"/>
          <w:b w:val="0"/>
          <w:bCs w:val="0"/>
          <w:sz w:val="24"/>
          <w:szCs w:val="24"/>
        </w:rPr>
        <w:t>. Both narrative and tabular analyses were employed to capture emerging trends and identify research gaps.</w:t>
      </w:r>
    </w:p>
    <w:p w14:paraId="24674E53">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Special emphasis was placed on mapping:</w:t>
      </w:r>
    </w:p>
    <w:p w14:paraId="7B333241">
      <w:pPr>
        <w:pStyle w:val="85"/>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420" w:leftChars="0" w:hanging="420"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Model evolution (e.g., Isolation Forest → Fuzzy IF → DIFFI → RIFIFI → ALIF)</w:t>
      </w:r>
    </w:p>
    <w:p w14:paraId="544A5EE9">
      <w:pPr>
        <w:pStyle w:val="85"/>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420" w:leftChars="0" w:hanging="420"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Performance metrics by domain</w:t>
      </w:r>
    </w:p>
    <w:p w14:paraId="07FA030C">
      <w:pPr>
        <w:pStyle w:val="85"/>
        <w:keepNext w:val="0"/>
        <w:keepLines w:val="0"/>
        <w:pageBreakBefore w:val="0"/>
        <w:widowControl/>
        <w:numPr>
          <w:ilvl w:val="0"/>
          <w:numId w:val="15"/>
        </w:numPr>
        <w:suppressLineNumbers w:val="0"/>
        <w:kinsoku/>
        <w:wordWrap/>
        <w:overflowPunct/>
        <w:topLinePunct w:val="0"/>
        <w:autoSpaceDE/>
        <w:autoSpaceDN/>
        <w:bidi w:val="0"/>
        <w:adjustRightInd/>
        <w:snapToGrid/>
        <w:spacing w:line="240" w:lineRule="auto"/>
        <w:ind w:left="420" w:leftChars="0" w:hanging="420" w:firstLineChars="0"/>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Incorporation of explainability and adaptability features</w:t>
      </w:r>
    </w:p>
    <w:p w14:paraId="3EDF1914">
      <w:pPr>
        <w:pStyle w:val="85"/>
        <w:keepNext w:val="0"/>
        <w:keepLines w:val="0"/>
        <w:pageBreakBefore w:val="0"/>
        <w:widowControl/>
        <w:suppressLineNumbers w:val="0"/>
        <w:kinsoku/>
        <w:wordWrap/>
        <w:overflowPunct/>
        <w:topLinePunct w:val="0"/>
        <w:autoSpaceDE/>
        <w:autoSpaceDN/>
        <w:bidi w:val="0"/>
        <w:adjustRightInd/>
        <w:snapToGrid/>
        <w:spacing w:line="240" w:lineRule="auto"/>
        <w:jc w:val="both"/>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This synthesis framework enabled the construction of a </w:t>
      </w:r>
      <w:r>
        <w:rPr>
          <w:rStyle w:val="92"/>
          <w:rFonts w:hint="default" w:ascii="Times New Roman" w:hAnsi="Times New Roman" w:cs="Times New Roman"/>
          <w:b w:val="0"/>
          <w:bCs w:val="0"/>
          <w:sz w:val="24"/>
          <w:szCs w:val="24"/>
        </w:rPr>
        <w:t>conceptual taxonomy</w:t>
      </w:r>
      <w:r>
        <w:rPr>
          <w:rFonts w:hint="default" w:ascii="Times New Roman" w:hAnsi="Times New Roman" w:cs="Times New Roman"/>
          <w:b w:val="0"/>
          <w:bCs w:val="0"/>
          <w:sz w:val="24"/>
          <w:szCs w:val="24"/>
        </w:rPr>
        <w:t xml:space="preserve"> of post-2020 ML models for anomaly detection, discussed in Section 4.</w:t>
      </w:r>
    </w:p>
    <w:p w14:paraId="17E98B5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Style w:val="92"/>
          <w:rFonts w:hint="default" w:ascii="Times New Roman" w:hAnsi="Times New Roman" w:cs="Times New Roman"/>
          <w:b w:val="0"/>
          <w:bCs w:val="0"/>
          <w:sz w:val="24"/>
          <w:szCs w:val="24"/>
        </w:rPr>
      </w:pPr>
    </w:p>
    <w:p w14:paraId="2AE1950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3.7 Methodological Validity and Limitations</w:t>
      </w:r>
    </w:p>
    <w:p w14:paraId="5FEC73D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Although this review followed a systematic and reproducible methodology, certain limitations remain. Publication bias may exist due to reliance on English-language databases, and not all emerging preprints may have been captured. Additionally, the diversity of metrics and datasets complicates direct cross-study comparisons. Nonetheless, the multi-database search and quality assessment framework mitigate these limitations by ensuring comprehensive coverage and methodological rigor.</w:t>
      </w:r>
    </w:p>
    <w:p w14:paraId="57CF7903">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47D0FB49">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 Results and Synthesis</w:t>
      </w:r>
    </w:p>
    <w:p w14:paraId="0C46D89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section presents the results of the integrative review and synthesizes the key developments in machine learning (ML) models for anomaly detection between 2020 and 2025. The findings are organized by algorithmic family, innovation type, and interpretability level, followed by cross-domain applications and metric analysis. Collectively, the synthesis reveals an accelerating evolution toward hybrid, interpretable, and adaptive ML systems that address the limitations identified in earlier reviews.</w:t>
      </w:r>
    </w:p>
    <w:p w14:paraId="69BEF4C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744DA2A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4.1 Overview of Selected Studies</w:t>
      </w:r>
    </w:p>
    <w:p w14:paraId="7D751CEE">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eastAsia="SimSun" w:cs="Times New Roman"/>
          <w:b w:val="0"/>
          <w:bCs w:val="0"/>
          <w:sz w:val="24"/>
          <w:szCs w:val="24"/>
        </w:rPr>
        <w:t xml:space="preserve">From the </w:t>
      </w:r>
      <w:r>
        <w:rPr>
          <w:rStyle w:val="92"/>
          <w:rFonts w:hint="default" w:ascii="Times New Roman" w:hAnsi="Times New Roman" w:eastAsia="SimSun" w:cs="Times New Roman"/>
          <w:b w:val="0"/>
          <w:bCs w:val="0"/>
          <w:sz w:val="24"/>
          <w:szCs w:val="24"/>
        </w:rPr>
        <w:t>109 papers</w:t>
      </w:r>
      <w:r>
        <w:rPr>
          <w:rFonts w:hint="default" w:ascii="Times New Roman" w:hAnsi="Times New Roman" w:eastAsia="SimSun" w:cs="Times New Roman"/>
          <w:b w:val="0"/>
          <w:bCs w:val="0"/>
          <w:sz w:val="24"/>
          <w:szCs w:val="24"/>
        </w:rPr>
        <w:t xml:space="preserve"> that met the inclusion and quality assessment criteria, six major algorithmic categories were identified: </w:t>
      </w:r>
    </w:p>
    <w:p w14:paraId="13131A86">
      <w:pPr>
        <w:pStyle w:val="85"/>
        <w:keepNext w:val="0"/>
        <w:keepLines w:val="0"/>
        <w:pageBreakBefore w:val="0"/>
        <w:widowControl/>
        <w:numPr>
          <w:ilvl w:val="0"/>
          <w:numId w:val="16"/>
        </w:numPr>
        <w:suppressLineNumbers w:val="0"/>
        <w:kinsoku/>
        <w:wordWrap/>
        <w:overflowPunct/>
        <w:topLinePunct w:val="0"/>
        <w:autoSpaceDE/>
        <w:autoSpaceDN/>
        <w:bidi w:val="0"/>
        <w:adjustRightInd/>
        <w:snapToGrid/>
        <w:spacing w:beforeAutospacing="0" w:afterAutospacing="0" w:line="240" w:lineRule="auto"/>
        <w:ind w:left="425" w:leftChars="0" w:hanging="425"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Clustering-based models</w:t>
      </w:r>
    </w:p>
    <w:p w14:paraId="1C264A74">
      <w:pPr>
        <w:pStyle w:val="85"/>
        <w:keepNext w:val="0"/>
        <w:keepLines w:val="0"/>
        <w:pageBreakBefore w:val="0"/>
        <w:widowControl/>
        <w:numPr>
          <w:ilvl w:val="0"/>
          <w:numId w:val="16"/>
        </w:numPr>
        <w:suppressLineNumbers w:val="0"/>
        <w:kinsoku/>
        <w:wordWrap/>
        <w:overflowPunct/>
        <w:topLinePunct w:val="0"/>
        <w:autoSpaceDE/>
        <w:autoSpaceDN/>
        <w:bidi w:val="0"/>
        <w:adjustRightInd/>
        <w:snapToGrid/>
        <w:spacing w:beforeAutospacing="0" w:afterAutospacing="0" w:line="240" w:lineRule="auto"/>
        <w:ind w:left="425" w:leftChars="0" w:hanging="425"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Classification and Support Vector Machine (SVM) variants</w:t>
      </w:r>
    </w:p>
    <w:p w14:paraId="22281363">
      <w:pPr>
        <w:pStyle w:val="85"/>
        <w:keepNext w:val="0"/>
        <w:keepLines w:val="0"/>
        <w:pageBreakBefore w:val="0"/>
        <w:widowControl/>
        <w:numPr>
          <w:ilvl w:val="0"/>
          <w:numId w:val="16"/>
        </w:numPr>
        <w:suppressLineNumbers w:val="0"/>
        <w:kinsoku/>
        <w:wordWrap/>
        <w:overflowPunct/>
        <w:topLinePunct w:val="0"/>
        <w:autoSpaceDE/>
        <w:autoSpaceDN/>
        <w:bidi w:val="0"/>
        <w:adjustRightInd/>
        <w:snapToGrid/>
        <w:spacing w:beforeAutospacing="0" w:afterAutospacing="0" w:line="240" w:lineRule="auto"/>
        <w:ind w:left="425" w:leftChars="0" w:hanging="425"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Ensemble and tree-based algorithms</w:t>
      </w:r>
    </w:p>
    <w:p w14:paraId="17EE52D6">
      <w:pPr>
        <w:pStyle w:val="85"/>
        <w:keepNext w:val="0"/>
        <w:keepLines w:val="0"/>
        <w:pageBreakBefore w:val="0"/>
        <w:widowControl/>
        <w:numPr>
          <w:ilvl w:val="0"/>
          <w:numId w:val="16"/>
        </w:numPr>
        <w:suppressLineNumbers w:val="0"/>
        <w:kinsoku/>
        <w:wordWrap/>
        <w:overflowPunct/>
        <w:topLinePunct w:val="0"/>
        <w:autoSpaceDE/>
        <w:autoSpaceDN/>
        <w:bidi w:val="0"/>
        <w:adjustRightInd/>
        <w:snapToGrid/>
        <w:spacing w:beforeAutospacing="0" w:afterAutospacing="0" w:line="240" w:lineRule="auto"/>
        <w:ind w:left="425" w:leftChars="0" w:hanging="425"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Autoencoder and deep neural models</w:t>
      </w:r>
    </w:p>
    <w:p w14:paraId="38E5A11B">
      <w:pPr>
        <w:pStyle w:val="85"/>
        <w:keepNext w:val="0"/>
        <w:keepLines w:val="0"/>
        <w:pageBreakBefore w:val="0"/>
        <w:widowControl/>
        <w:numPr>
          <w:ilvl w:val="0"/>
          <w:numId w:val="16"/>
        </w:numPr>
        <w:suppressLineNumbers w:val="0"/>
        <w:kinsoku/>
        <w:wordWrap/>
        <w:overflowPunct/>
        <w:topLinePunct w:val="0"/>
        <w:autoSpaceDE/>
        <w:autoSpaceDN/>
        <w:bidi w:val="0"/>
        <w:adjustRightInd/>
        <w:snapToGrid/>
        <w:spacing w:beforeAutospacing="0" w:afterAutospacing="0" w:line="240" w:lineRule="auto"/>
        <w:ind w:left="425" w:leftChars="0" w:hanging="425"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Explainable and interpretable frameworks</w:t>
      </w:r>
    </w:p>
    <w:p w14:paraId="0C8CD2A3">
      <w:pPr>
        <w:pStyle w:val="85"/>
        <w:keepNext w:val="0"/>
        <w:keepLines w:val="0"/>
        <w:pageBreakBefore w:val="0"/>
        <w:widowControl/>
        <w:numPr>
          <w:ilvl w:val="0"/>
          <w:numId w:val="16"/>
        </w:numPr>
        <w:suppressLineNumbers w:val="0"/>
        <w:kinsoku/>
        <w:wordWrap/>
        <w:overflowPunct/>
        <w:topLinePunct w:val="0"/>
        <w:autoSpaceDE/>
        <w:autoSpaceDN/>
        <w:bidi w:val="0"/>
        <w:adjustRightInd/>
        <w:snapToGrid/>
        <w:spacing w:beforeAutospacing="0" w:afterAutospacing="0" w:line="240" w:lineRule="auto"/>
        <w:ind w:left="425" w:leftChars="0" w:hanging="425"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Hybrid and optimization-driven methods</w:t>
      </w:r>
    </w:p>
    <w:p w14:paraId="55E5960E">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6618048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eastAsia="SimSun" w:cs="Times New Roman"/>
          <w:b w:val="0"/>
          <w:bCs w:val="0"/>
          <w:sz w:val="24"/>
          <w:szCs w:val="24"/>
        </w:rPr>
        <w:t>Collectively, these studies demonstrate the diversification of ML techniques for anomaly detection across domains and the rise of hybrid and interpretable architectures post-2020.</w:t>
      </w:r>
    </w:p>
    <w:p w14:paraId="16EE6C9D">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SimSun" w:cs="Times New Roman"/>
          <w:b w:val="0"/>
          <w:bCs w:val="0"/>
          <w:sz w:val="24"/>
          <w:szCs w:val="24"/>
        </w:rPr>
      </w:pPr>
    </w:p>
    <w:p w14:paraId="46CA3CC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SimSun" w:cs="Times New Roman"/>
          <w:b w:val="0"/>
          <w:bCs w:val="0"/>
          <w:sz w:val="24"/>
          <w:szCs w:val="24"/>
        </w:rPr>
      </w:pPr>
      <w:r>
        <w:rPr>
          <w:rFonts w:hint="default" w:ascii="Times New Roman" w:hAnsi="Times New Roman" w:eastAsia="SimSun" w:cs="Times New Roman"/>
          <w:b w:val="0"/>
          <w:bCs w:val="0"/>
          <w:sz w:val="24"/>
          <w:szCs w:val="24"/>
        </w:rPr>
        <w:t>The detailed mapping of these 109 studies, including authors, algorithms, evaluation metrics, and outcomes, is presented in Table 1 (Appendix A). This table forms the empirical foundation for the synthesis and taxonomy presented in Sections 4 and 5.</w:t>
      </w:r>
    </w:p>
    <w:p w14:paraId="7570586F">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SimSun" w:cs="Times New Roman"/>
          <w:b w:val="0"/>
          <w:bCs w:val="0"/>
          <w:sz w:val="24"/>
          <w:szCs w:val="24"/>
        </w:rPr>
      </w:pPr>
    </w:p>
    <w:p w14:paraId="028E3630">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eastAsia="SimSun" w:cs="Times New Roman"/>
          <w:b w:val="0"/>
          <w:bCs w:val="0"/>
          <w:sz w:val="24"/>
          <w:szCs w:val="24"/>
          <w:lang w:val="en-US"/>
        </w:rPr>
      </w:pPr>
      <w:r>
        <w:rPr>
          <w:rFonts w:hint="default" w:ascii="Times New Roman" w:hAnsi="Times New Roman" w:eastAsia="SimSun" w:cs="Times New Roman"/>
          <w:b w:val="0"/>
          <w:bCs w:val="0"/>
          <w:sz w:val="24"/>
          <w:szCs w:val="24"/>
          <w:lang w:val="en-US"/>
        </w:rPr>
        <w:drawing>
          <wp:inline distT="0" distB="0" distL="114300" distR="114300">
            <wp:extent cx="5273040" cy="3675380"/>
            <wp:effectExtent l="0" t="0" r="0" b="0"/>
            <wp:docPr id="1" name="Picture 1" descr="figure1_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1_distribution"/>
                    <pic:cNvPicPr>
                      <a:picLocks noChangeAspect="1"/>
                    </pic:cNvPicPr>
                  </pic:nvPicPr>
                  <pic:blipFill>
                    <a:blip r:embed="rId4"/>
                    <a:srcRect t="7065"/>
                    <a:stretch>
                      <a:fillRect/>
                    </a:stretch>
                  </pic:blipFill>
                  <pic:spPr>
                    <a:xfrm>
                      <a:off x="0" y="0"/>
                      <a:ext cx="5273040" cy="3675380"/>
                    </a:xfrm>
                    <a:prstGeom prst="rect">
                      <a:avLst/>
                    </a:prstGeom>
                  </pic:spPr>
                </pic:pic>
              </a:graphicData>
            </a:graphic>
          </wp:inline>
        </w:drawing>
      </w:r>
    </w:p>
    <w:p w14:paraId="662A5780">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eastAsia="SimSun" w:cs="Times New Roman"/>
          <w:i/>
          <w:iCs/>
          <w:sz w:val="24"/>
          <w:szCs w:val="24"/>
        </w:rPr>
      </w:pPr>
      <w:r>
        <w:rPr>
          <w:rFonts w:hint="default" w:ascii="Times New Roman" w:hAnsi="Times New Roman" w:eastAsia="SimSun" w:cs="Times New Roman"/>
          <w:i/>
          <w:iCs/>
          <w:sz w:val="24"/>
          <w:szCs w:val="24"/>
        </w:rPr>
        <w:t>Figure 1: Distribution of studies across machine learning categories (2020–2025), illustrating the dominance of traditional classifiers in earlier works and the increasing adoption of hybrid, deep learning, and explainable anomaly detection approaches in recent years.</w:t>
      </w:r>
    </w:p>
    <w:p w14:paraId="1817B17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SimSun" w:hAnsi="SimSun" w:eastAsia="SimSun" w:cs="SimSun"/>
          <w:sz w:val="24"/>
          <w:szCs w:val="24"/>
        </w:rPr>
      </w:pPr>
    </w:p>
    <w:p w14:paraId="7C0D9A40">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Figure 1 conceptually illustrates the distribution of studies across these categories, showing a clear post-2020 rise in hybrid and explainable approaches compared to earlier periods dominated by traditional classifiers.</w:t>
      </w:r>
    </w:p>
    <w:p w14:paraId="1F78A93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3202CCB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1.1</w:t>
      </w:r>
      <w:r>
        <w:rPr>
          <w:rStyle w:val="92"/>
          <w:rFonts w:hint="default" w:ascii="Times New Roman" w:hAnsi="Times New Roman" w:cs="Times New Roman"/>
          <w:b/>
          <w:bCs/>
          <w:sz w:val="24"/>
          <w:szCs w:val="24"/>
        </w:rPr>
        <w:t xml:space="preserve"> Clustering-Based Algorithms</w:t>
      </w:r>
    </w:p>
    <w:p w14:paraId="20ABB59A">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Clustering remains a foundational technique for unsupervised anomaly detection, particularly in industrial, sensor, and environmental datasets. Post-2020 studies reveal a strong focus on improving clustering </w:t>
      </w:r>
      <w:r>
        <w:rPr>
          <w:rStyle w:val="92"/>
          <w:rFonts w:hint="default" w:ascii="Times New Roman" w:hAnsi="Times New Roman" w:cs="Times New Roman"/>
          <w:b w:val="0"/>
          <w:bCs w:val="0"/>
          <w:sz w:val="24"/>
          <w:szCs w:val="24"/>
        </w:rPr>
        <w:t>adaptivity and scalability</w:t>
      </w:r>
      <w:r>
        <w:rPr>
          <w:rFonts w:hint="default" w:ascii="Times New Roman" w:hAnsi="Times New Roman" w:cs="Times New Roman"/>
          <w:b w:val="0"/>
          <w:bCs w:val="0"/>
          <w:sz w:val="24"/>
          <w:szCs w:val="24"/>
        </w:rPr>
        <w:t>.</w:t>
      </w:r>
    </w:p>
    <w:p w14:paraId="2703AF83">
      <w:pPr>
        <w:pStyle w:val="85"/>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K-DBSCAN (Ma et al., 2023)</w:t>
      </w:r>
      <w:r>
        <w:rPr>
          <w:rFonts w:hint="default" w:ascii="Times New Roman" w:hAnsi="Times New Roman" w:cs="Times New Roman"/>
          <w:b w:val="0"/>
          <w:bCs w:val="0"/>
          <w:sz w:val="24"/>
          <w:szCs w:val="24"/>
        </w:rPr>
        <w:t xml:space="preserve"> introduced automatic parameter selection and core-point traversal to address DBSCAN’s inefficiency in large datasets with variable densities.</w:t>
      </w:r>
    </w:p>
    <w:p w14:paraId="31BB12F3">
      <w:pPr>
        <w:pStyle w:val="85"/>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GWOKM (Daviran et al., 2024)</w:t>
      </w:r>
      <w:r>
        <w:rPr>
          <w:rFonts w:hint="default" w:ascii="Times New Roman" w:hAnsi="Times New Roman" w:cs="Times New Roman"/>
          <w:b w:val="0"/>
          <w:bCs w:val="0"/>
          <w:sz w:val="24"/>
          <w:szCs w:val="24"/>
        </w:rPr>
        <w:t xml:space="preserve"> integrated the Grey Wolf Optimizer (GWO) with K-Means to enhance convergence and robustness in geochemical anomaly detection.</w:t>
      </w:r>
    </w:p>
    <w:p w14:paraId="2271BAD7">
      <w:pPr>
        <w:pStyle w:val="85"/>
        <w:keepNext w:val="0"/>
        <w:keepLines w:val="0"/>
        <w:pageBreakBefore w:val="0"/>
        <w:widowControl/>
        <w:numPr>
          <w:ilvl w:val="0"/>
          <w:numId w:val="17"/>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Singularity mapping with K-Means (Gonçalves et al., 2024)</w:t>
      </w:r>
      <w:r>
        <w:rPr>
          <w:rFonts w:hint="default" w:ascii="Times New Roman" w:hAnsi="Times New Roman" w:cs="Times New Roman"/>
          <w:b w:val="0"/>
          <w:bCs w:val="0"/>
          <w:sz w:val="24"/>
          <w:szCs w:val="24"/>
        </w:rPr>
        <w:t xml:space="preserve"> improved the identification of mineral anomalies by incorporating spatial domain knowledge.</w:t>
      </w:r>
    </w:p>
    <w:p w14:paraId="468D647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73AC59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4775200" cy="1626870"/>
            <wp:effectExtent l="0" t="0" r="0" b="0"/>
            <wp:docPr id="2" name="Picture 2" descr="figure2_clus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2_clustering"/>
                    <pic:cNvPicPr>
                      <a:picLocks noChangeAspect="1"/>
                    </pic:cNvPicPr>
                  </pic:nvPicPr>
                  <pic:blipFill>
                    <a:blip r:embed="rId5"/>
                    <a:srcRect l="4219" t="26083" r="5124" b="25877"/>
                    <a:stretch>
                      <a:fillRect/>
                    </a:stretch>
                  </pic:blipFill>
                  <pic:spPr>
                    <a:xfrm>
                      <a:off x="0" y="0"/>
                      <a:ext cx="4775200" cy="1626870"/>
                    </a:xfrm>
                    <a:prstGeom prst="rect">
                      <a:avLst/>
                    </a:prstGeom>
                  </pic:spPr>
                </pic:pic>
              </a:graphicData>
            </a:graphic>
          </wp:inline>
        </w:drawing>
      </w:r>
    </w:p>
    <w:p w14:paraId="6A186DD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7C481D3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i/>
          <w:iCs/>
          <w:sz w:val="24"/>
          <w:szCs w:val="24"/>
        </w:rPr>
      </w:pPr>
      <w:r>
        <w:rPr>
          <w:rFonts w:hint="default" w:ascii="Times New Roman" w:hAnsi="Times New Roman" w:eastAsia="SimSun" w:cs="Times New Roman"/>
          <w:b/>
          <w:bCs/>
          <w:i/>
          <w:iCs/>
          <w:sz w:val="24"/>
          <w:szCs w:val="24"/>
        </w:rPr>
        <w:t xml:space="preserve">Figure 2: </w:t>
      </w:r>
      <w:r>
        <w:rPr>
          <w:rFonts w:hint="default" w:ascii="Times New Roman" w:hAnsi="Times New Roman" w:eastAsia="SimSun" w:cs="Times New Roman"/>
          <w:i/>
          <w:iCs/>
          <w:sz w:val="24"/>
          <w:szCs w:val="24"/>
        </w:rPr>
        <w:t>Conceptual overview of post-2020 clustering-based anomaly detection models, highlighting advancements in adaptivity, scalability, and domain-specific optimization through K-DBSCAN, GWOKM, and singularity-based K-Means approaches.</w:t>
      </w:r>
    </w:p>
    <w:p w14:paraId="76DC00E9">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371484A3">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These works demonstrate a movement away from static clustering toward </w:t>
      </w:r>
      <w:r>
        <w:rPr>
          <w:rStyle w:val="92"/>
          <w:rFonts w:hint="default" w:ascii="Times New Roman" w:hAnsi="Times New Roman" w:cs="Times New Roman"/>
          <w:b w:val="0"/>
          <w:bCs w:val="0"/>
          <w:sz w:val="24"/>
          <w:szCs w:val="24"/>
        </w:rPr>
        <w:t>meta-optimized and domain-specific clustering frameworks</w:t>
      </w:r>
      <w:r>
        <w:rPr>
          <w:rFonts w:hint="default" w:ascii="Times New Roman" w:hAnsi="Times New Roman" w:cs="Times New Roman"/>
          <w:b w:val="0"/>
          <w:bCs w:val="0"/>
          <w:sz w:val="24"/>
          <w:szCs w:val="24"/>
        </w:rPr>
        <w:t xml:space="preserve">. Efficiency gains were typically validated through </w:t>
      </w:r>
      <w:r>
        <w:rPr>
          <w:rStyle w:val="92"/>
          <w:rFonts w:hint="default" w:ascii="Times New Roman" w:hAnsi="Times New Roman" w:cs="Times New Roman"/>
          <w:b w:val="0"/>
          <w:bCs w:val="0"/>
          <w:sz w:val="24"/>
          <w:szCs w:val="24"/>
        </w:rPr>
        <w:t>running time, Silhouette Coefficients, and clustering accuracy</w:t>
      </w:r>
      <w:r>
        <w:rPr>
          <w:rFonts w:hint="default" w:ascii="Times New Roman" w:hAnsi="Times New Roman" w:cs="Times New Roman"/>
          <w:b w:val="0"/>
          <w:bCs w:val="0"/>
          <w:sz w:val="24"/>
          <w:szCs w:val="24"/>
        </w:rPr>
        <w:t>, marking an evolution beyond classical density- or distance-based methods.</w:t>
      </w:r>
    </w:p>
    <w:p w14:paraId="535663B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5B74BEA5">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1.2</w:t>
      </w:r>
      <w:r>
        <w:rPr>
          <w:rStyle w:val="92"/>
          <w:rFonts w:hint="default" w:ascii="Times New Roman" w:hAnsi="Times New Roman" w:cs="Times New Roman"/>
          <w:b/>
          <w:bCs/>
          <w:sz w:val="24"/>
          <w:szCs w:val="24"/>
        </w:rPr>
        <w:t xml:space="preserve"> Classification and SVM-Based Models</w:t>
      </w:r>
    </w:p>
    <w:p w14:paraId="2BDA0C89">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SVM continues to play a central role in anomaly detection research, especially in cybersecurity and industrial monitoring. The post-2020 literature extends its functionality through </w:t>
      </w:r>
      <w:r>
        <w:rPr>
          <w:rStyle w:val="92"/>
          <w:rFonts w:hint="default" w:ascii="Times New Roman" w:hAnsi="Times New Roman" w:cs="Times New Roman"/>
          <w:b w:val="0"/>
          <w:bCs w:val="0"/>
          <w:sz w:val="24"/>
          <w:szCs w:val="24"/>
        </w:rPr>
        <w:t>enhanced multiclass classification</w:t>
      </w:r>
      <w:r>
        <w:rPr>
          <w:rFonts w:hint="default" w:ascii="Times New Roman" w:hAnsi="Times New Roman" w:cs="Times New Roman"/>
          <w:b w:val="0"/>
          <w:bCs w:val="0"/>
          <w:sz w:val="24"/>
          <w:szCs w:val="24"/>
        </w:rPr>
        <w:t xml:space="preserve"> and </w:t>
      </w:r>
      <w:r>
        <w:rPr>
          <w:rStyle w:val="92"/>
          <w:rFonts w:hint="default" w:ascii="Times New Roman" w:hAnsi="Times New Roman" w:cs="Times New Roman"/>
          <w:b w:val="0"/>
          <w:bCs w:val="0"/>
          <w:sz w:val="24"/>
          <w:szCs w:val="24"/>
        </w:rPr>
        <w:t>parameter optimization</w:t>
      </w:r>
      <w:r>
        <w:rPr>
          <w:rFonts w:hint="default" w:ascii="Times New Roman" w:hAnsi="Times New Roman" w:cs="Times New Roman"/>
          <w:b w:val="0"/>
          <w:bCs w:val="0"/>
          <w:sz w:val="24"/>
          <w:szCs w:val="24"/>
        </w:rPr>
        <w:t>:</w:t>
      </w:r>
    </w:p>
    <w:p w14:paraId="3869D668">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Enhanced Multiclass SVM (EMSVM)</w:t>
      </w:r>
      <w:r>
        <w:rPr>
          <w:rFonts w:hint="default" w:ascii="Times New Roman" w:hAnsi="Times New Roman" w:cs="Times New Roman"/>
          <w:b w:val="0"/>
          <w:bCs w:val="0"/>
          <w:sz w:val="24"/>
          <w:szCs w:val="24"/>
        </w:rPr>
        <w:t xml:space="preserve"> (Mustafa &amp; Mohammad, 2022) employed automated hyperparameter selection, outperforming neural and Bayesian counterparts.</w:t>
      </w:r>
    </w:p>
    <w:p w14:paraId="54B21D38">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H</w:t>
      </w:r>
      <w:r>
        <w:rPr>
          <w:rStyle w:val="92"/>
          <w:rFonts w:hint="default" w:ascii="Times New Roman" w:hAnsi="Times New Roman" w:cs="Times New Roman"/>
          <w:b w:val="0"/>
          <w:bCs w:val="0"/>
          <w:color w:val="FF0000"/>
          <w:sz w:val="24"/>
          <w:szCs w:val="24"/>
        </w:rPr>
        <w:t>ybrid SVM frameworks</w:t>
      </w:r>
      <w:r>
        <w:rPr>
          <w:rFonts w:hint="default" w:ascii="Times New Roman" w:hAnsi="Times New Roman" w:cs="Times New Roman"/>
          <w:b w:val="0"/>
          <w:bCs w:val="0"/>
          <w:color w:val="FF0000"/>
          <w:sz w:val="24"/>
          <w:szCs w:val="24"/>
        </w:rPr>
        <w:t xml:space="preserve"> incorporating genetic algorithms (GA) or concept drift detection (e.g., Jain et al., </w:t>
      </w:r>
      <w:r>
        <w:rPr>
          <w:rFonts w:hint="default" w:ascii="Times New Roman" w:hAnsi="Times New Roman" w:cs="Times New Roman"/>
          <w:b w:val="0"/>
          <w:bCs w:val="0"/>
          <w:sz w:val="24"/>
          <w:szCs w:val="24"/>
        </w:rPr>
        <w:t>2022) addressed the instability of static models in dynamic data streams.</w:t>
      </w:r>
    </w:p>
    <w:p w14:paraId="7C41010D">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Subspace Intersection SVMs (Ma et al., 2024)</w:t>
      </w:r>
      <w:r>
        <w:rPr>
          <w:rFonts w:hint="default" w:ascii="Times New Roman" w:hAnsi="Times New Roman" w:cs="Times New Roman"/>
          <w:b w:val="0"/>
          <w:bCs w:val="0"/>
          <w:sz w:val="24"/>
          <w:szCs w:val="24"/>
        </w:rPr>
        <w:t xml:space="preserve"> combined SVMs with genetic algorithms to improve fault detection in large-scale systems with incomplete system matrices.</w:t>
      </w:r>
    </w:p>
    <w:p w14:paraId="3D00326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4299585" cy="1744980"/>
            <wp:effectExtent l="0" t="0" r="0" b="0"/>
            <wp:docPr id="3" name="Picture 3" descr="figure3_svm_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3_svm_models"/>
                    <pic:cNvPicPr>
                      <a:picLocks noChangeAspect="1"/>
                    </pic:cNvPicPr>
                  </pic:nvPicPr>
                  <pic:blipFill>
                    <a:blip r:embed="rId6"/>
                    <a:srcRect t="9208" b="23847"/>
                    <a:stretch>
                      <a:fillRect/>
                    </a:stretch>
                  </pic:blipFill>
                  <pic:spPr>
                    <a:xfrm>
                      <a:off x="0" y="0"/>
                      <a:ext cx="4299585" cy="1744980"/>
                    </a:xfrm>
                    <a:prstGeom prst="rect">
                      <a:avLst/>
                    </a:prstGeom>
                  </pic:spPr>
                </pic:pic>
              </a:graphicData>
            </a:graphic>
          </wp:inline>
        </w:drawing>
      </w:r>
    </w:p>
    <w:p w14:paraId="79114CDD">
      <w:pPr>
        <w:pStyle w:val="85"/>
        <w:keepNext w:val="0"/>
        <w:keepLines w:val="0"/>
        <w:widowControl/>
        <w:suppressLineNumbers w:val="0"/>
        <w:jc w:val="both"/>
      </w:pPr>
      <w:r>
        <w:rPr>
          <w:rStyle w:val="92"/>
        </w:rPr>
        <w:t>Figure 3.</w:t>
      </w:r>
      <w:r>
        <w:t xml:space="preserve"> </w:t>
      </w:r>
      <w:r>
        <w:rPr>
          <w:rStyle w:val="31"/>
        </w:rPr>
        <w:t>Post-2020 advancements in Support Vector Machine (SVM)–based anomaly detection models. Recent research extends classical SVM frameworks through automated hyperparameter optimization (EMSVM), hybrid genetic algorithm integration for adaptive learning under concept drift, and subspace intersection approaches for improved fault detection in large-scale systems.</w:t>
      </w:r>
    </w:p>
    <w:p w14:paraId="2D3E483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These improvements reflect a paradigm shift toward </w:t>
      </w:r>
      <w:r>
        <w:rPr>
          <w:rStyle w:val="92"/>
          <w:rFonts w:hint="default" w:ascii="Times New Roman" w:hAnsi="Times New Roman" w:cs="Times New Roman"/>
          <w:b w:val="0"/>
          <w:bCs w:val="0"/>
          <w:sz w:val="24"/>
          <w:szCs w:val="24"/>
        </w:rPr>
        <w:t>adaptive SVM systems</w:t>
      </w:r>
      <w:r>
        <w:rPr>
          <w:rFonts w:hint="default" w:ascii="Times New Roman" w:hAnsi="Times New Roman" w:cs="Times New Roman"/>
          <w:b w:val="0"/>
          <w:bCs w:val="0"/>
          <w:sz w:val="24"/>
          <w:szCs w:val="24"/>
        </w:rPr>
        <w:t xml:space="preserve"> capable of handling evolving, high-dimensional, and uncertain data.</w:t>
      </w:r>
    </w:p>
    <w:p w14:paraId="79BCE90B">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31D518E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1.3</w:t>
      </w:r>
      <w:r>
        <w:rPr>
          <w:rStyle w:val="92"/>
          <w:rFonts w:hint="default" w:ascii="Times New Roman" w:hAnsi="Times New Roman" w:cs="Times New Roman"/>
          <w:b/>
          <w:bCs/>
          <w:sz w:val="24"/>
          <w:szCs w:val="24"/>
        </w:rPr>
        <w:t xml:space="preserve"> Ensemble and Tree-Based Models</w:t>
      </w:r>
    </w:p>
    <w:p w14:paraId="2029C47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Tree-based ensembles such as Random Forest (RF) and Isolation Forest (IF) have undergone substantial innovation between 2021 and 2025, driven by a focus on </w:t>
      </w:r>
      <w:r>
        <w:rPr>
          <w:rStyle w:val="92"/>
          <w:rFonts w:hint="default" w:ascii="Times New Roman" w:hAnsi="Times New Roman" w:cs="Times New Roman"/>
          <w:b w:val="0"/>
          <w:bCs w:val="0"/>
          <w:sz w:val="24"/>
          <w:szCs w:val="24"/>
        </w:rPr>
        <w:t>interpretability, feature importance, and integration with optimization algorithms</w:t>
      </w:r>
      <w:r>
        <w:rPr>
          <w:rFonts w:hint="default" w:ascii="Times New Roman" w:hAnsi="Times New Roman" w:cs="Times New Roman"/>
          <w:b w:val="0"/>
          <w:bCs w:val="0"/>
          <w:sz w:val="24"/>
          <w:szCs w:val="24"/>
        </w:rPr>
        <w:t>.</w:t>
      </w:r>
    </w:p>
    <w:p w14:paraId="6E5ECA33">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Improved Random Forest Algorithms (IRFA)</w:t>
      </w:r>
      <w:r>
        <w:rPr>
          <w:rFonts w:hint="default" w:ascii="Times New Roman" w:hAnsi="Times New Roman" w:cs="Times New Roman"/>
          <w:b w:val="0"/>
          <w:bCs w:val="0"/>
          <w:sz w:val="24"/>
          <w:szCs w:val="24"/>
        </w:rPr>
        <w:t xml:space="preserve"> (Li et al., 2023) introduced parallel processing to detect implicit and explicit anomalies in smart grids with &gt;95% accuracy.</w:t>
      </w:r>
    </w:p>
    <w:p w14:paraId="6C09D7E9">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Revised Isolation Forest (RIFIFI)</w:t>
      </w:r>
      <w:r>
        <w:rPr>
          <w:rFonts w:hint="default" w:ascii="Times New Roman" w:hAnsi="Times New Roman" w:cs="Times New Roman"/>
          <w:b w:val="0"/>
          <w:bCs w:val="0"/>
          <w:sz w:val="24"/>
          <w:szCs w:val="24"/>
        </w:rPr>
        <w:t xml:space="preserve"> (Yepmo et al., 2024) enhanced interpretability by preserving internal data structure for both detection and clustering tasks.</w:t>
      </w:r>
    </w:p>
    <w:p w14:paraId="3599ACAF">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Fuzzy Isolation Forest (FIF)</w:t>
      </w:r>
      <w:r>
        <w:rPr>
          <w:rFonts w:hint="default" w:ascii="Times New Roman" w:hAnsi="Times New Roman" w:cs="Times New Roman"/>
          <w:b w:val="0"/>
          <w:bCs w:val="0"/>
          <w:sz w:val="24"/>
          <w:szCs w:val="24"/>
        </w:rPr>
        <w:t xml:space="preserve"> (Chater et al., 2023) extended IF to fuzzy environments, improving robustness to vague and imprecise data.</w:t>
      </w:r>
    </w:p>
    <w:p w14:paraId="7CCD037D">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Depth-based Interpretability for IF (DIFFI)</w:t>
      </w:r>
      <w:r>
        <w:rPr>
          <w:rFonts w:hint="default" w:ascii="Times New Roman" w:hAnsi="Times New Roman" w:cs="Times New Roman"/>
          <w:b w:val="0"/>
          <w:bCs w:val="0"/>
          <w:sz w:val="24"/>
          <w:szCs w:val="24"/>
        </w:rPr>
        <w:t xml:space="preserve"> (Carletti et al., 2023) enabled model-specific feature importance estimation, surpassing model-agnostic techniques in computational efficiency.</w:t>
      </w:r>
    </w:p>
    <w:p w14:paraId="48C0A03D">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74501EA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5268595" cy="1846580"/>
            <wp:effectExtent l="0" t="0" r="0" b="0"/>
            <wp:docPr id="4" name="Picture 4" descr="figure4_tree_ensemble_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4_tree_ensemble_models"/>
                    <pic:cNvPicPr>
                      <a:picLocks noChangeAspect="1"/>
                    </pic:cNvPicPr>
                  </pic:nvPicPr>
                  <pic:blipFill>
                    <a:blip r:embed="rId7"/>
                    <a:srcRect t="10565" b="24481"/>
                    <a:stretch>
                      <a:fillRect/>
                    </a:stretch>
                  </pic:blipFill>
                  <pic:spPr>
                    <a:xfrm>
                      <a:off x="0" y="0"/>
                      <a:ext cx="5268595" cy="1846580"/>
                    </a:xfrm>
                    <a:prstGeom prst="rect">
                      <a:avLst/>
                    </a:prstGeom>
                  </pic:spPr>
                </pic:pic>
              </a:graphicData>
            </a:graphic>
          </wp:inline>
        </w:drawing>
      </w:r>
    </w:p>
    <w:p w14:paraId="63AD9BDA">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Style w:val="92"/>
          <w:rFonts w:hint="default" w:ascii="Times New Roman" w:hAnsi="Times New Roman" w:eastAsia="SimSun" w:cs="Times New Roman"/>
          <w:sz w:val="24"/>
          <w:szCs w:val="24"/>
        </w:rPr>
        <w:t>Figure 4.</w:t>
      </w:r>
      <w:r>
        <w:rPr>
          <w:rFonts w:hint="default" w:ascii="Times New Roman" w:hAnsi="Times New Roman" w:eastAsia="SimSun" w:cs="Times New Roman"/>
          <w:sz w:val="24"/>
          <w:szCs w:val="24"/>
        </w:rPr>
        <w:t xml:space="preserve"> </w:t>
      </w:r>
      <w:r>
        <w:rPr>
          <w:rStyle w:val="31"/>
          <w:rFonts w:hint="default" w:ascii="Times New Roman" w:hAnsi="Times New Roman" w:eastAsia="SimSun" w:cs="Times New Roman"/>
          <w:sz w:val="24"/>
          <w:szCs w:val="24"/>
        </w:rPr>
        <w:t>Post-2021 advancements in tree-based ensemble models for anomaly detection, highlighting innovations in Random Forest and Isolation Forest variants including IRFA, RIFIFI, FIF, and DIFFI, focusing on interpretability, robustness, and optimized detection performance.</w:t>
      </w:r>
    </w:p>
    <w:p w14:paraId="2BD6889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C3D8E3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These developments demonstrate a move from “black-box” anomaly detection toward </w:t>
      </w:r>
      <w:r>
        <w:rPr>
          <w:rStyle w:val="92"/>
          <w:rFonts w:hint="default" w:ascii="Times New Roman" w:hAnsi="Times New Roman" w:cs="Times New Roman"/>
          <w:b w:val="0"/>
          <w:bCs w:val="0"/>
          <w:sz w:val="24"/>
          <w:szCs w:val="24"/>
        </w:rPr>
        <w:t>transparent, interpretable ensembles</w:t>
      </w:r>
      <w:r>
        <w:rPr>
          <w:rFonts w:hint="default" w:ascii="Times New Roman" w:hAnsi="Times New Roman" w:cs="Times New Roman"/>
          <w:b w:val="0"/>
          <w:bCs w:val="0"/>
          <w:sz w:val="24"/>
          <w:szCs w:val="24"/>
        </w:rPr>
        <w:t xml:space="preserve"> that balance detection accuracy with insight into decision-making processes.</w:t>
      </w:r>
    </w:p>
    <w:p w14:paraId="2F59F6E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795BFAA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1.4</w:t>
      </w:r>
      <w:r>
        <w:rPr>
          <w:rStyle w:val="92"/>
          <w:rFonts w:hint="default" w:ascii="Times New Roman" w:hAnsi="Times New Roman" w:cs="Times New Roman"/>
          <w:b/>
          <w:bCs/>
          <w:sz w:val="24"/>
          <w:szCs w:val="24"/>
        </w:rPr>
        <w:t xml:space="preserve"> Autoencoder and Neural Network Models</w:t>
      </w:r>
    </w:p>
    <w:p w14:paraId="4C274644">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Deep learning models—particularly autoencoders (AE) and Long Short-Term Memory (LSTM) networks—remain dominant in unsupervised and semi-supervised anomaly detection.</w:t>
      </w:r>
    </w:p>
    <w:p w14:paraId="13BCA07E">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Adaptive Loss Autoencoder (AEAL)</w:t>
      </w:r>
      <w:r>
        <w:rPr>
          <w:rFonts w:hint="default" w:ascii="Times New Roman" w:hAnsi="Times New Roman" w:cs="Times New Roman"/>
          <w:b w:val="0"/>
          <w:bCs w:val="0"/>
          <w:sz w:val="24"/>
          <w:szCs w:val="24"/>
        </w:rPr>
        <w:t xml:space="preserve"> (Kanishima et al., 2022) balanced reconstruction error for normal vs. anomalous data, improving score consistency.</w:t>
      </w:r>
    </w:p>
    <w:p w14:paraId="6ADE7B69">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Federated Autoencoders</w:t>
      </w:r>
      <w:r>
        <w:rPr>
          <w:rFonts w:hint="default" w:ascii="Times New Roman" w:hAnsi="Times New Roman" w:cs="Times New Roman"/>
          <w:b w:val="0"/>
          <w:bCs w:val="0"/>
          <w:sz w:val="24"/>
          <w:szCs w:val="24"/>
        </w:rPr>
        <w:t xml:space="preserve"> (Novoa-Paradela et al., 2023) reduced energy consumption and training time, facilitating privacy-preserving anomaly detection in distributed settings.</w:t>
      </w:r>
    </w:p>
    <w:p w14:paraId="30C631E6">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Hybrid LSTM–K-Means frameworks</w:t>
      </w:r>
      <w:r>
        <w:rPr>
          <w:rFonts w:hint="default" w:ascii="Times New Roman" w:hAnsi="Times New Roman" w:cs="Times New Roman"/>
          <w:b w:val="0"/>
          <w:bCs w:val="0"/>
          <w:sz w:val="24"/>
          <w:szCs w:val="24"/>
        </w:rPr>
        <w:t xml:space="preserve"> (Zulfauzi et al., 2023) combined time-series prediction with clustering to detect faults in solar photovoltaic systems.</w:t>
      </w:r>
    </w:p>
    <w:p w14:paraId="74AB9BAE">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4FF5D5FA">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35388F43">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5272405" cy="1886585"/>
            <wp:effectExtent l="0" t="0" r="0" b="0"/>
            <wp:docPr id="5" name="Picture 5" descr="figure5_autoencoder_nn_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figure5_autoencoder_nn_models"/>
                    <pic:cNvPicPr>
                      <a:picLocks noChangeAspect="1"/>
                    </pic:cNvPicPr>
                  </pic:nvPicPr>
                  <pic:blipFill>
                    <a:blip r:embed="rId8"/>
                    <a:srcRect t="9721" b="25523"/>
                    <a:stretch>
                      <a:fillRect/>
                    </a:stretch>
                  </pic:blipFill>
                  <pic:spPr>
                    <a:xfrm>
                      <a:off x="0" y="0"/>
                      <a:ext cx="5272405" cy="1886585"/>
                    </a:xfrm>
                    <a:prstGeom prst="rect">
                      <a:avLst/>
                    </a:prstGeom>
                  </pic:spPr>
                </pic:pic>
              </a:graphicData>
            </a:graphic>
          </wp:inline>
        </w:drawing>
      </w:r>
    </w:p>
    <w:p w14:paraId="103A4EAE">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Style w:val="92"/>
          <w:rFonts w:hint="default" w:ascii="Times New Roman" w:hAnsi="Times New Roman" w:eastAsia="SimSun" w:cs="Times New Roman"/>
          <w:sz w:val="24"/>
          <w:szCs w:val="24"/>
        </w:rPr>
        <w:t>Figure 5.</w:t>
      </w:r>
      <w:r>
        <w:rPr>
          <w:rFonts w:hint="default" w:ascii="Times New Roman" w:hAnsi="Times New Roman" w:eastAsia="SimSun" w:cs="Times New Roman"/>
          <w:sz w:val="24"/>
          <w:szCs w:val="24"/>
        </w:rPr>
        <w:t xml:space="preserve"> </w:t>
      </w:r>
      <w:r>
        <w:rPr>
          <w:rStyle w:val="31"/>
          <w:rFonts w:hint="default" w:ascii="Times New Roman" w:hAnsi="Times New Roman" w:eastAsia="SimSun" w:cs="Times New Roman"/>
          <w:sz w:val="24"/>
          <w:szCs w:val="24"/>
        </w:rPr>
        <w:t>Post-2020 advancements in deep learning–based anomaly detection models, highlighting Autoencoder and LSTM-based frameworks including Adaptive Loss Autoencoder (AEAL), Federated Autoencoders, and Hybrid LSTM–K-Means models designed for improved reconstruction consistency, privacy-preserving distributed learning, and time-series fault detection.</w:t>
      </w:r>
    </w:p>
    <w:p w14:paraId="3F957FF2">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1155AC9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neural literature thus advances along two directions: (1) </w:t>
      </w:r>
      <w:r>
        <w:rPr>
          <w:rStyle w:val="92"/>
          <w:rFonts w:hint="default" w:ascii="Times New Roman" w:hAnsi="Times New Roman" w:cs="Times New Roman"/>
          <w:b w:val="0"/>
          <w:bCs w:val="0"/>
          <w:sz w:val="24"/>
          <w:szCs w:val="24"/>
        </w:rPr>
        <w:t>efficiency and scalability</w:t>
      </w:r>
      <w:r>
        <w:rPr>
          <w:rFonts w:hint="default" w:ascii="Times New Roman" w:hAnsi="Times New Roman" w:cs="Times New Roman"/>
          <w:b w:val="0"/>
          <w:bCs w:val="0"/>
          <w:sz w:val="24"/>
          <w:szCs w:val="24"/>
        </w:rPr>
        <w:t xml:space="preserve"> through federated and edge learning, and (2) </w:t>
      </w:r>
      <w:r>
        <w:rPr>
          <w:rStyle w:val="92"/>
          <w:rFonts w:hint="default" w:ascii="Times New Roman" w:hAnsi="Times New Roman" w:cs="Times New Roman"/>
          <w:b w:val="0"/>
          <w:bCs w:val="0"/>
          <w:sz w:val="24"/>
          <w:szCs w:val="24"/>
        </w:rPr>
        <w:t>robustness to dynamic data</w:t>
      </w:r>
      <w:r>
        <w:rPr>
          <w:rFonts w:hint="default" w:ascii="Times New Roman" w:hAnsi="Times New Roman" w:cs="Times New Roman"/>
          <w:b w:val="0"/>
          <w:bCs w:val="0"/>
          <w:sz w:val="24"/>
          <w:szCs w:val="24"/>
        </w:rPr>
        <w:t xml:space="preserve"> via adaptive loss and hybridization.</w:t>
      </w:r>
    </w:p>
    <w:p w14:paraId="252EAF14">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00A5696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1.5</w:t>
      </w:r>
      <w:r>
        <w:rPr>
          <w:rStyle w:val="92"/>
          <w:rFonts w:hint="default" w:ascii="Times New Roman" w:hAnsi="Times New Roman" w:cs="Times New Roman"/>
          <w:b/>
          <w:bCs/>
          <w:sz w:val="24"/>
          <w:szCs w:val="24"/>
        </w:rPr>
        <w:t xml:space="preserve"> Hybrid and Optimization-Driven Approaches</w:t>
      </w:r>
    </w:p>
    <w:p w14:paraId="24B1DB6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A defining trend of 2020–2025 is the integration of metaheuristic optimization, clustering, and ensemble techniques to enhance adaptability and accuracy. Notable examples include:</w:t>
      </w:r>
    </w:p>
    <w:p w14:paraId="5CA756EE">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Ant Colony Optimization (ACO) with Random Forest</w:t>
      </w:r>
      <w:r>
        <w:rPr>
          <w:rFonts w:hint="default" w:ascii="Times New Roman" w:hAnsi="Times New Roman" w:cs="Times New Roman"/>
          <w:b w:val="0"/>
          <w:bCs w:val="0"/>
          <w:sz w:val="24"/>
          <w:szCs w:val="24"/>
        </w:rPr>
        <w:t xml:space="preserve"> (Lifandali et al., 2023) for intrusion detection feature selection.</w:t>
      </w:r>
    </w:p>
    <w:p w14:paraId="024A96A6">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Hybrid Autoencoder–Isolation Forest (Farzad &amp; Gulliver, 2020)</w:t>
      </w:r>
      <w:r>
        <w:rPr>
          <w:rFonts w:hint="default" w:ascii="Times New Roman" w:hAnsi="Times New Roman" w:cs="Times New Roman"/>
          <w:b w:val="0"/>
          <w:bCs w:val="0"/>
          <w:sz w:val="24"/>
          <w:szCs w:val="24"/>
        </w:rPr>
        <w:t xml:space="preserve"> for log-based anomaly detection.</w:t>
      </w:r>
    </w:p>
    <w:p w14:paraId="4561306C">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GWOKM</w:t>
      </w:r>
      <w:r>
        <w:rPr>
          <w:rFonts w:hint="default" w:ascii="Times New Roman" w:hAnsi="Times New Roman" w:cs="Times New Roman"/>
          <w:b w:val="0"/>
          <w:bCs w:val="0"/>
          <w:sz w:val="24"/>
          <w:szCs w:val="24"/>
        </w:rPr>
        <w:t xml:space="preserve"> and </w:t>
      </w:r>
      <w:r>
        <w:rPr>
          <w:rStyle w:val="92"/>
          <w:rFonts w:hint="default" w:ascii="Times New Roman" w:hAnsi="Times New Roman" w:cs="Times New Roman"/>
          <w:b w:val="0"/>
          <w:bCs w:val="0"/>
          <w:sz w:val="24"/>
          <w:szCs w:val="24"/>
        </w:rPr>
        <w:t>EMSVM</w:t>
      </w:r>
      <w:r>
        <w:rPr>
          <w:rFonts w:hint="default" w:ascii="Times New Roman" w:hAnsi="Times New Roman" w:cs="Times New Roman"/>
          <w:b w:val="0"/>
          <w:bCs w:val="0"/>
          <w:sz w:val="24"/>
          <w:szCs w:val="24"/>
        </w:rPr>
        <w:t xml:space="preserve"> as hybrid models achieving significant performance gains across heterogeneous datasets.</w:t>
      </w:r>
    </w:p>
    <w:p w14:paraId="55B7EB7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ACFCFF3">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5266690" cy="1771650"/>
            <wp:effectExtent l="0" t="0" r="0" b="0"/>
            <wp:docPr id="6" name="Picture 6" descr="Fi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6"/>
                    <pic:cNvPicPr>
                      <a:picLocks noChangeAspect="1"/>
                    </pic:cNvPicPr>
                  </pic:nvPicPr>
                  <pic:blipFill>
                    <a:blip r:embed="rId9"/>
                    <a:srcRect t="23617" b="25931"/>
                    <a:stretch>
                      <a:fillRect/>
                    </a:stretch>
                  </pic:blipFill>
                  <pic:spPr>
                    <a:xfrm>
                      <a:off x="0" y="0"/>
                      <a:ext cx="5266690" cy="1771650"/>
                    </a:xfrm>
                    <a:prstGeom prst="rect">
                      <a:avLst/>
                    </a:prstGeom>
                  </pic:spPr>
                </pic:pic>
              </a:graphicData>
            </a:graphic>
          </wp:inline>
        </w:drawing>
      </w:r>
    </w:p>
    <w:p w14:paraId="414B1A1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i/>
          <w:iCs/>
          <w:sz w:val="24"/>
          <w:szCs w:val="24"/>
        </w:rPr>
      </w:pPr>
      <w:r>
        <w:rPr>
          <w:rStyle w:val="92"/>
          <w:rFonts w:hint="default" w:ascii="Times New Roman" w:hAnsi="Times New Roman" w:eastAsia="SimSun" w:cs="Times New Roman"/>
          <w:sz w:val="24"/>
          <w:szCs w:val="24"/>
        </w:rPr>
        <w:t>Figure 6.</w:t>
      </w:r>
      <w:r>
        <w:rPr>
          <w:rFonts w:hint="default" w:ascii="Times New Roman" w:hAnsi="Times New Roman" w:eastAsia="SimSun" w:cs="Times New Roman"/>
          <w:sz w:val="24"/>
          <w:szCs w:val="24"/>
        </w:rPr>
        <w:t xml:space="preserve"> </w:t>
      </w:r>
      <w:r>
        <w:rPr>
          <w:rFonts w:hint="default" w:ascii="Times New Roman" w:hAnsi="Times New Roman" w:eastAsia="SimSun" w:cs="Times New Roman"/>
          <w:i/>
          <w:iCs/>
          <w:sz w:val="24"/>
          <w:szCs w:val="24"/>
        </w:rPr>
        <w:t>Conceptual illustration of hybrid and optimization-driven anomaly detection approaches (2020–2025), highlighting the integration of metaheuristic optimization, deep learning, and ensemble models. The figure depicts representative frameworks, including ACO–Random Forest for feature selection, Autoencoder–Isolation Forest for log-based anomaly detection, and hybrid models such as GWOKM and EMSVM for improved performance across heterogeneous datasets.</w:t>
      </w:r>
    </w:p>
    <w:p w14:paraId="0DE5C8A4">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D998858">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Hybridization has evolved beyond model stacking to </w:t>
      </w:r>
      <w:r>
        <w:rPr>
          <w:rStyle w:val="92"/>
          <w:rFonts w:hint="default" w:ascii="Times New Roman" w:hAnsi="Times New Roman" w:cs="Times New Roman"/>
          <w:b w:val="0"/>
          <w:bCs w:val="0"/>
          <w:sz w:val="24"/>
          <w:szCs w:val="24"/>
        </w:rPr>
        <w:t>functional synergy</w:t>
      </w:r>
      <w:r>
        <w:rPr>
          <w:rFonts w:hint="default" w:ascii="Times New Roman" w:hAnsi="Times New Roman" w:cs="Times New Roman"/>
          <w:b w:val="0"/>
          <w:bCs w:val="0"/>
          <w:sz w:val="24"/>
          <w:szCs w:val="24"/>
        </w:rPr>
        <w:t>, combining the strengths of multiple paradigms (e.g., ACO’s exploration with RF’s robustness) to improve both precision and interpretability.</w:t>
      </w:r>
    </w:p>
    <w:p w14:paraId="358E8ED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18941848">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1.6</w:t>
      </w:r>
      <w:r>
        <w:rPr>
          <w:rStyle w:val="92"/>
          <w:rFonts w:hint="default" w:ascii="Times New Roman" w:hAnsi="Times New Roman" w:cs="Times New Roman"/>
          <w:b/>
          <w:bCs/>
          <w:sz w:val="24"/>
          <w:szCs w:val="24"/>
        </w:rPr>
        <w:t xml:space="preserve"> Explainable and Adaptive Learning Paradigms</w:t>
      </w:r>
    </w:p>
    <w:p w14:paraId="0AE8BD7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Explainable AI (XAI) has become increasingly central to anomaly detection research. Between 2022 and 2025, studies began integrating </w:t>
      </w:r>
      <w:r>
        <w:rPr>
          <w:rStyle w:val="92"/>
          <w:rFonts w:hint="default" w:ascii="Times New Roman" w:hAnsi="Times New Roman" w:cs="Times New Roman"/>
          <w:b w:val="0"/>
          <w:bCs w:val="0"/>
          <w:sz w:val="24"/>
          <w:szCs w:val="24"/>
        </w:rPr>
        <w:t>feature attribution</w:t>
      </w:r>
      <w:r>
        <w:rPr>
          <w:rFonts w:hint="default" w:ascii="Times New Roman" w:hAnsi="Times New Roman" w:cs="Times New Roman"/>
          <w:b w:val="0"/>
          <w:bCs w:val="0"/>
          <w:sz w:val="24"/>
          <w:szCs w:val="24"/>
        </w:rPr>
        <w:t xml:space="preserve">, </w:t>
      </w:r>
      <w:r>
        <w:rPr>
          <w:rStyle w:val="92"/>
          <w:rFonts w:hint="default" w:ascii="Times New Roman" w:hAnsi="Times New Roman" w:cs="Times New Roman"/>
          <w:b w:val="0"/>
          <w:bCs w:val="0"/>
          <w:sz w:val="24"/>
          <w:szCs w:val="24"/>
        </w:rPr>
        <w:t>visual interpretability</w:t>
      </w:r>
      <w:r>
        <w:rPr>
          <w:rFonts w:hint="default" w:ascii="Times New Roman" w:hAnsi="Times New Roman" w:cs="Times New Roman"/>
          <w:b w:val="0"/>
          <w:bCs w:val="0"/>
          <w:sz w:val="24"/>
          <w:szCs w:val="24"/>
        </w:rPr>
        <w:t xml:space="preserve">, and </w:t>
      </w:r>
      <w:r>
        <w:rPr>
          <w:rStyle w:val="92"/>
          <w:rFonts w:hint="default" w:ascii="Times New Roman" w:hAnsi="Times New Roman" w:cs="Times New Roman"/>
          <w:b w:val="0"/>
          <w:bCs w:val="0"/>
          <w:sz w:val="24"/>
          <w:szCs w:val="24"/>
        </w:rPr>
        <w:t>user feedback loops</w:t>
      </w:r>
      <w:r>
        <w:rPr>
          <w:rFonts w:hint="default" w:ascii="Times New Roman" w:hAnsi="Times New Roman" w:cs="Times New Roman"/>
          <w:b w:val="0"/>
          <w:bCs w:val="0"/>
          <w:sz w:val="24"/>
          <w:szCs w:val="24"/>
        </w:rPr>
        <w:t>.</w:t>
      </w:r>
    </w:p>
    <w:p w14:paraId="43122607">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Active Learning with Isolation Forest (ALIF)</w:t>
      </w:r>
      <w:r>
        <w:rPr>
          <w:rFonts w:hint="default" w:ascii="Times New Roman" w:hAnsi="Times New Roman" w:cs="Times New Roman"/>
          <w:b w:val="0"/>
          <w:bCs w:val="0"/>
          <w:sz w:val="24"/>
          <w:szCs w:val="24"/>
        </w:rPr>
        <w:t xml:space="preserve"> (Marcelli et al., 2024) incorporated human-in-the-loop labeling to refine anomaly detection in industrial data.</w:t>
      </w:r>
    </w:p>
    <w:p w14:paraId="77FB157F">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DIFFI and RIFIFI</w:t>
      </w:r>
      <w:r>
        <w:rPr>
          <w:rFonts w:hint="default" w:ascii="Times New Roman" w:hAnsi="Times New Roman" w:cs="Times New Roman"/>
          <w:b w:val="0"/>
          <w:bCs w:val="0"/>
          <w:sz w:val="24"/>
          <w:szCs w:val="24"/>
        </w:rPr>
        <w:t xml:space="preserve"> collectively exemplify the new generation of interpretable models that link anomaly scores to underlying feature patterns.</w:t>
      </w:r>
    </w:p>
    <w:p w14:paraId="3CFD2CA0">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Concept Drift Handling</w:t>
      </w:r>
      <w:r>
        <w:rPr>
          <w:rFonts w:hint="default" w:ascii="Times New Roman" w:hAnsi="Times New Roman" w:cs="Times New Roman"/>
          <w:b w:val="0"/>
          <w:bCs w:val="0"/>
          <w:sz w:val="24"/>
          <w:szCs w:val="24"/>
        </w:rPr>
        <w:t xml:space="preserve"> frameworks, including IForestASD and ERbCDD + SVM hybrids, demonstrated adaptability in nonstationary data environments such as network traffic and streaming sensors.</w:t>
      </w:r>
    </w:p>
    <w:p w14:paraId="42CC698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0000345F">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5266690" cy="2439035"/>
            <wp:effectExtent l="0" t="0" r="0" b="0"/>
            <wp:docPr id="7" name="Picture 7" descr="Fi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7"/>
                    <pic:cNvPicPr>
                      <a:picLocks noChangeAspect="1"/>
                    </pic:cNvPicPr>
                  </pic:nvPicPr>
                  <pic:blipFill>
                    <a:blip r:embed="rId10"/>
                    <a:srcRect t="13219" b="17324"/>
                    <a:stretch>
                      <a:fillRect/>
                    </a:stretch>
                  </pic:blipFill>
                  <pic:spPr>
                    <a:xfrm>
                      <a:off x="0" y="0"/>
                      <a:ext cx="5266690" cy="2439035"/>
                    </a:xfrm>
                    <a:prstGeom prst="rect">
                      <a:avLst/>
                    </a:prstGeom>
                  </pic:spPr>
                </pic:pic>
              </a:graphicData>
            </a:graphic>
          </wp:inline>
        </w:drawing>
      </w:r>
    </w:p>
    <w:p w14:paraId="03D88952">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Style w:val="92"/>
          <w:rFonts w:hint="default" w:ascii="Times New Roman" w:hAnsi="Times New Roman" w:eastAsia="SimSun" w:cs="Times New Roman"/>
          <w:sz w:val="24"/>
          <w:szCs w:val="24"/>
        </w:rPr>
        <w:t>Figure 7.</w:t>
      </w:r>
      <w:r>
        <w:rPr>
          <w:rFonts w:hint="default" w:ascii="Times New Roman" w:hAnsi="Times New Roman" w:eastAsia="SimSun" w:cs="Times New Roman"/>
          <w:sz w:val="24"/>
          <w:szCs w:val="24"/>
        </w:rPr>
        <w:t xml:space="preserve"> </w:t>
      </w:r>
      <w:r>
        <w:rPr>
          <w:rFonts w:hint="default" w:ascii="Times New Roman" w:hAnsi="Times New Roman" w:eastAsia="SimSun" w:cs="Times New Roman"/>
          <w:i/>
          <w:iCs/>
          <w:sz w:val="24"/>
          <w:szCs w:val="24"/>
        </w:rPr>
        <w:t>Conceptual overview of explainable and adaptive learning paradigms in anomaly detection (2022–2025), illustrating the integration of human-in-the-loop learning, model interpretability, and concept drift adaptation. The figure highlights Active Learning with Isolation Forest (ALIF) for interactive anomaly refinement, interpretable models such as DIFFI and RIFIFI for feature attribution and explanation, and adaptive frameworks including IForestASD and ERbCDD–SVM for handling nonstationary data environments.</w:t>
      </w:r>
    </w:p>
    <w:p w14:paraId="70E8882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08EBA19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These contributions signal a transition toward </w:t>
      </w:r>
      <w:r>
        <w:rPr>
          <w:rStyle w:val="92"/>
          <w:rFonts w:hint="default" w:ascii="Times New Roman" w:hAnsi="Times New Roman" w:cs="Times New Roman"/>
          <w:b w:val="0"/>
          <w:bCs w:val="0"/>
          <w:sz w:val="24"/>
          <w:szCs w:val="24"/>
        </w:rPr>
        <w:t>human-aware anomaly detection systems</w:t>
      </w:r>
      <w:r>
        <w:rPr>
          <w:rFonts w:hint="default" w:ascii="Times New Roman" w:hAnsi="Times New Roman" w:cs="Times New Roman"/>
          <w:b w:val="0"/>
          <w:bCs w:val="0"/>
          <w:sz w:val="24"/>
          <w:szCs w:val="24"/>
        </w:rPr>
        <w:t xml:space="preserve"> that emphasize explainability, continual learning, and transparency.</w:t>
      </w:r>
    </w:p>
    <w:p w14:paraId="75CEBFE9">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7D7F129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2</w:t>
      </w:r>
      <w:r>
        <w:rPr>
          <w:rStyle w:val="92"/>
          <w:rFonts w:hint="default" w:ascii="Times New Roman" w:hAnsi="Times New Roman" w:cs="Times New Roman"/>
          <w:b/>
          <w:bCs/>
          <w:sz w:val="24"/>
          <w:szCs w:val="24"/>
        </w:rPr>
        <w:t xml:space="preserve"> Cross-Domain Applications</w:t>
      </w:r>
    </w:p>
    <w:p w14:paraId="179CAEED">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Unlike earlier reviews restricted to network intrusion detection, this integrative analysis identifies broad cross-domain application of ML-based anomaly detection models:</w:t>
      </w:r>
    </w:p>
    <w:p w14:paraId="2D647D1B">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Cybersecurity and Intrusion Detection:</w:t>
      </w:r>
      <w:r>
        <w:rPr>
          <w:rFonts w:hint="default" w:ascii="Times New Roman" w:hAnsi="Times New Roman" w:cs="Times New Roman"/>
          <w:b w:val="0"/>
          <w:bCs w:val="0"/>
          <w:sz w:val="24"/>
          <w:szCs w:val="24"/>
        </w:rPr>
        <w:t xml:space="preserve"> remains the largest category (≈40% of studies).</w:t>
      </w:r>
    </w:p>
    <w:p w14:paraId="5BB4DBB1">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Industrial and Manufacturing Systems:</w:t>
      </w:r>
      <w:r>
        <w:rPr>
          <w:rFonts w:hint="default" w:ascii="Times New Roman" w:hAnsi="Times New Roman" w:cs="Times New Roman"/>
          <w:b w:val="0"/>
          <w:bCs w:val="0"/>
          <w:sz w:val="24"/>
          <w:szCs w:val="24"/>
        </w:rPr>
        <w:t xml:space="preserve"> use adaptive clustering and explainable ensembles for predictive maintenance.</w:t>
      </w:r>
    </w:p>
    <w:p w14:paraId="686EEB6D">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Geochemical and Environmental Monitoring:</w:t>
      </w:r>
      <w:r>
        <w:rPr>
          <w:rFonts w:hint="default" w:ascii="Times New Roman" w:hAnsi="Times New Roman" w:cs="Times New Roman"/>
          <w:b w:val="0"/>
          <w:bCs w:val="0"/>
          <w:sz w:val="24"/>
          <w:szCs w:val="24"/>
        </w:rPr>
        <w:t xml:space="preserve"> rely on hybrid clustering and swarm intelligence for anomaly localization.</w:t>
      </w:r>
    </w:p>
    <w:p w14:paraId="18E0F6B5">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Renewable Energy Systems:</w:t>
      </w:r>
      <w:r>
        <w:rPr>
          <w:rFonts w:hint="default" w:ascii="Times New Roman" w:hAnsi="Times New Roman" w:cs="Times New Roman"/>
          <w:b w:val="0"/>
          <w:bCs w:val="0"/>
          <w:sz w:val="24"/>
          <w:szCs w:val="24"/>
        </w:rPr>
        <w:t xml:space="preserve"> employ LSTM–AE hybrids for fault prediction in solar and wind systems.</w:t>
      </w:r>
    </w:p>
    <w:p w14:paraId="119E7F55">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Healthcare and IoT:</w:t>
      </w:r>
      <w:r>
        <w:rPr>
          <w:rFonts w:hint="default" w:ascii="Times New Roman" w:hAnsi="Times New Roman" w:cs="Times New Roman"/>
          <w:b w:val="0"/>
          <w:bCs w:val="0"/>
          <w:sz w:val="24"/>
          <w:szCs w:val="24"/>
        </w:rPr>
        <w:t xml:space="preserve"> adopt federated and privacy-preserving models for behavioral anomaly analysis.</w:t>
      </w:r>
    </w:p>
    <w:p w14:paraId="5E6EE5F6">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63F3B308">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drawing>
          <wp:inline distT="0" distB="0" distL="114300" distR="114300">
            <wp:extent cx="5266690" cy="5387975"/>
            <wp:effectExtent l="0" t="0" r="0" b="0"/>
            <wp:docPr id="8" name="Picture 8" descr="Fi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8"/>
                    <pic:cNvPicPr>
                      <a:picLocks noChangeAspect="1"/>
                    </pic:cNvPicPr>
                  </pic:nvPicPr>
                  <pic:blipFill>
                    <a:blip r:embed="rId11"/>
                    <a:srcRect t="14869" b="16935"/>
                    <a:stretch>
                      <a:fillRect/>
                    </a:stretch>
                  </pic:blipFill>
                  <pic:spPr>
                    <a:xfrm>
                      <a:off x="0" y="0"/>
                      <a:ext cx="5266690" cy="5387975"/>
                    </a:xfrm>
                    <a:prstGeom prst="rect">
                      <a:avLst/>
                    </a:prstGeom>
                  </pic:spPr>
                </pic:pic>
              </a:graphicData>
            </a:graphic>
          </wp:inline>
        </w:drawing>
      </w:r>
    </w:p>
    <w:p w14:paraId="22BE7812">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Figure 8. Cross Domain Applications</w:t>
      </w:r>
    </w:p>
    <w:p w14:paraId="43EEC720">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5A4D54D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This diversification indicates a maturing field moving beyond single-domain dependency, reflecting the </w:t>
      </w:r>
      <w:r>
        <w:rPr>
          <w:rStyle w:val="92"/>
          <w:rFonts w:hint="default" w:ascii="Times New Roman" w:hAnsi="Times New Roman" w:cs="Times New Roman"/>
          <w:b w:val="0"/>
          <w:bCs w:val="0"/>
          <w:sz w:val="24"/>
          <w:szCs w:val="24"/>
        </w:rPr>
        <w:t>transferability and adaptability</w:t>
      </w:r>
      <w:r>
        <w:rPr>
          <w:rFonts w:hint="default" w:ascii="Times New Roman" w:hAnsi="Times New Roman" w:cs="Times New Roman"/>
          <w:b w:val="0"/>
          <w:bCs w:val="0"/>
          <w:sz w:val="24"/>
          <w:szCs w:val="24"/>
        </w:rPr>
        <w:t xml:space="preserve"> of modern ML architectures.</w:t>
      </w:r>
    </w:p>
    <w:p w14:paraId="538DB492">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07613F9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3</w:t>
      </w:r>
      <w:r>
        <w:rPr>
          <w:rStyle w:val="92"/>
          <w:rFonts w:hint="default" w:ascii="Times New Roman" w:hAnsi="Times New Roman" w:cs="Times New Roman"/>
          <w:b/>
          <w:bCs/>
          <w:sz w:val="24"/>
          <w:szCs w:val="24"/>
        </w:rPr>
        <w:t xml:space="preserve"> Evaluation Metrics and Comparative Insights</w:t>
      </w:r>
    </w:p>
    <w:p w14:paraId="290D461A">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Across the analyzed literature, the most prevalent performance metrics include </w:t>
      </w:r>
      <w:r>
        <w:rPr>
          <w:rStyle w:val="92"/>
          <w:rFonts w:hint="default" w:ascii="Times New Roman" w:hAnsi="Times New Roman" w:cs="Times New Roman"/>
          <w:b w:val="0"/>
          <w:bCs w:val="0"/>
          <w:sz w:val="24"/>
          <w:szCs w:val="24"/>
        </w:rPr>
        <w:t>Accuracy, Precision, Recall, F1-score, AUC,</w:t>
      </w:r>
      <w:r>
        <w:rPr>
          <w:rFonts w:hint="default" w:ascii="Times New Roman" w:hAnsi="Times New Roman" w:cs="Times New Roman"/>
          <w:b w:val="0"/>
          <w:bCs w:val="0"/>
          <w:sz w:val="24"/>
          <w:szCs w:val="24"/>
        </w:rPr>
        <w:t xml:space="preserve"> and </w:t>
      </w:r>
      <w:r>
        <w:rPr>
          <w:rStyle w:val="92"/>
          <w:rFonts w:hint="default" w:ascii="Times New Roman" w:hAnsi="Times New Roman" w:cs="Times New Roman"/>
          <w:b w:val="0"/>
          <w:bCs w:val="0"/>
          <w:sz w:val="24"/>
          <w:szCs w:val="24"/>
        </w:rPr>
        <w:t>Kappa statistics</w:t>
      </w:r>
      <w:r>
        <w:rPr>
          <w:rFonts w:hint="default" w:ascii="Times New Roman" w:hAnsi="Times New Roman" w:cs="Times New Roman"/>
          <w:b w:val="0"/>
          <w:bCs w:val="0"/>
          <w:sz w:val="24"/>
          <w:szCs w:val="24"/>
        </w:rPr>
        <w:t xml:space="preserve">. Recent works increasingly report </w:t>
      </w:r>
      <w:r>
        <w:rPr>
          <w:rStyle w:val="92"/>
          <w:rFonts w:hint="default" w:ascii="Times New Roman" w:hAnsi="Times New Roman" w:cs="Times New Roman"/>
          <w:b w:val="0"/>
          <w:bCs w:val="0"/>
          <w:sz w:val="24"/>
          <w:szCs w:val="24"/>
        </w:rPr>
        <w:t>execution time, energy consumption, and interpretability measures</w:t>
      </w:r>
      <w:r>
        <w:rPr>
          <w:rFonts w:hint="default" w:ascii="Times New Roman" w:hAnsi="Times New Roman" w:cs="Times New Roman"/>
          <w:b w:val="0"/>
          <w:bCs w:val="0"/>
          <w:sz w:val="24"/>
          <w:szCs w:val="24"/>
        </w:rPr>
        <w:t xml:space="preserve"> to reflect real-world feasibility.</w:t>
      </w:r>
    </w:p>
    <w:p w14:paraId="601A022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31F5D88">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4025265" cy="3269615"/>
            <wp:effectExtent l="0" t="0" r="13335" b="6985"/>
            <wp:docPr id="9" name="Picture 96" descr="Fig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6" descr="Fig2.3"/>
                    <pic:cNvPicPr>
                      <a:picLocks noChangeAspect="1"/>
                    </pic:cNvPicPr>
                  </pic:nvPicPr>
                  <pic:blipFill>
                    <a:blip r:embed="rId12"/>
                    <a:stretch>
                      <a:fillRect/>
                    </a:stretch>
                  </pic:blipFill>
                  <pic:spPr>
                    <a:xfrm>
                      <a:off x="0" y="0"/>
                      <a:ext cx="4025265" cy="3269615"/>
                    </a:xfrm>
                    <a:prstGeom prst="rect">
                      <a:avLst/>
                    </a:prstGeom>
                    <a:noFill/>
                    <a:ln>
                      <a:noFill/>
                    </a:ln>
                  </pic:spPr>
                </pic:pic>
              </a:graphicData>
            </a:graphic>
          </wp:inline>
        </w:drawing>
      </w:r>
    </w:p>
    <w:p w14:paraId="34E70127">
      <w:pPr>
        <w:pageBreakBefore w:val="0"/>
        <w:widowControl/>
        <w:kinsoku/>
        <w:wordWrap/>
        <w:overflowPunct/>
        <w:topLinePunct w:val="0"/>
        <w:autoSpaceDE/>
        <w:autoSpaceDN/>
        <w:bidi w:val="0"/>
        <w:adjustRightInd/>
        <w:snapToGrid/>
        <w:spacing w:before="181" w:beforeLines="50" w:after="181" w:afterLines="5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Figure </w:t>
      </w:r>
      <w:r>
        <w:rPr>
          <w:rFonts w:hint="default" w:ascii="Times New Roman" w:hAnsi="Times New Roman" w:cs="Times New Roman"/>
          <w:b w:val="0"/>
          <w:bCs w:val="0"/>
          <w:sz w:val="24"/>
          <w:szCs w:val="24"/>
          <w:lang w:val="en-US"/>
        </w:rPr>
        <w:t>9.</w:t>
      </w:r>
      <w:r>
        <w:rPr>
          <w:rFonts w:hint="default" w:ascii="Times New Roman" w:hAnsi="Times New Roman" w:cs="Times New Roman"/>
          <w:b w:val="0"/>
          <w:bCs w:val="0"/>
          <w:sz w:val="24"/>
          <w:szCs w:val="24"/>
        </w:rPr>
        <w:t xml:space="preserve"> Common MLAs Across Anomaly Detection Issues</w:t>
      </w:r>
    </w:p>
    <w:p w14:paraId="01192F6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rPr>
      </w:pPr>
    </w:p>
    <w:p w14:paraId="55A7B77A">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drawing>
          <wp:inline distT="0" distB="0" distL="114300" distR="114300">
            <wp:extent cx="5297805" cy="2935605"/>
            <wp:effectExtent l="0" t="0" r="17145" b="17145"/>
            <wp:docPr id="10" name="Picture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IMG_256"/>
                    <pic:cNvPicPr>
                      <a:picLocks noChangeAspect="1"/>
                    </pic:cNvPicPr>
                  </pic:nvPicPr>
                  <pic:blipFill>
                    <a:blip r:embed="rId13"/>
                    <a:srcRect t="7057"/>
                    <a:stretch>
                      <a:fillRect/>
                    </a:stretch>
                  </pic:blipFill>
                  <pic:spPr>
                    <a:xfrm>
                      <a:off x="0" y="0"/>
                      <a:ext cx="5297805" cy="2935605"/>
                    </a:xfrm>
                    <a:prstGeom prst="rect">
                      <a:avLst/>
                    </a:prstGeom>
                    <a:noFill/>
                    <a:ln>
                      <a:noFill/>
                    </a:ln>
                  </pic:spPr>
                </pic:pic>
              </a:graphicData>
            </a:graphic>
          </wp:inline>
        </w:drawing>
      </w:r>
    </w:p>
    <w:p w14:paraId="0860B63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Figure </w:t>
      </w:r>
      <w:r>
        <w:rPr>
          <w:rFonts w:hint="default" w:ascii="Times New Roman" w:hAnsi="Times New Roman" w:cs="Times New Roman"/>
          <w:b w:val="0"/>
          <w:bCs w:val="0"/>
          <w:sz w:val="24"/>
          <w:szCs w:val="24"/>
          <w:lang w:val="en-US"/>
        </w:rPr>
        <w:t>10.</w:t>
      </w:r>
      <w:r>
        <w:rPr>
          <w:rFonts w:hint="default" w:ascii="Times New Roman" w:hAnsi="Times New Roman" w:cs="Times New Roman"/>
          <w:b w:val="0"/>
          <w:bCs w:val="0"/>
          <w:sz w:val="24"/>
          <w:szCs w:val="24"/>
        </w:rPr>
        <w:t xml:space="preserve"> Top 10 Common Metrics for MLAs in Anomaly Detection</w:t>
      </w:r>
    </w:p>
    <w:p w14:paraId="25EAE4A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bCs/>
          <w:sz w:val="24"/>
          <w:szCs w:val="24"/>
        </w:rPr>
      </w:pPr>
    </w:p>
    <w:p w14:paraId="6EC6F6D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Comparatively, hybrid and ensemble models consistently achieve higher precision and robustness, while explainable models slightly trade accuracy for transparency—a trend aligning with the broader movement toward ethical and interpretable AI.</w:t>
      </w:r>
    </w:p>
    <w:p w14:paraId="6DBF15EC">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66B0AF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4.</w:t>
      </w:r>
      <w:r>
        <w:rPr>
          <w:rStyle w:val="92"/>
          <w:rFonts w:hint="default" w:ascii="Times New Roman" w:hAnsi="Times New Roman" w:cs="Times New Roman"/>
          <w:b/>
          <w:bCs/>
          <w:sz w:val="24"/>
          <w:szCs w:val="24"/>
          <w:lang w:val="en-US"/>
        </w:rPr>
        <w:t>4</w:t>
      </w:r>
      <w:r>
        <w:rPr>
          <w:rStyle w:val="92"/>
          <w:rFonts w:hint="default" w:ascii="Times New Roman" w:hAnsi="Times New Roman" w:cs="Times New Roman"/>
          <w:b/>
          <w:bCs/>
          <w:sz w:val="24"/>
          <w:szCs w:val="24"/>
        </w:rPr>
        <w:t xml:space="preserve"> Summary of Findings</w:t>
      </w:r>
    </w:p>
    <w:p w14:paraId="40FB502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lang w:val="en-US"/>
        </w:rPr>
        <w:t>Appendix</w:t>
      </w:r>
      <w:r>
        <w:rPr>
          <w:rFonts w:hint="default" w:ascii="Times New Roman" w:hAnsi="Times New Roman" w:cs="Times New Roman"/>
          <w:b w:val="0"/>
          <w:bCs w:val="0"/>
          <w:sz w:val="24"/>
          <w:szCs w:val="24"/>
        </w:rPr>
        <w:t xml:space="preserve"> 1 summarizes the key contributions of representative studies (2020–2025) across algorithm families, performance gains, and targeted domains.</w:t>
      </w:r>
    </w:p>
    <w:p w14:paraId="43BB0A36">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Overall, the synthesis reveals that:</w:t>
      </w:r>
    </w:p>
    <w:p w14:paraId="6187C130">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field has evolved toward </w:t>
      </w:r>
      <w:r>
        <w:rPr>
          <w:rStyle w:val="92"/>
          <w:rFonts w:hint="default" w:ascii="Times New Roman" w:hAnsi="Times New Roman" w:cs="Times New Roman"/>
          <w:b w:val="0"/>
          <w:bCs w:val="0"/>
          <w:sz w:val="24"/>
          <w:szCs w:val="24"/>
        </w:rPr>
        <w:t>hybridized, interpretable, and adaptive ML systems</w:t>
      </w:r>
      <w:r>
        <w:rPr>
          <w:rFonts w:hint="default" w:ascii="Times New Roman" w:hAnsi="Times New Roman" w:cs="Times New Roman"/>
          <w:b w:val="0"/>
          <w:bCs w:val="0"/>
          <w:sz w:val="24"/>
          <w:szCs w:val="24"/>
        </w:rPr>
        <w:t>.</w:t>
      </w:r>
    </w:p>
    <w:p w14:paraId="11840EDF">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Cross-domain generalization and federated learning are emerging but remain under</w:t>
      </w:r>
      <w:r>
        <w:rPr>
          <w:rFonts w:hint="default" w:ascii="Times New Roman" w:hAnsi="Times New Roman" w:cs="Times New Roman"/>
          <w:b w:val="0"/>
          <w:bCs w:val="0"/>
          <w:sz w:val="24"/>
          <w:szCs w:val="24"/>
          <w:lang w:val="en-US"/>
        </w:rPr>
        <w:t>-</w:t>
      </w:r>
      <w:r>
        <w:rPr>
          <w:rFonts w:hint="default" w:ascii="Times New Roman" w:hAnsi="Times New Roman" w:cs="Times New Roman"/>
          <w:b w:val="0"/>
          <w:bCs w:val="0"/>
          <w:sz w:val="24"/>
          <w:szCs w:val="24"/>
        </w:rPr>
        <w:t>explored.</w:t>
      </w:r>
    </w:p>
    <w:p w14:paraId="377DA118">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Standardization in evaluation metrics and datasets is still lacking, hindering reproducibility.</w:t>
      </w:r>
    </w:p>
    <w:p w14:paraId="20865FD8">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integration of XAI and concept drift handling represents the most promising direction for future research.</w:t>
      </w:r>
    </w:p>
    <w:p w14:paraId="036C9EFB">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940295A">
      <w:pPr>
        <w:keepNext w:val="0"/>
        <w:keepLines w:val="0"/>
        <w:pageBreakBefore w:val="0"/>
        <w:widowControl/>
        <w:numPr>
          <w:ilvl w:val="0"/>
          <w:numId w:val="0"/>
        </w:numPr>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 synthesis of 109 contemporary studies confirms that anomaly detection research has progressed decisively toward hybridized, interpretable, and cross-domain ML architectures, emphasizing adaptability and transparency as key performance dimensions.</w:t>
      </w:r>
      <w:r>
        <w:rPr>
          <w:rFonts w:hint="default" w:ascii="Times New Roman" w:hAnsi="Times New Roman" w:cs="Times New Roman"/>
          <w:b w:val="0"/>
          <w:bCs w:val="0"/>
          <w:sz w:val="24"/>
          <w:szCs w:val="24"/>
          <w:lang w:val="en-US"/>
        </w:rPr>
        <w:t xml:space="preserve"> </w:t>
      </w:r>
      <w:r>
        <w:rPr>
          <w:rFonts w:hint="default" w:ascii="Times New Roman" w:hAnsi="Times New Roman" w:cs="Times New Roman"/>
          <w:b w:val="0"/>
          <w:bCs w:val="0"/>
          <w:sz w:val="24"/>
          <w:szCs w:val="24"/>
        </w:rPr>
        <w:t xml:space="preserve">This collective synthesis demonstrates a substantial transformation of anomaly detection research beyond the network-centric scope of </w:t>
      </w:r>
      <w:r>
        <w:rPr>
          <w:rStyle w:val="31"/>
          <w:rFonts w:hint="default" w:ascii="Times New Roman" w:hAnsi="Times New Roman" w:cs="Times New Roman"/>
          <w:b w:val="0"/>
          <w:bCs w:val="0"/>
          <w:sz w:val="24"/>
          <w:szCs w:val="24"/>
        </w:rPr>
        <w:t>Bou Nassif et al.</w:t>
      </w:r>
      <w:r>
        <w:rPr>
          <w:rFonts w:hint="default" w:ascii="Times New Roman" w:hAnsi="Times New Roman" w:cs="Times New Roman"/>
          <w:b w:val="0"/>
          <w:bCs w:val="0"/>
          <w:sz w:val="24"/>
          <w:szCs w:val="24"/>
        </w:rPr>
        <w:t xml:space="preserve"> (2021) and </w:t>
      </w:r>
      <w:r>
        <w:rPr>
          <w:rStyle w:val="31"/>
          <w:rFonts w:hint="default" w:ascii="Times New Roman" w:hAnsi="Times New Roman" w:cs="Times New Roman"/>
          <w:b w:val="0"/>
          <w:bCs w:val="0"/>
          <w:sz w:val="24"/>
          <w:szCs w:val="24"/>
        </w:rPr>
        <w:t>Yang et al.</w:t>
      </w:r>
      <w:r>
        <w:rPr>
          <w:rFonts w:hint="default" w:ascii="Times New Roman" w:hAnsi="Times New Roman" w:cs="Times New Roman"/>
          <w:b w:val="0"/>
          <w:bCs w:val="0"/>
          <w:sz w:val="24"/>
          <w:szCs w:val="24"/>
        </w:rPr>
        <w:t xml:space="preserve"> (2022), establishing a foundation for the conceptual taxonomy and research agenda discussed in </w:t>
      </w:r>
      <w:r>
        <w:rPr>
          <w:rStyle w:val="92"/>
          <w:rFonts w:hint="default" w:ascii="Times New Roman" w:hAnsi="Times New Roman" w:cs="Times New Roman"/>
          <w:b w:val="0"/>
          <w:bCs w:val="0"/>
          <w:sz w:val="24"/>
          <w:szCs w:val="24"/>
        </w:rPr>
        <w:t>Section 5</w:t>
      </w:r>
      <w:r>
        <w:rPr>
          <w:rFonts w:hint="default" w:ascii="Times New Roman" w:hAnsi="Times New Roman" w:cs="Times New Roman"/>
          <w:b w:val="0"/>
          <w:bCs w:val="0"/>
          <w:sz w:val="24"/>
          <w:szCs w:val="24"/>
        </w:rPr>
        <w:t>.</w:t>
      </w:r>
    </w:p>
    <w:p w14:paraId="336100A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587216F8">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5. Discussion and Conceptual Taxonomy</w:t>
      </w:r>
    </w:p>
    <w:p w14:paraId="24103849">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analysis of machine learning (ML) models for anomaly detection from 2020 to 2025 reveals a distinct transformation in the field—one marked by </w:t>
      </w:r>
      <w:r>
        <w:rPr>
          <w:rStyle w:val="92"/>
          <w:rFonts w:hint="default" w:ascii="Times New Roman" w:hAnsi="Times New Roman" w:cs="Times New Roman"/>
          <w:b w:val="0"/>
          <w:bCs w:val="0"/>
          <w:sz w:val="24"/>
          <w:szCs w:val="24"/>
        </w:rPr>
        <w:t>hybridization, explainability, and cross-domain adaptability</w:t>
      </w:r>
      <w:r>
        <w:rPr>
          <w:rFonts w:hint="default" w:ascii="Times New Roman" w:hAnsi="Times New Roman" w:cs="Times New Roman"/>
          <w:b w:val="0"/>
          <w:bCs w:val="0"/>
          <w:sz w:val="24"/>
          <w:szCs w:val="24"/>
        </w:rPr>
        <w:t>. While earlier reviews (Bou Nassif et al., 2021; Yang et al., 2022) established a foundation of algorithmic taxonomy and dataset benchmarking, the current synthesis extends that understanding by integrating methodological evolution and conceptual coherence across multiple application domains.</w:t>
      </w:r>
    </w:p>
    <w:p w14:paraId="390115F8">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4B7B819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5.1 Evolution of ML Paradigms for Anomaly Detection</w:t>
      </w:r>
    </w:p>
    <w:p w14:paraId="3B6E7F4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reviewed literature demonstrates a clear trajectory in ML paradigm development, as illustrated in </w:t>
      </w:r>
      <w:r>
        <w:rPr>
          <w:rStyle w:val="92"/>
          <w:rFonts w:hint="default" w:ascii="Times New Roman" w:hAnsi="Times New Roman" w:cs="Times New Roman"/>
          <w:b w:val="0"/>
          <w:bCs w:val="0"/>
          <w:sz w:val="24"/>
          <w:szCs w:val="24"/>
        </w:rPr>
        <w:t>Figure 2</w:t>
      </w:r>
      <w:r>
        <w:rPr>
          <w:rFonts w:hint="default" w:ascii="Times New Roman" w:hAnsi="Times New Roman" w:cs="Times New Roman"/>
          <w:b w:val="0"/>
          <w:bCs w:val="0"/>
          <w:sz w:val="24"/>
          <w:szCs w:val="24"/>
        </w:rPr>
        <w:t xml:space="preserve"> (to be designed as a visual conceptual map):</w:t>
      </w:r>
    </w:p>
    <w:tbl>
      <w:tblPr>
        <w:tblStyle w:val="12"/>
        <w:tblpPr w:leftFromText="180" w:rightFromText="180" w:vertAnchor="text" w:horzAnchor="page" w:tblpX="1902" w:tblpY="274"/>
        <w:tblOverlap w:val="never"/>
        <w:tblW w:w="83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1"/>
        <w:gridCol w:w="1365"/>
        <w:gridCol w:w="2225"/>
        <w:gridCol w:w="3010"/>
      </w:tblGrid>
      <w:tr w14:paraId="219951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01" w:type="dxa"/>
            <w:tcBorders>
              <w:top w:val="nil"/>
              <w:left w:val="nil"/>
              <w:bottom w:val="nil"/>
              <w:right w:val="nil"/>
            </w:tcBorders>
            <w:shd w:val="clear" w:color="auto" w:fill="auto"/>
            <w:noWrap/>
            <w:vAlign w:val="center"/>
          </w:tcPr>
          <w:p w14:paraId="09F23C6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bCs/>
                <w:i w:val="0"/>
                <w:iCs w:val="0"/>
                <w:color w:val="000000"/>
                <w:sz w:val="24"/>
                <w:szCs w:val="24"/>
                <w:u w:val="none"/>
              </w:rPr>
            </w:pPr>
            <w:r>
              <w:rPr>
                <w:rStyle w:val="92"/>
                <w:rFonts w:hint="default" w:ascii="Times New Roman" w:hAnsi="Times New Roman" w:eastAsia="SimSun" w:cs="Times New Roman"/>
                <w:b/>
                <w:bCs/>
                <w:kern w:val="0"/>
                <w:sz w:val="24"/>
                <w:szCs w:val="24"/>
                <w:lang w:val="en-US" w:eastAsia="zh-CN" w:bidi="ar"/>
              </w:rPr>
              <w:t>Phase</w:t>
            </w:r>
          </w:p>
        </w:tc>
        <w:tc>
          <w:tcPr>
            <w:tcW w:w="1365" w:type="dxa"/>
            <w:tcBorders>
              <w:top w:val="nil"/>
              <w:left w:val="nil"/>
              <w:bottom w:val="nil"/>
              <w:right w:val="nil"/>
            </w:tcBorders>
            <w:shd w:val="clear" w:color="auto" w:fill="auto"/>
            <w:noWrap/>
            <w:vAlign w:val="center"/>
          </w:tcPr>
          <w:p w14:paraId="304FAF0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bCs/>
                <w:i w:val="0"/>
                <w:iCs w:val="0"/>
                <w:color w:val="000000"/>
                <w:sz w:val="24"/>
                <w:szCs w:val="24"/>
                <w:u w:val="none"/>
              </w:rPr>
            </w:pPr>
            <w:r>
              <w:rPr>
                <w:rStyle w:val="92"/>
                <w:rFonts w:hint="default" w:ascii="Times New Roman" w:hAnsi="Times New Roman" w:eastAsia="SimSun" w:cs="Times New Roman"/>
                <w:b/>
                <w:bCs/>
                <w:kern w:val="0"/>
                <w:sz w:val="24"/>
                <w:szCs w:val="24"/>
                <w:lang w:val="en-US" w:eastAsia="zh-CN" w:bidi="ar"/>
              </w:rPr>
              <w:t>Dominant Models</w:t>
            </w:r>
          </w:p>
        </w:tc>
        <w:tc>
          <w:tcPr>
            <w:tcW w:w="2225" w:type="dxa"/>
            <w:tcBorders>
              <w:top w:val="nil"/>
              <w:left w:val="nil"/>
              <w:bottom w:val="nil"/>
              <w:right w:val="nil"/>
            </w:tcBorders>
            <w:shd w:val="clear" w:color="auto" w:fill="auto"/>
            <w:noWrap/>
            <w:vAlign w:val="center"/>
          </w:tcPr>
          <w:p w14:paraId="369BDA8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bCs/>
                <w:i w:val="0"/>
                <w:iCs w:val="0"/>
                <w:color w:val="000000"/>
                <w:sz w:val="24"/>
                <w:szCs w:val="24"/>
                <w:u w:val="none"/>
              </w:rPr>
            </w:pPr>
            <w:r>
              <w:rPr>
                <w:rStyle w:val="92"/>
                <w:rFonts w:hint="default" w:ascii="Times New Roman" w:hAnsi="Times New Roman" w:eastAsia="SimSun" w:cs="Times New Roman"/>
                <w:b/>
                <w:bCs/>
                <w:kern w:val="0"/>
                <w:sz w:val="24"/>
                <w:szCs w:val="24"/>
                <w:lang w:val="en-US" w:eastAsia="zh-CN" w:bidi="ar"/>
              </w:rPr>
              <w:t>Key Characteristics</w:t>
            </w:r>
          </w:p>
        </w:tc>
        <w:tc>
          <w:tcPr>
            <w:tcW w:w="3010" w:type="dxa"/>
            <w:tcBorders>
              <w:top w:val="nil"/>
              <w:left w:val="nil"/>
              <w:bottom w:val="nil"/>
              <w:right w:val="nil"/>
            </w:tcBorders>
            <w:shd w:val="clear" w:color="auto" w:fill="auto"/>
            <w:noWrap/>
            <w:vAlign w:val="center"/>
          </w:tcPr>
          <w:p w14:paraId="27E9BC6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bCs/>
                <w:i w:val="0"/>
                <w:iCs w:val="0"/>
                <w:color w:val="000000"/>
                <w:sz w:val="24"/>
                <w:szCs w:val="24"/>
                <w:u w:val="none"/>
              </w:rPr>
            </w:pPr>
            <w:r>
              <w:rPr>
                <w:rStyle w:val="92"/>
                <w:rFonts w:hint="default" w:ascii="Times New Roman" w:hAnsi="Times New Roman" w:eastAsia="SimSun" w:cs="Times New Roman"/>
                <w:b/>
                <w:bCs/>
                <w:kern w:val="0"/>
                <w:sz w:val="24"/>
                <w:szCs w:val="24"/>
                <w:lang w:val="en-US" w:eastAsia="zh-CN" w:bidi="ar"/>
              </w:rPr>
              <w:t>Representative Studies (2020–2025)</w:t>
            </w:r>
          </w:p>
        </w:tc>
      </w:tr>
      <w:tr w14:paraId="6093EE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01" w:type="dxa"/>
            <w:tcBorders>
              <w:top w:val="nil"/>
              <w:left w:val="nil"/>
              <w:bottom w:val="nil"/>
              <w:right w:val="nil"/>
            </w:tcBorders>
            <w:shd w:val="clear" w:color="auto" w:fill="auto"/>
            <w:noWrap/>
            <w:vAlign w:val="center"/>
          </w:tcPr>
          <w:p w14:paraId="00916509">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Style w:val="92"/>
                <w:rFonts w:hint="default" w:ascii="Times New Roman" w:hAnsi="Times New Roman" w:eastAsia="SimSun" w:cs="Times New Roman"/>
                <w:b w:val="0"/>
                <w:bCs w:val="0"/>
                <w:kern w:val="0"/>
                <w:sz w:val="24"/>
                <w:szCs w:val="24"/>
                <w:lang w:val="en-US" w:eastAsia="zh-CN" w:bidi="ar"/>
              </w:rPr>
              <w:t>Phase I: Classical Models (Pre-2020)</w:t>
            </w:r>
          </w:p>
        </w:tc>
        <w:tc>
          <w:tcPr>
            <w:tcW w:w="1365" w:type="dxa"/>
            <w:tcBorders>
              <w:top w:val="nil"/>
              <w:left w:val="nil"/>
              <w:bottom w:val="nil"/>
              <w:right w:val="nil"/>
            </w:tcBorders>
            <w:shd w:val="clear" w:color="auto" w:fill="auto"/>
            <w:noWrap/>
            <w:vAlign w:val="center"/>
          </w:tcPr>
          <w:p w14:paraId="6E057E1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SVM, K-Means, PCA, RF</w:t>
            </w:r>
          </w:p>
        </w:tc>
        <w:tc>
          <w:tcPr>
            <w:tcW w:w="2225" w:type="dxa"/>
            <w:tcBorders>
              <w:top w:val="nil"/>
              <w:left w:val="nil"/>
              <w:bottom w:val="nil"/>
              <w:right w:val="nil"/>
            </w:tcBorders>
            <w:shd w:val="clear" w:color="auto" w:fill="auto"/>
            <w:noWrap/>
            <w:vAlign w:val="center"/>
          </w:tcPr>
          <w:p w14:paraId="73DEBD9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Rule-based detection, limited scalability, low interpretability</w:t>
            </w:r>
          </w:p>
        </w:tc>
        <w:tc>
          <w:tcPr>
            <w:tcW w:w="3010" w:type="dxa"/>
            <w:tcBorders>
              <w:top w:val="nil"/>
              <w:left w:val="nil"/>
              <w:bottom w:val="nil"/>
              <w:right w:val="nil"/>
            </w:tcBorders>
            <w:shd w:val="clear" w:color="auto" w:fill="auto"/>
            <w:noWrap/>
            <w:vAlign w:val="center"/>
          </w:tcPr>
          <w:p w14:paraId="167DDED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Bou Nassif et al. (2021)</w:t>
            </w:r>
          </w:p>
        </w:tc>
      </w:tr>
      <w:tr w14:paraId="038C64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01" w:type="dxa"/>
            <w:tcBorders>
              <w:top w:val="nil"/>
              <w:left w:val="nil"/>
              <w:bottom w:val="nil"/>
              <w:right w:val="nil"/>
            </w:tcBorders>
            <w:shd w:val="clear" w:color="auto" w:fill="auto"/>
            <w:noWrap/>
            <w:vAlign w:val="center"/>
          </w:tcPr>
          <w:p w14:paraId="1941E4D5">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Style w:val="92"/>
                <w:rFonts w:hint="default" w:ascii="Times New Roman" w:hAnsi="Times New Roman" w:eastAsia="SimSun" w:cs="Times New Roman"/>
                <w:b w:val="0"/>
                <w:bCs w:val="0"/>
                <w:kern w:val="0"/>
                <w:sz w:val="24"/>
                <w:szCs w:val="24"/>
                <w:lang w:val="en-US" w:eastAsia="zh-CN" w:bidi="ar"/>
              </w:rPr>
              <w:t>Phase II: Deep Learning Expansion (2020–2022)</w:t>
            </w:r>
          </w:p>
        </w:tc>
        <w:tc>
          <w:tcPr>
            <w:tcW w:w="1365" w:type="dxa"/>
            <w:tcBorders>
              <w:top w:val="nil"/>
              <w:left w:val="nil"/>
              <w:bottom w:val="nil"/>
              <w:right w:val="nil"/>
            </w:tcBorders>
            <w:shd w:val="clear" w:color="auto" w:fill="auto"/>
            <w:noWrap/>
            <w:vAlign w:val="center"/>
          </w:tcPr>
          <w:p w14:paraId="556461B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AE, CNN, LSTM</w:t>
            </w:r>
          </w:p>
        </w:tc>
        <w:tc>
          <w:tcPr>
            <w:tcW w:w="2225" w:type="dxa"/>
            <w:tcBorders>
              <w:top w:val="nil"/>
              <w:left w:val="nil"/>
              <w:bottom w:val="nil"/>
              <w:right w:val="nil"/>
            </w:tcBorders>
            <w:shd w:val="clear" w:color="auto" w:fill="auto"/>
            <w:noWrap/>
            <w:vAlign w:val="center"/>
          </w:tcPr>
          <w:p w14:paraId="79A0FCF1">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Improved feature learning, high accuracy, black-box limitation</w:t>
            </w:r>
          </w:p>
        </w:tc>
        <w:tc>
          <w:tcPr>
            <w:tcW w:w="3010" w:type="dxa"/>
            <w:tcBorders>
              <w:top w:val="nil"/>
              <w:left w:val="nil"/>
              <w:bottom w:val="nil"/>
              <w:right w:val="nil"/>
            </w:tcBorders>
            <w:shd w:val="clear" w:color="auto" w:fill="auto"/>
            <w:noWrap/>
            <w:vAlign w:val="center"/>
          </w:tcPr>
          <w:p w14:paraId="7DEAAFEA">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Kanishima et al. (2022); Zulfauzi et al. (2023)</w:t>
            </w:r>
          </w:p>
        </w:tc>
      </w:tr>
      <w:tr w14:paraId="4F003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01" w:type="dxa"/>
            <w:tcBorders>
              <w:top w:val="nil"/>
              <w:left w:val="nil"/>
              <w:bottom w:val="nil"/>
              <w:right w:val="nil"/>
            </w:tcBorders>
            <w:shd w:val="clear" w:color="auto" w:fill="auto"/>
            <w:noWrap/>
            <w:vAlign w:val="center"/>
          </w:tcPr>
          <w:p w14:paraId="1709E226">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Style w:val="92"/>
                <w:rFonts w:hint="default" w:ascii="Times New Roman" w:hAnsi="Times New Roman" w:eastAsia="SimSun" w:cs="Times New Roman"/>
                <w:b w:val="0"/>
                <w:bCs w:val="0"/>
                <w:kern w:val="0"/>
                <w:sz w:val="24"/>
                <w:szCs w:val="24"/>
                <w:lang w:val="en-US" w:eastAsia="zh-CN" w:bidi="ar"/>
              </w:rPr>
              <w:t>Phase III: Hybrid and Optimization Models (2021–2024)</w:t>
            </w:r>
          </w:p>
        </w:tc>
        <w:tc>
          <w:tcPr>
            <w:tcW w:w="1365" w:type="dxa"/>
            <w:tcBorders>
              <w:top w:val="nil"/>
              <w:left w:val="nil"/>
              <w:bottom w:val="nil"/>
              <w:right w:val="nil"/>
            </w:tcBorders>
            <w:shd w:val="clear" w:color="auto" w:fill="auto"/>
            <w:noWrap/>
            <w:vAlign w:val="center"/>
          </w:tcPr>
          <w:p w14:paraId="5089D25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EMSVM, GWOKM, ACO-RF</w:t>
            </w:r>
          </w:p>
        </w:tc>
        <w:tc>
          <w:tcPr>
            <w:tcW w:w="2225" w:type="dxa"/>
            <w:tcBorders>
              <w:top w:val="nil"/>
              <w:left w:val="nil"/>
              <w:bottom w:val="nil"/>
              <w:right w:val="nil"/>
            </w:tcBorders>
            <w:shd w:val="clear" w:color="auto" w:fill="auto"/>
            <w:noWrap/>
            <w:vAlign w:val="center"/>
          </w:tcPr>
          <w:p w14:paraId="2BAF75BD">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Algorithmic fusion for higher precision and adaptivity</w:t>
            </w:r>
          </w:p>
        </w:tc>
        <w:tc>
          <w:tcPr>
            <w:tcW w:w="3010" w:type="dxa"/>
            <w:tcBorders>
              <w:top w:val="nil"/>
              <w:left w:val="nil"/>
              <w:bottom w:val="nil"/>
              <w:right w:val="nil"/>
            </w:tcBorders>
            <w:shd w:val="clear" w:color="auto" w:fill="auto"/>
            <w:noWrap/>
            <w:vAlign w:val="center"/>
          </w:tcPr>
          <w:p w14:paraId="1BF818E7">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Lifandali et al. (2023); Daviran et al. (2024)</w:t>
            </w:r>
          </w:p>
        </w:tc>
      </w:tr>
      <w:tr w14:paraId="329AFB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1701" w:type="dxa"/>
            <w:tcBorders>
              <w:top w:val="nil"/>
              <w:left w:val="nil"/>
              <w:bottom w:val="nil"/>
              <w:right w:val="nil"/>
            </w:tcBorders>
            <w:shd w:val="clear" w:color="auto" w:fill="auto"/>
            <w:noWrap/>
            <w:vAlign w:val="center"/>
          </w:tcPr>
          <w:p w14:paraId="7EA5E0E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Style w:val="92"/>
                <w:rFonts w:hint="default" w:ascii="Times New Roman" w:hAnsi="Times New Roman" w:eastAsia="SimSun" w:cs="Times New Roman"/>
                <w:b w:val="0"/>
                <w:bCs w:val="0"/>
                <w:kern w:val="0"/>
                <w:sz w:val="24"/>
                <w:szCs w:val="24"/>
                <w:lang w:val="en-US" w:eastAsia="zh-CN" w:bidi="ar"/>
              </w:rPr>
              <w:t>Phase IV: Explainable and Adaptive ML (2022–2025)</w:t>
            </w:r>
          </w:p>
        </w:tc>
        <w:tc>
          <w:tcPr>
            <w:tcW w:w="1365" w:type="dxa"/>
            <w:tcBorders>
              <w:top w:val="nil"/>
              <w:left w:val="nil"/>
              <w:bottom w:val="nil"/>
              <w:right w:val="nil"/>
            </w:tcBorders>
            <w:shd w:val="clear" w:color="auto" w:fill="auto"/>
            <w:noWrap/>
            <w:vAlign w:val="center"/>
          </w:tcPr>
          <w:p w14:paraId="772AF5A0">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DIFFI, RIFIFI, ALIF, IForestASD</w:t>
            </w:r>
          </w:p>
        </w:tc>
        <w:tc>
          <w:tcPr>
            <w:tcW w:w="2225" w:type="dxa"/>
            <w:tcBorders>
              <w:top w:val="nil"/>
              <w:left w:val="nil"/>
              <w:bottom w:val="nil"/>
              <w:right w:val="nil"/>
            </w:tcBorders>
            <w:shd w:val="clear" w:color="auto" w:fill="auto"/>
            <w:noWrap/>
            <w:vAlign w:val="center"/>
          </w:tcPr>
          <w:p w14:paraId="53BD4883">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Transparent, human-in-the-loop, drift-resilient</w:t>
            </w:r>
          </w:p>
        </w:tc>
        <w:tc>
          <w:tcPr>
            <w:tcW w:w="3010" w:type="dxa"/>
            <w:tcBorders>
              <w:top w:val="nil"/>
              <w:left w:val="nil"/>
              <w:bottom w:val="nil"/>
              <w:right w:val="nil"/>
            </w:tcBorders>
            <w:shd w:val="clear" w:color="auto" w:fill="auto"/>
            <w:noWrap/>
            <w:vAlign w:val="center"/>
          </w:tcPr>
          <w:p w14:paraId="1890B6B8">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center"/>
              <w:rPr>
                <w:rFonts w:hint="default" w:ascii="Times New Roman" w:hAnsi="Times New Roman" w:cs="Times New Roman"/>
                <w:b w:val="0"/>
                <w:bCs w:val="0"/>
                <w:i w:val="0"/>
                <w:iCs w:val="0"/>
                <w:color w:val="000000"/>
                <w:sz w:val="24"/>
                <w:szCs w:val="24"/>
                <w:u w:val="none"/>
              </w:rPr>
            </w:pPr>
            <w:r>
              <w:rPr>
                <w:rFonts w:hint="default" w:ascii="Times New Roman" w:hAnsi="Times New Roman" w:eastAsia="SimSun" w:cs="Times New Roman"/>
                <w:b w:val="0"/>
                <w:bCs w:val="0"/>
                <w:kern w:val="0"/>
                <w:sz w:val="24"/>
                <w:szCs w:val="24"/>
                <w:lang w:val="en-US" w:eastAsia="zh-CN" w:bidi="ar"/>
              </w:rPr>
              <w:t>Carletti et al. (2023); Marcelli et al. (2024)</w:t>
            </w:r>
          </w:p>
        </w:tc>
      </w:tr>
    </w:tbl>
    <w:p w14:paraId="2560866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5CF9D0BD">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This phased evolution signifies the maturity of anomaly detection research—from purely model-driven exploration to </w:t>
      </w:r>
      <w:r>
        <w:rPr>
          <w:rStyle w:val="92"/>
          <w:rFonts w:hint="default" w:ascii="Times New Roman" w:hAnsi="Times New Roman" w:cs="Times New Roman"/>
          <w:b w:val="0"/>
          <w:bCs w:val="0"/>
          <w:sz w:val="24"/>
          <w:szCs w:val="24"/>
        </w:rPr>
        <w:t>context-aware, interpretable, and adaptive systems</w:t>
      </w:r>
      <w:r>
        <w:rPr>
          <w:rFonts w:hint="default" w:ascii="Times New Roman" w:hAnsi="Times New Roman" w:cs="Times New Roman"/>
          <w:b w:val="0"/>
          <w:bCs w:val="0"/>
          <w:sz w:val="24"/>
          <w:szCs w:val="24"/>
        </w:rPr>
        <w:t xml:space="preserve"> that align with human-centered AI principles.</w:t>
      </w:r>
    </w:p>
    <w:p w14:paraId="1AE8EB41">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5A5C369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5.2 Conceptual Taxonomy of ML Models for Anomaly Detection</w:t>
      </w:r>
    </w:p>
    <w:p w14:paraId="14FA8FB0">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Drawing from the integrative synthesis, a conceptual taxonomy is proposed to classify anomaly detection models across three interrelated dimensions:</w:t>
      </w:r>
    </w:p>
    <w:p w14:paraId="22B733FD">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(a) Algorithmic Core</w:t>
      </w:r>
    </w:p>
    <w:p w14:paraId="226012A4">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dimension captures the foundational computational mechanism used for detection:</w:t>
      </w:r>
    </w:p>
    <w:p w14:paraId="26F2BBBC">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Clustering-based:</w:t>
      </w:r>
      <w:r>
        <w:rPr>
          <w:rFonts w:hint="default" w:ascii="Times New Roman" w:hAnsi="Times New Roman" w:cs="Times New Roman"/>
          <w:b w:val="0"/>
          <w:bCs w:val="0"/>
          <w:sz w:val="24"/>
          <w:szCs w:val="24"/>
        </w:rPr>
        <w:t xml:space="preserve"> DBSCAN, K-DBSCAN, GWOKM — ideal for unsupervised pattern discovery in unlabeled data.</w:t>
      </w:r>
    </w:p>
    <w:p w14:paraId="43AECB63">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Classifier-based:</w:t>
      </w:r>
      <w:r>
        <w:rPr>
          <w:rFonts w:hint="default" w:ascii="Times New Roman" w:hAnsi="Times New Roman" w:cs="Times New Roman"/>
          <w:b w:val="0"/>
          <w:bCs w:val="0"/>
          <w:sz w:val="24"/>
          <w:szCs w:val="24"/>
        </w:rPr>
        <w:t xml:space="preserve"> SVM, EMSVM — effective for structured and semi-labeled data with class boundaries.</w:t>
      </w:r>
    </w:p>
    <w:p w14:paraId="3F5B6D2C">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Ensemble-based:</w:t>
      </w:r>
      <w:r>
        <w:rPr>
          <w:rFonts w:hint="default" w:ascii="Times New Roman" w:hAnsi="Times New Roman" w:cs="Times New Roman"/>
          <w:b w:val="0"/>
          <w:bCs w:val="0"/>
          <w:sz w:val="24"/>
          <w:szCs w:val="24"/>
        </w:rPr>
        <w:t xml:space="preserve"> RF, IF, RIFIFI — combine multiple weak learners to enhance robustness.</w:t>
      </w:r>
    </w:p>
    <w:p w14:paraId="377255DF">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Neural-based:</w:t>
      </w:r>
      <w:r>
        <w:rPr>
          <w:rFonts w:hint="default" w:ascii="Times New Roman" w:hAnsi="Times New Roman" w:cs="Times New Roman"/>
          <w:b w:val="0"/>
          <w:bCs w:val="0"/>
          <w:sz w:val="24"/>
          <w:szCs w:val="24"/>
        </w:rPr>
        <w:t xml:space="preserve"> AE, LSTM, CNN — leverage deep architectures for temporal or nonlinear relationships.</w:t>
      </w:r>
    </w:p>
    <w:p w14:paraId="34705F59">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Hybrid/Optimization-based:</w:t>
      </w:r>
      <w:r>
        <w:rPr>
          <w:rFonts w:hint="default" w:ascii="Times New Roman" w:hAnsi="Times New Roman" w:cs="Times New Roman"/>
          <w:b w:val="0"/>
          <w:bCs w:val="0"/>
          <w:sz w:val="24"/>
          <w:szCs w:val="24"/>
        </w:rPr>
        <w:t xml:space="preserve"> GWOKM, ACO-RF, AE-IF — fuse paradigms to enhance both detection performance and scalability.</w:t>
      </w:r>
    </w:p>
    <w:p w14:paraId="669E91F3">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Style w:val="92"/>
          <w:rFonts w:hint="default" w:ascii="Times New Roman" w:hAnsi="Times New Roman" w:cs="Times New Roman"/>
          <w:b w:val="0"/>
          <w:bCs w:val="0"/>
          <w:sz w:val="24"/>
          <w:szCs w:val="24"/>
        </w:rPr>
      </w:pPr>
    </w:p>
    <w:p w14:paraId="00D9B9B4">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(b) Interpretability Level</w:t>
      </w:r>
    </w:p>
    <w:p w14:paraId="299C813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dimension defines how transparent and explainable each model is to end-users or domain experts:</w:t>
      </w:r>
    </w:p>
    <w:p w14:paraId="10C589F9">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Opaque Models:</w:t>
      </w:r>
      <w:r>
        <w:rPr>
          <w:rFonts w:hint="default" w:ascii="Times New Roman" w:hAnsi="Times New Roman" w:cs="Times New Roman"/>
          <w:b w:val="0"/>
          <w:bCs w:val="0"/>
          <w:sz w:val="24"/>
          <w:szCs w:val="24"/>
        </w:rPr>
        <w:t xml:space="preserve"> Deep neural networks (AE, CNN) — high accuracy but low interpretability.</w:t>
      </w:r>
    </w:p>
    <w:p w14:paraId="19FEE44C">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Semi-Transparent Models:</w:t>
      </w:r>
      <w:r>
        <w:rPr>
          <w:rFonts w:hint="default" w:ascii="Times New Roman" w:hAnsi="Times New Roman" w:cs="Times New Roman"/>
          <w:b w:val="0"/>
          <w:bCs w:val="0"/>
          <w:sz w:val="24"/>
          <w:szCs w:val="24"/>
        </w:rPr>
        <w:t xml:space="preserve"> Random Forests, Isolation Forests — partial feature importance insights.</w:t>
      </w:r>
    </w:p>
    <w:p w14:paraId="682A6295">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Fully Explainable Models:</w:t>
      </w:r>
      <w:r>
        <w:rPr>
          <w:rFonts w:hint="default" w:ascii="Times New Roman" w:hAnsi="Times New Roman" w:cs="Times New Roman"/>
          <w:b w:val="0"/>
          <w:bCs w:val="0"/>
          <w:sz w:val="24"/>
          <w:szCs w:val="24"/>
        </w:rPr>
        <w:t xml:space="preserve"> DIFFI, RIFIFI, ALIF — offer explicit feature attribution, anomaly reasoning, and visual interpretability.</w:t>
      </w:r>
    </w:p>
    <w:p w14:paraId="66A386BB">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Style w:val="92"/>
          <w:rFonts w:hint="default" w:ascii="Times New Roman" w:hAnsi="Times New Roman" w:cs="Times New Roman"/>
          <w:b w:val="0"/>
          <w:bCs w:val="0"/>
          <w:sz w:val="24"/>
          <w:szCs w:val="24"/>
        </w:rPr>
      </w:pPr>
    </w:p>
    <w:p w14:paraId="6B696F89">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 Application Domain</w:t>
      </w:r>
    </w:p>
    <w:p w14:paraId="18B90F20">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ML models for anomaly detection increasingly span multiple domains:</w:t>
      </w:r>
    </w:p>
    <w:p w14:paraId="03FCFF07">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Cybersecurity:</w:t>
      </w:r>
      <w:r>
        <w:rPr>
          <w:rFonts w:hint="default" w:ascii="Times New Roman" w:hAnsi="Times New Roman" w:cs="Times New Roman"/>
          <w:b w:val="0"/>
          <w:bCs w:val="0"/>
          <w:sz w:val="24"/>
          <w:szCs w:val="24"/>
        </w:rPr>
        <w:t xml:space="preserve"> Adaptive SVMs, ACO-RF, DIFFI.</w:t>
      </w:r>
    </w:p>
    <w:p w14:paraId="6E3F8A10">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Industrial Systems:</w:t>
      </w:r>
      <w:r>
        <w:rPr>
          <w:rFonts w:hint="default" w:ascii="Times New Roman" w:hAnsi="Times New Roman" w:cs="Times New Roman"/>
          <w:b w:val="0"/>
          <w:bCs w:val="0"/>
          <w:sz w:val="24"/>
          <w:szCs w:val="24"/>
        </w:rPr>
        <w:t xml:space="preserve"> EMSVM, ALIF, RF-based monitoring.</w:t>
      </w:r>
    </w:p>
    <w:p w14:paraId="7CBA119C">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Environmental and Geochemical:</w:t>
      </w:r>
      <w:r>
        <w:rPr>
          <w:rFonts w:hint="default" w:ascii="Times New Roman" w:hAnsi="Times New Roman" w:cs="Times New Roman"/>
          <w:b w:val="0"/>
          <w:bCs w:val="0"/>
          <w:sz w:val="24"/>
          <w:szCs w:val="24"/>
        </w:rPr>
        <w:t xml:space="preserve"> GWOKM, singularity mapping K-Means.</w:t>
      </w:r>
    </w:p>
    <w:p w14:paraId="319D95D2">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Renewable Energy:</w:t>
      </w:r>
      <w:r>
        <w:rPr>
          <w:rFonts w:hint="default" w:ascii="Times New Roman" w:hAnsi="Times New Roman" w:cs="Times New Roman"/>
          <w:b w:val="0"/>
          <w:bCs w:val="0"/>
          <w:sz w:val="24"/>
          <w:szCs w:val="24"/>
        </w:rPr>
        <w:t xml:space="preserve"> LSTM–AE hybrids for photovoltaic fault detection.</w:t>
      </w:r>
    </w:p>
    <w:p w14:paraId="2BFB50BC">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Healthcare and IoT:</w:t>
      </w:r>
      <w:r>
        <w:rPr>
          <w:rFonts w:hint="default" w:ascii="Times New Roman" w:hAnsi="Times New Roman" w:cs="Times New Roman"/>
          <w:b w:val="0"/>
          <w:bCs w:val="0"/>
          <w:sz w:val="24"/>
          <w:szCs w:val="24"/>
        </w:rPr>
        <w:t xml:space="preserve"> Federated Autoencoders and drift-adaptive ensembles.</w:t>
      </w:r>
    </w:p>
    <w:p w14:paraId="4526C7AF">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1AB69F1">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This taxonomy enables a unified view of the anomaly detection landscape, connecting algorithmic innovation with explainability requirements and domain-specific constraints.</w:t>
      </w:r>
    </w:p>
    <w:p w14:paraId="3D406F8F">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503F6DC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5.3 Cross-Domain Insights</w:t>
      </w:r>
    </w:p>
    <w:p w14:paraId="223F924A">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integrative review highlights several </w:t>
      </w:r>
      <w:r>
        <w:rPr>
          <w:rStyle w:val="92"/>
          <w:rFonts w:hint="default" w:ascii="Times New Roman" w:hAnsi="Times New Roman" w:cs="Times New Roman"/>
          <w:b w:val="0"/>
          <w:bCs w:val="0"/>
          <w:sz w:val="24"/>
          <w:szCs w:val="24"/>
        </w:rPr>
        <w:t>cross-domain insights</w:t>
      </w:r>
      <w:r>
        <w:rPr>
          <w:rFonts w:hint="default" w:ascii="Times New Roman" w:hAnsi="Times New Roman" w:cs="Times New Roman"/>
          <w:b w:val="0"/>
          <w:bCs w:val="0"/>
          <w:sz w:val="24"/>
          <w:szCs w:val="24"/>
        </w:rPr>
        <w:t xml:space="preserve"> that were not apparent in prior surveys:</w:t>
      </w:r>
    </w:p>
    <w:p w14:paraId="0798DC86">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Hybridization Enhances Transferability:</w:t>
      </w:r>
      <w:r>
        <w:rPr>
          <w:rFonts w:hint="default" w:ascii="Times New Roman" w:hAnsi="Times New Roman" w:cs="Times New Roman"/>
          <w:b w:val="0"/>
          <w:bCs w:val="0"/>
          <w:sz w:val="24"/>
          <w:szCs w:val="24"/>
        </w:rPr>
        <w:t xml:space="preserve"> Models such as GWOKM and ACO-RF achieve high accuracy across domains due to their flexible optimization mechanisms.</w:t>
      </w:r>
    </w:p>
    <w:p w14:paraId="182CBAFB">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Explainability Drives Adoption:</w:t>
      </w:r>
      <w:r>
        <w:rPr>
          <w:rFonts w:hint="default" w:ascii="Times New Roman" w:hAnsi="Times New Roman" w:cs="Times New Roman"/>
          <w:b w:val="0"/>
          <w:bCs w:val="0"/>
          <w:sz w:val="24"/>
          <w:szCs w:val="24"/>
        </w:rPr>
        <w:t xml:space="preserve"> Algorithms incorporating feature attribution (DIFFI, RIFIFI) are more readily integrated into high-stakes fields (e.g., energy systems, healthcare).</w:t>
      </w:r>
    </w:p>
    <w:p w14:paraId="571D806D">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Concept Drift Adaptation is Essential:</w:t>
      </w:r>
      <w:r>
        <w:rPr>
          <w:rFonts w:hint="default" w:ascii="Times New Roman" w:hAnsi="Times New Roman" w:cs="Times New Roman"/>
          <w:b w:val="0"/>
          <w:bCs w:val="0"/>
          <w:sz w:val="24"/>
          <w:szCs w:val="24"/>
        </w:rPr>
        <w:t xml:space="preserve"> Dynamic domains (network traffic, IoT) benefit most from adaptive frameworks like IForestASD and ERbCDD.</w:t>
      </w:r>
    </w:p>
    <w:p w14:paraId="38861CAA">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Data-Centric Strategies Are Emerging:</w:t>
      </w:r>
      <w:r>
        <w:rPr>
          <w:rFonts w:hint="default" w:ascii="Times New Roman" w:hAnsi="Times New Roman" w:cs="Times New Roman"/>
          <w:b w:val="0"/>
          <w:bCs w:val="0"/>
          <w:sz w:val="24"/>
          <w:szCs w:val="24"/>
        </w:rPr>
        <w:t xml:space="preserve"> Techniques emphasizing data quality—augmentation, federated learning, and feature engineering—outperform model-centric pipelines when labeled data is scarce.</w:t>
      </w:r>
    </w:p>
    <w:p w14:paraId="6895101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B892928">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These insights collectively redefine the evaluation criteria for anomaly detection, prioritizing transparency, resilience, and contextual adaptability over pure accuracy metrics.</w:t>
      </w:r>
    </w:p>
    <w:p w14:paraId="459344D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4E21E7F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5.4 Future Research Directions</w:t>
      </w:r>
    </w:p>
    <w:p w14:paraId="650F9A6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Based on the synthesis and taxonomy, five major future research trajectories are proposed:</w:t>
      </w:r>
    </w:p>
    <w:p w14:paraId="669A6483">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Integration of Explainable AI (XAI) in Real-Time Detection Systems:</w:t>
      </w:r>
      <w:r>
        <w:rPr>
          <w:rFonts w:hint="default" w:ascii="Times New Roman" w:hAnsi="Times New Roman" w:cs="Times New Roman"/>
          <w:b w:val="0"/>
          <w:bCs w:val="0"/>
          <w:sz w:val="24"/>
          <w:szCs w:val="24"/>
        </w:rPr>
        <w:br w:type="textWrapping"/>
      </w:r>
      <w:r>
        <w:rPr>
          <w:rFonts w:hint="default" w:ascii="Times New Roman" w:hAnsi="Times New Roman" w:cs="Times New Roman"/>
          <w:b w:val="0"/>
          <w:bCs w:val="0"/>
          <w:sz w:val="24"/>
          <w:szCs w:val="24"/>
        </w:rPr>
        <w:t>Future work should focus on embedding interpretability into model architectures to ensure actionable insights in safety-critical environments.</w:t>
      </w:r>
    </w:p>
    <w:p w14:paraId="5064D305">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Cross-Domain Transfer Learning and Meta-Learning:</w:t>
      </w:r>
      <w:r>
        <w:rPr>
          <w:rFonts w:hint="default" w:ascii="Times New Roman" w:hAnsi="Times New Roman" w:cs="Times New Roman"/>
          <w:b w:val="0"/>
          <w:bCs w:val="0"/>
          <w:sz w:val="24"/>
          <w:szCs w:val="24"/>
        </w:rPr>
        <w:br w:type="textWrapping"/>
      </w:r>
      <w:r>
        <w:rPr>
          <w:rFonts w:hint="default" w:ascii="Times New Roman" w:hAnsi="Times New Roman" w:cs="Times New Roman"/>
          <w:b w:val="0"/>
          <w:bCs w:val="0"/>
          <w:sz w:val="24"/>
          <w:szCs w:val="24"/>
        </w:rPr>
        <w:t>Developing generalizable models capable of learning transferable representations across domains remains an open challenge.</w:t>
      </w:r>
    </w:p>
    <w:p w14:paraId="6E2B7B6F">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Federated and Privacy-Preserving Anomaly Detection:</w:t>
      </w:r>
      <w:r>
        <w:rPr>
          <w:rFonts w:hint="default" w:ascii="Times New Roman" w:hAnsi="Times New Roman" w:cs="Times New Roman"/>
          <w:b w:val="0"/>
          <w:bCs w:val="0"/>
          <w:sz w:val="24"/>
          <w:szCs w:val="24"/>
        </w:rPr>
        <w:br w:type="textWrapping"/>
      </w:r>
      <w:r>
        <w:rPr>
          <w:rFonts w:hint="default" w:ascii="Times New Roman" w:hAnsi="Times New Roman" w:cs="Times New Roman"/>
          <w:b w:val="0"/>
          <w:bCs w:val="0"/>
          <w:sz w:val="24"/>
          <w:szCs w:val="24"/>
        </w:rPr>
        <w:t>With data decentralization becoming the norm, federated architectures must balance privacy, interpretability, and communication efficiency.</w:t>
      </w:r>
    </w:p>
    <w:p w14:paraId="739013B6">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Adaptive and Continual Learning for Concept Drift:</w:t>
      </w:r>
      <w:r>
        <w:rPr>
          <w:rFonts w:hint="default" w:ascii="Times New Roman" w:hAnsi="Times New Roman" w:cs="Times New Roman"/>
          <w:b w:val="0"/>
          <w:bCs w:val="0"/>
          <w:sz w:val="24"/>
          <w:szCs w:val="24"/>
        </w:rPr>
        <w:br w:type="textWrapping"/>
      </w:r>
      <w:r>
        <w:rPr>
          <w:rFonts w:hint="default" w:ascii="Times New Roman" w:hAnsi="Times New Roman" w:cs="Times New Roman"/>
          <w:b w:val="0"/>
          <w:bCs w:val="0"/>
          <w:sz w:val="24"/>
          <w:szCs w:val="24"/>
        </w:rPr>
        <w:t>Methods like IForestASD should evolve into continuous adaptation frameworks that can autonomously recalibrate under dynamic data streams.</w:t>
      </w:r>
    </w:p>
    <w:p w14:paraId="7C8B8F39">
      <w:pPr>
        <w:pStyle w:val="85"/>
        <w:keepNext w:val="0"/>
        <w:keepLines w:val="0"/>
        <w:pageBreakBefore w:val="0"/>
        <w:widowControl/>
        <w:numPr>
          <w:ilvl w:val="0"/>
          <w:numId w:val="18"/>
        </w:numPr>
        <w:suppressLineNumbers w:val="0"/>
        <w:kinsoku/>
        <w:wordWrap/>
        <w:overflowPunct/>
        <w:topLinePunct w:val="0"/>
        <w:autoSpaceDE/>
        <w:autoSpaceDN/>
        <w:bidi w:val="0"/>
        <w:adjustRightInd/>
        <w:snapToGrid/>
        <w:spacing w:beforeAutospacing="0" w:afterAutospacing="0" w:line="240" w:lineRule="auto"/>
        <w:ind w:left="420" w:leftChars="0" w:hanging="420" w:firstLineChars="0"/>
        <w:jc w:val="both"/>
        <w:textAlignment w:val="auto"/>
        <w:rPr>
          <w:rFonts w:hint="default" w:ascii="Times New Roman" w:hAnsi="Times New Roman" w:cs="Times New Roman"/>
          <w:b w:val="0"/>
          <w:bCs w:val="0"/>
          <w:sz w:val="24"/>
          <w:szCs w:val="24"/>
        </w:rPr>
      </w:pPr>
      <w:r>
        <w:rPr>
          <w:rStyle w:val="92"/>
          <w:rFonts w:hint="default" w:ascii="Times New Roman" w:hAnsi="Times New Roman" w:cs="Times New Roman"/>
          <w:b w:val="0"/>
          <w:bCs w:val="0"/>
          <w:sz w:val="24"/>
          <w:szCs w:val="24"/>
        </w:rPr>
        <w:t>Standardization of Benchmarking and Metrics:</w:t>
      </w:r>
      <w:r>
        <w:rPr>
          <w:rFonts w:hint="default" w:ascii="Times New Roman" w:hAnsi="Times New Roman" w:cs="Times New Roman"/>
          <w:b w:val="0"/>
          <w:bCs w:val="0"/>
          <w:sz w:val="24"/>
          <w:szCs w:val="24"/>
        </w:rPr>
        <w:br w:type="textWrapping"/>
      </w:r>
      <w:r>
        <w:rPr>
          <w:rFonts w:hint="default" w:ascii="Times New Roman" w:hAnsi="Times New Roman" w:cs="Times New Roman"/>
          <w:b w:val="0"/>
          <w:bCs w:val="0"/>
          <w:sz w:val="24"/>
          <w:szCs w:val="24"/>
        </w:rPr>
        <w:t>The research community should converge toward reproducible benchmarking practices that integrate both performance and explainability metrics (e.g., feature fidelity, interpretability score).</w:t>
      </w:r>
    </w:p>
    <w:p w14:paraId="3E9A3EDE">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3264601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5.5 Summary</w:t>
      </w:r>
    </w:p>
    <w:p w14:paraId="0BA63906">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proposed conceptual taxonomy (Figure 2) and the synthesis of results collectively illustrate that modern anomaly detection research is transitioning from </w:t>
      </w:r>
      <w:r>
        <w:rPr>
          <w:rStyle w:val="92"/>
          <w:rFonts w:hint="default" w:ascii="Times New Roman" w:hAnsi="Times New Roman" w:cs="Times New Roman"/>
          <w:b w:val="0"/>
          <w:bCs w:val="0"/>
          <w:sz w:val="24"/>
          <w:szCs w:val="24"/>
        </w:rPr>
        <w:t>algorithmic specialization to integrative intelligence</w:t>
      </w:r>
      <w:r>
        <w:rPr>
          <w:rFonts w:hint="default" w:ascii="Times New Roman" w:hAnsi="Times New Roman" w:cs="Times New Roman"/>
          <w:b w:val="0"/>
          <w:bCs w:val="0"/>
          <w:sz w:val="24"/>
          <w:szCs w:val="24"/>
        </w:rPr>
        <w:t>—where hybridization, explainability, and cross-domain learning converge. By connecting algorithmic innovation with domain-level application and interpretability needs, this review establishes a structured roadmap for advancing the next generation of ML-based anomaly detection systems.</w:t>
      </w:r>
    </w:p>
    <w:p w14:paraId="6D376833">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040CBDDA">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2D67A141">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jc w:val="both"/>
        <w:textAlignment w:val="auto"/>
        <w:rPr>
          <w:rFonts w:hint="default" w:ascii="Times New Roman" w:hAnsi="Times New Roman" w:cs="Times New Roman"/>
          <w:b/>
          <w:bCs/>
          <w:sz w:val="24"/>
          <w:szCs w:val="24"/>
        </w:rPr>
      </w:pPr>
      <w:r>
        <w:rPr>
          <w:rStyle w:val="92"/>
          <w:rFonts w:hint="default" w:ascii="Times New Roman" w:hAnsi="Times New Roman" w:cs="Times New Roman"/>
          <w:b/>
          <w:bCs/>
          <w:sz w:val="24"/>
          <w:szCs w:val="24"/>
        </w:rPr>
        <w:t>6. Conclusion and Implications</w:t>
      </w:r>
    </w:p>
    <w:p w14:paraId="7663DD3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This study conducted an integrative review of </w:t>
      </w:r>
      <w:r>
        <w:rPr>
          <w:rStyle w:val="92"/>
          <w:rFonts w:hint="default" w:ascii="Times New Roman" w:hAnsi="Times New Roman" w:cs="Times New Roman"/>
          <w:b w:val="0"/>
          <w:bCs w:val="0"/>
          <w:sz w:val="24"/>
          <w:szCs w:val="24"/>
        </w:rPr>
        <w:t>109 peer-reviewed studies</w:t>
      </w:r>
      <w:r>
        <w:rPr>
          <w:rFonts w:hint="default" w:ascii="Times New Roman" w:hAnsi="Times New Roman" w:cs="Times New Roman"/>
          <w:b w:val="0"/>
          <w:bCs w:val="0"/>
          <w:sz w:val="24"/>
          <w:szCs w:val="24"/>
        </w:rPr>
        <w:t xml:space="preserve"> published between 2020 and 2025, advancing the understanding of machine learning (ML) models for anomaly detection beyond the network-centric and pre-2021 perspectives offered by prior surveys such as </w:t>
      </w:r>
      <w:r>
        <w:rPr>
          <w:rStyle w:val="31"/>
          <w:rFonts w:hint="default" w:ascii="Times New Roman" w:hAnsi="Times New Roman" w:cs="Times New Roman"/>
          <w:b w:val="0"/>
          <w:bCs w:val="0"/>
          <w:sz w:val="24"/>
          <w:szCs w:val="24"/>
        </w:rPr>
        <w:t>Bou Nassif et al.</w:t>
      </w:r>
      <w:r>
        <w:rPr>
          <w:rFonts w:hint="default" w:ascii="Times New Roman" w:hAnsi="Times New Roman" w:cs="Times New Roman"/>
          <w:b w:val="0"/>
          <w:bCs w:val="0"/>
          <w:sz w:val="24"/>
          <w:szCs w:val="24"/>
        </w:rPr>
        <w:t xml:space="preserve"> (2021) and </w:t>
      </w:r>
      <w:r>
        <w:rPr>
          <w:rStyle w:val="31"/>
          <w:rFonts w:hint="default" w:ascii="Times New Roman" w:hAnsi="Times New Roman" w:cs="Times New Roman"/>
          <w:b w:val="0"/>
          <w:bCs w:val="0"/>
          <w:sz w:val="24"/>
          <w:szCs w:val="24"/>
        </w:rPr>
        <w:t>Yang et al.</w:t>
      </w:r>
      <w:r>
        <w:rPr>
          <w:rFonts w:hint="default" w:ascii="Times New Roman" w:hAnsi="Times New Roman" w:cs="Times New Roman"/>
          <w:b w:val="0"/>
          <w:bCs w:val="0"/>
          <w:sz w:val="24"/>
          <w:szCs w:val="24"/>
        </w:rPr>
        <w:t xml:space="preserve"> (2022). The synthesis provides an updated, cross-domain, and conceptually unified perspective on how anomaly detection has evolved in the era of hybrid, explainable, and adaptive artificial intelligence.</w:t>
      </w:r>
    </w:p>
    <w:p w14:paraId="2F60EF1E">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 results reveal four major trends. First, the increasing </w:t>
      </w:r>
      <w:r>
        <w:rPr>
          <w:rStyle w:val="92"/>
          <w:rFonts w:hint="default" w:ascii="Times New Roman" w:hAnsi="Times New Roman" w:cs="Times New Roman"/>
          <w:b w:val="0"/>
          <w:bCs w:val="0"/>
          <w:sz w:val="24"/>
          <w:szCs w:val="24"/>
        </w:rPr>
        <w:t>hybridization</w:t>
      </w:r>
      <w:r>
        <w:rPr>
          <w:rFonts w:hint="default" w:ascii="Times New Roman" w:hAnsi="Times New Roman" w:cs="Times New Roman"/>
          <w:b w:val="0"/>
          <w:bCs w:val="0"/>
          <w:sz w:val="24"/>
          <w:szCs w:val="24"/>
        </w:rPr>
        <w:t xml:space="preserve"> of algorithms—such as GWOKM, EMSVM, and ACO-RF—has enabled models to overcome the limitations of single-method frameworks, improving both accuracy and scalability. Second, the emergence of </w:t>
      </w:r>
      <w:r>
        <w:rPr>
          <w:rStyle w:val="92"/>
          <w:rFonts w:hint="default" w:ascii="Times New Roman" w:hAnsi="Times New Roman" w:cs="Times New Roman"/>
          <w:b w:val="0"/>
          <w:bCs w:val="0"/>
          <w:sz w:val="24"/>
          <w:szCs w:val="24"/>
        </w:rPr>
        <w:t>explainable ML paradigms</w:t>
      </w:r>
      <w:r>
        <w:rPr>
          <w:rFonts w:hint="default" w:ascii="Times New Roman" w:hAnsi="Times New Roman" w:cs="Times New Roman"/>
          <w:b w:val="0"/>
          <w:bCs w:val="0"/>
          <w:sz w:val="24"/>
          <w:szCs w:val="24"/>
        </w:rPr>
        <w:t xml:space="preserve">, including DIFFI, RIFIFI, and ALIF, has shifted the focus from pure performance to transparency and human interpretability, allowing anomaly detection systems to be trusted in safety-critical and high-stakes domains. Third, the </w:t>
      </w:r>
      <w:r>
        <w:rPr>
          <w:rStyle w:val="92"/>
          <w:rFonts w:hint="default" w:ascii="Times New Roman" w:hAnsi="Times New Roman" w:cs="Times New Roman"/>
          <w:b w:val="0"/>
          <w:bCs w:val="0"/>
          <w:sz w:val="24"/>
          <w:szCs w:val="24"/>
        </w:rPr>
        <w:t>rise of adaptive learning</w:t>
      </w:r>
      <w:r>
        <w:rPr>
          <w:rFonts w:hint="default" w:ascii="Times New Roman" w:hAnsi="Times New Roman" w:cs="Times New Roman"/>
          <w:b w:val="0"/>
          <w:bCs w:val="0"/>
          <w:sz w:val="24"/>
          <w:szCs w:val="24"/>
        </w:rPr>
        <w:t xml:space="preserve"> and concept drift handling methods (e.g., IForestASD, ERbCDD, federated autoencoders) reflects a growing emphasis on robustness in dynamic and decentralized environments. Finally, the </w:t>
      </w:r>
      <w:r>
        <w:rPr>
          <w:rStyle w:val="92"/>
          <w:rFonts w:hint="default" w:ascii="Times New Roman" w:hAnsi="Times New Roman" w:cs="Times New Roman"/>
          <w:b w:val="0"/>
          <w:bCs w:val="0"/>
          <w:sz w:val="24"/>
          <w:szCs w:val="24"/>
        </w:rPr>
        <w:t>cross-domain expansion</w:t>
      </w:r>
      <w:r>
        <w:rPr>
          <w:rFonts w:hint="default" w:ascii="Times New Roman" w:hAnsi="Times New Roman" w:cs="Times New Roman"/>
          <w:b w:val="0"/>
          <w:bCs w:val="0"/>
          <w:sz w:val="24"/>
          <w:szCs w:val="24"/>
        </w:rPr>
        <w:t xml:space="preserve"> of anomaly detection—from cybersecurity to industrial systems, healthcare, geochemical exploration, and renewable energy—demonstrates the generalizability of ML-based frameworks when supported by optimized data preprocessing and contextual modeling.</w:t>
      </w:r>
    </w:p>
    <w:p w14:paraId="42774CF6">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Theoretically, this review contributes a </w:t>
      </w:r>
      <w:r>
        <w:rPr>
          <w:rStyle w:val="92"/>
          <w:rFonts w:hint="default" w:ascii="Times New Roman" w:hAnsi="Times New Roman" w:cs="Times New Roman"/>
          <w:b w:val="0"/>
          <w:bCs w:val="0"/>
          <w:sz w:val="24"/>
          <w:szCs w:val="24"/>
        </w:rPr>
        <w:t>conceptual taxonomy</w:t>
      </w:r>
      <w:r>
        <w:rPr>
          <w:rFonts w:hint="default" w:ascii="Times New Roman" w:hAnsi="Times New Roman" w:cs="Times New Roman"/>
          <w:b w:val="0"/>
          <w:bCs w:val="0"/>
          <w:sz w:val="24"/>
          <w:szCs w:val="24"/>
        </w:rPr>
        <w:t xml:space="preserve"> that links algorithmic family, interpretability level, and domain application into a coherent structure. This taxonomy not only consolidates recent advances but also clarifies interdependencies among models, metrics, and data contexts—providing a foundation for future comparative and benchmarking research.</w:t>
      </w:r>
    </w:p>
    <w:p w14:paraId="608D4A0F">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Practically, the findings suggest that effective anomaly detection requires </w:t>
      </w:r>
      <w:r>
        <w:rPr>
          <w:rStyle w:val="92"/>
          <w:rFonts w:hint="default" w:ascii="Times New Roman" w:hAnsi="Times New Roman" w:cs="Times New Roman"/>
          <w:b w:val="0"/>
          <w:bCs w:val="0"/>
          <w:sz w:val="24"/>
          <w:szCs w:val="24"/>
        </w:rPr>
        <w:t>balanced integration</w:t>
      </w:r>
      <w:r>
        <w:rPr>
          <w:rFonts w:hint="default" w:ascii="Times New Roman" w:hAnsi="Times New Roman" w:cs="Times New Roman"/>
          <w:b w:val="0"/>
          <w:bCs w:val="0"/>
          <w:sz w:val="24"/>
          <w:szCs w:val="24"/>
        </w:rPr>
        <w:t xml:space="preserve"> of performance, interpretability, and adaptability. Researchers and practitioners are encouraged to adopt hybrid and explainable models that can generalize across domains while maintaining interpretive transparency. Additionally, future work should prioritize </w:t>
      </w:r>
      <w:r>
        <w:rPr>
          <w:rStyle w:val="92"/>
          <w:rFonts w:hint="default" w:ascii="Times New Roman" w:hAnsi="Times New Roman" w:cs="Times New Roman"/>
          <w:b w:val="0"/>
          <w:bCs w:val="0"/>
          <w:sz w:val="24"/>
          <w:szCs w:val="24"/>
        </w:rPr>
        <w:t>standardized evaluation protocols</w:t>
      </w:r>
      <w:r>
        <w:rPr>
          <w:rFonts w:hint="default" w:ascii="Times New Roman" w:hAnsi="Times New Roman" w:cs="Times New Roman"/>
          <w:b w:val="0"/>
          <w:bCs w:val="0"/>
          <w:sz w:val="24"/>
          <w:szCs w:val="24"/>
        </w:rPr>
        <w:t xml:space="preserve"> and </w:t>
      </w:r>
      <w:r>
        <w:rPr>
          <w:rStyle w:val="92"/>
          <w:rFonts w:hint="default" w:ascii="Times New Roman" w:hAnsi="Times New Roman" w:cs="Times New Roman"/>
          <w:b w:val="0"/>
          <w:bCs w:val="0"/>
          <w:sz w:val="24"/>
          <w:szCs w:val="24"/>
        </w:rPr>
        <w:t>data-centric methodologies</w:t>
      </w:r>
      <w:r>
        <w:rPr>
          <w:rFonts w:hint="default" w:ascii="Times New Roman" w:hAnsi="Times New Roman" w:cs="Times New Roman"/>
          <w:b w:val="0"/>
          <w:bCs w:val="0"/>
          <w:sz w:val="24"/>
          <w:szCs w:val="24"/>
        </w:rPr>
        <w:t>, ensuring reproducibility and fairness across heterogeneous datasets.</w:t>
      </w:r>
    </w:p>
    <w:p w14:paraId="3431A4D6">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 xml:space="preserve">In conclusion, this review bridges the gap between earlier systematic surveys and the emerging generation of </w:t>
      </w:r>
      <w:r>
        <w:rPr>
          <w:rStyle w:val="92"/>
          <w:rFonts w:hint="default" w:ascii="Times New Roman" w:hAnsi="Times New Roman" w:cs="Times New Roman"/>
          <w:b w:val="0"/>
          <w:bCs w:val="0"/>
          <w:sz w:val="24"/>
          <w:szCs w:val="24"/>
        </w:rPr>
        <w:t>intelligent, interpretable, and adaptive anomaly detection systems</w:t>
      </w:r>
      <w:r>
        <w:rPr>
          <w:rFonts w:hint="default" w:ascii="Times New Roman" w:hAnsi="Times New Roman" w:cs="Times New Roman"/>
          <w:b w:val="0"/>
          <w:bCs w:val="0"/>
          <w:sz w:val="24"/>
          <w:szCs w:val="24"/>
        </w:rPr>
        <w:t>. By unifying algorithmic evolution with explainability and cross-domain learning, it provides a comprehensive reference point for both academic inquiry and real-world deployment of machine learning models in anomaly detection.</w:t>
      </w:r>
    </w:p>
    <w:p w14:paraId="7CF9A2D5">
      <w:pPr>
        <w:keepNext w:val="0"/>
        <w:keepLines w:val="0"/>
        <w:pageBreakBefore w:val="0"/>
        <w:widowControl/>
        <w:suppressLineNumbers w:val="0"/>
        <w:kinsoku/>
        <w:wordWrap/>
        <w:overflowPunct/>
        <w:topLinePunct w:val="0"/>
        <w:autoSpaceDE/>
        <w:autoSpaceDN/>
        <w:bidi w:val="0"/>
        <w:adjustRightInd/>
        <w:snapToGrid/>
        <w:spacing w:beforeAutospacing="0" w:afterAutospacing="0" w:line="240" w:lineRule="auto"/>
        <w:jc w:val="both"/>
        <w:textAlignment w:val="auto"/>
        <w:rPr>
          <w:rFonts w:hint="default" w:ascii="Times New Roman" w:hAnsi="Times New Roman" w:cs="Times New Roman"/>
          <w:b w:val="0"/>
          <w:bCs w:val="0"/>
          <w:sz w:val="24"/>
          <w:szCs w:val="24"/>
        </w:rPr>
      </w:pPr>
    </w:p>
    <w:p w14:paraId="3FF9076B">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60733CAE">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549D3DB6">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Reference</w:t>
      </w:r>
    </w:p>
    <w:p w14:paraId="1FA1E256">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lang w:val="en-US"/>
        </w:rPr>
      </w:pPr>
    </w:p>
    <w:p w14:paraId="34F6EB8F">
      <w:pPr>
        <w:shd w:val="clear" w:color="auto" w:fill="FFFFFF"/>
        <w:ind w:left="360" w:hanging="360"/>
        <w:jc w:val="both"/>
        <w:rPr>
          <w:rFonts w:ascii="Times New Roman" w:hAnsi="Times New Roman" w:eastAsia="Helvetica"/>
          <w:color w:val="000000"/>
          <w:sz w:val="24"/>
          <w:szCs w:val="24"/>
        </w:rPr>
      </w:pPr>
      <w:r>
        <w:rPr>
          <w:rFonts w:ascii="Times New Roman" w:hAnsi="Times New Roman" w:eastAsia="Helvetica"/>
          <w:color w:val="000000"/>
          <w:sz w:val="24"/>
          <w:szCs w:val="24"/>
          <w:shd w:val="clear" w:color="auto" w:fill="FFFFFF"/>
          <w:lang w:bidi="ar"/>
        </w:rPr>
        <w:t>Abdallah, A., Alkaabi, A., Alameri, G., Rafique, H., S., Musa, S., N., Murugan, &amp;, &amp; T. (2024). </w:t>
      </w:r>
      <w:r>
        <w:rPr>
          <w:rFonts w:ascii="Times New Roman" w:hAnsi="Times New Roman" w:eastAsia="Helvetica"/>
          <w:i/>
          <w:iCs/>
          <w:color w:val="000000"/>
          <w:sz w:val="24"/>
          <w:szCs w:val="24"/>
          <w:shd w:val="clear" w:color="auto" w:fill="FFFFFF"/>
          <w:lang w:bidi="ar"/>
        </w:rPr>
        <w:t>. Cloud Network Anomaly Detection Using Machine and Deep Learning Techniques-Recent Research Advancements</w:t>
      </w:r>
      <w:r>
        <w:rPr>
          <w:rFonts w:ascii="Times New Roman" w:hAnsi="Times New Roman" w:eastAsia="Helvetica"/>
          <w:color w:val="000000"/>
          <w:sz w:val="24"/>
          <w:szCs w:val="24"/>
          <w:shd w:val="clear" w:color="auto" w:fill="FFFFFF"/>
          <w:lang w:bidi="ar"/>
        </w:rPr>
        <w:t>.</w:t>
      </w:r>
    </w:p>
    <w:p w14:paraId="7FB78CEF">
      <w:pPr>
        <w:shd w:val="clear" w:color="auto" w:fill="FFFFFF"/>
        <w:ind w:left="360" w:hanging="360"/>
        <w:jc w:val="both"/>
        <w:rPr>
          <w:rFonts w:ascii="Times New Roman" w:hAnsi="Times New Roman" w:eastAsia="Helvetica"/>
          <w:color w:val="000000"/>
          <w:sz w:val="24"/>
          <w:szCs w:val="24"/>
        </w:rPr>
      </w:pPr>
      <w:r>
        <w:rPr>
          <w:rFonts w:ascii="Times New Roman" w:hAnsi="Times New Roman" w:eastAsia="Helvetica"/>
          <w:color w:val="000000"/>
          <w:sz w:val="24"/>
          <w:szCs w:val="24"/>
          <w:shd w:val="clear" w:color="auto" w:fill="FFFFFF"/>
          <w:lang w:bidi="ar"/>
        </w:rPr>
        <w:t>Abdelrahman, H., O., Gelenbe, E., Görbil, G., Oklander, &amp;, &amp; B. (2013). </w:t>
      </w:r>
      <w:r>
        <w:rPr>
          <w:rFonts w:ascii="Times New Roman" w:hAnsi="Times New Roman" w:eastAsia="Helvetica"/>
          <w:i/>
          <w:iCs/>
          <w:color w:val="000000"/>
          <w:sz w:val="24"/>
          <w:szCs w:val="24"/>
          <w:shd w:val="clear" w:color="auto" w:fill="FFFFFF"/>
          <w:lang w:bidi="ar"/>
        </w:rPr>
        <w:t>. Mobile network anomaly detection and mitigation: The NEMESYS approach. 429–438</w:t>
      </w:r>
      <w:r>
        <w:rPr>
          <w:rFonts w:ascii="Times New Roman" w:hAnsi="Times New Roman" w:eastAsia="Helvetica"/>
          <w:color w:val="000000"/>
          <w:sz w:val="24"/>
          <w:szCs w:val="24"/>
          <w:shd w:val="clear" w:color="auto" w:fill="FFFFFF"/>
          <w:lang w:bidi="ar"/>
        </w:rPr>
        <w:t>.</w:t>
      </w:r>
    </w:p>
    <w:p w14:paraId="3FA6B1AC">
      <w:pPr>
        <w:shd w:val="clear" w:color="auto" w:fill="FFFFFF"/>
        <w:ind w:left="360" w:hanging="360"/>
        <w:jc w:val="both"/>
        <w:rPr>
          <w:rFonts w:ascii="Times New Roman" w:hAnsi="Times New Roman" w:eastAsia="Helvetica"/>
          <w:color w:val="000000"/>
          <w:sz w:val="24"/>
          <w:szCs w:val="24"/>
        </w:rPr>
      </w:pPr>
      <w:r>
        <w:rPr>
          <w:rFonts w:ascii="Times New Roman" w:hAnsi="Times New Roman" w:eastAsia="Helvetica"/>
          <w:color w:val="000000"/>
          <w:sz w:val="24"/>
          <w:szCs w:val="24"/>
          <w:shd w:val="clear" w:color="auto" w:fill="FFFFFF"/>
          <w:lang w:bidi="ar"/>
        </w:rPr>
        <w:t>Abdiyeva-Aliyeva, G., Aliyev, J., Sadigov, &amp;, &amp; U. (2022). </w:t>
      </w:r>
      <w:r>
        <w:rPr>
          <w:rFonts w:ascii="Times New Roman" w:hAnsi="Times New Roman" w:eastAsia="Helvetica"/>
          <w:i/>
          <w:iCs/>
          <w:color w:val="000000"/>
          <w:sz w:val="24"/>
          <w:szCs w:val="24"/>
          <w:shd w:val="clear" w:color="auto" w:fill="FFFFFF"/>
          <w:lang w:bidi="ar"/>
        </w:rPr>
        <w:t>. Application of classification algorithms of Machine learning in cybersecurity. 215, 909–919</w:t>
      </w:r>
      <w:r>
        <w:rPr>
          <w:rFonts w:ascii="Times New Roman" w:hAnsi="Times New Roman" w:eastAsia="Helvetica"/>
          <w:color w:val="000000"/>
          <w:sz w:val="24"/>
          <w:szCs w:val="24"/>
          <w:shd w:val="clear" w:color="auto" w:fill="FFFFFF"/>
          <w:lang w:bidi="ar"/>
        </w:rPr>
        <w:t>. https://doi.org/10.1016/j.procs.2022.12.093</w:t>
      </w:r>
    </w:p>
    <w:p w14:paraId="78FAEF45">
      <w:pPr>
        <w:shd w:val="clear" w:color="auto" w:fill="FFFFFF"/>
        <w:ind w:left="360" w:hanging="360"/>
        <w:jc w:val="both"/>
        <w:rPr>
          <w:rFonts w:ascii="Times New Roman" w:hAnsi="Times New Roman" w:eastAsia="Helvetica"/>
          <w:color w:val="000000"/>
          <w:sz w:val="24"/>
          <w:szCs w:val="24"/>
        </w:rPr>
      </w:pPr>
      <w:r>
        <w:rPr>
          <w:rFonts w:ascii="Times New Roman" w:hAnsi="Times New Roman" w:eastAsia="Helvetica"/>
          <w:color w:val="000000"/>
          <w:sz w:val="24"/>
          <w:szCs w:val="24"/>
          <w:shd w:val="clear" w:color="auto" w:fill="FFFFFF"/>
          <w:lang w:bidi="ar"/>
        </w:rPr>
        <w:t>Abdulghani, Q., A., UCAN, N., O., Alheeti, &amp;, &amp; A., K. M. (2021). </w:t>
      </w:r>
      <w:r>
        <w:rPr>
          <w:rFonts w:ascii="Times New Roman" w:hAnsi="Times New Roman" w:eastAsia="Helvetica"/>
          <w:i/>
          <w:iCs/>
          <w:color w:val="000000"/>
          <w:sz w:val="24"/>
          <w:szCs w:val="24"/>
          <w:shd w:val="clear" w:color="auto" w:fill="FFFFFF"/>
          <w:lang w:bidi="ar"/>
        </w:rPr>
        <w:t>Credit card fraud detection using XGBoost algorithm</w:t>
      </w:r>
      <w:r>
        <w:rPr>
          <w:rFonts w:ascii="Times New Roman" w:hAnsi="Times New Roman" w:eastAsia="Helvetica"/>
          <w:color w:val="000000"/>
          <w:sz w:val="24"/>
          <w:szCs w:val="24"/>
          <w:shd w:val="clear" w:color="auto" w:fill="FFFFFF"/>
          <w:lang w:bidi="ar"/>
        </w:rPr>
        <w:t>. </w:t>
      </w:r>
      <w:r>
        <w:rPr>
          <w:rFonts w:ascii="Times New Roman" w:hAnsi="Times New Roman" w:eastAsia="Helvetica"/>
          <w:i/>
          <w:iCs/>
          <w:color w:val="000000"/>
          <w:sz w:val="24"/>
          <w:szCs w:val="24"/>
          <w:shd w:val="clear" w:color="auto" w:fill="FFFFFF"/>
          <w:lang w:bidi="ar"/>
        </w:rPr>
        <w:t>2021</w:t>
      </w:r>
      <w:r>
        <w:rPr>
          <w:rFonts w:ascii="Times New Roman" w:hAnsi="Times New Roman" w:eastAsia="Helvetica"/>
          <w:color w:val="000000"/>
          <w:sz w:val="24"/>
          <w:szCs w:val="24"/>
          <w:shd w:val="clear" w:color="auto" w:fill="FFFFFF"/>
          <w:lang w:bidi="ar"/>
        </w:rPr>
        <w:t>, 487–492. https://doi.org/10.1109/DeSE54285.2021.9719580</w:t>
      </w:r>
    </w:p>
    <w:p w14:paraId="4DBA1776">
      <w:pPr>
        <w:shd w:val="clear" w:color="auto" w:fill="FFFFFF"/>
        <w:ind w:left="360" w:hanging="360"/>
        <w:jc w:val="both"/>
        <w:rPr>
          <w:rFonts w:ascii="Times New Roman" w:hAnsi="Times New Roman" w:eastAsia="Helvetica"/>
          <w:color w:val="000000"/>
          <w:sz w:val="24"/>
          <w:szCs w:val="24"/>
        </w:rPr>
      </w:pPr>
      <w:r>
        <w:rPr>
          <w:rFonts w:ascii="Times New Roman" w:hAnsi="Times New Roman" w:eastAsia="Helvetica"/>
          <w:color w:val="000000"/>
          <w:sz w:val="24"/>
          <w:szCs w:val="24"/>
          <w:shd w:val="clear" w:color="auto" w:fill="FFFFFF"/>
          <w:lang w:bidi="ar"/>
        </w:rPr>
        <w:t>Abdulla, A. R., &amp; Jameel, N. G. M. (2023). </w:t>
      </w:r>
      <w:r>
        <w:rPr>
          <w:rFonts w:ascii="Times New Roman" w:hAnsi="Times New Roman" w:eastAsia="Helvetica"/>
          <w:i/>
          <w:iCs/>
          <w:color w:val="000000"/>
          <w:sz w:val="24"/>
          <w:szCs w:val="24"/>
          <w:shd w:val="clear" w:color="auto" w:fill="FFFFFF"/>
          <w:lang w:bidi="ar"/>
        </w:rPr>
        <w:t>A review on IoT intrusion detection systems using supervised machine learning: Techniques, datasets, and algorithms</w:t>
      </w:r>
      <w:r>
        <w:rPr>
          <w:rFonts w:ascii="Times New Roman" w:hAnsi="Times New Roman" w:eastAsia="Helvetica"/>
          <w:color w:val="000000"/>
          <w:sz w:val="24"/>
          <w:szCs w:val="24"/>
          <w:shd w:val="clear" w:color="auto" w:fill="FFFFFF"/>
          <w:lang w:bidi="ar"/>
        </w:rPr>
        <w:t>. </w:t>
      </w:r>
      <w:r>
        <w:rPr>
          <w:rFonts w:ascii="Times New Roman" w:hAnsi="Times New Roman" w:eastAsia="Helvetica"/>
          <w:i/>
          <w:iCs/>
          <w:color w:val="000000"/>
          <w:sz w:val="24"/>
          <w:szCs w:val="24"/>
          <w:shd w:val="clear" w:color="auto" w:fill="FFFFFF"/>
          <w:lang w:bidi="ar"/>
        </w:rPr>
        <w:t>7</w:t>
      </w:r>
      <w:r>
        <w:rPr>
          <w:rFonts w:ascii="Times New Roman" w:hAnsi="Times New Roman" w:eastAsia="Helvetica"/>
          <w:color w:val="000000"/>
          <w:sz w:val="24"/>
          <w:szCs w:val="24"/>
          <w:shd w:val="clear" w:color="auto" w:fill="FFFFFF"/>
          <w:lang w:bidi="ar"/>
        </w:rPr>
        <w:t>(1), 53–65.</w:t>
      </w:r>
    </w:p>
    <w:p w14:paraId="7722EB32">
      <w:pPr>
        <w:shd w:val="clear" w:color="auto" w:fill="FFFFFF"/>
        <w:ind w:left="360" w:hanging="360"/>
        <w:jc w:val="both"/>
        <w:rPr>
          <w:rFonts w:ascii="Times New Roman" w:hAnsi="Times New Roman" w:eastAsia="Helvetica"/>
          <w:color w:val="000000"/>
          <w:sz w:val="24"/>
          <w:szCs w:val="24"/>
        </w:rPr>
      </w:pPr>
      <w:r>
        <w:rPr>
          <w:rFonts w:ascii="Times New Roman" w:hAnsi="Times New Roman" w:eastAsia="Helvetica"/>
          <w:color w:val="000000"/>
          <w:sz w:val="24"/>
          <w:szCs w:val="24"/>
          <w:shd w:val="clear" w:color="auto" w:fill="FFFFFF"/>
          <w:lang w:bidi="ar"/>
        </w:rPr>
        <w:t>Abdulla, R., A., Jameel, &amp;, &amp; M., N. G. (2023). </w:t>
      </w:r>
      <w:r>
        <w:rPr>
          <w:rFonts w:ascii="Times New Roman" w:hAnsi="Times New Roman" w:eastAsia="Helvetica"/>
          <w:i/>
          <w:iCs/>
          <w:color w:val="000000"/>
          <w:sz w:val="24"/>
          <w:szCs w:val="24"/>
          <w:shd w:val="clear" w:color="auto" w:fill="FFFFFF"/>
          <w:lang w:bidi="ar"/>
        </w:rPr>
        <w:t>. A review on IoT intrusion detection systems using supervised machine learning: Techniques, datasets, and algorithms. 7(1), 53–65</w:t>
      </w:r>
      <w:r>
        <w:rPr>
          <w:rFonts w:ascii="Times New Roman" w:hAnsi="Times New Roman" w:eastAsia="Helvetica"/>
          <w:color w:val="000000"/>
          <w:sz w:val="24"/>
          <w:szCs w:val="24"/>
          <w:shd w:val="clear" w:color="auto" w:fill="FFFFFF"/>
          <w:lang w:bidi="ar"/>
        </w:rPr>
        <w:t>.</w:t>
      </w:r>
    </w:p>
    <w:p w14:paraId="11A5DB7F">
      <w:pPr>
        <w:shd w:val="clear" w:color="auto" w:fill="FFFFFF"/>
        <w:ind w:left="360" w:hanging="360"/>
        <w:jc w:val="both"/>
        <w:rPr>
          <w:rFonts w:ascii="Times New Roman" w:hAnsi="Times New Roman" w:eastAsia="Helvetica"/>
          <w:color w:val="000000"/>
          <w:sz w:val="24"/>
          <w:szCs w:val="24"/>
        </w:rPr>
      </w:pPr>
      <w:r>
        <w:rPr>
          <w:rFonts w:ascii="Times New Roman" w:hAnsi="Times New Roman" w:eastAsia="Helvetica"/>
          <w:color w:val="000000"/>
          <w:sz w:val="24"/>
          <w:szCs w:val="24"/>
          <w:shd w:val="clear" w:color="auto" w:fill="FFFFFF"/>
          <w:lang w:bidi="ar"/>
        </w:rPr>
        <w:t>Abdullayeva, &amp; J., F. (2021). </w:t>
      </w:r>
      <w:r>
        <w:rPr>
          <w:rFonts w:ascii="Times New Roman" w:hAnsi="Times New Roman" w:eastAsia="Helvetica"/>
          <w:i/>
          <w:iCs/>
          <w:color w:val="000000"/>
          <w:sz w:val="24"/>
          <w:szCs w:val="24"/>
          <w:shd w:val="clear" w:color="auto" w:fill="FFFFFF"/>
          <w:lang w:bidi="ar"/>
        </w:rPr>
        <w:t>. Advanced Persistent Threat attack detection method in cloud computing based on autoencoder and softmax regression algorithm. 10, 100067</w:t>
      </w:r>
      <w:r>
        <w:rPr>
          <w:rFonts w:ascii="Times New Roman" w:hAnsi="Times New Roman" w:eastAsia="Helvetica"/>
          <w:color w:val="000000"/>
          <w:sz w:val="24"/>
          <w:szCs w:val="24"/>
          <w:shd w:val="clear" w:color="auto" w:fill="FFFFFF"/>
          <w:lang w:bidi="ar"/>
        </w:rPr>
        <w:t>. https://doi.org/10.1016/j.array.2021.100067</w:t>
      </w:r>
    </w:p>
    <w:p w14:paraId="5FC52A27">
      <w:pPr>
        <w:shd w:val="clear" w:color="auto" w:fill="FFFFFF"/>
        <w:ind w:left="360" w:hanging="360"/>
        <w:jc w:val="both"/>
        <w:rPr>
          <w:rFonts w:ascii="Times New Roman" w:hAnsi="Times New Roman" w:eastAsia="Helvetica"/>
          <w:color w:val="000000"/>
          <w:sz w:val="24"/>
          <w:szCs w:val="24"/>
        </w:rPr>
      </w:pPr>
      <w:r>
        <w:rPr>
          <w:rFonts w:ascii="Times New Roman" w:hAnsi="Times New Roman" w:eastAsia="Helvetica"/>
          <w:color w:val="000000"/>
          <w:sz w:val="24"/>
          <w:szCs w:val="24"/>
          <w:shd w:val="clear" w:color="auto" w:fill="FFFFFF"/>
          <w:lang w:bidi="ar"/>
        </w:rPr>
        <w:t>Abinaya, N., Kumar, S., V., A., Chaturvedi, A., Arya, &amp; N. (2023). </w:t>
      </w:r>
      <w:r>
        <w:rPr>
          <w:rFonts w:ascii="Times New Roman" w:hAnsi="Times New Roman" w:eastAsia="Helvetica"/>
          <w:i/>
          <w:iCs/>
          <w:color w:val="000000"/>
          <w:sz w:val="24"/>
          <w:szCs w:val="24"/>
          <w:shd w:val="clear" w:color="auto" w:fill="FFFFFF"/>
          <w:lang w:bidi="ar"/>
        </w:rPr>
        <w:t>Big data in real time to detect anomalies</w:t>
      </w:r>
      <w:r>
        <w:rPr>
          <w:rFonts w:ascii="Times New Roman" w:hAnsi="Times New Roman" w:eastAsia="Helvetica"/>
          <w:color w:val="000000"/>
          <w:sz w:val="24"/>
          <w:szCs w:val="24"/>
          <w:shd w:val="clear" w:color="auto" w:fill="FFFFFF"/>
          <w:lang w:bidi="ar"/>
        </w:rPr>
        <w:t>. </w:t>
      </w:r>
      <w:r>
        <w:rPr>
          <w:rFonts w:ascii="Times New Roman" w:hAnsi="Times New Roman" w:eastAsia="Helvetica"/>
          <w:i/>
          <w:iCs/>
          <w:color w:val="000000"/>
          <w:sz w:val="24"/>
          <w:szCs w:val="24"/>
          <w:shd w:val="clear" w:color="auto" w:fill="FFFFFF"/>
          <w:lang w:bidi="ar"/>
        </w:rPr>
        <w:t>2023</w:t>
      </w:r>
      <w:r>
        <w:rPr>
          <w:rFonts w:ascii="Times New Roman" w:hAnsi="Times New Roman" w:eastAsia="Helvetica"/>
          <w:color w:val="000000"/>
          <w:sz w:val="24"/>
          <w:szCs w:val="24"/>
          <w:shd w:val="clear" w:color="auto" w:fill="FFFFFF"/>
          <w:lang w:bidi="ar"/>
        </w:rPr>
        <w:t>. https://doi.org/10.4018/979-8-3693-0413-6.ch015</w:t>
      </w:r>
    </w:p>
    <w:p w14:paraId="26AFDDB3">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Carletti, M., Terzi, M., &amp; Susto, G. A. (2023). Interpretable anomaly detection with DIFFI: Depth-based feature importance of isolation forest. </w:t>
      </w:r>
      <w:r>
        <w:rPr>
          <w:rStyle w:val="31"/>
          <w:rFonts w:hint="default" w:ascii="Times New Roman" w:hAnsi="Times New Roman" w:cs="Times New Roman"/>
          <w:color w:val="auto"/>
          <w:sz w:val="24"/>
          <w:szCs w:val="24"/>
          <w:u w:val="none"/>
        </w:rPr>
        <w:t>Engineering Applications of Artificial Intelligence, 119</w:t>
      </w:r>
      <w:r>
        <w:rPr>
          <w:rFonts w:hint="default" w:ascii="Times New Roman" w:hAnsi="Times New Roman" w:cs="Times New Roman"/>
          <w:color w:val="auto"/>
          <w:sz w:val="24"/>
          <w:szCs w:val="24"/>
          <w:u w:val="none"/>
        </w:rPr>
        <w:t xml:space="preserve">, 105730.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"https://doi.org/10.1016/j.engappai.2022.105730"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https://doi.org/10.1016/j.engappai.2022.105730</w:t>
      </w:r>
      <w:r>
        <w:rPr>
          <w:rFonts w:hint="default" w:ascii="Times New Roman" w:hAnsi="Times New Roman" w:cs="Times New Roman"/>
          <w:color w:val="auto"/>
          <w:sz w:val="24"/>
          <w:szCs w:val="24"/>
          <w:u w:val="none"/>
        </w:rPr>
        <w:fldChar w:fldCharType="end"/>
      </w:r>
    </w:p>
    <w:p w14:paraId="25C2F7F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Chater, M., Borgi, A., Slama, M. T., Sfar-Gandoura, K., &amp; Landoulsi, M. I. (2022). Fuzzy isolation forest for anomaly detection. </w:t>
      </w:r>
      <w:r>
        <w:rPr>
          <w:rStyle w:val="31"/>
          <w:rFonts w:hint="default" w:ascii="Times New Roman" w:hAnsi="Times New Roman" w:cs="Times New Roman"/>
          <w:color w:val="auto"/>
          <w:sz w:val="24"/>
          <w:szCs w:val="24"/>
          <w:u w:val="none"/>
        </w:rPr>
        <w:t>Procedia Computer Science, 207</w:t>
      </w:r>
      <w:r>
        <w:rPr>
          <w:rFonts w:hint="default" w:ascii="Times New Roman" w:hAnsi="Times New Roman" w:cs="Times New Roman"/>
          <w:color w:val="auto"/>
          <w:sz w:val="24"/>
          <w:szCs w:val="24"/>
          <w:u w:val="none"/>
        </w:rPr>
        <w:t xml:space="preserve">, 916–925.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"https://doi.org/10.1016/j.procs.2022.09.147"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https://doi.org/10.1016/j.procs.2022.09.147</w:t>
      </w:r>
      <w:r>
        <w:rPr>
          <w:rFonts w:hint="default" w:ascii="Times New Roman" w:hAnsi="Times New Roman" w:cs="Times New Roman"/>
          <w:color w:val="auto"/>
          <w:sz w:val="24"/>
          <w:szCs w:val="24"/>
          <w:u w:val="none"/>
        </w:rPr>
        <w:fldChar w:fldCharType="end"/>
      </w:r>
    </w:p>
    <w:p w14:paraId="0714B01F">
      <w:pPr>
        <w:keepNext w:val="0"/>
        <w:keepLines w:val="0"/>
        <w:pageBreakBefore w:val="0"/>
        <w:widowControl/>
        <w:shd w:val="clear" w:color="auto" w:fill="FFFFFF"/>
        <w:kinsoku/>
        <w:wordWrap/>
        <w:overflowPunct/>
        <w:topLinePunct w:val="0"/>
        <w:autoSpaceDE/>
        <w:autoSpaceDN/>
        <w:bidi w:val="0"/>
        <w:adjustRightInd/>
        <w:snapToGrid/>
        <w:ind w:left="398" w:leftChars="0" w:hanging="398" w:hangingChars="166"/>
        <w:jc w:val="both"/>
        <w:textAlignment w:val="auto"/>
        <w:rPr>
          <w:rFonts w:hint="default" w:ascii="Times New Roman" w:hAnsi="Times New Roman" w:eastAsia="Helvetica" w:cs="Times New Roman"/>
          <w:color w:val="auto"/>
          <w:sz w:val="24"/>
          <w:szCs w:val="24"/>
          <w:u w:val="none"/>
        </w:rPr>
      </w:pPr>
      <w:r>
        <w:rPr>
          <w:rFonts w:hint="default" w:ascii="Times New Roman" w:hAnsi="Times New Roman" w:eastAsia="Helvetica" w:cs="Times New Roman"/>
          <w:color w:val="auto"/>
          <w:sz w:val="24"/>
          <w:szCs w:val="24"/>
          <w:u w:val="none"/>
          <w:shd w:val="clear" w:color="auto" w:fill="FFFFFF"/>
          <w:lang w:bidi="ar"/>
        </w:rPr>
        <w:t>Dakalbab, F., Talib, M. A., Waraga, O. A., Nassif, A. B., Abbas, S., &amp; Nasir, Q. (2022). </w:t>
      </w:r>
      <w:r>
        <w:rPr>
          <w:rFonts w:hint="default" w:ascii="Times New Roman" w:hAnsi="Times New Roman" w:eastAsia="Helvetica" w:cs="Times New Roman"/>
          <w:i/>
          <w:iCs/>
          <w:color w:val="auto"/>
          <w:sz w:val="24"/>
          <w:szCs w:val="24"/>
          <w:u w:val="none"/>
          <w:shd w:val="clear" w:color="auto" w:fill="FFFFFF"/>
          <w:lang w:bidi="ar"/>
        </w:rPr>
        <w:t>Artificial intelligence &amp; crime prediction: A systematic literature review</w:t>
      </w:r>
      <w:r>
        <w:rPr>
          <w:rFonts w:hint="default" w:ascii="Times New Roman" w:hAnsi="Times New Roman" w:eastAsia="Helvetica" w:cs="Times New Roman"/>
          <w:color w:val="auto"/>
          <w:sz w:val="24"/>
          <w:szCs w:val="24"/>
          <w:u w:val="none"/>
          <w:shd w:val="clear" w:color="auto" w:fill="FFFFFF"/>
          <w:lang w:bidi="ar"/>
        </w:rPr>
        <w:t>. </w:t>
      </w:r>
      <w:r>
        <w:rPr>
          <w:rFonts w:hint="default" w:ascii="Times New Roman" w:hAnsi="Times New Roman" w:eastAsia="Helvetica" w:cs="Times New Roman"/>
          <w:i/>
          <w:iCs/>
          <w:color w:val="auto"/>
          <w:sz w:val="24"/>
          <w:szCs w:val="24"/>
          <w:u w:val="none"/>
          <w:shd w:val="clear" w:color="auto" w:fill="FFFFFF"/>
          <w:lang w:bidi="ar"/>
        </w:rPr>
        <w:t>6</w:t>
      </w:r>
      <w:r>
        <w:rPr>
          <w:rFonts w:hint="default" w:ascii="Times New Roman" w:hAnsi="Times New Roman" w:eastAsia="Helvetica" w:cs="Times New Roman"/>
          <w:color w:val="auto"/>
          <w:sz w:val="24"/>
          <w:szCs w:val="24"/>
          <w:u w:val="none"/>
          <w:shd w:val="clear" w:color="auto" w:fill="FFFFFF"/>
          <w:lang w:bidi="ar"/>
        </w:rPr>
        <w:t>(1), 100342.</w:t>
      </w:r>
    </w:p>
    <w:p w14:paraId="4C299E22">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eastAsia="Helvetica" w:cs="Times New Roman"/>
          <w:color w:val="auto"/>
          <w:sz w:val="24"/>
          <w:szCs w:val="24"/>
          <w:u w:val="none"/>
          <w:shd w:val="clear" w:color="auto" w:fill="FFFFFF"/>
          <w:lang w:bidi="ar"/>
        </w:rPr>
        <w:t>Dal Pozzolo, A., Boracchi, G., Caelen, O., Alippi, C., &amp; Bontempi, G. (2017). </w:t>
      </w:r>
      <w:r>
        <w:rPr>
          <w:rFonts w:hint="default" w:ascii="Times New Roman" w:hAnsi="Times New Roman" w:eastAsia="Helvetica" w:cs="Times New Roman"/>
          <w:i/>
          <w:iCs/>
          <w:color w:val="auto"/>
          <w:sz w:val="24"/>
          <w:szCs w:val="24"/>
          <w:u w:val="none"/>
          <w:shd w:val="clear" w:color="auto" w:fill="FFFFFF"/>
          <w:lang w:bidi="ar"/>
        </w:rPr>
        <w:t>Credit card fraud detection: a realistic modeling and a novel learning strategy</w:t>
      </w:r>
      <w:r>
        <w:rPr>
          <w:rFonts w:hint="default" w:ascii="Times New Roman" w:hAnsi="Times New Roman" w:eastAsia="Helvetica" w:cs="Times New Roman"/>
          <w:color w:val="auto"/>
          <w:sz w:val="24"/>
          <w:szCs w:val="24"/>
          <w:u w:val="none"/>
          <w:shd w:val="clear" w:color="auto" w:fill="FFFFFF"/>
          <w:lang w:bidi="ar"/>
        </w:rPr>
        <w:t>. </w:t>
      </w:r>
      <w:r>
        <w:rPr>
          <w:rFonts w:hint="default" w:ascii="Times New Roman" w:hAnsi="Times New Roman" w:eastAsia="Helvetica" w:cs="Times New Roman"/>
          <w:i/>
          <w:iCs/>
          <w:color w:val="auto"/>
          <w:sz w:val="24"/>
          <w:szCs w:val="24"/>
          <w:u w:val="none"/>
          <w:shd w:val="clear" w:color="auto" w:fill="FFFFFF"/>
          <w:lang w:bidi="ar"/>
        </w:rPr>
        <w:t>29</w:t>
      </w:r>
      <w:r>
        <w:rPr>
          <w:rFonts w:hint="default" w:ascii="Times New Roman" w:hAnsi="Times New Roman" w:eastAsia="Helvetica" w:cs="Times New Roman"/>
          <w:color w:val="auto"/>
          <w:sz w:val="24"/>
          <w:szCs w:val="24"/>
          <w:u w:val="none"/>
          <w:shd w:val="clear" w:color="auto" w:fill="FFFFFF"/>
          <w:lang w:bidi="ar"/>
        </w:rPr>
        <w:t>(8), 3784–3797.</w:t>
      </w:r>
    </w:p>
    <w:p w14:paraId="19FF978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Daviran, M., Ghezelbash, R., &amp; Maghsoudi, A. (2024). GWOKM: A novel hybrid optimization algorithm for geochemical anomaly detection based on Grey wolf optimizer and K-means clustering. </w:t>
      </w:r>
      <w:r>
        <w:rPr>
          <w:rStyle w:val="31"/>
          <w:rFonts w:hint="default" w:ascii="Times New Roman" w:hAnsi="Times New Roman" w:cs="Times New Roman"/>
          <w:color w:val="auto"/>
          <w:sz w:val="24"/>
          <w:szCs w:val="24"/>
          <w:u w:val="none"/>
        </w:rPr>
        <w:t>Geochemistry, 84</w:t>
      </w:r>
      <w:r>
        <w:rPr>
          <w:rFonts w:hint="default" w:ascii="Times New Roman" w:hAnsi="Times New Roman" w:cs="Times New Roman"/>
          <w:color w:val="auto"/>
          <w:sz w:val="24"/>
          <w:szCs w:val="24"/>
          <w:u w:val="none"/>
        </w:rPr>
        <w:t xml:space="preserve">(1), 126036.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"https://doi.org/10.1016/j.chemer.2023.126036"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https://doi.org/10.1016/j.chemer.2023.126036</w:t>
      </w:r>
      <w:r>
        <w:rPr>
          <w:rFonts w:hint="default" w:ascii="Times New Roman" w:hAnsi="Times New Roman" w:cs="Times New Roman"/>
          <w:color w:val="auto"/>
          <w:sz w:val="24"/>
          <w:szCs w:val="24"/>
          <w:u w:val="none"/>
        </w:rPr>
        <w:fldChar w:fldCharType="end"/>
      </w:r>
    </w:p>
    <w:p w14:paraId="7FEA6D08">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Farzad, A., &amp; Gulliver, T. A. (2020). Unsupervised log message anomaly detection. </w:t>
      </w:r>
      <w:r>
        <w:rPr>
          <w:rStyle w:val="31"/>
          <w:rFonts w:hint="default" w:ascii="Times New Roman" w:hAnsi="Times New Roman" w:cs="Times New Roman"/>
          <w:color w:val="auto"/>
          <w:sz w:val="24"/>
          <w:szCs w:val="24"/>
          <w:u w:val="none"/>
        </w:rPr>
        <w:t>ICT Express, 6</w:t>
      </w:r>
      <w:r>
        <w:rPr>
          <w:rFonts w:hint="default" w:ascii="Times New Roman" w:hAnsi="Times New Roman" w:cs="Times New Roman"/>
          <w:color w:val="auto"/>
          <w:sz w:val="24"/>
          <w:szCs w:val="24"/>
          <w:u w:val="none"/>
        </w:rPr>
        <w:t xml:space="preserve">(3), 229–237.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"https://doi.org/10.1016/j.icte.2020.06.003"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https://doi.org/10.1016/j.icte.2020.06.003</w:t>
      </w:r>
      <w:r>
        <w:rPr>
          <w:rFonts w:hint="default" w:ascii="Times New Roman" w:hAnsi="Times New Roman" w:cs="Times New Roman"/>
          <w:color w:val="auto"/>
          <w:sz w:val="24"/>
          <w:szCs w:val="24"/>
          <w:u w:val="none"/>
        </w:rPr>
        <w:fldChar w:fldCharType="end"/>
      </w:r>
    </w:p>
    <w:p w14:paraId="238C3F4C">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Gonçalves, M. A., Rasteiro da Silva, D., Duuring, P., Gonzalez-Alvarez, I., &amp; Ibrahimi, T. (2024). Mineral exploration and regional surface geochemical datasets: An anomaly detection and K-means clustering exercise applied on laterite in Western Australia. </w:t>
      </w:r>
      <w:r>
        <w:rPr>
          <w:rStyle w:val="31"/>
          <w:rFonts w:hint="default" w:ascii="Times New Roman" w:hAnsi="Times New Roman" w:cs="Times New Roman"/>
          <w:color w:val="auto"/>
          <w:sz w:val="24"/>
          <w:szCs w:val="24"/>
          <w:u w:val="none"/>
        </w:rPr>
        <w:t>Journal of Geochemical Exploration, 258</w:t>
      </w:r>
      <w:r>
        <w:rPr>
          <w:rFonts w:hint="default" w:ascii="Times New Roman" w:hAnsi="Times New Roman" w:cs="Times New Roman"/>
          <w:color w:val="auto"/>
          <w:sz w:val="24"/>
          <w:szCs w:val="24"/>
          <w:u w:val="none"/>
        </w:rPr>
        <w:t xml:space="preserve">, 107400.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"https://doi.org/10.1016/j.gexplo.2024.107400"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https://doi.org/10.1016/j.gexplo.2024.107400</w:t>
      </w:r>
      <w:r>
        <w:rPr>
          <w:rFonts w:hint="default" w:ascii="Times New Roman" w:hAnsi="Times New Roman" w:cs="Times New Roman"/>
          <w:color w:val="auto"/>
          <w:sz w:val="24"/>
          <w:szCs w:val="24"/>
          <w:u w:val="none"/>
        </w:rPr>
        <w:fldChar w:fldCharType="end"/>
      </w:r>
    </w:p>
    <w:p w14:paraId="19BDD96B">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Jain, M., Kaur, G., &amp; Saxena, V. (2022). A K-means clustering and SVM-based hybrid concept drift detection technique for network anomaly detection. </w:t>
      </w:r>
      <w:r>
        <w:rPr>
          <w:rStyle w:val="31"/>
          <w:rFonts w:hint="default" w:ascii="Times New Roman" w:hAnsi="Times New Roman" w:cs="Times New Roman"/>
          <w:color w:val="auto"/>
          <w:sz w:val="24"/>
          <w:szCs w:val="24"/>
          <w:u w:val="none"/>
        </w:rPr>
        <w:t>Expert Systems with Applications, 193</w:t>
      </w:r>
      <w:r>
        <w:rPr>
          <w:rFonts w:hint="default" w:ascii="Times New Roman" w:hAnsi="Times New Roman" w:cs="Times New Roman"/>
          <w:color w:val="auto"/>
          <w:sz w:val="24"/>
          <w:szCs w:val="24"/>
          <w:u w:val="none"/>
        </w:rPr>
        <w:t xml:space="preserve">, 116510.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"https://doi.org/10.1016/j.eswa.2022.116510"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https://doi.org/10.1016/j.eswa.2022.116510</w:t>
      </w:r>
      <w:r>
        <w:rPr>
          <w:rFonts w:hint="default" w:ascii="Times New Roman" w:hAnsi="Times New Roman" w:cs="Times New Roman"/>
          <w:color w:val="auto"/>
          <w:sz w:val="24"/>
          <w:szCs w:val="24"/>
          <w:u w:val="none"/>
        </w:rPr>
        <w:fldChar w:fldCharType="end"/>
      </w:r>
    </w:p>
    <w:p w14:paraId="64FB0460">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Kanishima, Y., Sudo, T., &amp; Yanagihashi, H. (2022). Autoencoder with adaptive loss function for supervised anomaly detection. </w:t>
      </w:r>
      <w:r>
        <w:rPr>
          <w:rStyle w:val="31"/>
          <w:rFonts w:hint="default" w:ascii="Times New Roman" w:hAnsi="Times New Roman" w:cs="Times New Roman"/>
          <w:color w:val="auto"/>
          <w:sz w:val="24"/>
          <w:szCs w:val="24"/>
          <w:u w:val="none"/>
        </w:rPr>
        <w:t>Procedia Computer Science, 207</w:t>
      </w:r>
      <w:r>
        <w:rPr>
          <w:rFonts w:hint="default" w:ascii="Times New Roman" w:hAnsi="Times New Roman" w:cs="Times New Roman"/>
          <w:color w:val="auto"/>
          <w:sz w:val="24"/>
          <w:szCs w:val="24"/>
          <w:u w:val="none"/>
        </w:rPr>
        <w:t xml:space="preserve">, 563–572.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"https://doi.org/10.1016/j.procs.2022.09.111"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https://doi.org/10.1016/j.procs.2022.09.111</w:t>
      </w:r>
      <w:r>
        <w:rPr>
          <w:rFonts w:hint="default" w:ascii="Times New Roman" w:hAnsi="Times New Roman" w:cs="Times New Roman"/>
          <w:color w:val="auto"/>
          <w:sz w:val="24"/>
          <w:szCs w:val="24"/>
          <w:u w:val="none"/>
        </w:rPr>
        <w:fldChar w:fldCharType="end"/>
      </w:r>
    </w:p>
    <w:p w14:paraId="0CCEB6EA">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Li, Q., Zhang, L., Zhang, G., Ouyang, H., &amp; Bai, M. (2023). Simultaneous detection for multiple anomaly data in internet of energy based on random forest. </w:t>
      </w:r>
      <w:r>
        <w:rPr>
          <w:rStyle w:val="31"/>
          <w:rFonts w:hint="default" w:ascii="Times New Roman" w:hAnsi="Times New Roman" w:cs="Times New Roman"/>
          <w:color w:val="auto"/>
          <w:sz w:val="24"/>
          <w:szCs w:val="24"/>
          <w:u w:val="none"/>
        </w:rPr>
        <w:t>Applied Soft Computing, 134</w:t>
      </w:r>
      <w:r>
        <w:rPr>
          <w:rFonts w:hint="default" w:ascii="Times New Roman" w:hAnsi="Times New Roman" w:cs="Times New Roman"/>
          <w:color w:val="auto"/>
          <w:sz w:val="24"/>
          <w:szCs w:val="24"/>
          <w:u w:val="none"/>
        </w:rPr>
        <w:t xml:space="preserve">, 109993.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"https://doi.org/10.1016/j.asoc.2023.109993"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https://doi.org/10.1016/j.asoc.2023.109993</w:t>
      </w:r>
      <w:r>
        <w:rPr>
          <w:rFonts w:hint="default" w:ascii="Times New Roman" w:hAnsi="Times New Roman" w:cs="Times New Roman"/>
          <w:color w:val="auto"/>
          <w:sz w:val="24"/>
          <w:szCs w:val="24"/>
          <w:u w:val="none"/>
        </w:rPr>
        <w:fldChar w:fldCharType="end"/>
      </w:r>
    </w:p>
    <w:p w14:paraId="6ABBEC0F">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Lifandali, O., Abghour, N., &amp; Chiba, Z. (2023). Feature selection using a combination of ant colony optimization and random forest algorithms applied to isolation forest-based intrusion detection system. </w:t>
      </w:r>
      <w:r>
        <w:rPr>
          <w:rStyle w:val="31"/>
          <w:rFonts w:hint="default" w:ascii="Times New Roman" w:hAnsi="Times New Roman" w:cs="Times New Roman"/>
          <w:color w:val="auto"/>
          <w:sz w:val="24"/>
          <w:szCs w:val="24"/>
          <w:u w:val="none"/>
        </w:rPr>
        <w:t>Procedia Computer Science, 220</w:t>
      </w:r>
      <w:r>
        <w:rPr>
          <w:rFonts w:hint="default" w:ascii="Times New Roman" w:hAnsi="Times New Roman" w:cs="Times New Roman"/>
          <w:color w:val="auto"/>
          <w:sz w:val="24"/>
          <w:szCs w:val="24"/>
          <w:u w:val="none"/>
        </w:rPr>
        <w:t xml:space="preserve">, 796–805.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"https://doi.org/10.1016/j.procs.2023.03.106"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https://doi.org/10.1016/j.procs.2023.03.106</w:t>
      </w:r>
      <w:r>
        <w:rPr>
          <w:rFonts w:hint="default" w:ascii="Times New Roman" w:hAnsi="Times New Roman" w:cs="Times New Roman"/>
          <w:color w:val="auto"/>
          <w:sz w:val="24"/>
          <w:szCs w:val="24"/>
          <w:u w:val="none"/>
        </w:rPr>
        <w:fldChar w:fldCharType="end"/>
      </w:r>
    </w:p>
    <w:p w14:paraId="374CD942">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Ma, B., Yang, C., Li, A., Chi, Y., &amp; Chen, L. (2023). A faster DBSCAN algorithm based on self-adaptive determination of parameters. </w:t>
      </w:r>
      <w:r>
        <w:rPr>
          <w:rStyle w:val="31"/>
          <w:rFonts w:hint="default" w:ascii="Times New Roman" w:hAnsi="Times New Roman" w:cs="Times New Roman"/>
          <w:color w:val="auto"/>
          <w:sz w:val="24"/>
          <w:szCs w:val="24"/>
          <w:u w:val="none"/>
        </w:rPr>
        <w:t>Procedia Computer Science, 221</w:t>
      </w:r>
      <w:r>
        <w:rPr>
          <w:rFonts w:hint="default" w:ascii="Times New Roman" w:hAnsi="Times New Roman" w:cs="Times New Roman"/>
          <w:color w:val="auto"/>
          <w:sz w:val="24"/>
          <w:szCs w:val="24"/>
          <w:u w:val="none"/>
        </w:rPr>
        <w:t xml:space="preserve">, 113–120.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"https://doi.org/10.1016/j.procs.2023.07.017"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https://doi.org/10.1016/j.procs.2023.07.017</w:t>
      </w:r>
      <w:r>
        <w:rPr>
          <w:rFonts w:hint="default" w:ascii="Times New Roman" w:hAnsi="Times New Roman" w:cs="Times New Roman"/>
          <w:color w:val="auto"/>
          <w:sz w:val="24"/>
          <w:szCs w:val="24"/>
          <w:u w:val="none"/>
        </w:rPr>
        <w:fldChar w:fldCharType="end"/>
      </w:r>
    </w:p>
    <w:p w14:paraId="75C33983">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Ma, Z., Li, X., &amp; Sun, J. (2024). A data-driven fault detection approach for unknown large-scale systems based on GA-SVM. </w:t>
      </w:r>
      <w:r>
        <w:rPr>
          <w:rStyle w:val="31"/>
          <w:rFonts w:hint="default" w:ascii="Times New Roman" w:hAnsi="Times New Roman" w:cs="Times New Roman"/>
          <w:color w:val="auto"/>
          <w:sz w:val="24"/>
          <w:szCs w:val="24"/>
          <w:u w:val="none"/>
        </w:rPr>
        <w:t>Information Sciences, 658</w:t>
      </w:r>
      <w:r>
        <w:rPr>
          <w:rFonts w:hint="default" w:ascii="Times New Roman" w:hAnsi="Times New Roman" w:cs="Times New Roman"/>
          <w:color w:val="auto"/>
          <w:sz w:val="24"/>
          <w:szCs w:val="24"/>
          <w:u w:val="none"/>
        </w:rPr>
        <w:t xml:space="preserve">, 120023.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"https://doi.org/10.1016/j.ins.2023.120023"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https://doi.org/10.1016/j.ins.2023.120023</w:t>
      </w:r>
      <w:r>
        <w:rPr>
          <w:rFonts w:hint="default" w:ascii="Times New Roman" w:hAnsi="Times New Roman" w:cs="Times New Roman"/>
          <w:color w:val="auto"/>
          <w:sz w:val="24"/>
          <w:szCs w:val="24"/>
          <w:u w:val="none"/>
        </w:rPr>
        <w:fldChar w:fldCharType="end"/>
      </w:r>
    </w:p>
    <w:p w14:paraId="354C9CF7">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Marcelli, E., Barbariol, T., Sartor, D., &amp; Susto, G. A. (2024). Active learning-based isolation forest (ALIF): Enhancing anomaly detection with expert feedback. </w:t>
      </w:r>
      <w:r>
        <w:rPr>
          <w:rStyle w:val="31"/>
          <w:rFonts w:hint="default" w:ascii="Times New Roman" w:hAnsi="Times New Roman" w:cs="Times New Roman"/>
          <w:color w:val="auto"/>
          <w:sz w:val="24"/>
          <w:szCs w:val="24"/>
          <w:u w:val="none"/>
        </w:rPr>
        <w:t>Information Sciences, 678</w:t>
      </w:r>
      <w:r>
        <w:rPr>
          <w:rFonts w:hint="default" w:ascii="Times New Roman" w:hAnsi="Times New Roman" w:cs="Times New Roman"/>
          <w:color w:val="auto"/>
          <w:sz w:val="24"/>
          <w:szCs w:val="24"/>
          <w:u w:val="none"/>
        </w:rPr>
        <w:t xml:space="preserve">, 121012.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"https://doi.org/10.1016/j.ins.2024.121012"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https://doi.org/10.1016/j.ins.2024.121012</w:t>
      </w:r>
      <w:r>
        <w:rPr>
          <w:rFonts w:hint="default" w:ascii="Times New Roman" w:hAnsi="Times New Roman" w:cs="Times New Roman"/>
          <w:color w:val="auto"/>
          <w:sz w:val="24"/>
          <w:szCs w:val="24"/>
          <w:u w:val="none"/>
        </w:rPr>
        <w:fldChar w:fldCharType="end"/>
      </w:r>
    </w:p>
    <w:p w14:paraId="10787C7D">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Mieczyńska, M., &amp; Czarnowski, I. (2021). DBSCAN algorithm for AIS data reconstruction. </w:t>
      </w:r>
      <w:r>
        <w:rPr>
          <w:rStyle w:val="31"/>
          <w:rFonts w:hint="default" w:ascii="Times New Roman" w:hAnsi="Times New Roman" w:cs="Times New Roman"/>
          <w:color w:val="auto"/>
          <w:sz w:val="24"/>
          <w:szCs w:val="24"/>
          <w:u w:val="none"/>
        </w:rPr>
        <w:t>Procedia Computer Science, 192</w:t>
      </w:r>
      <w:r>
        <w:rPr>
          <w:rFonts w:hint="default" w:ascii="Times New Roman" w:hAnsi="Times New Roman" w:cs="Times New Roman"/>
          <w:color w:val="auto"/>
          <w:sz w:val="24"/>
          <w:szCs w:val="24"/>
          <w:u w:val="none"/>
        </w:rPr>
        <w:t xml:space="preserve">, 2512–2521.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"https://doi.org/10.1016/j.procs.2021.09.020"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https://doi.org/10.1016/j.procs.2021.09.020</w:t>
      </w:r>
      <w:r>
        <w:rPr>
          <w:rFonts w:hint="default" w:ascii="Times New Roman" w:hAnsi="Times New Roman" w:cs="Times New Roman"/>
          <w:color w:val="auto"/>
          <w:sz w:val="24"/>
          <w:szCs w:val="24"/>
          <w:u w:val="none"/>
        </w:rPr>
        <w:fldChar w:fldCharType="end"/>
      </w:r>
    </w:p>
    <w:p w14:paraId="74C8A8E4">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Mohammad, R. M. A. (2022). An enhanced multiclass support vector machine model and its application to classifying file systems affected by a digital crime. </w:t>
      </w:r>
      <w:r>
        <w:rPr>
          <w:rStyle w:val="31"/>
          <w:rFonts w:hint="default" w:ascii="Times New Roman" w:hAnsi="Times New Roman" w:cs="Times New Roman"/>
          <w:color w:val="auto"/>
          <w:sz w:val="24"/>
          <w:szCs w:val="24"/>
          <w:u w:val="none"/>
        </w:rPr>
        <w:t>Journal of King Saud University - Computer and Information Sciences, 34</w:t>
      </w:r>
      <w:r>
        <w:rPr>
          <w:rFonts w:hint="default" w:ascii="Times New Roman" w:hAnsi="Times New Roman" w:cs="Times New Roman"/>
          <w:color w:val="auto"/>
          <w:sz w:val="24"/>
          <w:szCs w:val="24"/>
          <w:u w:val="none"/>
        </w:rPr>
        <w:t xml:space="preserve">(2), 179–190.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"https://doi.org/10.1016/j.jksuci.2019.10.010"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https://doi.org/10.1016/j.jksuci.2019.10.010</w:t>
      </w:r>
      <w:r>
        <w:rPr>
          <w:rFonts w:hint="default" w:ascii="Times New Roman" w:hAnsi="Times New Roman" w:cs="Times New Roman"/>
          <w:color w:val="auto"/>
          <w:sz w:val="24"/>
          <w:szCs w:val="24"/>
          <w:u w:val="none"/>
        </w:rPr>
        <w:fldChar w:fldCharType="end"/>
      </w:r>
    </w:p>
    <w:p w14:paraId="53BE9E29">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Novoa-Paradela, D., Fontenla-Romero, O., &amp; Guijarro-Berdiñas, B. (2023). Fast deep autoencoder for federated learning. </w:t>
      </w:r>
      <w:r>
        <w:rPr>
          <w:rStyle w:val="31"/>
          <w:rFonts w:hint="default" w:ascii="Times New Roman" w:hAnsi="Times New Roman" w:cs="Times New Roman"/>
          <w:color w:val="auto"/>
          <w:sz w:val="24"/>
          <w:szCs w:val="24"/>
          <w:u w:val="none"/>
        </w:rPr>
        <w:t>Pattern Recognition, 143</w:t>
      </w:r>
      <w:r>
        <w:rPr>
          <w:rFonts w:hint="default" w:ascii="Times New Roman" w:hAnsi="Times New Roman" w:cs="Times New Roman"/>
          <w:color w:val="auto"/>
          <w:sz w:val="24"/>
          <w:szCs w:val="24"/>
          <w:u w:val="none"/>
        </w:rPr>
        <w:t xml:space="preserve">, 109805.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"https://doi.org/10.1016/j.patcog.2023.109805"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https://doi.org/10.1016/j.patcog.2023.109805</w:t>
      </w:r>
      <w:r>
        <w:rPr>
          <w:rFonts w:hint="default" w:ascii="Times New Roman" w:hAnsi="Times New Roman" w:cs="Times New Roman"/>
          <w:color w:val="auto"/>
          <w:sz w:val="24"/>
          <w:szCs w:val="24"/>
          <w:u w:val="none"/>
        </w:rPr>
        <w:fldChar w:fldCharType="end"/>
      </w:r>
    </w:p>
    <w:p w14:paraId="74955D99">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eastAsia="Helvetica" w:cs="Times New Roman"/>
          <w:i w:val="0"/>
          <w:iCs w:val="0"/>
          <w:caps w:val="0"/>
          <w:color w:val="auto"/>
          <w:spacing w:val="0"/>
          <w:sz w:val="24"/>
          <w:szCs w:val="24"/>
          <w:u w:val="none"/>
          <w:shd w:val="clear" w:fill="FFFFFF"/>
        </w:rPr>
      </w:pPr>
      <w:r>
        <w:rPr>
          <w:rFonts w:hint="default" w:ascii="Times New Roman" w:hAnsi="Times New Roman" w:eastAsia="Helvetica" w:cs="Times New Roman"/>
          <w:i w:val="0"/>
          <w:iCs w:val="0"/>
          <w:caps w:val="0"/>
          <w:color w:val="auto"/>
          <w:spacing w:val="0"/>
          <w:sz w:val="24"/>
          <w:szCs w:val="24"/>
          <w:u w:val="none"/>
          <w:shd w:val="clear" w:fill="FFFFFF"/>
        </w:rPr>
        <w:t>Togbe, M. U., Chabchoub, Y., Boly, A., Barry, M., Chiky, R., &amp; Bahri, M. (2021). Anomalies Detection Using Isolation in Concept-Drifting Data Streams . </w:t>
      </w:r>
      <w:r>
        <w:rPr>
          <w:rStyle w:val="31"/>
          <w:rFonts w:hint="default" w:ascii="Times New Roman" w:hAnsi="Times New Roman" w:eastAsia="Helvetica" w:cs="Times New Roman"/>
          <w:i/>
          <w:iCs/>
          <w:caps w:val="0"/>
          <w:color w:val="auto"/>
          <w:spacing w:val="0"/>
          <w:sz w:val="24"/>
          <w:szCs w:val="24"/>
          <w:u w:val="none"/>
          <w:shd w:val="clear" w:fill="FFFFFF"/>
        </w:rPr>
        <w:t>Computers</w:t>
      </w:r>
      <w:r>
        <w:rPr>
          <w:rFonts w:hint="default" w:ascii="Times New Roman" w:hAnsi="Times New Roman" w:eastAsia="Helvetica" w:cs="Times New Roman"/>
          <w:i w:val="0"/>
          <w:iCs w:val="0"/>
          <w:caps w:val="0"/>
          <w:color w:val="auto"/>
          <w:spacing w:val="0"/>
          <w:sz w:val="24"/>
          <w:szCs w:val="24"/>
          <w:u w:val="none"/>
          <w:shd w:val="clear" w:fill="FFFFFF"/>
        </w:rPr>
        <w:t>, </w:t>
      </w:r>
      <w:r>
        <w:rPr>
          <w:rStyle w:val="31"/>
          <w:rFonts w:hint="default" w:ascii="Times New Roman" w:hAnsi="Times New Roman" w:eastAsia="Helvetica" w:cs="Times New Roman"/>
          <w:i/>
          <w:iCs/>
          <w:caps w:val="0"/>
          <w:color w:val="auto"/>
          <w:spacing w:val="0"/>
          <w:sz w:val="24"/>
          <w:szCs w:val="24"/>
          <w:u w:val="none"/>
          <w:shd w:val="clear" w:fill="FFFFFF"/>
        </w:rPr>
        <w:t>10</w:t>
      </w:r>
      <w:r>
        <w:rPr>
          <w:rFonts w:hint="default" w:ascii="Times New Roman" w:hAnsi="Times New Roman" w:eastAsia="Helvetica" w:cs="Times New Roman"/>
          <w:i w:val="0"/>
          <w:iCs w:val="0"/>
          <w:caps w:val="0"/>
          <w:color w:val="auto"/>
          <w:spacing w:val="0"/>
          <w:sz w:val="24"/>
          <w:szCs w:val="24"/>
          <w:u w:val="none"/>
          <w:shd w:val="clear" w:fill="FFFFFF"/>
        </w:rPr>
        <w:t xml:space="preserve">(1), 13. </w:t>
      </w:r>
      <w:r>
        <w:rPr>
          <w:rFonts w:hint="default" w:ascii="Times New Roman" w:hAnsi="Times New Roman" w:eastAsia="Helvetica" w:cs="Times New Roman"/>
          <w:i w:val="0"/>
          <w:iCs w:val="0"/>
          <w:caps w:val="0"/>
          <w:color w:val="auto"/>
          <w:spacing w:val="0"/>
          <w:sz w:val="24"/>
          <w:szCs w:val="24"/>
          <w:u w:val="none"/>
          <w:shd w:val="clear" w:fill="FFFFFF"/>
        </w:rPr>
        <w:fldChar w:fldCharType="begin"/>
      </w:r>
      <w:r>
        <w:rPr>
          <w:rFonts w:hint="default" w:ascii="Times New Roman" w:hAnsi="Times New Roman" w:eastAsia="Helvetica" w:cs="Times New Roman"/>
          <w:i w:val="0"/>
          <w:iCs w:val="0"/>
          <w:caps w:val="0"/>
          <w:color w:val="auto"/>
          <w:spacing w:val="0"/>
          <w:sz w:val="24"/>
          <w:szCs w:val="24"/>
          <w:u w:val="none"/>
          <w:shd w:val="clear" w:fill="FFFFFF"/>
        </w:rPr>
        <w:instrText xml:space="preserve"> HYPERLINK "https://doi.org/10.3390/computers10010013" </w:instrText>
      </w:r>
      <w:r>
        <w:rPr>
          <w:rFonts w:hint="default" w:ascii="Times New Roman" w:hAnsi="Times New Roman" w:eastAsia="Helvetica" w:cs="Times New Roman"/>
          <w:i w:val="0"/>
          <w:iCs w:val="0"/>
          <w:caps w:val="0"/>
          <w:color w:val="auto"/>
          <w:spacing w:val="0"/>
          <w:sz w:val="24"/>
          <w:szCs w:val="24"/>
          <w:u w:val="none"/>
          <w:shd w:val="clear" w:fill="FFFFFF"/>
        </w:rPr>
        <w:fldChar w:fldCharType="separate"/>
      </w:r>
      <w:r>
        <w:rPr>
          <w:rStyle w:val="51"/>
          <w:rFonts w:hint="default" w:ascii="Times New Roman" w:hAnsi="Times New Roman" w:eastAsia="Helvetica" w:cs="Times New Roman"/>
          <w:i w:val="0"/>
          <w:iCs w:val="0"/>
          <w:caps w:val="0"/>
          <w:color w:val="auto"/>
          <w:spacing w:val="0"/>
          <w:sz w:val="24"/>
          <w:szCs w:val="24"/>
          <w:u w:val="none"/>
          <w:shd w:val="clear" w:fill="FFFFFF"/>
        </w:rPr>
        <w:t>https://doi.org/10.3390/computers10010013</w:t>
      </w:r>
      <w:r>
        <w:rPr>
          <w:rFonts w:hint="default" w:ascii="Times New Roman" w:hAnsi="Times New Roman" w:eastAsia="Helvetica" w:cs="Times New Roman"/>
          <w:i w:val="0"/>
          <w:iCs w:val="0"/>
          <w:caps w:val="0"/>
          <w:color w:val="auto"/>
          <w:spacing w:val="0"/>
          <w:sz w:val="24"/>
          <w:szCs w:val="24"/>
          <w:u w:val="none"/>
          <w:shd w:val="clear" w:fill="FFFFFF"/>
        </w:rPr>
        <w:fldChar w:fldCharType="end"/>
      </w:r>
    </w:p>
    <w:p w14:paraId="2FA3187E">
      <w:pPr>
        <w:keepNext w:val="0"/>
        <w:keepLines w:val="0"/>
        <w:pageBreakBefore w:val="0"/>
        <w:widowControl/>
        <w:shd w:val="clear" w:color="auto" w:fill="FFFFFF"/>
        <w:kinsoku/>
        <w:wordWrap/>
        <w:overflowPunct/>
        <w:topLinePunct w:val="0"/>
        <w:autoSpaceDE/>
        <w:autoSpaceDN/>
        <w:bidi w:val="0"/>
        <w:adjustRightInd/>
        <w:snapToGrid/>
        <w:ind w:left="398" w:leftChars="0" w:hanging="398" w:hangingChars="166"/>
        <w:jc w:val="both"/>
        <w:textAlignment w:val="auto"/>
        <w:rPr>
          <w:rFonts w:hint="default" w:ascii="Times New Roman" w:hAnsi="Times New Roman" w:eastAsia="Helvetica" w:cs="Times New Roman"/>
          <w:color w:val="auto"/>
          <w:sz w:val="24"/>
          <w:szCs w:val="24"/>
          <w:u w:val="none"/>
        </w:rPr>
      </w:pPr>
      <w:r>
        <w:rPr>
          <w:rFonts w:hint="default" w:ascii="Times New Roman" w:hAnsi="Times New Roman" w:eastAsia="Helvetica" w:cs="Times New Roman"/>
          <w:color w:val="auto"/>
          <w:sz w:val="24"/>
          <w:szCs w:val="24"/>
          <w:u w:val="none"/>
          <w:shd w:val="clear" w:color="auto" w:fill="FFFFFF"/>
          <w:lang w:bidi="ar"/>
        </w:rPr>
        <w:t>Yan, C., Zhang, C., Shen, M., Li, N., Liu, J., Qi, Y., Lu, Z., &amp; Liu, Y. (2023). </w:t>
      </w:r>
      <w:r>
        <w:rPr>
          <w:rFonts w:hint="default" w:ascii="Times New Roman" w:hAnsi="Times New Roman" w:eastAsia="Helvetica" w:cs="Times New Roman"/>
          <w:i/>
          <w:iCs/>
          <w:color w:val="auto"/>
          <w:sz w:val="24"/>
          <w:szCs w:val="24"/>
          <w:u w:val="none"/>
          <w:shd w:val="clear" w:color="auto" w:fill="FFFFFF"/>
          <w:lang w:bidi="ar"/>
        </w:rPr>
        <w:t>Aparecium: understanding and detecting scam behaviors on Ethereum via biased random walk</w:t>
      </w:r>
      <w:r>
        <w:rPr>
          <w:rFonts w:hint="default" w:ascii="Times New Roman" w:hAnsi="Times New Roman" w:eastAsia="Helvetica" w:cs="Times New Roman"/>
          <w:color w:val="auto"/>
          <w:sz w:val="24"/>
          <w:szCs w:val="24"/>
          <w:u w:val="none"/>
          <w:shd w:val="clear" w:color="auto" w:fill="FFFFFF"/>
          <w:lang w:bidi="ar"/>
        </w:rPr>
        <w:t>. </w:t>
      </w:r>
      <w:r>
        <w:rPr>
          <w:rFonts w:hint="default" w:ascii="Times New Roman" w:hAnsi="Times New Roman" w:eastAsia="Helvetica" w:cs="Times New Roman"/>
          <w:i/>
          <w:iCs/>
          <w:color w:val="auto"/>
          <w:sz w:val="24"/>
          <w:szCs w:val="24"/>
          <w:u w:val="none"/>
          <w:shd w:val="clear" w:color="auto" w:fill="FFFFFF"/>
          <w:lang w:bidi="ar"/>
        </w:rPr>
        <w:t>6</w:t>
      </w:r>
      <w:r>
        <w:rPr>
          <w:rFonts w:hint="default" w:ascii="Times New Roman" w:hAnsi="Times New Roman" w:eastAsia="Helvetica" w:cs="Times New Roman"/>
          <w:color w:val="auto"/>
          <w:sz w:val="24"/>
          <w:szCs w:val="24"/>
          <w:u w:val="none"/>
          <w:shd w:val="clear" w:color="auto" w:fill="FFFFFF"/>
          <w:lang w:bidi="ar"/>
        </w:rPr>
        <w:t>(1), 46.</w:t>
      </w:r>
    </w:p>
    <w:p w14:paraId="1EEF5F3C">
      <w:pPr>
        <w:keepNext w:val="0"/>
        <w:keepLines w:val="0"/>
        <w:pageBreakBefore w:val="0"/>
        <w:widowControl/>
        <w:shd w:val="clear" w:color="auto" w:fill="FFFFFF"/>
        <w:kinsoku/>
        <w:wordWrap/>
        <w:overflowPunct/>
        <w:topLinePunct w:val="0"/>
        <w:autoSpaceDE/>
        <w:autoSpaceDN/>
        <w:bidi w:val="0"/>
        <w:adjustRightInd/>
        <w:snapToGrid/>
        <w:ind w:left="398" w:leftChars="0" w:hanging="398" w:hangingChars="166"/>
        <w:jc w:val="both"/>
        <w:textAlignment w:val="auto"/>
        <w:rPr>
          <w:rFonts w:hint="default" w:ascii="Times New Roman" w:hAnsi="Times New Roman" w:eastAsia="Helvetica" w:cs="Times New Roman"/>
          <w:color w:val="auto"/>
          <w:sz w:val="24"/>
          <w:szCs w:val="24"/>
          <w:u w:val="none"/>
        </w:rPr>
      </w:pPr>
      <w:r>
        <w:rPr>
          <w:rFonts w:hint="default" w:ascii="Times New Roman" w:hAnsi="Times New Roman" w:eastAsia="Helvetica" w:cs="Times New Roman"/>
          <w:color w:val="auto"/>
          <w:sz w:val="24"/>
          <w:szCs w:val="24"/>
          <w:u w:val="none"/>
          <w:shd w:val="clear" w:color="auto" w:fill="FFFFFF"/>
          <w:lang w:bidi="ar"/>
        </w:rPr>
        <w:t>Yang, L., Moubayed, A., Shami, A., Boukhtouta, A., Heidari, P., Preda, S., Brunner, R., Migault, D., &amp; Larabi, A. (2023). </w:t>
      </w:r>
      <w:r>
        <w:rPr>
          <w:rFonts w:hint="default" w:ascii="Times New Roman" w:hAnsi="Times New Roman" w:eastAsia="Helvetica" w:cs="Times New Roman"/>
          <w:i/>
          <w:iCs/>
          <w:color w:val="auto"/>
          <w:sz w:val="24"/>
          <w:szCs w:val="24"/>
          <w:u w:val="none"/>
          <w:shd w:val="clear" w:color="auto" w:fill="FFFFFF"/>
          <w:lang w:bidi="ar"/>
        </w:rPr>
        <w:t>Forensic data analytics for anomaly detection in evolving networks</w:t>
      </w:r>
      <w:r>
        <w:rPr>
          <w:rFonts w:hint="default" w:ascii="Times New Roman" w:hAnsi="Times New Roman" w:eastAsia="Helvetica" w:cs="Times New Roman"/>
          <w:color w:val="auto"/>
          <w:sz w:val="24"/>
          <w:szCs w:val="24"/>
          <w:u w:val="none"/>
          <w:shd w:val="clear" w:color="auto" w:fill="FFFFFF"/>
          <w:lang w:bidi="ar"/>
        </w:rPr>
        <w:t> (pp. 99–137).</w:t>
      </w:r>
    </w:p>
    <w:p w14:paraId="602542E2">
      <w:pPr>
        <w:keepNext w:val="0"/>
        <w:keepLines w:val="0"/>
        <w:pageBreakBefore w:val="0"/>
        <w:widowControl/>
        <w:shd w:val="clear" w:color="auto" w:fill="FFFFFF"/>
        <w:kinsoku/>
        <w:wordWrap/>
        <w:overflowPunct/>
        <w:topLinePunct w:val="0"/>
        <w:autoSpaceDE/>
        <w:autoSpaceDN/>
        <w:bidi w:val="0"/>
        <w:adjustRightInd/>
        <w:snapToGrid/>
        <w:ind w:left="398" w:leftChars="0" w:hanging="398" w:hangingChars="166"/>
        <w:jc w:val="both"/>
        <w:textAlignment w:val="auto"/>
        <w:rPr>
          <w:rFonts w:hint="default" w:ascii="Times New Roman" w:hAnsi="Times New Roman" w:eastAsia="Helvetica" w:cs="Times New Roman"/>
          <w:color w:val="auto"/>
          <w:sz w:val="24"/>
          <w:szCs w:val="24"/>
          <w:u w:val="none"/>
        </w:rPr>
      </w:pPr>
      <w:r>
        <w:rPr>
          <w:rFonts w:hint="default" w:ascii="Times New Roman" w:hAnsi="Times New Roman" w:eastAsia="Helvetica" w:cs="Times New Roman"/>
          <w:color w:val="auto"/>
          <w:sz w:val="24"/>
          <w:szCs w:val="24"/>
          <w:u w:val="none"/>
          <w:shd w:val="clear" w:color="auto" w:fill="FFFFFF"/>
          <w:lang w:bidi="ar"/>
        </w:rPr>
        <w:t>Yang, Y., Yu, Y., Li, &amp;, &amp; T. (2022). </w:t>
      </w:r>
      <w:r>
        <w:rPr>
          <w:rFonts w:hint="default" w:ascii="Times New Roman" w:hAnsi="Times New Roman" w:eastAsia="Helvetica" w:cs="Times New Roman"/>
          <w:i/>
          <w:iCs/>
          <w:color w:val="auto"/>
          <w:sz w:val="24"/>
          <w:szCs w:val="24"/>
          <w:u w:val="none"/>
          <w:shd w:val="clear" w:color="auto" w:fill="FFFFFF"/>
          <w:lang w:bidi="ar"/>
        </w:rPr>
        <w:t>Deep learning techniques for financial fraud detection</w:t>
      </w:r>
      <w:r>
        <w:rPr>
          <w:rFonts w:hint="default" w:ascii="Times New Roman" w:hAnsi="Times New Roman" w:eastAsia="Helvetica" w:cs="Times New Roman"/>
          <w:color w:val="auto"/>
          <w:sz w:val="24"/>
          <w:szCs w:val="24"/>
          <w:u w:val="none"/>
          <w:shd w:val="clear" w:color="auto" w:fill="FFFFFF"/>
          <w:lang w:bidi="ar"/>
        </w:rPr>
        <w:t>. </w:t>
      </w:r>
      <w:r>
        <w:rPr>
          <w:rFonts w:hint="default" w:ascii="Times New Roman" w:hAnsi="Times New Roman" w:eastAsia="Helvetica" w:cs="Times New Roman"/>
          <w:i/>
          <w:iCs/>
          <w:color w:val="auto"/>
          <w:sz w:val="24"/>
          <w:szCs w:val="24"/>
          <w:u w:val="none"/>
          <w:shd w:val="clear" w:color="auto" w:fill="FFFFFF"/>
          <w:lang w:bidi="ar"/>
        </w:rPr>
        <w:t>2022</w:t>
      </w:r>
      <w:r>
        <w:rPr>
          <w:rFonts w:hint="default" w:ascii="Times New Roman" w:hAnsi="Times New Roman" w:eastAsia="Helvetica" w:cs="Times New Roman"/>
          <w:color w:val="auto"/>
          <w:sz w:val="24"/>
          <w:szCs w:val="24"/>
          <w:u w:val="none"/>
          <w:shd w:val="clear" w:color="auto" w:fill="FFFFFF"/>
          <w:lang w:bidi="ar"/>
        </w:rPr>
        <w:t>.</w:t>
      </w:r>
    </w:p>
    <w:p w14:paraId="1083B9E3">
      <w:pPr>
        <w:keepNext w:val="0"/>
        <w:keepLines w:val="0"/>
        <w:pageBreakBefore w:val="0"/>
        <w:widowControl/>
        <w:shd w:val="clear" w:color="auto" w:fill="FFFFFF"/>
        <w:kinsoku/>
        <w:wordWrap/>
        <w:overflowPunct/>
        <w:topLinePunct w:val="0"/>
        <w:autoSpaceDE/>
        <w:autoSpaceDN/>
        <w:bidi w:val="0"/>
        <w:adjustRightInd/>
        <w:snapToGrid/>
        <w:ind w:left="398" w:leftChars="0" w:hanging="398" w:hangingChars="166"/>
        <w:jc w:val="both"/>
        <w:textAlignment w:val="auto"/>
        <w:rPr>
          <w:rFonts w:hint="default" w:ascii="Times New Roman" w:hAnsi="Times New Roman" w:eastAsia="Helvetica" w:cs="Times New Roman"/>
          <w:color w:val="auto"/>
          <w:sz w:val="24"/>
          <w:szCs w:val="24"/>
          <w:u w:val="none"/>
        </w:rPr>
      </w:pPr>
      <w:r>
        <w:rPr>
          <w:rFonts w:hint="default" w:ascii="Times New Roman" w:hAnsi="Times New Roman" w:eastAsia="Helvetica" w:cs="Times New Roman"/>
          <w:color w:val="auto"/>
          <w:sz w:val="24"/>
          <w:szCs w:val="24"/>
          <w:u w:val="none"/>
          <w:shd w:val="clear" w:color="auto" w:fill="FFFFFF"/>
          <w:lang w:bidi="ar"/>
        </w:rPr>
        <w:t>Yaseen, A. (2023). </w:t>
      </w:r>
      <w:r>
        <w:rPr>
          <w:rFonts w:hint="default" w:ascii="Times New Roman" w:hAnsi="Times New Roman" w:eastAsia="Helvetica" w:cs="Times New Roman"/>
          <w:i/>
          <w:iCs/>
          <w:color w:val="auto"/>
          <w:sz w:val="24"/>
          <w:szCs w:val="24"/>
          <w:u w:val="none"/>
          <w:shd w:val="clear" w:color="auto" w:fill="FFFFFF"/>
          <w:lang w:bidi="ar"/>
        </w:rPr>
        <w:t>The role of machine learning in network anomaly detection for cybersecurity</w:t>
      </w:r>
      <w:r>
        <w:rPr>
          <w:rFonts w:hint="default" w:ascii="Times New Roman" w:hAnsi="Times New Roman" w:eastAsia="Helvetica" w:cs="Times New Roman"/>
          <w:color w:val="auto"/>
          <w:sz w:val="24"/>
          <w:szCs w:val="24"/>
          <w:u w:val="none"/>
          <w:shd w:val="clear" w:color="auto" w:fill="FFFFFF"/>
          <w:lang w:bidi="ar"/>
        </w:rPr>
        <w:t>. </w:t>
      </w:r>
      <w:r>
        <w:rPr>
          <w:rFonts w:hint="default" w:ascii="Times New Roman" w:hAnsi="Times New Roman" w:eastAsia="Helvetica" w:cs="Times New Roman"/>
          <w:i/>
          <w:iCs/>
          <w:color w:val="auto"/>
          <w:sz w:val="24"/>
          <w:szCs w:val="24"/>
          <w:u w:val="none"/>
          <w:shd w:val="clear" w:color="auto" w:fill="FFFFFF"/>
          <w:lang w:bidi="ar"/>
        </w:rPr>
        <w:t>6</w:t>
      </w:r>
      <w:r>
        <w:rPr>
          <w:rFonts w:hint="default" w:ascii="Times New Roman" w:hAnsi="Times New Roman" w:eastAsia="Helvetica" w:cs="Times New Roman"/>
          <w:color w:val="auto"/>
          <w:sz w:val="24"/>
          <w:szCs w:val="24"/>
          <w:u w:val="none"/>
          <w:shd w:val="clear" w:color="auto" w:fill="FFFFFF"/>
          <w:lang w:bidi="ar"/>
        </w:rPr>
        <w:t>(8), 16–34.</w:t>
      </w:r>
    </w:p>
    <w:p w14:paraId="2CE42755">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Yepmo, V., Smits, G., Lesot, M.-J., &amp; Pivert, O. (2024). Leveraging an isolation forest to anomaly detection and data clustering. </w:t>
      </w:r>
      <w:r>
        <w:rPr>
          <w:rStyle w:val="31"/>
          <w:rFonts w:hint="default" w:ascii="Times New Roman" w:hAnsi="Times New Roman" w:cs="Times New Roman"/>
          <w:color w:val="auto"/>
          <w:sz w:val="24"/>
          <w:szCs w:val="24"/>
          <w:u w:val="none"/>
        </w:rPr>
        <w:t>Data &amp; Knowledge Engineering, 151</w:t>
      </w:r>
      <w:r>
        <w:rPr>
          <w:rFonts w:hint="default" w:ascii="Times New Roman" w:hAnsi="Times New Roman" w:cs="Times New Roman"/>
          <w:color w:val="auto"/>
          <w:sz w:val="24"/>
          <w:szCs w:val="24"/>
          <w:u w:val="none"/>
        </w:rPr>
        <w:t xml:space="preserve">, 102302.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"https://doi.org/10.1016/j.datak.2024.102302"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https://doi.org/10.1016/j.datak.2024.102302</w:t>
      </w:r>
      <w:r>
        <w:rPr>
          <w:rFonts w:hint="default" w:ascii="Times New Roman" w:hAnsi="Times New Roman" w:cs="Times New Roman"/>
          <w:color w:val="auto"/>
          <w:sz w:val="24"/>
          <w:szCs w:val="24"/>
          <w:u w:val="none"/>
        </w:rPr>
        <w:fldChar w:fldCharType="end"/>
      </w:r>
    </w:p>
    <w:p w14:paraId="287EEE84">
      <w:pPr>
        <w:keepNext w:val="0"/>
        <w:keepLines w:val="0"/>
        <w:pageBreakBefore w:val="0"/>
        <w:widowControl/>
        <w:shd w:val="clear" w:color="auto" w:fill="FFFFFF"/>
        <w:kinsoku/>
        <w:wordWrap/>
        <w:overflowPunct/>
        <w:topLinePunct w:val="0"/>
        <w:autoSpaceDE/>
        <w:autoSpaceDN/>
        <w:bidi w:val="0"/>
        <w:adjustRightInd/>
        <w:snapToGrid/>
        <w:ind w:left="398" w:leftChars="0" w:hanging="398" w:hangingChars="166"/>
        <w:jc w:val="both"/>
        <w:textAlignment w:val="auto"/>
        <w:rPr>
          <w:rFonts w:hint="default" w:ascii="Times New Roman" w:hAnsi="Times New Roman" w:eastAsia="Helvetica" w:cs="Times New Roman"/>
          <w:color w:val="auto"/>
          <w:sz w:val="24"/>
          <w:szCs w:val="24"/>
          <w:u w:val="none"/>
        </w:rPr>
      </w:pPr>
      <w:r>
        <w:rPr>
          <w:rFonts w:hint="default" w:ascii="Times New Roman" w:hAnsi="Times New Roman" w:eastAsia="Helvetica" w:cs="Times New Roman"/>
          <w:color w:val="auto"/>
          <w:sz w:val="24"/>
          <w:szCs w:val="24"/>
          <w:u w:val="none"/>
          <w:shd w:val="clear" w:color="auto" w:fill="FFFFFF"/>
          <w:lang w:bidi="ar"/>
        </w:rPr>
        <w:t>Yi, Z., Cao, X., Chen, Z., &amp; Li, S. (2023). </w:t>
      </w:r>
      <w:r>
        <w:rPr>
          <w:rFonts w:hint="default" w:ascii="Times New Roman" w:hAnsi="Times New Roman" w:eastAsia="Helvetica" w:cs="Times New Roman"/>
          <w:i/>
          <w:iCs/>
          <w:color w:val="auto"/>
          <w:sz w:val="24"/>
          <w:szCs w:val="24"/>
          <w:u w:val="none"/>
          <w:shd w:val="clear" w:color="auto" w:fill="FFFFFF"/>
          <w:lang w:bidi="ar"/>
        </w:rPr>
        <w:t>Artificial intelligence in accounting and finance: Challenges and opportunities</w:t>
      </w:r>
      <w:r>
        <w:rPr>
          <w:rFonts w:hint="default" w:ascii="Times New Roman" w:hAnsi="Times New Roman" w:eastAsia="Helvetica" w:cs="Times New Roman"/>
          <w:color w:val="auto"/>
          <w:sz w:val="24"/>
          <w:szCs w:val="24"/>
          <w:u w:val="none"/>
          <w:shd w:val="clear" w:color="auto" w:fill="FFFFFF"/>
          <w:lang w:bidi="ar"/>
        </w:rPr>
        <w:t>. </w:t>
      </w:r>
      <w:r>
        <w:rPr>
          <w:rFonts w:hint="default" w:ascii="Times New Roman" w:hAnsi="Times New Roman" w:eastAsia="Helvetica" w:cs="Times New Roman"/>
          <w:i/>
          <w:iCs/>
          <w:color w:val="auto"/>
          <w:sz w:val="24"/>
          <w:szCs w:val="24"/>
          <w:u w:val="none"/>
          <w:shd w:val="clear" w:color="auto" w:fill="FFFFFF"/>
          <w:lang w:bidi="ar"/>
        </w:rPr>
        <w:t>11</w:t>
      </w:r>
      <w:r>
        <w:rPr>
          <w:rFonts w:hint="default" w:ascii="Times New Roman" w:hAnsi="Times New Roman" w:eastAsia="Helvetica" w:cs="Times New Roman"/>
          <w:color w:val="auto"/>
          <w:sz w:val="24"/>
          <w:szCs w:val="24"/>
          <w:u w:val="none"/>
          <w:shd w:val="clear" w:color="auto" w:fill="FFFFFF"/>
          <w:lang w:bidi="ar"/>
        </w:rPr>
        <w:t>, 129100–129123.</w:t>
      </w:r>
    </w:p>
    <w:p w14:paraId="28910882">
      <w:pPr>
        <w:keepNext w:val="0"/>
        <w:keepLines w:val="0"/>
        <w:pageBreakBefore w:val="0"/>
        <w:widowControl/>
        <w:shd w:val="clear" w:color="auto" w:fill="FFFFFF"/>
        <w:kinsoku/>
        <w:wordWrap/>
        <w:overflowPunct/>
        <w:topLinePunct w:val="0"/>
        <w:autoSpaceDE/>
        <w:autoSpaceDN/>
        <w:bidi w:val="0"/>
        <w:adjustRightInd/>
        <w:snapToGrid/>
        <w:ind w:left="398" w:leftChars="0" w:hanging="398" w:hangingChars="166"/>
        <w:jc w:val="both"/>
        <w:textAlignment w:val="auto"/>
        <w:rPr>
          <w:rFonts w:hint="default" w:ascii="Times New Roman" w:hAnsi="Times New Roman" w:eastAsia="Helvetica" w:cs="Times New Roman"/>
          <w:color w:val="auto"/>
          <w:sz w:val="24"/>
          <w:szCs w:val="24"/>
          <w:u w:val="none"/>
        </w:rPr>
      </w:pPr>
      <w:r>
        <w:rPr>
          <w:rFonts w:hint="default" w:ascii="Times New Roman" w:hAnsi="Times New Roman" w:eastAsia="Helvetica" w:cs="Times New Roman"/>
          <w:color w:val="auto"/>
          <w:sz w:val="24"/>
          <w:szCs w:val="24"/>
          <w:u w:val="none"/>
          <w:shd w:val="clear" w:color="auto" w:fill="FFFFFF"/>
          <w:lang w:bidi="ar"/>
        </w:rPr>
        <w:t>Yousafzai, S. Y., Pallister, J. G., &amp; Foxall, G. R. (2003). </w:t>
      </w:r>
      <w:r>
        <w:rPr>
          <w:rFonts w:hint="default" w:ascii="Times New Roman" w:hAnsi="Times New Roman" w:eastAsia="Helvetica" w:cs="Times New Roman"/>
          <w:i/>
          <w:iCs/>
          <w:color w:val="auto"/>
          <w:sz w:val="24"/>
          <w:szCs w:val="24"/>
          <w:u w:val="none"/>
          <w:shd w:val="clear" w:color="auto" w:fill="FFFFFF"/>
          <w:lang w:bidi="ar"/>
        </w:rPr>
        <w:t>A proposed model of e-trust for electronic banking</w:t>
      </w:r>
      <w:r>
        <w:rPr>
          <w:rFonts w:hint="default" w:ascii="Times New Roman" w:hAnsi="Times New Roman" w:eastAsia="Helvetica" w:cs="Times New Roman"/>
          <w:color w:val="auto"/>
          <w:sz w:val="24"/>
          <w:szCs w:val="24"/>
          <w:u w:val="none"/>
          <w:shd w:val="clear" w:color="auto" w:fill="FFFFFF"/>
          <w:lang w:bidi="ar"/>
        </w:rPr>
        <w:t>. </w:t>
      </w:r>
      <w:r>
        <w:rPr>
          <w:rFonts w:hint="default" w:ascii="Times New Roman" w:hAnsi="Times New Roman" w:eastAsia="Helvetica" w:cs="Times New Roman"/>
          <w:i/>
          <w:iCs/>
          <w:color w:val="auto"/>
          <w:sz w:val="24"/>
          <w:szCs w:val="24"/>
          <w:u w:val="none"/>
          <w:shd w:val="clear" w:color="auto" w:fill="FFFFFF"/>
          <w:lang w:bidi="ar"/>
        </w:rPr>
        <w:t>23</w:t>
      </w:r>
      <w:r>
        <w:rPr>
          <w:rFonts w:hint="default" w:ascii="Times New Roman" w:hAnsi="Times New Roman" w:eastAsia="Helvetica" w:cs="Times New Roman"/>
          <w:color w:val="auto"/>
          <w:sz w:val="24"/>
          <w:szCs w:val="24"/>
          <w:u w:val="none"/>
          <w:shd w:val="clear" w:color="auto" w:fill="FFFFFF"/>
          <w:lang w:bidi="ar"/>
        </w:rPr>
        <w:t>(11), 847–860.</w:t>
      </w:r>
    </w:p>
    <w:p w14:paraId="7D1DAE4D">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eastAsia="Helvetica" w:cs="Times New Roman"/>
          <w:color w:val="auto"/>
          <w:sz w:val="24"/>
          <w:szCs w:val="24"/>
          <w:u w:val="none"/>
          <w:shd w:val="clear" w:color="auto" w:fill="FFFFFF"/>
          <w:lang w:bidi="ar"/>
        </w:rPr>
      </w:pPr>
      <w:r>
        <w:rPr>
          <w:rFonts w:hint="default" w:ascii="Times New Roman" w:hAnsi="Times New Roman" w:eastAsia="Helvetica" w:cs="Times New Roman"/>
          <w:color w:val="auto"/>
          <w:sz w:val="24"/>
          <w:szCs w:val="24"/>
          <w:u w:val="none"/>
          <w:shd w:val="clear" w:color="auto" w:fill="FFFFFF"/>
          <w:lang w:bidi="ar"/>
        </w:rPr>
        <w:t>Yu, S. (2024). </w:t>
      </w:r>
      <w:r>
        <w:rPr>
          <w:rFonts w:hint="default" w:ascii="Times New Roman" w:hAnsi="Times New Roman" w:eastAsia="Helvetica" w:cs="Times New Roman"/>
          <w:i/>
          <w:iCs/>
          <w:color w:val="auto"/>
          <w:sz w:val="24"/>
          <w:szCs w:val="24"/>
          <w:u w:val="none"/>
          <w:shd w:val="clear" w:color="auto" w:fill="FFFFFF"/>
          <w:lang w:bidi="ar"/>
        </w:rPr>
        <w:t>Graph Learning for Financial Networks</w:t>
      </w:r>
      <w:r>
        <w:rPr>
          <w:rFonts w:hint="default" w:ascii="Times New Roman" w:hAnsi="Times New Roman" w:eastAsia="Helvetica" w:cs="Times New Roman"/>
          <w:color w:val="auto"/>
          <w:sz w:val="24"/>
          <w:szCs w:val="24"/>
          <w:u w:val="none"/>
          <w:shd w:val="clear" w:color="auto" w:fill="FFFFFF"/>
          <w:lang w:bidi="ar"/>
        </w:rPr>
        <w:t>. Rutgers The State University of New Jersey, Graduate School-Newark</w:t>
      </w:r>
    </w:p>
    <w:p w14:paraId="048E4910">
      <w:pPr>
        <w:pStyle w:val="85"/>
        <w:keepNext w:val="0"/>
        <w:keepLines w:val="0"/>
        <w:pageBreakBefore w:val="0"/>
        <w:widowControl/>
        <w:suppressLineNumbers w:val="0"/>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r>
        <w:rPr>
          <w:rFonts w:hint="default" w:ascii="Times New Roman" w:hAnsi="Times New Roman" w:cs="Times New Roman"/>
          <w:color w:val="auto"/>
          <w:sz w:val="24"/>
          <w:szCs w:val="24"/>
          <w:u w:val="none"/>
        </w:rPr>
        <w:t xml:space="preserve">Zulfauzi, I. A., Dahlan, N. Y., Sintuya, H., &amp; Setthapun, W. (2023). Anomaly detection using K-means and long short-term memory for predictive maintenance of large-scale solar photovoltaic plant. </w:t>
      </w:r>
      <w:r>
        <w:rPr>
          <w:rStyle w:val="31"/>
          <w:rFonts w:hint="default" w:ascii="Times New Roman" w:hAnsi="Times New Roman" w:cs="Times New Roman"/>
          <w:color w:val="auto"/>
          <w:sz w:val="24"/>
          <w:szCs w:val="24"/>
          <w:u w:val="none"/>
        </w:rPr>
        <w:t>Energy Reports, 9</w:t>
      </w:r>
      <w:r>
        <w:rPr>
          <w:rFonts w:hint="default" w:ascii="Times New Roman" w:hAnsi="Times New Roman" w:cs="Times New Roman"/>
          <w:color w:val="auto"/>
          <w:sz w:val="24"/>
          <w:szCs w:val="24"/>
          <w:u w:val="none"/>
        </w:rPr>
        <w:t xml:space="preserve">(Suppl. 12), 154–158. </w:t>
      </w:r>
      <w:r>
        <w:rPr>
          <w:rFonts w:hint="default" w:ascii="Times New Roman" w:hAnsi="Times New Roman" w:cs="Times New Roman"/>
          <w:color w:val="auto"/>
          <w:sz w:val="24"/>
          <w:szCs w:val="24"/>
          <w:u w:val="none"/>
        </w:rPr>
        <w:fldChar w:fldCharType="begin"/>
      </w:r>
      <w:r>
        <w:rPr>
          <w:rFonts w:hint="default" w:ascii="Times New Roman" w:hAnsi="Times New Roman" w:cs="Times New Roman"/>
          <w:color w:val="auto"/>
          <w:sz w:val="24"/>
          <w:szCs w:val="24"/>
          <w:u w:val="none"/>
        </w:rPr>
        <w:instrText xml:space="preserve"> HYPERLINK "https://doi.org/10.1016/j.egyr.2023.09.159" \t "_new" </w:instrText>
      </w:r>
      <w:r>
        <w:rPr>
          <w:rFonts w:hint="default" w:ascii="Times New Roman" w:hAnsi="Times New Roman" w:cs="Times New Roman"/>
          <w:color w:val="auto"/>
          <w:sz w:val="24"/>
          <w:szCs w:val="24"/>
          <w:u w:val="none"/>
        </w:rPr>
        <w:fldChar w:fldCharType="separate"/>
      </w:r>
      <w:r>
        <w:rPr>
          <w:rStyle w:val="51"/>
          <w:rFonts w:hint="default" w:ascii="Times New Roman" w:hAnsi="Times New Roman" w:cs="Times New Roman"/>
          <w:color w:val="auto"/>
          <w:sz w:val="24"/>
          <w:szCs w:val="24"/>
          <w:u w:val="none"/>
        </w:rPr>
        <w:t>https://doi.org/10.1016/j.eg</w:t>
      </w:r>
      <w:bookmarkStart w:id="0" w:name="_GoBack"/>
      <w:bookmarkEnd w:id="0"/>
      <w:r>
        <w:rPr>
          <w:rStyle w:val="51"/>
          <w:rFonts w:hint="default" w:ascii="Times New Roman" w:hAnsi="Times New Roman" w:cs="Times New Roman"/>
          <w:color w:val="auto"/>
          <w:sz w:val="24"/>
          <w:szCs w:val="24"/>
          <w:u w:val="none"/>
        </w:rPr>
        <w:t>yr.2023.09.159</w:t>
      </w:r>
      <w:r>
        <w:rPr>
          <w:rFonts w:hint="default" w:ascii="Times New Roman" w:hAnsi="Times New Roman" w:cs="Times New Roman"/>
          <w:color w:val="auto"/>
          <w:sz w:val="24"/>
          <w:szCs w:val="24"/>
          <w:u w:val="none"/>
        </w:rPr>
        <w:fldChar w:fldCharType="end"/>
      </w:r>
    </w:p>
    <w:p w14:paraId="0FFCDDE7">
      <w:pPr>
        <w:keepNext w:val="0"/>
        <w:keepLines w:val="0"/>
        <w:pageBreakBefore w:val="0"/>
        <w:widowControl/>
        <w:kinsoku/>
        <w:wordWrap/>
        <w:overflowPunct/>
        <w:topLinePunct w:val="0"/>
        <w:autoSpaceDE/>
        <w:autoSpaceDN/>
        <w:bidi w:val="0"/>
        <w:adjustRightInd/>
        <w:snapToGrid/>
        <w:spacing w:beforeAutospacing="0" w:afterAutospacing="0"/>
        <w:ind w:left="398" w:leftChars="0" w:hanging="398" w:hangingChars="166"/>
        <w:jc w:val="both"/>
        <w:textAlignment w:val="auto"/>
        <w:rPr>
          <w:rFonts w:hint="default" w:ascii="Times New Roman" w:hAnsi="Times New Roman" w:cs="Times New Roman"/>
          <w:color w:val="auto"/>
          <w:sz w:val="24"/>
          <w:szCs w:val="24"/>
          <w:u w:val="none"/>
        </w:rPr>
      </w:pPr>
    </w:p>
    <w:p w14:paraId="48B529D7">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lang w:val="en-US"/>
        </w:rPr>
      </w:pPr>
    </w:p>
    <w:p w14:paraId="744EA5C6">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0E1D86CB">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4806E88B">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7382A713">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lang w:val="en-US"/>
        </w:rPr>
      </w:pPr>
    </w:p>
    <w:p w14:paraId="1663E6FF">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lang w:val="en-US"/>
        </w:rPr>
      </w:pPr>
    </w:p>
    <w:p w14:paraId="1A94C8FC">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lang w:val="en-US"/>
        </w:rPr>
      </w:pPr>
    </w:p>
    <w:p w14:paraId="1DA2EBB4">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Appendix I: Systematic Literature Review Table</w:t>
      </w:r>
    </w:p>
    <w:tbl>
      <w:tblPr>
        <w:tblStyle w:val="12"/>
        <w:tblpPr w:leftFromText="180" w:rightFromText="180" w:vertAnchor="text" w:horzAnchor="page" w:tblpX="1790" w:tblpY="392"/>
        <w:tblOverlap w:val="never"/>
        <w:tblW w:w="8552" w:type="dxa"/>
        <w:tblInd w:w="0" w:type="dxa"/>
        <w:tblLayout w:type="fixed"/>
        <w:tblCellMar>
          <w:top w:w="0" w:type="dxa"/>
          <w:left w:w="108" w:type="dxa"/>
          <w:bottom w:w="0" w:type="dxa"/>
          <w:right w:w="108" w:type="dxa"/>
        </w:tblCellMar>
      </w:tblPr>
      <w:tblGrid>
        <w:gridCol w:w="1052"/>
        <w:gridCol w:w="1224"/>
        <w:gridCol w:w="1920"/>
        <w:gridCol w:w="1236"/>
        <w:gridCol w:w="1440"/>
        <w:gridCol w:w="1680"/>
      </w:tblGrid>
      <w:tr w14:paraId="52928F7F">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08C275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MLA</w:t>
            </w:r>
          </w:p>
        </w:tc>
        <w:tc>
          <w:tcPr>
            <w:tcW w:w="1224" w:type="dxa"/>
            <w:tcBorders>
              <w:top w:val="single" w:color="000000" w:sz="4" w:space="0"/>
              <w:left w:val="nil"/>
              <w:bottom w:val="single" w:color="000000" w:sz="4" w:space="0"/>
              <w:right w:val="nil"/>
              <w:tl2br w:val="nil"/>
              <w:tr2bl w:val="nil"/>
            </w:tcBorders>
            <w:shd w:val="clear" w:color="auto" w:fill="FFFFFF"/>
          </w:tcPr>
          <w:p w14:paraId="6CEA6F8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 xml:space="preserve">Reference </w:t>
            </w:r>
          </w:p>
        </w:tc>
        <w:tc>
          <w:tcPr>
            <w:tcW w:w="1920" w:type="dxa"/>
            <w:tcBorders>
              <w:top w:val="single" w:color="000000" w:sz="4" w:space="0"/>
              <w:left w:val="nil"/>
              <w:bottom w:val="single" w:color="000000" w:sz="4" w:space="0"/>
              <w:right w:val="nil"/>
              <w:tl2br w:val="nil"/>
              <w:tr2bl w:val="nil"/>
            </w:tcBorders>
            <w:shd w:val="clear" w:color="auto" w:fill="FFFFFF"/>
          </w:tcPr>
          <w:p w14:paraId="585E95B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Proposed Solution</w:t>
            </w:r>
          </w:p>
        </w:tc>
        <w:tc>
          <w:tcPr>
            <w:tcW w:w="1236" w:type="dxa"/>
            <w:tcBorders>
              <w:top w:val="single" w:color="000000" w:sz="4" w:space="0"/>
              <w:left w:val="nil"/>
              <w:bottom w:val="single" w:color="000000" w:sz="4" w:space="0"/>
              <w:right w:val="nil"/>
              <w:tl2br w:val="nil"/>
              <w:tr2bl w:val="nil"/>
            </w:tcBorders>
            <w:shd w:val="clear" w:color="auto" w:fill="FFFFFF"/>
          </w:tcPr>
          <w:p w14:paraId="05B2715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Evaluation Metric</w:t>
            </w:r>
          </w:p>
        </w:tc>
        <w:tc>
          <w:tcPr>
            <w:tcW w:w="1440" w:type="dxa"/>
            <w:tcBorders>
              <w:top w:val="single" w:color="000000" w:sz="4" w:space="0"/>
              <w:left w:val="nil"/>
              <w:bottom w:val="single" w:color="000000" w:sz="4" w:space="0"/>
              <w:right w:val="nil"/>
              <w:tl2br w:val="nil"/>
              <w:tr2bl w:val="nil"/>
            </w:tcBorders>
            <w:shd w:val="clear" w:color="auto" w:fill="FFFFFF"/>
          </w:tcPr>
          <w:p w14:paraId="0B91F3D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Result</w:t>
            </w:r>
          </w:p>
        </w:tc>
        <w:tc>
          <w:tcPr>
            <w:tcW w:w="1680" w:type="dxa"/>
            <w:tcBorders>
              <w:top w:val="single" w:color="000000" w:sz="4" w:space="0"/>
              <w:left w:val="nil"/>
              <w:bottom w:val="single" w:color="000000" w:sz="4" w:space="0"/>
              <w:right w:val="nil"/>
              <w:tl2br w:val="nil"/>
              <w:tr2bl w:val="nil"/>
            </w:tcBorders>
            <w:shd w:val="clear" w:color="auto" w:fill="FFFFFF"/>
          </w:tcPr>
          <w:p w14:paraId="367E3A7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Issue(s)</w:t>
            </w:r>
          </w:p>
        </w:tc>
      </w:tr>
      <w:tr w14:paraId="02E9498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D4626C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DBSCAN</w:t>
            </w:r>
          </w:p>
        </w:tc>
        <w:tc>
          <w:tcPr>
            <w:tcW w:w="1224" w:type="dxa"/>
            <w:tcBorders>
              <w:top w:val="single" w:color="000000" w:sz="4" w:space="0"/>
              <w:left w:val="nil"/>
              <w:bottom w:val="single" w:color="000000" w:sz="4" w:space="0"/>
              <w:right w:val="nil"/>
              <w:tl2br w:val="nil"/>
              <w:tr2bl w:val="nil"/>
            </w:tcBorders>
            <w:shd w:val="clear" w:color="auto" w:fill="FFFFFF"/>
          </w:tcPr>
          <w:p w14:paraId="0D5D6EB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Marta Mieczyńska, Ireneusz Czarnowski (2021)</w:t>
            </w:r>
            <w:r>
              <w:rPr>
                <w:rFonts w:hint="default" w:ascii="Times New Roman" w:hAnsi="Times New Roman" w:cs="Times New Roman"/>
                <w:b w:val="0"/>
                <w:color w:val="000000"/>
                <w:sz w:val="20"/>
                <w:szCs w:val="20"/>
              </w:rPr>
              <w:br w:type="textWrapping"/>
            </w:r>
          </w:p>
        </w:tc>
        <w:tc>
          <w:tcPr>
            <w:tcW w:w="1920" w:type="dxa"/>
            <w:tcBorders>
              <w:top w:val="single" w:color="000000" w:sz="4" w:space="0"/>
              <w:left w:val="nil"/>
              <w:bottom w:val="single" w:color="000000" w:sz="4" w:space="0"/>
              <w:right w:val="nil"/>
              <w:tl2br w:val="nil"/>
              <w:tr2bl w:val="nil"/>
            </w:tcBorders>
            <w:shd w:val="clear" w:color="auto" w:fill="FFFFFF"/>
          </w:tcPr>
          <w:p w14:paraId="2EF046D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DBSCAN to cluster AIS data as a preliminary step in reconstructing missing or damaged data packets</w:t>
            </w:r>
          </w:p>
        </w:tc>
        <w:tc>
          <w:tcPr>
            <w:tcW w:w="1236" w:type="dxa"/>
            <w:tcBorders>
              <w:top w:val="single" w:color="000000" w:sz="4" w:space="0"/>
              <w:left w:val="nil"/>
              <w:bottom w:val="single" w:color="000000" w:sz="4" w:space="0"/>
              <w:right w:val="nil"/>
              <w:tl2br w:val="nil"/>
              <w:tr2bl w:val="nil"/>
            </w:tcBorders>
            <w:shd w:val="clear" w:color="auto" w:fill="FFFFFF"/>
          </w:tcPr>
          <w:p w14:paraId="39130E5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Silhouette Coefficient</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Correctness Coefficient (CC)</w:t>
            </w:r>
          </w:p>
        </w:tc>
        <w:tc>
          <w:tcPr>
            <w:tcW w:w="1440" w:type="dxa"/>
            <w:tcBorders>
              <w:top w:val="single" w:color="000000" w:sz="4" w:space="0"/>
              <w:left w:val="nil"/>
              <w:bottom w:val="single" w:color="000000" w:sz="4" w:space="0"/>
              <w:right w:val="nil"/>
              <w:tl2br w:val="nil"/>
              <w:tr2bl w:val="nil"/>
            </w:tcBorders>
            <w:shd w:val="clear" w:color="auto" w:fill="FFFFFF"/>
          </w:tcPr>
          <w:p w14:paraId="40F2BA5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p>
          <w:p w14:paraId="5F5FD16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p>
        </w:tc>
        <w:tc>
          <w:tcPr>
            <w:tcW w:w="1680" w:type="dxa"/>
            <w:tcBorders>
              <w:top w:val="single" w:color="000000" w:sz="4" w:space="0"/>
              <w:left w:val="nil"/>
              <w:bottom w:val="single" w:color="000000" w:sz="4" w:space="0"/>
              <w:right w:val="nil"/>
              <w:tl2br w:val="nil"/>
              <w:tr2bl w:val="nil"/>
            </w:tcBorders>
            <w:shd w:val="clear" w:color="auto" w:fill="FFFFFF"/>
          </w:tcPr>
          <w:p w14:paraId="5BB051B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AIS data packets’ collisions,</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Reconstructing these missing messages to restore accurate ship trajectories.</w:t>
            </w:r>
          </w:p>
        </w:tc>
      </w:tr>
      <w:tr w14:paraId="0839D87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5C0A21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7A34AA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P.A. Savenkov,</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A.N. Ivutin (2021).</w:t>
            </w:r>
            <w:r>
              <w:rPr>
                <w:rFonts w:hint="default" w:ascii="Times New Roman" w:hAnsi="Times New Roman" w:cs="Times New Roman"/>
                <w:b w:val="0"/>
                <w:color w:val="000000"/>
                <w:sz w:val="20"/>
                <w:szCs w:val="20"/>
              </w:rPr>
              <w:br w:type="textWrapping"/>
            </w:r>
          </w:p>
        </w:tc>
        <w:tc>
          <w:tcPr>
            <w:tcW w:w="1920" w:type="dxa"/>
            <w:tcBorders>
              <w:top w:val="single" w:color="000000" w:sz="4" w:space="0"/>
              <w:left w:val="nil"/>
              <w:bottom w:val="single" w:color="000000" w:sz="4" w:space="0"/>
              <w:right w:val="nil"/>
              <w:tl2br w:val="nil"/>
              <w:tr2bl w:val="nil"/>
            </w:tcBorders>
            <w:shd w:val="clear" w:color="auto" w:fill="FFFFFF"/>
          </w:tcPr>
          <w:p w14:paraId="5AF38AD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DBSCAN to cluster data and detect anomalies by identifying regions of high density.</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WrapDBScan:  automatically determines the optimal search radius for clustering.</w:t>
            </w:r>
          </w:p>
        </w:tc>
        <w:tc>
          <w:tcPr>
            <w:tcW w:w="1236" w:type="dxa"/>
            <w:tcBorders>
              <w:top w:val="single" w:color="000000" w:sz="4" w:space="0"/>
              <w:left w:val="nil"/>
              <w:bottom w:val="single" w:color="000000" w:sz="4" w:space="0"/>
              <w:right w:val="nil"/>
              <w:tl2br w:val="nil"/>
              <w:tr2bl w:val="nil"/>
            </w:tcBorders>
            <w:shd w:val="clear" w:color="auto" w:fill="FFFFFF"/>
          </w:tcPr>
          <w:p w14:paraId="447FE4B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Anomaly Detection</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Efficiency of Clustering</w:t>
            </w:r>
          </w:p>
        </w:tc>
        <w:tc>
          <w:tcPr>
            <w:tcW w:w="1440" w:type="dxa"/>
            <w:tcBorders>
              <w:top w:val="single" w:color="000000" w:sz="4" w:space="0"/>
              <w:left w:val="nil"/>
              <w:bottom w:val="single" w:color="000000" w:sz="4" w:space="0"/>
              <w:right w:val="nil"/>
              <w:tl2br w:val="nil"/>
              <w:tr2bl w:val="nil"/>
            </w:tcBorders>
            <w:shd w:val="clear" w:color="auto" w:fill="FFFFFF"/>
          </w:tcPr>
          <w:p w14:paraId="4812076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WrapDBScan method successfully identified the optimal radius for clustering.</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Improves the accuracy of anomaly detection in user behavior analysis.</w:t>
            </w:r>
          </w:p>
        </w:tc>
        <w:tc>
          <w:tcPr>
            <w:tcW w:w="1680" w:type="dxa"/>
            <w:tcBorders>
              <w:top w:val="single" w:color="000000" w:sz="4" w:space="0"/>
              <w:left w:val="nil"/>
              <w:bottom w:val="single" w:color="000000" w:sz="4" w:space="0"/>
              <w:right w:val="nil"/>
              <w:tl2br w:val="nil"/>
              <w:tr2bl w:val="nil"/>
            </w:tcBorders>
            <w:shd w:val="clear" w:color="auto" w:fill="FFFFFF"/>
          </w:tcPr>
          <w:p w14:paraId="671EF6F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Detecting anomalous user behavior from large volumes of unstructured data, </w:t>
            </w:r>
          </w:p>
        </w:tc>
      </w:tr>
      <w:tr w14:paraId="2C7B2AF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B629AC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5F916D8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 et al. (2023)</w:t>
            </w:r>
          </w:p>
        </w:tc>
        <w:tc>
          <w:tcPr>
            <w:tcW w:w="1920" w:type="dxa"/>
            <w:tcBorders>
              <w:top w:val="single" w:color="000000" w:sz="4" w:space="0"/>
              <w:left w:val="nil"/>
              <w:bottom w:val="single" w:color="000000" w:sz="4" w:space="0"/>
              <w:right w:val="nil"/>
              <w:tl2br w:val="nil"/>
              <w:tr2bl w:val="nil"/>
            </w:tcBorders>
            <w:shd w:val="clear" w:color="auto" w:fill="FFFFFF"/>
          </w:tcPr>
          <w:p w14:paraId="6058F64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K-DBSCAN, which adapts the parameters automatically and modifies the traversal method to only deal with core points.</w:t>
            </w:r>
          </w:p>
        </w:tc>
        <w:tc>
          <w:tcPr>
            <w:tcW w:w="1236" w:type="dxa"/>
            <w:tcBorders>
              <w:top w:val="single" w:color="000000" w:sz="4" w:space="0"/>
              <w:left w:val="nil"/>
              <w:bottom w:val="single" w:color="000000" w:sz="4" w:space="0"/>
              <w:right w:val="nil"/>
              <w:tl2br w:val="nil"/>
              <w:tr2bl w:val="nil"/>
            </w:tcBorders>
            <w:shd w:val="clear" w:color="auto" w:fill="FFFFFF"/>
          </w:tcPr>
          <w:p w14:paraId="63F32D7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Running time efficiency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Clustering accuracy</w:t>
            </w:r>
          </w:p>
        </w:tc>
        <w:tc>
          <w:tcPr>
            <w:tcW w:w="1440" w:type="dxa"/>
            <w:tcBorders>
              <w:top w:val="single" w:color="000000" w:sz="4" w:space="0"/>
              <w:left w:val="nil"/>
              <w:bottom w:val="single" w:color="000000" w:sz="4" w:space="0"/>
              <w:right w:val="nil"/>
              <w:tl2br w:val="nil"/>
              <w:tr2bl w:val="nil"/>
            </w:tcBorders>
            <w:shd w:val="clear" w:color="auto" w:fill="FFFFFF"/>
          </w:tcPr>
          <w:p w14:paraId="577975E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K-DBSCAN: improves running time efficiency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Improves clustering accuracy, in datasets with varying densities.</w:t>
            </w:r>
            <w:r>
              <w:rPr>
                <w:rFonts w:hint="default" w:ascii="Times New Roman" w:hAnsi="Times New Roman" w:cs="Times New Roman"/>
                <w:b w:val="0"/>
                <w:color w:val="000000"/>
                <w:sz w:val="20"/>
                <w:szCs w:val="20"/>
              </w:rPr>
              <w:br w:type="textWrapping"/>
            </w:r>
          </w:p>
        </w:tc>
        <w:tc>
          <w:tcPr>
            <w:tcW w:w="1680" w:type="dxa"/>
            <w:tcBorders>
              <w:top w:val="single" w:color="000000" w:sz="4" w:space="0"/>
              <w:left w:val="nil"/>
              <w:bottom w:val="single" w:color="000000" w:sz="4" w:space="0"/>
              <w:right w:val="nil"/>
              <w:tl2br w:val="nil"/>
              <w:tr2bl w:val="nil"/>
            </w:tcBorders>
            <w:shd w:val="clear" w:color="auto" w:fill="FFFFFF"/>
          </w:tcPr>
          <w:p w14:paraId="2ED7AC6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Inefficiency of the traditional DBSCAN algorithm for large datasets (Needs to traverse all points).</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Struggles to automatically determine the critical parameters (Eps and MinPts).</w:t>
            </w:r>
            <w:r>
              <w:rPr>
                <w:rFonts w:hint="default" w:ascii="Times New Roman" w:hAnsi="Times New Roman" w:cs="Times New Roman"/>
                <w:b w:val="0"/>
                <w:color w:val="000000"/>
                <w:sz w:val="20"/>
                <w:szCs w:val="20"/>
              </w:rPr>
              <w:br w:type="textWrapping"/>
            </w:r>
          </w:p>
        </w:tc>
      </w:tr>
      <w:tr w14:paraId="26592230">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1302B0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SVM</w:t>
            </w:r>
          </w:p>
        </w:tc>
        <w:tc>
          <w:tcPr>
            <w:tcW w:w="1224" w:type="dxa"/>
            <w:tcBorders>
              <w:top w:val="single" w:color="000000" w:sz="4" w:space="0"/>
              <w:left w:val="nil"/>
              <w:bottom w:val="single" w:color="000000" w:sz="4" w:space="0"/>
              <w:right w:val="nil"/>
              <w:tl2br w:val="nil"/>
              <w:tr2bl w:val="nil"/>
            </w:tcBorders>
            <w:shd w:val="clear" w:color="auto" w:fill="FFFFFF"/>
          </w:tcPr>
          <w:p w14:paraId="09CA217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Mokhtar Mohammadi, Tarik A. Rashid, Sarkhel H. Taher Karim, Adil Hussain Mohammed Aldalwie</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Quan Thanh Tho, Moazam Bidaki, Amir Masoud Rahmani, Mehdi Hosseinzadeh</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(2021)</w:t>
            </w:r>
          </w:p>
        </w:tc>
        <w:tc>
          <w:tcPr>
            <w:tcW w:w="1920" w:type="dxa"/>
            <w:tcBorders>
              <w:top w:val="single" w:color="000000" w:sz="4" w:space="0"/>
              <w:left w:val="nil"/>
              <w:bottom w:val="single" w:color="000000" w:sz="4" w:space="0"/>
              <w:right w:val="nil"/>
              <w:tl2br w:val="nil"/>
              <w:tr2bl w:val="nil"/>
            </w:tcBorders>
            <w:shd w:val="clear" w:color="auto" w:fill="FFFFFF"/>
          </w:tcPr>
          <w:p w14:paraId="1371EC4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Categorizes various SVM-based intrusion detection systems (IDS), highlighting the use of different types of SVM classifiers and feature selection methods.</w:t>
            </w:r>
          </w:p>
        </w:tc>
        <w:tc>
          <w:tcPr>
            <w:tcW w:w="1236" w:type="dxa"/>
            <w:tcBorders>
              <w:top w:val="single" w:color="000000" w:sz="4" w:space="0"/>
              <w:left w:val="nil"/>
              <w:bottom w:val="single" w:color="000000" w:sz="4" w:space="0"/>
              <w:right w:val="nil"/>
              <w:tl2br w:val="nil"/>
              <w:tr2bl w:val="nil"/>
            </w:tcBorders>
            <w:shd w:val="clear" w:color="auto" w:fill="FFFFFF"/>
          </w:tcPr>
          <w:p w14:paraId="0E614D7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p>
        </w:tc>
        <w:tc>
          <w:tcPr>
            <w:tcW w:w="1440" w:type="dxa"/>
            <w:tcBorders>
              <w:top w:val="single" w:color="000000" w:sz="4" w:space="0"/>
              <w:left w:val="nil"/>
              <w:bottom w:val="single" w:color="000000" w:sz="4" w:space="0"/>
              <w:right w:val="nil"/>
              <w:tl2br w:val="nil"/>
              <w:tr2bl w:val="nil"/>
            </w:tcBorders>
            <w:shd w:val="clear" w:color="auto" w:fill="FFFFFF"/>
          </w:tcPr>
          <w:p w14:paraId="387CDD3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Provides a comprehensive analysis of SVM-based IDS, highlighting their effectiveness and limitations in various contexts of intrusion detection</w:t>
            </w:r>
          </w:p>
        </w:tc>
        <w:tc>
          <w:tcPr>
            <w:tcW w:w="1680" w:type="dxa"/>
            <w:tcBorders>
              <w:top w:val="single" w:color="000000" w:sz="4" w:space="0"/>
              <w:left w:val="nil"/>
              <w:bottom w:val="single" w:color="000000" w:sz="4" w:space="0"/>
              <w:right w:val="nil"/>
              <w:tl2br w:val="nil"/>
              <w:tr2bl w:val="nil"/>
            </w:tcBorders>
            <w:shd w:val="clear" w:color="auto" w:fill="FFFFFF"/>
          </w:tcPr>
          <w:p w14:paraId="5D6BED7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Using Support Vector Machines (SVM) for anomaly detection of false positives, and true negatives in intrusion detection systems (IDS) .</w:t>
            </w:r>
            <w:r>
              <w:rPr>
                <w:rFonts w:hint="default" w:ascii="Times New Roman" w:hAnsi="Times New Roman" w:cs="Times New Roman"/>
                <w:b w:val="0"/>
                <w:color w:val="000000"/>
                <w:sz w:val="20"/>
                <w:szCs w:val="20"/>
              </w:rPr>
              <w:br w:type="textWrapping"/>
            </w:r>
          </w:p>
        </w:tc>
      </w:tr>
      <w:tr w14:paraId="6D16FEE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24998E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39C7948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Mustafa Akpinar,</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M. Fatih Adak,</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Goker Guvenc, (2021)</w:t>
            </w:r>
            <w:r>
              <w:rPr>
                <w:rFonts w:hint="default" w:ascii="Times New Roman" w:hAnsi="Times New Roman" w:cs="Times New Roman"/>
                <w:b w:val="0"/>
                <w:color w:val="000000"/>
                <w:sz w:val="20"/>
                <w:szCs w:val="20"/>
              </w:rPr>
              <w:br w:type="textWrapping"/>
            </w:r>
          </w:p>
        </w:tc>
        <w:tc>
          <w:tcPr>
            <w:tcW w:w="1920" w:type="dxa"/>
            <w:tcBorders>
              <w:top w:val="single" w:color="000000" w:sz="4" w:space="0"/>
              <w:left w:val="nil"/>
              <w:bottom w:val="single" w:color="000000" w:sz="4" w:space="0"/>
              <w:right w:val="nil"/>
              <w:tl2br w:val="nil"/>
              <w:tr2bl w:val="nil"/>
            </w:tcBorders>
            <w:shd w:val="clear" w:color="auto" w:fill="FFFFFF"/>
          </w:tcPr>
          <w:p w14:paraId="631736D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SmartRadar software to track employee computer usage, detect anomalies using Support Vector Machines (SVM),  report non-work-related activities.</w:t>
            </w:r>
            <w:r>
              <w:rPr>
                <w:rFonts w:hint="default" w:ascii="Times New Roman" w:hAnsi="Times New Roman" w:cs="Times New Roman"/>
                <w:b w:val="0"/>
                <w:color w:val="000000"/>
                <w:sz w:val="20"/>
                <w:szCs w:val="20"/>
              </w:rPr>
              <w:br w:type="textWrapping"/>
            </w:r>
          </w:p>
        </w:tc>
        <w:tc>
          <w:tcPr>
            <w:tcW w:w="1236" w:type="dxa"/>
            <w:tcBorders>
              <w:top w:val="single" w:color="000000" w:sz="4" w:space="0"/>
              <w:left w:val="nil"/>
              <w:bottom w:val="single" w:color="000000" w:sz="4" w:space="0"/>
              <w:right w:val="nil"/>
              <w:tl2br w:val="nil"/>
              <w:tr2bl w:val="nil"/>
            </w:tcBorders>
            <w:shd w:val="clear" w:color="auto" w:fill="FFFFFF"/>
          </w:tcPr>
          <w:p w14:paraId="53AF667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Sensitivity, Specificity,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Total Accuracy, Training Error Rate</w:t>
            </w:r>
            <w:r>
              <w:rPr>
                <w:rFonts w:hint="default" w:ascii="Times New Roman" w:hAnsi="Times New Roman" w:cs="Times New Roman"/>
                <w:b w:val="0"/>
                <w:color w:val="000000"/>
                <w:sz w:val="20"/>
                <w:szCs w:val="20"/>
              </w:rPr>
              <w:br w:type="textWrapping"/>
            </w:r>
          </w:p>
        </w:tc>
        <w:tc>
          <w:tcPr>
            <w:tcW w:w="1440" w:type="dxa"/>
            <w:tcBorders>
              <w:top w:val="single" w:color="000000" w:sz="4" w:space="0"/>
              <w:left w:val="nil"/>
              <w:bottom w:val="single" w:color="000000" w:sz="4" w:space="0"/>
              <w:right w:val="nil"/>
              <w:tl2br w:val="nil"/>
              <w:tr2bl w:val="nil"/>
            </w:tcBorders>
            <w:shd w:val="clear" w:color="auto" w:fill="FFFFFF"/>
          </w:tcPr>
          <w:p w14:paraId="4FDF403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With high sensitivity (92.3% - 98.75%), specificity (94.44% - 99.99%), and accuracy (95.34% - 97.51%).</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The SmartRadar software demonstrated reliable performance in detecting non-work-related behaviors.</w:t>
            </w:r>
          </w:p>
        </w:tc>
        <w:tc>
          <w:tcPr>
            <w:tcW w:w="1680" w:type="dxa"/>
            <w:tcBorders>
              <w:top w:val="single" w:color="000000" w:sz="4" w:space="0"/>
              <w:left w:val="nil"/>
              <w:bottom w:val="single" w:color="000000" w:sz="4" w:space="0"/>
              <w:right w:val="nil"/>
              <w:tl2br w:val="nil"/>
              <w:tr2bl w:val="nil"/>
            </w:tcBorders>
            <w:shd w:val="clear" w:color="auto" w:fill="FFFFFF"/>
          </w:tcPr>
          <w:p w14:paraId="25C2829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Monitoring and detecting anomalous behavior in remote working environments.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Identifying non-work-related or potentially harmful activities conducted on employee computers.</w:t>
            </w:r>
          </w:p>
        </w:tc>
      </w:tr>
      <w:tr w14:paraId="6408BD91">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AEC60A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26014E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Meenal Jain,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Gagandeep Kaur,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Vikas Saxena, (2022)</w:t>
            </w:r>
          </w:p>
        </w:tc>
        <w:tc>
          <w:tcPr>
            <w:tcW w:w="1920" w:type="dxa"/>
            <w:tcBorders>
              <w:top w:val="single" w:color="000000" w:sz="4" w:space="0"/>
              <w:left w:val="nil"/>
              <w:bottom w:val="single" w:color="000000" w:sz="4" w:space="0"/>
              <w:right w:val="nil"/>
              <w:tl2br w:val="nil"/>
              <w:tr2bl w:val="nil"/>
            </w:tcBorders>
            <w:shd w:val="clear" w:color="auto" w:fill="FFFFFF"/>
          </w:tcPr>
          <w:p w14:paraId="08DC69F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Hybrid concept drift detection framework combining Error Rate Based Concept Drift Detection (ERbCDD) and Data Distribution Based Concept Drift Detection (DDbCDD) with K-Means clustering and SVM for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0A112AC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Detection Accuracy,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KL-Divergence, Kappa Statistics, Precision,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Recall, and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F1 score.</w:t>
            </w:r>
          </w:p>
        </w:tc>
        <w:tc>
          <w:tcPr>
            <w:tcW w:w="1440" w:type="dxa"/>
            <w:tcBorders>
              <w:top w:val="single" w:color="000000" w:sz="4" w:space="0"/>
              <w:left w:val="nil"/>
              <w:bottom w:val="single" w:color="000000" w:sz="4" w:space="0"/>
              <w:right w:val="nil"/>
              <w:tl2br w:val="nil"/>
              <w:tr2bl w:val="nil"/>
            </w:tcBorders>
            <w:shd w:val="clear" w:color="auto" w:fill="FFFFFF"/>
          </w:tcPr>
          <w:p w14:paraId="4F6AF06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proposed approach significantly improves classification accuracy and effectively handles concept drift in network traffic data</w:t>
            </w:r>
          </w:p>
        </w:tc>
        <w:tc>
          <w:tcPr>
            <w:tcW w:w="1680" w:type="dxa"/>
            <w:tcBorders>
              <w:top w:val="single" w:color="000000" w:sz="4" w:space="0"/>
              <w:left w:val="nil"/>
              <w:bottom w:val="single" w:color="000000" w:sz="4" w:space="0"/>
              <w:right w:val="nil"/>
              <w:tl2br w:val="nil"/>
              <w:tr2bl w:val="nil"/>
            </w:tcBorders>
            <w:shd w:val="clear" w:color="auto" w:fill="FFFFFF"/>
          </w:tcPr>
          <w:p w14:paraId="02A904E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Network anomaly detection, and handling concept drift in streaming network traffic data.</w:t>
            </w:r>
          </w:p>
        </w:tc>
      </w:tr>
      <w:tr w14:paraId="6D25C42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01397B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28AD1F4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Rami Mustafa,</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A. Mohammad, (2022)</w:t>
            </w:r>
          </w:p>
        </w:tc>
        <w:tc>
          <w:tcPr>
            <w:tcW w:w="1920" w:type="dxa"/>
            <w:tcBorders>
              <w:top w:val="single" w:color="000000" w:sz="4" w:space="0"/>
              <w:left w:val="nil"/>
              <w:bottom w:val="single" w:color="000000" w:sz="4" w:space="0"/>
              <w:right w:val="nil"/>
              <w:tl2br w:val="nil"/>
              <w:tr2bl w:val="nil"/>
            </w:tcBorders>
            <w:shd w:val="clear" w:color="auto" w:fill="FFFFFF"/>
          </w:tcPr>
          <w:p w14:paraId="5FDE502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Enhanced Multiclass SVM (EMSVM) model.</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This model includes a new technique for selecting the most effective parameters when building an SVM model.</w:t>
            </w:r>
            <w:r>
              <w:rPr>
                <w:rFonts w:hint="default" w:ascii="Times New Roman" w:hAnsi="Times New Roman" w:cs="Times New Roman"/>
                <w:b w:val="0"/>
                <w:color w:val="000000"/>
                <w:sz w:val="20"/>
                <w:szCs w:val="20"/>
              </w:rPr>
              <w:br w:type="textWrapping"/>
            </w:r>
          </w:p>
        </w:tc>
        <w:tc>
          <w:tcPr>
            <w:tcW w:w="1236" w:type="dxa"/>
            <w:tcBorders>
              <w:top w:val="single" w:color="000000" w:sz="4" w:space="0"/>
              <w:left w:val="nil"/>
              <w:bottom w:val="single" w:color="000000" w:sz="4" w:space="0"/>
              <w:right w:val="nil"/>
              <w:tl2br w:val="nil"/>
              <w:tr2bl w:val="nil"/>
            </w:tcBorders>
            <w:shd w:val="clear" w:color="auto" w:fill="FFFFFF"/>
          </w:tcPr>
          <w:p w14:paraId="4FD290D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Accuracy,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Precision,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Recall,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F1-Score</w:t>
            </w:r>
            <w:r>
              <w:rPr>
                <w:rFonts w:hint="default" w:ascii="Times New Roman" w:hAnsi="Times New Roman" w:cs="Times New Roman"/>
                <w:b w:val="0"/>
                <w:color w:val="000000"/>
                <w:sz w:val="20"/>
                <w:szCs w:val="20"/>
              </w:rPr>
              <w:br w:type="textWrapping"/>
            </w:r>
          </w:p>
        </w:tc>
        <w:tc>
          <w:tcPr>
            <w:tcW w:w="1440" w:type="dxa"/>
            <w:tcBorders>
              <w:top w:val="single" w:color="000000" w:sz="4" w:space="0"/>
              <w:left w:val="nil"/>
              <w:bottom w:val="single" w:color="000000" w:sz="4" w:space="0"/>
              <w:right w:val="nil"/>
              <w:tl2br w:val="nil"/>
              <w:tr2bl w:val="nil"/>
            </w:tcBorders>
            <w:shd w:val="clear" w:color="auto" w:fill="FFFFFF"/>
          </w:tcPr>
          <w:p w14:paraId="10E2D8E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With an accuracy of 92.72%, outperformed several other machine learning algorithms (e.g., Neural Networks, Random Forests, Bayesian Networks) in terms of accuracy, precision, recall, and F1-Score.</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p>
        </w:tc>
        <w:tc>
          <w:tcPr>
            <w:tcW w:w="1680" w:type="dxa"/>
            <w:tcBorders>
              <w:top w:val="single" w:color="000000" w:sz="4" w:space="0"/>
              <w:left w:val="nil"/>
              <w:bottom w:val="single" w:color="000000" w:sz="4" w:space="0"/>
              <w:right w:val="nil"/>
              <w:tl2br w:val="nil"/>
              <w:tr2bl w:val="nil"/>
            </w:tcBorders>
            <w:shd w:val="clear" w:color="auto" w:fill="FFFFFF"/>
          </w:tcPr>
          <w:p w14:paraId="78F257F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challenges of digital forensic investigations, in identifying the file systems affected by malicious software in a digital crime scenario.</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The difficulty in analyzing large datasets with high dimensionality, common in digital forensic nvestigations.</w:t>
            </w:r>
            <w:r>
              <w:rPr>
                <w:rFonts w:hint="default" w:ascii="Times New Roman" w:hAnsi="Times New Roman" w:cs="Times New Roman"/>
                <w:b w:val="0"/>
                <w:color w:val="000000"/>
                <w:sz w:val="20"/>
                <w:szCs w:val="20"/>
              </w:rPr>
              <w:br w:type="textWrapping"/>
            </w:r>
          </w:p>
        </w:tc>
      </w:tr>
      <w:tr w14:paraId="198A059F">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277EDB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40CB9DC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Zhenlei Ma,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Xiaojian Li,</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Jie Sun, (2024)</w:t>
            </w:r>
          </w:p>
        </w:tc>
        <w:tc>
          <w:tcPr>
            <w:tcW w:w="1920" w:type="dxa"/>
            <w:tcBorders>
              <w:top w:val="single" w:color="000000" w:sz="4" w:space="0"/>
              <w:left w:val="nil"/>
              <w:bottom w:val="single" w:color="000000" w:sz="4" w:space="0"/>
              <w:right w:val="nil"/>
              <w:tl2br w:val="nil"/>
              <w:tr2bl w:val="nil"/>
            </w:tcBorders>
            <w:shd w:val="clear" w:color="auto" w:fill="FFFFFF"/>
          </w:tcPr>
          <w:p w14:paraId="78A86B0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Subspace intersection technique combined with Support Vector Machine (SVM) and Genetic Algorithm (GA).</w:t>
            </w:r>
            <w:r>
              <w:rPr>
                <w:rFonts w:hint="default" w:ascii="Times New Roman" w:hAnsi="Times New Roman" w:cs="Times New Roman"/>
                <w:b w:val="0"/>
                <w:color w:val="000000"/>
                <w:sz w:val="20"/>
                <w:szCs w:val="20"/>
              </w:rPr>
              <w:br w:type="textWrapping"/>
            </w:r>
          </w:p>
        </w:tc>
        <w:tc>
          <w:tcPr>
            <w:tcW w:w="1236" w:type="dxa"/>
            <w:tcBorders>
              <w:top w:val="single" w:color="000000" w:sz="4" w:space="0"/>
              <w:left w:val="nil"/>
              <w:bottom w:val="single" w:color="000000" w:sz="4" w:space="0"/>
              <w:right w:val="nil"/>
              <w:tl2br w:val="nil"/>
              <w:tr2bl w:val="nil"/>
            </w:tcBorders>
            <w:shd w:val="clear" w:color="auto" w:fill="FFFFFF"/>
          </w:tcPr>
          <w:p w14:paraId="59CFBFC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paper discusses performance improvement in fault detection but does not specify a unique evaluation metric in the extracted sections.</w:t>
            </w:r>
          </w:p>
        </w:tc>
        <w:tc>
          <w:tcPr>
            <w:tcW w:w="1440" w:type="dxa"/>
            <w:tcBorders>
              <w:top w:val="single" w:color="000000" w:sz="4" w:space="0"/>
              <w:left w:val="nil"/>
              <w:bottom w:val="single" w:color="000000" w:sz="4" w:space="0"/>
              <w:right w:val="nil"/>
              <w:tl2br w:val="nil"/>
              <w:tr2bl w:val="nil"/>
            </w:tcBorders>
            <w:shd w:val="clear" w:color="auto" w:fill="FFFFFF"/>
          </w:tcPr>
          <w:p w14:paraId="32AD751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proposed method improves fault detection performance by removing the need to identify all system matrices and optimizing the SVM hyperparameters with GA.</w:t>
            </w:r>
          </w:p>
        </w:tc>
        <w:tc>
          <w:tcPr>
            <w:tcW w:w="1680" w:type="dxa"/>
            <w:tcBorders>
              <w:top w:val="single" w:color="000000" w:sz="4" w:space="0"/>
              <w:left w:val="nil"/>
              <w:bottom w:val="single" w:color="000000" w:sz="4" w:space="0"/>
              <w:right w:val="nil"/>
              <w:tl2br w:val="nil"/>
              <w:tr2bl w:val="nil"/>
            </w:tcBorders>
            <w:shd w:val="clear" w:color="auto" w:fill="FFFFFF"/>
          </w:tcPr>
          <w:p w14:paraId="5A3D66D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Fault detection in large-scale systems with unknown system matrices and interconnection signals</w:t>
            </w:r>
          </w:p>
        </w:tc>
      </w:tr>
      <w:tr w14:paraId="6E2FDE7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769992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K-Means</w:t>
            </w:r>
          </w:p>
        </w:tc>
        <w:tc>
          <w:tcPr>
            <w:tcW w:w="1224" w:type="dxa"/>
            <w:tcBorders>
              <w:top w:val="single" w:color="000000" w:sz="4" w:space="0"/>
              <w:left w:val="nil"/>
              <w:bottom w:val="single" w:color="000000" w:sz="4" w:space="0"/>
              <w:right w:val="nil"/>
              <w:tl2br w:val="nil"/>
              <w:tr2bl w:val="nil"/>
            </w:tcBorders>
            <w:shd w:val="clear" w:color="auto" w:fill="FFFFFF"/>
          </w:tcPr>
          <w:p w14:paraId="6A537F5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Irfan Adam Zulfauzi, Nofri Yenita Dahlan, Hathaithip Sintuya, Worajit Setthapun</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(2023)</w:t>
            </w:r>
          </w:p>
        </w:tc>
        <w:tc>
          <w:tcPr>
            <w:tcW w:w="1920" w:type="dxa"/>
            <w:tcBorders>
              <w:top w:val="single" w:color="000000" w:sz="4" w:space="0"/>
              <w:left w:val="nil"/>
              <w:bottom w:val="single" w:color="000000" w:sz="4" w:space="0"/>
              <w:right w:val="nil"/>
              <w:tl2br w:val="nil"/>
              <w:tr2bl w:val="nil"/>
            </w:tcBorders>
            <w:shd w:val="clear" w:color="auto" w:fill="FFFFFF"/>
          </w:tcPr>
          <w:p w14:paraId="1AC270F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K-Means clustering to group the output current of string modules based on environmental factors, and Long-Short Term Memory (LSTM) networks for predicting anomalies in the clustered data.</w:t>
            </w:r>
          </w:p>
        </w:tc>
        <w:tc>
          <w:tcPr>
            <w:tcW w:w="1236" w:type="dxa"/>
            <w:tcBorders>
              <w:top w:val="single" w:color="000000" w:sz="4" w:space="0"/>
              <w:left w:val="nil"/>
              <w:bottom w:val="single" w:color="000000" w:sz="4" w:space="0"/>
              <w:right w:val="nil"/>
              <w:tl2br w:val="nil"/>
              <w:tr2bl w:val="nil"/>
            </w:tcBorders>
            <w:shd w:val="clear" w:color="auto" w:fill="FFFFFF"/>
          </w:tcPr>
          <w:p w14:paraId="2142857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Mean Absolute Error (MAE),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Mean Squared Error (MSE),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Root Mean Squared Error (RMSE), and Relative Error.</w:t>
            </w:r>
          </w:p>
        </w:tc>
        <w:tc>
          <w:tcPr>
            <w:tcW w:w="1440" w:type="dxa"/>
            <w:tcBorders>
              <w:top w:val="single" w:color="000000" w:sz="4" w:space="0"/>
              <w:left w:val="nil"/>
              <w:bottom w:val="single" w:color="000000" w:sz="4" w:space="0"/>
              <w:right w:val="nil"/>
              <w:tl2br w:val="nil"/>
              <w:tr2bl w:val="nil"/>
            </w:tcBorders>
            <w:shd w:val="clear" w:color="auto" w:fill="FFFFFF"/>
          </w:tcPr>
          <w:p w14:paraId="4611BE4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study found that the LSTM model performed better than Artificial Neural Networks (ANNs) in predicting anomalies, with lower error rates and more accurate anomaly detection.</w:t>
            </w:r>
            <w:r>
              <w:rPr>
                <w:rFonts w:hint="default" w:ascii="Times New Roman" w:hAnsi="Times New Roman" w:cs="Times New Roman"/>
                <w:b w:val="0"/>
                <w:color w:val="000000"/>
                <w:sz w:val="20"/>
                <w:szCs w:val="20"/>
              </w:rPr>
              <w:br w:type="textWrapping"/>
            </w:r>
          </w:p>
        </w:tc>
        <w:tc>
          <w:tcPr>
            <w:tcW w:w="1680" w:type="dxa"/>
            <w:tcBorders>
              <w:top w:val="single" w:color="000000" w:sz="4" w:space="0"/>
              <w:left w:val="nil"/>
              <w:bottom w:val="single" w:color="000000" w:sz="4" w:space="0"/>
              <w:right w:val="nil"/>
              <w:tl2br w:val="nil"/>
              <w:tr2bl w:val="nil"/>
            </w:tcBorders>
            <w:shd w:val="clear" w:color="auto" w:fill="FFFFFF"/>
          </w:tcPr>
          <w:p w14:paraId="5CB1651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Detecting and monitoring faults in large-scale solar photovoltaic (LSSPV) plants to improve predictive maintenance.</w:t>
            </w:r>
          </w:p>
        </w:tc>
      </w:tr>
      <w:tr w14:paraId="25EADB2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49A4F7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1A777CF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Nikolai West,</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Thomas Schlegl,</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Jochen Deuse(2023)</w:t>
            </w:r>
          </w:p>
        </w:tc>
        <w:tc>
          <w:tcPr>
            <w:tcW w:w="1920" w:type="dxa"/>
            <w:tcBorders>
              <w:top w:val="single" w:color="000000" w:sz="4" w:space="0"/>
              <w:left w:val="nil"/>
              <w:bottom w:val="single" w:color="000000" w:sz="4" w:space="0"/>
              <w:right w:val="nil"/>
              <w:tl2br w:val="nil"/>
              <w:tr2bl w:val="nil"/>
            </w:tcBorders>
            <w:shd w:val="clear" w:color="auto" w:fill="FFFFFF"/>
          </w:tcPr>
          <w:p w14:paraId="66D9FFA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k-means clustering combined with Dynamic Time Warping (DTW) for anomaly detection in time series data of screw driving processes.</w:t>
            </w:r>
          </w:p>
        </w:tc>
        <w:tc>
          <w:tcPr>
            <w:tcW w:w="1236" w:type="dxa"/>
            <w:tcBorders>
              <w:top w:val="single" w:color="000000" w:sz="4" w:space="0"/>
              <w:left w:val="nil"/>
              <w:bottom w:val="single" w:color="000000" w:sz="4" w:space="0"/>
              <w:right w:val="nil"/>
              <w:tl2br w:val="nil"/>
              <w:tr2bl w:val="nil"/>
            </w:tcBorders>
            <w:shd w:val="clear" w:color="auto" w:fill="FFFFFF"/>
          </w:tcPr>
          <w:p w14:paraId="27564D4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Accuracy,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Precision,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Recall, and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Macro-average F1-score.</w:t>
            </w:r>
          </w:p>
        </w:tc>
        <w:tc>
          <w:tcPr>
            <w:tcW w:w="1440" w:type="dxa"/>
            <w:tcBorders>
              <w:top w:val="single" w:color="000000" w:sz="4" w:space="0"/>
              <w:left w:val="nil"/>
              <w:bottom w:val="single" w:color="000000" w:sz="4" w:space="0"/>
              <w:right w:val="nil"/>
              <w:tl2br w:val="nil"/>
              <w:tr2bl w:val="nil"/>
            </w:tcBorders>
            <w:shd w:val="clear" w:color="auto" w:fill="FFFFFF"/>
          </w:tcPr>
          <w:p w14:paraId="60E4DA4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 accuracy of up to 88.89% and a macro-average F1-score of up to 63.65%, effectively identifying anomalies in the tightening data.</w:t>
            </w:r>
          </w:p>
        </w:tc>
        <w:tc>
          <w:tcPr>
            <w:tcW w:w="1680" w:type="dxa"/>
            <w:tcBorders>
              <w:top w:val="single" w:color="000000" w:sz="4" w:space="0"/>
              <w:left w:val="nil"/>
              <w:bottom w:val="single" w:color="000000" w:sz="4" w:space="0"/>
              <w:right w:val="nil"/>
              <w:tl2br w:val="nil"/>
              <w:tr2bl w:val="nil"/>
            </w:tcBorders>
            <w:shd w:val="clear" w:color="auto" w:fill="FFFFFF"/>
          </w:tcPr>
          <w:p w14:paraId="209B3AD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Detecting anomalies in screw driving processes within automotive manufacturing, specifically addressing the challenge of unbalanced time series data.</w:t>
            </w:r>
          </w:p>
        </w:tc>
      </w:tr>
      <w:tr w14:paraId="20CE9A1E">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96941B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55AED10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Mehrdad Daviran,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Reza Ghezelbash,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Abbas Maghsoudi(2024)</w:t>
            </w:r>
          </w:p>
        </w:tc>
        <w:tc>
          <w:tcPr>
            <w:tcW w:w="1920" w:type="dxa"/>
            <w:tcBorders>
              <w:top w:val="single" w:color="000000" w:sz="4" w:space="0"/>
              <w:left w:val="nil"/>
              <w:bottom w:val="single" w:color="000000" w:sz="4" w:space="0"/>
              <w:right w:val="nil"/>
              <w:tl2br w:val="nil"/>
              <w:tr2bl w:val="nil"/>
            </w:tcBorders>
            <w:shd w:val="clear" w:color="auto" w:fill="FFFFFF"/>
          </w:tcPr>
          <w:p w14:paraId="108148F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GWOKM algorithm, which hybridizes the Grey Wolf Optimizer (GWO) with K-Means clustering to improve the detection of geochemical anomalies in stream sediment data.</w:t>
            </w:r>
            <w:r>
              <w:rPr>
                <w:rFonts w:hint="default" w:ascii="Times New Roman" w:hAnsi="Times New Roman" w:cs="Times New Roman"/>
                <w:b w:val="0"/>
                <w:color w:val="000000"/>
                <w:sz w:val="20"/>
                <w:szCs w:val="20"/>
              </w:rPr>
              <w:br w:type="textWrapping"/>
            </w:r>
          </w:p>
        </w:tc>
        <w:tc>
          <w:tcPr>
            <w:tcW w:w="1236" w:type="dxa"/>
            <w:tcBorders>
              <w:top w:val="single" w:color="000000" w:sz="4" w:space="0"/>
              <w:left w:val="nil"/>
              <w:bottom w:val="single" w:color="000000" w:sz="4" w:space="0"/>
              <w:right w:val="nil"/>
              <w:tl2br w:val="nil"/>
              <w:tr2bl w:val="nil"/>
            </w:tcBorders>
            <w:shd w:val="clear" w:color="auto" w:fill="FFFFFF"/>
          </w:tcPr>
          <w:p w14:paraId="338503B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Prediction-rate curve, Pr (Prediction rate), Oa (Overall accuracy), and normalized density (Nd).</w:t>
            </w:r>
          </w:p>
        </w:tc>
        <w:tc>
          <w:tcPr>
            <w:tcW w:w="1440" w:type="dxa"/>
            <w:tcBorders>
              <w:top w:val="single" w:color="000000" w:sz="4" w:space="0"/>
              <w:left w:val="nil"/>
              <w:bottom w:val="single" w:color="000000" w:sz="4" w:space="0"/>
              <w:right w:val="nil"/>
              <w:tl2br w:val="nil"/>
              <w:tr2bl w:val="nil"/>
            </w:tcBorders>
            <w:shd w:val="clear" w:color="auto" w:fill="FFFFFF"/>
          </w:tcPr>
          <w:p w14:paraId="4DB119A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GWOKM algorithm outperformed the traditional K-Means approach in detecting geochemical anomalies, showing higher prediction rates and better classification accuracy.</w:t>
            </w:r>
          </w:p>
        </w:tc>
        <w:tc>
          <w:tcPr>
            <w:tcW w:w="1680" w:type="dxa"/>
            <w:tcBorders>
              <w:top w:val="single" w:color="000000" w:sz="4" w:space="0"/>
              <w:left w:val="nil"/>
              <w:bottom w:val="single" w:color="000000" w:sz="4" w:space="0"/>
              <w:right w:val="nil"/>
              <w:tl2br w:val="nil"/>
              <w:tr2bl w:val="nil"/>
            </w:tcBorders>
            <w:shd w:val="clear" w:color="auto" w:fill="FFFFFF"/>
          </w:tcPr>
          <w:p w14:paraId="5E31D21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Geochemical anomaly detection, specifically related to mineral exploration in the Baft district, Kerman belt, Iran.</w:t>
            </w:r>
          </w:p>
        </w:tc>
      </w:tr>
      <w:tr w14:paraId="5FA58C8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0A5087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579C6B3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Mário A. Gonçalves, Diogo Rasteiro da Silva, Paul Duuring,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Ignacio Gonzalez-Alvarez,</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Tania Ibrahimi, (2024)</w:t>
            </w:r>
            <w:r>
              <w:rPr>
                <w:rFonts w:hint="default" w:ascii="Times New Roman" w:hAnsi="Times New Roman" w:cs="Times New Roman"/>
                <w:b w:val="0"/>
                <w:color w:val="000000"/>
                <w:sz w:val="20"/>
                <w:szCs w:val="20"/>
              </w:rPr>
              <w:br w:type="textWrapping"/>
            </w:r>
          </w:p>
        </w:tc>
        <w:tc>
          <w:tcPr>
            <w:tcW w:w="1920" w:type="dxa"/>
            <w:tcBorders>
              <w:top w:val="single" w:color="000000" w:sz="4" w:space="0"/>
              <w:left w:val="nil"/>
              <w:bottom w:val="single" w:color="000000" w:sz="4" w:space="0"/>
              <w:right w:val="nil"/>
              <w:tl2br w:val="nil"/>
              <w:tr2bl w:val="nil"/>
            </w:tcBorders>
            <w:shd w:val="clear" w:color="auto" w:fill="FFFFFF"/>
          </w:tcPr>
          <w:p w14:paraId="61DDDC6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 combination of singularity mapping and k-means clustering to detect geochemical anomalies and classify geochemical data for mineral exploration.</w:t>
            </w:r>
          </w:p>
        </w:tc>
        <w:tc>
          <w:tcPr>
            <w:tcW w:w="1236" w:type="dxa"/>
            <w:tcBorders>
              <w:top w:val="single" w:color="000000" w:sz="4" w:space="0"/>
              <w:left w:val="nil"/>
              <w:bottom w:val="single" w:color="000000" w:sz="4" w:space="0"/>
              <w:right w:val="nil"/>
              <w:tl2br w:val="nil"/>
              <w:tr2bl w:val="nil"/>
            </w:tcBorders>
            <w:shd w:val="clear" w:color="auto" w:fill="FFFFFF"/>
          </w:tcPr>
          <w:p w14:paraId="554B4F8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Clustering performance evaluated by expert validation of cluster accuracy, focusing on the percentage of Cu and Ni deposits correctly classified within dominant clusters.</w:t>
            </w:r>
          </w:p>
        </w:tc>
        <w:tc>
          <w:tcPr>
            <w:tcW w:w="1440" w:type="dxa"/>
            <w:tcBorders>
              <w:top w:val="single" w:color="000000" w:sz="4" w:space="0"/>
              <w:left w:val="nil"/>
              <w:bottom w:val="single" w:color="000000" w:sz="4" w:space="0"/>
              <w:right w:val="nil"/>
              <w:tl2br w:val="nil"/>
              <w:tr2bl w:val="nil"/>
            </w:tcBorders>
            <w:shd w:val="clear" w:color="auto" w:fill="FFFFFF"/>
          </w:tcPr>
          <w:p w14:paraId="57EC576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k-means clustering approach effectively classified geochemical data, with the dominant cluster accurately identifying up to 60-80% of known Cu and Ni deposits.</w:t>
            </w:r>
          </w:p>
        </w:tc>
        <w:tc>
          <w:tcPr>
            <w:tcW w:w="1680" w:type="dxa"/>
            <w:tcBorders>
              <w:top w:val="single" w:color="000000" w:sz="4" w:space="0"/>
              <w:left w:val="nil"/>
              <w:bottom w:val="single" w:color="000000" w:sz="4" w:space="0"/>
              <w:right w:val="nil"/>
              <w:tl2br w:val="nil"/>
              <w:tr2bl w:val="nil"/>
            </w:tcBorders>
            <w:shd w:val="clear" w:color="auto" w:fill="FFFFFF"/>
          </w:tcPr>
          <w:p w14:paraId="01CE236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Detecting mineral anomalies and identifying potential mineralization sites in the Yilgarn Craton, Western Australia.</w:t>
            </w:r>
          </w:p>
        </w:tc>
      </w:tr>
      <w:tr w14:paraId="68EAFD1D">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90DC97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Isolation Forest</w:t>
            </w:r>
          </w:p>
        </w:tc>
        <w:tc>
          <w:tcPr>
            <w:tcW w:w="1224" w:type="dxa"/>
            <w:tcBorders>
              <w:top w:val="single" w:color="000000" w:sz="4" w:space="0"/>
              <w:left w:val="nil"/>
              <w:bottom w:val="single" w:color="000000" w:sz="4" w:space="0"/>
              <w:right w:val="nil"/>
              <w:tl2br w:val="nil"/>
              <w:tr2bl w:val="nil"/>
            </w:tcBorders>
            <w:shd w:val="clear" w:color="auto" w:fill="FFFFFF"/>
          </w:tcPr>
          <w:p w14:paraId="4E2B292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Maurras Ulbricht Togbe, Yousra Chabchoub, Aliou Boly, Mariam Barry, Raja Chiky, Maroua Bahri (2021)</w:t>
            </w:r>
          </w:p>
        </w:tc>
        <w:tc>
          <w:tcPr>
            <w:tcW w:w="1920" w:type="dxa"/>
            <w:tcBorders>
              <w:top w:val="single" w:color="000000" w:sz="4" w:space="0"/>
              <w:left w:val="nil"/>
              <w:bottom w:val="single" w:color="000000" w:sz="4" w:space="0"/>
              <w:right w:val="nil"/>
              <w:tl2br w:val="nil"/>
              <w:tr2bl w:val="nil"/>
            </w:tcBorders>
            <w:shd w:val="clear" w:color="auto" w:fill="FFFFFF"/>
          </w:tcPr>
          <w:p w14:paraId="71A6438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Isolation-based anomaly detection adapted to handle concept drift in data streams</w:t>
            </w:r>
          </w:p>
        </w:tc>
        <w:tc>
          <w:tcPr>
            <w:tcW w:w="1236" w:type="dxa"/>
            <w:tcBorders>
              <w:top w:val="single" w:color="000000" w:sz="4" w:space="0"/>
              <w:left w:val="nil"/>
              <w:bottom w:val="single" w:color="000000" w:sz="4" w:space="0"/>
              <w:right w:val="nil"/>
              <w:tl2br w:val="nil"/>
              <w:tr2bl w:val="nil"/>
            </w:tcBorders>
            <w:shd w:val="clear" w:color="auto" w:fill="FFFFFF"/>
          </w:tcPr>
          <w:p w14:paraId="6D60FFB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F1 score,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execution time,</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memory consumption</w:t>
            </w:r>
          </w:p>
        </w:tc>
        <w:tc>
          <w:tcPr>
            <w:tcW w:w="1440" w:type="dxa"/>
            <w:tcBorders>
              <w:top w:val="single" w:color="000000" w:sz="4" w:space="0"/>
              <w:left w:val="nil"/>
              <w:bottom w:val="single" w:color="000000" w:sz="4" w:space="0"/>
              <w:right w:val="nil"/>
              <w:tl2br w:val="nil"/>
              <w:tr2bl w:val="nil"/>
            </w:tcBorders>
            <w:shd w:val="clear" w:color="auto" w:fill="FFFFFF"/>
          </w:tcPr>
          <w:p w14:paraId="75D3C01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proposed IForestASD with drift detection (using ADWIN and KSWIN) showed lower resource consumption and similar or better detection efficiency compared to traditional methods</w:t>
            </w:r>
          </w:p>
        </w:tc>
        <w:tc>
          <w:tcPr>
            <w:tcW w:w="1680" w:type="dxa"/>
            <w:tcBorders>
              <w:top w:val="single" w:color="000000" w:sz="4" w:space="0"/>
              <w:left w:val="nil"/>
              <w:bottom w:val="single" w:color="000000" w:sz="4" w:space="0"/>
              <w:right w:val="nil"/>
              <w:tl2br w:val="nil"/>
              <w:tr2bl w:val="nil"/>
            </w:tcBorders>
            <w:shd w:val="clear" w:color="auto" w:fill="FFFFFF"/>
          </w:tcPr>
          <w:p w14:paraId="4FDDCEE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challenge of detecting anomalies in concept-drifting data streams, particularly in dynamic environments like cybersecurity, natural disasters, and bank frauds</w:t>
            </w:r>
          </w:p>
        </w:tc>
      </w:tr>
      <w:tr w14:paraId="3862B4F9">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DBEC31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3012BA9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Julien Lesouple, Cédric Baudoin, Marc Spigai, Jean-Yves Tourneret (2021)</w:t>
            </w:r>
          </w:p>
        </w:tc>
        <w:tc>
          <w:tcPr>
            <w:tcW w:w="1920" w:type="dxa"/>
            <w:tcBorders>
              <w:top w:val="single" w:color="000000" w:sz="4" w:space="0"/>
              <w:left w:val="nil"/>
              <w:bottom w:val="single" w:color="000000" w:sz="4" w:space="0"/>
              <w:right w:val="nil"/>
              <w:tl2br w:val="nil"/>
              <w:tr2bl w:val="nil"/>
            </w:tcBorders>
            <w:shd w:val="clear" w:color="auto" w:fill="FFFFFF"/>
          </w:tcPr>
          <w:p w14:paraId="3AEACB8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Generalized Isolation Forest (GIF), which is an improvement over EIF by eliminating empty branches in decision trees</w:t>
            </w:r>
          </w:p>
        </w:tc>
        <w:tc>
          <w:tcPr>
            <w:tcW w:w="1236" w:type="dxa"/>
            <w:tcBorders>
              <w:top w:val="single" w:color="000000" w:sz="4" w:space="0"/>
              <w:left w:val="nil"/>
              <w:bottom w:val="single" w:color="000000" w:sz="4" w:space="0"/>
              <w:right w:val="nil"/>
              <w:tl2br w:val="nil"/>
              <w:tr2bl w:val="nil"/>
            </w:tcBorders>
            <w:shd w:val="clear" w:color="auto" w:fill="FFFFFF"/>
          </w:tcPr>
          <w:p w14:paraId="28D409D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Area Under the ROC Curve (AUC),</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Area Under the Precision-Recall Curve (PR AUC),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computation time, and the number of external nodes at maximum depth</w:t>
            </w:r>
          </w:p>
        </w:tc>
        <w:tc>
          <w:tcPr>
            <w:tcW w:w="1440" w:type="dxa"/>
            <w:tcBorders>
              <w:top w:val="single" w:color="000000" w:sz="4" w:space="0"/>
              <w:left w:val="nil"/>
              <w:bottom w:val="single" w:color="000000" w:sz="4" w:space="0"/>
              <w:right w:val="nil"/>
              <w:tl2br w:val="nil"/>
              <w:tr2bl w:val="nil"/>
            </w:tcBorders>
            <w:shd w:val="clear" w:color="auto" w:fill="FFFFFF"/>
          </w:tcPr>
          <w:p w14:paraId="04BE5C6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GIF showed similar performance to EIF in terms of detection ability but was computationally faster and avoided empty branches, making it more efficient for high-dimensional data</w:t>
            </w:r>
          </w:p>
        </w:tc>
        <w:tc>
          <w:tcPr>
            <w:tcW w:w="1680" w:type="dxa"/>
            <w:tcBorders>
              <w:top w:val="single" w:color="000000" w:sz="4" w:space="0"/>
              <w:left w:val="nil"/>
              <w:bottom w:val="single" w:color="000000" w:sz="4" w:space="0"/>
              <w:right w:val="nil"/>
              <w:tl2br w:val="nil"/>
              <w:tr2bl w:val="nil"/>
            </w:tcBorders>
            <w:shd w:val="clear" w:color="auto" w:fill="FFFFFF"/>
          </w:tcPr>
          <w:p w14:paraId="35EC09A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Limitations in existing Isolation Forest (IF) and Extended Isolation Forest (EIF) models, particularly the occurrence of empty branches and computational inefficiencies</w:t>
            </w:r>
          </w:p>
        </w:tc>
      </w:tr>
      <w:tr w14:paraId="3252B43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4BAFAD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0E70F8E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Meriem Chater, Amel Borgi, Mohamed Taieb Slama, Karem Sfar-Gandoura, Mohamed Iheb Landoulsi (2023)</w:t>
            </w:r>
          </w:p>
        </w:tc>
        <w:tc>
          <w:tcPr>
            <w:tcW w:w="1920" w:type="dxa"/>
            <w:tcBorders>
              <w:top w:val="single" w:color="000000" w:sz="4" w:space="0"/>
              <w:left w:val="nil"/>
              <w:bottom w:val="single" w:color="000000" w:sz="4" w:space="0"/>
              <w:right w:val="nil"/>
              <w:tl2br w:val="nil"/>
              <w:tr2bl w:val="nil"/>
            </w:tcBorders>
            <w:shd w:val="clear" w:color="auto" w:fill="FFFFFF"/>
          </w:tcPr>
          <w:p w14:paraId="4F0F324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Fuzzy Isolation Forest (FIF) using fuzzy partitioning strategy based on the alpha-cut approach, adapting the traditional Isolation Forest for fuzzy data</w:t>
            </w:r>
          </w:p>
        </w:tc>
        <w:tc>
          <w:tcPr>
            <w:tcW w:w="1236" w:type="dxa"/>
            <w:tcBorders>
              <w:top w:val="single" w:color="000000" w:sz="4" w:space="0"/>
              <w:left w:val="nil"/>
              <w:bottom w:val="single" w:color="000000" w:sz="4" w:space="0"/>
              <w:right w:val="nil"/>
              <w:tl2br w:val="nil"/>
              <w:tr2bl w:val="nil"/>
            </w:tcBorders>
            <w:shd w:val="clear" w:color="auto" w:fill="FFFFFF"/>
          </w:tcPr>
          <w:p w14:paraId="6D402A9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AUC (Area Under the Curve),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AUC-PR (Area Under the Precision-Recall Curve),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Recall,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Precision,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Specificity, Training, and Testing time</w:t>
            </w:r>
          </w:p>
        </w:tc>
        <w:tc>
          <w:tcPr>
            <w:tcW w:w="1440" w:type="dxa"/>
            <w:tcBorders>
              <w:top w:val="single" w:color="000000" w:sz="4" w:space="0"/>
              <w:left w:val="nil"/>
              <w:bottom w:val="single" w:color="000000" w:sz="4" w:space="0"/>
              <w:right w:val="nil"/>
              <w:tl2br w:val="nil"/>
              <w:tr2bl w:val="nil"/>
            </w:tcBorders>
            <w:shd w:val="clear" w:color="auto" w:fill="FFFFFF"/>
          </w:tcPr>
          <w:p w14:paraId="4008329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Fuzzy Isolation Forest (FIF) performs similarly to Isolation Forest when applied to fuzzy data. For certain datasets like Ionosphere and Arrhythmia, FIF outperforms the traditional IF in precision and recall, demonstrating that it can handle vague data more effectively without a significant increase in computational cost</w:t>
            </w:r>
          </w:p>
        </w:tc>
        <w:tc>
          <w:tcPr>
            <w:tcW w:w="1680" w:type="dxa"/>
            <w:tcBorders>
              <w:top w:val="single" w:color="000000" w:sz="4" w:space="0"/>
              <w:left w:val="nil"/>
              <w:bottom w:val="single" w:color="000000" w:sz="4" w:space="0"/>
              <w:right w:val="nil"/>
              <w:tl2br w:val="nil"/>
              <w:tr2bl w:val="nil"/>
            </w:tcBorders>
            <w:shd w:val="clear" w:color="auto" w:fill="FFFFFF"/>
          </w:tcPr>
          <w:p w14:paraId="5628642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Handling imprecise, incomplete, ambiguous, or uncertain data in anomaly detection tasks. Traditional approaches like Isolation Forest focus on crisp data and may not perform well with vague or fuzzy data</w:t>
            </w:r>
          </w:p>
        </w:tc>
      </w:tr>
      <w:tr w14:paraId="21D12BF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035FDA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3FD519B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Mattia Carletti, Matteo Terzi, Gian Antonio Susto (2023)</w:t>
            </w:r>
          </w:p>
        </w:tc>
        <w:tc>
          <w:tcPr>
            <w:tcW w:w="1920" w:type="dxa"/>
            <w:tcBorders>
              <w:top w:val="single" w:color="000000" w:sz="4" w:space="0"/>
              <w:left w:val="nil"/>
              <w:bottom w:val="single" w:color="000000" w:sz="4" w:space="0"/>
              <w:right w:val="nil"/>
              <w:tl2br w:val="nil"/>
              <w:tr2bl w:val="nil"/>
            </w:tcBorders>
            <w:shd w:val="clear" w:color="auto" w:fill="FFFFFF"/>
          </w:tcPr>
          <w:p w14:paraId="59F712C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DIFFI (Depth-based Isolation Forest Feature Importance), a model-specific interpretability method that derives global and local feature importance for IF</w:t>
            </w:r>
          </w:p>
        </w:tc>
        <w:tc>
          <w:tcPr>
            <w:tcW w:w="1236" w:type="dxa"/>
            <w:tcBorders>
              <w:top w:val="single" w:color="000000" w:sz="4" w:space="0"/>
              <w:left w:val="nil"/>
              <w:bottom w:val="single" w:color="000000" w:sz="4" w:space="0"/>
              <w:right w:val="nil"/>
              <w:tl2br w:val="nil"/>
              <w:tr2bl w:val="nil"/>
            </w:tcBorders>
            <w:shd w:val="clear" w:color="auto" w:fill="FFFFFF"/>
          </w:tcPr>
          <w:p w14:paraId="781CFA7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F1 score, execution time, and accuracy of feature importance in synthetic and real-world datasets</w:t>
            </w:r>
          </w:p>
        </w:tc>
        <w:tc>
          <w:tcPr>
            <w:tcW w:w="1440" w:type="dxa"/>
            <w:tcBorders>
              <w:top w:val="single" w:color="000000" w:sz="4" w:space="0"/>
              <w:left w:val="nil"/>
              <w:bottom w:val="single" w:color="000000" w:sz="4" w:space="0"/>
              <w:right w:val="nil"/>
              <w:tl2br w:val="nil"/>
              <w:tr2bl w:val="nil"/>
            </w:tcBorders>
            <w:shd w:val="clear" w:color="auto" w:fill="FFFFFF"/>
          </w:tcPr>
          <w:p w14:paraId="0479910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DIFFI effectively interprets IF by identifying important features associated with anomalies. It outperforms model-agnostic interpretability methods in both accuracy and computational efficiency</w:t>
            </w:r>
          </w:p>
        </w:tc>
        <w:tc>
          <w:tcPr>
            <w:tcW w:w="1680" w:type="dxa"/>
            <w:tcBorders>
              <w:top w:val="single" w:color="000000" w:sz="4" w:space="0"/>
              <w:left w:val="nil"/>
              <w:bottom w:val="single" w:color="000000" w:sz="4" w:space="0"/>
              <w:right w:val="nil"/>
              <w:tl2br w:val="nil"/>
              <w:tr2bl w:val="nil"/>
            </w:tcBorders>
            <w:shd w:val="clear" w:color="auto" w:fill="FFFFFF"/>
          </w:tcPr>
          <w:p w14:paraId="27F0475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Lack of interpretability in Isolation Forest (IF) and difficulty in identifying feature importance in unsupervised anomaly detection settings</w:t>
            </w:r>
          </w:p>
        </w:tc>
      </w:tr>
      <w:tr w14:paraId="5DC28F8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A2EECA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2373681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Véronne Yepmo, Grégory Smits, Marie-Jeanne Lesot, Olivier Pivert (2024)</w:t>
            </w:r>
          </w:p>
        </w:tc>
        <w:tc>
          <w:tcPr>
            <w:tcW w:w="1920" w:type="dxa"/>
            <w:tcBorders>
              <w:top w:val="single" w:color="000000" w:sz="4" w:space="0"/>
              <w:left w:val="nil"/>
              <w:bottom w:val="single" w:color="000000" w:sz="4" w:space="0"/>
              <w:right w:val="nil"/>
              <w:tl2br w:val="nil"/>
              <w:tr2bl w:val="nil"/>
            </w:tcBorders>
            <w:shd w:val="clear" w:color="auto" w:fill="FFFFFF"/>
          </w:tcPr>
          <w:p w14:paraId="62C24A6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Revised Isolation Forest (RIFIFI), an improved version of Isolation Forest that maintains inner data structure to facilitate both anomaly detection and clustering</w:t>
            </w:r>
          </w:p>
        </w:tc>
        <w:tc>
          <w:tcPr>
            <w:tcW w:w="1236" w:type="dxa"/>
            <w:tcBorders>
              <w:top w:val="single" w:color="000000" w:sz="4" w:space="0"/>
              <w:left w:val="nil"/>
              <w:bottom w:val="single" w:color="000000" w:sz="4" w:space="0"/>
              <w:right w:val="nil"/>
              <w:tl2br w:val="nil"/>
              <w:tr2bl w:val="nil"/>
            </w:tcBorders>
            <w:shd w:val="clear" w:color="auto" w:fill="FFFFFF"/>
          </w:tcPr>
          <w:p w14:paraId="651D0C1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 (Area Under Curve) for anomaly detection, clustering effectiveness, and leaf cardinality (number of data points per leaf)</w:t>
            </w:r>
          </w:p>
        </w:tc>
        <w:tc>
          <w:tcPr>
            <w:tcW w:w="1440" w:type="dxa"/>
            <w:tcBorders>
              <w:top w:val="single" w:color="000000" w:sz="4" w:space="0"/>
              <w:left w:val="nil"/>
              <w:bottom w:val="single" w:color="000000" w:sz="4" w:space="0"/>
              <w:right w:val="nil"/>
              <w:tl2br w:val="nil"/>
              <w:tr2bl w:val="nil"/>
            </w:tcBorders>
            <w:shd w:val="clear" w:color="auto" w:fill="FFFFFF"/>
          </w:tcPr>
          <w:p w14:paraId="0941D66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RIFIFI performs comparably to IF in anomaly detection, but it is significantly better in identifying data clusters, enhancing the interpretability of results</w:t>
            </w:r>
          </w:p>
        </w:tc>
        <w:tc>
          <w:tcPr>
            <w:tcW w:w="1680" w:type="dxa"/>
            <w:tcBorders>
              <w:top w:val="single" w:color="000000" w:sz="4" w:space="0"/>
              <w:left w:val="nil"/>
              <w:bottom w:val="single" w:color="000000" w:sz="4" w:space="0"/>
              <w:right w:val="nil"/>
              <w:tl2br w:val="nil"/>
              <w:tr2bl w:val="nil"/>
            </w:tcBorders>
            <w:shd w:val="clear" w:color="auto" w:fill="FFFFFF"/>
          </w:tcPr>
          <w:p w14:paraId="6E2A6BC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Limitations in interpreting the Isolation Forest's results due to a lack of understanding of the inner data structure, which is essential for both detecting anomalies and clustering</w:t>
            </w:r>
          </w:p>
        </w:tc>
      </w:tr>
      <w:tr w14:paraId="1D9E3620">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0F15A0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1410AE6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Elisa Marcelli, Tommaso Barbariol, Davide Sartor, Gian Antonio Susto (2024)</w:t>
            </w:r>
          </w:p>
        </w:tc>
        <w:tc>
          <w:tcPr>
            <w:tcW w:w="1920" w:type="dxa"/>
            <w:tcBorders>
              <w:top w:val="single" w:color="000000" w:sz="4" w:space="0"/>
              <w:left w:val="nil"/>
              <w:bottom w:val="single" w:color="000000" w:sz="4" w:space="0"/>
              <w:right w:val="nil"/>
              <w:tl2br w:val="nil"/>
              <w:tr2bl w:val="nil"/>
            </w:tcBorders>
            <w:shd w:val="clear" w:color="auto" w:fill="FFFFFF"/>
          </w:tcPr>
          <w:p w14:paraId="5576141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Active Learning combined with Isolation Forest (ALIF)</w:t>
            </w:r>
          </w:p>
        </w:tc>
        <w:tc>
          <w:tcPr>
            <w:tcW w:w="1236" w:type="dxa"/>
            <w:tcBorders>
              <w:top w:val="single" w:color="000000" w:sz="4" w:space="0"/>
              <w:left w:val="nil"/>
              <w:bottom w:val="single" w:color="000000" w:sz="4" w:space="0"/>
              <w:right w:val="nil"/>
              <w:tl2br w:val="nil"/>
              <w:tr2bl w:val="nil"/>
            </w:tcBorders>
            <w:shd w:val="clear" w:color="auto" w:fill="FFFFFF"/>
          </w:tcPr>
          <w:p w14:paraId="61901BB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Average precision score,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F1 score,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Area under the ROC curve (AUC)</w:t>
            </w:r>
          </w:p>
        </w:tc>
        <w:tc>
          <w:tcPr>
            <w:tcW w:w="1440" w:type="dxa"/>
            <w:tcBorders>
              <w:top w:val="single" w:color="000000" w:sz="4" w:space="0"/>
              <w:left w:val="nil"/>
              <w:bottom w:val="single" w:color="000000" w:sz="4" w:space="0"/>
              <w:right w:val="nil"/>
              <w:tl2br w:val="nil"/>
              <w:tr2bl w:val="nil"/>
            </w:tcBorders>
            <w:shd w:val="clear" w:color="auto" w:fill="FFFFFF"/>
          </w:tcPr>
          <w:p w14:paraId="275499C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ALIF significantly improves anomaly detection performance compared to standard Isolation Forest and other state-of-the-art methods by incorporating user feedback through active learning</w:t>
            </w:r>
          </w:p>
        </w:tc>
        <w:tc>
          <w:tcPr>
            <w:tcW w:w="1680" w:type="dxa"/>
            <w:tcBorders>
              <w:top w:val="single" w:color="000000" w:sz="4" w:space="0"/>
              <w:left w:val="nil"/>
              <w:bottom w:val="single" w:color="000000" w:sz="4" w:space="0"/>
              <w:right w:val="nil"/>
              <w:tl2br w:val="nil"/>
              <w:tr2bl w:val="nil"/>
            </w:tcBorders>
            <w:shd w:val="clear" w:color="auto" w:fill="FFFFFF"/>
          </w:tcPr>
          <w:p w14:paraId="77C823E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challenge of detecting domain-specific anomalies in scenarios where fully labeled datasets are unavailable, particularly in industrial contexts where anomaly detection is crucial for reliability and security</w:t>
            </w:r>
          </w:p>
        </w:tc>
      </w:tr>
      <w:tr w14:paraId="1FBDD3B1">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3C8F03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Isolation and Random Forest</w:t>
            </w:r>
          </w:p>
        </w:tc>
        <w:tc>
          <w:tcPr>
            <w:tcW w:w="1224" w:type="dxa"/>
            <w:tcBorders>
              <w:top w:val="single" w:color="000000" w:sz="4" w:space="0"/>
              <w:left w:val="nil"/>
              <w:bottom w:val="single" w:color="000000" w:sz="4" w:space="0"/>
              <w:right w:val="nil"/>
              <w:tl2br w:val="nil"/>
              <w:tr2bl w:val="nil"/>
            </w:tcBorders>
            <w:shd w:val="clear" w:color="auto" w:fill="FFFFFF"/>
          </w:tcPr>
          <w:p w14:paraId="7119A35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 Lifandali, N. Abghour, Z. Chiba (2023)</w:t>
            </w:r>
          </w:p>
        </w:tc>
        <w:tc>
          <w:tcPr>
            <w:tcW w:w="1920" w:type="dxa"/>
            <w:tcBorders>
              <w:top w:val="single" w:color="000000" w:sz="4" w:space="0"/>
              <w:left w:val="nil"/>
              <w:bottom w:val="single" w:color="000000" w:sz="4" w:space="0"/>
              <w:right w:val="nil"/>
              <w:tl2br w:val="nil"/>
              <w:tr2bl w:val="nil"/>
            </w:tcBorders>
            <w:shd w:val="clear" w:color="auto" w:fill="FFFFFF"/>
          </w:tcPr>
          <w:p w14:paraId="0C02B5D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Combination of Ant Colony Optimization (ACO) for feature selection and Random Forest for improving accuracy, applied to an Isolation Forest-based Intrusion Detection System</w:t>
            </w:r>
          </w:p>
        </w:tc>
        <w:tc>
          <w:tcPr>
            <w:tcW w:w="1236" w:type="dxa"/>
            <w:tcBorders>
              <w:top w:val="single" w:color="000000" w:sz="4" w:space="0"/>
              <w:left w:val="nil"/>
              <w:bottom w:val="single" w:color="000000" w:sz="4" w:space="0"/>
              <w:right w:val="nil"/>
              <w:tl2br w:val="nil"/>
              <w:tr2bl w:val="nil"/>
            </w:tcBorders>
            <w:shd w:val="clear" w:color="auto" w:fill="FFFFFF"/>
          </w:tcPr>
          <w:p w14:paraId="7C71434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(99% target), and validation metrics on anomaly detection</w:t>
            </w:r>
          </w:p>
        </w:tc>
        <w:tc>
          <w:tcPr>
            <w:tcW w:w="1440" w:type="dxa"/>
            <w:tcBorders>
              <w:top w:val="single" w:color="000000" w:sz="4" w:space="0"/>
              <w:left w:val="nil"/>
              <w:bottom w:val="single" w:color="000000" w:sz="4" w:space="0"/>
              <w:right w:val="nil"/>
              <w:tl2br w:val="nil"/>
              <w:tr2bl w:val="nil"/>
            </w:tcBorders>
            <w:shd w:val="clear" w:color="auto" w:fill="FFFFFF"/>
          </w:tcPr>
          <w:p w14:paraId="7E6DB70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combination of ACO and Random Forest successfully improved feature selection, leading to better anomaly detection performance using Isolation Forest</w:t>
            </w:r>
          </w:p>
        </w:tc>
        <w:tc>
          <w:tcPr>
            <w:tcW w:w="1680" w:type="dxa"/>
            <w:tcBorders>
              <w:top w:val="single" w:color="000000" w:sz="4" w:space="0"/>
              <w:left w:val="nil"/>
              <w:bottom w:val="single" w:color="000000" w:sz="4" w:space="0"/>
              <w:right w:val="nil"/>
              <w:tl2br w:val="nil"/>
              <w:tr2bl w:val="nil"/>
            </w:tcBorders>
            <w:shd w:val="clear" w:color="auto" w:fill="FFFFFF"/>
          </w:tcPr>
          <w:p w14:paraId="7C4326A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Challenges in accurately detecting intrusions in computer networks using machine learning, specifically in identifying relevant features for effective anomaly detection</w:t>
            </w:r>
          </w:p>
        </w:tc>
      </w:tr>
      <w:tr w14:paraId="0A621514">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0C9CE1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Random Forest</w:t>
            </w:r>
          </w:p>
        </w:tc>
        <w:tc>
          <w:tcPr>
            <w:tcW w:w="1224" w:type="dxa"/>
            <w:tcBorders>
              <w:top w:val="single" w:color="000000" w:sz="4" w:space="0"/>
              <w:left w:val="nil"/>
              <w:bottom w:val="single" w:color="000000" w:sz="4" w:space="0"/>
              <w:right w:val="nil"/>
              <w:tl2br w:val="nil"/>
              <w:tr2bl w:val="nil"/>
            </w:tcBorders>
            <w:shd w:val="clear" w:color="auto" w:fill="FFFFFF"/>
          </w:tcPr>
          <w:p w14:paraId="610DD48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Sohrab Mokhtari, Alireza Abbaspour, Kang K. Yen, Arman Sargolzaei (2021)</w:t>
            </w:r>
          </w:p>
        </w:tc>
        <w:tc>
          <w:tcPr>
            <w:tcW w:w="1920" w:type="dxa"/>
            <w:tcBorders>
              <w:top w:val="single" w:color="000000" w:sz="4" w:space="0"/>
              <w:left w:val="nil"/>
              <w:bottom w:val="single" w:color="000000" w:sz="4" w:space="0"/>
              <w:right w:val="nil"/>
              <w:tl2br w:val="nil"/>
              <w:tr2bl w:val="nil"/>
            </w:tcBorders>
            <w:shd w:val="clear" w:color="auto" w:fill="FFFFFF"/>
          </w:tcPr>
          <w:p w14:paraId="28C6003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Measurement Intrusion Detection System (MIDS) using supervised machine learning models on measurement data</w:t>
            </w:r>
          </w:p>
        </w:tc>
        <w:tc>
          <w:tcPr>
            <w:tcW w:w="1236" w:type="dxa"/>
            <w:tcBorders>
              <w:top w:val="single" w:color="000000" w:sz="4" w:space="0"/>
              <w:left w:val="nil"/>
              <w:bottom w:val="single" w:color="000000" w:sz="4" w:space="0"/>
              <w:right w:val="nil"/>
              <w:tl2br w:val="nil"/>
              <w:tr2bl w:val="nil"/>
            </w:tcBorders>
            <w:shd w:val="clear" w:color="auto" w:fill="FFFFFF"/>
          </w:tcPr>
          <w:p w14:paraId="29F79D8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Confusion matrix metrics (Precision, Recall, F1-score, Accuracy),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ROC-AUC (Area Under the Curve)</w:t>
            </w:r>
          </w:p>
        </w:tc>
        <w:tc>
          <w:tcPr>
            <w:tcW w:w="1440" w:type="dxa"/>
            <w:tcBorders>
              <w:top w:val="single" w:color="000000" w:sz="4" w:space="0"/>
              <w:left w:val="nil"/>
              <w:bottom w:val="single" w:color="000000" w:sz="4" w:space="0"/>
              <w:right w:val="nil"/>
              <w:tl2br w:val="nil"/>
              <w:tr2bl w:val="nil"/>
            </w:tcBorders>
            <w:shd w:val="clear" w:color="auto" w:fill="FFFFFF"/>
          </w:tcPr>
          <w:p w14:paraId="2B18FA7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Random Forest outperformed KNN and DTC in detecting anomalies with the highest accuracy and AUC score of 99.76%</w:t>
            </w:r>
          </w:p>
        </w:tc>
        <w:tc>
          <w:tcPr>
            <w:tcW w:w="1680" w:type="dxa"/>
            <w:tcBorders>
              <w:top w:val="single" w:color="000000" w:sz="4" w:space="0"/>
              <w:left w:val="nil"/>
              <w:bottom w:val="single" w:color="000000" w:sz="4" w:space="0"/>
              <w:right w:val="nil"/>
              <w:tl2br w:val="nil"/>
              <w:tr2bl w:val="nil"/>
            </w:tcBorders>
            <w:shd w:val="clear" w:color="auto" w:fill="FFFFFF"/>
          </w:tcPr>
          <w:p w14:paraId="04A14E4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challenge of detecting anomalies in Industrial Control Systems (ICSs), particularly against stealthy attacks that are difficult to detect using traditional Network Intrusion Detection Systems (NIDS)</w:t>
            </w:r>
          </w:p>
        </w:tc>
      </w:tr>
      <w:tr w14:paraId="6C6E6D8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E5198A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4D8301C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Qiang Li, Limei Zhang, Guanghui Zhang, Hanyi Ouyang, Muke Bai (2023)</w:t>
            </w:r>
          </w:p>
        </w:tc>
        <w:tc>
          <w:tcPr>
            <w:tcW w:w="1920" w:type="dxa"/>
            <w:tcBorders>
              <w:top w:val="single" w:color="000000" w:sz="4" w:space="0"/>
              <w:left w:val="nil"/>
              <w:bottom w:val="single" w:color="000000" w:sz="4" w:space="0"/>
              <w:right w:val="nil"/>
              <w:tl2br w:val="nil"/>
              <w:tr2bl w:val="nil"/>
            </w:tcBorders>
            <w:shd w:val="clear" w:color="auto" w:fill="FFFFFF"/>
          </w:tcPr>
          <w:p w14:paraId="6F50527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study proposes an Improved Random Forest Algorithm (IRFA) to detect both explicit and implicit anomaly data features in smart grid systems. This includes parallel processing strategies to enhance efficiency</w:t>
            </w:r>
          </w:p>
        </w:tc>
        <w:tc>
          <w:tcPr>
            <w:tcW w:w="1236" w:type="dxa"/>
            <w:tcBorders>
              <w:top w:val="single" w:color="000000" w:sz="4" w:space="0"/>
              <w:left w:val="nil"/>
              <w:bottom w:val="single" w:color="000000" w:sz="4" w:space="0"/>
              <w:right w:val="nil"/>
              <w:tl2br w:val="nil"/>
              <w:tr2bl w:val="nil"/>
            </w:tcBorders>
            <w:shd w:val="clear" w:color="auto" w:fill="FFFFFF"/>
          </w:tcPr>
          <w:p w14:paraId="162192A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Accuracy (Acc),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Precision (Prec),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Recall (Rec), and False Negative Rate (FNR) are used to evaluate the performance of the IRFA</w:t>
            </w:r>
          </w:p>
        </w:tc>
        <w:tc>
          <w:tcPr>
            <w:tcW w:w="1440" w:type="dxa"/>
            <w:tcBorders>
              <w:top w:val="single" w:color="000000" w:sz="4" w:space="0"/>
              <w:left w:val="nil"/>
              <w:bottom w:val="single" w:color="000000" w:sz="4" w:space="0"/>
              <w:right w:val="nil"/>
              <w:tl2br w:val="nil"/>
              <w:tr2bl w:val="nil"/>
            </w:tcBorders>
            <w:shd w:val="clear" w:color="auto" w:fill="FFFFFF"/>
          </w:tcPr>
          <w:p w14:paraId="331809A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proposed IRFA achieves detection accuracy of 97% for single-node anomaly detection and over 95% for multiple-node anomaly detection. It outperforms Backpropagation Neural Networks (BPNN) and Support Vector Machines (SVM) in both detection accuracy and computational efficiency</w:t>
            </w:r>
          </w:p>
        </w:tc>
        <w:tc>
          <w:tcPr>
            <w:tcW w:w="1680" w:type="dxa"/>
            <w:tcBorders>
              <w:top w:val="single" w:color="000000" w:sz="4" w:space="0"/>
              <w:left w:val="nil"/>
              <w:bottom w:val="single" w:color="000000" w:sz="4" w:space="0"/>
              <w:right w:val="nil"/>
              <w:tl2br w:val="nil"/>
              <w:tr2bl w:val="nil"/>
            </w:tcBorders>
            <w:shd w:val="clear" w:color="auto" w:fill="FFFFFF"/>
          </w:tcPr>
          <w:p w14:paraId="52DA203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The paper addresses the challenge of detecting multi-node anomalies in the Internet of Energy (IoE), which is crucial to prevent cyber-attacks, improve reliability, and maintain the stability of smart distribution networks</w:t>
            </w:r>
          </w:p>
        </w:tc>
      </w:tr>
      <w:tr w14:paraId="58B42240">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329337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Principal Component Analysis (PCA)</w:t>
            </w:r>
          </w:p>
        </w:tc>
        <w:tc>
          <w:tcPr>
            <w:tcW w:w="1224" w:type="dxa"/>
            <w:tcBorders>
              <w:top w:val="single" w:color="000000" w:sz="4" w:space="0"/>
              <w:left w:val="nil"/>
              <w:bottom w:val="single" w:color="000000" w:sz="4" w:space="0"/>
              <w:right w:val="nil"/>
              <w:tl2br w:val="nil"/>
              <w:tr2bl w:val="nil"/>
            </w:tcBorders>
            <w:shd w:val="clear" w:color="auto" w:fill="FFFFFF"/>
          </w:tcPr>
          <w:p w14:paraId="69C3F79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José Roldán-Gómez, Juan Boubeta-Puig, Javier Carrillo-Mondéjar, Juan Manuel Castelo Gómez, Jesús Martínez del Rincón, (2023)</w:t>
            </w:r>
          </w:p>
        </w:tc>
        <w:tc>
          <w:tcPr>
            <w:tcW w:w="1920" w:type="dxa"/>
            <w:tcBorders>
              <w:top w:val="single" w:color="000000" w:sz="4" w:space="0"/>
              <w:left w:val="nil"/>
              <w:bottom w:val="single" w:color="000000" w:sz="4" w:space="0"/>
              <w:right w:val="nil"/>
              <w:tl2br w:val="nil"/>
              <w:tr2bl w:val="nil"/>
            </w:tcBorders>
            <w:shd w:val="clear" w:color="auto" w:fill="FFFFFF"/>
          </w:tcPr>
          <w:p w14:paraId="31A9239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 architecture that integrates Complex Event Processing (CEP) with Machine Learning (ML) to automatically generate CEP rules for detecting attack patterns in real-time.</w:t>
            </w:r>
          </w:p>
        </w:tc>
        <w:tc>
          <w:tcPr>
            <w:tcW w:w="1236" w:type="dxa"/>
            <w:tcBorders>
              <w:top w:val="single" w:color="000000" w:sz="4" w:space="0"/>
              <w:left w:val="nil"/>
              <w:bottom w:val="single" w:color="000000" w:sz="4" w:space="0"/>
              <w:right w:val="nil"/>
              <w:tl2br w:val="nil"/>
              <w:tr2bl w:val="nil"/>
            </w:tcBorders>
            <w:shd w:val="clear" w:color="auto" w:fill="FFFFFF"/>
          </w:tcPr>
          <w:p w14:paraId="1E794C4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F1-score,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Precision,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Recall,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Thrsoughput.</w:t>
            </w:r>
          </w:p>
        </w:tc>
        <w:tc>
          <w:tcPr>
            <w:tcW w:w="1440" w:type="dxa"/>
            <w:tcBorders>
              <w:top w:val="single" w:color="000000" w:sz="4" w:space="0"/>
              <w:left w:val="nil"/>
              <w:bottom w:val="single" w:color="000000" w:sz="4" w:space="0"/>
              <w:right w:val="nil"/>
              <w:tl2br w:val="nil"/>
              <w:tr2bl w:val="nil"/>
            </w:tcBorders>
            <w:shd w:val="clear" w:color="auto" w:fill="FFFFFF"/>
          </w:tcPr>
          <w:p w14:paraId="0EF30D7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system achieved an average F1-score of 0.98, a 76% improvement in throughput over standard CEP rules, and a reduction in network overhead by 86%.</w:t>
            </w:r>
            <w:r>
              <w:rPr>
                <w:rFonts w:hint="default" w:ascii="Times New Roman" w:hAnsi="Times New Roman" w:cs="Times New Roman"/>
                <w:b w:val="0"/>
                <w:color w:val="000000"/>
                <w:sz w:val="20"/>
                <w:szCs w:val="20"/>
              </w:rPr>
              <w:br w:type="textWrapping"/>
            </w:r>
          </w:p>
        </w:tc>
        <w:tc>
          <w:tcPr>
            <w:tcW w:w="1680" w:type="dxa"/>
            <w:tcBorders>
              <w:top w:val="single" w:color="000000" w:sz="4" w:space="0"/>
              <w:left w:val="nil"/>
              <w:bottom w:val="single" w:color="000000" w:sz="4" w:space="0"/>
              <w:right w:val="nil"/>
              <w:tl2br w:val="nil"/>
              <w:tr2bl w:val="nil"/>
            </w:tcBorders>
            <w:shd w:val="clear" w:color="auto" w:fill="FFFFFF"/>
          </w:tcPr>
          <w:p w14:paraId="1A3590A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Difficulty in deploying security measures in IoT devices due to their limited computational capabilities.</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Lack of pre-defined rules for detecting real-time attacks.</w:t>
            </w:r>
          </w:p>
        </w:tc>
      </w:tr>
      <w:tr w14:paraId="5D614BD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7DEBB97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Autoencoders</w:t>
            </w:r>
          </w:p>
        </w:tc>
        <w:tc>
          <w:tcPr>
            <w:tcW w:w="1224" w:type="dxa"/>
            <w:tcBorders>
              <w:top w:val="single" w:color="000000" w:sz="4" w:space="0"/>
              <w:left w:val="nil"/>
              <w:bottom w:val="single" w:color="000000" w:sz="4" w:space="0"/>
              <w:right w:val="nil"/>
              <w:tl2br w:val="nil"/>
              <w:tr2bl w:val="nil"/>
            </w:tcBorders>
            <w:shd w:val="clear" w:color="auto" w:fill="FFFFFF"/>
          </w:tcPr>
          <w:p w14:paraId="3ED0F72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Amir Farzad,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 Aaron Gulliver (2020)</w:t>
            </w:r>
          </w:p>
        </w:tc>
        <w:tc>
          <w:tcPr>
            <w:tcW w:w="1920" w:type="dxa"/>
            <w:tcBorders>
              <w:top w:val="single" w:color="000000" w:sz="4" w:space="0"/>
              <w:left w:val="nil"/>
              <w:bottom w:val="single" w:color="000000" w:sz="4" w:space="0"/>
              <w:right w:val="nil"/>
              <w:tl2br w:val="nil"/>
              <w:tr2bl w:val="nil"/>
            </w:tcBorders>
            <w:shd w:val="clear" w:color="auto" w:fill="FFFFFF"/>
          </w:tcPr>
          <w:p w14:paraId="1AA43EA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Combination of Isolation Forest and two deep autoencoder networks for feature extraction and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5FCB8A3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Precision,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Recall,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Accuracy, and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F-measure.</w:t>
            </w:r>
            <w:r>
              <w:rPr>
                <w:rFonts w:hint="default" w:ascii="Times New Roman" w:hAnsi="Times New Roman" w:cs="Times New Roman"/>
                <w:b w:val="0"/>
                <w:color w:val="000000"/>
                <w:sz w:val="20"/>
                <w:szCs w:val="20"/>
              </w:rPr>
              <w:br w:type="textWrapping"/>
            </w:r>
          </w:p>
        </w:tc>
        <w:tc>
          <w:tcPr>
            <w:tcW w:w="1440" w:type="dxa"/>
            <w:tcBorders>
              <w:top w:val="single" w:color="000000" w:sz="4" w:space="0"/>
              <w:left w:val="nil"/>
              <w:bottom w:val="single" w:color="000000" w:sz="4" w:space="0"/>
              <w:right w:val="nil"/>
              <w:tl2br w:val="nil"/>
              <w:tr2bl w:val="nil"/>
            </w:tcBorders>
            <w:shd w:val="clear" w:color="auto" w:fill="FFFFFF"/>
          </w:tcPr>
          <w:p w14:paraId="771B3CB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Outperforms other well-known anomaly detection methods such as K-means, Gaussian Mixture Model (GMM), and Local Outlier Factor (LOF), in terms of precision and recall for anomaly detection in log messages.</w:t>
            </w:r>
          </w:p>
        </w:tc>
        <w:tc>
          <w:tcPr>
            <w:tcW w:w="1680" w:type="dxa"/>
            <w:tcBorders>
              <w:top w:val="single" w:color="000000" w:sz="4" w:space="0"/>
              <w:left w:val="nil"/>
              <w:bottom w:val="single" w:color="000000" w:sz="4" w:space="0"/>
              <w:right w:val="nil"/>
              <w:tl2br w:val="nil"/>
              <w:tr2bl w:val="nil"/>
            </w:tcBorders>
            <w:shd w:val="clear" w:color="auto" w:fill="FFFFFF"/>
          </w:tcPr>
          <w:p w14:paraId="1CE3743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Detecting anomalies in log messages produced by software systems,when dealing with the vast amounts of unlabeled log data.</w:t>
            </w:r>
          </w:p>
        </w:tc>
      </w:tr>
      <w:tr w14:paraId="68E5D87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4AE2BE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0D3DC44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Fargana J. Abdullayeva</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(2021)</w:t>
            </w:r>
          </w:p>
        </w:tc>
        <w:tc>
          <w:tcPr>
            <w:tcW w:w="1920" w:type="dxa"/>
            <w:tcBorders>
              <w:top w:val="single" w:color="000000" w:sz="4" w:space="0"/>
              <w:left w:val="nil"/>
              <w:bottom w:val="single" w:color="000000" w:sz="4" w:space="0"/>
              <w:right w:val="nil"/>
              <w:tl2br w:val="nil"/>
              <w:tr2bl w:val="nil"/>
            </w:tcBorders>
            <w:shd w:val="clear" w:color="auto" w:fill="FFFFFF"/>
          </w:tcPr>
          <w:p w14:paraId="04BB77C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Combining autoencoders for feature extraction and softmax regression for classification to detect APT attacks.</w:t>
            </w:r>
          </w:p>
        </w:tc>
        <w:tc>
          <w:tcPr>
            <w:tcW w:w="1236" w:type="dxa"/>
            <w:tcBorders>
              <w:top w:val="single" w:color="000000" w:sz="4" w:space="0"/>
              <w:left w:val="nil"/>
              <w:bottom w:val="single" w:color="000000" w:sz="4" w:space="0"/>
              <w:right w:val="nil"/>
              <w:tl2br w:val="nil"/>
              <w:tr2bl w:val="nil"/>
            </w:tcBorders>
            <w:shd w:val="clear" w:color="auto" w:fill="FFFFFF"/>
          </w:tcPr>
          <w:p w14:paraId="0408E1B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Accuracy,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training loss, and test loss, measured using RMSE (Root Mean Squared Error) and accuracy scores.</w:t>
            </w:r>
          </w:p>
        </w:tc>
        <w:tc>
          <w:tcPr>
            <w:tcW w:w="1440" w:type="dxa"/>
            <w:tcBorders>
              <w:top w:val="single" w:color="000000" w:sz="4" w:space="0"/>
              <w:left w:val="nil"/>
              <w:bottom w:val="single" w:color="000000" w:sz="4" w:space="0"/>
              <w:right w:val="nil"/>
              <w:tl2br w:val="nil"/>
              <w:tr2bl w:val="nil"/>
            </w:tcBorders>
            <w:shd w:val="clear" w:color="auto" w:fill="FFFFFF"/>
          </w:tcPr>
          <w:p w14:paraId="09D33AE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 accuracy of 98.32% and demonstrated effective classification and detection of APT attacks while reducing data size via the autoencoder's encoder layer.</w:t>
            </w:r>
          </w:p>
        </w:tc>
        <w:tc>
          <w:tcPr>
            <w:tcW w:w="1680" w:type="dxa"/>
            <w:tcBorders>
              <w:top w:val="single" w:color="000000" w:sz="4" w:space="0"/>
              <w:left w:val="nil"/>
              <w:bottom w:val="single" w:color="000000" w:sz="4" w:space="0"/>
              <w:right w:val="nil"/>
              <w:tl2br w:val="nil"/>
              <w:tr2bl w:val="nil"/>
            </w:tcBorders>
            <w:shd w:val="clear" w:color="auto" w:fill="FFFFFF"/>
          </w:tcPr>
          <w:p w14:paraId="7D90708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Detection of Advanced Persistent Threat (APT) attacks in cloud computing environments, focusing on the challenges posed by APTs' stealth and complexity.</w:t>
            </w:r>
          </w:p>
        </w:tc>
      </w:tr>
      <w:tr w14:paraId="4F5A701F">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78B3C19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64D787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Yasuhiro Kanishima, Takashi Sudo,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Hiroyuki Yanagihashi</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(2022)</w:t>
            </w:r>
          </w:p>
        </w:tc>
        <w:tc>
          <w:tcPr>
            <w:tcW w:w="1920" w:type="dxa"/>
            <w:tcBorders>
              <w:top w:val="single" w:color="000000" w:sz="4" w:space="0"/>
              <w:left w:val="nil"/>
              <w:bottom w:val="single" w:color="000000" w:sz="4" w:space="0"/>
              <w:right w:val="nil"/>
              <w:tl2br w:val="nil"/>
              <w:tr2bl w:val="nil"/>
            </w:tcBorders>
            <w:shd w:val="clear" w:color="auto" w:fill="FFFFFF"/>
          </w:tcPr>
          <w:p w14:paraId="06B2CE3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Autoencoder with Adaptive Loss Function (AEAL), which dynamically adjusts the balance between minimizing reconstruction errors for normal data and maximizing reconstruction errors for anomaly data.</w:t>
            </w:r>
          </w:p>
        </w:tc>
        <w:tc>
          <w:tcPr>
            <w:tcW w:w="1236" w:type="dxa"/>
            <w:tcBorders>
              <w:top w:val="single" w:color="000000" w:sz="4" w:space="0"/>
              <w:left w:val="nil"/>
              <w:bottom w:val="single" w:color="000000" w:sz="4" w:space="0"/>
              <w:right w:val="nil"/>
              <w:tl2br w:val="nil"/>
              <w:tr2bl w:val="nil"/>
            </w:tcBorders>
            <w:shd w:val="clear" w:color="auto" w:fill="FFFFFF"/>
          </w:tcPr>
          <w:p w14:paraId="577A456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Area Under Receiver Operating Characteristics Curve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(AUROC),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Histogram Intersection (HI)</w:t>
            </w:r>
            <w:r>
              <w:rPr>
                <w:rFonts w:hint="default" w:ascii="Times New Roman" w:hAnsi="Times New Roman" w:cs="Times New Roman"/>
                <w:b w:val="0"/>
                <w:color w:val="000000"/>
                <w:sz w:val="20"/>
                <w:szCs w:val="20"/>
              </w:rPr>
              <w:br w:type="textWrapping"/>
            </w:r>
          </w:p>
        </w:tc>
        <w:tc>
          <w:tcPr>
            <w:tcW w:w="1440" w:type="dxa"/>
            <w:tcBorders>
              <w:top w:val="single" w:color="000000" w:sz="4" w:space="0"/>
              <w:left w:val="nil"/>
              <w:bottom w:val="single" w:color="000000" w:sz="4" w:space="0"/>
              <w:right w:val="nil"/>
              <w:tl2br w:val="nil"/>
              <w:tr2bl w:val="nil"/>
            </w:tcBorders>
            <w:shd w:val="clear" w:color="auto" w:fill="FFFFFF"/>
          </w:tcPr>
          <w:p w14:paraId="1DC44CF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the detection accuracy of known anomalies while maintaining consistent anomaly scores before and after model updates.</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Performed better than traditional autoencoders and provided more consistent results compared to ABC in terms of anomaly score distribution.</w:t>
            </w:r>
          </w:p>
        </w:tc>
        <w:tc>
          <w:tcPr>
            <w:tcW w:w="1680" w:type="dxa"/>
            <w:tcBorders>
              <w:top w:val="single" w:color="000000" w:sz="4" w:space="0"/>
              <w:left w:val="nil"/>
              <w:bottom w:val="single" w:color="000000" w:sz="4" w:space="0"/>
              <w:right w:val="nil"/>
              <w:tl2br w:val="nil"/>
              <w:tr2bl w:val="nil"/>
            </w:tcBorders>
            <w:shd w:val="clear" w:color="auto" w:fill="FFFFFF"/>
          </w:tcPr>
          <w:p w14:paraId="4454B42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Inconsistency in anomaly scores before and after updating unsupervised learning-based anomaly detection models to supervised learning-based models. This inconsistency can create operational complexities, such as needing to adjust anomaly judgment thresholds.</w:t>
            </w:r>
          </w:p>
        </w:tc>
      </w:tr>
      <w:tr w14:paraId="3CF3171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A12A8E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2675A1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David Novoa-Paradela, Oscar Fontenla-Romero, Bertha Guijarro-Berdiñas (2023)</w:t>
            </w:r>
          </w:p>
        </w:tc>
        <w:tc>
          <w:tcPr>
            <w:tcW w:w="1920" w:type="dxa"/>
            <w:tcBorders>
              <w:top w:val="single" w:color="000000" w:sz="4" w:space="0"/>
              <w:left w:val="nil"/>
              <w:bottom w:val="single" w:color="000000" w:sz="4" w:space="0"/>
              <w:right w:val="nil"/>
              <w:tl2br w:val="nil"/>
              <w:tr2bl w:val="nil"/>
            </w:tcBorders>
            <w:shd w:val="clear" w:color="auto" w:fill="FFFFFF"/>
          </w:tcPr>
          <w:p w14:paraId="3CFBECF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 non-iterative, fast implementation of deep autoencoders, specifically designed for federated learning and edge computing environments.</w:t>
            </w:r>
          </w:p>
        </w:tc>
        <w:tc>
          <w:tcPr>
            <w:tcW w:w="1236" w:type="dxa"/>
            <w:tcBorders>
              <w:top w:val="single" w:color="000000" w:sz="4" w:space="0"/>
              <w:left w:val="nil"/>
              <w:bottom w:val="single" w:color="000000" w:sz="4" w:space="0"/>
              <w:right w:val="nil"/>
              <w:tl2br w:val="nil"/>
              <w:tr2bl w:val="nil"/>
            </w:tcBorders>
            <w:shd w:val="clear" w:color="auto" w:fill="FFFFFF"/>
          </w:tcPr>
          <w:p w14:paraId="57E247D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F1-score,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training time (seconds), and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energy consumption (kWh).</w:t>
            </w:r>
            <w:r>
              <w:rPr>
                <w:rFonts w:hint="default" w:ascii="Times New Roman" w:hAnsi="Times New Roman" w:cs="Times New Roman"/>
                <w:b w:val="0"/>
                <w:color w:val="000000"/>
                <w:sz w:val="20"/>
                <w:szCs w:val="20"/>
              </w:rPr>
              <w:br w:type="textWrapping"/>
            </w:r>
          </w:p>
        </w:tc>
        <w:tc>
          <w:tcPr>
            <w:tcW w:w="1440" w:type="dxa"/>
            <w:tcBorders>
              <w:top w:val="single" w:color="000000" w:sz="4" w:space="0"/>
              <w:left w:val="nil"/>
              <w:bottom w:val="single" w:color="000000" w:sz="4" w:space="0"/>
              <w:right w:val="nil"/>
              <w:tl2br w:val="nil"/>
              <w:tr2bl w:val="nil"/>
            </w:tcBorders>
            <w:shd w:val="clear" w:color="auto" w:fill="FFFFFF"/>
          </w:tcPr>
          <w:p w14:paraId="1997AEE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Outperformed traditional iterative autoencoders in terms of training time and achieved comparable performance in anomaly detection tasks. It also demonstrated better energy efficiency in federated learning scenarios.</w:t>
            </w:r>
          </w:p>
        </w:tc>
        <w:tc>
          <w:tcPr>
            <w:tcW w:w="1680" w:type="dxa"/>
            <w:tcBorders>
              <w:top w:val="single" w:color="000000" w:sz="4" w:space="0"/>
              <w:left w:val="nil"/>
              <w:bottom w:val="single" w:color="000000" w:sz="4" w:space="0"/>
              <w:right w:val="nil"/>
              <w:tl2br w:val="nil"/>
              <w:tr2bl w:val="nil"/>
            </w:tcBorders>
            <w:shd w:val="clear" w:color="auto" w:fill="FFFFFF"/>
          </w:tcPr>
          <w:p w14:paraId="5B3360F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Privacy-preserving deep autoencoder implementations in federated learning,</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Reducing training time while ensuring data privacy in edge computing scenarios, </w:t>
            </w:r>
          </w:p>
        </w:tc>
      </w:tr>
      <w:tr w14:paraId="5F2E1E89">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848F08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2DD77CE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Santiago Gomez-Rosero, Miriam A.M. Capretz (2024).</w:t>
            </w:r>
          </w:p>
        </w:tc>
        <w:tc>
          <w:tcPr>
            <w:tcW w:w="1920" w:type="dxa"/>
            <w:tcBorders>
              <w:top w:val="single" w:color="000000" w:sz="4" w:space="0"/>
              <w:left w:val="nil"/>
              <w:bottom w:val="single" w:color="000000" w:sz="4" w:space="0"/>
              <w:right w:val="nil"/>
              <w:tl2br w:val="nil"/>
              <w:tr2bl w:val="nil"/>
            </w:tcBorders>
            <w:shd w:val="clear" w:color="auto" w:fill="FFFFFF"/>
          </w:tcPr>
          <w:p w14:paraId="4F2A42D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"Anomaly Detection through Evolutionary Neural Architecture Search (AD-ENAS)," which is a method specifically designed for optimizing neural network architectures for anomaly detection in time series data.</w:t>
            </w:r>
          </w:p>
        </w:tc>
        <w:tc>
          <w:tcPr>
            <w:tcW w:w="1236" w:type="dxa"/>
            <w:tcBorders>
              <w:top w:val="single" w:color="000000" w:sz="4" w:space="0"/>
              <w:left w:val="nil"/>
              <w:bottom w:val="single" w:color="000000" w:sz="4" w:space="0"/>
              <w:right w:val="nil"/>
              <w:tl2br w:val="nil"/>
              <w:tr2bl w:val="nil"/>
            </w:tcBorders>
            <w:shd w:val="clear" w:color="auto" w:fill="FFFFFF"/>
          </w:tcPr>
          <w:p w14:paraId="5359814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Precision,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Recall,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F1-score, and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ROC-AUC.</w:t>
            </w:r>
            <w:r>
              <w:rPr>
                <w:rFonts w:hint="default" w:ascii="Times New Roman" w:hAnsi="Times New Roman" w:cs="Times New Roman"/>
                <w:b w:val="0"/>
                <w:color w:val="000000"/>
                <w:sz w:val="20"/>
                <w:szCs w:val="20"/>
              </w:rPr>
              <w:br w:type="textWrapping"/>
            </w:r>
          </w:p>
        </w:tc>
        <w:tc>
          <w:tcPr>
            <w:tcW w:w="1440" w:type="dxa"/>
            <w:tcBorders>
              <w:top w:val="single" w:color="000000" w:sz="4" w:space="0"/>
              <w:left w:val="nil"/>
              <w:bottom w:val="single" w:color="000000" w:sz="4" w:space="0"/>
              <w:right w:val="nil"/>
              <w:tl2br w:val="nil"/>
              <w:tr2bl w:val="nil"/>
            </w:tcBorders>
            <w:shd w:val="clear" w:color="auto" w:fill="FFFFFF"/>
          </w:tcPr>
          <w:p w14:paraId="08ED7EC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Evolved neural network architectures that outperformed baseline methods in detecting anomalies in time series data, achieving higher F1 scores across three well-known datasets (MSL, SMAP, Yahoo S5-A1).</w:t>
            </w:r>
            <w:r>
              <w:rPr>
                <w:rFonts w:hint="default" w:ascii="Times New Roman" w:hAnsi="Times New Roman" w:cs="Times New Roman"/>
                <w:b w:val="0"/>
                <w:color w:val="000000"/>
                <w:sz w:val="20"/>
                <w:szCs w:val="20"/>
              </w:rPr>
              <w:br w:type="textWrapping"/>
            </w:r>
          </w:p>
        </w:tc>
        <w:tc>
          <w:tcPr>
            <w:tcW w:w="1680" w:type="dxa"/>
            <w:tcBorders>
              <w:top w:val="single" w:color="000000" w:sz="4" w:space="0"/>
              <w:left w:val="nil"/>
              <w:bottom w:val="single" w:color="000000" w:sz="4" w:space="0"/>
              <w:right w:val="nil"/>
              <w:tl2br w:val="nil"/>
              <w:tr2bl w:val="nil"/>
            </w:tcBorders>
            <w:shd w:val="clear" w:color="auto" w:fill="FFFFFF"/>
          </w:tcPr>
          <w:p w14:paraId="68DC9BD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Managing complexity and variability in time series data, which often leads to increased model complexity and prolonged search duration during parameter tuning for anomaly detection.</w:t>
            </w:r>
            <w:r>
              <w:rPr>
                <w:rFonts w:hint="default" w:ascii="Times New Roman" w:hAnsi="Times New Roman" w:cs="Times New Roman"/>
                <w:b w:val="0"/>
                <w:color w:val="000000"/>
                <w:sz w:val="20"/>
                <w:szCs w:val="20"/>
              </w:rPr>
              <w:br w:type="textWrapping"/>
            </w:r>
          </w:p>
        </w:tc>
      </w:tr>
      <w:tr w14:paraId="0E770F39">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E5001E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210B00F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Asif Ahmed Neloy, Maxime Turgeon</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(2024)</w:t>
            </w:r>
          </w:p>
        </w:tc>
        <w:tc>
          <w:tcPr>
            <w:tcW w:w="1920" w:type="dxa"/>
            <w:tcBorders>
              <w:top w:val="single" w:color="000000" w:sz="4" w:space="0"/>
              <w:left w:val="nil"/>
              <w:bottom w:val="single" w:color="000000" w:sz="4" w:space="0"/>
              <w:right w:val="nil"/>
              <w:tl2br w:val="nil"/>
              <w:tr2bl w:val="nil"/>
            </w:tcBorders>
            <w:shd w:val="clear" w:color="auto" w:fill="FFFFFF"/>
          </w:tcPr>
          <w:p w14:paraId="1FB7AE1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systematic reviews and comparism of 11 autoencoder architectures in terms of their performance in anomaly detection tasks on the MNIST and Fashion-MNIST datasets.</w:t>
            </w:r>
          </w:p>
        </w:tc>
        <w:tc>
          <w:tcPr>
            <w:tcW w:w="1236" w:type="dxa"/>
            <w:tcBorders>
              <w:top w:val="single" w:color="000000" w:sz="4" w:space="0"/>
              <w:left w:val="nil"/>
              <w:bottom w:val="single" w:color="000000" w:sz="4" w:space="0"/>
              <w:right w:val="nil"/>
              <w:tl2br w:val="nil"/>
              <w:tr2bl w:val="nil"/>
            </w:tcBorders>
            <w:shd w:val="clear" w:color="auto" w:fill="FFFFFF"/>
          </w:tcPr>
          <w:p w14:paraId="392189C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Reconstruction quality,</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sample generation, accuracy in classifying anomalies, ROC-AUC,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 xml:space="preserve">Average Precision (AP), and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training time.</w:t>
            </w:r>
            <w:r>
              <w:rPr>
                <w:rFonts w:hint="default" w:ascii="Times New Roman" w:hAnsi="Times New Roman" w:cs="Times New Roman"/>
                <w:b w:val="0"/>
                <w:color w:val="000000"/>
                <w:sz w:val="20"/>
                <w:szCs w:val="20"/>
              </w:rPr>
              <w:br w:type="textWrapping"/>
            </w:r>
          </w:p>
        </w:tc>
        <w:tc>
          <w:tcPr>
            <w:tcW w:w="1440" w:type="dxa"/>
            <w:tcBorders>
              <w:top w:val="single" w:color="000000" w:sz="4" w:space="0"/>
              <w:left w:val="nil"/>
              <w:bottom w:val="single" w:color="000000" w:sz="4" w:space="0"/>
              <w:right w:val="nil"/>
              <w:tl2br w:val="nil"/>
              <w:tr2bl w:val="nil"/>
            </w:tcBorders>
            <w:shd w:val="clear" w:color="auto" w:fill="FFFFFF"/>
          </w:tcPr>
          <w:p w14:paraId="590AA6F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Different autoencoder architectures offer trade-offs in reconstruction quality, computational efficiency, and anomaly detection accuracy.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For instance, the PAE and VQ-VAE models offered faster training times, while models like adVAE and β-VAE provided better reconstruction quality and sample generation for anomaly detection.</w:t>
            </w:r>
          </w:p>
        </w:tc>
        <w:tc>
          <w:tcPr>
            <w:tcW w:w="1680" w:type="dxa"/>
            <w:tcBorders>
              <w:top w:val="single" w:color="000000" w:sz="4" w:space="0"/>
              <w:left w:val="nil"/>
              <w:bottom w:val="single" w:color="000000" w:sz="4" w:space="0"/>
              <w:right w:val="nil"/>
              <w:tl2br w:val="nil"/>
              <w:tr2bl w:val="nil"/>
            </w:tcBorders>
            <w:shd w:val="clear" w:color="auto" w:fill="FFFFFF"/>
          </w:tcPr>
          <w:p w14:paraId="388B236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Effectiveness of various autoencoder architectures for unsupervised anomaly detection (UAD)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Explores the trade-offs between reconstruction ability, sample generation, latent space visualization, and anomaly detection accuracy.</w:t>
            </w:r>
          </w:p>
        </w:tc>
      </w:tr>
      <w:tr w14:paraId="1613159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FD8D6E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K-Nearest Neighbor (KNN)</w:t>
            </w:r>
          </w:p>
        </w:tc>
        <w:tc>
          <w:tcPr>
            <w:tcW w:w="1224" w:type="dxa"/>
            <w:tcBorders>
              <w:top w:val="single" w:color="000000" w:sz="4" w:space="0"/>
              <w:left w:val="nil"/>
              <w:bottom w:val="single" w:color="000000" w:sz="4" w:space="0"/>
              <w:right w:val="nil"/>
              <w:tl2br w:val="nil"/>
              <w:tr2bl w:val="nil"/>
            </w:tcBorders>
            <w:shd w:val="clear" w:color="auto" w:fill="FFFFFF"/>
          </w:tcPr>
          <w:p w14:paraId="3806BB6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Femi Emmanuel Ayo</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Joseph Bamidele Awotunde</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Sakinat Oluwabukonla Folorunso</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Matthew O. Adigun</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Sunday Adeola Ajagbe</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(2023)</w:t>
            </w:r>
            <w:r>
              <w:rPr>
                <w:rFonts w:hint="default" w:ascii="Times New Roman" w:hAnsi="Times New Roman" w:cs="Times New Roman"/>
                <w:b w:val="0"/>
                <w:color w:val="000000"/>
                <w:sz w:val="20"/>
                <w:szCs w:val="20"/>
              </w:rPr>
              <w:br w:type="textWrapping"/>
            </w:r>
          </w:p>
        </w:tc>
        <w:tc>
          <w:tcPr>
            <w:tcW w:w="1920" w:type="dxa"/>
            <w:tcBorders>
              <w:top w:val="single" w:color="000000" w:sz="4" w:space="0"/>
              <w:left w:val="nil"/>
              <w:bottom w:val="single" w:color="000000" w:sz="4" w:space="0"/>
              <w:right w:val="nil"/>
              <w:tl2br w:val="nil"/>
              <w:tr2bl w:val="nil"/>
            </w:tcBorders>
            <w:shd w:val="clear" w:color="auto" w:fill="FFFFFF"/>
          </w:tcPr>
          <w:p w14:paraId="4498E64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 improved FFB detection architecture called Bot-FFX, which uses a combination of a rule-based Genetic Algorithm (GA) and K-Nearest Neighbor (KNN) for detecting botnets.</w:t>
            </w:r>
            <w:r>
              <w:rPr>
                <w:rFonts w:hint="default" w:ascii="Times New Roman" w:hAnsi="Times New Roman" w:cs="Times New Roman"/>
                <w:b w:val="0"/>
                <w:color w:val="000000"/>
                <w:sz w:val="20"/>
                <w:szCs w:val="20"/>
              </w:rPr>
              <w:br w:type="textWrapping"/>
            </w:r>
          </w:p>
        </w:tc>
        <w:tc>
          <w:tcPr>
            <w:tcW w:w="1236" w:type="dxa"/>
            <w:tcBorders>
              <w:top w:val="single" w:color="000000" w:sz="4" w:space="0"/>
              <w:left w:val="nil"/>
              <w:bottom w:val="single" w:color="000000" w:sz="4" w:space="0"/>
              <w:right w:val="nil"/>
              <w:tl2br w:val="nil"/>
              <w:tr2bl w:val="nil"/>
            </w:tcBorders>
            <w:shd w:val="clear" w:color="auto" w:fill="FFFFFF"/>
          </w:tcPr>
          <w:p w14:paraId="7E6FA98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False Negative Rate (FNR)</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False Negative Rate (FNR)</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True Positive Rate (TPR)</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True Negative Rate (TNR)</w:t>
            </w:r>
            <w:r>
              <w:rPr>
                <w:rFonts w:hint="default" w:ascii="Times New Roman" w:hAnsi="Times New Roman" w:cs="Times New Roman"/>
                <w:b w:val="0"/>
                <w:color w:val="000000"/>
                <w:sz w:val="20"/>
                <w:szCs w:val="20"/>
              </w:rPr>
              <w:br w:type="textWrapping"/>
            </w:r>
          </w:p>
        </w:tc>
        <w:tc>
          <w:tcPr>
            <w:tcW w:w="1440" w:type="dxa"/>
            <w:tcBorders>
              <w:top w:val="single" w:color="000000" w:sz="4" w:space="0"/>
              <w:left w:val="nil"/>
              <w:bottom w:val="single" w:color="000000" w:sz="4" w:space="0"/>
              <w:right w:val="nil"/>
              <w:tl2br w:val="nil"/>
              <w:tr2bl w:val="nil"/>
            </w:tcBorders>
            <w:shd w:val="clear" w:color="auto" w:fill="FFFFFF"/>
          </w:tcPr>
          <w:p w14:paraId="75EA850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Bot-FFX model achieved high detection accuracy with an overall accuracy of 99.178%, a false positive rate of 0.8%, and a false negative rate of 0.8%.</w:t>
            </w:r>
          </w:p>
        </w:tc>
        <w:tc>
          <w:tcPr>
            <w:tcW w:w="1680" w:type="dxa"/>
            <w:tcBorders>
              <w:top w:val="single" w:color="000000" w:sz="4" w:space="0"/>
              <w:left w:val="nil"/>
              <w:bottom w:val="single" w:color="000000" w:sz="4" w:space="0"/>
              <w:right w:val="nil"/>
              <w:tl2br w:val="nil"/>
              <w:tr2bl w:val="nil"/>
            </w:tcBorders>
            <w:shd w:val="clear" w:color="auto" w:fill="FFFFFF"/>
          </w:tcPr>
          <w:p w14:paraId="7F0DECD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 xml:space="preserve">Vulnerability to evasion mechanisms, </w:t>
            </w:r>
            <w:r>
              <w:rPr>
                <w:rFonts w:hint="default" w:ascii="Times New Roman" w:hAnsi="Times New Roman" w:cs="Times New Roman"/>
                <w:b w:val="0"/>
                <w:color w:val="000000"/>
                <w:sz w:val="20"/>
                <w:szCs w:val="20"/>
              </w:rPr>
              <w:br w:type="textWrapping"/>
            </w:r>
            <w:r>
              <w:rPr>
                <w:rFonts w:hint="default" w:ascii="Times New Roman" w:hAnsi="Times New Roman" w:cs="Times New Roman"/>
                <w:b w:val="0"/>
                <w:color w:val="000000"/>
                <w:sz w:val="20"/>
                <w:szCs w:val="20"/>
              </w:rPr>
              <w:t>long detection time, and high dimensionality of the feature set in existing Fast Flux Botnet (FFB) detection systems.</w:t>
            </w:r>
          </w:p>
        </w:tc>
      </w:tr>
      <w:tr w14:paraId="7FB0C00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77529AF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CNN</w:t>
            </w:r>
          </w:p>
        </w:tc>
        <w:tc>
          <w:tcPr>
            <w:tcW w:w="1224" w:type="dxa"/>
            <w:tcBorders>
              <w:top w:val="single" w:color="000000" w:sz="4" w:space="0"/>
              <w:left w:val="nil"/>
              <w:bottom w:val="single" w:color="000000" w:sz="4" w:space="0"/>
              <w:right w:val="nil"/>
              <w:tl2br w:val="nil"/>
              <w:tr2bl w:val="nil"/>
            </w:tcBorders>
            <w:shd w:val="clear" w:color="auto" w:fill="FFFFFF"/>
          </w:tcPr>
          <w:p w14:paraId="58D1FE7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Ramna Maqsood, et al. (2023)</w:t>
            </w:r>
          </w:p>
        </w:tc>
        <w:tc>
          <w:tcPr>
            <w:tcW w:w="1920" w:type="dxa"/>
            <w:tcBorders>
              <w:top w:val="single" w:color="000000" w:sz="4" w:space="0"/>
              <w:left w:val="nil"/>
              <w:bottom w:val="single" w:color="000000" w:sz="4" w:space="0"/>
              <w:right w:val="nil"/>
              <w:tl2br w:val="nil"/>
              <w:tr2bl w:val="nil"/>
            </w:tcBorders>
            <w:shd w:val="clear" w:color="auto" w:fill="FFFFFF"/>
          </w:tcPr>
          <w:p w14:paraId="74AE696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Fine-tuned 3D ConvNets for spatiotemporal anomaly recognition; introduced frame-level annotations and spatial augmentation.</w:t>
            </w:r>
          </w:p>
        </w:tc>
        <w:tc>
          <w:tcPr>
            <w:tcW w:w="1236" w:type="dxa"/>
            <w:tcBorders>
              <w:top w:val="single" w:color="000000" w:sz="4" w:space="0"/>
              <w:left w:val="nil"/>
              <w:bottom w:val="single" w:color="000000" w:sz="4" w:space="0"/>
              <w:right w:val="nil"/>
              <w:tl2br w:val="nil"/>
              <w:tr2bl w:val="nil"/>
            </w:tcBorders>
            <w:shd w:val="clear" w:color="auto" w:fill="FFFFFF"/>
          </w:tcPr>
          <w:p w14:paraId="655F235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w:t>
            </w:r>
          </w:p>
        </w:tc>
        <w:tc>
          <w:tcPr>
            <w:tcW w:w="1440" w:type="dxa"/>
            <w:tcBorders>
              <w:top w:val="single" w:color="000000" w:sz="4" w:space="0"/>
              <w:left w:val="nil"/>
              <w:bottom w:val="single" w:color="000000" w:sz="4" w:space="0"/>
              <w:right w:val="nil"/>
              <w:tl2br w:val="nil"/>
              <w:tr2bl w:val="nil"/>
            </w:tcBorders>
            <w:shd w:val="clear" w:color="auto" w:fill="FFFFFF"/>
          </w:tcPr>
          <w:p w14:paraId="0FA24FD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82% AUC; robust multiclass anomaly detection.</w:t>
            </w:r>
          </w:p>
        </w:tc>
        <w:tc>
          <w:tcPr>
            <w:tcW w:w="1680" w:type="dxa"/>
            <w:tcBorders>
              <w:top w:val="single" w:color="000000" w:sz="4" w:space="0"/>
              <w:left w:val="nil"/>
              <w:bottom w:val="single" w:color="000000" w:sz="4" w:space="0"/>
              <w:right w:val="nil"/>
              <w:tl2br w:val="nil"/>
              <w:tr2bl w:val="nil"/>
            </w:tcBorders>
            <w:shd w:val="clear" w:color="auto" w:fill="FFFFFF"/>
          </w:tcPr>
          <w:p w14:paraId="704C6BC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Difficulty in recognizing multiple anomaly types from unstructured, untrimmed surveillance videos; sparse annotations in datasets.</w:t>
            </w:r>
          </w:p>
        </w:tc>
      </w:tr>
      <w:tr w14:paraId="1EB3BADF">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4D6F87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17B00E1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Waseem Ullah, et al. (2020)</w:t>
            </w:r>
          </w:p>
        </w:tc>
        <w:tc>
          <w:tcPr>
            <w:tcW w:w="1920" w:type="dxa"/>
            <w:tcBorders>
              <w:top w:val="single" w:color="000000" w:sz="4" w:space="0"/>
              <w:left w:val="nil"/>
              <w:bottom w:val="single" w:color="000000" w:sz="4" w:space="0"/>
              <w:right w:val="nil"/>
              <w:tl2br w:val="nil"/>
              <w:tr2bl w:val="nil"/>
            </w:tcBorders>
            <w:shd w:val="clear" w:color="auto" w:fill="FFFFFF"/>
          </w:tcPr>
          <w:p w14:paraId="0509FB6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Combined ResNet-50 for spatial feature extraction and Bi-Directional LSTM for temporal analysis.</w:t>
            </w:r>
          </w:p>
        </w:tc>
        <w:tc>
          <w:tcPr>
            <w:tcW w:w="1236" w:type="dxa"/>
            <w:tcBorders>
              <w:top w:val="single" w:color="000000" w:sz="4" w:space="0"/>
              <w:left w:val="nil"/>
              <w:bottom w:val="single" w:color="000000" w:sz="4" w:space="0"/>
              <w:right w:val="nil"/>
              <w:tl2br w:val="nil"/>
              <w:tr2bl w:val="nil"/>
            </w:tcBorders>
            <w:shd w:val="clear" w:color="auto" w:fill="FFFFFF"/>
          </w:tcPr>
          <w:p w14:paraId="4123F73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w:t>
            </w:r>
          </w:p>
        </w:tc>
        <w:tc>
          <w:tcPr>
            <w:tcW w:w="1440" w:type="dxa"/>
            <w:tcBorders>
              <w:top w:val="single" w:color="000000" w:sz="4" w:space="0"/>
              <w:left w:val="nil"/>
              <w:bottom w:val="single" w:color="000000" w:sz="4" w:space="0"/>
              <w:right w:val="nil"/>
              <w:tl2br w:val="nil"/>
              <w:tr2bl w:val="nil"/>
            </w:tcBorders>
            <w:shd w:val="clear" w:color="auto" w:fill="FFFFFF"/>
          </w:tcPr>
          <w:p w14:paraId="352F72E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accuracy by 3.41% over SOTA methods; reduced false alarms.</w:t>
            </w:r>
          </w:p>
        </w:tc>
        <w:tc>
          <w:tcPr>
            <w:tcW w:w="1680" w:type="dxa"/>
            <w:tcBorders>
              <w:top w:val="single" w:color="000000" w:sz="4" w:space="0"/>
              <w:left w:val="nil"/>
              <w:bottom w:val="single" w:color="000000" w:sz="4" w:space="0"/>
              <w:right w:val="nil"/>
              <w:tl2br w:val="nil"/>
              <w:tr2bl w:val="nil"/>
            </w:tcBorders>
            <w:shd w:val="clear" w:color="auto" w:fill="FFFFFF"/>
          </w:tcPr>
          <w:p w14:paraId="79ED11B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High false alarms and challenges in adapting to real-world data complexities for anomaly detection.</w:t>
            </w:r>
          </w:p>
        </w:tc>
      </w:tr>
      <w:tr w14:paraId="25DE4310">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223921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1D4449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Abdul Rehman Javed, et al. (2020)</w:t>
            </w:r>
          </w:p>
        </w:tc>
        <w:tc>
          <w:tcPr>
            <w:tcW w:w="1920" w:type="dxa"/>
            <w:tcBorders>
              <w:top w:val="single" w:color="000000" w:sz="4" w:space="0"/>
              <w:left w:val="nil"/>
              <w:bottom w:val="single" w:color="000000" w:sz="4" w:space="0"/>
              <w:right w:val="nil"/>
              <w:tl2br w:val="nil"/>
              <w:tr2bl w:val="nil"/>
            </w:tcBorders>
            <w:shd w:val="clear" w:color="auto" w:fill="FFFFFF"/>
          </w:tcPr>
          <w:p w14:paraId="38177E0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Multistage Attention Mechanism combining CNN and LSTM to focus on significant features.</w:t>
            </w:r>
          </w:p>
        </w:tc>
        <w:tc>
          <w:tcPr>
            <w:tcW w:w="1236" w:type="dxa"/>
            <w:tcBorders>
              <w:top w:val="single" w:color="000000" w:sz="4" w:space="0"/>
              <w:left w:val="nil"/>
              <w:bottom w:val="single" w:color="000000" w:sz="4" w:space="0"/>
              <w:right w:val="nil"/>
              <w:tl2br w:val="nil"/>
              <w:tr2bl w:val="nil"/>
            </w:tcBorders>
            <w:shd w:val="clear" w:color="auto" w:fill="FFFFFF"/>
          </w:tcPr>
          <w:p w14:paraId="289A3EC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F-Score</w:t>
            </w:r>
          </w:p>
        </w:tc>
        <w:tc>
          <w:tcPr>
            <w:tcW w:w="1440" w:type="dxa"/>
            <w:tcBorders>
              <w:top w:val="single" w:color="000000" w:sz="4" w:space="0"/>
              <w:left w:val="nil"/>
              <w:bottom w:val="single" w:color="000000" w:sz="4" w:space="0"/>
              <w:right w:val="nil"/>
              <w:tl2br w:val="nil"/>
              <w:tr2bl w:val="nil"/>
            </w:tcBorders>
            <w:shd w:val="clear" w:color="auto" w:fill="FFFFFF"/>
          </w:tcPr>
          <w:p w14:paraId="1DB31D3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Enhanced detection of both single and mixed anomaly types; F-Score improved by 3.24%.</w:t>
            </w:r>
          </w:p>
        </w:tc>
        <w:tc>
          <w:tcPr>
            <w:tcW w:w="1680" w:type="dxa"/>
            <w:tcBorders>
              <w:top w:val="single" w:color="000000" w:sz="4" w:space="0"/>
              <w:left w:val="nil"/>
              <w:bottom w:val="single" w:color="000000" w:sz="4" w:space="0"/>
              <w:right w:val="nil"/>
              <w:tl2br w:val="nil"/>
              <w:tr2bl w:val="nil"/>
            </w:tcBorders>
            <w:shd w:val="clear" w:color="auto" w:fill="FFFFFF"/>
          </w:tcPr>
          <w:p w14:paraId="0A21FE7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Detecting low-magnitude anomalies in vehicular sensor data and addressing multiple anomaly types.</w:t>
            </w:r>
          </w:p>
        </w:tc>
      </w:tr>
      <w:tr w14:paraId="3F5F427A">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26200B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6754C5F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Maryam Qasim, Elena Verdu (2023)</w:t>
            </w:r>
          </w:p>
        </w:tc>
        <w:tc>
          <w:tcPr>
            <w:tcW w:w="1920" w:type="dxa"/>
            <w:tcBorders>
              <w:top w:val="single" w:color="000000" w:sz="4" w:space="0"/>
              <w:left w:val="nil"/>
              <w:bottom w:val="single" w:color="000000" w:sz="4" w:space="0"/>
              <w:right w:val="nil"/>
              <w:tl2br w:val="nil"/>
              <w:tr2bl w:val="nil"/>
            </w:tcBorders>
            <w:shd w:val="clear" w:color="auto" w:fill="FFFFFF"/>
          </w:tcPr>
          <w:p w14:paraId="58DCC78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Hybrid model combining ResNet (CNN) for spatial features and SRU for temporal sequences.</w:t>
            </w:r>
          </w:p>
        </w:tc>
        <w:tc>
          <w:tcPr>
            <w:tcW w:w="1236" w:type="dxa"/>
            <w:tcBorders>
              <w:top w:val="single" w:color="000000" w:sz="4" w:space="0"/>
              <w:left w:val="nil"/>
              <w:bottom w:val="single" w:color="000000" w:sz="4" w:space="0"/>
              <w:right w:val="nil"/>
              <w:tl2br w:val="nil"/>
              <w:tr2bl w:val="nil"/>
            </w:tcBorders>
            <w:shd w:val="clear" w:color="auto" w:fill="FFFFFF"/>
          </w:tcPr>
          <w:p w14:paraId="4AC3813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F1-Score, AUC</w:t>
            </w:r>
          </w:p>
        </w:tc>
        <w:tc>
          <w:tcPr>
            <w:tcW w:w="1440" w:type="dxa"/>
            <w:tcBorders>
              <w:top w:val="single" w:color="000000" w:sz="4" w:space="0"/>
              <w:left w:val="nil"/>
              <w:bottom w:val="single" w:color="000000" w:sz="4" w:space="0"/>
              <w:right w:val="nil"/>
              <w:tl2br w:val="nil"/>
              <w:tr2bl w:val="nil"/>
            </w:tcBorders>
            <w:shd w:val="clear" w:color="auto" w:fill="FFFFFF"/>
          </w:tcPr>
          <w:p w14:paraId="35DC6A1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91.44% accuracy and 91.64% F1-Score with ResNet-50 + SRU.</w:t>
            </w:r>
          </w:p>
        </w:tc>
        <w:tc>
          <w:tcPr>
            <w:tcW w:w="1680" w:type="dxa"/>
            <w:tcBorders>
              <w:top w:val="single" w:color="000000" w:sz="4" w:space="0"/>
              <w:left w:val="nil"/>
              <w:bottom w:val="single" w:color="000000" w:sz="4" w:space="0"/>
              <w:right w:val="nil"/>
              <w:tl2br w:val="nil"/>
              <w:tr2bl w:val="nil"/>
            </w:tcBorders>
            <w:shd w:val="clear" w:color="auto" w:fill="FFFFFF"/>
          </w:tcPr>
          <w:p w14:paraId="50BE1A9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Inefficiencies in detecting anomalies in large-scale video surveillance systems; challenges in integrating spatial and temporal features.</w:t>
            </w:r>
          </w:p>
        </w:tc>
      </w:tr>
      <w:tr w14:paraId="39FD2EE3">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164B09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E538AD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In-Chang Hwang, Hyun-Soo Kang (2023)</w:t>
            </w:r>
          </w:p>
        </w:tc>
        <w:tc>
          <w:tcPr>
            <w:tcW w:w="1920" w:type="dxa"/>
            <w:tcBorders>
              <w:top w:val="single" w:color="000000" w:sz="4" w:space="0"/>
              <w:left w:val="nil"/>
              <w:bottom w:val="single" w:color="000000" w:sz="4" w:space="0"/>
              <w:right w:val="nil"/>
              <w:tl2br w:val="nil"/>
              <w:tr2bl w:val="nil"/>
            </w:tcBorders>
            <w:shd w:val="clear" w:color="auto" w:fill="FFFFFF"/>
          </w:tcPr>
          <w:p w14:paraId="7C0AA4B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Used 3D CNN integrated with CBAM; merged video frames into composite images to optimize memory usage and training.</w:t>
            </w:r>
          </w:p>
        </w:tc>
        <w:tc>
          <w:tcPr>
            <w:tcW w:w="1236" w:type="dxa"/>
            <w:tcBorders>
              <w:top w:val="single" w:color="000000" w:sz="4" w:space="0"/>
              <w:left w:val="nil"/>
              <w:bottom w:val="single" w:color="000000" w:sz="4" w:space="0"/>
              <w:right w:val="nil"/>
              <w:tl2br w:val="nil"/>
              <w:tr2bl w:val="nil"/>
            </w:tcBorders>
            <w:shd w:val="clear" w:color="auto" w:fill="FFFFFF"/>
          </w:tcPr>
          <w:p w14:paraId="557854F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AUC, EER</w:t>
            </w:r>
          </w:p>
        </w:tc>
        <w:tc>
          <w:tcPr>
            <w:tcW w:w="1440" w:type="dxa"/>
            <w:tcBorders>
              <w:top w:val="single" w:color="000000" w:sz="4" w:space="0"/>
              <w:left w:val="nil"/>
              <w:bottom w:val="single" w:color="000000" w:sz="4" w:space="0"/>
              <w:right w:val="nil"/>
              <w:tl2br w:val="nil"/>
              <w:tr2bl w:val="nil"/>
            </w:tcBorders>
            <w:shd w:val="clear" w:color="auto" w:fill="FFFFFF"/>
          </w:tcPr>
          <w:p w14:paraId="7385EB9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AUC of 0.9973 (UBI-Figure hts), 99.20% accuracy (RWF-2000); robust anomaly detection across datasets.</w:t>
            </w:r>
          </w:p>
        </w:tc>
        <w:tc>
          <w:tcPr>
            <w:tcW w:w="1680" w:type="dxa"/>
            <w:tcBorders>
              <w:top w:val="single" w:color="000000" w:sz="4" w:space="0"/>
              <w:left w:val="nil"/>
              <w:bottom w:val="single" w:color="000000" w:sz="4" w:space="0"/>
              <w:right w:val="nil"/>
              <w:tl2br w:val="nil"/>
              <w:tr2bl w:val="nil"/>
            </w:tcBorders>
            <w:shd w:val="clear" w:color="auto" w:fill="FFFFFF"/>
          </w:tcPr>
          <w:p w14:paraId="23ABCF3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Imbalanced datasets with fewer anomaly samples; increased parameters in 3D CNN training.</w:t>
            </w:r>
          </w:p>
        </w:tc>
      </w:tr>
      <w:tr w14:paraId="6E1A70C7">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B0F8D8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RNN</w:t>
            </w:r>
          </w:p>
        </w:tc>
        <w:tc>
          <w:tcPr>
            <w:tcW w:w="1224" w:type="dxa"/>
            <w:tcBorders>
              <w:top w:val="single" w:color="000000" w:sz="4" w:space="0"/>
              <w:left w:val="nil"/>
              <w:bottom w:val="single" w:color="000000" w:sz="4" w:space="0"/>
              <w:right w:val="nil"/>
              <w:tl2br w:val="nil"/>
              <w:tr2bl w:val="nil"/>
            </w:tcBorders>
            <w:shd w:val="clear" w:color="auto" w:fill="FFFFFF"/>
          </w:tcPr>
          <w:p w14:paraId="679CF29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Yang Wang, et al. (2022)</w:t>
            </w:r>
          </w:p>
        </w:tc>
        <w:tc>
          <w:tcPr>
            <w:tcW w:w="1920" w:type="dxa"/>
            <w:tcBorders>
              <w:top w:val="single" w:color="000000" w:sz="4" w:space="0"/>
              <w:left w:val="nil"/>
              <w:bottom w:val="single" w:color="000000" w:sz="4" w:space="0"/>
              <w:right w:val="nil"/>
              <w:tl2br w:val="nil"/>
              <w:tr2bl w:val="nil"/>
            </w:tcBorders>
            <w:shd w:val="clear" w:color="auto" w:fill="FFFFFF"/>
          </w:tcPr>
          <w:p w14:paraId="43176A3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Multi-layer attention-based RNN Encoder-Decoder for spatiotemporal forecasting.</w:t>
            </w:r>
          </w:p>
        </w:tc>
        <w:tc>
          <w:tcPr>
            <w:tcW w:w="1236" w:type="dxa"/>
            <w:tcBorders>
              <w:top w:val="single" w:color="000000" w:sz="4" w:space="0"/>
              <w:left w:val="nil"/>
              <w:bottom w:val="single" w:color="000000" w:sz="4" w:space="0"/>
              <w:right w:val="nil"/>
              <w:tl2br w:val="nil"/>
              <w:tr2bl w:val="nil"/>
            </w:tcBorders>
            <w:shd w:val="clear" w:color="auto" w:fill="FFFFFF"/>
          </w:tcPr>
          <w:p w14:paraId="32ABE64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RMSE, MAE</w:t>
            </w:r>
          </w:p>
        </w:tc>
        <w:tc>
          <w:tcPr>
            <w:tcW w:w="1440" w:type="dxa"/>
            <w:tcBorders>
              <w:top w:val="single" w:color="000000" w:sz="4" w:space="0"/>
              <w:left w:val="nil"/>
              <w:bottom w:val="single" w:color="000000" w:sz="4" w:space="0"/>
              <w:right w:val="nil"/>
              <w:tl2br w:val="nil"/>
              <w:tr2bl w:val="nil"/>
            </w:tcBorders>
            <w:shd w:val="clear" w:color="auto" w:fill="FFFFFF"/>
          </w:tcPr>
          <w:p w14:paraId="311E1C1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Outperformed traditional models with better prediction accuracy.</w:t>
            </w:r>
          </w:p>
        </w:tc>
        <w:tc>
          <w:tcPr>
            <w:tcW w:w="1680" w:type="dxa"/>
            <w:tcBorders>
              <w:top w:val="single" w:color="000000" w:sz="4" w:space="0"/>
              <w:left w:val="nil"/>
              <w:bottom w:val="single" w:color="000000" w:sz="4" w:space="0"/>
              <w:right w:val="nil"/>
              <w:tl2br w:val="nil"/>
              <w:tr2bl w:val="nil"/>
            </w:tcBorders>
            <w:shd w:val="clear" w:color="auto" w:fill="FFFFFF"/>
          </w:tcPr>
          <w:p w14:paraId="0A91D14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Complex characteristics in multivariate time series for environmental monitoring.</w:t>
            </w:r>
          </w:p>
        </w:tc>
      </w:tr>
      <w:tr w14:paraId="3B406360">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944C7D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2FC830A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Farheena, Rajeev Kumar (2024)</w:t>
            </w:r>
          </w:p>
        </w:tc>
        <w:tc>
          <w:tcPr>
            <w:tcW w:w="1920" w:type="dxa"/>
            <w:tcBorders>
              <w:top w:val="single" w:color="000000" w:sz="4" w:space="0"/>
              <w:left w:val="nil"/>
              <w:bottom w:val="single" w:color="000000" w:sz="4" w:space="0"/>
              <w:right w:val="nil"/>
              <w:tl2br w:val="nil"/>
              <w:tr2bl w:val="nil"/>
            </w:tcBorders>
            <w:shd w:val="clear" w:color="auto" w:fill="FFFFFF"/>
          </w:tcPr>
          <w:p w14:paraId="00F23DA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Combined hybrid feature selection with CNN-LSTM for dimensionality reduction.</w:t>
            </w:r>
          </w:p>
        </w:tc>
        <w:tc>
          <w:tcPr>
            <w:tcW w:w="1236" w:type="dxa"/>
            <w:tcBorders>
              <w:top w:val="single" w:color="000000" w:sz="4" w:space="0"/>
              <w:left w:val="nil"/>
              <w:bottom w:val="single" w:color="000000" w:sz="4" w:space="0"/>
              <w:right w:val="nil"/>
              <w:tl2br w:val="nil"/>
              <w:tr2bl w:val="nil"/>
            </w:tcBorders>
            <w:shd w:val="clear" w:color="auto" w:fill="FFFFFF"/>
          </w:tcPr>
          <w:p w14:paraId="6D0E902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RMSE, MAE</w:t>
            </w:r>
          </w:p>
        </w:tc>
        <w:tc>
          <w:tcPr>
            <w:tcW w:w="1440" w:type="dxa"/>
            <w:tcBorders>
              <w:top w:val="single" w:color="000000" w:sz="4" w:space="0"/>
              <w:left w:val="nil"/>
              <w:bottom w:val="single" w:color="000000" w:sz="4" w:space="0"/>
              <w:right w:val="nil"/>
              <w:tl2br w:val="nil"/>
              <w:tr2bl w:val="nil"/>
            </w:tcBorders>
            <w:shd w:val="clear" w:color="auto" w:fill="FFFFFF"/>
          </w:tcPr>
          <w:p w14:paraId="34A4C14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Enhanced prediction accuracy with reduced complexity.</w:t>
            </w:r>
          </w:p>
        </w:tc>
        <w:tc>
          <w:tcPr>
            <w:tcW w:w="1680" w:type="dxa"/>
            <w:tcBorders>
              <w:top w:val="single" w:color="000000" w:sz="4" w:space="0"/>
              <w:left w:val="nil"/>
              <w:bottom w:val="single" w:color="000000" w:sz="4" w:space="0"/>
              <w:right w:val="nil"/>
              <w:tl2br w:val="nil"/>
              <w:tr2bl w:val="nil"/>
            </w:tcBorders>
            <w:shd w:val="clear" w:color="auto" w:fill="FFFFFF"/>
          </w:tcPr>
          <w:p w14:paraId="02E8978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Inefficiencies in high-dimensional time-series datasets.</w:t>
            </w:r>
          </w:p>
        </w:tc>
      </w:tr>
      <w:tr w14:paraId="481299B1">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EB6343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4B44EF5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Praveen M. Dhulavvagol, et al. (2024)</w:t>
            </w:r>
          </w:p>
        </w:tc>
        <w:tc>
          <w:tcPr>
            <w:tcW w:w="1920" w:type="dxa"/>
            <w:tcBorders>
              <w:top w:val="single" w:color="000000" w:sz="4" w:space="0"/>
              <w:left w:val="nil"/>
              <w:bottom w:val="single" w:color="000000" w:sz="4" w:space="0"/>
              <w:right w:val="nil"/>
              <w:tl2br w:val="nil"/>
              <w:tr2bl w:val="nil"/>
            </w:tcBorders>
            <w:shd w:val="clear" w:color="auto" w:fill="FFFFFF"/>
          </w:tcPr>
          <w:p w14:paraId="2C71DD8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Encoder-decoder RNN architecture with arithmetic coding for text compression.</w:t>
            </w:r>
          </w:p>
        </w:tc>
        <w:tc>
          <w:tcPr>
            <w:tcW w:w="1236" w:type="dxa"/>
            <w:tcBorders>
              <w:top w:val="single" w:color="000000" w:sz="4" w:space="0"/>
              <w:left w:val="nil"/>
              <w:bottom w:val="single" w:color="000000" w:sz="4" w:space="0"/>
              <w:right w:val="nil"/>
              <w:tl2br w:val="nil"/>
              <w:tr2bl w:val="nil"/>
            </w:tcBorders>
            <w:shd w:val="clear" w:color="auto" w:fill="FFFFFF"/>
          </w:tcPr>
          <w:p w14:paraId="6A53087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Compression Ratio</w:t>
            </w:r>
          </w:p>
        </w:tc>
        <w:tc>
          <w:tcPr>
            <w:tcW w:w="1440" w:type="dxa"/>
            <w:tcBorders>
              <w:top w:val="single" w:color="000000" w:sz="4" w:space="0"/>
              <w:left w:val="nil"/>
              <w:bottom w:val="single" w:color="000000" w:sz="4" w:space="0"/>
              <w:right w:val="nil"/>
              <w:tl2br w:val="nil"/>
              <w:tr2bl w:val="nil"/>
            </w:tcBorders>
            <w:shd w:val="clear" w:color="auto" w:fill="FFFFFF"/>
          </w:tcPr>
          <w:p w14:paraId="1C46F1C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3.5x better compression ratio compared to traditional methods.</w:t>
            </w:r>
          </w:p>
        </w:tc>
        <w:tc>
          <w:tcPr>
            <w:tcW w:w="1680" w:type="dxa"/>
            <w:tcBorders>
              <w:top w:val="single" w:color="000000" w:sz="4" w:space="0"/>
              <w:left w:val="nil"/>
              <w:bottom w:val="single" w:color="000000" w:sz="4" w:space="0"/>
              <w:right w:val="nil"/>
              <w:tl2br w:val="nil"/>
              <w:tr2bl w:val="nil"/>
            </w:tcBorders>
            <w:shd w:val="clear" w:color="auto" w:fill="FFFFFF"/>
          </w:tcPr>
          <w:p w14:paraId="44786F4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Inefficiency in traditional text compression algorithms.</w:t>
            </w:r>
          </w:p>
        </w:tc>
      </w:tr>
      <w:tr w14:paraId="1D5DF80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0B637C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0A58F5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Houda Harbaoui, Emna Ammar Elhadjamorb (2024)</w:t>
            </w:r>
          </w:p>
        </w:tc>
        <w:tc>
          <w:tcPr>
            <w:tcW w:w="1920" w:type="dxa"/>
            <w:tcBorders>
              <w:top w:val="single" w:color="000000" w:sz="4" w:space="0"/>
              <w:left w:val="nil"/>
              <w:bottom w:val="single" w:color="000000" w:sz="4" w:space="0"/>
              <w:right w:val="nil"/>
              <w:tl2br w:val="nil"/>
              <w:tr2bl w:val="nil"/>
            </w:tcBorders>
            <w:shd w:val="clear" w:color="auto" w:fill="FFFFFF"/>
          </w:tcPr>
          <w:p w14:paraId="4817E50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Fusion of LSTM and RNN with feature fusion techniques.</w:t>
            </w:r>
          </w:p>
        </w:tc>
        <w:tc>
          <w:tcPr>
            <w:tcW w:w="1236" w:type="dxa"/>
            <w:tcBorders>
              <w:top w:val="single" w:color="000000" w:sz="4" w:space="0"/>
              <w:left w:val="nil"/>
              <w:bottom w:val="single" w:color="000000" w:sz="4" w:space="0"/>
              <w:right w:val="nil"/>
              <w:tl2br w:val="nil"/>
              <w:tr2bl w:val="nil"/>
            </w:tcBorders>
            <w:shd w:val="clear" w:color="auto" w:fill="FFFFFF"/>
          </w:tcPr>
          <w:p w14:paraId="6A57241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Validation Loss, RMSE</w:t>
            </w:r>
          </w:p>
        </w:tc>
        <w:tc>
          <w:tcPr>
            <w:tcW w:w="1440" w:type="dxa"/>
            <w:tcBorders>
              <w:top w:val="single" w:color="000000" w:sz="4" w:space="0"/>
              <w:left w:val="nil"/>
              <w:bottom w:val="single" w:color="000000" w:sz="4" w:space="0"/>
              <w:right w:val="nil"/>
              <w:tl2br w:val="nil"/>
              <w:tr2bl w:val="nil"/>
            </w:tcBorders>
            <w:shd w:val="clear" w:color="auto" w:fill="FFFFFF"/>
          </w:tcPr>
          <w:p w14:paraId="2372536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Superior performance with lower validation loss and RMSE.</w:t>
            </w:r>
          </w:p>
        </w:tc>
        <w:tc>
          <w:tcPr>
            <w:tcW w:w="1680" w:type="dxa"/>
            <w:tcBorders>
              <w:top w:val="single" w:color="000000" w:sz="4" w:space="0"/>
              <w:left w:val="nil"/>
              <w:bottom w:val="single" w:color="000000" w:sz="4" w:space="0"/>
              <w:right w:val="nil"/>
              <w:tl2br w:val="nil"/>
              <w:tr2bl w:val="nil"/>
            </w:tcBorders>
            <w:shd w:val="clear" w:color="auto" w:fill="FFFFFF"/>
          </w:tcPr>
          <w:p w14:paraId="7102373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Inadequacies of single models in handling stock price prediction patterns.</w:t>
            </w:r>
          </w:p>
        </w:tc>
      </w:tr>
      <w:tr w14:paraId="08FF669D">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E09807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44CD5F4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Vinod Kumar, et al. (2024)</w:t>
            </w:r>
          </w:p>
        </w:tc>
        <w:tc>
          <w:tcPr>
            <w:tcW w:w="1920" w:type="dxa"/>
            <w:tcBorders>
              <w:top w:val="single" w:color="000000" w:sz="4" w:space="0"/>
              <w:left w:val="nil"/>
              <w:bottom w:val="single" w:color="000000" w:sz="4" w:space="0"/>
              <w:right w:val="nil"/>
              <w:tl2br w:val="nil"/>
              <w:tr2bl w:val="nil"/>
            </w:tcBorders>
            <w:shd w:val="clear" w:color="auto" w:fill="FFFFFF"/>
          </w:tcPr>
          <w:p w14:paraId="574F269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Hybrid RNN-LSTM model with attention mechanisms for effective temporal forecasting.</w:t>
            </w:r>
          </w:p>
        </w:tc>
        <w:tc>
          <w:tcPr>
            <w:tcW w:w="1236" w:type="dxa"/>
            <w:tcBorders>
              <w:top w:val="single" w:color="000000" w:sz="4" w:space="0"/>
              <w:left w:val="nil"/>
              <w:bottom w:val="single" w:color="000000" w:sz="4" w:space="0"/>
              <w:right w:val="nil"/>
              <w:tl2br w:val="nil"/>
              <w:tr2bl w:val="nil"/>
            </w:tcBorders>
            <w:shd w:val="clear" w:color="auto" w:fill="FFFFFF"/>
          </w:tcPr>
          <w:p w14:paraId="671661E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RMSE, MAPE</w:t>
            </w:r>
          </w:p>
        </w:tc>
        <w:tc>
          <w:tcPr>
            <w:tcW w:w="1440" w:type="dxa"/>
            <w:tcBorders>
              <w:top w:val="single" w:color="000000" w:sz="4" w:space="0"/>
              <w:left w:val="nil"/>
              <w:bottom w:val="single" w:color="000000" w:sz="4" w:space="0"/>
              <w:right w:val="nil"/>
              <w:tl2br w:val="nil"/>
              <w:tr2bl w:val="nil"/>
            </w:tcBorders>
            <w:shd w:val="clear" w:color="auto" w:fill="FFFFFF"/>
          </w:tcPr>
          <w:p w14:paraId="7DB0C3C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Outperformed baseline models with reduced RMSE and MAPE.</w:t>
            </w:r>
          </w:p>
        </w:tc>
        <w:tc>
          <w:tcPr>
            <w:tcW w:w="1680" w:type="dxa"/>
            <w:tcBorders>
              <w:top w:val="single" w:color="000000" w:sz="4" w:space="0"/>
              <w:left w:val="nil"/>
              <w:bottom w:val="single" w:color="000000" w:sz="4" w:space="0"/>
              <w:right w:val="nil"/>
              <w:tl2br w:val="nil"/>
              <w:tr2bl w:val="nil"/>
            </w:tcBorders>
            <w:shd w:val="clear" w:color="auto" w:fill="FFFFFF"/>
          </w:tcPr>
          <w:p w14:paraId="421902C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challenges in long-term COVID-19 outbreak prediction.</w:t>
            </w:r>
          </w:p>
        </w:tc>
      </w:tr>
      <w:tr w14:paraId="6AC52EBE">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5FE48D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18B505A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Harsh Agarwal, et al. (2024)</w:t>
            </w:r>
          </w:p>
        </w:tc>
        <w:tc>
          <w:tcPr>
            <w:tcW w:w="1920" w:type="dxa"/>
            <w:tcBorders>
              <w:top w:val="single" w:color="000000" w:sz="4" w:space="0"/>
              <w:left w:val="nil"/>
              <w:bottom w:val="single" w:color="000000" w:sz="4" w:space="0"/>
              <w:right w:val="nil"/>
              <w:tl2br w:val="nil"/>
              <w:tr2bl w:val="nil"/>
            </w:tcBorders>
            <w:shd w:val="clear" w:color="auto" w:fill="FFFFFF"/>
          </w:tcPr>
          <w:p w14:paraId="58F4842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Multi-Layer Sequential LSTM for improved long-term dependency modeling.</w:t>
            </w:r>
          </w:p>
        </w:tc>
        <w:tc>
          <w:tcPr>
            <w:tcW w:w="1236" w:type="dxa"/>
            <w:tcBorders>
              <w:top w:val="single" w:color="000000" w:sz="4" w:space="0"/>
              <w:left w:val="nil"/>
              <w:bottom w:val="single" w:color="000000" w:sz="4" w:space="0"/>
              <w:right w:val="nil"/>
              <w:tl2br w:val="nil"/>
              <w:tr2bl w:val="nil"/>
            </w:tcBorders>
            <w:shd w:val="clear" w:color="auto" w:fill="FFFFFF"/>
          </w:tcPr>
          <w:p w14:paraId="5BCD9BE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MAPE, N-RMSE</w:t>
            </w:r>
          </w:p>
        </w:tc>
        <w:tc>
          <w:tcPr>
            <w:tcW w:w="1440" w:type="dxa"/>
            <w:tcBorders>
              <w:top w:val="single" w:color="000000" w:sz="4" w:space="0"/>
              <w:left w:val="nil"/>
              <w:bottom w:val="single" w:color="000000" w:sz="4" w:space="0"/>
              <w:right w:val="nil"/>
              <w:tl2br w:val="nil"/>
              <w:tr2bl w:val="nil"/>
            </w:tcBorders>
            <w:shd w:val="clear" w:color="auto" w:fill="FFFFFF"/>
          </w:tcPr>
          <w:p w14:paraId="549C4E6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91.97% accuracy on test data, outperforming ARIMA and RNN.</w:t>
            </w:r>
          </w:p>
        </w:tc>
        <w:tc>
          <w:tcPr>
            <w:tcW w:w="1680" w:type="dxa"/>
            <w:tcBorders>
              <w:top w:val="single" w:color="000000" w:sz="4" w:space="0"/>
              <w:left w:val="nil"/>
              <w:bottom w:val="single" w:color="000000" w:sz="4" w:space="0"/>
              <w:right w:val="nil"/>
              <w:tl2br w:val="nil"/>
              <w:tr2bl w:val="nil"/>
            </w:tcBorders>
            <w:shd w:val="clear" w:color="auto" w:fill="FFFFFF"/>
          </w:tcPr>
          <w:p w14:paraId="7A046B5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Limitations of traditional statistical models in stock price prediction.</w:t>
            </w:r>
          </w:p>
        </w:tc>
      </w:tr>
      <w:tr w14:paraId="03925606">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B1A1BB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1F01664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Pooja BR, Rajkumar N. (2024)</w:t>
            </w:r>
          </w:p>
        </w:tc>
        <w:tc>
          <w:tcPr>
            <w:tcW w:w="1920" w:type="dxa"/>
            <w:tcBorders>
              <w:top w:val="single" w:color="000000" w:sz="4" w:space="0"/>
              <w:left w:val="nil"/>
              <w:bottom w:val="single" w:color="000000" w:sz="4" w:space="0"/>
              <w:right w:val="nil"/>
              <w:tl2br w:val="nil"/>
              <w:tr2bl w:val="nil"/>
            </w:tcBorders>
            <w:shd w:val="clear" w:color="auto" w:fill="FFFFFF"/>
          </w:tcPr>
          <w:p w14:paraId="3E97664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Combined spatiotemporal autoencoder and 3D CNN with RNN for real-time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579B552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MSE</w:t>
            </w:r>
          </w:p>
        </w:tc>
        <w:tc>
          <w:tcPr>
            <w:tcW w:w="1440" w:type="dxa"/>
            <w:tcBorders>
              <w:top w:val="single" w:color="000000" w:sz="4" w:space="0"/>
              <w:left w:val="nil"/>
              <w:bottom w:val="single" w:color="000000" w:sz="4" w:space="0"/>
              <w:right w:val="nil"/>
              <w:tl2br w:val="nil"/>
              <w:tr2bl w:val="nil"/>
            </w:tcBorders>
            <w:shd w:val="clear" w:color="auto" w:fill="FFFFFF"/>
          </w:tcPr>
          <w:p w14:paraId="7FC3B48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96% accuracy in identifying anomalies in surveillance systems.</w:t>
            </w:r>
          </w:p>
        </w:tc>
        <w:tc>
          <w:tcPr>
            <w:tcW w:w="1680" w:type="dxa"/>
            <w:tcBorders>
              <w:top w:val="single" w:color="000000" w:sz="4" w:space="0"/>
              <w:left w:val="nil"/>
              <w:bottom w:val="single" w:color="000000" w:sz="4" w:space="0"/>
              <w:right w:val="nil"/>
              <w:tl2br w:val="nil"/>
              <w:tr2bl w:val="nil"/>
            </w:tcBorders>
            <w:shd w:val="clear" w:color="auto" w:fill="FFFFFF"/>
          </w:tcPr>
          <w:p w14:paraId="60074EC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Inefficiencies in manual surveillance and large-scale video analysis.</w:t>
            </w:r>
          </w:p>
        </w:tc>
      </w:tr>
      <w:tr w14:paraId="39452A1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86A164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LSTM</w:t>
            </w:r>
          </w:p>
        </w:tc>
        <w:tc>
          <w:tcPr>
            <w:tcW w:w="1224" w:type="dxa"/>
            <w:tcBorders>
              <w:top w:val="single" w:color="000000" w:sz="4" w:space="0"/>
              <w:left w:val="nil"/>
              <w:bottom w:val="single" w:color="000000" w:sz="4" w:space="0"/>
              <w:right w:val="nil"/>
              <w:tl2br w:val="nil"/>
              <w:tr2bl w:val="nil"/>
            </w:tcBorders>
            <w:shd w:val="clear" w:color="auto" w:fill="FFFFFF"/>
          </w:tcPr>
          <w:p w14:paraId="5D20704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H.D. Nguyen et al. (2020)</w:t>
            </w:r>
          </w:p>
        </w:tc>
        <w:tc>
          <w:tcPr>
            <w:tcW w:w="1920" w:type="dxa"/>
            <w:tcBorders>
              <w:top w:val="single" w:color="000000" w:sz="4" w:space="0"/>
              <w:left w:val="nil"/>
              <w:bottom w:val="single" w:color="000000" w:sz="4" w:space="0"/>
              <w:right w:val="nil"/>
              <w:tl2br w:val="nil"/>
              <w:tr2bl w:val="nil"/>
            </w:tcBorders>
            <w:shd w:val="clear" w:color="auto" w:fill="FFFFFF"/>
          </w:tcPr>
          <w:p w14:paraId="0CE0FAF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LSTM for forecasting; LSTM Autoencoder + SVM for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17DCF01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RMSE, Accuracy, Precision, Recall, F1-score</w:t>
            </w:r>
          </w:p>
        </w:tc>
        <w:tc>
          <w:tcPr>
            <w:tcW w:w="1440" w:type="dxa"/>
            <w:tcBorders>
              <w:top w:val="single" w:color="000000" w:sz="4" w:space="0"/>
              <w:left w:val="nil"/>
              <w:bottom w:val="single" w:color="000000" w:sz="4" w:space="0"/>
              <w:right w:val="nil"/>
              <w:tl2br w:val="nil"/>
              <w:tr2bl w:val="nil"/>
            </w:tcBorders>
            <w:shd w:val="clear" w:color="auto" w:fill="FFFFFF"/>
          </w:tcPr>
          <w:p w14:paraId="42F93A8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Superior RMSE for forecasting; 98.36% accuracy, 98.45% precision, 99.59% recall in anomaly detection.</w:t>
            </w:r>
          </w:p>
        </w:tc>
        <w:tc>
          <w:tcPr>
            <w:tcW w:w="1680" w:type="dxa"/>
            <w:tcBorders>
              <w:top w:val="single" w:color="000000" w:sz="4" w:space="0"/>
              <w:left w:val="nil"/>
              <w:bottom w:val="single" w:color="000000" w:sz="4" w:space="0"/>
              <w:right w:val="nil"/>
              <w:tl2br w:val="nil"/>
              <w:tr2bl w:val="nil"/>
            </w:tcBorders>
            <w:shd w:val="clear" w:color="auto" w:fill="FFFFFF"/>
          </w:tcPr>
          <w:p w14:paraId="171DF7B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Challenges in multivariate time series forecasting and anomaly detection in supply chain management.</w:t>
            </w:r>
          </w:p>
        </w:tc>
      </w:tr>
      <w:tr w14:paraId="26D4692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798D2F5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38B1C09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Mahmoud S. Elsayed et al. (2020)</w:t>
            </w:r>
          </w:p>
        </w:tc>
        <w:tc>
          <w:tcPr>
            <w:tcW w:w="1920" w:type="dxa"/>
            <w:tcBorders>
              <w:top w:val="single" w:color="000000" w:sz="4" w:space="0"/>
              <w:left w:val="nil"/>
              <w:bottom w:val="single" w:color="000000" w:sz="4" w:space="0"/>
              <w:right w:val="nil"/>
              <w:tl2br w:val="nil"/>
              <w:tr2bl w:val="nil"/>
            </w:tcBorders>
            <w:shd w:val="clear" w:color="auto" w:fill="FFFFFF"/>
          </w:tcPr>
          <w:p w14:paraId="35F195B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LSTM Autoencoder for temporal feature learning; SVM for anomaly classification.</w:t>
            </w:r>
          </w:p>
        </w:tc>
        <w:tc>
          <w:tcPr>
            <w:tcW w:w="1236" w:type="dxa"/>
            <w:tcBorders>
              <w:top w:val="single" w:color="000000" w:sz="4" w:space="0"/>
              <w:left w:val="nil"/>
              <w:bottom w:val="single" w:color="000000" w:sz="4" w:space="0"/>
              <w:right w:val="nil"/>
              <w:tl2br w:val="nil"/>
              <w:tr2bl w:val="nil"/>
            </w:tcBorders>
            <w:shd w:val="clear" w:color="auto" w:fill="FFFFFF"/>
          </w:tcPr>
          <w:p w14:paraId="65104F9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F1-Score, Accuracy, AUC</w:t>
            </w:r>
          </w:p>
        </w:tc>
        <w:tc>
          <w:tcPr>
            <w:tcW w:w="1440" w:type="dxa"/>
            <w:tcBorders>
              <w:top w:val="single" w:color="000000" w:sz="4" w:space="0"/>
              <w:left w:val="nil"/>
              <w:bottom w:val="single" w:color="000000" w:sz="4" w:space="0"/>
              <w:right w:val="nil"/>
              <w:tl2br w:val="nil"/>
              <w:tr2bl w:val="nil"/>
            </w:tcBorders>
            <w:shd w:val="clear" w:color="auto" w:fill="FFFFFF"/>
          </w:tcPr>
          <w:p w14:paraId="108E6C6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93% F1-Score, 90.5% accuracy; improved computational efficiency over standalone SVM.</w:t>
            </w:r>
          </w:p>
        </w:tc>
        <w:tc>
          <w:tcPr>
            <w:tcW w:w="1680" w:type="dxa"/>
            <w:tcBorders>
              <w:top w:val="single" w:color="000000" w:sz="4" w:space="0"/>
              <w:left w:val="nil"/>
              <w:bottom w:val="single" w:color="000000" w:sz="4" w:space="0"/>
              <w:right w:val="nil"/>
              <w:tl2br w:val="nil"/>
              <w:tr2bl w:val="nil"/>
            </w:tcBorders>
            <w:shd w:val="clear" w:color="auto" w:fill="FFFFFF"/>
          </w:tcPr>
          <w:p w14:paraId="43D953E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Anomaly detection in high-dimensional and unbalanced network datasets.</w:t>
            </w:r>
          </w:p>
        </w:tc>
      </w:tr>
      <w:tr w14:paraId="70E7065D">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085B6E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5E58A1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Yara Alghofaili et al. (2020)</w:t>
            </w:r>
          </w:p>
        </w:tc>
        <w:tc>
          <w:tcPr>
            <w:tcW w:w="1920" w:type="dxa"/>
            <w:tcBorders>
              <w:top w:val="single" w:color="000000" w:sz="4" w:space="0"/>
              <w:left w:val="nil"/>
              <w:bottom w:val="single" w:color="000000" w:sz="4" w:space="0"/>
              <w:right w:val="nil"/>
              <w:tl2br w:val="nil"/>
              <w:tr2bl w:val="nil"/>
            </w:tcBorders>
            <w:shd w:val="clear" w:color="auto" w:fill="FFFFFF"/>
          </w:tcPr>
          <w:p w14:paraId="7DEB96D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LSTM for sequential fraud pattern detection, benchmarked against Autoencoder, RF, SVM, and LR.</w:t>
            </w:r>
          </w:p>
        </w:tc>
        <w:tc>
          <w:tcPr>
            <w:tcW w:w="1236" w:type="dxa"/>
            <w:tcBorders>
              <w:top w:val="single" w:color="000000" w:sz="4" w:space="0"/>
              <w:left w:val="nil"/>
              <w:bottom w:val="single" w:color="000000" w:sz="4" w:space="0"/>
              <w:right w:val="nil"/>
              <w:tl2br w:val="nil"/>
              <w:tr2bl w:val="nil"/>
            </w:tcBorders>
            <w:shd w:val="clear" w:color="auto" w:fill="FFFFFF"/>
          </w:tcPr>
          <w:p w14:paraId="08F8742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Loss Rate, Execution Time</w:t>
            </w:r>
          </w:p>
        </w:tc>
        <w:tc>
          <w:tcPr>
            <w:tcW w:w="1440" w:type="dxa"/>
            <w:tcBorders>
              <w:top w:val="single" w:color="000000" w:sz="4" w:space="0"/>
              <w:left w:val="nil"/>
              <w:bottom w:val="single" w:color="000000" w:sz="4" w:space="0"/>
              <w:right w:val="nil"/>
              <w:tl2br w:val="nil"/>
              <w:tr2bl w:val="nil"/>
            </w:tcBorders>
            <w:shd w:val="clear" w:color="auto" w:fill="FFFFFF"/>
          </w:tcPr>
          <w:p w14:paraId="5C76D9C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99.96% accuracy, 0.21% loss rate, better performance than baseline models.</w:t>
            </w:r>
          </w:p>
        </w:tc>
        <w:tc>
          <w:tcPr>
            <w:tcW w:w="1680" w:type="dxa"/>
            <w:tcBorders>
              <w:top w:val="single" w:color="000000" w:sz="4" w:space="0"/>
              <w:left w:val="nil"/>
              <w:bottom w:val="single" w:color="000000" w:sz="4" w:space="0"/>
              <w:right w:val="nil"/>
              <w:tl2br w:val="nil"/>
              <w:tr2bl w:val="nil"/>
            </w:tcBorders>
            <w:shd w:val="clear" w:color="auto" w:fill="FFFFFF"/>
          </w:tcPr>
          <w:p w14:paraId="28B010F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Detecting financial fraud in highly skewed datasets with evolving patterns.</w:t>
            </w:r>
          </w:p>
        </w:tc>
      </w:tr>
      <w:tr w14:paraId="182DB52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EBEE4B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59CB85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Shuixiang Wang (2024)</w:t>
            </w:r>
          </w:p>
        </w:tc>
        <w:tc>
          <w:tcPr>
            <w:tcW w:w="1920" w:type="dxa"/>
            <w:tcBorders>
              <w:top w:val="single" w:color="000000" w:sz="4" w:space="0"/>
              <w:left w:val="nil"/>
              <w:bottom w:val="single" w:color="000000" w:sz="4" w:space="0"/>
              <w:right w:val="nil"/>
              <w:tl2br w:val="nil"/>
              <w:tr2bl w:val="nil"/>
            </w:tcBorders>
            <w:shd w:val="clear" w:color="auto" w:fill="FFFFFF"/>
          </w:tcPr>
          <w:p w14:paraId="4A8DC0E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BiLSTM with attention mechanism for feature extraction; IBPNN for non-linear predictions.</w:t>
            </w:r>
          </w:p>
        </w:tc>
        <w:tc>
          <w:tcPr>
            <w:tcW w:w="1236" w:type="dxa"/>
            <w:tcBorders>
              <w:top w:val="single" w:color="000000" w:sz="4" w:space="0"/>
              <w:left w:val="nil"/>
              <w:bottom w:val="single" w:color="000000" w:sz="4" w:space="0"/>
              <w:right w:val="nil"/>
              <w:tl2br w:val="nil"/>
              <w:tr2bl w:val="nil"/>
            </w:tcBorders>
            <w:shd w:val="clear" w:color="auto" w:fill="FFFFFF"/>
          </w:tcPr>
          <w:p w14:paraId="1228C67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Specificity, Sensitivity, Type I and II Errors</w:t>
            </w:r>
          </w:p>
        </w:tc>
        <w:tc>
          <w:tcPr>
            <w:tcW w:w="1440" w:type="dxa"/>
            <w:tcBorders>
              <w:top w:val="single" w:color="000000" w:sz="4" w:space="0"/>
              <w:left w:val="nil"/>
              <w:bottom w:val="single" w:color="000000" w:sz="4" w:space="0"/>
              <w:right w:val="nil"/>
              <w:tl2br w:val="nil"/>
              <w:tr2bl w:val="nil"/>
            </w:tcBorders>
            <w:shd w:val="clear" w:color="auto" w:fill="FFFFFF"/>
          </w:tcPr>
          <w:p w14:paraId="02027F7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accuracy, sensitivity, specificity; reduced computational time.</w:t>
            </w:r>
          </w:p>
        </w:tc>
        <w:tc>
          <w:tcPr>
            <w:tcW w:w="1680" w:type="dxa"/>
            <w:tcBorders>
              <w:top w:val="single" w:color="000000" w:sz="4" w:space="0"/>
              <w:left w:val="nil"/>
              <w:bottom w:val="single" w:color="000000" w:sz="4" w:space="0"/>
              <w:right w:val="nil"/>
              <w:tl2br w:val="nil"/>
              <w:tr2bl w:val="nil"/>
            </w:tcBorders>
            <w:shd w:val="clear" w:color="auto" w:fill="FFFFFF"/>
          </w:tcPr>
          <w:p w14:paraId="35E0A82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Inefficiencies in anomaly detection for large-scale financial auditing datasets.</w:t>
            </w:r>
          </w:p>
        </w:tc>
      </w:tr>
      <w:tr w14:paraId="23F3E589">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FA1D11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1853D32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Yunlong Li et al. (2024)</w:t>
            </w:r>
          </w:p>
        </w:tc>
        <w:tc>
          <w:tcPr>
            <w:tcW w:w="1920" w:type="dxa"/>
            <w:tcBorders>
              <w:top w:val="single" w:color="000000" w:sz="4" w:space="0"/>
              <w:left w:val="nil"/>
              <w:bottom w:val="single" w:color="000000" w:sz="4" w:space="0"/>
              <w:right w:val="nil"/>
              <w:tl2br w:val="nil"/>
              <w:tr2bl w:val="nil"/>
            </w:tcBorders>
            <w:shd w:val="clear" w:color="auto" w:fill="FFFFFF"/>
          </w:tcPr>
          <w:p w14:paraId="25F42B5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Feature-attended LSTM for correlation analysis; Federated Learning for privacy-preserving training.</w:t>
            </w:r>
          </w:p>
        </w:tc>
        <w:tc>
          <w:tcPr>
            <w:tcW w:w="1236" w:type="dxa"/>
            <w:tcBorders>
              <w:top w:val="single" w:color="000000" w:sz="4" w:space="0"/>
              <w:left w:val="nil"/>
              <w:bottom w:val="single" w:color="000000" w:sz="4" w:space="0"/>
              <w:right w:val="nil"/>
              <w:tl2br w:val="nil"/>
              <w:tr2bl w:val="nil"/>
            </w:tcBorders>
            <w:shd w:val="clear" w:color="auto" w:fill="FFFFFF"/>
          </w:tcPr>
          <w:p w14:paraId="528C549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AUC, True Positive Rate</w:t>
            </w:r>
          </w:p>
        </w:tc>
        <w:tc>
          <w:tcPr>
            <w:tcW w:w="1440" w:type="dxa"/>
            <w:tcBorders>
              <w:top w:val="single" w:color="000000" w:sz="4" w:space="0"/>
              <w:left w:val="nil"/>
              <w:bottom w:val="single" w:color="000000" w:sz="4" w:space="0"/>
              <w:right w:val="nil"/>
              <w:tl2br w:val="nil"/>
              <w:tr2bl w:val="nil"/>
            </w:tcBorders>
            <w:shd w:val="clear" w:color="auto" w:fill="FFFFFF"/>
          </w:tcPr>
          <w:p w14:paraId="039CF54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334.36% accuracy improvement; AUC improved by 24.92%; significant gains in anomaly detection efficiency.</w:t>
            </w:r>
          </w:p>
        </w:tc>
        <w:tc>
          <w:tcPr>
            <w:tcW w:w="1680" w:type="dxa"/>
            <w:tcBorders>
              <w:top w:val="single" w:color="000000" w:sz="4" w:space="0"/>
              <w:left w:val="nil"/>
              <w:bottom w:val="single" w:color="000000" w:sz="4" w:space="0"/>
              <w:right w:val="nil"/>
              <w:tl2br w:val="nil"/>
              <w:tr2bl w:val="nil"/>
            </w:tcBorders>
            <w:shd w:val="clear" w:color="auto" w:fill="FFFFFF"/>
          </w:tcPr>
          <w:p w14:paraId="4EA2DE7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Low accuracy and privacy concerns in anomaly detection for FIoT.</w:t>
            </w:r>
          </w:p>
        </w:tc>
      </w:tr>
      <w:tr w14:paraId="09D43B23">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052D33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FAEF31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Jay Raval et al. (2023)</w:t>
            </w:r>
          </w:p>
        </w:tc>
        <w:tc>
          <w:tcPr>
            <w:tcW w:w="1920" w:type="dxa"/>
            <w:tcBorders>
              <w:top w:val="single" w:color="000000" w:sz="4" w:space="0"/>
              <w:left w:val="nil"/>
              <w:bottom w:val="single" w:color="000000" w:sz="4" w:space="0"/>
              <w:right w:val="nil"/>
              <w:tl2br w:val="nil"/>
              <w:tr2bl w:val="nil"/>
            </w:tcBorders>
            <w:shd w:val="clear" w:color="auto" w:fill="FFFFFF"/>
          </w:tcPr>
          <w:p w14:paraId="14CC7EC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XAI for feature selection; Blockchain for secure storage; LSTM for sequential pattern detection.</w:t>
            </w:r>
          </w:p>
        </w:tc>
        <w:tc>
          <w:tcPr>
            <w:tcW w:w="1236" w:type="dxa"/>
            <w:tcBorders>
              <w:top w:val="single" w:color="000000" w:sz="4" w:space="0"/>
              <w:left w:val="nil"/>
              <w:bottom w:val="single" w:color="000000" w:sz="4" w:space="0"/>
              <w:right w:val="nil"/>
              <w:tl2br w:val="nil"/>
              <w:tr2bl w:val="nil"/>
            </w:tcBorders>
            <w:shd w:val="clear" w:color="auto" w:fill="FFFFFF"/>
          </w:tcPr>
          <w:p w14:paraId="681CDA8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Loss Rate, Gas Cost, Precision, Recall, AUC</w:t>
            </w:r>
          </w:p>
        </w:tc>
        <w:tc>
          <w:tcPr>
            <w:tcW w:w="1440" w:type="dxa"/>
            <w:tcBorders>
              <w:top w:val="single" w:color="000000" w:sz="4" w:space="0"/>
              <w:left w:val="nil"/>
              <w:bottom w:val="single" w:color="000000" w:sz="4" w:space="0"/>
              <w:right w:val="nil"/>
              <w:tl2br w:val="nil"/>
              <w:tr2bl w:val="nil"/>
            </w:tcBorders>
            <w:shd w:val="clear" w:color="auto" w:fill="FFFFFF"/>
          </w:tcPr>
          <w:p w14:paraId="3EE7498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99.8% accuracy; enhanced interpretability and secure, transparent classification results via blockchain integration.</w:t>
            </w:r>
          </w:p>
        </w:tc>
        <w:tc>
          <w:tcPr>
            <w:tcW w:w="1680" w:type="dxa"/>
            <w:tcBorders>
              <w:top w:val="single" w:color="000000" w:sz="4" w:space="0"/>
              <w:left w:val="nil"/>
              <w:bottom w:val="single" w:color="000000" w:sz="4" w:space="0"/>
              <w:right w:val="nil"/>
              <w:tl2br w:val="nil"/>
              <w:tr2bl w:val="nil"/>
            </w:tcBorders>
            <w:shd w:val="clear" w:color="auto" w:fill="FFFFFF"/>
          </w:tcPr>
          <w:p w14:paraId="26CA14B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Complexity and lack of interpretability in credit card fraud detection methods.</w:t>
            </w:r>
          </w:p>
        </w:tc>
      </w:tr>
      <w:tr w14:paraId="56C4718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92BC66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p>
        </w:tc>
        <w:tc>
          <w:tcPr>
            <w:tcW w:w="1224" w:type="dxa"/>
            <w:tcBorders>
              <w:top w:val="single" w:color="000000" w:sz="4" w:space="0"/>
              <w:left w:val="nil"/>
              <w:bottom w:val="single" w:color="000000" w:sz="4" w:space="0"/>
              <w:right w:val="nil"/>
              <w:tl2br w:val="nil"/>
              <w:tr2bl w:val="nil"/>
            </w:tcBorders>
            <w:shd w:val="clear" w:color="auto" w:fill="FFFFFF"/>
          </w:tcPr>
          <w:p w14:paraId="73F5ADB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Zhan Wang et al. (2023)</w:t>
            </w:r>
          </w:p>
        </w:tc>
        <w:tc>
          <w:tcPr>
            <w:tcW w:w="1920" w:type="dxa"/>
            <w:tcBorders>
              <w:top w:val="single" w:color="000000" w:sz="4" w:space="0"/>
              <w:left w:val="nil"/>
              <w:bottom w:val="single" w:color="000000" w:sz="4" w:space="0"/>
              <w:right w:val="nil"/>
              <w:tl2br w:val="nil"/>
              <w:tr2bl w:val="nil"/>
            </w:tcBorders>
            <w:shd w:val="clear" w:color="auto" w:fill="FFFFFF"/>
          </w:tcPr>
          <w:p w14:paraId="51BB26D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LSTM enhanced with dropout, bidirectional layers, and attention; NLP for preprocessing and labelling.</w:t>
            </w:r>
          </w:p>
        </w:tc>
        <w:tc>
          <w:tcPr>
            <w:tcW w:w="1236" w:type="dxa"/>
            <w:tcBorders>
              <w:top w:val="single" w:color="000000" w:sz="4" w:space="0"/>
              <w:left w:val="nil"/>
              <w:bottom w:val="single" w:color="000000" w:sz="4" w:space="0"/>
              <w:right w:val="nil"/>
              <w:tl2br w:val="nil"/>
              <w:tr2bl w:val="nil"/>
            </w:tcBorders>
            <w:shd w:val="clear" w:color="auto" w:fill="FFFFFF"/>
          </w:tcPr>
          <w:p w14:paraId="5F66921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F1-Score, Validation Loss</w:t>
            </w:r>
          </w:p>
        </w:tc>
        <w:tc>
          <w:tcPr>
            <w:tcW w:w="1440" w:type="dxa"/>
            <w:tcBorders>
              <w:top w:val="single" w:color="000000" w:sz="4" w:space="0"/>
              <w:left w:val="nil"/>
              <w:bottom w:val="single" w:color="000000" w:sz="4" w:space="0"/>
              <w:right w:val="nil"/>
              <w:tl2br w:val="nil"/>
              <w:tr2bl w:val="nil"/>
            </w:tcBorders>
            <w:shd w:val="clear" w:color="auto" w:fill="FFFFFF"/>
          </w:tcPr>
          <w:p w14:paraId="65C4C52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Validation F1-score of 92.19%, validation loss of 0.3433; robust and efficient classification of payment system errors.</w:t>
            </w:r>
          </w:p>
        </w:tc>
        <w:tc>
          <w:tcPr>
            <w:tcW w:w="1680" w:type="dxa"/>
            <w:tcBorders>
              <w:top w:val="single" w:color="000000" w:sz="4" w:space="0"/>
              <w:left w:val="nil"/>
              <w:bottom w:val="single" w:color="000000" w:sz="4" w:space="0"/>
              <w:right w:val="nil"/>
              <w:tl2br w:val="nil"/>
              <w:tr2bl w:val="nil"/>
            </w:tcBorders>
            <w:shd w:val="clear" w:color="auto" w:fill="FFFFFF"/>
          </w:tcPr>
          <w:p w14:paraId="7695C66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Inconsistent formats of payment failure messages and lack of automated error classification methods in financial systems.</w:t>
            </w:r>
          </w:p>
        </w:tc>
      </w:tr>
      <w:tr w14:paraId="338EFD0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A8AF93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RF, Naïve Bayes, DT</w:t>
            </w:r>
          </w:p>
        </w:tc>
        <w:tc>
          <w:tcPr>
            <w:tcW w:w="1224" w:type="dxa"/>
            <w:tcBorders>
              <w:top w:val="single" w:color="000000" w:sz="4" w:space="0"/>
              <w:left w:val="nil"/>
              <w:bottom w:val="single" w:color="000000" w:sz="4" w:space="0"/>
              <w:right w:val="nil"/>
              <w:tl2br w:val="nil"/>
              <w:tr2bl w:val="nil"/>
            </w:tcBorders>
            <w:shd w:val="clear" w:color="auto" w:fill="FFFFFF"/>
          </w:tcPr>
          <w:p w14:paraId="44166CF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Fatima Dakalbab et al. (2022)</w:t>
            </w:r>
          </w:p>
        </w:tc>
        <w:tc>
          <w:tcPr>
            <w:tcW w:w="1920" w:type="dxa"/>
            <w:tcBorders>
              <w:top w:val="single" w:color="000000" w:sz="4" w:space="0"/>
              <w:left w:val="nil"/>
              <w:bottom w:val="single" w:color="000000" w:sz="4" w:space="0"/>
              <w:right w:val="nil"/>
              <w:tl2br w:val="nil"/>
              <w:tr2bl w:val="nil"/>
            </w:tcBorders>
            <w:shd w:val="clear" w:color="auto" w:fill="FFFFFF"/>
          </w:tcPr>
          <w:p w14:paraId="4EF357B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Reviewed 120 studies, focusing on supervised, unsupervised, and hybrid ML techniques for diverse crime prediction tasks.</w:t>
            </w:r>
          </w:p>
        </w:tc>
        <w:tc>
          <w:tcPr>
            <w:tcW w:w="1236" w:type="dxa"/>
            <w:tcBorders>
              <w:top w:val="single" w:color="000000" w:sz="4" w:space="0"/>
              <w:left w:val="nil"/>
              <w:bottom w:val="single" w:color="000000" w:sz="4" w:space="0"/>
              <w:right w:val="nil"/>
              <w:tl2br w:val="nil"/>
              <w:tr2bl w:val="nil"/>
            </w:tcBorders>
            <w:shd w:val="clear" w:color="auto" w:fill="FFFFFF"/>
          </w:tcPr>
          <w:p w14:paraId="7045AC2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Mean Error, Accuracy, Recall</w:t>
            </w:r>
          </w:p>
        </w:tc>
        <w:tc>
          <w:tcPr>
            <w:tcW w:w="1440" w:type="dxa"/>
            <w:tcBorders>
              <w:top w:val="single" w:color="000000" w:sz="4" w:space="0"/>
              <w:left w:val="nil"/>
              <w:bottom w:val="single" w:color="000000" w:sz="4" w:space="0"/>
              <w:right w:val="nil"/>
              <w:tl2br w:val="nil"/>
              <w:tr2bl w:val="nil"/>
            </w:tcBorders>
            <w:shd w:val="clear" w:color="auto" w:fill="FFFFFF"/>
          </w:tcPr>
          <w:p w14:paraId="6EE5016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Effective in identifying crime hotspots with robust predictions; highlighted gaps in datasets and scalability.</w:t>
            </w:r>
          </w:p>
        </w:tc>
        <w:tc>
          <w:tcPr>
            <w:tcW w:w="1680" w:type="dxa"/>
            <w:tcBorders>
              <w:top w:val="single" w:color="000000" w:sz="4" w:space="0"/>
              <w:left w:val="nil"/>
              <w:bottom w:val="single" w:color="000000" w:sz="4" w:space="0"/>
              <w:right w:val="nil"/>
              <w:tl2br w:val="nil"/>
              <w:tr2bl w:val="nil"/>
            </w:tcBorders>
            <w:shd w:val="clear" w:color="auto" w:fill="FFFFFF"/>
          </w:tcPr>
          <w:p w14:paraId="75C7633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Challenges in applying AI for crime prediction, including dataset limitations and lack of interpretability.</w:t>
            </w:r>
          </w:p>
        </w:tc>
      </w:tr>
      <w:tr w14:paraId="27F2B88A">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807958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LSTM, CNN, RNN</w:t>
            </w:r>
          </w:p>
        </w:tc>
        <w:tc>
          <w:tcPr>
            <w:tcW w:w="1224" w:type="dxa"/>
            <w:tcBorders>
              <w:top w:val="single" w:color="000000" w:sz="4" w:space="0"/>
              <w:left w:val="nil"/>
              <w:bottom w:val="single" w:color="000000" w:sz="4" w:space="0"/>
              <w:right w:val="nil"/>
              <w:tl2br w:val="nil"/>
              <w:tr2bl w:val="nil"/>
            </w:tcBorders>
            <w:shd w:val="clear" w:color="auto" w:fill="FFFFFF"/>
          </w:tcPr>
          <w:p w14:paraId="4837093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Tosin Ige et al. (2024)</w:t>
            </w:r>
          </w:p>
        </w:tc>
        <w:tc>
          <w:tcPr>
            <w:tcW w:w="1920" w:type="dxa"/>
            <w:tcBorders>
              <w:top w:val="single" w:color="000000" w:sz="4" w:space="0"/>
              <w:left w:val="nil"/>
              <w:bottom w:val="single" w:color="000000" w:sz="4" w:space="0"/>
              <w:right w:val="nil"/>
              <w:tl2br w:val="nil"/>
              <w:tr2bl w:val="nil"/>
            </w:tcBorders>
            <w:shd w:val="clear" w:color="auto" w:fill="FFFFFF"/>
          </w:tcPr>
          <w:p w14:paraId="126F478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Survey of algorithms for detecting cyberattacks, highlighting strengths of deep learning models like RNN and LSTM.</w:t>
            </w:r>
          </w:p>
        </w:tc>
        <w:tc>
          <w:tcPr>
            <w:tcW w:w="1236" w:type="dxa"/>
            <w:tcBorders>
              <w:top w:val="single" w:color="000000" w:sz="4" w:space="0"/>
              <w:left w:val="nil"/>
              <w:bottom w:val="single" w:color="000000" w:sz="4" w:space="0"/>
              <w:right w:val="nil"/>
              <w:tl2br w:val="nil"/>
              <w:tr2bl w:val="nil"/>
            </w:tcBorders>
            <w:shd w:val="clear" w:color="auto" w:fill="FFFFFF"/>
          </w:tcPr>
          <w:p w14:paraId="560A095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w:t>
            </w:r>
          </w:p>
        </w:tc>
        <w:tc>
          <w:tcPr>
            <w:tcW w:w="1440" w:type="dxa"/>
            <w:tcBorders>
              <w:top w:val="single" w:color="000000" w:sz="4" w:space="0"/>
              <w:left w:val="nil"/>
              <w:bottom w:val="single" w:color="000000" w:sz="4" w:space="0"/>
              <w:right w:val="nil"/>
              <w:tl2br w:val="nil"/>
              <w:tr2bl w:val="nil"/>
            </w:tcBorders>
            <w:shd w:val="clear" w:color="auto" w:fill="FFFFFF"/>
          </w:tcPr>
          <w:p w14:paraId="5C88EB7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Demonstrated Random Forest and XGBoost as high-performing models; CNN and RNN excel in detecting context-sensitive attacks.</w:t>
            </w:r>
          </w:p>
        </w:tc>
        <w:tc>
          <w:tcPr>
            <w:tcW w:w="1680" w:type="dxa"/>
            <w:tcBorders>
              <w:top w:val="single" w:color="000000" w:sz="4" w:space="0"/>
              <w:left w:val="nil"/>
              <w:bottom w:val="single" w:color="000000" w:sz="4" w:space="0"/>
              <w:right w:val="nil"/>
              <w:tl2br w:val="nil"/>
              <w:tr2bl w:val="nil"/>
            </w:tcBorders>
            <w:shd w:val="clear" w:color="auto" w:fill="FFFFFF"/>
          </w:tcPr>
          <w:p w14:paraId="59F7239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Ineffectiveness of traditional ML in advanced cyberattack detection (e.g., SQLi, phishing).</w:t>
            </w:r>
          </w:p>
        </w:tc>
      </w:tr>
      <w:tr w14:paraId="06D0CD2E">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755125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K-Means, Bayesian Network</w:t>
            </w:r>
          </w:p>
        </w:tc>
        <w:tc>
          <w:tcPr>
            <w:tcW w:w="1224" w:type="dxa"/>
            <w:tcBorders>
              <w:top w:val="single" w:color="000000" w:sz="4" w:space="0"/>
              <w:left w:val="nil"/>
              <w:bottom w:val="single" w:color="000000" w:sz="4" w:space="0"/>
              <w:right w:val="nil"/>
              <w:tl2br w:val="nil"/>
              <w:tr2bl w:val="nil"/>
            </w:tcBorders>
            <w:shd w:val="clear" w:color="auto" w:fill="FFFFFF"/>
          </w:tcPr>
          <w:p w14:paraId="04A5B65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O’rinov Nodirbek et al. (2022)</w:t>
            </w:r>
          </w:p>
        </w:tc>
        <w:tc>
          <w:tcPr>
            <w:tcW w:w="1920" w:type="dxa"/>
            <w:tcBorders>
              <w:top w:val="single" w:color="000000" w:sz="4" w:space="0"/>
              <w:left w:val="nil"/>
              <w:bottom w:val="single" w:color="000000" w:sz="4" w:space="0"/>
              <w:right w:val="nil"/>
              <w:tl2br w:val="nil"/>
              <w:tr2bl w:val="nil"/>
            </w:tcBorders>
            <w:shd w:val="clear" w:color="auto" w:fill="FFFFFF"/>
          </w:tcPr>
          <w:p w14:paraId="48AC70E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Comparative analysis of HMM, Bayesian Networks, and KNN for fraud detection across transaction domains.</w:t>
            </w:r>
          </w:p>
        </w:tc>
        <w:tc>
          <w:tcPr>
            <w:tcW w:w="1236" w:type="dxa"/>
            <w:tcBorders>
              <w:top w:val="single" w:color="000000" w:sz="4" w:space="0"/>
              <w:left w:val="nil"/>
              <w:bottom w:val="single" w:color="000000" w:sz="4" w:space="0"/>
              <w:right w:val="nil"/>
              <w:tl2br w:val="nil"/>
              <w:tr2bl w:val="nil"/>
            </w:tcBorders>
            <w:shd w:val="clear" w:color="auto" w:fill="FFFFFF"/>
          </w:tcPr>
          <w:p w14:paraId="34A0208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False Alarm Rate</w:t>
            </w:r>
          </w:p>
        </w:tc>
        <w:tc>
          <w:tcPr>
            <w:tcW w:w="1440" w:type="dxa"/>
            <w:tcBorders>
              <w:top w:val="single" w:color="000000" w:sz="4" w:space="0"/>
              <w:left w:val="nil"/>
              <w:bottom w:val="single" w:color="000000" w:sz="4" w:space="0"/>
              <w:right w:val="nil"/>
              <w:tl2br w:val="nil"/>
              <w:tr2bl w:val="nil"/>
            </w:tcBorders>
            <w:shd w:val="clear" w:color="auto" w:fill="FFFFFF"/>
          </w:tcPr>
          <w:p w14:paraId="57F6BDE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Bayesian Networks and HMM outperformed in accuracy and anomaly identification.</w:t>
            </w:r>
          </w:p>
        </w:tc>
        <w:tc>
          <w:tcPr>
            <w:tcW w:w="1680" w:type="dxa"/>
            <w:tcBorders>
              <w:top w:val="single" w:color="000000" w:sz="4" w:space="0"/>
              <w:left w:val="nil"/>
              <w:bottom w:val="single" w:color="000000" w:sz="4" w:space="0"/>
              <w:right w:val="nil"/>
              <w:tl2br w:val="nil"/>
              <w:tr2bl w:val="nil"/>
            </w:tcBorders>
            <w:shd w:val="clear" w:color="auto" w:fill="FFFFFF"/>
          </w:tcPr>
          <w:p w14:paraId="14B0D95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Increased fraud cases in e-commerce; difficulties in combining offline and online fraud detection.</w:t>
            </w:r>
          </w:p>
        </w:tc>
      </w:tr>
      <w:tr w14:paraId="562CD2B3">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6CECAF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Isolation Forest, LOF</w:t>
            </w:r>
          </w:p>
        </w:tc>
        <w:tc>
          <w:tcPr>
            <w:tcW w:w="1224" w:type="dxa"/>
            <w:tcBorders>
              <w:top w:val="single" w:color="000000" w:sz="4" w:space="0"/>
              <w:left w:val="nil"/>
              <w:bottom w:val="single" w:color="000000" w:sz="4" w:space="0"/>
              <w:right w:val="nil"/>
              <w:tl2br w:val="nil"/>
              <w:tr2bl w:val="nil"/>
            </w:tcBorders>
            <w:shd w:val="clear" w:color="auto" w:fill="FFFFFF"/>
          </w:tcPr>
          <w:p w14:paraId="1304F6B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Juliet Onyema et al. (2023)</w:t>
            </w:r>
          </w:p>
        </w:tc>
        <w:tc>
          <w:tcPr>
            <w:tcW w:w="1920" w:type="dxa"/>
            <w:tcBorders>
              <w:top w:val="single" w:color="000000" w:sz="4" w:space="0"/>
              <w:left w:val="nil"/>
              <w:bottom w:val="single" w:color="000000" w:sz="4" w:space="0"/>
              <w:right w:val="nil"/>
              <w:tl2br w:val="nil"/>
              <w:tr2bl w:val="nil"/>
            </w:tcBorders>
            <w:shd w:val="clear" w:color="auto" w:fill="FFFFFF"/>
          </w:tcPr>
          <w:p w14:paraId="3E9CD46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system using Isolation Forest and LOF; integrated OTP validation.</w:t>
            </w:r>
          </w:p>
        </w:tc>
        <w:tc>
          <w:tcPr>
            <w:tcW w:w="1236" w:type="dxa"/>
            <w:tcBorders>
              <w:top w:val="single" w:color="000000" w:sz="4" w:space="0"/>
              <w:left w:val="nil"/>
              <w:bottom w:val="single" w:color="000000" w:sz="4" w:space="0"/>
              <w:right w:val="nil"/>
              <w:tl2br w:val="nil"/>
              <w:tr2bl w:val="nil"/>
            </w:tcBorders>
            <w:shd w:val="clear" w:color="auto" w:fill="FFFFFF"/>
          </w:tcPr>
          <w:p w14:paraId="2099CC0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w:t>
            </w:r>
          </w:p>
        </w:tc>
        <w:tc>
          <w:tcPr>
            <w:tcW w:w="1440" w:type="dxa"/>
            <w:tcBorders>
              <w:top w:val="single" w:color="000000" w:sz="4" w:space="0"/>
              <w:left w:val="nil"/>
              <w:bottom w:val="single" w:color="000000" w:sz="4" w:space="0"/>
              <w:right w:val="nil"/>
              <w:tl2br w:val="nil"/>
              <w:tr2bl w:val="nil"/>
            </w:tcBorders>
            <w:shd w:val="clear" w:color="auto" w:fill="FFFFFF"/>
          </w:tcPr>
          <w:p w14:paraId="31C219C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high fraud detection accuracy (90-100%) by validating users and analyzing spending patterns.</w:t>
            </w:r>
          </w:p>
        </w:tc>
        <w:tc>
          <w:tcPr>
            <w:tcW w:w="1680" w:type="dxa"/>
            <w:tcBorders>
              <w:top w:val="single" w:color="000000" w:sz="4" w:space="0"/>
              <w:left w:val="nil"/>
              <w:bottom w:val="single" w:color="000000" w:sz="4" w:space="0"/>
              <w:right w:val="nil"/>
              <w:tl2br w:val="nil"/>
              <w:tr2bl w:val="nil"/>
            </w:tcBorders>
            <w:shd w:val="clear" w:color="auto" w:fill="FFFFFF"/>
          </w:tcPr>
          <w:p w14:paraId="5A49C1E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Real-time credit card fraud detection amid rising online transactions.</w:t>
            </w:r>
          </w:p>
        </w:tc>
      </w:tr>
      <w:tr w14:paraId="507F03A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A56465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LSTM, GRU, CNN</w:t>
            </w:r>
          </w:p>
        </w:tc>
        <w:tc>
          <w:tcPr>
            <w:tcW w:w="1224" w:type="dxa"/>
            <w:tcBorders>
              <w:top w:val="single" w:color="000000" w:sz="4" w:space="0"/>
              <w:left w:val="nil"/>
              <w:bottom w:val="single" w:color="000000" w:sz="4" w:space="0"/>
              <w:right w:val="nil"/>
              <w:tl2br w:val="nil"/>
              <w:tr2bl w:val="nil"/>
            </w:tcBorders>
            <w:shd w:val="clear" w:color="auto" w:fill="FFFFFF"/>
          </w:tcPr>
          <w:p w14:paraId="435EF3E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Ibomoiye Domor Mienye et al. (2024)</w:t>
            </w:r>
          </w:p>
        </w:tc>
        <w:tc>
          <w:tcPr>
            <w:tcW w:w="1920" w:type="dxa"/>
            <w:tcBorders>
              <w:top w:val="single" w:color="000000" w:sz="4" w:space="0"/>
              <w:left w:val="nil"/>
              <w:bottom w:val="single" w:color="000000" w:sz="4" w:space="0"/>
              <w:right w:val="nil"/>
              <w:tl2br w:val="nil"/>
              <w:tr2bl w:val="nil"/>
            </w:tcBorders>
            <w:shd w:val="clear" w:color="auto" w:fill="FFFFFF"/>
          </w:tcPr>
          <w:p w14:paraId="3E1336E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Reviewed deep learning architectures, emphasizing LSTM and hybrid models for fraud detection.</w:t>
            </w:r>
          </w:p>
        </w:tc>
        <w:tc>
          <w:tcPr>
            <w:tcW w:w="1236" w:type="dxa"/>
            <w:tcBorders>
              <w:top w:val="single" w:color="000000" w:sz="4" w:space="0"/>
              <w:left w:val="nil"/>
              <w:bottom w:val="single" w:color="000000" w:sz="4" w:space="0"/>
              <w:right w:val="nil"/>
              <w:tl2br w:val="nil"/>
              <w:tr2bl w:val="nil"/>
            </w:tcBorders>
            <w:shd w:val="clear" w:color="auto" w:fill="FFFFFF"/>
          </w:tcPr>
          <w:p w14:paraId="4C4057D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ROC-AUC, Precision, Recall</w:t>
            </w:r>
          </w:p>
        </w:tc>
        <w:tc>
          <w:tcPr>
            <w:tcW w:w="1440" w:type="dxa"/>
            <w:tcBorders>
              <w:top w:val="single" w:color="000000" w:sz="4" w:space="0"/>
              <w:left w:val="nil"/>
              <w:bottom w:val="single" w:color="000000" w:sz="4" w:space="0"/>
              <w:right w:val="nil"/>
              <w:tl2br w:val="nil"/>
              <w:tr2bl w:val="nil"/>
            </w:tcBorders>
            <w:shd w:val="clear" w:color="auto" w:fill="FFFFFF"/>
          </w:tcPr>
          <w:p w14:paraId="21E15E7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LSTM, GRU, and Transformers outperformed in handling sequential and feature-based fraud data.</w:t>
            </w:r>
          </w:p>
        </w:tc>
        <w:tc>
          <w:tcPr>
            <w:tcW w:w="1680" w:type="dxa"/>
            <w:tcBorders>
              <w:top w:val="single" w:color="000000" w:sz="4" w:space="0"/>
              <w:left w:val="nil"/>
              <w:bottom w:val="single" w:color="000000" w:sz="4" w:space="0"/>
              <w:right w:val="nil"/>
              <w:tl2br w:val="nil"/>
              <w:tr2bl w:val="nil"/>
            </w:tcBorders>
            <w:shd w:val="clear" w:color="auto" w:fill="FFFFFF"/>
          </w:tcPr>
          <w:p w14:paraId="1753C21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Class imbalance in financial datasets and lack of labeled data.</w:t>
            </w:r>
          </w:p>
        </w:tc>
      </w:tr>
      <w:tr w14:paraId="02C2755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40ECCD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DeepWalk, XGBoost</w:t>
            </w:r>
          </w:p>
        </w:tc>
        <w:tc>
          <w:tcPr>
            <w:tcW w:w="1224" w:type="dxa"/>
            <w:tcBorders>
              <w:top w:val="single" w:color="000000" w:sz="4" w:space="0"/>
              <w:left w:val="nil"/>
              <w:bottom w:val="single" w:color="000000" w:sz="4" w:space="0"/>
              <w:right w:val="nil"/>
              <w:tl2br w:val="nil"/>
              <w:tr2bl w:val="nil"/>
            </w:tcBorders>
            <w:shd w:val="clear" w:color="auto" w:fill="FFFFFF"/>
          </w:tcPr>
          <w:p w14:paraId="3024620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Anonymous (2022)</w:t>
            </w:r>
          </w:p>
        </w:tc>
        <w:tc>
          <w:tcPr>
            <w:tcW w:w="1920" w:type="dxa"/>
            <w:tcBorders>
              <w:top w:val="single" w:color="000000" w:sz="4" w:space="0"/>
              <w:left w:val="nil"/>
              <w:bottom w:val="single" w:color="000000" w:sz="4" w:space="0"/>
              <w:right w:val="nil"/>
              <w:tl2br w:val="nil"/>
              <w:tr2bl w:val="nil"/>
            </w:tcBorders>
            <w:shd w:val="clear" w:color="auto" w:fill="FFFFFF"/>
          </w:tcPr>
          <w:p w14:paraId="00C418B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CATCHM: a network representation learning method with downstream classifiers like XGBoost.</w:t>
            </w:r>
          </w:p>
        </w:tc>
        <w:tc>
          <w:tcPr>
            <w:tcW w:w="1236" w:type="dxa"/>
            <w:tcBorders>
              <w:top w:val="single" w:color="000000" w:sz="4" w:space="0"/>
              <w:left w:val="nil"/>
              <w:bottom w:val="single" w:color="000000" w:sz="4" w:space="0"/>
              <w:right w:val="nil"/>
              <w:tl2br w:val="nil"/>
              <w:tr2bl w:val="nil"/>
            </w:tcBorders>
            <w:shd w:val="clear" w:color="auto" w:fill="FFFFFF"/>
          </w:tcPr>
          <w:p w14:paraId="6DAF472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AUCPR, F1-Score</w:t>
            </w:r>
          </w:p>
        </w:tc>
        <w:tc>
          <w:tcPr>
            <w:tcW w:w="1440" w:type="dxa"/>
            <w:tcBorders>
              <w:top w:val="single" w:color="000000" w:sz="4" w:space="0"/>
              <w:left w:val="nil"/>
              <w:bottom w:val="single" w:color="000000" w:sz="4" w:space="0"/>
              <w:right w:val="nil"/>
              <w:tl2br w:val="nil"/>
              <w:tr2bl w:val="nil"/>
            </w:tcBorders>
            <w:shd w:val="clear" w:color="auto" w:fill="FFFFFF"/>
          </w:tcPr>
          <w:p w14:paraId="4C6BF30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Outperformed benchmarks with superior AUCPR and real-time detection capabilities.</w:t>
            </w:r>
          </w:p>
        </w:tc>
        <w:tc>
          <w:tcPr>
            <w:tcW w:w="1680" w:type="dxa"/>
            <w:tcBorders>
              <w:top w:val="single" w:color="000000" w:sz="4" w:space="0"/>
              <w:left w:val="nil"/>
              <w:bottom w:val="single" w:color="000000" w:sz="4" w:space="0"/>
              <w:right w:val="nil"/>
              <w:tl2br w:val="nil"/>
              <w:tr2bl w:val="nil"/>
            </w:tcBorders>
            <w:shd w:val="clear" w:color="auto" w:fill="FFFFFF"/>
          </w:tcPr>
          <w:p w14:paraId="23BFBAA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Fraud detection in large transaction datasets with class imbalance.</w:t>
            </w:r>
          </w:p>
        </w:tc>
      </w:tr>
      <w:tr w14:paraId="7E324A1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1A292B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Random Forest, Neural Networks</w:t>
            </w:r>
          </w:p>
        </w:tc>
        <w:tc>
          <w:tcPr>
            <w:tcW w:w="1224" w:type="dxa"/>
            <w:tcBorders>
              <w:top w:val="single" w:color="000000" w:sz="4" w:space="0"/>
              <w:left w:val="nil"/>
              <w:bottom w:val="single" w:color="000000" w:sz="4" w:space="0"/>
              <w:right w:val="nil"/>
              <w:tl2br w:val="nil"/>
              <w:tr2bl w:val="nil"/>
            </w:tcBorders>
            <w:shd w:val="clear" w:color="auto" w:fill="FFFFFF"/>
          </w:tcPr>
          <w:p w14:paraId="3D2189D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Musibau Ibrahim et al. (2023)</w:t>
            </w:r>
          </w:p>
        </w:tc>
        <w:tc>
          <w:tcPr>
            <w:tcW w:w="1920" w:type="dxa"/>
            <w:tcBorders>
              <w:top w:val="single" w:color="000000" w:sz="4" w:space="0"/>
              <w:left w:val="nil"/>
              <w:bottom w:val="single" w:color="000000" w:sz="4" w:space="0"/>
              <w:right w:val="nil"/>
              <w:tl2br w:val="nil"/>
              <w:tr2bl w:val="nil"/>
            </w:tcBorders>
            <w:shd w:val="clear" w:color="auto" w:fill="FFFFFF"/>
          </w:tcPr>
          <w:p w14:paraId="382F0D8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Applied SMOTE and ensemble models like Random Forest to enhance fraud detection accuracy.</w:t>
            </w:r>
          </w:p>
        </w:tc>
        <w:tc>
          <w:tcPr>
            <w:tcW w:w="1236" w:type="dxa"/>
            <w:tcBorders>
              <w:top w:val="single" w:color="000000" w:sz="4" w:space="0"/>
              <w:left w:val="nil"/>
              <w:bottom w:val="single" w:color="000000" w:sz="4" w:space="0"/>
              <w:right w:val="nil"/>
              <w:tl2br w:val="nil"/>
              <w:tr2bl w:val="nil"/>
            </w:tcBorders>
            <w:shd w:val="clear" w:color="auto" w:fill="FFFFFF"/>
          </w:tcPr>
          <w:p w14:paraId="4DDB00F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Accuracy</w:t>
            </w:r>
          </w:p>
        </w:tc>
        <w:tc>
          <w:tcPr>
            <w:tcW w:w="1440" w:type="dxa"/>
            <w:tcBorders>
              <w:top w:val="single" w:color="000000" w:sz="4" w:space="0"/>
              <w:left w:val="nil"/>
              <w:bottom w:val="single" w:color="000000" w:sz="4" w:space="0"/>
              <w:right w:val="nil"/>
              <w:tl2br w:val="nil"/>
              <w:tr2bl w:val="nil"/>
            </w:tcBorders>
            <w:shd w:val="clear" w:color="auto" w:fill="FFFFFF"/>
          </w:tcPr>
          <w:p w14:paraId="5421B78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Random Forest achieved 99.58% accuracy; improved fraud detection efficiency through preprocessing.</w:t>
            </w:r>
          </w:p>
        </w:tc>
        <w:tc>
          <w:tcPr>
            <w:tcW w:w="1680" w:type="dxa"/>
            <w:tcBorders>
              <w:top w:val="single" w:color="000000" w:sz="4" w:space="0"/>
              <w:left w:val="nil"/>
              <w:bottom w:val="single" w:color="000000" w:sz="4" w:space="0"/>
              <w:right w:val="nil"/>
              <w:tl2br w:val="nil"/>
              <w:tr2bl w:val="nil"/>
            </w:tcBorders>
            <w:shd w:val="clear" w:color="auto" w:fill="FFFFFF"/>
          </w:tcPr>
          <w:p w14:paraId="7F3DAB0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Dataset imbalance and complexity of online payment systems.</w:t>
            </w:r>
          </w:p>
        </w:tc>
      </w:tr>
      <w:tr w14:paraId="18B6F390">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7D6672D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HMM, DBSCAN</w:t>
            </w:r>
          </w:p>
        </w:tc>
        <w:tc>
          <w:tcPr>
            <w:tcW w:w="1224" w:type="dxa"/>
            <w:tcBorders>
              <w:top w:val="single" w:color="000000" w:sz="4" w:space="0"/>
              <w:left w:val="nil"/>
              <w:bottom w:val="single" w:color="000000" w:sz="4" w:space="0"/>
              <w:right w:val="nil"/>
              <w:tl2br w:val="nil"/>
              <w:tr2bl w:val="nil"/>
            </w:tcBorders>
            <w:shd w:val="clear" w:color="auto" w:fill="FFFFFF"/>
          </w:tcPr>
          <w:p w14:paraId="1C134F6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Abukari Abdul Aziz et al. (2023)</w:t>
            </w:r>
          </w:p>
        </w:tc>
        <w:tc>
          <w:tcPr>
            <w:tcW w:w="1920" w:type="dxa"/>
            <w:tcBorders>
              <w:top w:val="single" w:color="000000" w:sz="4" w:space="0"/>
              <w:left w:val="nil"/>
              <w:bottom w:val="single" w:color="000000" w:sz="4" w:space="0"/>
              <w:right w:val="nil"/>
              <w:tl2br w:val="nil"/>
              <w:tr2bl w:val="nil"/>
            </w:tcBorders>
            <w:shd w:val="clear" w:color="auto" w:fill="FFFFFF"/>
          </w:tcPr>
          <w:p w14:paraId="5864DE0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Multi-layered HMM with hybrid optimization (GA, PSO) for scalability and efficiency.</w:t>
            </w:r>
          </w:p>
        </w:tc>
        <w:tc>
          <w:tcPr>
            <w:tcW w:w="1236" w:type="dxa"/>
            <w:tcBorders>
              <w:top w:val="single" w:color="000000" w:sz="4" w:space="0"/>
              <w:left w:val="nil"/>
              <w:bottom w:val="single" w:color="000000" w:sz="4" w:space="0"/>
              <w:right w:val="nil"/>
              <w:tl2br w:val="nil"/>
              <w:tr2bl w:val="nil"/>
            </w:tcBorders>
            <w:shd w:val="clear" w:color="auto" w:fill="FFFFFF"/>
          </w:tcPr>
          <w:p w14:paraId="6DD66A0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F1-Score</w:t>
            </w:r>
          </w:p>
        </w:tc>
        <w:tc>
          <w:tcPr>
            <w:tcW w:w="1440" w:type="dxa"/>
            <w:tcBorders>
              <w:top w:val="single" w:color="000000" w:sz="4" w:space="0"/>
              <w:left w:val="nil"/>
              <w:bottom w:val="single" w:color="000000" w:sz="4" w:space="0"/>
              <w:right w:val="nil"/>
              <w:tl2br w:val="nil"/>
              <w:tr2bl w:val="nil"/>
            </w:tcBorders>
            <w:shd w:val="clear" w:color="auto" w:fill="FFFFFF"/>
          </w:tcPr>
          <w:p w14:paraId="6E8371A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Reduced detection time and achieved high precision (PAYSIM: 0.984; MMT: 0.986).</w:t>
            </w:r>
          </w:p>
        </w:tc>
        <w:tc>
          <w:tcPr>
            <w:tcW w:w="1680" w:type="dxa"/>
            <w:tcBorders>
              <w:top w:val="single" w:color="000000" w:sz="4" w:space="0"/>
              <w:left w:val="nil"/>
              <w:bottom w:val="single" w:color="000000" w:sz="4" w:space="0"/>
              <w:right w:val="nil"/>
              <w:tl2br w:val="nil"/>
              <w:tr2bl w:val="nil"/>
            </w:tcBorders>
            <w:shd w:val="clear" w:color="auto" w:fill="FFFFFF"/>
          </w:tcPr>
          <w:p w14:paraId="00D4E14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High false positives and negatives in fraud detection.</w:t>
            </w:r>
          </w:p>
        </w:tc>
      </w:tr>
      <w:tr w14:paraId="7877D571">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582F42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SVM, DNN</w:t>
            </w:r>
          </w:p>
        </w:tc>
        <w:tc>
          <w:tcPr>
            <w:tcW w:w="1224" w:type="dxa"/>
            <w:tcBorders>
              <w:top w:val="single" w:color="000000" w:sz="4" w:space="0"/>
              <w:left w:val="nil"/>
              <w:bottom w:val="single" w:color="000000" w:sz="4" w:space="0"/>
              <w:right w:val="nil"/>
              <w:tl2br w:val="nil"/>
              <w:tr2bl w:val="nil"/>
            </w:tcBorders>
            <w:shd w:val="clear" w:color="auto" w:fill="FFFFFF"/>
          </w:tcPr>
          <w:p w14:paraId="1C6EABB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Ata-Ur Rehman et al. (2021)</w:t>
            </w:r>
          </w:p>
        </w:tc>
        <w:tc>
          <w:tcPr>
            <w:tcW w:w="1920" w:type="dxa"/>
            <w:tcBorders>
              <w:top w:val="single" w:color="000000" w:sz="4" w:space="0"/>
              <w:left w:val="nil"/>
              <w:bottom w:val="single" w:color="000000" w:sz="4" w:space="0"/>
              <w:right w:val="nil"/>
              <w:tl2br w:val="nil"/>
              <w:tr2bl w:val="nil"/>
            </w:tcBorders>
            <w:shd w:val="clear" w:color="auto" w:fill="FFFFFF"/>
          </w:tcPr>
          <w:p w14:paraId="1057DB1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Integrated audio and video cues for multi-modal anomaly detection, combining SVM and DNN.</w:t>
            </w:r>
          </w:p>
        </w:tc>
        <w:tc>
          <w:tcPr>
            <w:tcW w:w="1236" w:type="dxa"/>
            <w:tcBorders>
              <w:top w:val="single" w:color="000000" w:sz="4" w:space="0"/>
              <w:left w:val="nil"/>
              <w:bottom w:val="single" w:color="000000" w:sz="4" w:space="0"/>
              <w:right w:val="nil"/>
              <w:tl2br w:val="nil"/>
              <w:tr2bl w:val="nil"/>
            </w:tcBorders>
            <w:shd w:val="clear" w:color="auto" w:fill="FFFFFF"/>
          </w:tcPr>
          <w:p w14:paraId="6E295AC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 Precision, Recall, F1-Score</w:t>
            </w:r>
          </w:p>
        </w:tc>
        <w:tc>
          <w:tcPr>
            <w:tcW w:w="1440" w:type="dxa"/>
            <w:tcBorders>
              <w:top w:val="single" w:color="000000" w:sz="4" w:space="0"/>
              <w:left w:val="nil"/>
              <w:bottom w:val="single" w:color="000000" w:sz="4" w:space="0"/>
              <w:right w:val="nil"/>
              <w:tl2br w:val="nil"/>
              <w:tr2bl w:val="nil"/>
            </w:tcBorders>
            <w:shd w:val="clear" w:color="auto" w:fill="FFFFFF"/>
          </w:tcPr>
          <w:p w14:paraId="458AE91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detection accuracy and reduced false positives/negatives in noisy environments.</w:t>
            </w:r>
          </w:p>
        </w:tc>
        <w:tc>
          <w:tcPr>
            <w:tcW w:w="1680" w:type="dxa"/>
            <w:tcBorders>
              <w:top w:val="single" w:color="000000" w:sz="4" w:space="0"/>
              <w:left w:val="nil"/>
              <w:bottom w:val="single" w:color="000000" w:sz="4" w:space="0"/>
              <w:right w:val="nil"/>
              <w:tl2br w:val="nil"/>
              <w:tr2bl w:val="nil"/>
            </w:tcBorders>
            <w:shd w:val="clear" w:color="auto" w:fill="FFFFFF"/>
          </w:tcPr>
          <w:p w14:paraId="05512F4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Limited anomaly detection in outdoor environments using single-modality data.</w:t>
            </w:r>
          </w:p>
        </w:tc>
      </w:tr>
      <w:tr w14:paraId="5C2ACD2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D64A3B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ResNeXt-GRU</w:t>
            </w:r>
          </w:p>
        </w:tc>
        <w:tc>
          <w:tcPr>
            <w:tcW w:w="1224" w:type="dxa"/>
            <w:tcBorders>
              <w:top w:val="single" w:color="000000" w:sz="4" w:space="0"/>
              <w:left w:val="nil"/>
              <w:bottom w:val="single" w:color="000000" w:sz="4" w:space="0"/>
              <w:right w:val="nil"/>
              <w:tl2br w:val="nil"/>
              <w:tr2bl w:val="nil"/>
            </w:tcBorders>
            <w:shd w:val="clear" w:color="auto" w:fill="FFFFFF"/>
          </w:tcPr>
          <w:p w14:paraId="5472501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Abdulwahab Ali Almazroi et al. (2023)</w:t>
            </w:r>
          </w:p>
        </w:tc>
        <w:tc>
          <w:tcPr>
            <w:tcW w:w="1920" w:type="dxa"/>
            <w:tcBorders>
              <w:top w:val="single" w:color="000000" w:sz="4" w:space="0"/>
              <w:left w:val="nil"/>
              <w:bottom w:val="single" w:color="000000" w:sz="4" w:space="0"/>
              <w:right w:val="nil"/>
              <w:tl2br w:val="nil"/>
              <w:tr2bl w:val="nil"/>
            </w:tcBorders>
            <w:shd w:val="clear" w:color="auto" w:fill="FFFFFF"/>
          </w:tcPr>
          <w:p w14:paraId="359F5A3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Introduced EARN framework and RXT-J classifier for real-time fraud detection.</w:t>
            </w:r>
          </w:p>
        </w:tc>
        <w:tc>
          <w:tcPr>
            <w:tcW w:w="1236" w:type="dxa"/>
            <w:tcBorders>
              <w:top w:val="single" w:color="000000" w:sz="4" w:space="0"/>
              <w:left w:val="nil"/>
              <w:bottom w:val="single" w:color="000000" w:sz="4" w:space="0"/>
              <w:right w:val="nil"/>
              <w:tl2br w:val="nil"/>
              <w:tr2bl w:val="nil"/>
            </w:tcBorders>
            <w:shd w:val="clear" w:color="auto" w:fill="FFFFFF"/>
          </w:tcPr>
          <w:p w14:paraId="729DB4E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AUC, ROC, Execution Time</w:t>
            </w:r>
          </w:p>
        </w:tc>
        <w:tc>
          <w:tcPr>
            <w:tcW w:w="1440" w:type="dxa"/>
            <w:tcBorders>
              <w:top w:val="single" w:color="000000" w:sz="4" w:space="0"/>
              <w:left w:val="nil"/>
              <w:bottom w:val="single" w:color="000000" w:sz="4" w:space="0"/>
              <w:right w:val="nil"/>
              <w:tl2br w:val="nil"/>
              <w:tr2bl w:val="nil"/>
            </w:tcBorders>
            <w:shd w:val="clear" w:color="auto" w:fill="FFFFFF"/>
          </w:tcPr>
          <w:p w14:paraId="05F0084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98% accuracy; scalable and effective in handling imbalanced data.</w:t>
            </w:r>
          </w:p>
        </w:tc>
        <w:tc>
          <w:tcPr>
            <w:tcW w:w="1680" w:type="dxa"/>
            <w:tcBorders>
              <w:top w:val="single" w:color="000000" w:sz="4" w:space="0"/>
              <w:left w:val="nil"/>
              <w:bottom w:val="single" w:color="000000" w:sz="4" w:space="0"/>
              <w:right w:val="nil"/>
              <w:tl2br w:val="nil"/>
              <w:tr2bl w:val="nil"/>
            </w:tcBorders>
            <w:shd w:val="clear" w:color="auto" w:fill="FFFFFF"/>
          </w:tcPr>
          <w:p w14:paraId="2E9CD45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Imbalanced datasets, temporal dependencies, and concept drift in fraud detection.</w:t>
            </w:r>
          </w:p>
        </w:tc>
      </w:tr>
      <w:tr w14:paraId="6F3BD9E7">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EFB8C0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DT-SVMNB</w:t>
            </w:r>
          </w:p>
        </w:tc>
        <w:tc>
          <w:tcPr>
            <w:tcW w:w="1224" w:type="dxa"/>
            <w:tcBorders>
              <w:top w:val="single" w:color="000000" w:sz="4" w:space="0"/>
              <w:left w:val="nil"/>
              <w:bottom w:val="single" w:color="000000" w:sz="4" w:space="0"/>
              <w:right w:val="nil"/>
              <w:tl2br w:val="nil"/>
              <w:tr2bl w:val="nil"/>
            </w:tcBorders>
            <w:shd w:val="clear" w:color="auto" w:fill="FFFFFF"/>
          </w:tcPr>
          <w:p w14:paraId="392C1A9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Md. Shafiur Rahman et al. (2021)</w:t>
            </w:r>
          </w:p>
        </w:tc>
        <w:tc>
          <w:tcPr>
            <w:tcW w:w="1920" w:type="dxa"/>
            <w:tcBorders>
              <w:top w:val="single" w:color="000000" w:sz="4" w:space="0"/>
              <w:left w:val="nil"/>
              <w:bottom w:val="single" w:color="000000" w:sz="4" w:space="0"/>
              <w:right w:val="nil"/>
              <w:tl2br w:val="nil"/>
              <w:tr2bl w:val="nil"/>
            </w:tcBorders>
            <w:shd w:val="clear" w:color="auto" w:fill="FFFFFF"/>
          </w:tcPr>
          <w:p w14:paraId="5A5EBF7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Hybrid model combining Decision Tree, SVM, and Naïve Bayes for social network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357B522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w:t>
            </w:r>
          </w:p>
        </w:tc>
        <w:tc>
          <w:tcPr>
            <w:tcW w:w="1440" w:type="dxa"/>
            <w:tcBorders>
              <w:top w:val="single" w:color="000000" w:sz="4" w:space="0"/>
              <w:left w:val="nil"/>
              <w:bottom w:val="single" w:color="000000" w:sz="4" w:space="0"/>
              <w:right w:val="nil"/>
              <w:tl2br w:val="nil"/>
              <w:tr2bl w:val="nil"/>
            </w:tcBorders>
            <w:shd w:val="clear" w:color="auto" w:fill="FFFFFF"/>
          </w:tcPr>
          <w:p w14:paraId="128C799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98% accuracy in detecting anomalous users and suicidal tendencies.</w:t>
            </w:r>
          </w:p>
        </w:tc>
        <w:tc>
          <w:tcPr>
            <w:tcW w:w="1680" w:type="dxa"/>
            <w:tcBorders>
              <w:top w:val="single" w:color="000000" w:sz="4" w:space="0"/>
              <w:left w:val="nil"/>
              <w:bottom w:val="single" w:color="000000" w:sz="4" w:space="0"/>
              <w:right w:val="nil"/>
              <w:tl2br w:val="nil"/>
              <w:tr2bl w:val="nil"/>
            </w:tcBorders>
            <w:shd w:val="clear" w:color="auto" w:fill="FFFFFF"/>
          </w:tcPr>
          <w:p w14:paraId="5D857DD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High-dimensional data in social networks and identifying malicious behavior.</w:t>
            </w:r>
          </w:p>
        </w:tc>
      </w:tr>
      <w:tr w14:paraId="6D4CED4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C34E3C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BN-SVP</w:t>
            </w:r>
          </w:p>
        </w:tc>
        <w:tc>
          <w:tcPr>
            <w:tcW w:w="1224" w:type="dxa"/>
            <w:tcBorders>
              <w:top w:val="single" w:color="000000" w:sz="4" w:space="0"/>
              <w:left w:val="nil"/>
              <w:bottom w:val="single" w:color="000000" w:sz="4" w:space="0"/>
              <w:right w:val="nil"/>
              <w:tl2br w:val="nil"/>
              <w:tr2bl w:val="nil"/>
            </w:tcBorders>
            <w:shd w:val="clear" w:color="auto" w:fill="FFFFFF"/>
          </w:tcPr>
          <w:p w14:paraId="6869097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Hitesh Sapkota et al. (2022)</w:t>
            </w:r>
          </w:p>
        </w:tc>
        <w:tc>
          <w:tcPr>
            <w:tcW w:w="1920" w:type="dxa"/>
            <w:tcBorders>
              <w:top w:val="single" w:color="000000" w:sz="4" w:space="0"/>
              <w:left w:val="nil"/>
              <w:bottom w:val="single" w:color="000000" w:sz="4" w:space="0"/>
              <w:right w:val="nil"/>
              <w:tl2br w:val="nil"/>
              <w:tr2bl w:val="nil"/>
            </w:tcBorders>
            <w:shd w:val="clear" w:color="auto" w:fill="FFFFFF"/>
          </w:tcPr>
          <w:p w14:paraId="5FD1C8B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Developed BN-SVP using Bayesian nonparametric methods and submodular optimization for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7A12024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 ROC</w:t>
            </w:r>
          </w:p>
        </w:tc>
        <w:tc>
          <w:tcPr>
            <w:tcW w:w="1440" w:type="dxa"/>
            <w:tcBorders>
              <w:top w:val="single" w:color="000000" w:sz="4" w:space="0"/>
              <w:left w:val="nil"/>
              <w:bottom w:val="single" w:color="000000" w:sz="4" w:space="0"/>
              <w:right w:val="nil"/>
              <w:tl2br w:val="nil"/>
              <w:tr2bl w:val="nil"/>
            </w:tcBorders>
            <w:shd w:val="clear" w:color="auto" w:fill="FFFFFF"/>
          </w:tcPr>
          <w:p w14:paraId="44C0DBF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state-of-the-art AUC scores; robust against noisy anomalies.</w:t>
            </w:r>
          </w:p>
        </w:tc>
        <w:tc>
          <w:tcPr>
            <w:tcW w:w="1680" w:type="dxa"/>
            <w:tcBorders>
              <w:top w:val="single" w:color="000000" w:sz="4" w:space="0"/>
              <w:left w:val="nil"/>
              <w:bottom w:val="single" w:color="000000" w:sz="4" w:space="0"/>
              <w:right w:val="nil"/>
              <w:tl2br w:val="nil"/>
              <w:tr2bl w:val="nil"/>
            </w:tcBorders>
            <w:shd w:val="clear" w:color="auto" w:fill="FFFFFF"/>
          </w:tcPr>
          <w:p w14:paraId="677D07C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Noise sensitivity and multimodal anomaly detection in video data.</w:t>
            </w:r>
          </w:p>
        </w:tc>
      </w:tr>
      <w:tr w14:paraId="2185D85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82FFC5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DBN, MJPF</w:t>
            </w:r>
          </w:p>
        </w:tc>
        <w:tc>
          <w:tcPr>
            <w:tcW w:w="1224" w:type="dxa"/>
            <w:tcBorders>
              <w:top w:val="single" w:color="000000" w:sz="4" w:space="0"/>
              <w:left w:val="nil"/>
              <w:bottom w:val="single" w:color="000000" w:sz="4" w:space="0"/>
              <w:right w:val="nil"/>
              <w:tl2br w:val="nil"/>
              <w:tr2bl w:val="nil"/>
            </w:tcBorders>
            <w:shd w:val="clear" w:color="auto" w:fill="FFFFFF"/>
          </w:tcPr>
          <w:p w14:paraId="2BDE84E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Divya Kanapram et al. (2022)</w:t>
            </w:r>
          </w:p>
        </w:tc>
        <w:tc>
          <w:tcPr>
            <w:tcW w:w="1920" w:type="dxa"/>
            <w:tcBorders>
              <w:top w:val="single" w:color="000000" w:sz="4" w:space="0"/>
              <w:left w:val="nil"/>
              <w:bottom w:val="single" w:color="000000" w:sz="4" w:space="0"/>
              <w:right w:val="nil"/>
              <w:tl2br w:val="nil"/>
              <w:tr2bl w:val="nil"/>
            </w:tcBorders>
            <w:shd w:val="clear" w:color="auto" w:fill="FFFFFF"/>
          </w:tcPr>
          <w:p w14:paraId="3B0FA64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Used DBN and MJPF for interpretable anomaly detection in autonomous systems.</w:t>
            </w:r>
          </w:p>
        </w:tc>
        <w:tc>
          <w:tcPr>
            <w:tcW w:w="1236" w:type="dxa"/>
            <w:tcBorders>
              <w:top w:val="single" w:color="000000" w:sz="4" w:space="0"/>
              <w:left w:val="nil"/>
              <w:bottom w:val="single" w:color="000000" w:sz="4" w:space="0"/>
              <w:right w:val="nil"/>
              <w:tl2br w:val="nil"/>
              <w:tr2bl w:val="nil"/>
            </w:tcBorders>
            <w:shd w:val="clear" w:color="auto" w:fill="FFFFFF"/>
          </w:tcPr>
          <w:p w14:paraId="76FD87F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Generalized Errors, KL Divergence</w:t>
            </w:r>
          </w:p>
        </w:tc>
        <w:tc>
          <w:tcPr>
            <w:tcW w:w="1440" w:type="dxa"/>
            <w:tcBorders>
              <w:top w:val="single" w:color="000000" w:sz="4" w:space="0"/>
              <w:left w:val="nil"/>
              <w:bottom w:val="single" w:color="000000" w:sz="4" w:space="0"/>
              <w:right w:val="nil"/>
              <w:tl2br w:val="nil"/>
              <w:tr2bl w:val="nil"/>
            </w:tcBorders>
            <w:shd w:val="clear" w:color="auto" w:fill="FFFFFF"/>
          </w:tcPr>
          <w:p w14:paraId="0BEA80D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Enabled dynamic adaptability and reduced errors in autonomous agent networks.</w:t>
            </w:r>
          </w:p>
        </w:tc>
        <w:tc>
          <w:tcPr>
            <w:tcW w:w="1680" w:type="dxa"/>
            <w:tcBorders>
              <w:top w:val="single" w:color="000000" w:sz="4" w:space="0"/>
              <w:left w:val="nil"/>
              <w:bottom w:val="single" w:color="000000" w:sz="4" w:space="0"/>
              <w:right w:val="nil"/>
              <w:tl2br w:val="nil"/>
              <w:tr2bl w:val="nil"/>
            </w:tcBorders>
            <w:shd w:val="clear" w:color="auto" w:fill="FFFFFF"/>
          </w:tcPr>
          <w:p w14:paraId="438429F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Anomaly detection in autonomous networks with interpretability challenges.</w:t>
            </w:r>
          </w:p>
        </w:tc>
      </w:tr>
      <w:tr w14:paraId="0122E90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AA1294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GNN, Bayesian Networks</w:t>
            </w:r>
          </w:p>
        </w:tc>
        <w:tc>
          <w:tcPr>
            <w:tcW w:w="1224" w:type="dxa"/>
            <w:tcBorders>
              <w:top w:val="single" w:color="000000" w:sz="4" w:space="0"/>
              <w:left w:val="nil"/>
              <w:bottom w:val="single" w:color="000000" w:sz="4" w:space="0"/>
              <w:right w:val="nil"/>
              <w:tl2br w:val="nil"/>
              <w:tr2bl w:val="nil"/>
            </w:tcBorders>
            <w:shd w:val="clear" w:color="auto" w:fill="FFFFFF"/>
          </w:tcPr>
          <w:p w14:paraId="740ED88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Lejla Terzić et al. (2021)</w:t>
            </w:r>
          </w:p>
        </w:tc>
        <w:tc>
          <w:tcPr>
            <w:tcW w:w="1920" w:type="dxa"/>
            <w:tcBorders>
              <w:top w:val="single" w:color="000000" w:sz="4" w:space="0"/>
              <w:left w:val="nil"/>
              <w:bottom w:val="single" w:color="000000" w:sz="4" w:space="0"/>
              <w:right w:val="nil"/>
              <w:tl2br w:val="nil"/>
              <w:tr2bl w:val="nil"/>
            </w:tcBorders>
            <w:shd w:val="clear" w:color="auto" w:fill="FFFFFF"/>
          </w:tcPr>
          <w:p w14:paraId="19EF091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Applied econometric and statistical methods; no explicit ML algorithm used.</w:t>
            </w:r>
          </w:p>
        </w:tc>
        <w:tc>
          <w:tcPr>
            <w:tcW w:w="1236" w:type="dxa"/>
            <w:tcBorders>
              <w:top w:val="single" w:color="000000" w:sz="4" w:space="0"/>
              <w:left w:val="nil"/>
              <w:bottom w:val="single" w:color="000000" w:sz="4" w:space="0"/>
              <w:right w:val="nil"/>
              <w:tl2br w:val="nil"/>
              <w:tr2bl w:val="nil"/>
            </w:tcBorders>
            <w:shd w:val="clear" w:color="auto" w:fill="FFFFFF"/>
          </w:tcPr>
          <w:p w14:paraId="388CA0C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GDP Per Capita, GCI, GII</w:t>
            </w:r>
          </w:p>
        </w:tc>
        <w:tc>
          <w:tcPr>
            <w:tcW w:w="1440" w:type="dxa"/>
            <w:tcBorders>
              <w:top w:val="single" w:color="000000" w:sz="4" w:space="0"/>
              <w:left w:val="nil"/>
              <w:bottom w:val="single" w:color="000000" w:sz="4" w:space="0"/>
              <w:right w:val="nil"/>
              <w:tl2br w:val="nil"/>
              <w:tr2bl w:val="nil"/>
            </w:tcBorders>
            <w:shd w:val="clear" w:color="auto" w:fill="FFFFFF"/>
          </w:tcPr>
          <w:p w14:paraId="3196E77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Demonstrated the relationship between innovation and economic growth, emphasizing GCI and GII.</w:t>
            </w:r>
          </w:p>
        </w:tc>
        <w:tc>
          <w:tcPr>
            <w:tcW w:w="1680" w:type="dxa"/>
            <w:tcBorders>
              <w:top w:val="single" w:color="000000" w:sz="4" w:space="0"/>
              <w:left w:val="nil"/>
              <w:bottom w:val="single" w:color="000000" w:sz="4" w:space="0"/>
              <w:right w:val="nil"/>
              <w:tl2br w:val="nil"/>
              <w:tr2bl w:val="nil"/>
            </w:tcBorders>
            <w:shd w:val="clear" w:color="auto" w:fill="FFFFFF"/>
          </w:tcPr>
          <w:p w14:paraId="1C099A8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Examining competitiveness and innovation impacts on economic growth.</w:t>
            </w:r>
          </w:p>
        </w:tc>
      </w:tr>
      <w:tr w14:paraId="107D465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22BA66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BiLSTM-Attention-IBPNN</w:t>
            </w:r>
          </w:p>
        </w:tc>
        <w:tc>
          <w:tcPr>
            <w:tcW w:w="1224" w:type="dxa"/>
            <w:tcBorders>
              <w:top w:val="single" w:color="000000" w:sz="4" w:space="0"/>
              <w:left w:val="nil"/>
              <w:bottom w:val="single" w:color="000000" w:sz="4" w:space="0"/>
              <w:right w:val="nil"/>
              <w:tl2br w:val="nil"/>
              <w:tr2bl w:val="nil"/>
            </w:tcBorders>
            <w:shd w:val="clear" w:color="auto" w:fill="FFFFFF"/>
          </w:tcPr>
          <w:p w14:paraId="63BB564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Shuixiang Wang (2024)</w:t>
            </w:r>
          </w:p>
        </w:tc>
        <w:tc>
          <w:tcPr>
            <w:tcW w:w="1920" w:type="dxa"/>
            <w:tcBorders>
              <w:top w:val="single" w:color="000000" w:sz="4" w:space="0"/>
              <w:left w:val="nil"/>
              <w:bottom w:val="single" w:color="000000" w:sz="4" w:space="0"/>
              <w:right w:val="nil"/>
              <w:tl2br w:val="nil"/>
              <w:tr2bl w:val="nil"/>
            </w:tcBorders>
            <w:shd w:val="clear" w:color="auto" w:fill="FFFFFF"/>
          </w:tcPr>
          <w:p w14:paraId="696C1DB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Combined BiLSTM with attention mechanisms and IBPNN for non-linear predictions.</w:t>
            </w:r>
          </w:p>
        </w:tc>
        <w:tc>
          <w:tcPr>
            <w:tcW w:w="1236" w:type="dxa"/>
            <w:tcBorders>
              <w:top w:val="single" w:color="000000" w:sz="4" w:space="0"/>
              <w:left w:val="nil"/>
              <w:bottom w:val="single" w:color="000000" w:sz="4" w:space="0"/>
              <w:right w:val="nil"/>
              <w:tl2br w:val="nil"/>
              <w:tr2bl w:val="nil"/>
            </w:tcBorders>
            <w:shd w:val="clear" w:color="auto" w:fill="FFFFFF"/>
          </w:tcPr>
          <w:p w14:paraId="3F81761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Specificity, Sensitivity, Type I and II Errors</w:t>
            </w:r>
          </w:p>
        </w:tc>
        <w:tc>
          <w:tcPr>
            <w:tcW w:w="1440" w:type="dxa"/>
            <w:tcBorders>
              <w:top w:val="single" w:color="000000" w:sz="4" w:space="0"/>
              <w:left w:val="nil"/>
              <w:bottom w:val="single" w:color="000000" w:sz="4" w:space="0"/>
              <w:right w:val="nil"/>
              <w:tl2br w:val="nil"/>
              <w:tr2bl w:val="nil"/>
            </w:tcBorders>
            <w:shd w:val="clear" w:color="auto" w:fill="FFFFFF"/>
          </w:tcPr>
          <w:p w14:paraId="7B207AB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accuracy and reduced computational time; enhanced sensitivity and specificity for auditing datasets.</w:t>
            </w:r>
          </w:p>
        </w:tc>
        <w:tc>
          <w:tcPr>
            <w:tcW w:w="1680" w:type="dxa"/>
            <w:tcBorders>
              <w:top w:val="single" w:color="000000" w:sz="4" w:space="0"/>
              <w:left w:val="nil"/>
              <w:bottom w:val="single" w:color="000000" w:sz="4" w:space="0"/>
              <w:right w:val="nil"/>
              <w:tl2br w:val="nil"/>
              <w:tr2bl w:val="nil"/>
            </w:tcBorders>
            <w:shd w:val="clear" w:color="auto" w:fill="FFFFFF"/>
          </w:tcPr>
          <w:p w14:paraId="2051F44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Inefficiencies in anomaly detection for financial auditing.</w:t>
            </w:r>
          </w:p>
        </w:tc>
      </w:tr>
      <w:tr w14:paraId="02FDE71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A33BB6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Feature-Attended LSTM, Federated Learning</w:t>
            </w:r>
          </w:p>
        </w:tc>
        <w:tc>
          <w:tcPr>
            <w:tcW w:w="1224" w:type="dxa"/>
            <w:tcBorders>
              <w:top w:val="single" w:color="000000" w:sz="4" w:space="0"/>
              <w:left w:val="nil"/>
              <w:bottom w:val="single" w:color="000000" w:sz="4" w:space="0"/>
              <w:right w:val="nil"/>
              <w:tl2br w:val="nil"/>
              <w:tr2bl w:val="nil"/>
            </w:tcBorders>
            <w:shd w:val="clear" w:color="auto" w:fill="FFFFFF"/>
          </w:tcPr>
          <w:p w14:paraId="1A74657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Yunlong Li et al. (2024)</w:t>
            </w:r>
          </w:p>
        </w:tc>
        <w:tc>
          <w:tcPr>
            <w:tcW w:w="1920" w:type="dxa"/>
            <w:tcBorders>
              <w:top w:val="single" w:color="000000" w:sz="4" w:space="0"/>
              <w:left w:val="nil"/>
              <w:bottom w:val="single" w:color="000000" w:sz="4" w:space="0"/>
              <w:right w:val="nil"/>
              <w:tl2br w:val="nil"/>
              <w:tr2bl w:val="nil"/>
            </w:tcBorders>
            <w:shd w:val="clear" w:color="auto" w:fill="FFFFFF"/>
          </w:tcPr>
          <w:p w14:paraId="75BDDFF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Feature-attended LSTM for correlation analysis; federated learning for privacy-preserving training.</w:t>
            </w:r>
          </w:p>
        </w:tc>
        <w:tc>
          <w:tcPr>
            <w:tcW w:w="1236" w:type="dxa"/>
            <w:tcBorders>
              <w:top w:val="single" w:color="000000" w:sz="4" w:space="0"/>
              <w:left w:val="nil"/>
              <w:bottom w:val="single" w:color="000000" w:sz="4" w:space="0"/>
              <w:right w:val="nil"/>
              <w:tl2br w:val="nil"/>
              <w:tr2bl w:val="nil"/>
            </w:tcBorders>
            <w:shd w:val="clear" w:color="auto" w:fill="FFFFFF"/>
          </w:tcPr>
          <w:p w14:paraId="75DCE9C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AUC, True Positive Rate</w:t>
            </w:r>
          </w:p>
        </w:tc>
        <w:tc>
          <w:tcPr>
            <w:tcW w:w="1440" w:type="dxa"/>
            <w:tcBorders>
              <w:top w:val="single" w:color="000000" w:sz="4" w:space="0"/>
              <w:left w:val="nil"/>
              <w:bottom w:val="single" w:color="000000" w:sz="4" w:space="0"/>
              <w:right w:val="nil"/>
              <w:tl2br w:val="nil"/>
              <w:tr2bl w:val="nil"/>
            </w:tcBorders>
            <w:shd w:val="clear" w:color="auto" w:fill="FFFFFF"/>
          </w:tcPr>
          <w:p w14:paraId="1B48D5C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a 334.36% accuracy improvement over standalone methods; better adaptability to dynamic environments.</w:t>
            </w:r>
          </w:p>
        </w:tc>
        <w:tc>
          <w:tcPr>
            <w:tcW w:w="1680" w:type="dxa"/>
            <w:tcBorders>
              <w:top w:val="single" w:color="000000" w:sz="4" w:space="0"/>
              <w:left w:val="nil"/>
              <w:bottom w:val="single" w:color="000000" w:sz="4" w:space="0"/>
              <w:right w:val="nil"/>
              <w:tl2br w:val="nil"/>
              <w:tr2bl w:val="nil"/>
            </w:tcBorders>
            <w:shd w:val="clear" w:color="auto" w:fill="FFFFFF"/>
          </w:tcPr>
          <w:p w14:paraId="2523B1E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Low accuracy and privacy concerns in FIoT anomaly detection.</w:t>
            </w:r>
          </w:p>
        </w:tc>
      </w:tr>
      <w:tr w14:paraId="661094B3">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CA9AB2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X-LSTM, Blockchain</w:t>
            </w:r>
          </w:p>
        </w:tc>
        <w:tc>
          <w:tcPr>
            <w:tcW w:w="1224" w:type="dxa"/>
            <w:tcBorders>
              <w:top w:val="single" w:color="000000" w:sz="4" w:space="0"/>
              <w:left w:val="nil"/>
              <w:bottom w:val="single" w:color="000000" w:sz="4" w:space="0"/>
              <w:right w:val="nil"/>
              <w:tl2br w:val="nil"/>
              <w:tr2bl w:val="nil"/>
            </w:tcBorders>
            <w:shd w:val="clear" w:color="auto" w:fill="FFFFFF"/>
          </w:tcPr>
          <w:p w14:paraId="2A4497E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Jay Raval et al. (2023)</w:t>
            </w:r>
          </w:p>
        </w:tc>
        <w:tc>
          <w:tcPr>
            <w:tcW w:w="1920" w:type="dxa"/>
            <w:tcBorders>
              <w:top w:val="single" w:color="000000" w:sz="4" w:space="0"/>
              <w:left w:val="nil"/>
              <w:bottom w:val="single" w:color="000000" w:sz="4" w:space="0"/>
              <w:right w:val="nil"/>
              <w:tl2br w:val="nil"/>
              <w:tr2bl w:val="nil"/>
            </w:tcBorders>
            <w:shd w:val="clear" w:color="auto" w:fill="FFFFFF"/>
          </w:tcPr>
          <w:p w14:paraId="1D7C6EA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Combined Explainable AI with LSTM for feature selection; used blockchain for tamper-proof classification storage.</w:t>
            </w:r>
          </w:p>
        </w:tc>
        <w:tc>
          <w:tcPr>
            <w:tcW w:w="1236" w:type="dxa"/>
            <w:tcBorders>
              <w:top w:val="single" w:color="000000" w:sz="4" w:space="0"/>
              <w:left w:val="nil"/>
              <w:bottom w:val="single" w:color="000000" w:sz="4" w:space="0"/>
              <w:right w:val="nil"/>
              <w:tl2br w:val="nil"/>
              <w:tr2bl w:val="nil"/>
            </w:tcBorders>
            <w:shd w:val="clear" w:color="auto" w:fill="FFFFFF"/>
          </w:tcPr>
          <w:p w14:paraId="30D15D6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Loss Rate, Precision, Recall, AUC</w:t>
            </w:r>
          </w:p>
        </w:tc>
        <w:tc>
          <w:tcPr>
            <w:tcW w:w="1440" w:type="dxa"/>
            <w:tcBorders>
              <w:top w:val="single" w:color="000000" w:sz="4" w:space="0"/>
              <w:left w:val="nil"/>
              <w:bottom w:val="single" w:color="000000" w:sz="4" w:space="0"/>
              <w:right w:val="nil"/>
              <w:tl2br w:val="nil"/>
              <w:tr2bl w:val="nil"/>
            </w:tcBorders>
            <w:shd w:val="clear" w:color="auto" w:fill="FFFFFF"/>
          </w:tcPr>
          <w:p w14:paraId="6504B3A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99.8% accuracy; enhanced interpretability and traceability with secure, transparent classifications via blockchain.</w:t>
            </w:r>
          </w:p>
        </w:tc>
        <w:tc>
          <w:tcPr>
            <w:tcW w:w="1680" w:type="dxa"/>
            <w:tcBorders>
              <w:top w:val="single" w:color="000000" w:sz="4" w:space="0"/>
              <w:left w:val="nil"/>
              <w:bottom w:val="single" w:color="000000" w:sz="4" w:space="0"/>
              <w:right w:val="nil"/>
              <w:tl2br w:val="nil"/>
              <w:tr2bl w:val="nil"/>
            </w:tcBorders>
            <w:shd w:val="clear" w:color="auto" w:fill="FFFFFF"/>
          </w:tcPr>
          <w:p w14:paraId="75B3DA1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Lack of transparency in LSTM-based fraud detection models and secure transaction classifications.</w:t>
            </w:r>
          </w:p>
        </w:tc>
      </w:tr>
      <w:tr w14:paraId="3A4BB67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FA0B71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GraphSAGE</w:t>
            </w:r>
          </w:p>
        </w:tc>
        <w:tc>
          <w:tcPr>
            <w:tcW w:w="1224" w:type="dxa"/>
            <w:tcBorders>
              <w:top w:val="single" w:color="000000" w:sz="4" w:space="0"/>
              <w:left w:val="nil"/>
              <w:bottom w:val="single" w:color="000000" w:sz="4" w:space="0"/>
              <w:right w:val="nil"/>
              <w:tl2br w:val="nil"/>
              <w:tr2bl w:val="nil"/>
            </w:tcBorders>
            <w:shd w:val="clear" w:color="auto" w:fill="FFFFFF"/>
          </w:tcPr>
          <w:p w14:paraId="4E77656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Shucheng Li et al. (2021)</w:t>
            </w:r>
          </w:p>
        </w:tc>
        <w:tc>
          <w:tcPr>
            <w:tcW w:w="1920" w:type="dxa"/>
            <w:tcBorders>
              <w:top w:val="single" w:color="000000" w:sz="4" w:space="0"/>
              <w:left w:val="nil"/>
              <w:bottom w:val="single" w:color="000000" w:sz="4" w:space="0"/>
              <w:right w:val="nil"/>
              <w:tl2br w:val="nil"/>
              <w:tr2bl w:val="nil"/>
            </w:tcBorders>
            <w:shd w:val="clear" w:color="auto" w:fill="FFFFFF"/>
          </w:tcPr>
          <w:p w14:paraId="5B0EC6B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SIEGE using self-supervised incremental deep graph learning for efficient phishing scam detection.</w:t>
            </w:r>
          </w:p>
        </w:tc>
        <w:tc>
          <w:tcPr>
            <w:tcW w:w="1236" w:type="dxa"/>
            <w:tcBorders>
              <w:top w:val="single" w:color="000000" w:sz="4" w:space="0"/>
              <w:left w:val="nil"/>
              <w:bottom w:val="single" w:color="000000" w:sz="4" w:space="0"/>
              <w:right w:val="nil"/>
              <w:tl2br w:val="nil"/>
              <w:tr2bl w:val="nil"/>
            </w:tcBorders>
            <w:shd w:val="clear" w:color="auto" w:fill="FFFFFF"/>
          </w:tcPr>
          <w:p w14:paraId="29580DA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 Score</w:t>
            </w:r>
          </w:p>
        </w:tc>
        <w:tc>
          <w:tcPr>
            <w:tcW w:w="1440" w:type="dxa"/>
            <w:tcBorders>
              <w:top w:val="single" w:color="000000" w:sz="4" w:space="0"/>
              <w:left w:val="nil"/>
              <w:bottom w:val="single" w:color="000000" w:sz="4" w:space="0"/>
              <w:right w:val="nil"/>
              <w:tl2br w:val="nil"/>
              <w:tr2bl w:val="nil"/>
            </w:tcBorders>
            <w:shd w:val="clear" w:color="auto" w:fill="FFFFFF"/>
          </w:tcPr>
          <w:p w14:paraId="78FFD37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4%-16% improvement in F1 scores over baseline models, addressing label scarcity and scalability.</w:t>
            </w:r>
          </w:p>
        </w:tc>
        <w:tc>
          <w:tcPr>
            <w:tcW w:w="1680" w:type="dxa"/>
            <w:tcBorders>
              <w:top w:val="single" w:color="000000" w:sz="4" w:space="0"/>
              <w:left w:val="nil"/>
              <w:bottom w:val="single" w:color="000000" w:sz="4" w:space="0"/>
              <w:right w:val="nil"/>
              <w:tl2br w:val="nil"/>
              <w:tr2bl w:val="nil"/>
            </w:tcBorders>
            <w:shd w:val="clear" w:color="auto" w:fill="FFFFFF"/>
          </w:tcPr>
          <w:p w14:paraId="1AC535C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Scalability, label scarcity, and temporal imbalance in Ethereum phishing scam detection.</w:t>
            </w:r>
          </w:p>
        </w:tc>
      </w:tr>
      <w:tr w14:paraId="6E7A128E">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84D42A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GCN, GAT, EvolveGCN</w:t>
            </w:r>
          </w:p>
        </w:tc>
        <w:tc>
          <w:tcPr>
            <w:tcW w:w="1224" w:type="dxa"/>
            <w:tcBorders>
              <w:top w:val="single" w:color="000000" w:sz="4" w:space="0"/>
              <w:left w:val="nil"/>
              <w:bottom w:val="single" w:color="000000" w:sz="4" w:space="0"/>
              <w:right w:val="nil"/>
              <w:tl2br w:val="nil"/>
              <w:tr2bl w:val="nil"/>
            </w:tcBorders>
            <w:shd w:val="clear" w:color="auto" w:fill="FFFFFF"/>
          </w:tcPr>
          <w:p w14:paraId="4E7D16F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Jianian Wang et al. (2022)</w:t>
            </w:r>
          </w:p>
        </w:tc>
        <w:tc>
          <w:tcPr>
            <w:tcW w:w="1920" w:type="dxa"/>
            <w:tcBorders>
              <w:top w:val="single" w:color="000000" w:sz="4" w:space="0"/>
              <w:left w:val="nil"/>
              <w:bottom w:val="single" w:color="000000" w:sz="4" w:space="0"/>
              <w:right w:val="nil"/>
              <w:tl2br w:val="nil"/>
              <w:tr2bl w:val="nil"/>
            </w:tcBorders>
            <w:shd w:val="clear" w:color="auto" w:fill="FFFFFF"/>
          </w:tcPr>
          <w:p w14:paraId="70974CE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Reviewed GNN methodologies and categorized their applications in finance.</w:t>
            </w:r>
          </w:p>
        </w:tc>
        <w:tc>
          <w:tcPr>
            <w:tcW w:w="1236" w:type="dxa"/>
            <w:tcBorders>
              <w:top w:val="single" w:color="000000" w:sz="4" w:space="0"/>
              <w:left w:val="nil"/>
              <w:bottom w:val="single" w:color="000000" w:sz="4" w:space="0"/>
              <w:right w:val="nil"/>
              <w:tl2br w:val="nil"/>
              <w:tr2bl w:val="nil"/>
            </w:tcBorders>
            <w:shd w:val="clear" w:color="auto" w:fill="FFFFFF"/>
          </w:tcPr>
          <w:p w14:paraId="4A62C3F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 Precision, Recall, F1 Score, MSE</w:t>
            </w:r>
          </w:p>
        </w:tc>
        <w:tc>
          <w:tcPr>
            <w:tcW w:w="1440" w:type="dxa"/>
            <w:tcBorders>
              <w:top w:val="single" w:color="000000" w:sz="4" w:space="0"/>
              <w:left w:val="nil"/>
              <w:bottom w:val="single" w:color="000000" w:sz="4" w:space="0"/>
              <w:right w:val="nil"/>
              <w:tl2br w:val="nil"/>
              <w:tr2bl w:val="nil"/>
            </w:tcBorders>
            <w:shd w:val="clear" w:color="auto" w:fill="FFFFFF"/>
          </w:tcPr>
          <w:p w14:paraId="69AB64A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Identified scalability and explainability challenges; emphasized advancements needed in GNN applications for finance.</w:t>
            </w:r>
          </w:p>
        </w:tc>
        <w:tc>
          <w:tcPr>
            <w:tcW w:w="1680" w:type="dxa"/>
            <w:tcBorders>
              <w:top w:val="single" w:color="000000" w:sz="4" w:space="0"/>
              <w:left w:val="nil"/>
              <w:bottom w:val="single" w:color="000000" w:sz="4" w:space="0"/>
              <w:right w:val="nil"/>
              <w:tl2br w:val="nil"/>
              <w:tr2bl w:val="nil"/>
            </w:tcBorders>
            <w:shd w:val="clear" w:color="auto" w:fill="FFFFFF"/>
          </w:tcPr>
          <w:p w14:paraId="4684BB4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Complexity in representing dynamic, heterogeneous financial graphs for tasks like fraud detection and stock prediction.</w:t>
            </w:r>
          </w:p>
        </w:tc>
      </w:tr>
      <w:tr w14:paraId="05092F5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8AA71F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GRU, Attention</w:t>
            </w:r>
          </w:p>
        </w:tc>
        <w:tc>
          <w:tcPr>
            <w:tcW w:w="1224" w:type="dxa"/>
            <w:tcBorders>
              <w:top w:val="single" w:color="000000" w:sz="4" w:space="0"/>
              <w:left w:val="nil"/>
              <w:bottom w:val="single" w:color="000000" w:sz="4" w:space="0"/>
              <w:right w:val="nil"/>
              <w:tl2br w:val="nil"/>
              <w:tr2bl w:val="nil"/>
            </w:tcBorders>
            <w:shd w:val="clear" w:color="auto" w:fill="FFFFFF"/>
          </w:tcPr>
          <w:p w14:paraId="41D6432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Zhihao Ding et al. (2024)</w:t>
            </w:r>
          </w:p>
        </w:tc>
        <w:tc>
          <w:tcPr>
            <w:tcW w:w="1920" w:type="dxa"/>
            <w:tcBorders>
              <w:top w:val="single" w:color="000000" w:sz="4" w:space="0"/>
              <w:left w:val="nil"/>
              <w:bottom w:val="single" w:color="000000" w:sz="4" w:space="0"/>
              <w:right w:val="nil"/>
              <w:tl2br w:val="nil"/>
              <w:tr2bl w:val="nil"/>
            </w:tcBorders>
            <w:shd w:val="clear" w:color="auto" w:fill="FFFFFF"/>
          </w:tcPr>
          <w:p w14:paraId="3DE2B18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Introduced DIAM using Edge2Seq and multigraph discrepancy mechanisms for illicit account detection.</w:t>
            </w:r>
          </w:p>
        </w:tc>
        <w:tc>
          <w:tcPr>
            <w:tcW w:w="1236" w:type="dxa"/>
            <w:tcBorders>
              <w:top w:val="single" w:color="000000" w:sz="4" w:space="0"/>
              <w:left w:val="nil"/>
              <w:bottom w:val="single" w:color="000000" w:sz="4" w:space="0"/>
              <w:right w:val="nil"/>
              <w:tl2br w:val="nil"/>
              <w:tr2bl w:val="nil"/>
            </w:tcBorders>
            <w:shd w:val="clear" w:color="auto" w:fill="FFFFFF"/>
          </w:tcPr>
          <w:p w14:paraId="12D8AB1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F1 Score, AUC</w:t>
            </w:r>
          </w:p>
        </w:tc>
        <w:tc>
          <w:tcPr>
            <w:tcW w:w="1440" w:type="dxa"/>
            <w:tcBorders>
              <w:top w:val="single" w:color="000000" w:sz="4" w:space="0"/>
              <w:left w:val="nil"/>
              <w:bottom w:val="single" w:color="000000" w:sz="4" w:space="0"/>
              <w:right w:val="nil"/>
              <w:tl2br w:val="nil"/>
              <w:tr2bl w:val="nil"/>
            </w:tcBorders>
            <w:shd w:val="clear" w:color="auto" w:fill="FFFFFF"/>
          </w:tcPr>
          <w:p w14:paraId="2C71C44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Outperformed baselines with 96.55% F1 score on Bitcoin datasets; scalable for large graphs.</w:t>
            </w:r>
          </w:p>
        </w:tc>
        <w:tc>
          <w:tcPr>
            <w:tcW w:w="1680" w:type="dxa"/>
            <w:tcBorders>
              <w:top w:val="single" w:color="000000" w:sz="4" w:space="0"/>
              <w:left w:val="nil"/>
              <w:bottom w:val="single" w:color="000000" w:sz="4" w:space="0"/>
              <w:right w:val="nil"/>
              <w:tl2br w:val="nil"/>
              <w:tr2bl w:val="nil"/>
            </w:tcBorders>
            <w:shd w:val="clear" w:color="auto" w:fill="FFFFFF"/>
          </w:tcPr>
          <w:p w14:paraId="50EE5CD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Anonymity and multigraph discrepancies in cryptocurrency transaction networks.</w:t>
            </w:r>
          </w:p>
        </w:tc>
      </w:tr>
      <w:tr w14:paraId="69ED146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9B2955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Temporal Graph Neural Network</w:t>
            </w:r>
          </w:p>
        </w:tc>
        <w:tc>
          <w:tcPr>
            <w:tcW w:w="1224" w:type="dxa"/>
            <w:tcBorders>
              <w:top w:val="single" w:color="000000" w:sz="4" w:space="0"/>
              <w:left w:val="nil"/>
              <w:bottom w:val="single" w:color="000000" w:sz="4" w:space="0"/>
              <w:right w:val="nil"/>
              <w:tl2br w:val="nil"/>
              <w:tr2bl w:val="nil"/>
            </w:tcBorders>
            <w:shd w:val="clear" w:color="auto" w:fill="FFFFFF"/>
          </w:tcPr>
          <w:p w14:paraId="3C5B972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Yanbang Wang et al. (2024)</w:t>
            </w:r>
          </w:p>
        </w:tc>
        <w:tc>
          <w:tcPr>
            <w:tcW w:w="1920" w:type="dxa"/>
            <w:tcBorders>
              <w:top w:val="single" w:color="000000" w:sz="4" w:space="0"/>
              <w:left w:val="nil"/>
              <w:bottom w:val="single" w:color="000000" w:sz="4" w:space="0"/>
              <w:right w:val="nil"/>
              <w:tl2br w:val="nil"/>
              <w:tr2bl w:val="nil"/>
            </w:tcBorders>
            <w:shd w:val="clear" w:color="auto" w:fill="FFFFFF"/>
          </w:tcPr>
          <w:p w14:paraId="7E108F4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Developed dual-view framework combining graph snapshots and link streams with negative sampling protocol.</w:t>
            </w:r>
          </w:p>
        </w:tc>
        <w:tc>
          <w:tcPr>
            <w:tcW w:w="1236" w:type="dxa"/>
            <w:tcBorders>
              <w:top w:val="single" w:color="000000" w:sz="4" w:space="0"/>
              <w:left w:val="nil"/>
              <w:bottom w:val="single" w:color="000000" w:sz="4" w:space="0"/>
              <w:right w:val="nil"/>
              <w:tl2br w:val="nil"/>
              <w:tr2bl w:val="nil"/>
            </w:tcBorders>
            <w:shd w:val="clear" w:color="auto" w:fill="FFFFFF"/>
          </w:tcPr>
          <w:p w14:paraId="2857090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False Positive Rate, Accuracy, Average Precision</w:t>
            </w:r>
          </w:p>
        </w:tc>
        <w:tc>
          <w:tcPr>
            <w:tcW w:w="1440" w:type="dxa"/>
            <w:tcBorders>
              <w:top w:val="single" w:color="000000" w:sz="4" w:space="0"/>
              <w:left w:val="nil"/>
              <w:bottom w:val="single" w:color="000000" w:sz="4" w:space="0"/>
              <w:right w:val="nil"/>
              <w:tl2br w:val="nil"/>
              <w:tr2bl w:val="nil"/>
            </w:tcBorders>
            <w:shd w:val="clear" w:color="auto" w:fill="FFFFFF"/>
          </w:tcPr>
          <w:p w14:paraId="1FE7BFF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Reduced false positives to 4.69% and achieved 94.52% accuracy on Microsoft authentication datasets.</w:t>
            </w:r>
          </w:p>
        </w:tc>
        <w:tc>
          <w:tcPr>
            <w:tcW w:w="1680" w:type="dxa"/>
            <w:tcBorders>
              <w:top w:val="single" w:color="000000" w:sz="4" w:space="0"/>
              <w:left w:val="nil"/>
              <w:bottom w:val="single" w:color="000000" w:sz="4" w:space="0"/>
              <w:right w:val="nil"/>
              <w:tl2br w:val="nil"/>
              <w:tr2bl w:val="nil"/>
            </w:tcBorders>
            <w:shd w:val="clear" w:color="auto" w:fill="FFFFFF"/>
          </w:tcPr>
          <w:p w14:paraId="42DBF41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High false positives and challenges in anomaly detection from authentication alerts in security systems.</w:t>
            </w:r>
          </w:p>
        </w:tc>
      </w:tr>
      <w:tr w14:paraId="6DD4E309">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89CC88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GAT, Contrastive Learning</w:t>
            </w:r>
          </w:p>
        </w:tc>
        <w:tc>
          <w:tcPr>
            <w:tcW w:w="1224" w:type="dxa"/>
            <w:tcBorders>
              <w:top w:val="single" w:color="000000" w:sz="4" w:space="0"/>
              <w:left w:val="nil"/>
              <w:bottom w:val="single" w:color="000000" w:sz="4" w:space="0"/>
              <w:right w:val="nil"/>
              <w:tl2br w:val="nil"/>
              <w:tr2bl w:val="nil"/>
            </w:tcBorders>
            <w:shd w:val="clear" w:color="auto" w:fill="FFFFFF"/>
          </w:tcPr>
          <w:p w14:paraId="6D53C05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Sijia Li et al. (2023)</w:t>
            </w:r>
          </w:p>
        </w:tc>
        <w:tc>
          <w:tcPr>
            <w:tcW w:w="1920" w:type="dxa"/>
            <w:tcBorders>
              <w:top w:val="single" w:color="000000" w:sz="4" w:space="0"/>
              <w:left w:val="nil"/>
              <w:bottom w:val="single" w:color="000000" w:sz="4" w:space="0"/>
              <w:right w:val="nil"/>
              <w:tl2br w:val="nil"/>
              <w:tr2bl w:val="nil"/>
            </w:tcBorders>
            <w:shd w:val="clear" w:color="auto" w:fill="FFFFFF"/>
          </w:tcPr>
          <w:p w14:paraId="052ACC1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Introduced TGC, using node- and context-level contrastive learning for efficient phishing detection.</w:t>
            </w:r>
          </w:p>
        </w:tc>
        <w:tc>
          <w:tcPr>
            <w:tcW w:w="1236" w:type="dxa"/>
            <w:tcBorders>
              <w:top w:val="single" w:color="000000" w:sz="4" w:space="0"/>
              <w:left w:val="nil"/>
              <w:bottom w:val="single" w:color="000000" w:sz="4" w:space="0"/>
              <w:right w:val="nil"/>
              <w:tl2br w:val="nil"/>
              <w:tr2bl w:val="nil"/>
            </w:tcBorders>
            <w:shd w:val="clear" w:color="auto" w:fill="FFFFFF"/>
          </w:tcPr>
          <w:p w14:paraId="0A15F5A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F1 Score, Precision, Recall</w:t>
            </w:r>
          </w:p>
        </w:tc>
        <w:tc>
          <w:tcPr>
            <w:tcW w:w="1440" w:type="dxa"/>
            <w:tcBorders>
              <w:top w:val="single" w:color="000000" w:sz="4" w:space="0"/>
              <w:left w:val="nil"/>
              <w:bottom w:val="single" w:color="000000" w:sz="4" w:space="0"/>
              <w:right w:val="nil"/>
              <w:tl2br w:val="nil"/>
              <w:tr2bl w:val="nil"/>
            </w:tcBorders>
            <w:shd w:val="clear" w:color="auto" w:fill="FFFFFF"/>
          </w:tcPr>
          <w:p w14:paraId="201B2A0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95.5% F1 score and scalability on large Ethereum transaction datasets.</w:t>
            </w:r>
          </w:p>
        </w:tc>
        <w:tc>
          <w:tcPr>
            <w:tcW w:w="1680" w:type="dxa"/>
            <w:tcBorders>
              <w:top w:val="single" w:color="000000" w:sz="4" w:space="0"/>
              <w:left w:val="nil"/>
              <w:bottom w:val="single" w:color="000000" w:sz="4" w:space="0"/>
              <w:right w:val="nil"/>
              <w:tl2br w:val="nil"/>
              <w:tr2bl w:val="nil"/>
            </w:tcBorders>
            <w:shd w:val="clear" w:color="auto" w:fill="FFFFFF"/>
          </w:tcPr>
          <w:p w14:paraId="5A7F90E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Sparse distribution and natural camouflage in Ethereum phishing nodes.</w:t>
            </w:r>
          </w:p>
        </w:tc>
      </w:tr>
      <w:tr w14:paraId="54DF51C9">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B756F0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GAT</w:t>
            </w:r>
          </w:p>
        </w:tc>
        <w:tc>
          <w:tcPr>
            <w:tcW w:w="1224" w:type="dxa"/>
            <w:tcBorders>
              <w:top w:val="single" w:color="000000" w:sz="4" w:space="0"/>
              <w:left w:val="nil"/>
              <w:bottom w:val="single" w:color="000000" w:sz="4" w:space="0"/>
              <w:right w:val="nil"/>
              <w:tl2br w:val="nil"/>
              <w:tr2bl w:val="nil"/>
            </w:tcBorders>
            <w:shd w:val="clear" w:color="auto" w:fill="FFFFFF"/>
          </w:tcPr>
          <w:p w14:paraId="139227B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Chensu Zhao et al. (2020)</w:t>
            </w:r>
          </w:p>
        </w:tc>
        <w:tc>
          <w:tcPr>
            <w:tcW w:w="1920" w:type="dxa"/>
            <w:tcBorders>
              <w:top w:val="single" w:color="000000" w:sz="4" w:space="0"/>
              <w:left w:val="nil"/>
              <w:bottom w:val="single" w:color="000000" w:sz="4" w:space="0"/>
              <w:right w:val="nil"/>
              <w:tl2br w:val="nil"/>
              <w:tr2bl w:val="nil"/>
            </w:tcBorders>
            <w:shd w:val="clear" w:color="auto" w:fill="FFFFFF"/>
          </w:tcPr>
          <w:p w14:paraId="5A1D633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GAT-based semi-supervised spam bot detection using multi-relational graphs.</w:t>
            </w:r>
          </w:p>
        </w:tc>
        <w:tc>
          <w:tcPr>
            <w:tcW w:w="1236" w:type="dxa"/>
            <w:tcBorders>
              <w:top w:val="single" w:color="000000" w:sz="4" w:space="0"/>
              <w:left w:val="nil"/>
              <w:bottom w:val="single" w:color="000000" w:sz="4" w:space="0"/>
              <w:right w:val="nil"/>
              <w:tl2br w:val="nil"/>
              <w:tr2bl w:val="nil"/>
            </w:tcBorders>
            <w:shd w:val="clear" w:color="auto" w:fill="FFFFFF"/>
          </w:tcPr>
          <w:p w14:paraId="68C8B97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F1 Score, PRAUC, Precision, Recall</w:t>
            </w:r>
          </w:p>
        </w:tc>
        <w:tc>
          <w:tcPr>
            <w:tcW w:w="1440" w:type="dxa"/>
            <w:tcBorders>
              <w:top w:val="single" w:color="000000" w:sz="4" w:space="0"/>
              <w:left w:val="nil"/>
              <w:bottom w:val="single" w:color="000000" w:sz="4" w:space="0"/>
              <w:right w:val="nil"/>
              <w:tl2br w:val="nil"/>
              <w:tr2bl w:val="nil"/>
            </w:tcBorders>
            <w:shd w:val="clear" w:color="auto" w:fill="FFFFFF"/>
          </w:tcPr>
          <w:p w14:paraId="3285A8B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0.91 F1 score and PRAUC; robust to imbalanced datasets.</w:t>
            </w:r>
          </w:p>
        </w:tc>
        <w:tc>
          <w:tcPr>
            <w:tcW w:w="1680" w:type="dxa"/>
            <w:tcBorders>
              <w:top w:val="single" w:color="000000" w:sz="4" w:space="0"/>
              <w:left w:val="nil"/>
              <w:bottom w:val="single" w:color="000000" w:sz="4" w:space="0"/>
              <w:right w:val="nil"/>
              <w:tl2br w:val="nil"/>
              <w:tr2bl w:val="nil"/>
            </w:tcBorders>
            <w:shd w:val="clear" w:color="auto" w:fill="FFFFFF"/>
          </w:tcPr>
          <w:p w14:paraId="4C5AFB9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Spam bots evading detection and scalability challenges in large social networks.</w:t>
            </w:r>
          </w:p>
        </w:tc>
      </w:tr>
      <w:tr w14:paraId="786F4146">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505EC0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SAGEConv, GRU</w:t>
            </w:r>
          </w:p>
        </w:tc>
        <w:tc>
          <w:tcPr>
            <w:tcW w:w="1224" w:type="dxa"/>
            <w:tcBorders>
              <w:top w:val="single" w:color="000000" w:sz="4" w:space="0"/>
              <w:left w:val="nil"/>
              <w:bottom w:val="single" w:color="000000" w:sz="4" w:space="0"/>
              <w:right w:val="nil"/>
              <w:tl2br w:val="nil"/>
              <w:tr2bl w:val="nil"/>
            </w:tcBorders>
            <w:shd w:val="clear" w:color="auto" w:fill="FFFFFF"/>
          </w:tcPr>
          <w:p w14:paraId="718E98C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Zhen Chen et al. (2024)</w:t>
            </w:r>
          </w:p>
        </w:tc>
        <w:tc>
          <w:tcPr>
            <w:tcW w:w="1920" w:type="dxa"/>
            <w:tcBorders>
              <w:top w:val="single" w:color="000000" w:sz="4" w:space="0"/>
              <w:left w:val="nil"/>
              <w:bottom w:val="single" w:color="000000" w:sz="4" w:space="0"/>
              <w:right w:val="nil"/>
              <w:tl2br w:val="nil"/>
              <w:tr2bl w:val="nil"/>
            </w:tcBorders>
            <w:shd w:val="clear" w:color="auto" w:fill="FFFFFF"/>
          </w:tcPr>
          <w:p w14:paraId="35EE9FC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multiscale feature fusion model integrating temporal, structural, and basic features.</w:t>
            </w:r>
          </w:p>
        </w:tc>
        <w:tc>
          <w:tcPr>
            <w:tcW w:w="1236" w:type="dxa"/>
            <w:tcBorders>
              <w:top w:val="single" w:color="000000" w:sz="4" w:space="0"/>
              <w:left w:val="nil"/>
              <w:bottom w:val="single" w:color="000000" w:sz="4" w:space="0"/>
              <w:right w:val="nil"/>
              <w:tl2br w:val="nil"/>
              <w:tr2bl w:val="nil"/>
            </w:tcBorders>
            <w:shd w:val="clear" w:color="auto" w:fill="FFFFFF"/>
          </w:tcPr>
          <w:p w14:paraId="56083B5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 Score, AUC</w:t>
            </w:r>
          </w:p>
        </w:tc>
        <w:tc>
          <w:tcPr>
            <w:tcW w:w="1440" w:type="dxa"/>
            <w:tcBorders>
              <w:top w:val="single" w:color="000000" w:sz="4" w:space="0"/>
              <w:left w:val="nil"/>
              <w:bottom w:val="single" w:color="000000" w:sz="4" w:space="0"/>
              <w:right w:val="nil"/>
              <w:tl2br w:val="nil"/>
              <w:tr2bl w:val="nil"/>
            </w:tcBorders>
            <w:shd w:val="clear" w:color="auto" w:fill="FFFFFF"/>
          </w:tcPr>
          <w:p w14:paraId="4539E54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SAGEConv achieved 95.8% F1 score; superior scalability and accuracy for Ethereum phishing detection.</w:t>
            </w:r>
          </w:p>
        </w:tc>
        <w:tc>
          <w:tcPr>
            <w:tcW w:w="1680" w:type="dxa"/>
            <w:tcBorders>
              <w:top w:val="single" w:color="000000" w:sz="4" w:space="0"/>
              <w:left w:val="nil"/>
              <w:bottom w:val="single" w:color="000000" w:sz="4" w:space="0"/>
              <w:right w:val="nil"/>
              <w:tl2br w:val="nil"/>
              <w:tr2bl w:val="nil"/>
            </w:tcBorders>
            <w:shd w:val="clear" w:color="auto" w:fill="FFFFFF"/>
          </w:tcPr>
          <w:p w14:paraId="6202DC3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Loss of historical transaction data and inefficiency in representing both temporal and topological data.</w:t>
            </w:r>
          </w:p>
        </w:tc>
      </w:tr>
      <w:tr w14:paraId="1B10E928">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16018D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SEGE</w:t>
            </w:r>
          </w:p>
        </w:tc>
        <w:tc>
          <w:tcPr>
            <w:tcW w:w="1224" w:type="dxa"/>
            <w:tcBorders>
              <w:top w:val="single" w:color="000000" w:sz="4" w:space="0"/>
              <w:left w:val="nil"/>
              <w:bottom w:val="single" w:color="000000" w:sz="4" w:space="0"/>
              <w:right w:val="nil"/>
              <w:tl2br w:val="nil"/>
              <w:tr2bl w:val="nil"/>
            </w:tcBorders>
            <w:shd w:val="clear" w:color="auto" w:fill="FFFFFF"/>
          </w:tcPr>
          <w:p w14:paraId="7442708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Shaojiang Wang et al. (2024)</w:t>
            </w:r>
          </w:p>
        </w:tc>
        <w:tc>
          <w:tcPr>
            <w:tcW w:w="1920" w:type="dxa"/>
            <w:tcBorders>
              <w:top w:val="single" w:color="000000" w:sz="4" w:space="0"/>
              <w:left w:val="nil"/>
              <w:bottom w:val="single" w:color="000000" w:sz="4" w:space="0"/>
              <w:right w:val="nil"/>
              <w:tl2br w:val="nil"/>
              <w:tr2bl w:val="nil"/>
            </w:tcBorders>
            <w:shd w:val="clear" w:color="auto" w:fill="FFFFFF"/>
          </w:tcPr>
          <w:p w14:paraId="3FB3659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Introduced SEGE combining structural entropy minimization and graph embeddings.</w:t>
            </w:r>
          </w:p>
        </w:tc>
        <w:tc>
          <w:tcPr>
            <w:tcW w:w="1236" w:type="dxa"/>
            <w:tcBorders>
              <w:top w:val="single" w:color="000000" w:sz="4" w:space="0"/>
              <w:left w:val="nil"/>
              <w:bottom w:val="single" w:color="000000" w:sz="4" w:space="0"/>
              <w:right w:val="nil"/>
              <w:tl2br w:val="nil"/>
              <w:tr2bl w:val="nil"/>
            </w:tcBorders>
            <w:shd w:val="clear" w:color="auto" w:fill="FFFFFF"/>
          </w:tcPr>
          <w:p w14:paraId="7C5F4AC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Recall, Precision, F1 Score</w:t>
            </w:r>
          </w:p>
        </w:tc>
        <w:tc>
          <w:tcPr>
            <w:tcW w:w="1440" w:type="dxa"/>
            <w:tcBorders>
              <w:top w:val="single" w:color="000000" w:sz="4" w:space="0"/>
              <w:left w:val="nil"/>
              <w:bottom w:val="single" w:color="000000" w:sz="4" w:space="0"/>
              <w:right w:val="nil"/>
              <w:tl2br w:val="nil"/>
              <w:tr2bl w:val="nil"/>
            </w:tcBorders>
            <w:shd w:val="clear" w:color="auto" w:fill="FFFFFF"/>
          </w:tcPr>
          <w:p w14:paraId="597ADE5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0.505 F1 score on cnBank dataset and demonstrated community-based anomaly detection.</w:t>
            </w:r>
          </w:p>
        </w:tc>
        <w:tc>
          <w:tcPr>
            <w:tcW w:w="1680" w:type="dxa"/>
            <w:tcBorders>
              <w:top w:val="single" w:color="000000" w:sz="4" w:space="0"/>
              <w:left w:val="nil"/>
              <w:bottom w:val="single" w:color="000000" w:sz="4" w:space="0"/>
              <w:right w:val="nil"/>
              <w:tl2br w:val="nil"/>
              <w:tr2bl w:val="nil"/>
            </w:tcBorders>
            <w:shd w:val="clear" w:color="auto" w:fill="FFFFFF"/>
          </w:tcPr>
          <w:p w14:paraId="5A8EFFF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Sparse labels and collaborative behaviors in money laundering detection.</w:t>
            </w:r>
          </w:p>
        </w:tc>
      </w:tr>
      <w:tr w14:paraId="6C2EB19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BC79BF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GCN, Attention</w:t>
            </w:r>
          </w:p>
        </w:tc>
        <w:tc>
          <w:tcPr>
            <w:tcW w:w="1224" w:type="dxa"/>
            <w:tcBorders>
              <w:top w:val="single" w:color="000000" w:sz="4" w:space="0"/>
              <w:left w:val="nil"/>
              <w:bottom w:val="single" w:color="000000" w:sz="4" w:space="0"/>
              <w:right w:val="nil"/>
              <w:tl2br w:val="nil"/>
              <w:tr2bl w:val="nil"/>
            </w:tcBorders>
            <w:shd w:val="clear" w:color="auto" w:fill="FFFFFF"/>
          </w:tcPr>
          <w:p w14:paraId="5E2965A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Beibei Han et al. (2024)</w:t>
            </w:r>
          </w:p>
        </w:tc>
        <w:tc>
          <w:tcPr>
            <w:tcW w:w="1920" w:type="dxa"/>
            <w:tcBorders>
              <w:top w:val="single" w:color="000000" w:sz="4" w:space="0"/>
              <w:left w:val="nil"/>
              <w:bottom w:val="single" w:color="000000" w:sz="4" w:space="0"/>
              <w:right w:val="nil"/>
              <w:tl2br w:val="nil"/>
              <w:tr2bl w:val="nil"/>
            </w:tcBorders>
            <w:shd w:val="clear" w:color="auto" w:fill="FFFFFF"/>
          </w:tcPr>
          <w:p w14:paraId="2E410E5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Introduced MT2AD for anomaly detection in multi-token, temporal transaction networks.</w:t>
            </w:r>
          </w:p>
        </w:tc>
        <w:tc>
          <w:tcPr>
            <w:tcW w:w="1236" w:type="dxa"/>
            <w:tcBorders>
              <w:top w:val="single" w:color="000000" w:sz="4" w:space="0"/>
              <w:left w:val="nil"/>
              <w:bottom w:val="single" w:color="000000" w:sz="4" w:space="0"/>
              <w:right w:val="nil"/>
              <w:tl2br w:val="nil"/>
              <w:tr2bl w:val="nil"/>
            </w:tcBorders>
            <w:shd w:val="clear" w:color="auto" w:fill="FFFFFF"/>
          </w:tcPr>
          <w:p w14:paraId="03C5F61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F1 Score, Loss</w:t>
            </w:r>
          </w:p>
        </w:tc>
        <w:tc>
          <w:tcPr>
            <w:tcW w:w="1440" w:type="dxa"/>
            <w:tcBorders>
              <w:top w:val="single" w:color="000000" w:sz="4" w:space="0"/>
              <w:left w:val="nil"/>
              <w:bottom w:val="single" w:color="000000" w:sz="4" w:space="0"/>
              <w:right w:val="nil"/>
              <w:tl2br w:val="nil"/>
              <w:tr2bl w:val="nil"/>
            </w:tcBorders>
            <w:shd w:val="clear" w:color="auto" w:fill="FFFFFF"/>
          </w:tcPr>
          <w:p w14:paraId="46FCF5A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0.8789 precision and superior anomaly detection across multi-token datasets.</w:t>
            </w:r>
          </w:p>
        </w:tc>
        <w:tc>
          <w:tcPr>
            <w:tcW w:w="1680" w:type="dxa"/>
            <w:tcBorders>
              <w:top w:val="single" w:color="000000" w:sz="4" w:space="0"/>
              <w:left w:val="nil"/>
              <w:bottom w:val="single" w:color="000000" w:sz="4" w:space="0"/>
              <w:right w:val="nil"/>
              <w:tl2br w:val="nil"/>
              <w:tr2bl w:val="nil"/>
            </w:tcBorders>
            <w:shd w:val="clear" w:color="auto" w:fill="FFFFFF"/>
          </w:tcPr>
          <w:p w14:paraId="11AF93E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Ignoring timestamps and multi-token transactions in Ethereum networks.</w:t>
            </w:r>
          </w:p>
        </w:tc>
      </w:tr>
      <w:tr w14:paraId="4F0AA2F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A9B0C7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Random Forest, Biased Walk</w:t>
            </w:r>
          </w:p>
        </w:tc>
        <w:tc>
          <w:tcPr>
            <w:tcW w:w="1224" w:type="dxa"/>
            <w:tcBorders>
              <w:top w:val="single" w:color="000000" w:sz="4" w:space="0"/>
              <w:left w:val="nil"/>
              <w:bottom w:val="single" w:color="000000" w:sz="4" w:space="0"/>
              <w:right w:val="nil"/>
              <w:tl2br w:val="nil"/>
              <w:tr2bl w:val="nil"/>
            </w:tcBorders>
            <w:shd w:val="clear" w:color="auto" w:fill="FFFFFF"/>
          </w:tcPr>
          <w:p w14:paraId="50A6A90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Chuyi Yan et al. (2023)</w:t>
            </w:r>
          </w:p>
        </w:tc>
        <w:tc>
          <w:tcPr>
            <w:tcW w:w="1920" w:type="dxa"/>
            <w:tcBorders>
              <w:top w:val="single" w:color="000000" w:sz="4" w:space="0"/>
              <w:left w:val="nil"/>
              <w:bottom w:val="single" w:color="000000" w:sz="4" w:space="0"/>
              <w:right w:val="nil"/>
              <w:tl2br w:val="nil"/>
              <w:tr2bl w:val="nil"/>
            </w:tcBorders>
            <w:shd w:val="clear" w:color="auto" w:fill="FFFFFF"/>
          </w:tcPr>
          <w:p w14:paraId="6D3DCF2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Developed Aparecium using biased random walk and Random Forest for feature-rich scam detection.</w:t>
            </w:r>
          </w:p>
        </w:tc>
        <w:tc>
          <w:tcPr>
            <w:tcW w:w="1236" w:type="dxa"/>
            <w:tcBorders>
              <w:top w:val="single" w:color="000000" w:sz="4" w:space="0"/>
              <w:left w:val="nil"/>
              <w:bottom w:val="single" w:color="000000" w:sz="4" w:space="0"/>
              <w:right w:val="nil"/>
              <w:tl2br w:val="nil"/>
              <w:tr2bl w:val="nil"/>
            </w:tcBorders>
            <w:shd w:val="clear" w:color="auto" w:fill="FFFFFF"/>
          </w:tcPr>
          <w:p w14:paraId="3B96EE2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F1 Score, Embedding Time</w:t>
            </w:r>
          </w:p>
        </w:tc>
        <w:tc>
          <w:tcPr>
            <w:tcW w:w="1440" w:type="dxa"/>
            <w:tcBorders>
              <w:top w:val="single" w:color="000000" w:sz="4" w:space="0"/>
              <w:left w:val="nil"/>
              <w:bottom w:val="single" w:color="000000" w:sz="4" w:space="0"/>
              <w:right w:val="nil"/>
              <w:tl2br w:val="nil"/>
              <w:tr2bl w:val="nil"/>
            </w:tcBorders>
            <w:shd w:val="clear" w:color="auto" w:fill="FFFFFF"/>
          </w:tcPr>
          <w:p w14:paraId="7A8F015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0.967 F1 score, reducing false positives and improving scalability for Ethereum datasets.</w:t>
            </w:r>
          </w:p>
        </w:tc>
        <w:tc>
          <w:tcPr>
            <w:tcW w:w="1680" w:type="dxa"/>
            <w:tcBorders>
              <w:top w:val="single" w:color="000000" w:sz="4" w:space="0"/>
              <w:left w:val="nil"/>
              <w:bottom w:val="single" w:color="000000" w:sz="4" w:space="0"/>
              <w:right w:val="nil"/>
              <w:tl2br w:val="nil"/>
              <w:tr2bl w:val="nil"/>
            </w:tcBorders>
            <w:shd w:val="clear" w:color="auto" w:fill="FFFFFF"/>
          </w:tcPr>
          <w:p w14:paraId="642E694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Sparse Ethereum datasets and challenges in maintaining low false positives.</w:t>
            </w:r>
          </w:p>
        </w:tc>
      </w:tr>
      <w:tr w14:paraId="15C29883">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086F45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GraphSAGE, SHAP</w:t>
            </w:r>
          </w:p>
        </w:tc>
        <w:tc>
          <w:tcPr>
            <w:tcW w:w="1224" w:type="dxa"/>
            <w:tcBorders>
              <w:top w:val="single" w:color="000000" w:sz="4" w:space="0"/>
              <w:left w:val="nil"/>
              <w:bottom w:val="single" w:color="000000" w:sz="4" w:space="0"/>
              <w:right w:val="nil"/>
              <w:tl2br w:val="nil"/>
              <w:tr2bl w:val="nil"/>
            </w:tcBorders>
            <w:shd w:val="clear" w:color="auto" w:fill="FFFFFF"/>
          </w:tcPr>
          <w:p w14:paraId="4E42D2D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Jeyakumar Samantha Tharani et al. (2024)</w:t>
            </w:r>
          </w:p>
        </w:tc>
        <w:tc>
          <w:tcPr>
            <w:tcW w:w="1920" w:type="dxa"/>
            <w:tcBorders>
              <w:top w:val="single" w:color="000000" w:sz="4" w:space="0"/>
              <w:left w:val="nil"/>
              <w:bottom w:val="single" w:color="000000" w:sz="4" w:space="0"/>
              <w:right w:val="nil"/>
              <w:tl2br w:val="nil"/>
              <w:tr2bl w:val="nil"/>
            </w:tcBorders>
            <w:shd w:val="clear" w:color="auto" w:fill="FFFFFF"/>
          </w:tcPr>
          <w:p w14:paraId="05B7244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Introduced a unified feature engineering framework combining graph-based and statistical features for malicious entity detection.</w:t>
            </w:r>
          </w:p>
        </w:tc>
        <w:tc>
          <w:tcPr>
            <w:tcW w:w="1236" w:type="dxa"/>
            <w:tcBorders>
              <w:top w:val="single" w:color="000000" w:sz="4" w:space="0"/>
              <w:left w:val="nil"/>
              <w:bottom w:val="single" w:color="000000" w:sz="4" w:space="0"/>
              <w:right w:val="nil"/>
              <w:tl2br w:val="nil"/>
              <w:tr2bl w:val="nil"/>
            </w:tcBorders>
            <w:shd w:val="clear" w:color="auto" w:fill="FFFFFF"/>
          </w:tcPr>
          <w:p w14:paraId="7F19D2B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 Score, AUC</w:t>
            </w:r>
          </w:p>
        </w:tc>
        <w:tc>
          <w:tcPr>
            <w:tcW w:w="1440" w:type="dxa"/>
            <w:tcBorders>
              <w:top w:val="single" w:color="000000" w:sz="4" w:space="0"/>
              <w:left w:val="nil"/>
              <w:bottom w:val="single" w:color="000000" w:sz="4" w:space="0"/>
              <w:right w:val="nil"/>
              <w:tl2br w:val="nil"/>
              <w:tr2bl w:val="nil"/>
            </w:tcBorders>
            <w:shd w:val="clear" w:color="auto" w:fill="FFFFFF"/>
          </w:tcPr>
          <w:p w14:paraId="036968E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up to 97.86% accuracy on Ethereum and Bitcoin datasets; improved interpretability with SHAP analysis.</w:t>
            </w:r>
          </w:p>
        </w:tc>
        <w:tc>
          <w:tcPr>
            <w:tcW w:w="1680" w:type="dxa"/>
            <w:tcBorders>
              <w:top w:val="single" w:color="000000" w:sz="4" w:space="0"/>
              <w:left w:val="nil"/>
              <w:bottom w:val="single" w:color="000000" w:sz="4" w:space="0"/>
              <w:right w:val="nil"/>
              <w:tl2br w:val="nil"/>
              <w:tr2bl w:val="nil"/>
            </w:tcBorders>
            <w:shd w:val="clear" w:color="auto" w:fill="FFFFFF"/>
          </w:tcPr>
          <w:p w14:paraId="1E3C019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Lack of systematic feature engineering and high computational costs in blockchain fraud detection.</w:t>
            </w:r>
          </w:p>
        </w:tc>
      </w:tr>
      <w:tr w14:paraId="0F4D57B6">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03C7F3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Dynamic GNN</w:t>
            </w:r>
          </w:p>
        </w:tc>
        <w:tc>
          <w:tcPr>
            <w:tcW w:w="1224" w:type="dxa"/>
            <w:tcBorders>
              <w:top w:val="single" w:color="000000" w:sz="4" w:space="0"/>
              <w:left w:val="nil"/>
              <w:bottom w:val="single" w:color="000000" w:sz="4" w:space="0"/>
              <w:right w:val="nil"/>
              <w:tl2br w:val="nil"/>
              <w:tr2bl w:val="nil"/>
            </w:tcBorders>
            <w:shd w:val="clear" w:color="auto" w:fill="FFFFFF"/>
          </w:tcPr>
          <w:p w14:paraId="6EC38B2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Shui Yu (2024)</w:t>
            </w:r>
          </w:p>
        </w:tc>
        <w:tc>
          <w:tcPr>
            <w:tcW w:w="1920" w:type="dxa"/>
            <w:tcBorders>
              <w:top w:val="single" w:color="000000" w:sz="4" w:space="0"/>
              <w:left w:val="nil"/>
              <w:bottom w:val="single" w:color="000000" w:sz="4" w:space="0"/>
              <w:right w:val="nil"/>
              <w:tl2br w:val="nil"/>
              <w:tr2bl w:val="nil"/>
            </w:tcBorders>
            <w:shd w:val="clear" w:color="auto" w:fill="FFFFFF"/>
          </w:tcPr>
          <w:p w14:paraId="1974864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continuous dynamic network link prediction using neighborhood message aggregation.</w:t>
            </w:r>
          </w:p>
        </w:tc>
        <w:tc>
          <w:tcPr>
            <w:tcW w:w="1236" w:type="dxa"/>
            <w:tcBorders>
              <w:top w:val="single" w:color="000000" w:sz="4" w:space="0"/>
              <w:left w:val="nil"/>
              <w:bottom w:val="single" w:color="000000" w:sz="4" w:space="0"/>
              <w:right w:val="nil"/>
              <w:tl2br w:val="nil"/>
              <w:tr2bl w:val="nil"/>
            </w:tcBorders>
            <w:shd w:val="clear" w:color="auto" w:fill="FFFFFF"/>
          </w:tcPr>
          <w:p w14:paraId="3EAF00E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 Precision, Link Prediction Accuracy</w:t>
            </w:r>
          </w:p>
        </w:tc>
        <w:tc>
          <w:tcPr>
            <w:tcW w:w="1440" w:type="dxa"/>
            <w:tcBorders>
              <w:top w:val="single" w:color="000000" w:sz="4" w:space="0"/>
              <w:left w:val="nil"/>
              <w:bottom w:val="single" w:color="000000" w:sz="4" w:space="0"/>
              <w:right w:val="nil"/>
              <w:tl2br w:val="nil"/>
              <w:tr2bl w:val="nil"/>
            </w:tcBorders>
            <w:shd w:val="clear" w:color="auto" w:fill="FFFFFF"/>
          </w:tcPr>
          <w:p w14:paraId="7D2DDC1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link prediction accuracy and demonstrated network resilience under stress scenarios.</w:t>
            </w:r>
          </w:p>
        </w:tc>
        <w:tc>
          <w:tcPr>
            <w:tcW w:w="1680" w:type="dxa"/>
            <w:tcBorders>
              <w:top w:val="single" w:color="000000" w:sz="4" w:space="0"/>
              <w:left w:val="nil"/>
              <w:bottom w:val="single" w:color="000000" w:sz="4" w:space="0"/>
              <w:right w:val="nil"/>
              <w:tl2br w:val="nil"/>
              <w:tr2bl w:val="nil"/>
            </w:tcBorders>
            <w:shd w:val="clear" w:color="auto" w:fill="FFFFFF"/>
          </w:tcPr>
          <w:p w14:paraId="21F54EA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Challenges in predicting relationships in evolving financial networks like the OTC bond dealer network.</w:t>
            </w:r>
          </w:p>
        </w:tc>
      </w:tr>
      <w:tr w14:paraId="3A4CDF33">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970A46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ML Algorithm</w:t>
            </w:r>
          </w:p>
        </w:tc>
        <w:tc>
          <w:tcPr>
            <w:tcW w:w="1224" w:type="dxa"/>
            <w:tcBorders>
              <w:top w:val="single" w:color="000000" w:sz="4" w:space="0"/>
              <w:left w:val="nil"/>
              <w:bottom w:val="single" w:color="000000" w:sz="4" w:space="0"/>
              <w:right w:val="nil"/>
              <w:tl2br w:val="nil"/>
              <w:tr2bl w:val="nil"/>
            </w:tcBorders>
            <w:shd w:val="clear" w:color="auto" w:fill="FFFFFF"/>
          </w:tcPr>
          <w:p w14:paraId="0960F73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Authors (Year)</w:t>
            </w:r>
          </w:p>
        </w:tc>
        <w:tc>
          <w:tcPr>
            <w:tcW w:w="1920" w:type="dxa"/>
            <w:tcBorders>
              <w:top w:val="single" w:color="000000" w:sz="4" w:space="0"/>
              <w:left w:val="nil"/>
              <w:bottom w:val="single" w:color="000000" w:sz="4" w:space="0"/>
              <w:right w:val="nil"/>
              <w:tl2br w:val="nil"/>
              <w:tr2bl w:val="nil"/>
            </w:tcBorders>
            <w:shd w:val="clear" w:color="auto" w:fill="FFFFFF"/>
          </w:tcPr>
          <w:p w14:paraId="50EB9CC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Solutions</w:t>
            </w:r>
          </w:p>
        </w:tc>
        <w:tc>
          <w:tcPr>
            <w:tcW w:w="1236" w:type="dxa"/>
            <w:tcBorders>
              <w:top w:val="single" w:color="000000" w:sz="4" w:space="0"/>
              <w:left w:val="nil"/>
              <w:bottom w:val="single" w:color="000000" w:sz="4" w:space="0"/>
              <w:right w:val="nil"/>
              <w:tl2br w:val="nil"/>
              <w:tr2bl w:val="nil"/>
            </w:tcBorders>
            <w:shd w:val="clear" w:color="auto" w:fill="FFFFFF"/>
          </w:tcPr>
          <w:p w14:paraId="0077041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Evaluation Metric</w:t>
            </w:r>
          </w:p>
        </w:tc>
        <w:tc>
          <w:tcPr>
            <w:tcW w:w="1440" w:type="dxa"/>
            <w:tcBorders>
              <w:top w:val="single" w:color="000000" w:sz="4" w:space="0"/>
              <w:left w:val="nil"/>
              <w:bottom w:val="single" w:color="000000" w:sz="4" w:space="0"/>
              <w:right w:val="nil"/>
              <w:tl2br w:val="nil"/>
              <w:tr2bl w:val="nil"/>
            </w:tcBorders>
            <w:shd w:val="clear" w:color="auto" w:fill="FFFFFF"/>
          </w:tcPr>
          <w:p w14:paraId="47F306E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Outcome</w:t>
            </w:r>
          </w:p>
        </w:tc>
        <w:tc>
          <w:tcPr>
            <w:tcW w:w="1680" w:type="dxa"/>
            <w:tcBorders>
              <w:top w:val="single" w:color="000000" w:sz="4" w:space="0"/>
              <w:left w:val="nil"/>
              <w:bottom w:val="single" w:color="000000" w:sz="4" w:space="0"/>
              <w:right w:val="nil"/>
              <w:tl2br w:val="nil"/>
              <w:tr2bl w:val="nil"/>
            </w:tcBorders>
            <w:shd w:val="clear" w:color="auto" w:fill="FFFFFF"/>
          </w:tcPr>
          <w:p w14:paraId="57B4114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Issues</w:t>
            </w:r>
          </w:p>
        </w:tc>
      </w:tr>
      <w:tr w14:paraId="23BAAF7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5B2793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GANs, XGBOD</w:t>
            </w:r>
          </w:p>
        </w:tc>
        <w:tc>
          <w:tcPr>
            <w:tcW w:w="1224" w:type="dxa"/>
            <w:tcBorders>
              <w:top w:val="single" w:color="000000" w:sz="4" w:space="0"/>
              <w:left w:val="nil"/>
              <w:bottom w:val="single" w:color="000000" w:sz="4" w:space="0"/>
              <w:right w:val="nil"/>
              <w:tl2br w:val="nil"/>
              <w:tr2bl w:val="nil"/>
            </w:tcBorders>
            <w:shd w:val="clear" w:color="auto" w:fill="FFFFFF"/>
          </w:tcPr>
          <w:p w14:paraId="1A834E0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Seyyede Zahra Aftabi, Ali Ahmadi, Saeed Farzi (2023)</w:t>
            </w:r>
          </w:p>
        </w:tc>
        <w:tc>
          <w:tcPr>
            <w:tcW w:w="1920" w:type="dxa"/>
            <w:tcBorders>
              <w:top w:val="single" w:color="000000" w:sz="4" w:space="0"/>
              <w:left w:val="nil"/>
              <w:bottom w:val="single" w:color="000000" w:sz="4" w:space="0"/>
              <w:right w:val="nil"/>
              <w:tl2br w:val="nil"/>
              <w:tr2bl w:val="nil"/>
            </w:tcBorders>
            <w:shd w:val="clear" w:color="auto" w:fill="FFFFFF"/>
          </w:tcPr>
          <w:p w14:paraId="66FC0F6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 hybrid approach combining GANs for synthetic sample generation and XGBOD for feature engineering and outlier detection.</w:t>
            </w:r>
          </w:p>
        </w:tc>
        <w:tc>
          <w:tcPr>
            <w:tcW w:w="1236" w:type="dxa"/>
            <w:tcBorders>
              <w:top w:val="single" w:color="000000" w:sz="4" w:space="0"/>
              <w:left w:val="nil"/>
              <w:bottom w:val="single" w:color="000000" w:sz="4" w:space="0"/>
              <w:right w:val="nil"/>
              <w:tl2br w:val="nil"/>
              <w:tr2bl w:val="nil"/>
            </w:tcBorders>
            <w:shd w:val="clear" w:color="auto" w:fill="FFFFFF"/>
          </w:tcPr>
          <w:p w14:paraId="6F5F582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w:t>
            </w:r>
          </w:p>
        </w:tc>
        <w:tc>
          <w:tcPr>
            <w:tcW w:w="1440" w:type="dxa"/>
            <w:tcBorders>
              <w:top w:val="single" w:color="000000" w:sz="4" w:space="0"/>
              <w:left w:val="nil"/>
              <w:bottom w:val="single" w:color="000000" w:sz="4" w:space="0"/>
              <w:right w:val="nil"/>
              <w:tl2br w:val="nil"/>
              <w:tr2bl w:val="nil"/>
            </w:tcBorders>
            <w:shd w:val="clear" w:color="auto" w:fill="FFFFFF"/>
          </w:tcPr>
          <w:p w14:paraId="3BE5802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GANs generated synthetic fraud-prone samples effectively; XGBOD achieved high accuracy and recall, outperforming traditional methods like SVM and Logistic Regression.</w:t>
            </w:r>
          </w:p>
        </w:tc>
        <w:tc>
          <w:tcPr>
            <w:tcW w:w="1680" w:type="dxa"/>
            <w:tcBorders>
              <w:top w:val="single" w:color="000000" w:sz="4" w:space="0"/>
              <w:left w:val="nil"/>
              <w:bottom w:val="single" w:color="000000" w:sz="4" w:space="0"/>
              <w:right w:val="nil"/>
              <w:tl2br w:val="nil"/>
              <w:tr2bl w:val="nil"/>
            </w:tcBorders>
            <w:shd w:val="clear" w:color="auto" w:fill="FFFFFF"/>
          </w:tcPr>
          <w:p w14:paraId="7A41D83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Imbalanced datasets, lack of fraud-prone samples, high-dimensional data, and ineffective traditional audit approaches.</w:t>
            </w:r>
          </w:p>
        </w:tc>
      </w:tr>
      <w:tr w14:paraId="0D1DF77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D40E9D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PSA-GAN, SeqGAN, DAEGAN, SSGAN, Quant GANs, C-RNN-GAN</w:t>
            </w:r>
          </w:p>
        </w:tc>
        <w:tc>
          <w:tcPr>
            <w:tcW w:w="1224" w:type="dxa"/>
            <w:tcBorders>
              <w:top w:val="single" w:color="000000" w:sz="4" w:space="0"/>
              <w:left w:val="nil"/>
              <w:bottom w:val="single" w:color="000000" w:sz="4" w:space="0"/>
              <w:right w:val="nil"/>
              <w:tl2br w:val="nil"/>
              <w:tr2bl w:val="nil"/>
            </w:tcBorders>
            <w:shd w:val="clear" w:color="auto" w:fill="FFFFFF"/>
          </w:tcPr>
          <w:p w14:paraId="5EAB133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Zihan Chen, Yifei Wang, Shuchen Zhang (2023)</w:t>
            </w:r>
          </w:p>
        </w:tc>
        <w:tc>
          <w:tcPr>
            <w:tcW w:w="1920" w:type="dxa"/>
            <w:tcBorders>
              <w:top w:val="single" w:color="000000" w:sz="4" w:space="0"/>
              <w:left w:val="nil"/>
              <w:bottom w:val="single" w:color="000000" w:sz="4" w:space="0"/>
              <w:right w:val="nil"/>
              <w:tl2br w:val="nil"/>
              <w:tr2bl w:val="nil"/>
            </w:tcBorders>
            <w:shd w:val="clear" w:color="auto" w:fill="FFFFFF"/>
          </w:tcPr>
          <w:p w14:paraId="4F7D3E4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Advanced GAN architectures like DAEGAN for credit card fraud detection, PSA-GAN for time-series modeling, SeqGAN for discrete sequence generation, and SSGAN for online gambling fraud detection.</w:t>
            </w:r>
          </w:p>
        </w:tc>
        <w:tc>
          <w:tcPr>
            <w:tcW w:w="1236" w:type="dxa"/>
            <w:tcBorders>
              <w:top w:val="single" w:color="000000" w:sz="4" w:space="0"/>
              <w:left w:val="nil"/>
              <w:bottom w:val="single" w:color="000000" w:sz="4" w:space="0"/>
              <w:right w:val="nil"/>
              <w:tl2br w:val="nil"/>
              <w:tr2bl w:val="nil"/>
            </w:tcBorders>
            <w:shd w:val="clear" w:color="auto" w:fill="FFFFFF"/>
          </w:tcPr>
          <w:p w14:paraId="336B02D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 AUC, AUPRC</w:t>
            </w:r>
          </w:p>
        </w:tc>
        <w:tc>
          <w:tcPr>
            <w:tcW w:w="1440" w:type="dxa"/>
            <w:tcBorders>
              <w:top w:val="single" w:color="000000" w:sz="4" w:space="0"/>
              <w:left w:val="nil"/>
              <w:bottom w:val="single" w:color="000000" w:sz="4" w:space="0"/>
              <w:right w:val="nil"/>
              <w:tl2br w:val="nil"/>
              <w:tr2bl w:val="nil"/>
            </w:tcBorders>
            <w:shd w:val="clear" w:color="auto" w:fill="FFFFFF"/>
          </w:tcPr>
          <w:p w14:paraId="1EFC798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GANs improved anomaly detection and predictive modeling, addressing data imbalance and achieving higher performance compared to traditional methods.</w:t>
            </w:r>
          </w:p>
        </w:tc>
        <w:tc>
          <w:tcPr>
            <w:tcW w:w="1680" w:type="dxa"/>
            <w:tcBorders>
              <w:top w:val="single" w:color="000000" w:sz="4" w:space="0"/>
              <w:left w:val="nil"/>
              <w:bottom w:val="single" w:color="000000" w:sz="4" w:space="0"/>
              <w:right w:val="nil"/>
              <w:tl2br w:val="nil"/>
              <w:tr2bl w:val="nil"/>
            </w:tcBorders>
            <w:shd w:val="clear" w:color="auto" w:fill="FFFFFF"/>
          </w:tcPr>
          <w:p w14:paraId="063115E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Data imbalance, computational complexity in financial datasets, challenges in stock market prediction, time-series analysis, and fraud detection.</w:t>
            </w:r>
          </w:p>
        </w:tc>
      </w:tr>
      <w:tr w14:paraId="0B60883F">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EBE936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UAAD-FDNet (GANs, Autoencoders)</w:t>
            </w:r>
          </w:p>
        </w:tc>
        <w:tc>
          <w:tcPr>
            <w:tcW w:w="1224" w:type="dxa"/>
            <w:tcBorders>
              <w:top w:val="single" w:color="000000" w:sz="4" w:space="0"/>
              <w:left w:val="nil"/>
              <w:bottom w:val="single" w:color="000000" w:sz="4" w:space="0"/>
              <w:right w:val="nil"/>
              <w:tl2br w:val="nil"/>
              <w:tr2bl w:val="nil"/>
            </w:tcBorders>
            <w:shd w:val="clear" w:color="auto" w:fill="FFFFFF"/>
          </w:tcPr>
          <w:p w14:paraId="1D78FE4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Shanshan Jiang, Jie Wang, Ruiting Dong, Min Xia (2023)</w:t>
            </w:r>
          </w:p>
        </w:tc>
        <w:tc>
          <w:tcPr>
            <w:tcW w:w="1920" w:type="dxa"/>
            <w:tcBorders>
              <w:top w:val="single" w:color="000000" w:sz="4" w:space="0"/>
              <w:left w:val="nil"/>
              <w:bottom w:val="single" w:color="000000" w:sz="4" w:space="0"/>
              <w:right w:val="nil"/>
              <w:tl2br w:val="nil"/>
              <w:tr2bl w:val="nil"/>
            </w:tcBorders>
            <w:shd w:val="clear" w:color="auto" w:fill="FFFFFF"/>
          </w:tcPr>
          <w:p w14:paraId="6DCAB79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UAAD-FDNet with autoencoders for feature reconstruction and GANs for adversarial learning, incorporating channel-wise feature attention and hybrid loss functions.</w:t>
            </w:r>
          </w:p>
        </w:tc>
        <w:tc>
          <w:tcPr>
            <w:tcW w:w="1236" w:type="dxa"/>
            <w:tcBorders>
              <w:top w:val="single" w:color="000000" w:sz="4" w:space="0"/>
              <w:left w:val="nil"/>
              <w:bottom w:val="single" w:color="000000" w:sz="4" w:space="0"/>
              <w:right w:val="nil"/>
              <w:tl2br w:val="nil"/>
              <w:tr2bl w:val="nil"/>
            </w:tcBorders>
            <w:shd w:val="clear" w:color="auto" w:fill="FFFFFF"/>
          </w:tcPr>
          <w:p w14:paraId="42211C5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F1-Score, AUC</w:t>
            </w:r>
          </w:p>
        </w:tc>
        <w:tc>
          <w:tcPr>
            <w:tcW w:w="1440" w:type="dxa"/>
            <w:tcBorders>
              <w:top w:val="single" w:color="000000" w:sz="4" w:space="0"/>
              <w:left w:val="nil"/>
              <w:bottom w:val="single" w:color="000000" w:sz="4" w:space="0"/>
              <w:right w:val="nil"/>
              <w:tl2br w:val="nil"/>
              <w:tr2bl w:val="nil"/>
            </w:tcBorders>
            <w:shd w:val="clear" w:color="auto" w:fill="FFFFFF"/>
          </w:tcPr>
          <w:p w14:paraId="54DD5B8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UAAD-FDNet outperformed traditional methods with superior AUC and F1-Score, demonstrating robustness against data imbalance and feature complexity.</w:t>
            </w:r>
          </w:p>
        </w:tc>
        <w:tc>
          <w:tcPr>
            <w:tcW w:w="1680" w:type="dxa"/>
            <w:tcBorders>
              <w:top w:val="single" w:color="000000" w:sz="4" w:space="0"/>
              <w:left w:val="nil"/>
              <w:bottom w:val="single" w:color="000000" w:sz="4" w:space="0"/>
              <w:right w:val="nil"/>
              <w:tl2br w:val="nil"/>
              <w:tr2bl w:val="nil"/>
            </w:tcBorders>
            <w:shd w:val="clear" w:color="auto" w:fill="FFFFFF"/>
          </w:tcPr>
          <w:p w14:paraId="0EF07EF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Ineffective traditional methods (e.g., SVM, Random Forest) for unknown attack patterns, imbalanced data, and difficulty in extracting features from transaction data.</w:t>
            </w:r>
          </w:p>
        </w:tc>
      </w:tr>
      <w:tr w14:paraId="4367F95F">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4D3901A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VAE, WGAN, AE</w:t>
            </w:r>
          </w:p>
        </w:tc>
        <w:tc>
          <w:tcPr>
            <w:tcW w:w="1224" w:type="dxa"/>
            <w:tcBorders>
              <w:top w:val="single" w:color="000000" w:sz="4" w:space="0"/>
              <w:left w:val="nil"/>
              <w:bottom w:val="single" w:color="000000" w:sz="4" w:space="0"/>
              <w:right w:val="nil"/>
              <w:tl2br w:val="nil"/>
              <w:tr2bl w:val="nil"/>
            </w:tcBorders>
            <w:shd w:val="clear" w:color="auto" w:fill="FFFFFF"/>
          </w:tcPr>
          <w:p w14:paraId="4A2CC3C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Zhiyuan Chen, Waleed Mahmoud Soliman, Amril Nazir, Mohammad Shorfuzzaman (2021)</w:t>
            </w:r>
          </w:p>
        </w:tc>
        <w:tc>
          <w:tcPr>
            <w:tcW w:w="1920" w:type="dxa"/>
            <w:tcBorders>
              <w:top w:val="single" w:color="000000" w:sz="4" w:space="0"/>
              <w:left w:val="nil"/>
              <w:bottom w:val="single" w:color="000000" w:sz="4" w:space="0"/>
              <w:right w:val="nil"/>
              <w:tl2br w:val="nil"/>
              <w:tr2bl w:val="nil"/>
            </w:tcBorders>
            <w:shd w:val="clear" w:color="auto" w:fill="FFFFFF"/>
          </w:tcPr>
          <w:p w14:paraId="78D4443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Combined VAE for probabilistic anomaly scoring, WGAN for generating synthetic samples, and AE for learning transaction representations, along with a novel Recall-First Threshold metric for evaluation.</w:t>
            </w:r>
          </w:p>
        </w:tc>
        <w:tc>
          <w:tcPr>
            <w:tcW w:w="1236" w:type="dxa"/>
            <w:tcBorders>
              <w:top w:val="single" w:color="000000" w:sz="4" w:space="0"/>
              <w:left w:val="nil"/>
              <w:bottom w:val="single" w:color="000000" w:sz="4" w:space="0"/>
              <w:right w:val="nil"/>
              <w:tl2br w:val="nil"/>
              <w:tr2bl w:val="nil"/>
            </w:tcBorders>
            <w:shd w:val="clear" w:color="auto" w:fill="FFFFFF"/>
          </w:tcPr>
          <w:p w14:paraId="7AB6776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 AUC</w:t>
            </w:r>
          </w:p>
        </w:tc>
        <w:tc>
          <w:tcPr>
            <w:tcW w:w="1440" w:type="dxa"/>
            <w:tcBorders>
              <w:top w:val="single" w:color="000000" w:sz="4" w:space="0"/>
              <w:left w:val="nil"/>
              <w:bottom w:val="single" w:color="000000" w:sz="4" w:space="0"/>
              <w:right w:val="nil"/>
              <w:tl2br w:val="nil"/>
              <w:tr2bl w:val="nil"/>
            </w:tcBorders>
            <w:shd w:val="clear" w:color="auto" w:fill="FFFFFF"/>
          </w:tcPr>
          <w:p w14:paraId="59EC5D8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Reduced false positive rates to 7%, 100% recall of fraudulent transactions, and improved detection capabilities through balanced datasets created using WGAN.</w:t>
            </w:r>
          </w:p>
        </w:tc>
        <w:tc>
          <w:tcPr>
            <w:tcW w:w="1680" w:type="dxa"/>
            <w:tcBorders>
              <w:top w:val="single" w:color="000000" w:sz="4" w:space="0"/>
              <w:left w:val="nil"/>
              <w:bottom w:val="single" w:color="000000" w:sz="4" w:space="0"/>
              <w:right w:val="nil"/>
              <w:tl2br w:val="nil"/>
              <w:tr2bl w:val="nil"/>
            </w:tcBorders>
            <w:shd w:val="clear" w:color="auto" w:fill="FFFFFF"/>
          </w:tcPr>
          <w:p w14:paraId="5AB8188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Difficulty detecting irregular patterns in imbalanced datasets, high false positives in anti-money laundering (AML) systems, and inability to adapt to new fraud patterns.</w:t>
            </w:r>
          </w:p>
        </w:tc>
      </w:tr>
      <w:tr w14:paraId="3A28C041">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A74F72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GANs, XGBOD</w:t>
            </w:r>
          </w:p>
        </w:tc>
        <w:tc>
          <w:tcPr>
            <w:tcW w:w="1224" w:type="dxa"/>
            <w:tcBorders>
              <w:top w:val="single" w:color="000000" w:sz="4" w:space="0"/>
              <w:left w:val="nil"/>
              <w:bottom w:val="single" w:color="000000" w:sz="4" w:space="0"/>
              <w:right w:val="nil"/>
              <w:tl2br w:val="nil"/>
              <w:tr2bl w:val="nil"/>
            </w:tcBorders>
            <w:shd w:val="clear" w:color="auto" w:fill="FFFFFF"/>
          </w:tcPr>
          <w:p w14:paraId="640961E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Seyyede Zahra Aftabi, Ali Ahmadi, Saeed Farzi (2023)</w:t>
            </w:r>
          </w:p>
        </w:tc>
        <w:tc>
          <w:tcPr>
            <w:tcW w:w="1920" w:type="dxa"/>
            <w:tcBorders>
              <w:top w:val="single" w:color="000000" w:sz="4" w:space="0"/>
              <w:left w:val="nil"/>
              <w:bottom w:val="single" w:color="000000" w:sz="4" w:space="0"/>
              <w:right w:val="nil"/>
              <w:tl2br w:val="nil"/>
              <w:tr2bl w:val="nil"/>
            </w:tcBorders>
            <w:shd w:val="clear" w:color="auto" w:fill="FFFFFF"/>
          </w:tcPr>
          <w:p w14:paraId="38DA732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Hybrid approach combining GANs for synthetic sample generation and XGBOD for feature engineering and outlier detection.</w:t>
            </w:r>
          </w:p>
        </w:tc>
        <w:tc>
          <w:tcPr>
            <w:tcW w:w="1236" w:type="dxa"/>
            <w:tcBorders>
              <w:top w:val="single" w:color="000000" w:sz="4" w:space="0"/>
              <w:left w:val="nil"/>
              <w:bottom w:val="single" w:color="000000" w:sz="4" w:space="0"/>
              <w:right w:val="nil"/>
              <w:tl2br w:val="nil"/>
              <w:tr2bl w:val="nil"/>
            </w:tcBorders>
            <w:shd w:val="clear" w:color="auto" w:fill="FFFFFF"/>
          </w:tcPr>
          <w:p w14:paraId="1E958B1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w:t>
            </w:r>
          </w:p>
        </w:tc>
        <w:tc>
          <w:tcPr>
            <w:tcW w:w="1440" w:type="dxa"/>
            <w:tcBorders>
              <w:top w:val="single" w:color="000000" w:sz="4" w:space="0"/>
              <w:left w:val="nil"/>
              <w:bottom w:val="single" w:color="000000" w:sz="4" w:space="0"/>
              <w:right w:val="nil"/>
              <w:tl2br w:val="nil"/>
              <w:tr2bl w:val="nil"/>
            </w:tcBorders>
            <w:shd w:val="clear" w:color="auto" w:fill="FFFFFF"/>
          </w:tcPr>
          <w:p w14:paraId="1534C92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GANs generated synthetic fraud-prone samples effectively; XGBOD achieved high accuracy and recall, outperforming traditional methods like SVM and Logistic Regression.</w:t>
            </w:r>
          </w:p>
        </w:tc>
        <w:tc>
          <w:tcPr>
            <w:tcW w:w="1680" w:type="dxa"/>
            <w:tcBorders>
              <w:top w:val="single" w:color="000000" w:sz="4" w:space="0"/>
              <w:left w:val="nil"/>
              <w:bottom w:val="single" w:color="000000" w:sz="4" w:space="0"/>
              <w:right w:val="nil"/>
              <w:tl2br w:val="nil"/>
              <w:tr2bl w:val="nil"/>
            </w:tcBorders>
            <w:shd w:val="clear" w:color="auto" w:fill="FFFFFF"/>
          </w:tcPr>
          <w:p w14:paraId="5C4433F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Imbalanced datasets, lack of fraud-prone samples, high-dimensional data, and ineffective traditional audit approaches.</w:t>
            </w:r>
          </w:p>
        </w:tc>
      </w:tr>
      <w:tr w14:paraId="225460AE">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C26A30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PSA-GAN, SeqGAN, DAEGAN, SSGAN, Quant GANs, C-RNN-GAN</w:t>
            </w:r>
          </w:p>
        </w:tc>
        <w:tc>
          <w:tcPr>
            <w:tcW w:w="1224" w:type="dxa"/>
            <w:tcBorders>
              <w:top w:val="single" w:color="000000" w:sz="4" w:space="0"/>
              <w:left w:val="nil"/>
              <w:bottom w:val="single" w:color="000000" w:sz="4" w:space="0"/>
              <w:right w:val="nil"/>
              <w:tl2br w:val="nil"/>
              <w:tr2bl w:val="nil"/>
            </w:tcBorders>
            <w:shd w:val="clear" w:color="auto" w:fill="FFFFFF"/>
          </w:tcPr>
          <w:p w14:paraId="5B06AD0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Zihan Chen, Yifei Wang, Shuchen Zhang (2023)</w:t>
            </w:r>
          </w:p>
        </w:tc>
        <w:tc>
          <w:tcPr>
            <w:tcW w:w="1920" w:type="dxa"/>
            <w:tcBorders>
              <w:top w:val="single" w:color="000000" w:sz="4" w:space="0"/>
              <w:left w:val="nil"/>
              <w:bottom w:val="single" w:color="000000" w:sz="4" w:space="0"/>
              <w:right w:val="nil"/>
              <w:tl2br w:val="nil"/>
              <w:tr2bl w:val="nil"/>
            </w:tcBorders>
            <w:shd w:val="clear" w:color="auto" w:fill="FFFFFF"/>
          </w:tcPr>
          <w:p w14:paraId="581AC9E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Advanced GAN architectures like DAEGAN for credit card fraud detection, PSA-GAN for time-series modeling, SeqGAN for discrete sequence generation, and SSGAN for online gambling fraud detection.</w:t>
            </w:r>
          </w:p>
        </w:tc>
        <w:tc>
          <w:tcPr>
            <w:tcW w:w="1236" w:type="dxa"/>
            <w:tcBorders>
              <w:top w:val="single" w:color="000000" w:sz="4" w:space="0"/>
              <w:left w:val="nil"/>
              <w:bottom w:val="single" w:color="000000" w:sz="4" w:space="0"/>
              <w:right w:val="nil"/>
              <w:tl2br w:val="nil"/>
              <w:tr2bl w:val="nil"/>
            </w:tcBorders>
            <w:shd w:val="clear" w:color="auto" w:fill="FFFFFF"/>
          </w:tcPr>
          <w:p w14:paraId="260F82F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 AUC, AUPRC</w:t>
            </w:r>
          </w:p>
        </w:tc>
        <w:tc>
          <w:tcPr>
            <w:tcW w:w="1440" w:type="dxa"/>
            <w:tcBorders>
              <w:top w:val="single" w:color="000000" w:sz="4" w:space="0"/>
              <w:left w:val="nil"/>
              <w:bottom w:val="single" w:color="000000" w:sz="4" w:space="0"/>
              <w:right w:val="nil"/>
              <w:tl2br w:val="nil"/>
              <w:tr2bl w:val="nil"/>
            </w:tcBorders>
            <w:shd w:val="clear" w:color="auto" w:fill="FFFFFF"/>
          </w:tcPr>
          <w:p w14:paraId="6C2D759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GANs improved anomaly detection and predictive modeling, addressing data imbalance and achieving higher performance compared to traditional methods.</w:t>
            </w:r>
          </w:p>
        </w:tc>
        <w:tc>
          <w:tcPr>
            <w:tcW w:w="1680" w:type="dxa"/>
            <w:tcBorders>
              <w:top w:val="single" w:color="000000" w:sz="4" w:space="0"/>
              <w:left w:val="nil"/>
              <w:bottom w:val="single" w:color="000000" w:sz="4" w:space="0"/>
              <w:right w:val="nil"/>
              <w:tl2br w:val="nil"/>
              <w:tr2bl w:val="nil"/>
            </w:tcBorders>
            <w:shd w:val="clear" w:color="auto" w:fill="FFFFFF"/>
          </w:tcPr>
          <w:p w14:paraId="17FFE67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Data imbalance, computational complexity in financial datasets, challenges in stock market prediction, time-series analysis, and fraud detection.</w:t>
            </w:r>
          </w:p>
        </w:tc>
      </w:tr>
      <w:tr w14:paraId="1EF0DE37">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8FD6FD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UAAD-FDNet (GANs, Autoencoders)</w:t>
            </w:r>
          </w:p>
        </w:tc>
        <w:tc>
          <w:tcPr>
            <w:tcW w:w="1224" w:type="dxa"/>
            <w:tcBorders>
              <w:top w:val="single" w:color="000000" w:sz="4" w:space="0"/>
              <w:left w:val="nil"/>
              <w:bottom w:val="single" w:color="000000" w:sz="4" w:space="0"/>
              <w:right w:val="nil"/>
              <w:tl2br w:val="nil"/>
              <w:tr2bl w:val="nil"/>
            </w:tcBorders>
            <w:shd w:val="clear" w:color="auto" w:fill="FFFFFF"/>
          </w:tcPr>
          <w:p w14:paraId="7405C28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Shanshan Jiang, Jie Wang, Ruiting Dong, Min Xia (2023)</w:t>
            </w:r>
          </w:p>
        </w:tc>
        <w:tc>
          <w:tcPr>
            <w:tcW w:w="1920" w:type="dxa"/>
            <w:tcBorders>
              <w:top w:val="single" w:color="000000" w:sz="4" w:space="0"/>
              <w:left w:val="nil"/>
              <w:bottom w:val="single" w:color="000000" w:sz="4" w:space="0"/>
              <w:right w:val="nil"/>
              <w:tl2br w:val="nil"/>
              <w:tr2bl w:val="nil"/>
            </w:tcBorders>
            <w:shd w:val="clear" w:color="auto" w:fill="FFFFFF"/>
          </w:tcPr>
          <w:p w14:paraId="6416F08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UAAD-FDNet with autoencoders for feature reconstruction and GANs for adversarial learning, incorporating channel-wise feature attention and hybrid loss functions.</w:t>
            </w:r>
          </w:p>
        </w:tc>
        <w:tc>
          <w:tcPr>
            <w:tcW w:w="1236" w:type="dxa"/>
            <w:tcBorders>
              <w:top w:val="single" w:color="000000" w:sz="4" w:space="0"/>
              <w:left w:val="nil"/>
              <w:bottom w:val="single" w:color="000000" w:sz="4" w:space="0"/>
              <w:right w:val="nil"/>
              <w:tl2br w:val="nil"/>
              <w:tr2bl w:val="nil"/>
            </w:tcBorders>
            <w:shd w:val="clear" w:color="auto" w:fill="FFFFFF"/>
          </w:tcPr>
          <w:p w14:paraId="546E3B7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F1-Score, AUC</w:t>
            </w:r>
          </w:p>
        </w:tc>
        <w:tc>
          <w:tcPr>
            <w:tcW w:w="1440" w:type="dxa"/>
            <w:tcBorders>
              <w:top w:val="single" w:color="000000" w:sz="4" w:space="0"/>
              <w:left w:val="nil"/>
              <w:bottom w:val="single" w:color="000000" w:sz="4" w:space="0"/>
              <w:right w:val="nil"/>
              <w:tl2br w:val="nil"/>
              <w:tr2bl w:val="nil"/>
            </w:tcBorders>
            <w:shd w:val="clear" w:color="auto" w:fill="FFFFFF"/>
          </w:tcPr>
          <w:p w14:paraId="186B1D8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UAAD-FDNet outperformed traditional methods with superior AUC and F1-Score, demonstrating robustness against data imbalance and feature complexity.</w:t>
            </w:r>
          </w:p>
        </w:tc>
        <w:tc>
          <w:tcPr>
            <w:tcW w:w="1680" w:type="dxa"/>
            <w:tcBorders>
              <w:top w:val="single" w:color="000000" w:sz="4" w:space="0"/>
              <w:left w:val="nil"/>
              <w:bottom w:val="single" w:color="000000" w:sz="4" w:space="0"/>
              <w:right w:val="nil"/>
              <w:tl2br w:val="nil"/>
              <w:tr2bl w:val="nil"/>
            </w:tcBorders>
            <w:shd w:val="clear" w:color="auto" w:fill="FFFFFF"/>
          </w:tcPr>
          <w:p w14:paraId="1BAB66B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Ineffective traditional methods (e.g., SVM, Random Forest) for unknown attack patterns, imbalanced data, and difficulty in extracting features from transaction data.</w:t>
            </w:r>
          </w:p>
        </w:tc>
      </w:tr>
      <w:tr w14:paraId="4A9F33D5">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158657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VAE, WGAN, AE</w:t>
            </w:r>
          </w:p>
        </w:tc>
        <w:tc>
          <w:tcPr>
            <w:tcW w:w="1224" w:type="dxa"/>
            <w:tcBorders>
              <w:top w:val="single" w:color="000000" w:sz="4" w:space="0"/>
              <w:left w:val="nil"/>
              <w:bottom w:val="single" w:color="000000" w:sz="4" w:space="0"/>
              <w:right w:val="nil"/>
              <w:tl2br w:val="nil"/>
              <w:tr2bl w:val="nil"/>
            </w:tcBorders>
            <w:shd w:val="clear" w:color="auto" w:fill="FFFFFF"/>
          </w:tcPr>
          <w:p w14:paraId="72623DA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Zhiyuan Chen, Waleed Mahmoud Soliman, Amril Nazir, Mohammad Shorfuzzaman (2021)</w:t>
            </w:r>
          </w:p>
        </w:tc>
        <w:tc>
          <w:tcPr>
            <w:tcW w:w="1920" w:type="dxa"/>
            <w:tcBorders>
              <w:top w:val="single" w:color="000000" w:sz="4" w:space="0"/>
              <w:left w:val="nil"/>
              <w:bottom w:val="single" w:color="000000" w:sz="4" w:space="0"/>
              <w:right w:val="nil"/>
              <w:tl2br w:val="nil"/>
              <w:tr2bl w:val="nil"/>
            </w:tcBorders>
            <w:shd w:val="clear" w:color="auto" w:fill="FFFFFF"/>
          </w:tcPr>
          <w:p w14:paraId="4E28638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Combined VAE for probabilistic anomaly scoring, WGAN for generating synthetic samples, and AE for learning transaction representations, along with a novel Recall-First Threshold metric for evaluation.</w:t>
            </w:r>
          </w:p>
        </w:tc>
        <w:tc>
          <w:tcPr>
            <w:tcW w:w="1236" w:type="dxa"/>
            <w:tcBorders>
              <w:top w:val="single" w:color="000000" w:sz="4" w:space="0"/>
              <w:left w:val="nil"/>
              <w:bottom w:val="single" w:color="000000" w:sz="4" w:space="0"/>
              <w:right w:val="nil"/>
              <w:tl2br w:val="nil"/>
              <w:tr2bl w:val="nil"/>
            </w:tcBorders>
            <w:shd w:val="clear" w:color="auto" w:fill="FFFFFF"/>
          </w:tcPr>
          <w:p w14:paraId="3ED62D2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 AUC</w:t>
            </w:r>
          </w:p>
        </w:tc>
        <w:tc>
          <w:tcPr>
            <w:tcW w:w="1440" w:type="dxa"/>
            <w:tcBorders>
              <w:top w:val="single" w:color="000000" w:sz="4" w:space="0"/>
              <w:left w:val="nil"/>
              <w:bottom w:val="single" w:color="000000" w:sz="4" w:space="0"/>
              <w:right w:val="nil"/>
              <w:tl2br w:val="nil"/>
              <w:tr2bl w:val="nil"/>
            </w:tcBorders>
            <w:shd w:val="clear" w:color="auto" w:fill="FFFFFF"/>
          </w:tcPr>
          <w:p w14:paraId="1204A3C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Reduced false positive rates to 7%, 100% recall of fraudulent transactions, and improved detection capabilities through balanced datasets created using WGAN.</w:t>
            </w:r>
          </w:p>
        </w:tc>
        <w:tc>
          <w:tcPr>
            <w:tcW w:w="1680" w:type="dxa"/>
            <w:tcBorders>
              <w:top w:val="single" w:color="000000" w:sz="4" w:space="0"/>
              <w:left w:val="nil"/>
              <w:bottom w:val="single" w:color="000000" w:sz="4" w:space="0"/>
              <w:right w:val="nil"/>
              <w:tl2br w:val="nil"/>
              <w:tr2bl w:val="nil"/>
            </w:tcBorders>
            <w:shd w:val="clear" w:color="auto" w:fill="FFFFFF"/>
          </w:tcPr>
          <w:p w14:paraId="5C63FCC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Difficulty detecting irregular patterns in imbalanced datasets, high false positives in anti-money laundering (AML) systems, and inability to adapt to new fraud patterns.</w:t>
            </w:r>
          </w:p>
        </w:tc>
      </w:tr>
      <w:tr w14:paraId="157D52A1">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E660B0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LSTM, GRU, Random Forest, Bayesian Networks, Deep Q-Networks, PPO, Advantage Actor-Critic</w:t>
            </w:r>
          </w:p>
        </w:tc>
        <w:tc>
          <w:tcPr>
            <w:tcW w:w="1224" w:type="dxa"/>
            <w:tcBorders>
              <w:top w:val="single" w:color="000000" w:sz="4" w:space="0"/>
              <w:left w:val="nil"/>
              <w:bottom w:val="single" w:color="000000" w:sz="4" w:space="0"/>
              <w:right w:val="nil"/>
              <w:tl2br w:val="nil"/>
              <w:tr2bl w:val="nil"/>
            </w:tcBorders>
            <w:shd w:val="clear" w:color="auto" w:fill="FFFFFF"/>
          </w:tcPr>
          <w:p w14:paraId="28BE08A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Rasoul Amirzadeh, Asef Nazari, Dhananjay Thiruvady (2022)</w:t>
            </w:r>
          </w:p>
        </w:tc>
        <w:tc>
          <w:tcPr>
            <w:tcW w:w="1920" w:type="dxa"/>
            <w:tcBorders>
              <w:top w:val="single" w:color="000000" w:sz="4" w:space="0"/>
              <w:left w:val="nil"/>
              <w:bottom w:val="single" w:color="000000" w:sz="4" w:space="0"/>
              <w:right w:val="nil"/>
              <w:tl2br w:val="nil"/>
              <w:tr2bl w:val="nil"/>
            </w:tcBorders>
            <w:shd w:val="clear" w:color="auto" w:fill="FFFFFF"/>
          </w:tcPr>
          <w:p w14:paraId="2168D1E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Application of supervised learning for price prediction and RL models for autonomous trading strategies, integrating sentiment analysis with financial models.</w:t>
            </w:r>
          </w:p>
        </w:tc>
        <w:tc>
          <w:tcPr>
            <w:tcW w:w="1236" w:type="dxa"/>
            <w:tcBorders>
              <w:top w:val="single" w:color="000000" w:sz="4" w:space="0"/>
              <w:left w:val="nil"/>
              <w:bottom w:val="single" w:color="000000" w:sz="4" w:space="0"/>
              <w:right w:val="nil"/>
              <w:tl2br w:val="nil"/>
              <w:tr2bl w:val="nil"/>
            </w:tcBorders>
            <w:shd w:val="clear" w:color="auto" w:fill="FFFFFF"/>
          </w:tcPr>
          <w:p w14:paraId="154B1AF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RMSE, MAE, F-score, Sharpe Ratio, Cumulative Returns</w:t>
            </w:r>
          </w:p>
        </w:tc>
        <w:tc>
          <w:tcPr>
            <w:tcW w:w="1440" w:type="dxa"/>
            <w:tcBorders>
              <w:top w:val="single" w:color="000000" w:sz="4" w:space="0"/>
              <w:left w:val="nil"/>
              <w:bottom w:val="single" w:color="000000" w:sz="4" w:space="0"/>
              <w:right w:val="nil"/>
              <w:tl2br w:val="nil"/>
              <w:tr2bl w:val="nil"/>
            </w:tcBorders>
            <w:shd w:val="clear" w:color="auto" w:fill="FFFFFF"/>
          </w:tcPr>
          <w:p w14:paraId="09A353B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AI techniques significantly improved cryptocurrency price prediction accuracy, reducing market risks and optimizing trading policies.</w:t>
            </w:r>
          </w:p>
        </w:tc>
        <w:tc>
          <w:tcPr>
            <w:tcW w:w="1680" w:type="dxa"/>
            <w:tcBorders>
              <w:top w:val="single" w:color="000000" w:sz="4" w:space="0"/>
              <w:left w:val="nil"/>
              <w:bottom w:val="single" w:color="000000" w:sz="4" w:space="0"/>
              <w:right w:val="nil"/>
              <w:tl2br w:val="nil"/>
              <w:tr2bl w:val="nil"/>
            </w:tcBorders>
            <w:shd w:val="clear" w:color="auto" w:fill="FFFFFF"/>
          </w:tcPr>
          <w:p w14:paraId="6B1027E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Challenges in price prediction and movement forecasting in cryptocurrency markets using AI techniques.</w:t>
            </w:r>
          </w:p>
        </w:tc>
      </w:tr>
      <w:tr w14:paraId="7ADE68A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E9F543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SVM, Decision Trees, Q-Learning, Deep Q-Networks, DRL</w:t>
            </w:r>
          </w:p>
        </w:tc>
        <w:tc>
          <w:tcPr>
            <w:tcW w:w="1224" w:type="dxa"/>
            <w:tcBorders>
              <w:top w:val="single" w:color="000000" w:sz="4" w:space="0"/>
              <w:left w:val="nil"/>
              <w:bottom w:val="single" w:color="000000" w:sz="4" w:space="0"/>
              <w:right w:val="nil"/>
              <w:tl2br w:val="nil"/>
              <w:tr2bl w:val="nil"/>
            </w:tcBorders>
            <w:shd w:val="clear" w:color="auto" w:fill="FFFFFF"/>
          </w:tcPr>
          <w:p w14:paraId="3D67F52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Merve Ozkan-Okay, et al. (2024)</w:t>
            </w:r>
          </w:p>
        </w:tc>
        <w:tc>
          <w:tcPr>
            <w:tcW w:w="1920" w:type="dxa"/>
            <w:tcBorders>
              <w:top w:val="single" w:color="000000" w:sz="4" w:space="0"/>
              <w:left w:val="nil"/>
              <w:bottom w:val="single" w:color="000000" w:sz="4" w:space="0"/>
              <w:right w:val="nil"/>
              <w:tl2br w:val="nil"/>
              <w:tr2bl w:val="nil"/>
            </w:tcBorders>
            <w:shd w:val="clear" w:color="auto" w:fill="FFFFFF"/>
          </w:tcPr>
          <w:p w14:paraId="7012A06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Comprehensive survey of AI techniques in cybersecurity, highlighting DRL for adaptive detection in dynamic environments.</w:t>
            </w:r>
          </w:p>
        </w:tc>
        <w:tc>
          <w:tcPr>
            <w:tcW w:w="1236" w:type="dxa"/>
            <w:tcBorders>
              <w:top w:val="single" w:color="000000" w:sz="4" w:space="0"/>
              <w:left w:val="nil"/>
              <w:bottom w:val="single" w:color="000000" w:sz="4" w:space="0"/>
              <w:right w:val="nil"/>
              <w:tl2br w:val="nil"/>
              <w:tr2bl w:val="nil"/>
            </w:tcBorders>
            <w:shd w:val="clear" w:color="auto" w:fill="FFFFFF"/>
          </w:tcPr>
          <w:p w14:paraId="1DC8AB2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F1 Score, Precision, Recall, ROC-AUC, Anomaly Detection Rate</w:t>
            </w:r>
          </w:p>
        </w:tc>
        <w:tc>
          <w:tcPr>
            <w:tcW w:w="1440" w:type="dxa"/>
            <w:tcBorders>
              <w:top w:val="single" w:color="000000" w:sz="4" w:space="0"/>
              <w:left w:val="nil"/>
              <w:bottom w:val="single" w:color="000000" w:sz="4" w:space="0"/>
              <w:right w:val="nil"/>
              <w:tl2br w:val="nil"/>
              <w:tr2bl w:val="nil"/>
            </w:tcBorders>
            <w:shd w:val="clear" w:color="auto" w:fill="FFFFFF"/>
          </w:tcPr>
          <w:p w14:paraId="514E3F4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DRL demonstrated superior adaptability and precision in detecting diverse cyber threats, automating detection and countermeasure strategies.</w:t>
            </w:r>
          </w:p>
        </w:tc>
        <w:tc>
          <w:tcPr>
            <w:tcW w:w="1680" w:type="dxa"/>
            <w:tcBorders>
              <w:top w:val="single" w:color="000000" w:sz="4" w:space="0"/>
              <w:left w:val="nil"/>
              <w:bottom w:val="single" w:color="000000" w:sz="4" w:space="0"/>
              <w:right w:val="nil"/>
              <w:tl2br w:val="nil"/>
              <w:tr2bl w:val="nil"/>
            </w:tcBorders>
            <w:shd w:val="clear" w:color="auto" w:fill="FFFFFF"/>
          </w:tcPr>
          <w:p w14:paraId="7D56D50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Increasing complexity of cyberattacks and challenges in detecting zero-day vulnerabilities, dynamic attacks, and malware.</w:t>
            </w:r>
          </w:p>
        </w:tc>
      </w:tr>
      <w:tr w14:paraId="22D45F7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CFFA55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Deep Q-Network (DQN)</w:t>
            </w:r>
          </w:p>
        </w:tc>
        <w:tc>
          <w:tcPr>
            <w:tcW w:w="1224" w:type="dxa"/>
            <w:tcBorders>
              <w:top w:val="single" w:color="000000" w:sz="4" w:space="0"/>
              <w:left w:val="nil"/>
              <w:bottom w:val="single" w:color="000000" w:sz="4" w:space="0"/>
              <w:right w:val="nil"/>
              <w:tl2br w:val="nil"/>
              <w:tr2bl w:val="nil"/>
            </w:tcBorders>
            <w:shd w:val="clear" w:color="auto" w:fill="FFFFFF"/>
          </w:tcPr>
          <w:p w14:paraId="7BA12D0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Abdul Qayoom, et al. (2024)</w:t>
            </w:r>
          </w:p>
        </w:tc>
        <w:tc>
          <w:tcPr>
            <w:tcW w:w="1920" w:type="dxa"/>
            <w:tcBorders>
              <w:top w:val="single" w:color="000000" w:sz="4" w:space="0"/>
              <w:left w:val="nil"/>
              <w:bottom w:val="single" w:color="000000" w:sz="4" w:space="0"/>
              <w:right w:val="nil"/>
              <w:tl2br w:val="nil"/>
              <w:tr2bl w:val="nil"/>
            </w:tcBorders>
            <w:shd w:val="clear" w:color="auto" w:fill="FFFFFF"/>
          </w:tcPr>
          <w:p w14:paraId="7DF9E3F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Implemented DQN for real-time fraud detection, leveraging temporal patterns in transaction data for better accuracy.</w:t>
            </w:r>
          </w:p>
        </w:tc>
        <w:tc>
          <w:tcPr>
            <w:tcW w:w="1236" w:type="dxa"/>
            <w:tcBorders>
              <w:top w:val="single" w:color="000000" w:sz="4" w:space="0"/>
              <w:left w:val="nil"/>
              <w:bottom w:val="single" w:color="000000" w:sz="4" w:space="0"/>
              <w:right w:val="nil"/>
              <w:tl2br w:val="nil"/>
              <w:tr2bl w:val="nil"/>
            </w:tcBorders>
            <w:shd w:val="clear" w:color="auto" w:fill="FFFFFF"/>
          </w:tcPr>
          <w:p w14:paraId="4384F6B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Loss, Reward</w:t>
            </w:r>
          </w:p>
        </w:tc>
        <w:tc>
          <w:tcPr>
            <w:tcW w:w="1440" w:type="dxa"/>
            <w:tcBorders>
              <w:top w:val="single" w:color="000000" w:sz="4" w:space="0"/>
              <w:left w:val="nil"/>
              <w:bottom w:val="single" w:color="000000" w:sz="4" w:space="0"/>
              <w:right w:val="nil"/>
              <w:tl2br w:val="nil"/>
              <w:tr2bl w:val="nil"/>
            </w:tcBorders>
            <w:shd w:val="clear" w:color="auto" w:fill="FFFFFF"/>
          </w:tcPr>
          <w:p w14:paraId="56275A1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97.10% accuracy with DQN, demonstrating real-time adaptability and reducing false positives in fraud detection.</w:t>
            </w:r>
          </w:p>
        </w:tc>
        <w:tc>
          <w:tcPr>
            <w:tcW w:w="1680" w:type="dxa"/>
            <w:tcBorders>
              <w:top w:val="single" w:color="000000" w:sz="4" w:space="0"/>
              <w:left w:val="nil"/>
              <w:bottom w:val="single" w:color="000000" w:sz="4" w:space="0"/>
              <w:right w:val="nil"/>
              <w:tl2br w:val="nil"/>
              <w:tr2bl w:val="nil"/>
            </w:tcBorders>
            <w:shd w:val="clear" w:color="auto" w:fill="FFFFFF"/>
          </w:tcPr>
          <w:p w14:paraId="607869A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Growing incidents of credit card fraud and difficulty in real-time fraud detection using traditional methods.</w:t>
            </w:r>
          </w:p>
        </w:tc>
      </w:tr>
      <w:tr w14:paraId="565D4354">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7536E2F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Hierarchical Reinforcement Learning (HRL)</w:t>
            </w:r>
          </w:p>
        </w:tc>
        <w:tc>
          <w:tcPr>
            <w:tcW w:w="1224" w:type="dxa"/>
            <w:tcBorders>
              <w:top w:val="single" w:color="000000" w:sz="4" w:space="0"/>
              <w:left w:val="nil"/>
              <w:bottom w:val="single" w:color="000000" w:sz="4" w:space="0"/>
              <w:right w:val="nil"/>
              <w:tl2br w:val="nil"/>
              <w:tr2bl w:val="nil"/>
            </w:tcBorders>
            <w:shd w:val="clear" w:color="auto" w:fill="FFFFFF"/>
          </w:tcPr>
          <w:p w14:paraId="2A2AB23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Arwa AlKhonaini, Tarek Sheltami, et al. (2024)</w:t>
            </w:r>
          </w:p>
        </w:tc>
        <w:tc>
          <w:tcPr>
            <w:tcW w:w="1920" w:type="dxa"/>
            <w:tcBorders>
              <w:top w:val="single" w:color="000000" w:sz="4" w:space="0"/>
              <w:left w:val="nil"/>
              <w:bottom w:val="single" w:color="000000" w:sz="4" w:space="0"/>
              <w:right w:val="nil"/>
              <w:tl2br w:val="nil"/>
              <w:tr2bl w:val="nil"/>
            </w:tcBorders>
            <w:shd w:val="clear" w:color="auto" w:fill="FFFFFF"/>
          </w:tcPr>
          <w:p w14:paraId="1042A7B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Proposed HRL with policy gradient optimization for RF-based UAV detection, integrating hierarchical policies for efficient decision-making and identification.</w:t>
            </w:r>
          </w:p>
        </w:tc>
        <w:tc>
          <w:tcPr>
            <w:tcW w:w="1236" w:type="dxa"/>
            <w:tcBorders>
              <w:top w:val="single" w:color="000000" w:sz="4" w:space="0"/>
              <w:left w:val="nil"/>
              <w:bottom w:val="single" w:color="000000" w:sz="4" w:space="0"/>
              <w:right w:val="nil"/>
              <w:tl2br w:val="nil"/>
              <w:tr2bl w:val="nil"/>
            </w:tcBorders>
            <w:shd w:val="clear" w:color="auto" w:fill="FFFFFF"/>
          </w:tcPr>
          <w:p w14:paraId="0D3DD6F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Policy Loss, Cross-Entropy Loss, Reward-Based Metrics (Cumulative Return)</w:t>
            </w:r>
          </w:p>
        </w:tc>
        <w:tc>
          <w:tcPr>
            <w:tcW w:w="1440" w:type="dxa"/>
            <w:tcBorders>
              <w:top w:val="single" w:color="000000" w:sz="4" w:space="0"/>
              <w:left w:val="nil"/>
              <w:bottom w:val="single" w:color="000000" w:sz="4" w:space="0"/>
              <w:right w:val="nil"/>
              <w:tl2br w:val="nil"/>
              <w:tr2bl w:val="nil"/>
            </w:tcBorders>
            <w:shd w:val="clear" w:color="auto" w:fill="FFFFFF"/>
          </w:tcPr>
          <w:p w14:paraId="2018589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99.7% detection accuracy, showcasing HRL’s scalability and precision in UAV security applications.</w:t>
            </w:r>
          </w:p>
        </w:tc>
        <w:tc>
          <w:tcPr>
            <w:tcW w:w="1680" w:type="dxa"/>
            <w:tcBorders>
              <w:top w:val="single" w:color="000000" w:sz="4" w:space="0"/>
              <w:left w:val="nil"/>
              <w:bottom w:val="single" w:color="000000" w:sz="4" w:space="0"/>
              <w:right w:val="nil"/>
              <w:tl2br w:val="nil"/>
              <w:tr2bl w:val="nil"/>
            </w:tcBorders>
            <w:shd w:val="clear" w:color="auto" w:fill="FFFFFF"/>
          </w:tcPr>
          <w:p w14:paraId="7F8923A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Detecting UAV intrusions in secured environments using traditional visual and acoustic detection methods prone to limitations.</w:t>
            </w:r>
          </w:p>
        </w:tc>
      </w:tr>
      <w:tr w14:paraId="17DD4DA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5D55C8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Hierarchical LSH-LOF, Factorization Machines, Autoencoders</w:t>
            </w:r>
          </w:p>
        </w:tc>
        <w:tc>
          <w:tcPr>
            <w:tcW w:w="1224" w:type="dxa"/>
            <w:tcBorders>
              <w:top w:val="single" w:color="000000" w:sz="4" w:space="0"/>
              <w:left w:val="nil"/>
              <w:bottom w:val="single" w:color="000000" w:sz="4" w:space="0"/>
              <w:right w:val="nil"/>
              <w:tl2br w:val="nil"/>
              <w:tr2bl w:val="nil"/>
            </w:tcBorders>
            <w:shd w:val="clear" w:color="auto" w:fill="FFFFFF"/>
          </w:tcPr>
          <w:p w14:paraId="7742DA9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Feng Zheng, Quanyun Liu (2020)</w:t>
            </w:r>
          </w:p>
        </w:tc>
        <w:tc>
          <w:tcPr>
            <w:tcW w:w="1920" w:type="dxa"/>
            <w:tcBorders>
              <w:top w:val="single" w:color="000000" w:sz="4" w:space="0"/>
              <w:left w:val="nil"/>
              <w:bottom w:val="single" w:color="000000" w:sz="4" w:space="0"/>
              <w:right w:val="nil"/>
              <w:tl2br w:val="nil"/>
              <w:tr2bl w:val="nil"/>
            </w:tcBorders>
            <w:shd w:val="clear" w:color="auto" w:fill="FFFFFF"/>
          </w:tcPr>
          <w:p w14:paraId="2F047BF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Multi-faceted Telecom Customer Behavior Analysis (MTCBA) framework combining Hierarchical LSH-LOF for anomaly detection and FM-AE for dimensionality reduction and clustering.</w:t>
            </w:r>
          </w:p>
        </w:tc>
        <w:tc>
          <w:tcPr>
            <w:tcW w:w="1236" w:type="dxa"/>
            <w:tcBorders>
              <w:top w:val="single" w:color="000000" w:sz="4" w:space="0"/>
              <w:left w:val="nil"/>
              <w:bottom w:val="single" w:color="000000" w:sz="4" w:space="0"/>
              <w:right w:val="nil"/>
              <w:tl2br w:val="nil"/>
              <w:tr2bl w:val="nil"/>
            </w:tcBorders>
            <w:shd w:val="clear" w:color="auto" w:fill="FFFFFF"/>
          </w:tcPr>
          <w:p w14:paraId="4C5F2F2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 Recall, RMSE</w:t>
            </w:r>
          </w:p>
        </w:tc>
        <w:tc>
          <w:tcPr>
            <w:tcW w:w="1440" w:type="dxa"/>
            <w:tcBorders>
              <w:top w:val="single" w:color="000000" w:sz="4" w:space="0"/>
              <w:left w:val="nil"/>
              <w:bottom w:val="single" w:color="000000" w:sz="4" w:space="0"/>
              <w:right w:val="nil"/>
              <w:tl2br w:val="nil"/>
              <w:tr2bl w:val="nil"/>
            </w:tcBorders>
            <w:shd w:val="clear" w:color="auto" w:fill="FFFFFF"/>
          </w:tcPr>
          <w:p w14:paraId="30EEDA2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anomaly detection and clustering with actionable insights for fraud prevention and precision marketing in telecom operations.</w:t>
            </w:r>
          </w:p>
        </w:tc>
        <w:tc>
          <w:tcPr>
            <w:tcW w:w="1680" w:type="dxa"/>
            <w:tcBorders>
              <w:top w:val="single" w:color="000000" w:sz="4" w:space="0"/>
              <w:left w:val="nil"/>
              <w:bottom w:val="single" w:color="000000" w:sz="4" w:space="0"/>
              <w:right w:val="nil"/>
              <w:tl2br w:val="nil"/>
              <w:tr2bl w:val="nil"/>
            </w:tcBorders>
            <w:shd w:val="clear" w:color="auto" w:fill="FFFFFF"/>
          </w:tcPr>
          <w:p w14:paraId="6B20675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Detecting anomalous telecom customer behavior for fraud prevention and clustering customer data for actionable insights.</w:t>
            </w:r>
          </w:p>
        </w:tc>
      </w:tr>
      <w:tr w14:paraId="6F213724">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EDC917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Lightweight CNN, LSTM, Attention Mechanism</w:t>
            </w:r>
          </w:p>
        </w:tc>
        <w:tc>
          <w:tcPr>
            <w:tcW w:w="1224" w:type="dxa"/>
            <w:tcBorders>
              <w:top w:val="single" w:color="000000" w:sz="4" w:space="0"/>
              <w:left w:val="nil"/>
              <w:bottom w:val="single" w:color="000000" w:sz="4" w:space="0"/>
              <w:right w:val="nil"/>
              <w:tl2br w:val="nil"/>
              <w:tr2bl w:val="nil"/>
            </w:tcBorders>
            <w:shd w:val="clear" w:color="auto" w:fill="FFFFFF"/>
          </w:tcPr>
          <w:p w14:paraId="3DA8958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Sareer Ul Amin et al. (2023)</w:t>
            </w:r>
          </w:p>
        </w:tc>
        <w:tc>
          <w:tcPr>
            <w:tcW w:w="1920" w:type="dxa"/>
            <w:tcBorders>
              <w:top w:val="single" w:color="000000" w:sz="4" w:space="0"/>
              <w:left w:val="nil"/>
              <w:bottom w:val="single" w:color="000000" w:sz="4" w:space="0"/>
              <w:right w:val="nil"/>
              <w:tl2br w:val="nil"/>
              <w:tr2bl w:val="nil"/>
            </w:tcBorders>
            <w:shd w:val="clear" w:color="auto" w:fill="FFFFFF"/>
          </w:tcPr>
          <w:p w14:paraId="79E0AEA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Attention-Based Deep Learning Approach (ADSV) combining Lightweight CNN, LSTM, and attention mechanisms for feature extraction and prioritization.</w:t>
            </w:r>
          </w:p>
        </w:tc>
        <w:tc>
          <w:tcPr>
            <w:tcW w:w="1236" w:type="dxa"/>
            <w:tcBorders>
              <w:top w:val="single" w:color="000000" w:sz="4" w:space="0"/>
              <w:left w:val="nil"/>
              <w:bottom w:val="single" w:color="000000" w:sz="4" w:space="0"/>
              <w:right w:val="nil"/>
              <w:tl2br w:val="nil"/>
              <w:tr2bl w:val="nil"/>
            </w:tcBorders>
            <w:shd w:val="clear" w:color="auto" w:fill="FFFFFF"/>
          </w:tcPr>
          <w:p w14:paraId="6EE1336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 R</w:t>
            </w:r>
          </w:p>
        </w:tc>
        <w:tc>
          <w:tcPr>
            <w:tcW w:w="1440" w:type="dxa"/>
            <w:tcBorders>
              <w:top w:val="single" w:color="000000" w:sz="4" w:space="0"/>
              <w:left w:val="nil"/>
              <w:bottom w:val="single" w:color="000000" w:sz="4" w:space="0"/>
              <w:right w:val="nil"/>
              <w:tl2br w:val="nil"/>
              <w:tr2bl w:val="nil"/>
            </w:tcBorders>
            <w:shd w:val="clear" w:color="auto" w:fill="FFFFFF"/>
          </w:tcPr>
          <w:p w14:paraId="358AD81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99% AUC for CUHK-Avenue and 97% AUC for UCF-Crime datasets; reduced false alarm rates significantly.</w:t>
            </w:r>
          </w:p>
        </w:tc>
        <w:tc>
          <w:tcPr>
            <w:tcW w:w="1680" w:type="dxa"/>
            <w:tcBorders>
              <w:top w:val="single" w:color="000000" w:sz="4" w:space="0"/>
              <w:left w:val="nil"/>
              <w:bottom w:val="single" w:color="000000" w:sz="4" w:space="0"/>
              <w:right w:val="nil"/>
              <w:tl2br w:val="nil"/>
              <w:tr2bl w:val="nil"/>
            </w:tcBorders>
            <w:shd w:val="clear" w:color="auto" w:fill="FFFFFF"/>
          </w:tcPr>
          <w:p w14:paraId="6589C8F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Difficulty detecting anomalies in surveillance videos due to low-quality footage, diverse patterns, and lack of labeled data.</w:t>
            </w:r>
          </w:p>
        </w:tc>
      </w:tr>
      <w:tr w14:paraId="50790A3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C2FCBF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Local Outlier Factor (LOF), Improved LOF, COF, LoOP, kNN</w:t>
            </w:r>
          </w:p>
        </w:tc>
        <w:tc>
          <w:tcPr>
            <w:tcW w:w="1224" w:type="dxa"/>
            <w:tcBorders>
              <w:top w:val="single" w:color="000000" w:sz="4" w:space="0"/>
              <w:left w:val="nil"/>
              <w:bottom w:val="single" w:color="000000" w:sz="4" w:space="0"/>
              <w:right w:val="nil"/>
              <w:tl2br w:val="nil"/>
              <w:tr2bl w:val="nil"/>
            </w:tcBorders>
            <w:shd w:val="clear" w:color="auto" w:fill="FFFFFF"/>
          </w:tcPr>
          <w:p w14:paraId="6EBFE5B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Arya Adesh, Shobha G, Jyoti Shetty, Lili Xu</w:t>
            </w:r>
          </w:p>
        </w:tc>
        <w:tc>
          <w:tcPr>
            <w:tcW w:w="1920" w:type="dxa"/>
            <w:tcBorders>
              <w:top w:val="single" w:color="000000" w:sz="4" w:space="0"/>
              <w:left w:val="nil"/>
              <w:bottom w:val="single" w:color="000000" w:sz="4" w:space="0"/>
              <w:right w:val="nil"/>
              <w:tl2br w:val="nil"/>
              <w:tr2bl w:val="nil"/>
            </w:tcBorders>
            <w:shd w:val="clear" w:color="auto" w:fill="FFFFFF"/>
          </w:tcPr>
          <w:p w14:paraId="0023EE4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Scalable, distributed implementation of Improved LOF on HPCC Systems.</w:t>
            </w:r>
          </w:p>
        </w:tc>
        <w:tc>
          <w:tcPr>
            <w:tcW w:w="1236" w:type="dxa"/>
            <w:tcBorders>
              <w:top w:val="single" w:color="000000" w:sz="4" w:space="0"/>
              <w:left w:val="nil"/>
              <w:bottom w:val="single" w:color="000000" w:sz="4" w:space="0"/>
              <w:right w:val="nil"/>
              <w:tl2br w:val="nil"/>
              <w:tr2bl w:val="nil"/>
            </w:tcBorders>
            <w:shd w:val="clear" w:color="auto" w:fill="FFFFFF"/>
          </w:tcPr>
          <w:p w14:paraId="79F4BF7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Precision, Recall, F1 Score, Accuracy, Cluster Execution Time</w:t>
            </w:r>
          </w:p>
        </w:tc>
        <w:tc>
          <w:tcPr>
            <w:tcW w:w="1440" w:type="dxa"/>
            <w:tcBorders>
              <w:top w:val="single" w:color="000000" w:sz="4" w:space="0"/>
              <w:left w:val="nil"/>
              <w:bottom w:val="single" w:color="000000" w:sz="4" w:space="0"/>
              <w:right w:val="nil"/>
              <w:tl2br w:val="nil"/>
              <w:tr2bl w:val="nil"/>
            </w:tcBorders>
            <w:shd w:val="clear" w:color="auto" w:fill="FFFFFF"/>
          </w:tcPr>
          <w:p w14:paraId="30E0D7C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LOF handled duplicates better, showed superior scalability in HPCC Systems.</w:t>
            </w:r>
          </w:p>
        </w:tc>
        <w:tc>
          <w:tcPr>
            <w:tcW w:w="1680" w:type="dxa"/>
            <w:tcBorders>
              <w:top w:val="single" w:color="000000" w:sz="4" w:space="0"/>
              <w:left w:val="nil"/>
              <w:bottom w:val="single" w:color="000000" w:sz="4" w:space="0"/>
              <w:right w:val="nil"/>
              <w:tl2br w:val="nil"/>
              <w:tr2bl w:val="nil"/>
            </w:tcBorders>
            <w:shd w:val="clear" w:color="auto" w:fill="FFFFFF"/>
          </w:tcPr>
          <w:p w14:paraId="366EE73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High computational complexity, redundancy in LOF, challenges in distributed anomaly detection.</w:t>
            </w:r>
          </w:p>
        </w:tc>
      </w:tr>
      <w:tr w14:paraId="2D726EDE">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7FA3C1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Local Outlier Factor (LOF), COF, KMeans</w:t>
            </w:r>
          </w:p>
        </w:tc>
        <w:tc>
          <w:tcPr>
            <w:tcW w:w="1224" w:type="dxa"/>
            <w:tcBorders>
              <w:top w:val="single" w:color="000000" w:sz="4" w:space="0"/>
              <w:left w:val="nil"/>
              <w:bottom w:val="single" w:color="000000" w:sz="4" w:space="0"/>
              <w:right w:val="nil"/>
              <w:tl2br w:val="nil"/>
              <w:tr2bl w:val="nil"/>
            </w:tcBorders>
            <w:shd w:val="clear" w:color="auto" w:fill="FFFFFF"/>
          </w:tcPr>
          <w:p w14:paraId="2E89DAE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Agnieszka Nowak-Brzezińska, Czesław Horyń</w:t>
            </w:r>
          </w:p>
        </w:tc>
        <w:tc>
          <w:tcPr>
            <w:tcW w:w="1920" w:type="dxa"/>
            <w:tcBorders>
              <w:top w:val="single" w:color="000000" w:sz="4" w:space="0"/>
              <w:left w:val="nil"/>
              <w:bottom w:val="single" w:color="000000" w:sz="4" w:space="0"/>
              <w:right w:val="nil"/>
              <w:tl2br w:val="nil"/>
              <w:tr2bl w:val="nil"/>
            </w:tcBorders>
            <w:shd w:val="clear" w:color="auto" w:fill="FFFFFF"/>
          </w:tcPr>
          <w:p w14:paraId="3808860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Comparative analysis of LOF, COF, and KMeans for rule-based clustering quality.</w:t>
            </w:r>
          </w:p>
        </w:tc>
        <w:tc>
          <w:tcPr>
            <w:tcW w:w="1236" w:type="dxa"/>
            <w:tcBorders>
              <w:top w:val="single" w:color="000000" w:sz="4" w:space="0"/>
              <w:left w:val="nil"/>
              <w:bottom w:val="single" w:color="000000" w:sz="4" w:space="0"/>
              <w:right w:val="nil"/>
              <w:tl2br w:val="nil"/>
              <w:tr2bl w:val="nil"/>
            </w:tcBorders>
            <w:shd w:val="clear" w:color="auto" w:fill="FFFFFF"/>
          </w:tcPr>
          <w:p w14:paraId="20177D7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Silhouette Index, Dunn Index, Davies-Bouldin Index, CPCC, Pseudo F, Hubert-Levine Index</w:t>
            </w:r>
          </w:p>
        </w:tc>
        <w:tc>
          <w:tcPr>
            <w:tcW w:w="1440" w:type="dxa"/>
            <w:tcBorders>
              <w:top w:val="single" w:color="000000" w:sz="4" w:space="0"/>
              <w:left w:val="nil"/>
              <w:bottom w:val="single" w:color="000000" w:sz="4" w:space="0"/>
              <w:right w:val="nil"/>
              <w:tl2br w:val="nil"/>
              <w:tr2bl w:val="nil"/>
            </w:tcBorders>
            <w:shd w:val="clear" w:color="auto" w:fill="FFFFFF"/>
          </w:tcPr>
          <w:p w14:paraId="1069D91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COF improved clustering quality across diverse datasets more frequently than LOF or KMeans.</w:t>
            </w:r>
          </w:p>
        </w:tc>
        <w:tc>
          <w:tcPr>
            <w:tcW w:w="1680" w:type="dxa"/>
            <w:tcBorders>
              <w:top w:val="single" w:color="000000" w:sz="4" w:space="0"/>
              <w:left w:val="nil"/>
              <w:bottom w:val="single" w:color="000000" w:sz="4" w:space="0"/>
              <w:right w:val="nil"/>
              <w:tl2br w:val="nil"/>
              <w:tr2bl w:val="nil"/>
            </w:tcBorders>
            <w:shd w:val="clear" w:color="auto" w:fill="FFFFFF"/>
          </w:tcPr>
          <w:p w14:paraId="7A644DE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Impact of outliers on rule-based clustering quality, difficulty in maintaining cluster quality.</w:t>
            </w:r>
          </w:p>
        </w:tc>
      </w:tr>
      <w:tr w14:paraId="0EA7E38E">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1F9983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Local Outlier Factor (LOF), Self-Organizing Maps (SOM)</w:t>
            </w:r>
          </w:p>
        </w:tc>
        <w:tc>
          <w:tcPr>
            <w:tcW w:w="1224" w:type="dxa"/>
            <w:tcBorders>
              <w:top w:val="single" w:color="000000" w:sz="4" w:space="0"/>
              <w:left w:val="nil"/>
              <w:bottom w:val="single" w:color="000000" w:sz="4" w:space="0"/>
              <w:right w:val="nil"/>
              <w:tl2br w:val="nil"/>
              <w:tr2bl w:val="nil"/>
            </w:tcBorders>
            <w:shd w:val="clear" w:color="auto" w:fill="FFFFFF"/>
          </w:tcPr>
          <w:p w14:paraId="146B753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Czesław Horyń, Agnieszka Nowak-Brzezińska</w:t>
            </w:r>
          </w:p>
        </w:tc>
        <w:tc>
          <w:tcPr>
            <w:tcW w:w="1920" w:type="dxa"/>
            <w:tcBorders>
              <w:top w:val="single" w:color="000000" w:sz="4" w:space="0"/>
              <w:left w:val="nil"/>
              <w:bottom w:val="single" w:color="000000" w:sz="4" w:space="0"/>
              <w:right w:val="nil"/>
              <w:tl2br w:val="nil"/>
              <w:tr2bl w:val="nil"/>
            </w:tcBorders>
            <w:shd w:val="clear" w:color="auto" w:fill="FFFFFF"/>
          </w:tcPr>
          <w:p w14:paraId="5189502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Combining LOF and SOM for detecting and visualizing anomalies in rule-based systems.</w:t>
            </w:r>
          </w:p>
        </w:tc>
        <w:tc>
          <w:tcPr>
            <w:tcW w:w="1236" w:type="dxa"/>
            <w:tcBorders>
              <w:top w:val="single" w:color="000000" w:sz="4" w:space="0"/>
              <w:left w:val="nil"/>
              <w:bottom w:val="single" w:color="000000" w:sz="4" w:space="0"/>
              <w:right w:val="nil"/>
              <w:tl2br w:val="nil"/>
              <w:tr2bl w:val="nil"/>
            </w:tcBorders>
            <w:shd w:val="clear" w:color="auto" w:fill="FFFFFF"/>
          </w:tcPr>
          <w:p w14:paraId="6E13B0E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Quantization Error (QE), Mean Quantization Error (MQE), LOF values</w:t>
            </w:r>
          </w:p>
        </w:tc>
        <w:tc>
          <w:tcPr>
            <w:tcW w:w="1440" w:type="dxa"/>
            <w:tcBorders>
              <w:top w:val="single" w:color="000000" w:sz="4" w:space="0"/>
              <w:left w:val="nil"/>
              <w:bottom w:val="single" w:color="000000" w:sz="4" w:space="0"/>
              <w:right w:val="nil"/>
              <w:tl2br w:val="nil"/>
              <w:tr2bl w:val="nil"/>
            </w:tcBorders>
            <w:shd w:val="clear" w:color="auto" w:fill="FFFFFF"/>
          </w:tcPr>
          <w:p w14:paraId="6162DBD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SOM excelled in visualization; LOF provided finer granularity in density-based detection.</w:t>
            </w:r>
          </w:p>
        </w:tc>
        <w:tc>
          <w:tcPr>
            <w:tcW w:w="1680" w:type="dxa"/>
            <w:tcBorders>
              <w:top w:val="single" w:color="000000" w:sz="4" w:space="0"/>
              <w:left w:val="nil"/>
              <w:bottom w:val="single" w:color="000000" w:sz="4" w:space="0"/>
              <w:right w:val="nil"/>
              <w:tl2br w:val="nil"/>
              <w:tr2bl w:val="nil"/>
            </w:tcBorders>
            <w:shd w:val="clear" w:color="auto" w:fill="FFFFFF"/>
          </w:tcPr>
          <w:p w14:paraId="3BE7943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Incomplete, redundant, inconsistent rules; challenges in identifying unusual rules.</w:t>
            </w:r>
          </w:p>
        </w:tc>
      </w:tr>
      <w:tr w14:paraId="47209A03">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FAAF2D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XBoost, LightGBM, XGBoost, Extended Classifier Systems (XCSR)</w:t>
            </w:r>
          </w:p>
        </w:tc>
        <w:tc>
          <w:tcPr>
            <w:tcW w:w="1224" w:type="dxa"/>
            <w:tcBorders>
              <w:top w:val="single" w:color="000000" w:sz="4" w:space="0"/>
              <w:left w:val="nil"/>
              <w:bottom w:val="single" w:color="000000" w:sz="4" w:space="0"/>
              <w:right w:val="nil"/>
              <w:tl2br w:val="nil"/>
              <w:tr2bl w:val="nil"/>
            </w:tcBorders>
            <w:shd w:val="clear" w:color="auto" w:fill="FFFFFF"/>
          </w:tcPr>
          <w:p w14:paraId="2241F53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Pandey, M. (2024)</w:t>
            </w:r>
          </w:p>
        </w:tc>
        <w:tc>
          <w:tcPr>
            <w:tcW w:w="1920" w:type="dxa"/>
            <w:tcBorders>
              <w:top w:val="single" w:color="000000" w:sz="4" w:space="0"/>
              <w:left w:val="nil"/>
              <w:bottom w:val="single" w:color="000000" w:sz="4" w:space="0"/>
              <w:right w:val="nil"/>
              <w:tl2br w:val="nil"/>
              <w:tr2bl w:val="nil"/>
            </w:tcBorders>
            <w:shd w:val="clear" w:color="auto" w:fill="FFFFFF"/>
          </w:tcPr>
          <w:p w14:paraId="2CBEEA2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Development of ML-based predictive models incorporating physiological, ventilator, and historical patient data.</w:t>
            </w:r>
          </w:p>
        </w:tc>
        <w:tc>
          <w:tcPr>
            <w:tcW w:w="1236" w:type="dxa"/>
            <w:tcBorders>
              <w:top w:val="single" w:color="000000" w:sz="4" w:space="0"/>
              <w:left w:val="nil"/>
              <w:bottom w:val="single" w:color="000000" w:sz="4" w:space="0"/>
              <w:right w:val="nil"/>
              <w:tl2br w:val="nil"/>
              <w:tr2bl w:val="nil"/>
            </w:tcBorders>
            <w:shd w:val="clear" w:color="auto" w:fill="FFFFFF"/>
          </w:tcPr>
          <w:p w14:paraId="41B2F9E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Sensitivity, F-score, ROC, AUC</w:t>
            </w:r>
          </w:p>
        </w:tc>
        <w:tc>
          <w:tcPr>
            <w:tcW w:w="1440" w:type="dxa"/>
            <w:tcBorders>
              <w:top w:val="single" w:color="000000" w:sz="4" w:space="0"/>
              <w:left w:val="nil"/>
              <w:bottom w:val="single" w:color="000000" w:sz="4" w:space="0"/>
              <w:right w:val="nil"/>
              <w:tl2br w:val="nil"/>
              <w:tr2bl w:val="nil"/>
            </w:tcBorders>
            <w:shd w:val="clear" w:color="auto" w:fill="FFFFFF"/>
          </w:tcPr>
          <w:p w14:paraId="1E793E7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predictability of weaning success rates; need for explainable AI and standardized data collection practices.</w:t>
            </w:r>
          </w:p>
        </w:tc>
        <w:tc>
          <w:tcPr>
            <w:tcW w:w="1680" w:type="dxa"/>
            <w:tcBorders>
              <w:top w:val="single" w:color="000000" w:sz="4" w:space="0"/>
              <w:left w:val="nil"/>
              <w:bottom w:val="single" w:color="000000" w:sz="4" w:space="0"/>
              <w:right w:val="nil"/>
              <w:tl2br w:val="nil"/>
              <w:tr2bl w:val="nil"/>
            </w:tcBorders>
            <w:shd w:val="clear" w:color="auto" w:fill="FFFFFF"/>
          </w:tcPr>
          <w:p w14:paraId="5CB88AC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High ventilator weaning failure rates; challenges in clinical decision-making; limitations in predictive models.</w:t>
            </w:r>
          </w:p>
        </w:tc>
      </w:tr>
      <w:tr w14:paraId="6E1B12BD">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7CB5CED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Supervised (SVM, RF, DT, ANN), Unsupervised (GANs), Reinforcement Learning (Bi-LSTM, Transformer models), Deep Learning (CNN, Bi-LSTM)</w:t>
            </w:r>
          </w:p>
        </w:tc>
        <w:tc>
          <w:tcPr>
            <w:tcW w:w="1224" w:type="dxa"/>
            <w:tcBorders>
              <w:top w:val="single" w:color="000000" w:sz="4" w:space="0"/>
              <w:left w:val="nil"/>
              <w:bottom w:val="single" w:color="000000" w:sz="4" w:space="0"/>
              <w:right w:val="nil"/>
              <w:tl2br w:val="nil"/>
              <w:tr2bl w:val="nil"/>
            </w:tcBorders>
            <w:shd w:val="clear" w:color="auto" w:fill="FFFFFF"/>
          </w:tcPr>
          <w:p w14:paraId="6A93D82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Hashmi, E., Yamin, M. M., &amp; Yayilgan, S. Y. (2024)</w:t>
            </w:r>
          </w:p>
        </w:tc>
        <w:tc>
          <w:tcPr>
            <w:tcW w:w="1920" w:type="dxa"/>
            <w:tcBorders>
              <w:top w:val="single" w:color="000000" w:sz="4" w:space="0"/>
              <w:left w:val="nil"/>
              <w:bottom w:val="single" w:color="000000" w:sz="4" w:space="0"/>
              <w:right w:val="nil"/>
              <w:tl2br w:val="nil"/>
              <w:tr2bl w:val="nil"/>
            </w:tcBorders>
            <w:shd w:val="clear" w:color="auto" w:fill="FFFFFF"/>
          </w:tcPr>
          <w:p w14:paraId="5F301C9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Hybrid AI defense strategies combining rule-based and learning-based methods.</w:t>
            </w:r>
          </w:p>
        </w:tc>
        <w:tc>
          <w:tcPr>
            <w:tcW w:w="1236" w:type="dxa"/>
            <w:tcBorders>
              <w:top w:val="single" w:color="000000" w:sz="4" w:space="0"/>
              <w:left w:val="nil"/>
              <w:bottom w:val="single" w:color="000000" w:sz="4" w:space="0"/>
              <w:right w:val="nil"/>
              <w:tl2br w:val="nil"/>
              <w:tr2bl w:val="nil"/>
            </w:tcBorders>
            <w:shd w:val="clear" w:color="auto" w:fill="FFFFFF"/>
          </w:tcPr>
          <w:p w14:paraId="511BFAD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 ROC, AUC</w:t>
            </w:r>
          </w:p>
        </w:tc>
        <w:tc>
          <w:tcPr>
            <w:tcW w:w="1440" w:type="dxa"/>
            <w:tcBorders>
              <w:top w:val="single" w:color="000000" w:sz="4" w:space="0"/>
              <w:left w:val="nil"/>
              <w:bottom w:val="single" w:color="000000" w:sz="4" w:space="0"/>
              <w:right w:val="nil"/>
              <w:tl2br w:val="nil"/>
              <w:tr2bl w:val="nil"/>
            </w:tcBorders>
            <w:shd w:val="clear" w:color="auto" w:fill="FFFFFF"/>
          </w:tcPr>
          <w:p w14:paraId="21BE531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Enhanced threat detection, anomaly detection, and malware classification; improved adaptability of security models.</w:t>
            </w:r>
          </w:p>
        </w:tc>
        <w:tc>
          <w:tcPr>
            <w:tcW w:w="1680" w:type="dxa"/>
            <w:tcBorders>
              <w:top w:val="single" w:color="000000" w:sz="4" w:space="0"/>
              <w:left w:val="nil"/>
              <w:bottom w:val="single" w:color="000000" w:sz="4" w:space="0"/>
              <w:right w:val="nil"/>
              <w:tl2br w:val="nil"/>
              <w:tr2bl w:val="nil"/>
            </w:tcBorders>
            <w:shd w:val="clear" w:color="auto" w:fill="FFFFFF"/>
          </w:tcPr>
          <w:p w14:paraId="65AA053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Evolving cyber threats; inadequacies in traditional rule-based security systems.</w:t>
            </w:r>
          </w:p>
        </w:tc>
      </w:tr>
      <w:tr w14:paraId="2E5D3AC3">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741B27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k-Means clustering, C4.5 Decision Tree</w:t>
            </w:r>
          </w:p>
        </w:tc>
        <w:tc>
          <w:tcPr>
            <w:tcW w:w="1224" w:type="dxa"/>
            <w:tcBorders>
              <w:top w:val="single" w:color="000000" w:sz="4" w:space="0"/>
              <w:left w:val="nil"/>
              <w:bottom w:val="single" w:color="000000" w:sz="4" w:space="0"/>
              <w:right w:val="nil"/>
              <w:tl2br w:val="nil"/>
              <w:tr2bl w:val="nil"/>
            </w:tcBorders>
            <w:shd w:val="clear" w:color="auto" w:fill="FFFFFF"/>
          </w:tcPr>
          <w:p w14:paraId="35C3D19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Amuthan Prabakar Muniyandi, R. Rajeswari, R. Rajaram (2012)</w:t>
            </w:r>
          </w:p>
        </w:tc>
        <w:tc>
          <w:tcPr>
            <w:tcW w:w="1920" w:type="dxa"/>
            <w:tcBorders>
              <w:top w:val="single" w:color="000000" w:sz="4" w:space="0"/>
              <w:left w:val="nil"/>
              <w:bottom w:val="single" w:color="000000" w:sz="4" w:space="0"/>
              <w:right w:val="nil"/>
              <w:tl2br w:val="nil"/>
              <w:tr2bl w:val="nil"/>
            </w:tcBorders>
            <w:shd w:val="clear" w:color="auto" w:fill="FFFFFF"/>
          </w:tcPr>
          <w:p w14:paraId="610BDEA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Cascading k-Means and C4.5 Decision Tree for better decision boundaries</w:t>
            </w:r>
          </w:p>
        </w:tc>
        <w:tc>
          <w:tcPr>
            <w:tcW w:w="1236" w:type="dxa"/>
            <w:tcBorders>
              <w:top w:val="single" w:color="000000" w:sz="4" w:space="0"/>
              <w:left w:val="nil"/>
              <w:bottom w:val="single" w:color="000000" w:sz="4" w:space="0"/>
              <w:right w:val="nil"/>
              <w:tl2br w:val="nil"/>
              <w:tr2bl w:val="nil"/>
            </w:tcBorders>
            <w:shd w:val="clear" w:color="auto" w:fill="FFFFFF"/>
          </w:tcPr>
          <w:p w14:paraId="4132464A">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TPR, FPR, Precision, Accuracy, F-measure, ROC, AUC</w:t>
            </w:r>
          </w:p>
        </w:tc>
        <w:tc>
          <w:tcPr>
            <w:tcW w:w="1440" w:type="dxa"/>
            <w:tcBorders>
              <w:top w:val="single" w:color="000000" w:sz="4" w:space="0"/>
              <w:left w:val="nil"/>
              <w:bottom w:val="single" w:color="000000" w:sz="4" w:space="0"/>
              <w:right w:val="nil"/>
              <w:tl2br w:val="nil"/>
              <w:tr2bl w:val="nil"/>
            </w:tcBorders>
            <w:shd w:val="clear" w:color="auto" w:fill="FFFFFF"/>
          </w:tcPr>
          <w:p w14:paraId="15B33E6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detection accuracy (95.8%), reduced FPR to 0.1%</w:t>
            </w:r>
          </w:p>
        </w:tc>
        <w:tc>
          <w:tcPr>
            <w:tcW w:w="1680" w:type="dxa"/>
            <w:tcBorders>
              <w:top w:val="single" w:color="000000" w:sz="4" w:space="0"/>
              <w:left w:val="nil"/>
              <w:bottom w:val="single" w:color="000000" w:sz="4" w:space="0"/>
              <w:right w:val="nil"/>
              <w:tl2br w:val="nil"/>
              <w:tr2bl w:val="nil"/>
            </w:tcBorders>
            <w:shd w:val="clear" w:color="auto" w:fill="FFFFFF"/>
          </w:tcPr>
          <w:p w14:paraId="6C83B61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High false positives, limited performance of single ML techniques, issues with k-Means clustering</w:t>
            </w:r>
          </w:p>
        </w:tc>
      </w:tr>
      <w:tr w14:paraId="0EF91B6B">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F2845E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Decision Trees, Autoencoders</w:t>
            </w:r>
          </w:p>
        </w:tc>
        <w:tc>
          <w:tcPr>
            <w:tcW w:w="1224" w:type="dxa"/>
            <w:tcBorders>
              <w:top w:val="single" w:color="000000" w:sz="4" w:space="0"/>
              <w:left w:val="nil"/>
              <w:bottom w:val="single" w:color="000000" w:sz="4" w:space="0"/>
              <w:right w:val="nil"/>
              <w:tl2br w:val="nil"/>
              <w:tr2bl w:val="nil"/>
            </w:tcBorders>
            <w:shd w:val="clear" w:color="auto" w:fill="FFFFFF"/>
          </w:tcPr>
          <w:p w14:paraId="394FA37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Diana Laura Aguilar, Miguel Angel Medina-Pérez, Octavio Loyola-González et al. (2022)</w:t>
            </w:r>
          </w:p>
        </w:tc>
        <w:tc>
          <w:tcPr>
            <w:tcW w:w="1920" w:type="dxa"/>
            <w:tcBorders>
              <w:top w:val="single" w:color="000000" w:sz="4" w:space="0"/>
              <w:left w:val="nil"/>
              <w:bottom w:val="single" w:color="000000" w:sz="4" w:space="0"/>
              <w:right w:val="nil"/>
              <w:tl2br w:val="nil"/>
              <w:tr2bl w:val="nil"/>
            </w:tcBorders>
            <w:shd w:val="clear" w:color="auto" w:fill="FFFFFF"/>
          </w:tcPr>
          <w:p w14:paraId="3C5AB11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Decision Tree-based Autoencoder for interpretability and categorical data handling</w:t>
            </w:r>
          </w:p>
        </w:tc>
        <w:tc>
          <w:tcPr>
            <w:tcW w:w="1236" w:type="dxa"/>
            <w:tcBorders>
              <w:top w:val="single" w:color="000000" w:sz="4" w:space="0"/>
              <w:left w:val="nil"/>
              <w:bottom w:val="single" w:color="000000" w:sz="4" w:space="0"/>
              <w:right w:val="nil"/>
              <w:tl2br w:val="nil"/>
              <w:tr2bl w:val="nil"/>
            </w:tcBorders>
            <w:shd w:val="clear" w:color="auto" w:fill="FFFFFF"/>
          </w:tcPr>
          <w:p w14:paraId="1761B68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AUC, AUC-PR</w:t>
            </w:r>
          </w:p>
        </w:tc>
        <w:tc>
          <w:tcPr>
            <w:tcW w:w="1440" w:type="dxa"/>
            <w:tcBorders>
              <w:top w:val="single" w:color="000000" w:sz="4" w:space="0"/>
              <w:left w:val="nil"/>
              <w:bottom w:val="single" w:color="000000" w:sz="4" w:space="0"/>
              <w:right w:val="nil"/>
              <w:tl2br w:val="nil"/>
              <w:tr2bl w:val="nil"/>
            </w:tcBorders>
            <w:shd w:val="clear" w:color="auto" w:fill="FFFFFF"/>
          </w:tcPr>
          <w:p w14:paraId="5837A8C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competitive AUC scores; interpretability in anomaly detection</w:t>
            </w:r>
          </w:p>
        </w:tc>
        <w:tc>
          <w:tcPr>
            <w:tcW w:w="1680" w:type="dxa"/>
            <w:tcBorders>
              <w:top w:val="single" w:color="000000" w:sz="4" w:space="0"/>
              <w:left w:val="nil"/>
              <w:bottom w:val="single" w:color="000000" w:sz="4" w:space="0"/>
              <w:right w:val="nil"/>
              <w:tl2br w:val="nil"/>
              <w:tr2bl w:val="nil"/>
            </w:tcBorders>
            <w:shd w:val="clear" w:color="auto" w:fill="FFFFFF"/>
          </w:tcPr>
          <w:p w14:paraId="43E1265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Lack of interpretability in DL models, inefficiency with categorical data handling</w:t>
            </w:r>
          </w:p>
        </w:tc>
      </w:tr>
      <w:tr w14:paraId="4EC748C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EEA99D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YOLOv5 (object detection), Decision Tree</w:t>
            </w:r>
          </w:p>
        </w:tc>
        <w:tc>
          <w:tcPr>
            <w:tcW w:w="1224" w:type="dxa"/>
            <w:tcBorders>
              <w:top w:val="single" w:color="000000" w:sz="4" w:space="0"/>
              <w:left w:val="nil"/>
              <w:bottom w:val="single" w:color="000000" w:sz="4" w:space="0"/>
              <w:right w:val="nil"/>
              <w:tl2br w:val="nil"/>
              <w:tr2bl w:val="nil"/>
            </w:tcBorders>
            <w:shd w:val="clear" w:color="auto" w:fill="FFFFFF"/>
          </w:tcPr>
          <w:p w14:paraId="3999754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Armstrong Aboah, Maged Shoman, Vishal Mandal et al. (2021)</w:t>
            </w:r>
          </w:p>
        </w:tc>
        <w:tc>
          <w:tcPr>
            <w:tcW w:w="1920" w:type="dxa"/>
            <w:tcBorders>
              <w:top w:val="single" w:color="000000" w:sz="4" w:space="0"/>
              <w:left w:val="nil"/>
              <w:bottom w:val="single" w:color="000000" w:sz="4" w:space="0"/>
              <w:right w:val="nil"/>
              <w:tl2br w:val="nil"/>
              <w:tr2bl w:val="nil"/>
            </w:tcBorders>
            <w:shd w:val="clear" w:color="auto" w:fill="FFFFFF"/>
          </w:tcPr>
          <w:p w14:paraId="78F44D6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YOLOv5 for detection, Decision Tree for verification and false positive filtering</w:t>
            </w:r>
          </w:p>
        </w:tc>
        <w:tc>
          <w:tcPr>
            <w:tcW w:w="1236" w:type="dxa"/>
            <w:tcBorders>
              <w:top w:val="single" w:color="000000" w:sz="4" w:space="0"/>
              <w:left w:val="nil"/>
              <w:bottom w:val="single" w:color="000000" w:sz="4" w:space="0"/>
              <w:right w:val="nil"/>
              <w:tl2br w:val="nil"/>
              <w:tr2bl w:val="nil"/>
            </w:tcBorders>
            <w:shd w:val="clear" w:color="auto" w:fill="FFFFFF"/>
          </w:tcPr>
          <w:p w14:paraId="04D2E17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F1 Score, RMSE, S4 Score</w:t>
            </w:r>
          </w:p>
        </w:tc>
        <w:tc>
          <w:tcPr>
            <w:tcW w:w="1440" w:type="dxa"/>
            <w:tcBorders>
              <w:top w:val="single" w:color="000000" w:sz="4" w:space="0"/>
              <w:left w:val="nil"/>
              <w:bottom w:val="single" w:color="000000" w:sz="4" w:space="0"/>
              <w:right w:val="nil"/>
              <w:tl2br w:val="nil"/>
              <w:tr2bl w:val="nil"/>
            </w:tcBorders>
            <w:shd w:val="clear" w:color="auto" w:fill="FFFFFF"/>
          </w:tcPr>
          <w:p w14:paraId="196C83B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Ranked 5th in NVIDIA AI City Challenge; reduced false positives and improved detection</w:t>
            </w:r>
          </w:p>
        </w:tc>
        <w:tc>
          <w:tcPr>
            <w:tcW w:w="1680" w:type="dxa"/>
            <w:tcBorders>
              <w:top w:val="single" w:color="000000" w:sz="4" w:space="0"/>
              <w:left w:val="nil"/>
              <w:bottom w:val="single" w:color="000000" w:sz="4" w:space="0"/>
              <w:right w:val="nil"/>
              <w:tl2br w:val="nil"/>
              <w:tr2bl w:val="nil"/>
            </w:tcBorders>
            <w:shd w:val="clear" w:color="auto" w:fill="FFFFFF"/>
          </w:tcPr>
          <w:p w14:paraId="7FF49B5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Manual traffic monitoring inefficiencies, occlusion challenges, poor video quality</w:t>
            </w:r>
          </w:p>
        </w:tc>
      </w:tr>
      <w:tr w14:paraId="0BD84092">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D053C5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Decision Tree, Random Forest</w:t>
            </w:r>
          </w:p>
        </w:tc>
        <w:tc>
          <w:tcPr>
            <w:tcW w:w="1224" w:type="dxa"/>
            <w:tcBorders>
              <w:top w:val="single" w:color="000000" w:sz="4" w:space="0"/>
              <w:left w:val="nil"/>
              <w:bottom w:val="single" w:color="000000" w:sz="4" w:space="0"/>
              <w:right w:val="nil"/>
              <w:tl2br w:val="nil"/>
              <w:tr2bl w:val="nil"/>
            </w:tcBorders>
            <w:shd w:val="clear" w:color="auto" w:fill="FFFFFF"/>
          </w:tcPr>
          <w:p w14:paraId="6A8365F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Qingyang Zhang (2022)</w:t>
            </w:r>
          </w:p>
        </w:tc>
        <w:tc>
          <w:tcPr>
            <w:tcW w:w="1920" w:type="dxa"/>
            <w:tcBorders>
              <w:top w:val="single" w:color="000000" w:sz="4" w:space="0"/>
              <w:left w:val="nil"/>
              <w:bottom w:val="single" w:color="000000" w:sz="4" w:space="0"/>
              <w:right w:val="nil"/>
              <w:tl2br w:val="nil"/>
              <w:tr2bl w:val="nil"/>
            </w:tcBorders>
            <w:shd w:val="clear" w:color="auto" w:fill="FFFFFF"/>
          </w:tcPr>
          <w:p w14:paraId="3E08CBA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Decision Tree and Random Forest with "abnormal point scale" for financial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07F7223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Computational Time, Robustness (5-fold CV)</w:t>
            </w:r>
          </w:p>
        </w:tc>
        <w:tc>
          <w:tcPr>
            <w:tcW w:w="1440" w:type="dxa"/>
            <w:tcBorders>
              <w:top w:val="single" w:color="000000" w:sz="4" w:space="0"/>
              <w:left w:val="nil"/>
              <w:bottom w:val="single" w:color="000000" w:sz="4" w:space="0"/>
              <w:right w:val="nil"/>
              <w:tl2br w:val="nil"/>
              <w:tr2bl w:val="nil"/>
            </w:tcBorders>
            <w:shd w:val="clear" w:color="auto" w:fill="FFFFFF"/>
          </w:tcPr>
          <w:p w14:paraId="7A23A4A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Improved accuracy (2-8%) and robustness across datasets; faster anomaly detection</w:t>
            </w:r>
          </w:p>
        </w:tc>
        <w:tc>
          <w:tcPr>
            <w:tcW w:w="1680" w:type="dxa"/>
            <w:tcBorders>
              <w:top w:val="single" w:color="000000" w:sz="4" w:space="0"/>
              <w:left w:val="nil"/>
              <w:bottom w:val="single" w:color="000000" w:sz="4" w:space="0"/>
              <w:right w:val="nil"/>
              <w:tl2br w:val="nil"/>
              <w:tr2bl w:val="nil"/>
            </w:tcBorders>
            <w:shd w:val="clear" w:color="auto" w:fill="FFFFFF"/>
          </w:tcPr>
          <w:p w14:paraId="0D376B8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Inefficient financial anomaly detection, lack of robustness, high noise sensitivity</w:t>
            </w:r>
          </w:p>
        </w:tc>
      </w:tr>
      <w:tr w14:paraId="26F74C2C">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A14C9D6">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Random Forest (Bagging), XGBoost (Boosting)</w:t>
            </w:r>
          </w:p>
        </w:tc>
        <w:tc>
          <w:tcPr>
            <w:tcW w:w="1224" w:type="dxa"/>
            <w:tcBorders>
              <w:top w:val="single" w:color="000000" w:sz="4" w:space="0"/>
              <w:left w:val="nil"/>
              <w:bottom w:val="single" w:color="000000" w:sz="4" w:space="0"/>
              <w:right w:val="nil"/>
              <w:tl2br w:val="nil"/>
              <w:tr2bl w:val="nil"/>
            </w:tcBorders>
            <w:shd w:val="clear" w:color="auto" w:fill="FFFFFF"/>
          </w:tcPr>
          <w:p w14:paraId="2CE02F6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Shay Vargaftik, Isaac Keslassy, Ariel Orda, Yaniv Ben-Itzhak (2021)</w:t>
            </w:r>
          </w:p>
        </w:tc>
        <w:tc>
          <w:tcPr>
            <w:tcW w:w="1920" w:type="dxa"/>
            <w:tcBorders>
              <w:top w:val="single" w:color="000000" w:sz="4" w:space="0"/>
              <w:left w:val="nil"/>
              <w:bottom w:val="single" w:color="000000" w:sz="4" w:space="0"/>
              <w:right w:val="nil"/>
              <w:tl2br w:val="nil"/>
              <w:tr2bl w:val="nil"/>
            </w:tcBorders>
            <w:shd w:val="clear" w:color="auto" w:fill="FFFFFF"/>
          </w:tcPr>
          <w:p w14:paraId="3458460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RADE framework using hierarchical decision tree models for efficient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110D992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Macro F1 Score, AUC, Kappa, Resource metrics (memory, training, latency)</w:t>
            </w:r>
          </w:p>
        </w:tc>
        <w:tc>
          <w:tcPr>
            <w:tcW w:w="1440" w:type="dxa"/>
            <w:tcBorders>
              <w:top w:val="single" w:color="000000" w:sz="4" w:space="0"/>
              <w:left w:val="nil"/>
              <w:bottom w:val="single" w:color="000000" w:sz="4" w:space="0"/>
              <w:right w:val="nil"/>
              <w:tl2br w:val="nil"/>
              <w:tr2bl w:val="nil"/>
            </w:tcBorders>
            <w:shd w:val="clear" w:color="auto" w:fill="FFFFFF"/>
          </w:tcPr>
          <w:p w14:paraId="177ABDF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12× lower memory usage, 20× faster training, and maintained competitive accuracy</w:t>
            </w:r>
          </w:p>
        </w:tc>
        <w:tc>
          <w:tcPr>
            <w:tcW w:w="1680" w:type="dxa"/>
            <w:tcBorders>
              <w:top w:val="single" w:color="000000" w:sz="4" w:space="0"/>
              <w:left w:val="nil"/>
              <w:bottom w:val="single" w:color="000000" w:sz="4" w:space="0"/>
              <w:right w:val="nil"/>
              <w:tl2br w:val="nil"/>
              <w:tr2bl w:val="nil"/>
            </w:tcBorders>
            <w:shd w:val="clear" w:color="auto" w:fill="FFFFFF"/>
          </w:tcPr>
          <w:p w14:paraId="2217B23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Resource inefficiencies in decision tree ensembles, high resource consumption for large datasets</w:t>
            </w:r>
          </w:p>
        </w:tc>
      </w:tr>
      <w:tr w14:paraId="7EDF150A">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3F7E27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Naïve Bayes, Genetic Algorithm</w:t>
            </w:r>
          </w:p>
        </w:tc>
        <w:tc>
          <w:tcPr>
            <w:tcW w:w="1224" w:type="dxa"/>
            <w:tcBorders>
              <w:top w:val="single" w:color="000000" w:sz="4" w:space="0"/>
              <w:left w:val="nil"/>
              <w:bottom w:val="single" w:color="000000" w:sz="4" w:space="0"/>
              <w:right w:val="nil"/>
              <w:tl2br w:val="nil"/>
              <w:tr2bl w:val="nil"/>
            </w:tcBorders>
            <w:shd w:val="clear" w:color="auto" w:fill="FFFFFF"/>
          </w:tcPr>
          <w:p w14:paraId="1FF5611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John Oche Onah et al. (2021)</w:t>
            </w:r>
          </w:p>
        </w:tc>
        <w:tc>
          <w:tcPr>
            <w:tcW w:w="1920" w:type="dxa"/>
            <w:tcBorders>
              <w:top w:val="single" w:color="000000" w:sz="4" w:space="0"/>
              <w:left w:val="nil"/>
              <w:bottom w:val="single" w:color="000000" w:sz="4" w:space="0"/>
              <w:right w:val="nil"/>
              <w:tl2br w:val="nil"/>
              <w:tr2bl w:val="nil"/>
            </w:tcBorders>
            <w:shd w:val="clear" w:color="auto" w:fill="FFFFFF"/>
          </w:tcPr>
          <w:p w14:paraId="576A595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Wrapper-Based Feature Selection using Genetic Algorithm combined with Naïve Bayes for classification.</w:t>
            </w:r>
          </w:p>
        </w:tc>
        <w:tc>
          <w:tcPr>
            <w:tcW w:w="1236" w:type="dxa"/>
            <w:tcBorders>
              <w:top w:val="single" w:color="000000" w:sz="4" w:space="0"/>
              <w:left w:val="nil"/>
              <w:bottom w:val="single" w:color="000000" w:sz="4" w:space="0"/>
              <w:right w:val="nil"/>
              <w:tl2br w:val="nil"/>
              <w:tr2bl w:val="nil"/>
            </w:tcBorders>
            <w:shd w:val="clear" w:color="auto" w:fill="FFFFFF"/>
          </w:tcPr>
          <w:p w14:paraId="50774AD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F1 Score, Execution Time</w:t>
            </w:r>
          </w:p>
        </w:tc>
        <w:tc>
          <w:tcPr>
            <w:tcW w:w="1440" w:type="dxa"/>
            <w:tcBorders>
              <w:top w:val="single" w:color="000000" w:sz="4" w:space="0"/>
              <w:left w:val="nil"/>
              <w:bottom w:val="single" w:color="000000" w:sz="4" w:space="0"/>
              <w:right w:val="nil"/>
              <w:tl2br w:val="nil"/>
              <w:tr2bl w:val="nil"/>
            </w:tcBorders>
            <w:shd w:val="clear" w:color="auto" w:fill="FFFFFF"/>
          </w:tcPr>
          <w:p w14:paraId="5F859F2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99.73% accuracy with better performance compared to other algorithms. Low false positive rate.</w:t>
            </w:r>
          </w:p>
        </w:tc>
        <w:tc>
          <w:tcPr>
            <w:tcW w:w="1680" w:type="dxa"/>
            <w:tcBorders>
              <w:top w:val="single" w:color="000000" w:sz="4" w:space="0"/>
              <w:left w:val="nil"/>
              <w:bottom w:val="single" w:color="000000" w:sz="4" w:space="0"/>
              <w:right w:val="nil"/>
              <w:tl2br w:val="nil"/>
              <w:tr2bl w:val="nil"/>
            </w:tcBorders>
            <w:shd w:val="clear" w:color="auto" w:fill="FFFFFF"/>
          </w:tcPr>
          <w:p w14:paraId="5A9F8FE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Network security challenges in fog computing due to proximity to users and limited resources.</w:t>
            </w:r>
          </w:p>
        </w:tc>
      </w:tr>
      <w:tr w14:paraId="6D147DA4">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931D20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Naïve Bayes, Elliptic Envelope</w:t>
            </w:r>
          </w:p>
        </w:tc>
        <w:tc>
          <w:tcPr>
            <w:tcW w:w="1224" w:type="dxa"/>
            <w:tcBorders>
              <w:top w:val="single" w:color="000000" w:sz="4" w:space="0"/>
              <w:left w:val="nil"/>
              <w:bottom w:val="single" w:color="000000" w:sz="4" w:space="0"/>
              <w:right w:val="nil"/>
              <w:tl2br w:val="nil"/>
              <w:tr2bl w:val="nil"/>
            </w:tcBorders>
            <w:shd w:val="clear" w:color="auto" w:fill="FFFFFF"/>
          </w:tcPr>
          <w:p w14:paraId="0E0195A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Monika Vishwakarma, Nishtha Kesswani (2023)</w:t>
            </w:r>
          </w:p>
        </w:tc>
        <w:tc>
          <w:tcPr>
            <w:tcW w:w="1920" w:type="dxa"/>
            <w:tcBorders>
              <w:top w:val="single" w:color="000000" w:sz="4" w:space="0"/>
              <w:left w:val="nil"/>
              <w:bottom w:val="single" w:color="000000" w:sz="4" w:space="0"/>
              <w:right w:val="nil"/>
              <w:tl2br w:val="nil"/>
              <w:tr2bl w:val="nil"/>
            </w:tcBorders>
            <w:shd w:val="clear" w:color="auto" w:fill="FFFFFF"/>
          </w:tcPr>
          <w:p w14:paraId="1B83455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 two-phase intrusion detection system combining Naïve Bayes classifiers with elliptic envelope for anomaly detection.</w:t>
            </w:r>
          </w:p>
        </w:tc>
        <w:tc>
          <w:tcPr>
            <w:tcW w:w="1236" w:type="dxa"/>
            <w:tcBorders>
              <w:top w:val="single" w:color="000000" w:sz="4" w:space="0"/>
              <w:left w:val="nil"/>
              <w:bottom w:val="single" w:color="000000" w:sz="4" w:space="0"/>
              <w:right w:val="nil"/>
              <w:tl2br w:val="nil"/>
              <w:tr2bl w:val="nil"/>
            </w:tcBorders>
            <w:shd w:val="clear" w:color="auto" w:fill="FFFFFF"/>
          </w:tcPr>
          <w:p w14:paraId="1F70B86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 Score, False Positive Rate</w:t>
            </w:r>
          </w:p>
        </w:tc>
        <w:tc>
          <w:tcPr>
            <w:tcW w:w="1440" w:type="dxa"/>
            <w:tcBorders>
              <w:top w:val="single" w:color="000000" w:sz="4" w:space="0"/>
              <w:left w:val="nil"/>
              <w:bottom w:val="single" w:color="000000" w:sz="4" w:space="0"/>
              <w:right w:val="nil"/>
              <w:tl2br w:val="nil"/>
              <w:tr2bl w:val="nil"/>
            </w:tcBorders>
            <w:shd w:val="clear" w:color="auto" w:fill="FFFFFF"/>
          </w:tcPr>
          <w:p w14:paraId="19F69F9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97% accuracy on NSL-KDD, 86.9% on UNSW_NB15, and 98.59% on CIC-IDS2017 datasets.</w:t>
            </w:r>
          </w:p>
        </w:tc>
        <w:tc>
          <w:tcPr>
            <w:tcW w:w="1680" w:type="dxa"/>
            <w:tcBorders>
              <w:top w:val="single" w:color="000000" w:sz="4" w:space="0"/>
              <w:left w:val="nil"/>
              <w:bottom w:val="single" w:color="000000" w:sz="4" w:space="0"/>
              <w:right w:val="nil"/>
              <w:tl2br w:val="nil"/>
              <w:tr2bl w:val="nil"/>
            </w:tcBorders>
            <w:shd w:val="clear" w:color="auto" w:fill="FFFFFF"/>
          </w:tcPr>
          <w:p w14:paraId="4EF373F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IoT security vulnerabilities from lightweight protocols and imbalanced datasets.</w:t>
            </w:r>
          </w:p>
        </w:tc>
      </w:tr>
      <w:tr w14:paraId="69897570">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5966F7B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Logistic Regression, Naïve Bayes, Random Forest, AdaBoost, Support Vector Machines</w:t>
            </w:r>
          </w:p>
        </w:tc>
        <w:tc>
          <w:tcPr>
            <w:tcW w:w="1224" w:type="dxa"/>
            <w:tcBorders>
              <w:top w:val="single" w:color="000000" w:sz="4" w:space="0"/>
              <w:left w:val="nil"/>
              <w:bottom w:val="single" w:color="000000" w:sz="4" w:space="0"/>
              <w:right w:val="nil"/>
              <w:tl2br w:val="nil"/>
              <w:tr2bl w:val="nil"/>
            </w:tcBorders>
            <w:shd w:val="clear" w:color="auto" w:fill="FFFFFF"/>
          </w:tcPr>
          <w:p w14:paraId="39E3FBC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Laura Vigoya et al. (2021)</w:t>
            </w:r>
          </w:p>
        </w:tc>
        <w:tc>
          <w:tcPr>
            <w:tcW w:w="1920" w:type="dxa"/>
            <w:tcBorders>
              <w:top w:val="single" w:color="000000" w:sz="4" w:space="0"/>
              <w:left w:val="nil"/>
              <w:bottom w:val="single" w:color="000000" w:sz="4" w:space="0"/>
              <w:right w:val="nil"/>
              <w:tl2br w:val="nil"/>
              <w:tr2bl w:val="nil"/>
            </w:tcBorders>
            <w:shd w:val="clear" w:color="auto" w:fill="FFFFFF"/>
          </w:tcPr>
          <w:p w14:paraId="219923F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Validated DAD dataset using ML algorithms; applied feature selection and data balancing (SMOTE).</w:t>
            </w:r>
          </w:p>
        </w:tc>
        <w:tc>
          <w:tcPr>
            <w:tcW w:w="1236" w:type="dxa"/>
            <w:tcBorders>
              <w:top w:val="single" w:color="000000" w:sz="4" w:space="0"/>
              <w:left w:val="nil"/>
              <w:bottom w:val="single" w:color="000000" w:sz="4" w:space="0"/>
              <w:right w:val="nil"/>
              <w:tl2br w:val="nil"/>
              <w:tr2bl w:val="nil"/>
            </w:tcBorders>
            <w:shd w:val="clear" w:color="auto" w:fill="FFFFFF"/>
          </w:tcPr>
          <w:p w14:paraId="2E7B505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 Score, ROC AUC</w:t>
            </w:r>
          </w:p>
        </w:tc>
        <w:tc>
          <w:tcPr>
            <w:tcW w:w="1440" w:type="dxa"/>
            <w:tcBorders>
              <w:top w:val="single" w:color="000000" w:sz="4" w:space="0"/>
              <w:left w:val="nil"/>
              <w:bottom w:val="single" w:color="000000" w:sz="4" w:space="0"/>
              <w:right w:val="nil"/>
              <w:tl2br w:val="nil"/>
              <w:tr2bl w:val="nil"/>
            </w:tcBorders>
            <w:shd w:val="clear" w:color="auto" w:fill="FFFFFF"/>
          </w:tcPr>
          <w:p w14:paraId="05FE4F0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Tree-based models (Random Forest, AdaBoost) achieved the best results, with mean ROC AUC close to 1.</w:t>
            </w:r>
          </w:p>
        </w:tc>
        <w:tc>
          <w:tcPr>
            <w:tcW w:w="1680" w:type="dxa"/>
            <w:tcBorders>
              <w:top w:val="single" w:color="000000" w:sz="4" w:space="0"/>
              <w:left w:val="nil"/>
              <w:bottom w:val="single" w:color="000000" w:sz="4" w:space="0"/>
              <w:right w:val="nil"/>
              <w:tl2br w:val="nil"/>
              <w:tr2bl w:val="nil"/>
            </w:tcBorders>
            <w:shd w:val="clear" w:color="auto" w:fill="FFFFFF"/>
          </w:tcPr>
          <w:p w14:paraId="4BA1E51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IoT vulnerabilities due to lightweight protocols and limited computation resources.</w:t>
            </w:r>
          </w:p>
        </w:tc>
      </w:tr>
      <w:tr w14:paraId="4AE81EC7">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072F5F9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Supervised Cultural Genetic Algorithm, Kohonen Neural Network</w:t>
            </w:r>
          </w:p>
        </w:tc>
        <w:tc>
          <w:tcPr>
            <w:tcW w:w="1224" w:type="dxa"/>
            <w:tcBorders>
              <w:top w:val="single" w:color="000000" w:sz="4" w:space="0"/>
              <w:left w:val="nil"/>
              <w:bottom w:val="single" w:color="000000" w:sz="4" w:space="0"/>
              <w:right w:val="nil"/>
              <w:tl2br w:val="nil"/>
              <w:tr2bl w:val="nil"/>
            </w:tcBorders>
            <w:shd w:val="clear" w:color="auto" w:fill="FFFFFF"/>
          </w:tcPr>
          <w:p w14:paraId="5AE91844">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Arnold Adimabua Ojugo, Obinna Nwankwo (2021)</w:t>
            </w:r>
          </w:p>
        </w:tc>
        <w:tc>
          <w:tcPr>
            <w:tcW w:w="1920" w:type="dxa"/>
            <w:tcBorders>
              <w:top w:val="single" w:color="000000" w:sz="4" w:space="0"/>
              <w:left w:val="nil"/>
              <w:bottom w:val="single" w:color="000000" w:sz="4" w:space="0"/>
              <w:right w:val="nil"/>
              <w:tl2br w:val="nil"/>
              <w:tr2bl w:val="nil"/>
            </w:tcBorders>
            <w:shd w:val="clear" w:color="auto" w:fill="FFFFFF"/>
          </w:tcPr>
          <w:p w14:paraId="4F5853F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Hybrid model combining spectral clustering and genetic algorithm-trained modular neural network.</w:t>
            </w:r>
          </w:p>
        </w:tc>
        <w:tc>
          <w:tcPr>
            <w:tcW w:w="1236" w:type="dxa"/>
            <w:tcBorders>
              <w:top w:val="single" w:color="000000" w:sz="4" w:space="0"/>
              <w:left w:val="nil"/>
              <w:bottom w:val="single" w:color="000000" w:sz="4" w:space="0"/>
              <w:right w:val="nil"/>
              <w:tl2br w:val="nil"/>
              <w:tr2bl w:val="nil"/>
            </w:tcBorders>
            <w:shd w:val="clear" w:color="auto" w:fill="FFFFFF"/>
          </w:tcPr>
          <w:p w14:paraId="09205FBF">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Sensitivity, Specificity, Accuracy</w:t>
            </w:r>
          </w:p>
        </w:tc>
        <w:tc>
          <w:tcPr>
            <w:tcW w:w="1440" w:type="dxa"/>
            <w:tcBorders>
              <w:top w:val="single" w:color="000000" w:sz="4" w:space="0"/>
              <w:left w:val="nil"/>
              <w:bottom w:val="single" w:color="000000" w:sz="4" w:space="0"/>
              <w:right w:val="nil"/>
              <w:tl2br w:val="nil"/>
              <w:tr2bl w:val="nil"/>
            </w:tcBorders>
            <w:shd w:val="clear" w:color="auto" w:fill="FFFFFF"/>
          </w:tcPr>
          <w:p w14:paraId="5F5045C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high sensitivity (90%) and moderate accuracy (74%), effectively identifying fraudulent transactions.</w:t>
            </w:r>
          </w:p>
        </w:tc>
        <w:tc>
          <w:tcPr>
            <w:tcW w:w="1680" w:type="dxa"/>
            <w:tcBorders>
              <w:top w:val="single" w:color="000000" w:sz="4" w:space="0"/>
              <w:left w:val="nil"/>
              <w:bottom w:val="single" w:color="000000" w:sz="4" w:space="0"/>
              <w:right w:val="nil"/>
              <w:tl2br w:val="nil"/>
              <w:tr2bl w:val="nil"/>
            </w:tcBorders>
            <w:shd w:val="clear" w:color="auto" w:fill="FFFFFF"/>
          </w:tcPr>
          <w:p w14:paraId="35D5309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Noise and ambiguity in data lead to inefficiency in credit card fraud detection, with high false-positive rates.</w:t>
            </w:r>
          </w:p>
        </w:tc>
      </w:tr>
      <w:tr w14:paraId="783D0444">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17EB1E0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K-Means Clustering</w:t>
            </w:r>
          </w:p>
        </w:tc>
        <w:tc>
          <w:tcPr>
            <w:tcW w:w="1224" w:type="dxa"/>
            <w:tcBorders>
              <w:top w:val="single" w:color="000000" w:sz="4" w:space="0"/>
              <w:left w:val="nil"/>
              <w:bottom w:val="single" w:color="000000" w:sz="4" w:space="0"/>
              <w:right w:val="nil"/>
              <w:tl2br w:val="nil"/>
              <w:tr2bl w:val="nil"/>
            </w:tcBorders>
            <w:shd w:val="clear" w:color="auto" w:fill="FFFFFF"/>
          </w:tcPr>
          <w:p w14:paraId="10499C6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Yusuf Lanre Lawal (2014)</w:t>
            </w:r>
          </w:p>
        </w:tc>
        <w:tc>
          <w:tcPr>
            <w:tcW w:w="1920" w:type="dxa"/>
            <w:tcBorders>
              <w:top w:val="single" w:color="000000" w:sz="4" w:space="0"/>
              <w:left w:val="nil"/>
              <w:bottom w:val="single" w:color="000000" w:sz="4" w:space="0"/>
              <w:right w:val="nil"/>
              <w:tl2br w:val="nil"/>
              <w:tr2bl w:val="nil"/>
            </w:tcBorders>
            <w:shd w:val="clear" w:color="auto" w:fill="FFFFFF"/>
          </w:tcPr>
          <w:p w14:paraId="73433A1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Network science and K-means clustering applied to analyze Ethereum transaction data.</w:t>
            </w:r>
          </w:p>
        </w:tc>
        <w:tc>
          <w:tcPr>
            <w:tcW w:w="1236" w:type="dxa"/>
            <w:tcBorders>
              <w:top w:val="single" w:color="000000" w:sz="4" w:space="0"/>
              <w:left w:val="nil"/>
              <w:bottom w:val="single" w:color="000000" w:sz="4" w:space="0"/>
              <w:right w:val="nil"/>
              <w:tl2br w:val="nil"/>
              <w:tr2bl w:val="nil"/>
            </w:tcBorders>
            <w:shd w:val="clear" w:color="auto" w:fill="FFFFFF"/>
          </w:tcPr>
          <w:p w14:paraId="58F166E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Silhouette Score</w:t>
            </w:r>
          </w:p>
        </w:tc>
        <w:tc>
          <w:tcPr>
            <w:tcW w:w="1440" w:type="dxa"/>
            <w:tcBorders>
              <w:top w:val="single" w:color="000000" w:sz="4" w:space="0"/>
              <w:left w:val="nil"/>
              <w:bottom w:val="single" w:color="000000" w:sz="4" w:space="0"/>
              <w:right w:val="nil"/>
              <w:tl2br w:val="nil"/>
              <w:tr2bl w:val="nil"/>
            </w:tcBorders>
            <w:shd w:val="clear" w:color="auto" w:fill="FFFFFF"/>
          </w:tcPr>
          <w:p w14:paraId="1AABAFD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Successfully identified anomalies related to significant events like the Parity Wallet Hack with a Silhouette Score of 0.757.</w:t>
            </w:r>
          </w:p>
        </w:tc>
        <w:tc>
          <w:tcPr>
            <w:tcW w:w="1680" w:type="dxa"/>
            <w:tcBorders>
              <w:top w:val="single" w:color="000000" w:sz="4" w:space="0"/>
              <w:left w:val="nil"/>
              <w:bottom w:val="single" w:color="000000" w:sz="4" w:space="0"/>
              <w:right w:val="nil"/>
              <w:tl2br w:val="nil"/>
              <w:tr2bl w:val="nil"/>
            </w:tcBorders>
            <w:shd w:val="clear" w:color="auto" w:fill="FFFFFF"/>
          </w:tcPr>
          <w:p w14:paraId="13CEA23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Anonymity in Ethereum transactions enables malicious activities, lacking effective anomaly detection methods.</w:t>
            </w:r>
          </w:p>
        </w:tc>
      </w:tr>
      <w:tr w14:paraId="73FE9BB1">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31CE0FA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GTN2vec (Graph Embedding), Random Forest</w:t>
            </w:r>
          </w:p>
        </w:tc>
        <w:tc>
          <w:tcPr>
            <w:tcW w:w="1224" w:type="dxa"/>
            <w:tcBorders>
              <w:top w:val="single" w:color="000000" w:sz="4" w:space="0"/>
              <w:left w:val="nil"/>
              <w:bottom w:val="single" w:color="000000" w:sz="4" w:space="0"/>
              <w:right w:val="nil"/>
              <w:tl2br w:val="nil"/>
              <w:tr2bl w:val="nil"/>
            </w:tcBorders>
            <w:shd w:val="clear" w:color="auto" w:fill="FFFFFF"/>
          </w:tcPr>
          <w:p w14:paraId="1792078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Jiayi Liu et al. (2023)</w:t>
            </w:r>
          </w:p>
        </w:tc>
        <w:tc>
          <w:tcPr>
            <w:tcW w:w="1920" w:type="dxa"/>
            <w:tcBorders>
              <w:top w:val="single" w:color="000000" w:sz="4" w:space="0"/>
              <w:left w:val="nil"/>
              <w:bottom w:val="single" w:color="000000" w:sz="4" w:space="0"/>
              <w:right w:val="nil"/>
              <w:tl2br w:val="nil"/>
              <w:tr2bl w:val="nil"/>
            </w:tcBorders>
            <w:shd w:val="clear" w:color="auto" w:fill="FFFFFF"/>
          </w:tcPr>
          <w:p w14:paraId="45209320">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GTN2vec for feature extraction and Random Forest for classification.</w:t>
            </w:r>
          </w:p>
        </w:tc>
        <w:tc>
          <w:tcPr>
            <w:tcW w:w="1236" w:type="dxa"/>
            <w:tcBorders>
              <w:top w:val="single" w:color="000000" w:sz="4" w:space="0"/>
              <w:left w:val="nil"/>
              <w:bottom w:val="single" w:color="000000" w:sz="4" w:space="0"/>
              <w:right w:val="nil"/>
              <w:tl2br w:val="nil"/>
              <w:tr2bl w:val="nil"/>
            </w:tcBorders>
            <w:shd w:val="clear" w:color="auto" w:fill="FFFFFF"/>
          </w:tcPr>
          <w:p w14:paraId="113838C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Accuracy, Precision, Recall, F1-Score</w:t>
            </w:r>
          </w:p>
        </w:tc>
        <w:tc>
          <w:tcPr>
            <w:tcW w:w="1440" w:type="dxa"/>
            <w:tcBorders>
              <w:top w:val="single" w:color="000000" w:sz="4" w:space="0"/>
              <w:left w:val="nil"/>
              <w:bottom w:val="single" w:color="000000" w:sz="4" w:space="0"/>
              <w:right w:val="nil"/>
              <w:tl2br w:val="nil"/>
              <w:tr2bl w:val="nil"/>
            </w:tcBorders>
            <w:shd w:val="clear" w:color="auto" w:fill="FFFFFF"/>
          </w:tcPr>
          <w:p w14:paraId="6244274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Achieved 95.7% accuracy, significantly outperforming existing methods in detecting money laundering accounts.</w:t>
            </w:r>
          </w:p>
        </w:tc>
        <w:tc>
          <w:tcPr>
            <w:tcW w:w="1680" w:type="dxa"/>
            <w:tcBorders>
              <w:top w:val="single" w:color="000000" w:sz="4" w:space="0"/>
              <w:left w:val="nil"/>
              <w:bottom w:val="single" w:color="000000" w:sz="4" w:space="0"/>
              <w:right w:val="nil"/>
              <w:tl2br w:val="nil"/>
              <w:tr2bl w:val="nil"/>
            </w:tcBorders>
            <w:shd w:val="clear" w:color="auto" w:fill="FFFFFF"/>
          </w:tcPr>
          <w:p w14:paraId="28E3D029">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Ethereum's anonymity attracts illicit activities like money laundering, with inefficiencies in existing detection systems.</w:t>
            </w:r>
          </w:p>
        </w:tc>
      </w:tr>
      <w:tr w14:paraId="745E133E">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604724EE">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Deep Learning Models (ResNet50, DenseNet121, InceptionV3, EfficientNetV2S, MobileNetV3Large, Xception), Gaussian Mixture Model</w:t>
            </w:r>
          </w:p>
        </w:tc>
        <w:tc>
          <w:tcPr>
            <w:tcW w:w="1224" w:type="dxa"/>
            <w:tcBorders>
              <w:top w:val="single" w:color="000000" w:sz="4" w:space="0"/>
              <w:left w:val="nil"/>
              <w:bottom w:val="single" w:color="000000" w:sz="4" w:space="0"/>
              <w:right w:val="nil"/>
              <w:tl2br w:val="nil"/>
              <w:tr2bl w:val="nil"/>
            </w:tcBorders>
            <w:shd w:val="clear" w:color="auto" w:fill="FFFFFF"/>
          </w:tcPr>
          <w:p w14:paraId="09D387F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Smaranda Belciug, Dominic Gabriel Iliescu (2023)</w:t>
            </w:r>
          </w:p>
        </w:tc>
        <w:tc>
          <w:tcPr>
            <w:tcW w:w="1920" w:type="dxa"/>
            <w:tcBorders>
              <w:top w:val="single" w:color="000000" w:sz="4" w:space="0"/>
              <w:left w:val="nil"/>
              <w:bottom w:val="single" w:color="000000" w:sz="4" w:space="0"/>
              <w:right w:val="nil"/>
              <w:tl2br w:val="nil"/>
              <w:tr2bl w:val="nil"/>
            </w:tcBorders>
            <w:shd w:val="clear" w:color="auto" w:fill="FFFFFF"/>
          </w:tcPr>
          <w:p w14:paraId="454FD361">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Combination of deep learning models with GMM clustering to improve view plane differentiation in medical imaging.</w:t>
            </w:r>
          </w:p>
        </w:tc>
        <w:tc>
          <w:tcPr>
            <w:tcW w:w="1236" w:type="dxa"/>
            <w:tcBorders>
              <w:top w:val="single" w:color="000000" w:sz="4" w:space="0"/>
              <w:left w:val="nil"/>
              <w:bottom w:val="single" w:color="000000" w:sz="4" w:space="0"/>
              <w:right w:val="nil"/>
              <w:tl2br w:val="nil"/>
              <w:tr2bl w:val="nil"/>
            </w:tcBorders>
            <w:shd w:val="clear" w:color="auto" w:fill="FFFFFF"/>
          </w:tcPr>
          <w:p w14:paraId="776433BC">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Classification Accuracy, Standard Deviation, Statistical Tests (ANOVA, Tukey)</w:t>
            </w:r>
          </w:p>
        </w:tc>
        <w:tc>
          <w:tcPr>
            <w:tcW w:w="1440" w:type="dxa"/>
            <w:tcBorders>
              <w:top w:val="single" w:color="000000" w:sz="4" w:space="0"/>
              <w:left w:val="nil"/>
              <w:bottom w:val="single" w:color="000000" w:sz="4" w:space="0"/>
              <w:right w:val="nil"/>
              <w:tl2br w:val="nil"/>
              <w:tr2bl w:val="nil"/>
            </w:tcBorders>
            <w:shd w:val="clear" w:color="auto" w:fill="FFFFFF"/>
          </w:tcPr>
          <w:p w14:paraId="0AD53695">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Outperformed stand-alone models, achieving enhanced classification accuracy and reliability in differentiating fetal view planes.</w:t>
            </w:r>
          </w:p>
        </w:tc>
        <w:tc>
          <w:tcPr>
            <w:tcW w:w="1680" w:type="dxa"/>
            <w:tcBorders>
              <w:top w:val="single" w:color="000000" w:sz="4" w:space="0"/>
              <w:left w:val="nil"/>
              <w:bottom w:val="single" w:color="000000" w:sz="4" w:space="0"/>
              <w:right w:val="nil"/>
              <w:tl2br w:val="nil"/>
              <w:tr2bl w:val="nil"/>
            </w:tcBorders>
            <w:shd w:val="clear" w:color="auto" w:fill="FFFFFF"/>
          </w:tcPr>
          <w:p w14:paraId="483CA2B3">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Challenges in differentiating view planes in fetal morphology scans due to varying maternal and fetal factors.</w:t>
            </w:r>
          </w:p>
        </w:tc>
      </w:tr>
      <w:tr w14:paraId="506A223D">
        <w:tblPrEx>
          <w:tblCellMar>
            <w:top w:w="0" w:type="dxa"/>
            <w:left w:w="108" w:type="dxa"/>
            <w:bottom w:w="0" w:type="dxa"/>
            <w:right w:w="108" w:type="dxa"/>
          </w:tblCellMar>
        </w:tblPrEx>
        <w:tc>
          <w:tcPr>
            <w:tcW w:w="1052" w:type="dxa"/>
            <w:tcBorders>
              <w:top w:val="single" w:color="000000" w:sz="4" w:space="0"/>
              <w:left w:val="nil"/>
              <w:bottom w:val="single" w:color="000000" w:sz="4" w:space="0"/>
              <w:right w:val="nil"/>
              <w:tl2br w:val="nil"/>
              <w:tr2bl w:val="nil"/>
            </w:tcBorders>
            <w:shd w:val="clear" w:color="auto" w:fill="FFFFFF"/>
          </w:tcPr>
          <w:p w14:paraId="27E06CE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bCs/>
                <w:color w:val="000000"/>
                <w:sz w:val="20"/>
                <w:szCs w:val="20"/>
              </w:rPr>
            </w:pPr>
            <w:r>
              <w:rPr>
                <w:rFonts w:hint="default" w:ascii="Times New Roman" w:hAnsi="Times New Roman" w:cs="Times New Roman"/>
                <w:b w:val="0"/>
                <w:bCs/>
                <w:color w:val="000000"/>
                <w:sz w:val="20"/>
                <w:szCs w:val="20"/>
              </w:rPr>
              <w:t>K-Means, Gaussian Mixture Model</w:t>
            </w:r>
          </w:p>
        </w:tc>
        <w:tc>
          <w:tcPr>
            <w:tcW w:w="1224" w:type="dxa"/>
            <w:tcBorders>
              <w:top w:val="single" w:color="000000" w:sz="4" w:space="0"/>
              <w:left w:val="nil"/>
              <w:bottom w:val="single" w:color="000000" w:sz="4" w:space="0"/>
              <w:right w:val="nil"/>
              <w:tl2br w:val="nil"/>
              <w:tr2bl w:val="nil"/>
            </w:tcBorders>
            <w:shd w:val="clear" w:color="auto" w:fill="FFFFFF"/>
          </w:tcPr>
          <w:p w14:paraId="2674B112">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Eva Patel, Dharmender Singh Kushwaha (2020)</w:t>
            </w:r>
          </w:p>
        </w:tc>
        <w:tc>
          <w:tcPr>
            <w:tcW w:w="1920" w:type="dxa"/>
            <w:tcBorders>
              <w:top w:val="single" w:color="000000" w:sz="4" w:space="0"/>
              <w:left w:val="nil"/>
              <w:bottom w:val="single" w:color="000000" w:sz="4" w:space="0"/>
              <w:right w:val="nil"/>
              <w:tl2br w:val="nil"/>
              <w:tr2bl w:val="nil"/>
            </w:tcBorders>
            <w:shd w:val="clear" w:color="auto" w:fill="FFFFFF"/>
          </w:tcPr>
          <w:p w14:paraId="19783647">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Comparison of K-Means and GMM clustering to analyze cloud workload heterogeneity and optimize resource management.</w:t>
            </w:r>
          </w:p>
        </w:tc>
        <w:tc>
          <w:tcPr>
            <w:tcW w:w="1236" w:type="dxa"/>
            <w:tcBorders>
              <w:top w:val="single" w:color="000000" w:sz="4" w:space="0"/>
              <w:left w:val="nil"/>
              <w:bottom w:val="single" w:color="000000" w:sz="4" w:space="0"/>
              <w:right w:val="nil"/>
              <w:tl2br w:val="nil"/>
              <w:tr2bl w:val="nil"/>
            </w:tcBorders>
            <w:shd w:val="clear" w:color="auto" w:fill="FFFFFF"/>
          </w:tcPr>
          <w:p w14:paraId="496A79A8">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Within-Cluster Sum of Squares (SSE), AIC, BIC</w:t>
            </w:r>
          </w:p>
        </w:tc>
        <w:tc>
          <w:tcPr>
            <w:tcW w:w="1440" w:type="dxa"/>
            <w:tcBorders>
              <w:top w:val="single" w:color="000000" w:sz="4" w:space="0"/>
              <w:left w:val="nil"/>
              <w:bottom w:val="single" w:color="000000" w:sz="4" w:space="0"/>
              <w:right w:val="nil"/>
              <w:tl2br w:val="nil"/>
              <w:tr2bl w:val="nil"/>
            </w:tcBorders>
            <w:shd w:val="clear" w:color="auto" w:fill="FFFFFF"/>
          </w:tcPr>
          <w:p w14:paraId="177C82DD">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GMM achieved more precise workload clustering with distinct boundaries but had higher computational costs compared to K-Means.</w:t>
            </w:r>
          </w:p>
        </w:tc>
        <w:tc>
          <w:tcPr>
            <w:tcW w:w="1680" w:type="dxa"/>
            <w:tcBorders>
              <w:top w:val="single" w:color="000000" w:sz="4" w:space="0"/>
              <w:left w:val="nil"/>
              <w:bottom w:val="single" w:color="000000" w:sz="4" w:space="0"/>
              <w:right w:val="nil"/>
              <w:tl2br w:val="nil"/>
              <w:tr2bl w:val="nil"/>
            </w:tcBorders>
            <w:shd w:val="clear" w:color="auto" w:fill="FFFFFF"/>
          </w:tcPr>
          <w:p w14:paraId="777DE44B">
            <w:pPr>
              <w:pageBreakBefore w:val="0"/>
              <w:widowControl/>
              <w:kinsoku/>
              <w:wordWrap/>
              <w:overflowPunct/>
              <w:topLinePunct w:val="0"/>
              <w:autoSpaceDE/>
              <w:autoSpaceDN/>
              <w:bidi w:val="0"/>
              <w:adjustRightInd/>
              <w:snapToGrid/>
              <w:spacing w:before="181" w:beforeLines="50" w:after="181" w:afterLines="50" w:line="240" w:lineRule="auto"/>
              <w:textAlignment w:val="auto"/>
              <w:rPr>
                <w:rFonts w:hint="default" w:ascii="Times New Roman" w:hAnsi="Times New Roman" w:cs="Times New Roman"/>
                <w:b w:val="0"/>
                <w:color w:val="000000"/>
                <w:sz w:val="20"/>
                <w:szCs w:val="20"/>
              </w:rPr>
            </w:pPr>
            <w:r>
              <w:rPr>
                <w:rFonts w:hint="default" w:ascii="Times New Roman" w:hAnsi="Times New Roman" w:cs="Times New Roman"/>
                <w:b w:val="0"/>
                <w:color w:val="000000"/>
                <w:sz w:val="20"/>
                <w:szCs w:val="20"/>
              </w:rPr>
              <w:t>Heterogeneity in cloud workloads complicates effective resource management and capacity planning.</w:t>
            </w:r>
          </w:p>
        </w:tc>
      </w:tr>
    </w:tbl>
    <w:p w14:paraId="5A9B7C27">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lang w:val="en-US"/>
        </w:rPr>
      </w:pPr>
    </w:p>
    <w:p w14:paraId="675B6354">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3E0DA06A">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658416E5">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62B06EA0">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03F4375A">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rPr>
      </w:pPr>
    </w:p>
    <w:p w14:paraId="53DD1387">
      <w:pPr>
        <w:keepNext w:val="0"/>
        <w:keepLines w:val="0"/>
        <w:pageBreakBefore w:val="0"/>
        <w:widowControl/>
        <w:kinsoku/>
        <w:wordWrap/>
        <w:overflowPunct/>
        <w:topLinePunct w:val="0"/>
        <w:autoSpaceDE/>
        <w:autoSpaceDN/>
        <w:bidi w:val="0"/>
        <w:adjustRightInd/>
        <w:snapToGrid/>
        <w:spacing w:line="240" w:lineRule="auto"/>
        <w:rPr>
          <w:rFonts w:hint="default" w:ascii="Times New Roman" w:hAnsi="Times New Roman" w:cs="Times New Roman"/>
          <w:b w:val="0"/>
          <w:bCs w:val="0"/>
          <w:sz w:val="24"/>
          <w:szCs w:val="24"/>
          <w:lang w:val="en-US"/>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B7C635"/>
    <w:multiLevelType w:val="singleLevel"/>
    <w:tmpl w:val="83B7C635"/>
    <w:lvl w:ilvl="0" w:tentative="0">
      <w:start w:val="1"/>
      <w:numFmt w:val="lowerRoman"/>
      <w:lvlText w:val="%1."/>
      <w:lvlJc w:val="left"/>
      <w:pPr>
        <w:tabs>
          <w:tab w:val="left" w:pos="425"/>
        </w:tabs>
        <w:ind w:left="425" w:leftChars="0" w:hanging="425" w:firstLineChars="0"/>
      </w:pPr>
      <w:rPr>
        <w:rFonts w:hint="default"/>
      </w:rPr>
    </w:lvl>
  </w:abstractNum>
  <w:abstractNum w:abstractNumId="1">
    <w:nsid w:val="84E1808F"/>
    <w:multiLevelType w:val="singleLevel"/>
    <w:tmpl w:val="84E1808F"/>
    <w:lvl w:ilvl="0" w:tentative="0">
      <w:start w:val="1"/>
      <w:numFmt w:val="lowerRoman"/>
      <w:lvlText w:val="%1."/>
      <w:lvlJc w:val="left"/>
      <w:pPr>
        <w:tabs>
          <w:tab w:val="left" w:pos="425"/>
        </w:tabs>
        <w:ind w:left="425" w:leftChars="0" w:hanging="425" w:firstLineChars="0"/>
      </w:pPr>
      <w:rPr>
        <w:rFonts w:hint="default"/>
      </w:rPr>
    </w:lvl>
  </w:abstractNum>
  <w:abstractNum w:abstractNumId="2">
    <w:nsid w:val="E2B264A9"/>
    <w:multiLevelType w:val="singleLevel"/>
    <w:tmpl w:val="E2B264A9"/>
    <w:lvl w:ilvl="0" w:tentative="0">
      <w:start w:val="1"/>
      <w:numFmt w:val="lowerRoman"/>
      <w:lvlText w:val="%1."/>
      <w:lvlJc w:val="left"/>
      <w:pPr>
        <w:tabs>
          <w:tab w:val="left" w:pos="425"/>
        </w:tabs>
        <w:ind w:left="425" w:leftChars="0" w:hanging="425" w:firstLineChars="0"/>
      </w:pPr>
      <w:rPr>
        <w:rFonts w:hint="default"/>
      </w:rPr>
    </w:lvl>
  </w:abstractNum>
  <w:abstractNum w:abstractNumId="3">
    <w:nsid w:val="FFFFFF7C"/>
    <w:multiLevelType w:val="singleLevel"/>
    <w:tmpl w:val="FFFFFF7C"/>
    <w:lvl w:ilvl="0" w:tentative="0">
      <w:start w:val="1"/>
      <w:numFmt w:val="decimal"/>
      <w:pStyle w:val="82"/>
      <w:lvlText w:val="%1."/>
      <w:lvlJc w:val="left"/>
      <w:pPr>
        <w:tabs>
          <w:tab w:val="left" w:pos="2040"/>
        </w:tabs>
        <w:ind w:left="2040" w:leftChars="800" w:hanging="360" w:hangingChars="200"/>
      </w:pPr>
    </w:lvl>
  </w:abstractNum>
  <w:abstractNum w:abstractNumId="4">
    <w:nsid w:val="FFFFFF7D"/>
    <w:multiLevelType w:val="singleLevel"/>
    <w:tmpl w:val="FFFFFF7D"/>
    <w:lvl w:ilvl="0" w:tentative="0">
      <w:start w:val="1"/>
      <w:numFmt w:val="decimal"/>
      <w:pStyle w:val="81"/>
      <w:lvlText w:val="%1."/>
      <w:lvlJc w:val="left"/>
      <w:pPr>
        <w:tabs>
          <w:tab w:val="left" w:pos="1620"/>
        </w:tabs>
        <w:ind w:left="1620" w:leftChars="600" w:hanging="360" w:hangingChars="200"/>
      </w:pPr>
    </w:lvl>
  </w:abstractNum>
  <w:abstractNum w:abstractNumId="5">
    <w:nsid w:val="FFFFFF7E"/>
    <w:multiLevelType w:val="singleLevel"/>
    <w:tmpl w:val="FFFFFF7E"/>
    <w:lvl w:ilvl="0" w:tentative="0">
      <w:start w:val="1"/>
      <w:numFmt w:val="decimal"/>
      <w:pStyle w:val="80"/>
      <w:lvlText w:val="%1."/>
      <w:lvlJc w:val="left"/>
      <w:pPr>
        <w:tabs>
          <w:tab w:val="left" w:pos="1200"/>
        </w:tabs>
        <w:ind w:left="1200" w:leftChars="400" w:hanging="360" w:hangingChars="200"/>
      </w:pPr>
    </w:lvl>
  </w:abstractNum>
  <w:abstractNum w:abstractNumId="6">
    <w:nsid w:val="FFFFFF7F"/>
    <w:multiLevelType w:val="singleLevel"/>
    <w:tmpl w:val="FFFFFF7F"/>
    <w:lvl w:ilvl="0" w:tentative="0">
      <w:start w:val="1"/>
      <w:numFmt w:val="decimal"/>
      <w:pStyle w:val="79"/>
      <w:lvlText w:val="%1."/>
      <w:lvlJc w:val="left"/>
      <w:pPr>
        <w:tabs>
          <w:tab w:val="left" w:pos="780"/>
        </w:tabs>
        <w:ind w:left="780" w:leftChars="200" w:hanging="360" w:hangingChars="200"/>
      </w:pPr>
    </w:lvl>
  </w:abstractNum>
  <w:abstractNum w:abstractNumId="7">
    <w:nsid w:val="FFFFFF80"/>
    <w:multiLevelType w:val="singleLevel"/>
    <w:tmpl w:val="FFFFFF80"/>
    <w:lvl w:ilvl="0" w:tentative="0">
      <w:start w:val="1"/>
      <w:numFmt w:val="bullet"/>
      <w:pStyle w:val="72"/>
      <w:lvlText w:val=""/>
      <w:lvlJc w:val="left"/>
      <w:pPr>
        <w:tabs>
          <w:tab w:val="left" w:pos="2040"/>
        </w:tabs>
        <w:ind w:left="2040" w:leftChars="800" w:hanging="360" w:hangingChars="200"/>
      </w:pPr>
      <w:rPr>
        <w:rFonts w:hint="default" w:ascii="Wingdings" w:hAnsi="Wingdings"/>
      </w:rPr>
    </w:lvl>
  </w:abstractNum>
  <w:abstractNum w:abstractNumId="8">
    <w:nsid w:val="FFFFFF81"/>
    <w:multiLevelType w:val="singleLevel"/>
    <w:tmpl w:val="FFFFFF81"/>
    <w:lvl w:ilvl="0" w:tentative="0">
      <w:start w:val="1"/>
      <w:numFmt w:val="bullet"/>
      <w:pStyle w:val="71"/>
      <w:lvlText w:val=""/>
      <w:lvlJc w:val="left"/>
      <w:pPr>
        <w:tabs>
          <w:tab w:val="left" w:pos="1620"/>
        </w:tabs>
        <w:ind w:left="1620" w:leftChars="600" w:hanging="360" w:hangingChars="200"/>
      </w:pPr>
      <w:rPr>
        <w:rFonts w:hint="default" w:ascii="Wingdings" w:hAnsi="Wingdings"/>
      </w:rPr>
    </w:lvl>
  </w:abstractNum>
  <w:abstractNum w:abstractNumId="9">
    <w:nsid w:val="FFFFFF82"/>
    <w:multiLevelType w:val="singleLevel"/>
    <w:tmpl w:val="FFFFFF82"/>
    <w:lvl w:ilvl="0" w:tentative="0">
      <w:start w:val="1"/>
      <w:numFmt w:val="bullet"/>
      <w:pStyle w:val="70"/>
      <w:lvlText w:val=""/>
      <w:lvlJc w:val="left"/>
      <w:pPr>
        <w:tabs>
          <w:tab w:val="left" w:pos="1200"/>
        </w:tabs>
        <w:ind w:left="1200" w:leftChars="400" w:hanging="360" w:hangingChars="200"/>
      </w:pPr>
      <w:rPr>
        <w:rFonts w:hint="default" w:ascii="Wingdings" w:hAnsi="Wingdings"/>
      </w:rPr>
    </w:lvl>
  </w:abstractNum>
  <w:abstractNum w:abstractNumId="10">
    <w:nsid w:val="FFFFFF83"/>
    <w:multiLevelType w:val="singleLevel"/>
    <w:tmpl w:val="FFFFFF83"/>
    <w:lvl w:ilvl="0" w:tentative="0">
      <w:start w:val="1"/>
      <w:numFmt w:val="bullet"/>
      <w:pStyle w:val="69"/>
      <w:lvlText w:val=""/>
      <w:lvlJc w:val="left"/>
      <w:pPr>
        <w:tabs>
          <w:tab w:val="left" w:pos="780"/>
        </w:tabs>
        <w:ind w:left="780" w:leftChars="200" w:hanging="360" w:hangingChars="200"/>
      </w:pPr>
      <w:rPr>
        <w:rFonts w:hint="default" w:ascii="Wingdings" w:hAnsi="Wingdings"/>
      </w:rPr>
    </w:lvl>
  </w:abstractNum>
  <w:abstractNum w:abstractNumId="11">
    <w:nsid w:val="FFFFFF88"/>
    <w:multiLevelType w:val="singleLevel"/>
    <w:tmpl w:val="FFFFFF88"/>
    <w:lvl w:ilvl="0" w:tentative="0">
      <w:start w:val="1"/>
      <w:numFmt w:val="decimal"/>
      <w:pStyle w:val="78"/>
      <w:lvlText w:val="%1."/>
      <w:lvlJc w:val="left"/>
      <w:pPr>
        <w:tabs>
          <w:tab w:val="left" w:pos="360"/>
        </w:tabs>
        <w:ind w:left="360" w:hanging="360" w:hangingChars="200"/>
      </w:pPr>
    </w:lvl>
  </w:abstractNum>
  <w:abstractNum w:abstractNumId="12">
    <w:nsid w:val="FFFFFF89"/>
    <w:multiLevelType w:val="singleLevel"/>
    <w:tmpl w:val="FFFFFF89"/>
    <w:lvl w:ilvl="0" w:tentative="0">
      <w:start w:val="1"/>
      <w:numFmt w:val="bullet"/>
      <w:pStyle w:val="68"/>
      <w:lvlText w:val=""/>
      <w:lvlJc w:val="left"/>
      <w:pPr>
        <w:tabs>
          <w:tab w:val="left" w:pos="360"/>
        </w:tabs>
        <w:ind w:left="360" w:hanging="360" w:hangingChars="200"/>
      </w:pPr>
      <w:rPr>
        <w:rFonts w:hint="default" w:ascii="Wingdings" w:hAnsi="Wingdings"/>
      </w:rPr>
    </w:lvl>
  </w:abstractNum>
  <w:abstractNum w:abstractNumId="13">
    <w:nsid w:val="087017EB"/>
    <w:multiLevelType w:val="singleLevel"/>
    <w:tmpl w:val="087017EB"/>
    <w:lvl w:ilvl="0" w:tentative="0">
      <w:start w:val="1"/>
      <w:numFmt w:val="lowerRoman"/>
      <w:lvlText w:val="%1."/>
      <w:lvlJc w:val="left"/>
      <w:pPr>
        <w:tabs>
          <w:tab w:val="left" w:pos="425"/>
        </w:tabs>
        <w:ind w:left="425" w:leftChars="0" w:hanging="425" w:firstLineChars="0"/>
      </w:pPr>
      <w:rPr>
        <w:rFonts w:hint="default"/>
      </w:rPr>
    </w:lvl>
  </w:abstractNum>
  <w:abstractNum w:abstractNumId="14">
    <w:nsid w:val="2D870359"/>
    <w:multiLevelType w:val="singleLevel"/>
    <w:tmpl w:val="2D870359"/>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559E2C22"/>
    <w:multiLevelType w:val="singleLevel"/>
    <w:tmpl w:val="559E2C22"/>
    <w:lvl w:ilvl="0" w:tentative="0">
      <w:start w:val="1"/>
      <w:numFmt w:val="lowerRoman"/>
      <w:lvlText w:val="%1."/>
      <w:lvlJc w:val="left"/>
      <w:pPr>
        <w:tabs>
          <w:tab w:val="left" w:pos="425"/>
        </w:tabs>
        <w:ind w:left="425" w:leftChars="0" w:hanging="425" w:firstLineChars="0"/>
      </w:pPr>
      <w:rPr>
        <w:rFonts w:hint="default"/>
      </w:rPr>
    </w:lvl>
  </w:abstractNum>
  <w:abstractNum w:abstractNumId="16">
    <w:nsid w:val="5833D7D8"/>
    <w:multiLevelType w:val="singleLevel"/>
    <w:tmpl w:val="5833D7D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7">
    <w:nsid w:val="76EEB837"/>
    <w:multiLevelType w:val="singleLevel"/>
    <w:tmpl w:val="76EEB837"/>
    <w:lvl w:ilvl="0" w:tentative="0">
      <w:start w:val="1"/>
      <w:numFmt w:val="bullet"/>
      <w:lvlText w:val=""/>
      <w:lvlJc w:val="left"/>
      <w:pPr>
        <w:tabs>
          <w:tab w:val="left" w:pos="420"/>
        </w:tabs>
        <w:ind w:left="420" w:leftChars="0" w:hanging="420" w:firstLineChars="0"/>
      </w:pPr>
      <w:rPr>
        <w:rFonts w:hint="default" w:ascii="Wingdings" w:hAnsi="Wingdings"/>
      </w:rPr>
    </w:lvl>
  </w:abstractNum>
  <w:num w:numId="1">
    <w:abstractNumId w:val="12"/>
  </w:num>
  <w:num w:numId="2">
    <w:abstractNumId w:val="10"/>
  </w:num>
  <w:num w:numId="3">
    <w:abstractNumId w:val="9"/>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0"/>
  </w:num>
  <w:num w:numId="12">
    <w:abstractNumId w:val="13"/>
  </w:num>
  <w:num w:numId="13">
    <w:abstractNumId w:val="15"/>
  </w:num>
  <w:num w:numId="14">
    <w:abstractNumId w:val="2"/>
  </w:num>
  <w:num w:numId="15">
    <w:abstractNumId w:val="17"/>
  </w:num>
  <w:num w:numId="16">
    <w:abstractNumId w:val="1"/>
  </w:num>
  <w:num w:numId="17">
    <w:abstractNumId w:val="14"/>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displayBackgroundShape w:val="1"/>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360"/>
  <w:drawingGridVerticalSpacing w:val="156"/>
  <w:displayHorizontalDrawingGridEvery w:val="1"/>
  <w:displayVerticalDrawingGridEvery w:val="1"/>
  <w:noPunctuationKerning w:val="1"/>
  <w:characterSpacingControl w:val="doNotCompress"/>
  <w:compat>
    <w:spaceForUL/>
    <w:doNotLeaveBackslashAlone/>
    <w:ulTrailSpace/>
    <w:doNotExpandShiftReturn/>
    <w:footnoteLayoutLikeWW8/>
    <w:forgetLastTabAlignment/>
    <w:adjustLineHeightInTable/>
    <w:layoutRawTableWidth/>
    <w:layoutTableRowsApart/>
    <w:doNotBreakWrappedTables/>
    <w:doNotSnapToGridInCell/>
    <w:selectFldWithFirstOrLastChar/>
    <w:doNotWrapTextWithPunct/>
    <w:doNotUseEastAsianBreakRules/>
    <w:useWord2002TableStyleRules/>
    <w:growAutofit/>
    <w:useNormalStyleForList/>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4F63A1"/>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14C06322"/>
    <w:rsid w:val="1F192994"/>
    <w:rsid w:val="258F1992"/>
    <w:rsid w:val="29E25CCA"/>
    <w:rsid w:val="2E5C3843"/>
    <w:rsid w:val="302E3E48"/>
    <w:rsid w:val="38AD015F"/>
    <w:rsid w:val="3D780066"/>
    <w:rsid w:val="420A6C99"/>
    <w:rsid w:val="46C606E7"/>
    <w:rsid w:val="4C4F63A1"/>
    <w:rsid w:val="534B2CFC"/>
    <w:rsid w:val="5E695F0B"/>
    <w:rsid w:val="635345C6"/>
    <w:rsid w:val="664663E8"/>
    <w:rsid w:val="687916F5"/>
    <w:rsid w:val="6C5A40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iPriority="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60" w:semiHidden="0" w:name="Light Shading"/>
    <w:lsdException w:qFormat="1" w:unhideWhenUsed="0" w:uiPriority="61" w:semiHidden="0" w:name="Light List"/>
    <w:lsdException w:unhideWhenUsed="0" w:uiPriority="62" w:semiHidden="0" w:name="Light Grid"/>
    <w:lsdException w:qFormat="1" w:unhideWhenUsed="0" w:uiPriority="63" w:semiHidden="0" w:name="Medium Shading 1"/>
    <w:lsdException w:qFormat="1" w:unhideWhenUsed="0" w:uiPriority="64" w:semiHidden="0" w:name="Medium Shading 2"/>
    <w:lsdException w:unhideWhenUsed="0" w:uiPriority="65" w:semiHidden="0" w:name="Medium List 1"/>
    <w:lsdException w:qFormat="1" w:unhideWhenUsed="0" w:uiPriority="66" w:semiHidden="0" w:name="Medium List 2"/>
    <w:lsdException w:qFormat="1" w:unhideWhenUsed="0" w:uiPriority="67" w:semiHidden="0" w:name="Medium Grid 1"/>
    <w:lsdException w:qFormat="1"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qFormat="1" w:unhideWhenUsed="0" w:uiPriority="60" w:semiHidden="0" w:name="Light Shading Accent 1"/>
    <w:lsdException w:qFormat="1" w:unhideWhenUsed="0" w:uiPriority="61" w:semiHidden="0" w:name="Light List Accent 1"/>
    <w:lsdException w:qFormat="1" w:unhideWhenUsed="0" w:uiPriority="62" w:semiHidden="0" w:name="Light Grid Accent 1"/>
    <w:lsdException w:qFormat="1"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66" w:semiHidden="0" w:name="Medium List 2 Accent 1"/>
    <w:lsdException w:qFormat="1" w:unhideWhenUsed="0" w:uiPriority="67" w:semiHidden="0" w:name="Medium Grid 1 Accent 1"/>
    <w:lsdException w:qFormat="1"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qFormat="1" w:unhideWhenUsed="0" w:uiPriority="60" w:semiHidden="0" w:name="Light Shading Accent 2"/>
    <w:lsdException w:qFormat="1" w:unhideWhenUsed="0" w:uiPriority="61" w:semiHidden="0" w:name="Light List Accent 2"/>
    <w:lsdException w:qFormat="1" w:unhideWhenUsed="0" w:uiPriority="62" w:semiHidden="0" w:name="Light Grid Accent 2"/>
    <w:lsdException w:qFormat="1" w:unhideWhenUsed="0" w:uiPriority="63" w:semiHidden="0" w:name="Medium Shading 1 Accent 2"/>
    <w:lsdException w:qFormat="1" w:unhideWhenUsed="0" w:uiPriority="64" w:semiHidden="0" w:name="Medium Shading 2 Accent 2"/>
    <w:lsdException w:qFormat="1" w:unhideWhenUsed="0" w:uiPriority="65" w:semiHidden="0" w:name="Medium List 1 Accent 2"/>
    <w:lsdException w:qFormat="1" w:unhideWhenUsed="0" w:uiPriority="66" w:semiHidden="0" w:name="Medium List 2 Accent 2"/>
    <w:lsdException w:qFormat="1" w:unhideWhenUsed="0" w:uiPriority="67" w:semiHidden="0" w:name="Medium Grid 1 Accent 2"/>
    <w:lsdException w:qFormat="1"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qFormat="1"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qFormat="1"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qFormat="1" w:unhideWhenUsed="0" w:uiPriority="60" w:semiHidden="0" w:name="Light Shading Accent 4"/>
    <w:lsdException w:qFormat="1" w:unhideWhenUsed="0" w:uiPriority="61" w:semiHidden="0" w:name="Light List Accent 4"/>
    <w:lsdException w:qFormat="1" w:unhideWhenUsed="0" w:uiPriority="62" w:semiHidden="0" w:name="Light Grid Accent 4"/>
    <w:lsdException w:qFormat="1" w:unhideWhenUsed="0" w:uiPriority="63" w:semiHidden="0" w:name="Medium Shading 1 Accent 4"/>
    <w:lsdException w:qFormat="1" w:unhideWhenUsed="0" w:uiPriority="64" w:semiHidden="0" w:name="Medium Shading 2 Accent 4"/>
    <w:lsdException w:qFormat="1" w:unhideWhenUsed="0" w:uiPriority="65" w:semiHidden="0" w:name="Medium List 1 Accent 4"/>
    <w:lsdException w:qFormat="1" w:unhideWhenUsed="0" w:uiPriority="66" w:semiHidden="0" w:name="Medium List 2 Accent 4"/>
    <w:lsdException w:qFormat="1"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qFormat="1" w:unhideWhenUsed="0" w:uiPriority="73" w:semiHidden="0" w:name="Colorful Grid Accent 4"/>
    <w:lsdException w:qFormat="1" w:unhideWhenUsed="0" w:uiPriority="60" w:semiHidden="0" w:name="Light Shading Accent 5"/>
    <w:lsdException w:qFormat="1"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qFormat="1" w:unhideWhenUsed="0" w:uiPriority="65" w:semiHidden="0" w:name="Medium List 1 Accent 5"/>
    <w:lsdException w:qFormat="1" w:unhideWhenUsed="0" w:uiPriority="66" w:semiHidden="0" w:name="Medium List 2 Accent 5"/>
    <w:lsdException w:qFormat="1"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qFormat="1" w:unhideWhenUsed="0" w:uiPriority="73" w:semiHidden="0" w:name="Colorful Grid Accent 5"/>
    <w:lsdException w:qFormat="1" w:unhideWhenUsed="0" w:uiPriority="60" w:semiHidden="0" w:name="Light Shading Accent 6"/>
    <w:lsdException w:qFormat="1" w:unhideWhenUsed="0" w:uiPriority="61" w:semiHidden="0" w:name="Light List Accent 6"/>
    <w:lsdException w:qFormat="1" w:unhideWhenUsed="0" w:uiPriority="62" w:semiHidden="0" w:name="Light Grid Accent 6"/>
    <w:lsdException w:qFormat="1" w:unhideWhenUsed="0" w:uiPriority="63" w:semiHidden="0" w:name="Medium Shading 1 Accent 6"/>
    <w:lsdException w:unhideWhenUsed="0" w:uiPriority="64" w:semiHidden="0" w:name="Medium Shading 2 Accent 6"/>
    <w:lsdException w:qFormat="1" w:unhideWhenUsed="0" w:uiPriority="65" w:semiHidden="0" w:name="Medium List 1 Accent 6"/>
    <w:lsdException w:qFormat="1" w:unhideWhenUsed="0" w:uiPriority="66" w:semiHidden="0" w:name="Medium List 2 Accent 6"/>
    <w:lsdException w:qFormat="1"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qFormat="1" w:unhideWhenUsed="0" w:uiPriority="73" w:semiHidden="0" w:name="Colorful Grid Accent 6"/>
  </w:latentStyles>
  <w:style w:type="paragraph" w:default="1" w:styleId="1">
    <w:name w:val="Normal"/>
    <w:qFormat/>
    <w:uiPriority w:val="0"/>
    <w:rPr>
      <w:rFonts w:ascii="Calibri" w:hAnsi="Calibri" w:eastAsia="SimSun" w:cs="Times New Roman"/>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semiHidden/>
    <w:unhideWhenUsed/>
    <w:qFormat/>
    <w:uiPriority w:val="0"/>
    <w:pPr>
      <w:keepNext/>
      <w:keepLines/>
      <w:spacing w:before="260" w:after="260" w:line="416" w:lineRule="auto"/>
      <w:outlineLvl w:val="1"/>
    </w:pPr>
    <w:rPr>
      <w:b/>
      <w:bCs/>
      <w:sz w:val="32"/>
      <w:szCs w:val="32"/>
    </w:rPr>
  </w:style>
  <w:style w:type="paragraph" w:styleId="4">
    <w:name w:val="heading 3"/>
    <w:basedOn w:val="1"/>
    <w:next w:val="1"/>
    <w:semiHidden/>
    <w:unhideWhenUsed/>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after="290" w:line="376" w:lineRule="auto"/>
      <w:outlineLvl w:val="3"/>
    </w:pPr>
    <w:rPr>
      <w:b/>
      <w:bCs/>
      <w:sz w:val="28"/>
      <w:szCs w:val="28"/>
    </w:rPr>
  </w:style>
  <w:style w:type="paragraph" w:styleId="6">
    <w:name w:val="heading 5"/>
    <w:basedOn w:val="1"/>
    <w:next w:val="1"/>
    <w:semiHidden/>
    <w:unhideWhenUsed/>
    <w:qFormat/>
    <w:uiPriority w:val="0"/>
    <w:pPr>
      <w:keepNext/>
      <w:keepLines/>
      <w:spacing w:before="280" w:after="290" w:line="376" w:lineRule="auto"/>
      <w:outlineLvl w:val="4"/>
    </w:pPr>
    <w:rPr>
      <w:b/>
      <w:bCs/>
      <w:sz w:val="28"/>
      <w:szCs w:val="28"/>
    </w:rPr>
  </w:style>
  <w:style w:type="paragraph" w:styleId="7">
    <w:name w:val="heading 6"/>
    <w:basedOn w:val="1"/>
    <w:next w:val="1"/>
    <w:semiHidden/>
    <w:unhideWhenUsed/>
    <w:qFormat/>
    <w:uiPriority w:val="0"/>
    <w:pPr>
      <w:keepNext/>
      <w:keepLines/>
      <w:spacing w:before="240" w:after="64" w:line="320" w:lineRule="auto"/>
      <w:outlineLvl w:val="5"/>
    </w:pPr>
    <w:rPr>
      <w:b/>
      <w:bCs/>
      <w:sz w:val="24"/>
      <w:szCs w:val="24"/>
    </w:rPr>
  </w:style>
  <w:style w:type="paragraph" w:styleId="8">
    <w:name w:val="heading 7"/>
    <w:basedOn w:val="1"/>
    <w:next w:val="1"/>
    <w:semiHidden/>
    <w:unhideWhenUsed/>
    <w:qFormat/>
    <w:uiPriority w:val="0"/>
    <w:pPr>
      <w:keepNext/>
      <w:keepLines/>
      <w:spacing w:before="240" w:after="64" w:line="320" w:lineRule="auto"/>
      <w:outlineLvl w:val="6"/>
    </w:pPr>
    <w:rPr>
      <w:b/>
      <w:bCs/>
      <w:sz w:val="24"/>
      <w:szCs w:val="24"/>
    </w:rPr>
  </w:style>
  <w:style w:type="paragraph" w:styleId="9">
    <w:name w:val="heading 8"/>
    <w:basedOn w:val="1"/>
    <w:next w:val="1"/>
    <w:semiHidden/>
    <w:unhideWhenUsed/>
    <w:qFormat/>
    <w:uiPriority w:val="0"/>
    <w:pPr>
      <w:keepNext/>
      <w:keepLines/>
      <w:spacing w:before="240" w:after="64" w:line="320" w:lineRule="auto"/>
      <w:outlineLvl w:val="7"/>
    </w:pPr>
    <w:rPr>
      <w:sz w:val="24"/>
      <w:szCs w:val="24"/>
    </w:rPr>
  </w:style>
  <w:style w:type="paragraph" w:styleId="10">
    <w:name w:val="heading 9"/>
    <w:basedOn w:val="1"/>
    <w:next w:val="1"/>
    <w:semiHidden/>
    <w:unhideWhenUsed/>
    <w:qFormat/>
    <w:uiPriority w:val="0"/>
    <w:pPr>
      <w:keepNext/>
      <w:keepLines/>
      <w:spacing w:before="240" w:after="64" w:line="320" w:lineRule="auto"/>
      <w:outlineLvl w:val="8"/>
    </w:pPr>
    <w:rPr>
      <w:szCs w:val="21"/>
    </w:rPr>
  </w:style>
  <w:style w:type="character" w:default="1" w:styleId="11">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13">
    <w:name w:val="Balloon Text"/>
    <w:basedOn w:val="1"/>
    <w:qFormat/>
    <w:uiPriority w:val="0"/>
    <w:rPr>
      <w:sz w:val="16"/>
      <w:szCs w:val="16"/>
    </w:rPr>
  </w:style>
  <w:style w:type="paragraph" w:styleId="14">
    <w:name w:val="Block Text"/>
    <w:basedOn w:val="1"/>
    <w:qFormat/>
    <w:uiPriority w:val="0"/>
    <w:pPr>
      <w:spacing w:after="120"/>
      <w:ind w:left="1440" w:leftChars="700" w:right="1440" w:rightChars="700"/>
    </w:pPr>
  </w:style>
  <w:style w:type="paragraph" w:styleId="15">
    <w:name w:val="Body Text"/>
    <w:basedOn w:val="1"/>
    <w:qFormat/>
    <w:uiPriority w:val="0"/>
    <w:pPr>
      <w:spacing w:after="120"/>
    </w:pPr>
  </w:style>
  <w:style w:type="paragraph" w:styleId="16">
    <w:name w:val="Body Text 2"/>
    <w:basedOn w:val="1"/>
    <w:qFormat/>
    <w:uiPriority w:val="0"/>
    <w:pPr>
      <w:spacing w:after="120" w:line="480" w:lineRule="auto"/>
    </w:pPr>
  </w:style>
  <w:style w:type="paragraph" w:styleId="17">
    <w:name w:val="Body Text 3"/>
    <w:basedOn w:val="1"/>
    <w:qFormat/>
    <w:uiPriority w:val="0"/>
    <w:pPr>
      <w:spacing w:after="120"/>
    </w:pPr>
    <w:rPr>
      <w:sz w:val="16"/>
      <w:szCs w:val="16"/>
    </w:rPr>
  </w:style>
  <w:style w:type="paragraph" w:styleId="18">
    <w:name w:val="Body Text First Indent"/>
    <w:basedOn w:val="15"/>
    <w:qFormat/>
    <w:uiPriority w:val="0"/>
    <w:pPr>
      <w:ind w:firstLine="420" w:firstLineChars="100"/>
    </w:pPr>
  </w:style>
  <w:style w:type="paragraph" w:styleId="19">
    <w:name w:val="Body Text Indent"/>
    <w:basedOn w:val="1"/>
    <w:qFormat/>
    <w:uiPriority w:val="0"/>
    <w:pPr>
      <w:spacing w:after="120"/>
      <w:ind w:left="420" w:leftChars="200"/>
    </w:pPr>
  </w:style>
  <w:style w:type="paragraph" w:styleId="20">
    <w:name w:val="Body Text First Indent 2"/>
    <w:basedOn w:val="19"/>
    <w:qFormat/>
    <w:uiPriority w:val="0"/>
    <w:pPr>
      <w:ind w:firstLine="420" w:firstLineChars="200"/>
    </w:pPr>
  </w:style>
  <w:style w:type="paragraph" w:styleId="21">
    <w:name w:val="Body Text Indent 2"/>
    <w:basedOn w:val="1"/>
    <w:qFormat/>
    <w:uiPriority w:val="0"/>
    <w:pPr>
      <w:spacing w:after="120" w:line="480" w:lineRule="auto"/>
      <w:ind w:left="420" w:leftChars="200"/>
    </w:pPr>
  </w:style>
  <w:style w:type="paragraph" w:styleId="22">
    <w:name w:val="Body Text Indent 3"/>
    <w:basedOn w:val="1"/>
    <w:qFormat/>
    <w:uiPriority w:val="0"/>
    <w:pPr>
      <w:spacing w:after="120"/>
      <w:ind w:left="420" w:leftChars="200"/>
    </w:pPr>
    <w:rPr>
      <w:sz w:val="16"/>
      <w:szCs w:val="16"/>
    </w:rPr>
  </w:style>
  <w:style w:type="paragraph" w:styleId="23">
    <w:name w:val="caption"/>
    <w:basedOn w:val="1"/>
    <w:next w:val="1"/>
    <w:semiHidden/>
    <w:unhideWhenUsed/>
    <w:qFormat/>
    <w:uiPriority w:val="0"/>
    <w:rPr>
      <w:rFonts w:ascii="Arial" w:hAnsi="Arial" w:eastAsia="黑体" w:cs="Arial"/>
      <w:sz w:val="20"/>
    </w:rPr>
  </w:style>
  <w:style w:type="paragraph" w:styleId="24">
    <w:name w:val="Closing"/>
    <w:basedOn w:val="1"/>
    <w:qFormat/>
    <w:uiPriority w:val="0"/>
    <w:pPr>
      <w:ind w:left="100" w:leftChars="2100"/>
    </w:pPr>
  </w:style>
  <w:style w:type="character" w:styleId="25">
    <w:name w:val="annotation reference"/>
    <w:basedOn w:val="11"/>
    <w:qFormat/>
    <w:uiPriority w:val="0"/>
    <w:rPr>
      <w:sz w:val="21"/>
      <w:szCs w:val="21"/>
    </w:rPr>
  </w:style>
  <w:style w:type="paragraph" w:styleId="26">
    <w:name w:val="annotation text"/>
    <w:basedOn w:val="1"/>
    <w:qFormat/>
    <w:uiPriority w:val="0"/>
    <w:pPr>
      <w:jc w:val="left"/>
    </w:pPr>
  </w:style>
  <w:style w:type="paragraph" w:styleId="27">
    <w:name w:val="annotation subject"/>
    <w:basedOn w:val="26"/>
    <w:next w:val="26"/>
    <w:qFormat/>
    <w:uiPriority w:val="0"/>
    <w:rPr>
      <w:b/>
      <w:bCs/>
    </w:rPr>
  </w:style>
  <w:style w:type="paragraph" w:styleId="28">
    <w:name w:val="Date"/>
    <w:basedOn w:val="1"/>
    <w:next w:val="1"/>
    <w:qFormat/>
    <w:uiPriority w:val="0"/>
    <w:pPr>
      <w:ind w:left="100" w:leftChars="2500"/>
    </w:pPr>
  </w:style>
  <w:style w:type="paragraph" w:styleId="29">
    <w:name w:val="Document Map"/>
    <w:basedOn w:val="1"/>
    <w:qFormat/>
    <w:uiPriority w:val="0"/>
    <w:pPr>
      <w:shd w:val="clear" w:color="auto" w:fill="000080"/>
    </w:pPr>
  </w:style>
  <w:style w:type="paragraph" w:styleId="30">
    <w:name w:val="E-mail Signature"/>
    <w:basedOn w:val="1"/>
    <w:qFormat/>
    <w:uiPriority w:val="0"/>
  </w:style>
  <w:style w:type="character" w:styleId="31">
    <w:name w:val="Emphasis"/>
    <w:basedOn w:val="11"/>
    <w:qFormat/>
    <w:uiPriority w:val="0"/>
    <w:rPr>
      <w:i/>
      <w:iCs/>
    </w:rPr>
  </w:style>
  <w:style w:type="character" w:styleId="32">
    <w:name w:val="endnote reference"/>
    <w:basedOn w:val="11"/>
    <w:qFormat/>
    <w:uiPriority w:val="0"/>
    <w:rPr>
      <w:vertAlign w:val="superscript"/>
    </w:rPr>
  </w:style>
  <w:style w:type="paragraph" w:styleId="33">
    <w:name w:val="endnote text"/>
    <w:basedOn w:val="1"/>
    <w:qFormat/>
    <w:uiPriority w:val="0"/>
    <w:pPr>
      <w:snapToGrid w:val="0"/>
      <w:jc w:val="left"/>
    </w:pPr>
  </w:style>
  <w:style w:type="paragraph" w:styleId="34">
    <w:name w:val="envelope address"/>
    <w:basedOn w:val="1"/>
    <w:qFormat/>
    <w:uiPriority w:val="0"/>
    <w:pPr>
      <w:framePr w:w="7920" w:h="1980" w:hRule="exact" w:hSpace="180" w:wrap="auto" w:vAnchor="margin" w:hAnchor="page" w:xAlign="center" w:yAlign="bottom"/>
      <w:snapToGrid w:val="0"/>
      <w:ind w:left="100" w:leftChars="1400"/>
    </w:pPr>
    <w:rPr>
      <w:rFonts w:ascii="Arial" w:hAnsi="Arial" w:cs="Arial"/>
      <w:sz w:val="24"/>
      <w:szCs w:val="24"/>
    </w:rPr>
  </w:style>
  <w:style w:type="paragraph" w:styleId="35">
    <w:name w:val="envelope return"/>
    <w:basedOn w:val="1"/>
    <w:qFormat/>
    <w:uiPriority w:val="0"/>
    <w:pPr>
      <w:snapToGrid w:val="0"/>
    </w:pPr>
    <w:rPr>
      <w:rFonts w:ascii="Arial" w:hAnsi="Arial" w:cs="Arial"/>
    </w:rPr>
  </w:style>
  <w:style w:type="character" w:styleId="36">
    <w:name w:val="FollowedHyperlink"/>
    <w:basedOn w:val="11"/>
    <w:qFormat/>
    <w:uiPriority w:val="0"/>
    <w:rPr>
      <w:color w:val="800080"/>
      <w:u w:val="single"/>
    </w:rPr>
  </w:style>
  <w:style w:type="paragraph" w:styleId="37">
    <w:name w:val="footer"/>
    <w:basedOn w:val="1"/>
    <w:qFormat/>
    <w:uiPriority w:val="0"/>
    <w:pPr>
      <w:tabs>
        <w:tab w:val="center" w:pos="4153"/>
        <w:tab w:val="right" w:pos="8306"/>
      </w:tabs>
      <w:snapToGrid w:val="0"/>
      <w:jc w:val="left"/>
    </w:pPr>
    <w:rPr>
      <w:sz w:val="18"/>
      <w:szCs w:val="18"/>
    </w:rPr>
  </w:style>
  <w:style w:type="character" w:styleId="38">
    <w:name w:val="footnote reference"/>
    <w:basedOn w:val="11"/>
    <w:qFormat/>
    <w:uiPriority w:val="0"/>
    <w:rPr>
      <w:vertAlign w:val="superscript"/>
    </w:rPr>
  </w:style>
  <w:style w:type="paragraph" w:styleId="39">
    <w:name w:val="footnote text"/>
    <w:basedOn w:val="1"/>
    <w:qFormat/>
    <w:uiPriority w:val="0"/>
    <w:pPr>
      <w:snapToGrid w:val="0"/>
      <w:jc w:val="left"/>
    </w:pPr>
    <w:rPr>
      <w:sz w:val="18"/>
      <w:szCs w:val="18"/>
    </w:rPr>
  </w:style>
  <w:style w:type="paragraph" w:styleId="40">
    <w:name w:val="header"/>
    <w:basedOn w:val="1"/>
    <w:qFormat/>
    <w:uiPriority w:val="0"/>
    <w:pPr>
      <w:tabs>
        <w:tab w:val="center" w:pos="4153"/>
        <w:tab w:val="right" w:pos="8306"/>
      </w:tabs>
      <w:snapToGrid w:val="0"/>
    </w:pPr>
    <w:rPr>
      <w:sz w:val="18"/>
      <w:szCs w:val="18"/>
    </w:rPr>
  </w:style>
  <w:style w:type="character" w:styleId="41">
    <w:name w:val="HTML Acronym"/>
    <w:basedOn w:val="11"/>
    <w:qFormat/>
    <w:uiPriority w:val="0"/>
  </w:style>
  <w:style w:type="paragraph" w:styleId="42">
    <w:name w:val="HTML Address"/>
    <w:basedOn w:val="1"/>
    <w:qFormat/>
    <w:uiPriority w:val="0"/>
    <w:rPr>
      <w:i/>
      <w:iCs/>
    </w:rPr>
  </w:style>
  <w:style w:type="character" w:styleId="43">
    <w:name w:val="HTML Cite"/>
    <w:basedOn w:val="11"/>
    <w:qFormat/>
    <w:uiPriority w:val="0"/>
    <w:rPr>
      <w:i/>
      <w:iCs/>
    </w:rPr>
  </w:style>
  <w:style w:type="character" w:styleId="44">
    <w:name w:val="HTML Code"/>
    <w:basedOn w:val="11"/>
    <w:qFormat/>
    <w:uiPriority w:val="0"/>
    <w:rPr>
      <w:rFonts w:ascii="Courier New" w:hAnsi="Courier New" w:cs="Courier New"/>
      <w:sz w:val="20"/>
      <w:szCs w:val="20"/>
    </w:rPr>
  </w:style>
  <w:style w:type="character" w:styleId="45">
    <w:name w:val="HTML Definition"/>
    <w:basedOn w:val="11"/>
    <w:qFormat/>
    <w:uiPriority w:val="0"/>
    <w:rPr>
      <w:i/>
      <w:iCs/>
    </w:rPr>
  </w:style>
  <w:style w:type="character" w:styleId="46">
    <w:name w:val="HTML Keyboard"/>
    <w:basedOn w:val="11"/>
    <w:qFormat/>
    <w:uiPriority w:val="0"/>
    <w:rPr>
      <w:rFonts w:ascii="Courier New" w:hAnsi="Courier New" w:cs="Courier New"/>
      <w:sz w:val="20"/>
      <w:szCs w:val="20"/>
    </w:rPr>
  </w:style>
  <w:style w:type="paragraph" w:styleId="47">
    <w:name w:val="HTML Preformatted"/>
    <w:basedOn w:val="1"/>
    <w:qFormat/>
    <w:uiPriority w:val="0"/>
    <w:rPr>
      <w:rFonts w:ascii="Courier New" w:hAnsi="Courier New" w:cs="Courier New"/>
      <w:sz w:val="20"/>
    </w:rPr>
  </w:style>
  <w:style w:type="character" w:styleId="48">
    <w:name w:val="HTML Sample"/>
    <w:basedOn w:val="11"/>
    <w:qFormat/>
    <w:uiPriority w:val="0"/>
    <w:rPr>
      <w:rFonts w:ascii="Courier New" w:hAnsi="Courier New" w:cs="Courier New"/>
    </w:rPr>
  </w:style>
  <w:style w:type="character" w:styleId="49">
    <w:name w:val="HTML Typewriter"/>
    <w:basedOn w:val="11"/>
    <w:qFormat/>
    <w:uiPriority w:val="0"/>
    <w:rPr>
      <w:rFonts w:ascii="Courier New" w:hAnsi="Courier New" w:cs="Courier New"/>
      <w:sz w:val="20"/>
      <w:szCs w:val="20"/>
    </w:rPr>
  </w:style>
  <w:style w:type="character" w:styleId="50">
    <w:name w:val="HTML Variable"/>
    <w:basedOn w:val="11"/>
    <w:qFormat/>
    <w:uiPriority w:val="0"/>
    <w:rPr>
      <w:i/>
      <w:iCs/>
    </w:rPr>
  </w:style>
  <w:style w:type="character" w:styleId="51">
    <w:name w:val="Hyperlink"/>
    <w:basedOn w:val="11"/>
    <w:qFormat/>
    <w:uiPriority w:val="0"/>
    <w:rPr>
      <w:color w:val="0000FF"/>
      <w:u w:val="single"/>
    </w:rPr>
  </w:style>
  <w:style w:type="paragraph" w:styleId="52">
    <w:name w:val="index 1"/>
    <w:basedOn w:val="1"/>
    <w:next w:val="1"/>
    <w:qFormat/>
    <w:uiPriority w:val="0"/>
  </w:style>
  <w:style w:type="paragraph" w:styleId="53">
    <w:name w:val="index 2"/>
    <w:basedOn w:val="1"/>
    <w:next w:val="1"/>
    <w:qFormat/>
    <w:uiPriority w:val="0"/>
    <w:pPr>
      <w:ind w:left="200" w:leftChars="200"/>
    </w:pPr>
  </w:style>
  <w:style w:type="paragraph" w:styleId="54">
    <w:name w:val="index 3"/>
    <w:basedOn w:val="1"/>
    <w:next w:val="1"/>
    <w:qFormat/>
    <w:uiPriority w:val="0"/>
    <w:pPr>
      <w:ind w:left="400" w:leftChars="400"/>
    </w:pPr>
  </w:style>
  <w:style w:type="paragraph" w:styleId="55">
    <w:name w:val="index 4"/>
    <w:basedOn w:val="1"/>
    <w:next w:val="1"/>
    <w:qFormat/>
    <w:uiPriority w:val="0"/>
    <w:pPr>
      <w:ind w:left="600" w:leftChars="600"/>
    </w:pPr>
  </w:style>
  <w:style w:type="paragraph" w:styleId="56">
    <w:name w:val="index 5"/>
    <w:basedOn w:val="1"/>
    <w:next w:val="1"/>
    <w:qFormat/>
    <w:uiPriority w:val="0"/>
    <w:pPr>
      <w:ind w:left="800" w:leftChars="800"/>
    </w:pPr>
  </w:style>
  <w:style w:type="paragraph" w:styleId="57">
    <w:name w:val="index 6"/>
    <w:basedOn w:val="1"/>
    <w:next w:val="1"/>
    <w:qFormat/>
    <w:uiPriority w:val="0"/>
    <w:pPr>
      <w:ind w:left="1000" w:leftChars="1000"/>
    </w:pPr>
  </w:style>
  <w:style w:type="paragraph" w:styleId="58">
    <w:name w:val="index 7"/>
    <w:basedOn w:val="1"/>
    <w:next w:val="1"/>
    <w:qFormat/>
    <w:uiPriority w:val="0"/>
    <w:pPr>
      <w:ind w:left="1200" w:leftChars="1200"/>
    </w:pPr>
  </w:style>
  <w:style w:type="paragraph" w:styleId="59">
    <w:name w:val="index 8"/>
    <w:basedOn w:val="1"/>
    <w:next w:val="1"/>
    <w:qFormat/>
    <w:uiPriority w:val="0"/>
    <w:pPr>
      <w:ind w:left="1400" w:leftChars="1400"/>
    </w:pPr>
  </w:style>
  <w:style w:type="paragraph" w:styleId="60">
    <w:name w:val="index 9"/>
    <w:basedOn w:val="1"/>
    <w:next w:val="1"/>
    <w:qFormat/>
    <w:uiPriority w:val="0"/>
    <w:pPr>
      <w:ind w:left="1600" w:leftChars="1600"/>
    </w:pPr>
  </w:style>
  <w:style w:type="paragraph" w:styleId="61">
    <w:name w:val="index heading"/>
    <w:basedOn w:val="1"/>
    <w:next w:val="52"/>
    <w:qFormat/>
    <w:uiPriority w:val="0"/>
    <w:rPr>
      <w:rFonts w:ascii="Arial" w:hAnsi="Arial" w:cs="Arial"/>
      <w:b/>
      <w:bCs/>
    </w:rPr>
  </w:style>
  <w:style w:type="character" w:styleId="62">
    <w:name w:val="line number"/>
    <w:basedOn w:val="11"/>
    <w:qFormat/>
    <w:uiPriority w:val="0"/>
  </w:style>
  <w:style w:type="paragraph" w:styleId="63">
    <w:name w:val="List"/>
    <w:basedOn w:val="1"/>
    <w:qFormat/>
    <w:uiPriority w:val="0"/>
    <w:pPr>
      <w:ind w:left="200" w:hanging="200" w:hangingChars="200"/>
    </w:pPr>
  </w:style>
  <w:style w:type="paragraph" w:styleId="64">
    <w:name w:val="List 2"/>
    <w:basedOn w:val="1"/>
    <w:qFormat/>
    <w:uiPriority w:val="0"/>
    <w:pPr>
      <w:ind w:left="100" w:leftChars="200" w:hanging="200" w:hangingChars="200"/>
    </w:pPr>
  </w:style>
  <w:style w:type="paragraph" w:styleId="65">
    <w:name w:val="List 3"/>
    <w:basedOn w:val="1"/>
    <w:qFormat/>
    <w:uiPriority w:val="0"/>
    <w:pPr>
      <w:ind w:left="100" w:leftChars="400" w:hanging="200" w:hangingChars="200"/>
    </w:pPr>
  </w:style>
  <w:style w:type="paragraph" w:styleId="66">
    <w:name w:val="List 4"/>
    <w:basedOn w:val="1"/>
    <w:qFormat/>
    <w:uiPriority w:val="0"/>
    <w:pPr>
      <w:ind w:left="100" w:leftChars="600" w:hanging="200" w:hangingChars="200"/>
    </w:pPr>
  </w:style>
  <w:style w:type="paragraph" w:styleId="67">
    <w:name w:val="List 5"/>
    <w:basedOn w:val="1"/>
    <w:qFormat/>
    <w:uiPriority w:val="0"/>
    <w:pPr>
      <w:ind w:left="100" w:leftChars="800" w:hanging="200" w:hangingChars="200"/>
    </w:pPr>
  </w:style>
  <w:style w:type="paragraph" w:styleId="68">
    <w:name w:val="List Bullet"/>
    <w:basedOn w:val="1"/>
    <w:qFormat/>
    <w:uiPriority w:val="0"/>
    <w:pPr>
      <w:numPr>
        <w:ilvl w:val="0"/>
        <w:numId w:val="1"/>
      </w:numPr>
    </w:pPr>
  </w:style>
  <w:style w:type="paragraph" w:styleId="69">
    <w:name w:val="List Bullet 2"/>
    <w:basedOn w:val="1"/>
    <w:qFormat/>
    <w:uiPriority w:val="0"/>
    <w:pPr>
      <w:numPr>
        <w:ilvl w:val="0"/>
        <w:numId w:val="2"/>
      </w:numPr>
    </w:pPr>
  </w:style>
  <w:style w:type="paragraph" w:styleId="70">
    <w:name w:val="List Bullet 3"/>
    <w:basedOn w:val="1"/>
    <w:qFormat/>
    <w:uiPriority w:val="0"/>
    <w:pPr>
      <w:numPr>
        <w:ilvl w:val="0"/>
        <w:numId w:val="3"/>
      </w:numPr>
    </w:pPr>
  </w:style>
  <w:style w:type="paragraph" w:styleId="71">
    <w:name w:val="List Bullet 4"/>
    <w:basedOn w:val="1"/>
    <w:qFormat/>
    <w:uiPriority w:val="0"/>
    <w:pPr>
      <w:numPr>
        <w:ilvl w:val="0"/>
        <w:numId w:val="4"/>
      </w:numPr>
    </w:pPr>
  </w:style>
  <w:style w:type="paragraph" w:styleId="72">
    <w:name w:val="List Bullet 5"/>
    <w:basedOn w:val="1"/>
    <w:qFormat/>
    <w:uiPriority w:val="0"/>
    <w:pPr>
      <w:numPr>
        <w:ilvl w:val="0"/>
        <w:numId w:val="5"/>
      </w:numPr>
    </w:pPr>
  </w:style>
  <w:style w:type="paragraph" w:styleId="73">
    <w:name w:val="List Continue"/>
    <w:basedOn w:val="1"/>
    <w:qFormat/>
    <w:uiPriority w:val="0"/>
    <w:pPr>
      <w:spacing w:after="120"/>
      <w:ind w:left="420" w:leftChars="200"/>
    </w:pPr>
  </w:style>
  <w:style w:type="paragraph" w:styleId="74">
    <w:name w:val="List Continue 2"/>
    <w:basedOn w:val="1"/>
    <w:qFormat/>
    <w:uiPriority w:val="0"/>
    <w:pPr>
      <w:spacing w:after="120"/>
      <w:ind w:left="840" w:leftChars="400"/>
    </w:pPr>
  </w:style>
  <w:style w:type="paragraph" w:styleId="75">
    <w:name w:val="List Continue 3"/>
    <w:basedOn w:val="1"/>
    <w:qFormat/>
    <w:uiPriority w:val="0"/>
    <w:pPr>
      <w:spacing w:after="120"/>
      <w:ind w:left="1260" w:leftChars="600"/>
    </w:pPr>
  </w:style>
  <w:style w:type="paragraph" w:styleId="76">
    <w:name w:val="List Continue 4"/>
    <w:basedOn w:val="1"/>
    <w:qFormat/>
    <w:uiPriority w:val="0"/>
    <w:pPr>
      <w:spacing w:after="120"/>
      <w:ind w:left="1680" w:leftChars="800"/>
    </w:pPr>
  </w:style>
  <w:style w:type="paragraph" w:styleId="77">
    <w:name w:val="List Continue 5"/>
    <w:basedOn w:val="1"/>
    <w:qFormat/>
    <w:uiPriority w:val="0"/>
    <w:pPr>
      <w:spacing w:after="120"/>
      <w:ind w:left="2100" w:leftChars="1000"/>
    </w:pPr>
  </w:style>
  <w:style w:type="paragraph" w:styleId="78">
    <w:name w:val="List Number"/>
    <w:basedOn w:val="1"/>
    <w:qFormat/>
    <w:uiPriority w:val="0"/>
    <w:pPr>
      <w:numPr>
        <w:ilvl w:val="0"/>
        <w:numId w:val="6"/>
      </w:numPr>
    </w:pPr>
  </w:style>
  <w:style w:type="paragraph" w:styleId="79">
    <w:name w:val="List Number 2"/>
    <w:basedOn w:val="1"/>
    <w:qFormat/>
    <w:uiPriority w:val="0"/>
    <w:pPr>
      <w:numPr>
        <w:ilvl w:val="0"/>
        <w:numId w:val="7"/>
      </w:numPr>
    </w:pPr>
  </w:style>
  <w:style w:type="paragraph" w:styleId="80">
    <w:name w:val="List Number 3"/>
    <w:basedOn w:val="1"/>
    <w:qFormat/>
    <w:uiPriority w:val="0"/>
    <w:pPr>
      <w:numPr>
        <w:ilvl w:val="0"/>
        <w:numId w:val="8"/>
      </w:numPr>
    </w:pPr>
  </w:style>
  <w:style w:type="paragraph" w:styleId="81">
    <w:name w:val="List Number 4"/>
    <w:basedOn w:val="1"/>
    <w:qFormat/>
    <w:uiPriority w:val="0"/>
    <w:pPr>
      <w:numPr>
        <w:ilvl w:val="0"/>
        <w:numId w:val="9"/>
      </w:numPr>
    </w:pPr>
  </w:style>
  <w:style w:type="paragraph" w:styleId="82">
    <w:name w:val="List Number 5"/>
    <w:basedOn w:val="1"/>
    <w:qFormat/>
    <w:uiPriority w:val="0"/>
    <w:pPr>
      <w:numPr>
        <w:ilvl w:val="0"/>
        <w:numId w:val="10"/>
      </w:numPr>
    </w:pPr>
  </w:style>
  <w:style w:type="paragraph" w:styleId="83">
    <w:name w:val="macro"/>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eastAsiaTheme="minorEastAsia"/>
      <w:kern w:val="2"/>
      <w:sz w:val="24"/>
      <w:szCs w:val="24"/>
      <w:lang w:val="en-US" w:eastAsia="zh-CN" w:bidi="ar-SA"/>
    </w:rPr>
  </w:style>
  <w:style w:type="paragraph" w:styleId="84">
    <w:name w:val="Message Header"/>
    <w:basedOn w:val="1"/>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szCs w:val="24"/>
    </w:rPr>
  </w:style>
  <w:style w:type="paragraph" w:styleId="85">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paragraph" w:styleId="86">
    <w:name w:val="Normal Indent"/>
    <w:basedOn w:val="1"/>
    <w:qFormat/>
    <w:uiPriority w:val="0"/>
    <w:pPr>
      <w:ind w:firstLine="420" w:firstLineChars="200"/>
    </w:pPr>
  </w:style>
  <w:style w:type="paragraph" w:styleId="87">
    <w:name w:val="Note Heading"/>
    <w:basedOn w:val="1"/>
    <w:next w:val="1"/>
    <w:qFormat/>
    <w:uiPriority w:val="0"/>
    <w:pPr>
      <w:jc w:val="center"/>
    </w:pPr>
  </w:style>
  <w:style w:type="character" w:styleId="88">
    <w:name w:val="page number"/>
    <w:basedOn w:val="11"/>
    <w:qFormat/>
    <w:uiPriority w:val="0"/>
  </w:style>
  <w:style w:type="paragraph" w:styleId="89">
    <w:name w:val="Plain Text"/>
    <w:basedOn w:val="1"/>
    <w:qFormat/>
    <w:uiPriority w:val="0"/>
    <w:rPr>
      <w:rFonts w:ascii="SimSun" w:hAnsi="Courier New" w:cs="Courier New"/>
      <w:szCs w:val="21"/>
    </w:rPr>
  </w:style>
  <w:style w:type="paragraph" w:styleId="90">
    <w:name w:val="Salutation"/>
    <w:basedOn w:val="1"/>
    <w:next w:val="1"/>
    <w:qFormat/>
    <w:uiPriority w:val="0"/>
  </w:style>
  <w:style w:type="paragraph" w:styleId="91">
    <w:name w:val="Signature"/>
    <w:basedOn w:val="1"/>
    <w:qFormat/>
    <w:uiPriority w:val="0"/>
    <w:pPr>
      <w:ind w:left="100" w:leftChars="2100"/>
    </w:pPr>
  </w:style>
  <w:style w:type="character" w:styleId="92">
    <w:name w:val="Strong"/>
    <w:basedOn w:val="11"/>
    <w:qFormat/>
    <w:uiPriority w:val="0"/>
    <w:rPr>
      <w:b/>
      <w:bCs/>
    </w:rPr>
  </w:style>
  <w:style w:type="paragraph" w:styleId="93">
    <w:name w:val="Subtitle"/>
    <w:basedOn w:val="1"/>
    <w:qFormat/>
    <w:uiPriority w:val="0"/>
    <w:pPr>
      <w:spacing w:before="240" w:after="60" w:line="312" w:lineRule="auto"/>
      <w:jc w:val="center"/>
      <w:outlineLvl w:val="1"/>
    </w:pPr>
    <w:rPr>
      <w:rFonts w:ascii="Arial" w:hAnsi="Arial" w:cs="Arial"/>
      <w:b/>
      <w:bCs/>
      <w:kern w:val="28"/>
      <w:sz w:val="32"/>
      <w:szCs w:val="32"/>
    </w:rPr>
  </w:style>
  <w:style w:type="table" w:styleId="94">
    <w:name w:val="Table 3D effects 1"/>
    <w:basedOn w:val="12"/>
    <w:qFormat/>
    <w:uiPriority w:val="0"/>
    <w:pPr>
      <w:widowControl w:val="0"/>
      <w:jc w:val="both"/>
    </w:pPr>
    <w:tblPr/>
    <w:tcPr>
      <w:shd w:val="solid" w:color="C0C0C0" w:fill="FFFFFF"/>
    </w:tcPr>
    <w:tblStylePr w:type="firstRow">
      <w:rPr>
        <w:b/>
        <w:bCs/>
        <w:color w:val="800080"/>
      </w:rPr>
      <w:tblPr/>
      <w:tcPr>
        <w:tcBorders>
          <w:left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bottom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left w:val="nil"/>
          <w:right w:val="nil"/>
          <w:tl2br w:val="nil"/>
          <w:tr2bl w:val="nil"/>
        </w:tcBorders>
      </w:tcPr>
    </w:tblStylePr>
    <w:tblStylePr w:type="seCell">
      <w:tblPr/>
      <w:tcPr>
        <w:tcBorders>
          <w:top w:val="nil"/>
          <w:bottom w:val="nil"/>
          <w:tl2br w:val="nil"/>
          <w:tr2bl w:val="nil"/>
        </w:tcBorders>
      </w:tcPr>
    </w:tblStylePr>
    <w:tblStylePr w:type="swCell">
      <w:rPr>
        <w:color w:val="000080"/>
      </w:rPr>
      <w:tblPr/>
      <w:tcPr>
        <w:tcBorders>
          <w:top w:val="nil"/>
          <w:right w:val="nil"/>
          <w:tl2br w:val="nil"/>
          <w:tr2bl w:val="nil"/>
        </w:tcBorders>
      </w:tcPr>
    </w:tblStylePr>
  </w:style>
  <w:style w:type="table" w:styleId="95">
    <w:name w:val="Table 3D effects 2"/>
    <w:basedOn w:val="12"/>
    <w:qFormat/>
    <w:uiPriority w:val="0"/>
    <w:pPr>
      <w:widowControl w:val="0"/>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6">
    <w:name w:val="Table 3D effects 3"/>
    <w:basedOn w:val="12"/>
    <w:qFormat/>
    <w:uiPriority w:val="0"/>
    <w:pPr>
      <w:widowControl w:val="0"/>
      <w:jc w:val="both"/>
    </w:pPr>
    <w:tblPr>
      <w:tblStyleRowBandSize w:val="1"/>
      <w:tblStyleColBandSize w:val="1"/>
    </w:tblPr>
    <w:tblStylePr w:type="firstRow">
      <w:rPr>
        <w:b/>
        <w:bCs/>
      </w:rPr>
      <w:tblPr/>
      <w:tcPr>
        <w:tcBorders>
          <w:tl2br w:val="nil"/>
          <w:tr2bl w:val="nil"/>
        </w:tcBorders>
      </w:tcPr>
    </w:tblStylePr>
    <w:tblStylePr w:type="firstCol">
      <w:tblPr/>
      <w:tcPr>
        <w:tcBorders>
          <w:top w:val="nil"/>
          <w:left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tl2br w:val="nil"/>
          <w:tr2bl w:val="nil"/>
        </w:tcBorders>
      </w:tcPr>
    </w:tblStylePr>
    <w:tblStylePr w:type="swCell">
      <w:rPr>
        <w:b/>
        <w:bCs/>
      </w:rPr>
      <w:tblPr/>
      <w:tcPr>
        <w:tcBorders>
          <w:tl2br w:val="nil"/>
          <w:tr2bl w:val="nil"/>
        </w:tcBorders>
      </w:tcPr>
    </w:tblStylePr>
  </w:style>
  <w:style w:type="table" w:styleId="97">
    <w:name w:val="Table Classic 1"/>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8">
    <w:name w:val="Table Classic 2"/>
    <w:basedOn w:val="12"/>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left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9">
    <w:name w:val="Table Classic 3"/>
    <w:basedOn w:val="12"/>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left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100">
    <w:name w:val="Table Classic 4"/>
    <w:basedOn w:val="12"/>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left w:val="single" w:color="000000" w:sz="6" w:space="0"/>
          <w:tl2br w:val="nil"/>
          <w:tr2bl w:val="nil"/>
        </w:tcBorders>
        <w:shd w:val="pct50" w:color="000080" w:fill="FFFFFF"/>
      </w:tcPr>
    </w:tblStylePr>
    <w:tblStylePr w:type="lastRow">
      <w:rPr>
        <w:color w:val="000080"/>
      </w:rPr>
      <w:tblPr/>
      <w:tcPr>
        <w:tcBorders>
          <w:left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1">
    <w:name w:val="Table Colorful 1"/>
    <w:basedOn w:val="12"/>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102">
    <w:name w:val="Table Colorful 2"/>
    <w:basedOn w:val="12"/>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left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103">
    <w:name w:val="Table Colorful 3"/>
    <w:basedOn w:val="12"/>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left w:val="single" w:color="000000" w:sz="6" w:space="0"/>
          <w:tl2br w:val="nil"/>
          <w:tr2bl w:val="nil"/>
        </w:tcBorders>
        <w:shd w:val="solid" w:color="008080" w:fill="FFFFFF"/>
      </w:tcPr>
    </w:tblStylePr>
    <w:tblStylePr w:type="firstCol">
      <w:tblPr/>
      <w:tcPr>
        <w:tcBorders>
          <w:bottom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104">
    <w:name w:val="Table Columns 1"/>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left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Columns 2"/>
    <w:basedOn w:val="12"/>
    <w:qFormat/>
    <w:uiPriority w:val="0"/>
    <w:pPr>
      <w:widowControl w:val="0"/>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6">
    <w:name w:val="Table Columns 3"/>
    <w:basedOn w:val="12"/>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07">
    <w:name w:val="Table Columns 4"/>
    <w:basedOn w:val="12"/>
    <w:qFormat/>
    <w:uiPriority w:val="0"/>
    <w:pPr>
      <w:widowControl w:val="0"/>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08">
    <w:name w:val="Table Columns 5"/>
    <w:basedOn w:val="12"/>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left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09">
    <w:name w:val="Table Contemporary"/>
    <w:basedOn w:val="12"/>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0">
    <w:name w:val="Table Elegant"/>
    <w:basedOn w:val="1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111">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12">
    <w:name w:val="Table Grid 1"/>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13">
    <w:name w:val="Table Grid 2"/>
    <w:basedOn w:val="12"/>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14">
    <w:name w:val="Table Grid 3"/>
    <w:basedOn w:val="12"/>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left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5">
    <w:name w:val="Table Grid 4"/>
    <w:basedOn w:val="12"/>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left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16">
    <w:name w:val="Table Grid 5"/>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left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17">
    <w:name w:val="Table Grid 6"/>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left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18">
    <w:name w:val="Table Grid 7"/>
    <w:basedOn w:val="12"/>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left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19">
    <w:name w:val="Table Grid 8"/>
    <w:basedOn w:val="1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20">
    <w:name w:val="Table List 1"/>
    <w:basedOn w:val="12"/>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left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1">
    <w:name w:val="Table List 2"/>
    <w:basedOn w:val="12"/>
    <w:qFormat/>
    <w:uiPriority w:val="0"/>
    <w:pPr>
      <w:widowControl w:val="0"/>
      <w:jc w:val="both"/>
    </w:pPr>
    <w:tblPr>
      <w:tblBorders>
        <w:bottom w:val="single" w:color="808080" w:sz="12" w:space="0"/>
      </w:tblBorders>
    </w:tblPr>
    <w:tblStylePr w:type="firstRow">
      <w:rPr>
        <w:b/>
        <w:bCs/>
        <w:color w:val="FFFFFF"/>
      </w:rPr>
      <w:tblPr/>
      <w:tcPr>
        <w:tcBorders>
          <w:left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22">
    <w:name w:val="Table List 3"/>
    <w:basedOn w:val="12"/>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23">
    <w:name w:val="Table List 4"/>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left w:val="single" w:color="000000" w:sz="12" w:space="0"/>
          <w:tl2br w:val="nil"/>
          <w:tr2bl w:val="nil"/>
        </w:tcBorders>
        <w:shd w:val="solid" w:color="808080" w:fill="FFFFFF"/>
      </w:tcPr>
    </w:tblStylePr>
  </w:style>
  <w:style w:type="table" w:styleId="124">
    <w:name w:val="Table List 5"/>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left w:val="single" w:color="000000" w:sz="12" w:space="0"/>
          <w:tl2br w:val="nil"/>
          <w:tr2bl w:val="nil"/>
        </w:tcBorders>
      </w:tcPr>
    </w:tblStylePr>
    <w:tblStylePr w:type="firstCol">
      <w:rPr>
        <w:b/>
        <w:bCs/>
      </w:rPr>
      <w:tblPr/>
      <w:tcPr>
        <w:tcBorders>
          <w:tl2br w:val="nil"/>
          <w:tr2bl w:val="nil"/>
        </w:tcBorders>
      </w:tcPr>
    </w:tblStylePr>
  </w:style>
  <w:style w:type="table" w:styleId="125">
    <w:name w:val="Table List 6"/>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left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26">
    <w:name w:val="Table List 7"/>
    <w:basedOn w:val="12"/>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left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27">
    <w:name w:val="Table List 8"/>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left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paragraph" w:styleId="128">
    <w:name w:val="table of authorities"/>
    <w:basedOn w:val="1"/>
    <w:next w:val="1"/>
    <w:qFormat/>
    <w:uiPriority w:val="0"/>
    <w:pPr>
      <w:ind w:left="420" w:leftChars="200"/>
    </w:pPr>
  </w:style>
  <w:style w:type="paragraph" w:styleId="129">
    <w:name w:val="table of figures"/>
    <w:basedOn w:val="1"/>
    <w:next w:val="1"/>
    <w:qFormat/>
    <w:uiPriority w:val="0"/>
    <w:pPr>
      <w:ind w:leftChars="200" w:hanging="200" w:hangingChars="200"/>
    </w:pPr>
  </w:style>
  <w:style w:type="table" w:styleId="130">
    <w:name w:val="Table Professional"/>
    <w:basedOn w:val="1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131">
    <w:name w:val="Table Simple 1"/>
    <w:basedOn w:val="12"/>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left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32">
    <w:name w:val="Table Simple 2"/>
    <w:basedOn w:val="12"/>
    <w:qFormat/>
    <w:uiPriority w:val="0"/>
    <w:pPr>
      <w:widowControl w:val="0"/>
      <w:jc w:val="both"/>
    </w:pPr>
    <w:tblPr/>
    <w:tblStylePr w:type="firstRow">
      <w:rPr>
        <w:b/>
        <w:bCs/>
      </w:rPr>
      <w:tblPr/>
      <w:tcPr>
        <w:tcBorders>
          <w:left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bottom w:val="single" w:color="000000" w:sz="6" w:space="0"/>
          <w:tl2br w:val="nil"/>
          <w:tr2bl w:val="nil"/>
        </w:tcBorders>
      </w:tcPr>
    </w:tblStylePr>
    <w:tblStylePr w:type="neCell">
      <w:rPr>
        <w:b/>
        <w:bCs/>
      </w:rPr>
      <w:tblPr/>
      <w:tcPr>
        <w:tcBorders>
          <w:bottom w:val="nil"/>
          <w:tl2br w:val="nil"/>
          <w:tr2bl w:val="nil"/>
        </w:tcBorders>
      </w:tcPr>
    </w:tblStylePr>
    <w:tblStylePr w:type="swCell">
      <w:rPr>
        <w:b/>
        <w:bCs/>
      </w:rPr>
      <w:tblPr/>
      <w:tcPr>
        <w:tcBorders>
          <w:top w:val="nil"/>
          <w:tl2br w:val="nil"/>
          <w:tr2bl w:val="nil"/>
        </w:tcBorders>
      </w:tcPr>
    </w:tblStylePr>
  </w:style>
  <w:style w:type="table" w:styleId="133">
    <w:name w:val="Table Simple 3"/>
    <w:basedOn w:val="12"/>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34">
    <w:name w:val="Table Subtle 1"/>
    <w:basedOn w:val="12"/>
    <w:qFormat/>
    <w:uiPriority w:val="0"/>
    <w:pPr>
      <w:widowControl w:val="0"/>
      <w:jc w:val="both"/>
    </w:pPr>
    <w:tblPr>
      <w:tblStyleRowBandSize w:val="1"/>
    </w:tblPr>
    <w:tblStylePr w:type="firstRow">
      <w:tblPr/>
      <w:tcPr>
        <w:tcBorders>
          <w:top w:val="single" w:color="000000" w:sz="6" w:space="0"/>
          <w:left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bottom w:val="single" w:color="000000" w:sz="12" w:space="0"/>
          <w:tl2br w:val="nil"/>
          <w:tr2bl w:val="nil"/>
        </w:tcBorders>
      </w:tcPr>
    </w:tblStylePr>
    <w:tblStylePr w:type="band1Horz">
      <w:tblPr/>
      <w:tcPr>
        <w:tcBorders>
          <w:left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5">
    <w:name w:val="Table Subtle 2"/>
    <w:basedOn w:val="12"/>
    <w:qFormat/>
    <w:uiPriority w:val="0"/>
    <w:pPr>
      <w:widowControl w:val="0"/>
      <w:jc w:val="both"/>
    </w:pPr>
    <w:tblPr>
      <w:tblBorders>
        <w:left w:val="single" w:color="000000" w:sz="6" w:space="0"/>
        <w:right w:val="single" w:color="000000" w:sz="6" w:space="0"/>
      </w:tblBorders>
    </w:tblPr>
    <w:tblStylePr w:type="firstRow">
      <w:tblPr/>
      <w:tcPr>
        <w:tcBorders>
          <w:left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bottom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36">
    <w:name w:val="Table Theme"/>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137">
    <w:name w:val="Table Web 1"/>
    <w:basedOn w:val="12"/>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8">
    <w:name w:val="Table Web 2"/>
    <w:basedOn w:val="12"/>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9">
    <w:name w:val="Table Web 3"/>
    <w:basedOn w:val="12"/>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140">
    <w:name w:val="Title"/>
    <w:basedOn w:val="1"/>
    <w:qFormat/>
    <w:uiPriority w:val="0"/>
    <w:pPr>
      <w:spacing w:before="240" w:after="60"/>
      <w:jc w:val="center"/>
      <w:outlineLvl w:val="0"/>
    </w:pPr>
    <w:rPr>
      <w:rFonts w:ascii="Arial" w:hAnsi="Arial" w:cs="Arial"/>
      <w:b/>
      <w:bCs/>
      <w:sz w:val="32"/>
      <w:szCs w:val="32"/>
    </w:rPr>
  </w:style>
  <w:style w:type="paragraph" w:styleId="141">
    <w:name w:val="toa heading"/>
    <w:basedOn w:val="1"/>
    <w:next w:val="1"/>
    <w:qFormat/>
    <w:uiPriority w:val="0"/>
    <w:pPr>
      <w:spacing w:before="120"/>
    </w:pPr>
    <w:rPr>
      <w:rFonts w:ascii="Arial" w:hAnsi="Arial" w:cs="Arial"/>
      <w:sz w:val="24"/>
      <w:szCs w:val="24"/>
    </w:rPr>
  </w:style>
  <w:style w:type="paragraph" w:styleId="142">
    <w:name w:val="toc 1"/>
    <w:basedOn w:val="1"/>
    <w:next w:val="1"/>
    <w:qFormat/>
    <w:uiPriority w:val="0"/>
  </w:style>
  <w:style w:type="paragraph" w:styleId="143">
    <w:name w:val="toc 2"/>
    <w:basedOn w:val="1"/>
    <w:next w:val="1"/>
    <w:qFormat/>
    <w:uiPriority w:val="0"/>
    <w:pPr>
      <w:ind w:left="420" w:leftChars="200"/>
    </w:pPr>
  </w:style>
  <w:style w:type="paragraph" w:styleId="144">
    <w:name w:val="toc 3"/>
    <w:basedOn w:val="1"/>
    <w:next w:val="1"/>
    <w:qFormat/>
    <w:uiPriority w:val="0"/>
    <w:pPr>
      <w:ind w:left="840" w:leftChars="400"/>
    </w:pPr>
  </w:style>
  <w:style w:type="paragraph" w:styleId="145">
    <w:name w:val="toc 4"/>
    <w:basedOn w:val="1"/>
    <w:next w:val="1"/>
    <w:qFormat/>
    <w:uiPriority w:val="0"/>
    <w:pPr>
      <w:ind w:left="1260" w:leftChars="600"/>
    </w:pPr>
  </w:style>
  <w:style w:type="paragraph" w:styleId="146">
    <w:name w:val="toc 5"/>
    <w:basedOn w:val="1"/>
    <w:next w:val="1"/>
    <w:qFormat/>
    <w:uiPriority w:val="0"/>
    <w:pPr>
      <w:ind w:left="1680" w:leftChars="800"/>
    </w:pPr>
  </w:style>
  <w:style w:type="paragraph" w:styleId="147">
    <w:name w:val="toc 6"/>
    <w:basedOn w:val="1"/>
    <w:next w:val="1"/>
    <w:qFormat/>
    <w:uiPriority w:val="0"/>
    <w:pPr>
      <w:ind w:left="2100" w:leftChars="1000"/>
    </w:pPr>
  </w:style>
  <w:style w:type="paragraph" w:styleId="148">
    <w:name w:val="toc 7"/>
    <w:basedOn w:val="1"/>
    <w:next w:val="1"/>
    <w:qFormat/>
    <w:uiPriority w:val="0"/>
    <w:pPr>
      <w:ind w:left="2520" w:leftChars="1200"/>
    </w:pPr>
  </w:style>
  <w:style w:type="paragraph" w:styleId="149">
    <w:name w:val="toc 8"/>
    <w:basedOn w:val="1"/>
    <w:next w:val="1"/>
    <w:qFormat/>
    <w:uiPriority w:val="0"/>
    <w:pPr>
      <w:ind w:left="2940" w:leftChars="1400"/>
    </w:pPr>
  </w:style>
  <w:style w:type="paragraph" w:styleId="150">
    <w:name w:val="toc 9"/>
    <w:basedOn w:val="1"/>
    <w:next w:val="1"/>
    <w:qFormat/>
    <w:uiPriority w:val="0"/>
    <w:pPr>
      <w:ind w:left="3360" w:leftChars="1600"/>
    </w:pPr>
  </w:style>
  <w:style w:type="table" w:styleId="151">
    <w:name w:val="Light Shading"/>
    <w:basedOn w:val="12"/>
    <w:qFormat/>
    <w:uiPriority w:val="60"/>
    <w:rPr>
      <w:color w:val="000000"/>
    </w:rPr>
    <w:tblPr>
      <w:tblBorders>
        <w:top w:val="single" w:color="000000" w:sz="8" w:space="0"/>
        <w:bottom w:val="single" w:color="000000" w:sz="8" w:space="0"/>
      </w:tblBorders>
    </w:tblPr>
    <w:tblStylePr w:type="fir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lastRow">
      <w:pPr>
        <w:spacing w:before="0" w:after="0" w:line="240" w:lineRule="auto"/>
      </w:pPr>
      <w:rPr>
        <w:b/>
        <w:bCs/>
      </w:rPr>
      <w:tblPr/>
      <w:tcPr>
        <w:tcBorders>
          <w:top w:val="single" w:color="000000" w:sz="8" w:space="0"/>
          <w:left w:val="single" w:color="000000"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152">
    <w:name w:val="Light Shading Accent 1"/>
    <w:basedOn w:val="12"/>
    <w:qFormat/>
    <w:uiPriority w:val="60"/>
    <w:rPr>
      <w:color w:val="365F91"/>
    </w:rPr>
    <w:tblPr>
      <w:tblBorders>
        <w:top w:val="single" w:color="4F81BD" w:sz="8" w:space="0"/>
        <w:bottom w:val="single" w:color="4F81BD" w:sz="8" w:space="0"/>
      </w:tblBorders>
    </w:tblPr>
    <w:tblStylePr w:type="fir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lastRow">
      <w:pPr>
        <w:spacing w:before="0" w:after="0" w:line="240" w:lineRule="auto"/>
      </w:pPr>
      <w:rPr>
        <w:b/>
        <w:bCs/>
      </w:rPr>
      <w:tblPr/>
      <w:tcPr>
        <w:tcBorders>
          <w:top w:val="single" w:color="4F81BD" w:sz="8" w:space="0"/>
          <w:left w:val="single" w:color="4F81B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table" w:styleId="153">
    <w:name w:val="Light Shading Accent 2"/>
    <w:basedOn w:val="12"/>
    <w:qFormat/>
    <w:uiPriority w:val="60"/>
    <w:rPr>
      <w:color w:val="943634"/>
    </w:rPr>
    <w:tblPr>
      <w:tblBorders>
        <w:top w:val="single" w:color="C0504D" w:sz="8" w:space="0"/>
        <w:bottom w:val="single" w:color="C0504D" w:sz="8" w:space="0"/>
      </w:tblBorders>
    </w:tblPr>
    <w:tblStylePr w:type="fir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lastRow">
      <w:pPr>
        <w:spacing w:before="0" w:after="0" w:line="240" w:lineRule="auto"/>
      </w:pPr>
      <w:rPr>
        <w:b/>
        <w:bCs/>
      </w:rPr>
      <w:tblPr/>
      <w:tcPr>
        <w:tcBorders>
          <w:top w:val="single" w:color="C0504D" w:sz="8" w:space="0"/>
          <w:left w:val="single" w:color="C0504D"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FD3D2"/>
      </w:tcPr>
    </w:tblStylePr>
    <w:tblStylePr w:type="band1Horz">
      <w:tblPr/>
      <w:tcPr>
        <w:tcBorders>
          <w:bottom w:val="nil"/>
          <w:right w:val="nil"/>
          <w:insideH w:val="nil"/>
          <w:insideV w:val="nil"/>
        </w:tcBorders>
        <w:shd w:val="clear" w:color="auto" w:fill="EFD3D2"/>
      </w:tcPr>
    </w:tblStylePr>
  </w:style>
  <w:style w:type="table" w:styleId="154">
    <w:name w:val="Light Shading Accent 3"/>
    <w:basedOn w:val="12"/>
    <w:qFormat/>
    <w:uiPriority w:val="60"/>
    <w:rPr>
      <w:color w:val="76923C"/>
    </w:rPr>
    <w:tblPr>
      <w:tblBorders>
        <w:top w:val="single" w:color="9BBB59" w:sz="8" w:space="0"/>
        <w:bottom w:val="single" w:color="9BBB59" w:sz="8" w:space="0"/>
      </w:tblBorders>
    </w:tblPr>
    <w:tblStylePr w:type="fir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lastRow">
      <w:pPr>
        <w:spacing w:before="0" w:after="0" w:line="240" w:lineRule="auto"/>
      </w:pPr>
      <w:rPr>
        <w:b/>
        <w:bCs/>
      </w:rPr>
      <w:tblPr/>
      <w:tcPr>
        <w:tcBorders>
          <w:top w:val="single" w:color="9BBB59" w:sz="8" w:space="0"/>
          <w:left w:val="single" w:color="9BBB59"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E6EED5"/>
      </w:tcPr>
    </w:tblStylePr>
    <w:tblStylePr w:type="band1Horz">
      <w:tblPr/>
      <w:tcPr>
        <w:tcBorders>
          <w:bottom w:val="nil"/>
          <w:right w:val="nil"/>
          <w:insideH w:val="nil"/>
          <w:insideV w:val="nil"/>
        </w:tcBorders>
        <w:shd w:val="clear" w:color="auto" w:fill="E6EED5"/>
      </w:tcPr>
    </w:tblStylePr>
  </w:style>
  <w:style w:type="table" w:styleId="155">
    <w:name w:val="Light Shading Accent 4"/>
    <w:basedOn w:val="12"/>
    <w:qFormat/>
    <w:uiPriority w:val="60"/>
    <w:rPr>
      <w:color w:val="5F497A"/>
    </w:rPr>
    <w:tblPr>
      <w:tblBorders>
        <w:top w:val="single" w:color="8064A2" w:sz="8" w:space="0"/>
        <w:bottom w:val="single" w:color="8064A2" w:sz="8" w:space="0"/>
      </w:tblBorders>
    </w:tblPr>
    <w:tblStylePr w:type="fir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lastRow">
      <w:pPr>
        <w:spacing w:before="0" w:after="0" w:line="240" w:lineRule="auto"/>
      </w:pPr>
      <w:rPr>
        <w:b/>
        <w:bCs/>
      </w:rPr>
      <w:tblPr/>
      <w:tcPr>
        <w:tcBorders>
          <w:top w:val="single" w:color="8064A2" w:sz="8" w:space="0"/>
          <w:left w:val="single" w:color="8064A2"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FD8E8"/>
      </w:tcPr>
    </w:tblStylePr>
    <w:tblStylePr w:type="band1Horz">
      <w:tblPr/>
      <w:tcPr>
        <w:tcBorders>
          <w:bottom w:val="nil"/>
          <w:right w:val="nil"/>
          <w:insideH w:val="nil"/>
          <w:insideV w:val="nil"/>
        </w:tcBorders>
        <w:shd w:val="clear" w:color="auto" w:fill="DFD8E8"/>
      </w:tcPr>
    </w:tblStylePr>
  </w:style>
  <w:style w:type="table" w:styleId="156">
    <w:name w:val="Light Shading Accent 5"/>
    <w:basedOn w:val="12"/>
    <w:qFormat/>
    <w:uiPriority w:val="60"/>
    <w:rPr>
      <w:color w:val="31849B"/>
    </w:rPr>
    <w:tblPr>
      <w:tblBorders>
        <w:top w:val="single" w:color="4BACC6" w:sz="8" w:space="0"/>
        <w:bottom w:val="single" w:color="4BACC6" w:sz="8" w:space="0"/>
      </w:tblBorders>
    </w:tblPr>
    <w:tblStylePr w:type="fir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lastRow">
      <w:pPr>
        <w:spacing w:before="0" w:after="0" w:line="240" w:lineRule="auto"/>
      </w:pPr>
      <w:rPr>
        <w:b/>
        <w:bCs/>
      </w:rPr>
      <w:tblPr/>
      <w:tcPr>
        <w:tcBorders>
          <w:top w:val="single" w:color="4BACC6" w:sz="8" w:space="0"/>
          <w:left w:val="single" w:color="4BACC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2EAF1"/>
      </w:tcPr>
    </w:tblStylePr>
    <w:tblStylePr w:type="band1Horz">
      <w:tblPr/>
      <w:tcPr>
        <w:tcBorders>
          <w:bottom w:val="nil"/>
          <w:right w:val="nil"/>
          <w:insideH w:val="nil"/>
          <w:insideV w:val="nil"/>
        </w:tcBorders>
        <w:shd w:val="clear" w:color="auto" w:fill="D2EAF1"/>
      </w:tcPr>
    </w:tblStylePr>
  </w:style>
  <w:style w:type="table" w:styleId="157">
    <w:name w:val="Light Shading Accent 6"/>
    <w:basedOn w:val="12"/>
    <w:qFormat/>
    <w:uiPriority w:val="60"/>
    <w:rPr>
      <w:color w:val="E36C0A"/>
    </w:rPr>
    <w:tblPr>
      <w:tblBorders>
        <w:top w:val="single" w:color="F79646" w:sz="8" w:space="0"/>
        <w:bottom w:val="single" w:color="F79646" w:sz="8" w:space="0"/>
      </w:tblBorders>
    </w:tblPr>
    <w:tblStylePr w:type="fir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lastRow">
      <w:pPr>
        <w:spacing w:before="0" w:after="0" w:line="240" w:lineRule="auto"/>
      </w:pPr>
      <w:rPr>
        <w:b/>
        <w:bCs/>
      </w:rPr>
      <w:tblPr/>
      <w:tcPr>
        <w:tcBorders>
          <w:top w:val="single" w:color="F79646" w:sz="8" w:space="0"/>
          <w:left w:val="single" w:color="F79646" w:sz="8" w:space="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FDE4D0"/>
      </w:tcPr>
    </w:tblStylePr>
    <w:tblStylePr w:type="band1Horz">
      <w:tblPr/>
      <w:tcPr>
        <w:tcBorders>
          <w:bottom w:val="nil"/>
          <w:right w:val="nil"/>
          <w:insideH w:val="nil"/>
          <w:insideV w:val="nil"/>
        </w:tcBorders>
        <w:shd w:val="clear" w:color="auto" w:fill="FDE4D0"/>
      </w:tcPr>
    </w:tblStylePr>
  </w:style>
  <w:style w:type="table" w:styleId="158">
    <w:name w:val="Light List"/>
    <w:basedOn w:val="12"/>
    <w:qFormat/>
    <w:uiPriority w:val="61"/>
    <w:tblPr>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StylePr>
    <w:tblStylePr w:type="lastCol">
      <w:rPr>
        <w:b/>
        <w:bCs/>
      </w:r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styleId="159">
    <w:name w:val="Light List Accent 1"/>
    <w:basedOn w:val="12"/>
    <w:qFormat/>
    <w:uiPriority w:val="61"/>
    <w:tblPr>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StylePr>
    <w:tblStylePr w:type="lastCol">
      <w:rPr>
        <w:b/>
        <w:bCs/>
      </w:r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160">
    <w:name w:val="Light List Accent 2"/>
    <w:basedOn w:val="12"/>
    <w:qFormat/>
    <w:uiPriority w:val="61"/>
    <w:tblPr>
      <w:tblBorders>
        <w:top w:val="single" w:color="C0504D" w:sz="8" w:space="0"/>
        <w:left w:val="single" w:color="C0504D" w:sz="8" w:space="0"/>
        <w:bottom w:val="single" w:color="C0504D" w:sz="8" w:space="0"/>
        <w:right w:val="single" w:color="C0504D" w:sz="8" w:space="0"/>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color="C0504D" w:sz="6" w:space="0"/>
          <w:left w:val="single" w:color="C0504D" w:sz="8" w:space="0"/>
          <w:bottom w:val="single" w:color="C0504D" w:sz="8" w:space="0"/>
          <w:right w:val="single" w:color="C0504D" w:sz="8" w:space="0"/>
        </w:tcBorders>
      </w:tcPr>
    </w:tblStylePr>
    <w:tblStylePr w:type="firstCol">
      <w:rPr>
        <w:b/>
        <w:bCs/>
      </w:rPr>
    </w:tblStylePr>
    <w:tblStylePr w:type="lastCol">
      <w:rPr>
        <w:b/>
        <w:bCs/>
      </w:rPr>
    </w:tblStylePr>
    <w:tblStylePr w:type="band1Vert">
      <w:tblPr/>
      <w:tcPr>
        <w:tcBorders>
          <w:top w:val="single" w:color="C0504D" w:sz="8" w:space="0"/>
          <w:left w:val="single" w:color="C0504D" w:sz="8" w:space="0"/>
          <w:bottom w:val="single" w:color="C0504D" w:sz="8" w:space="0"/>
          <w:right w:val="single" w:color="C0504D" w:sz="8" w:space="0"/>
        </w:tcBorders>
      </w:tcPr>
    </w:tblStylePr>
    <w:tblStylePr w:type="band1Horz">
      <w:tblPr/>
      <w:tcPr>
        <w:tcBorders>
          <w:top w:val="single" w:color="C0504D" w:sz="8" w:space="0"/>
          <w:left w:val="single" w:color="C0504D" w:sz="8" w:space="0"/>
          <w:bottom w:val="single" w:color="C0504D" w:sz="8" w:space="0"/>
          <w:right w:val="single" w:color="C0504D" w:sz="8" w:space="0"/>
        </w:tcBorders>
      </w:tcPr>
    </w:tblStylePr>
  </w:style>
  <w:style w:type="table" w:styleId="161">
    <w:name w:val="Light List Accent 3"/>
    <w:basedOn w:val="12"/>
    <w:qFormat/>
    <w:uiPriority w:val="61"/>
    <w:tblPr>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StylePr>
    <w:tblStylePr w:type="lastCol">
      <w:rPr>
        <w:b/>
        <w:bCs/>
      </w:r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styleId="162">
    <w:name w:val="Light List Accent 4"/>
    <w:basedOn w:val="12"/>
    <w:qFormat/>
    <w:uiPriority w:val="61"/>
    <w:tblPr>
      <w:tblBorders>
        <w:top w:val="single" w:color="8064A2" w:sz="8" w:space="0"/>
        <w:left w:val="single" w:color="8064A2" w:sz="8" w:space="0"/>
        <w:bottom w:val="single" w:color="8064A2" w:sz="8" w:space="0"/>
        <w:right w:val="single" w:color="8064A2" w:sz="8" w:space="0"/>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color="8064A2" w:sz="6" w:space="0"/>
          <w:left w:val="single" w:color="8064A2" w:sz="8" w:space="0"/>
          <w:bottom w:val="single" w:color="8064A2" w:sz="8" w:space="0"/>
          <w:right w:val="single" w:color="8064A2" w:sz="8" w:space="0"/>
        </w:tcBorders>
      </w:tcPr>
    </w:tblStylePr>
    <w:tblStylePr w:type="firstCol">
      <w:rPr>
        <w:b/>
        <w:bCs/>
      </w:rPr>
    </w:tblStylePr>
    <w:tblStylePr w:type="lastCol">
      <w:rPr>
        <w:b/>
        <w:bCs/>
      </w:rPr>
    </w:tblStylePr>
    <w:tblStylePr w:type="band1Vert">
      <w:tblPr/>
      <w:tcPr>
        <w:tcBorders>
          <w:top w:val="single" w:color="8064A2" w:sz="8" w:space="0"/>
          <w:left w:val="single" w:color="8064A2" w:sz="8" w:space="0"/>
          <w:bottom w:val="single" w:color="8064A2" w:sz="8" w:space="0"/>
          <w:right w:val="single" w:color="8064A2" w:sz="8" w:space="0"/>
        </w:tcBorders>
      </w:tcPr>
    </w:tblStylePr>
    <w:tblStylePr w:type="band1Horz">
      <w:tblPr/>
      <w:tcPr>
        <w:tcBorders>
          <w:top w:val="single" w:color="8064A2" w:sz="8" w:space="0"/>
          <w:left w:val="single" w:color="8064A2" w:sz="8" w:space="0"/>
          <w:bottom w:val="single" w:color="8064A2" w:sz="8" w:space="0"/>
          <w:right w:val="single" w:color="8064A2" w:sz="8" w:space="0"/>
        </w:tcBorders>
      </w:tcPr>
    </w:tblStylePr>
  </w:style>
  <w:style w:type="table" w:styleId="163">
    <w:name w:val="Light List Accent 5"/>
    <w:basedOn w:val="12"/>
    <w:qFormat/>
    <w:uiPriority w:val="61"/>
    <w:tblPr>
      <w:tblBorders>
        <w:top w:val="single" w:color="4BACC6" w:sz="8" w:space="0"/>
        <w:left w:val="single" w:color="4BACC6" w:sz="8" w:space="0"/>
        <w:bottom w:val="single" w:color="4BACC6" w:sz="8" w:space="0"/>
        <w:right w:val="single" w:color="4BACC6" w:sz="8" w:space="0"/>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color="4BACC6" w:sz="6" w:space="0"/>
          <w:left w:val="single" w:color="4BACC6" w:sz="8" w:space="0"/>
          <w:bottom w:val="single" w:color="4BACC6" w:sz="8" w:space="0"/>
          <w:right w:val="single" w:color="4BACC6" w:sz="8" w:space="0"/>
        </w:tcBorders>
      </w:tcPr>
    </w:tblStylePr>
    <w:tblStylePr w:type="firstCol">
      <w:rPr>
        <w:b/>
        <w:bCs/>
      </w:rPr>
    </w:tblStylePr>
    <w:tblStylePr w:type="lastCol">
      <w:rPr>
        <w:b/>
        <w:bCs/>
      </w:rPr>
    </w:tblStylePr>
    <w:tblStylePr w:type="band1Vert">
      <w:tblPr/>
      <w:tcPr>
        <w:tcBorders>
          <w:top w:val="single" w:color="4BACC6" w:sz="8" w:space="0"/>
          <w:left w:val="single" w:color="4BACC6" w:sz="8" w:space="0"/>
          <w:bottom w:val="single" w:color="4BACC6" w:sz="8" w:space="0"/>
          <w:right w:val="single" w:color="4BACC6" w:sz="8" w:space="0"/>
        </w:tcBorders>
      </w:tcPr>
    </w:tblStylePr>
    <w:tblStylePr w:type="band1Horz">
      <w:tblPr/>
      <w:tcPr>
        <w:tcBorders>
          <w:top w:val="single" w:color="4BACC6" w:sz="8" w:space="0"/>
          <w:left w:val="single" w:color="4BACC6" w:sz="8" w:space="0"/>
          <w:bottom w:val="single" w:color="4BACC6" w:sz="8" w:space="0"/>
          <w:right w:val="single" w:color="4BACC6" w:sz="8" w:space="0"/>
        </w:tcBorders>
      </w:tcPr>
    </w:tblStylePr>
  </w:style>
  <w:style w:type="table" w:styleId="164">
    <w:name w:val="Light List Accent 6"/>
    <w:basedOn w:val="12"/>
    <w:qFormat/>
    <w:uiPriority w:val="61"/>
    <w:tblPr>
      <w:tblBorders>
        <w:top w:val="single" w:color="F79646" w:sz="8" w:space="0"/>
        <w:left w:val="single" w:color="F79646" w:sz="8" w:space="0"/>
        <w:bottom w:val="single" w:color="F79646" w:sz="8" w:space="0"/>
        <w:right w:val="single" w:color="F79646" w:sz="8" w:space="0"/>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color="F79646" w:sz="6" w:space="0"/>
          <w:left w:val="single" w:color="F79646" w:sz="8" w:space="0"/>
          <w:bottom w:val="single" w:color="F79646" w:sz="8" w:space="0"/>
          <w:right w:val="single" w:color="F79646" w:sz="8" w:space="0"/>
        </w:tcBorders>
      </w:tcPr>
    </w:tblStylePr>
    <w:tblStylePr w:type="firstCol">
      <w:rPr>
        <w:b/>
        <w:bCs/>
      </w:rPr>
    </w:tblStylePr>
    <w:tblStylePr w:type="lastCol">
      <w:rPr>
        <w:b/>
        <w:bCs/>
      </w:rPr>
    </w:tblStylePr>
    <w:tblStylePr w:type="band1Vert">
      <w:tblPr/>
      <w:tcPr>
        <w:tcBorders>
          <w:top w:val="single" w:color="F79646" w:sz="8" w:space="0"/>
          <w:left w:val="single" w:color="F79646" w:sz="8" w:space="0"/>
          <w:bottom w:val="single" w:color="F79646" w:sz="8" w:space="0"/>
          <w:right w:val="single" w:color="F79646" w:sz="8" w:space="0"/>
        </w:tcBorders>
      </w:tcPr>
    </w:tblStylePr>
    <w:tblStylePr w:type="band1Horz">
      <w:tblPr/>
      <w:tcPr>
        <w:tcBorders>
          <w:top w:val="single" w:color="F79646" w:sz="8" w:space="0"/>
          <w:left w:val="single" w:color="F79646" w:sz="8" w:space="0"/>
          <w:bottom w:val="single" w:color="F79646" w:sz="8" w:space="0"/>
          <w:right w:val="single" w:color="F79646" w:sz="8" w:space="0"/>
        </w:tcBorders>
      </w:tcPr>
    </w:tblStylePr>
  </w:style>
  <w:style w:type="table" w:styleId="165">
    <w:name w:val="Light Grid"/>
    <w:basedOn w:val="12"/>
    <w:uiPriority w:val="62"/>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blStylePr w:type="firstRow">
      <w:pPr>
        <w:spacing w:before="0" w:after="0" w:line="240" w:lineRule="auto"/>
      </w:pPr>
      <w:rPr>
        <w:rFonts w:cs="Times New Roman"/>
        <w:b/>
        <w:bCs/>
      </w:rPr>
      <w:tblPr/>
      <w:tcPr>
        <w:tcBorders>
          <w:top w:val="single" w:color="000000" w:sz="8" w:space="0"/>
          <w:left w:val="single" w:color="000000" w:sz="18" w:space="0"/>
          <w:bottom w:val="single" w:color="000000" w:sz="8" w:space="0"/>
          <w:right w:val="single" w:color="000000" w:sz="8" w:space="0"/>
          <w:insideH w:val="nil"/>
          <w:insideV w:val="single" w:sz="8" w:space="0"/>
        </w:tcBorders>
      </w:tcPr>
    </w:tblStylePr>
    <w:tblStylePr w:type="lastRow">
      <w:pPr>
        <w:spacing w:before="0" w:after="0" w:line="240" w:lineRule="auto"/>
      </w:pPr>
      <w:rPr>
        <w:rFonts w:cs="Times New Roman"/>
        <w:b/>
        <w:bCs/>
      </w:rPr>
      <w:tblPr/>
      <w:tcPr>
        <w:tcBorders>
          <w:top w:val="double" w:color="000000" w:sz="6" w:space="0"/>
          <w:left w:val="single" w:color="000000" w:sz="8" w:space="0"/>
          <w:bottom w:val="single" w:color="000000" w:sz="8" w:space="0"/>
          <w:right w:val="single" w:color="000000"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000000" w:sz="8" w:space="0"/>
          <w:left w:val="single" w:color="000000" w:sz="8" w:space="0"/>
          <w:bottom w:val="single" w:color="000000" w:sz="8" w:space="0"/>
          <w:right w:val="single" w:color="000000" w:sz="8" w:space="0"/>
        </w:tcBorders>
      </w:tcPr>
    </w:tblStylePr>
    <w:tblStylePr w:type="band1Vert">
      <w:tblPr/>
      <w:tcPr>
        <w:tcBorders>
          <w:top w:val="single" w:color="000000" w:sz="8" w:space="0"/>
          <w:left w:val="single" w:color="000000" w:sz="8" w:space="0"/>
          <w:bottom w:val="single" w:color="000000" w:sz="8" w:space="0"/>
          <w:right w:val="single" w:color="000000" w:sz="8" w:space="0"/>
        </w:tcBorders>
        <w:shd w:val="clear" w:color="auto" w:fill="C0C0C0"/>
      </w:tcPr>
    </w:tblStylePr>
    <w:tblStylePr w:type="band1Horz">
      <w:tblPr/>
      <w:tcPr>
        <w:tcBorders>
          <w:top w:val="single" w:color="000000" w:sz="8" w:space="0"/>
          <w:left w:val="single" w:color="000000" w:sz="8" w:space="0"/>
          <w:bottom w:val="single" w:color="000000" w:sz="8" w:space="0"/>
          <w:right w:val="single" w:color="000000" w:sz="8" w:space="0"/>
          <w:insideV w:val="single" w:sz="8" w:space="0"/>
        </w:tcBorders>
        <w:shd w:val="clear" w:color="auto" w:fill="C0C0C0"/>
      </w:tcPr>
    </w:tblStylePr>
    <w:tblStylePr w:type="band2Horz">
      <w:tblPr/>
      <w:tcPr>
        <w:tcBorders>
          <w:top w:val="single" w:color="000000" w:sz="8" w:space="0"/>
          <w:left w:val="single" w:color="000000" w:sz="8" w:space="0"/>
          <w:bottom w:val="single" w:color="000000" w:sz="8" w:space="0"/>
          <w:right w:val="single" w:color="000000" w:sz="8" w:space="0"/>
          <w:insideV w:val="single" w:sz="8" w:space="0"/>
        </w:tcBorders>
      </w:tcPr>
    </w:tblStylePr>
  </w:style>
  <w:style w:type="table" w:styleId="166">
    <w:name w:val="Light Grid Accent 1"/>
    <w:basedOn w:val="12"/>
    <w:qFormat/>
    <w:uiPriority w:val="62"/>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blStylePr w:type="firstRow">
      <w:pPr>
        <w:spacing w:before="0" w:after="0" w:line="240" w:lineRule="auto"/>
      </w:pPr>
      <w:rPr>
        <w:rFonts w:cs="Times New Roman"/>
        <w:b/>
        <w:bCs/>
      </w:rPr>
      <w:tblPr/>
      <w:tcPr>
        <w:tcBorders>
          <w:top w:val="single" w:color="4F81BD" w:sz="8" w:space="0"/>
          <w:left w:val="single" w:color="4F81BD" w:sz="18" w:space="0"/>
          <w:bottom w:val="single" w:color="4F81BD" w:sz="8" w:space="0"/>
          <w:right w:val="single" w:color="4F81BD" w:sz="8" w:space="0"/>
          <w:insideH w:val="nil"/>
          <w:insideV w:val="single" w:sz="8" w:space="0"/>
        </w:tcBorders>
      </w:tcPr>
    </w:tblStylePr>
    <w:tblStylePr w:type="lastRow">
      <w:pPr>
        <w:spacing w:before="0" w:after="0" w:line="240" w:lineRule="auto"/>
      </w:pPr>
      <w:rPr>
        <w:rFonts w:cs="Times New Roman"/>
        <w:b/>
        <w:bCs/>
      </w:rPr>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F81BD" w:sz="8" w:space="0"/>
          <w:left w:val="single" w:color="4F81BD" w:sz="8" w:space="0"/>
          <w:bottom w:val="single" w:color="4F81BD" w:sz="8" w:space="0"/>
          <w:right w:val="single" w:color="4F81BD" w:sz="8" w:space="0"/>
        </w:tcBorders>
      </w:tcPr>
    </w:tblStylePr>
    <w:tblStylePr w:type="band1Vert">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table" w:styleId="167">
    <w:name w:val="Light Grid Accent 2"/>
    <w:basedOn w:val="12"/>
    <w:qFormat/>
    <w:uiPriority w:val="62"/>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blStylePr w:type="firstRow">
      <w:pPr>
        <w:spacing w:before="0" w:after="0" w:line="240" w:lineRule="auto"/>
      </w:pPr>
      <w:rPr>
        <w:rFonts w:cs="Times New Roman"/>
        <w:b/>
        <w:bCs/>
      </w:rPr>
      <w:tblPr/>
      <w:tcPr>
        <w:tcBorders>
          <w:top w:val="single" w:color="C0504D" w:sz="8" w:space="0"/>
          <w:left w:val="single" w:color="C0504D" w:sz="18" w:space="0"/>
          <w:bottom w:val="single" w:color="C0504D" w:sz="8" w:space="0"/>
          <w:right w:val="single" w:color="C0504D" w:sz="8" w:space="0"/>
          <w:insideH w:val="nil"/>
          <w:insideV w:val="single" w:sz="8" w:space="0"/>
        </w:tcBorders>
      </w:tcPr>
    </w:tblStylePr>
    <w:tblStylePr w:type="lastRow">
      <w:pPr>
        <w:spacing w:before="0" w:after="0" w:line="240" w:lineRule="auto"/>
      </w:pPr>
      <w:rPr>
        <w:rFonts w:cs="Times New Roman"/>
        <w:b/>
        <w:bCs/>
      </w:rPr>
      <w:tblPr/>
      <w:tcPr>
        <w:tcBorders>
          <w:top w:val="double" w:color="C0504D" w:sz="6" w:space="0"/>
          <w:left w:val="single" w:color="C0504D" w:sz="8" w:space="0"/>
          <w:bottom w:val="single" w:color="C0504D" w:sz="8" w:space="0"/>
          <w:right w:val="single" w:color="C0504D"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C0504D" w:sz="8" w:space="0"/>
          <w:left w:val="single" w:color="C0504D" w:sz="8" w:space="0"/>
          <w:bottom w:val="single" w:color="C0504D" w:sz="8" w:space="0"/>
          <w:right w:val="single" w:color="C0504D" w:sz="8" w:space="0"/>
        </w:tcBorders>
      </w:tcPr>
    </w:tblStylePr>
    <w:tblStylePr w:type="band1Vert">
      <w:tblPr/>
      <w:tcPr>
        <w:tcBorders>
          <w:top w:val="single" w:color="C0504D" w:sz="8" w:space="0"/>
          <w:left w:val="single" w:color="C0504D" w:sz="8" w:space="0"/>
          <w:bottom w:val="single" w:color="C0504D" w:sz="8" w:space="0"/>
          <w:right w:val="single" w:color="C0504D" w:sz="8" w:space="0"/>
        </w:tcBorders>
        <w:shd w:val="clear" w:color="auto" w:fill="EFD3D2"/>
      </w:tcPr>
    </w:tblStylePr>
    <w:tblStylePr w:type="band1Horz">
      <w:tblPr/>
      <w:tcPr>
        <w:tcBorders>
          <w:top w:val="single" w:color="C0504D" w:sz="8" w:space="0"/>
          <w:left w:val="single" w:color="C0504D" w:sz="8" w:space="0"/>
          <w:bottom w:val="single" w:color="C0504D" w:sz="8" w:space="0"/>
          <w:right w:val="single" w:color="C0504D" w:sz="8" w:space="0"/>
          <w:insideV w:val="single" w:sz="8" w:space="0"/>
        </w:tcBorders>
        <w:shd w:val="clear" w:color="auto" w:fill="EFD3D2"/>
      </w:tcPr>
    </w:tblStylePr>
    <w:tblStylePr w:type="band2Horz">
      <w:tblPr/>
      <w:tcPr>
        <w:tcBorders>
          <w:top w:val="single" w:color="C0504D" w:sz="8" w:space="0"/>
          <w:left w:val="single" w:color="C0504D" w:sz="8" w:space="0"/>
          <w:bottom w:val="single" w:color="C0504D" w:sz="8" w:space="0"/>
          <w:right w:val="single" w:color="C0504D" w:sz="8" w:space="0"/>
          <w:insideV w:val="single" w:sz="8" w:space="0"/>
        </w:tcBorders>
      </w:tcPr>
    </w:tblStylePr>
  </w:style>
  <w:style w:type="table" w:styleId="168">
    <w:name w:val="Light Grid Accent 3"/>
    <w:basedOn w:val="12"/>
    <w:qFormat/>
    <w:uiPriority w:val="62"/>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blStylePr w:type="firstRow">
      <w:pPr>
        <w:spacing w:before="0" w:after="0" w:line="240" w:lineRule="auto"/>
      </w:pPr>
      <w:rPr>
        <w:rFonts w:cs="Times New Roman"/>
        <w:b/>
        <w:bCs/>
      </w:rPr>
      <w:tblPr/>
      <w:tcPr>
        <w:tcBorders>
          <w:top w:val="single" w:color="9BBB59" w:sz="8" w:space="0"/>
          <w:left w:val="single" w:color="9BBB59" w:sz="18" w:space="0"/>
          <w:bottom w:val="single" w:color="9BBB59" w:sz="8" w:space="0"/>
          <w:right w:val="single" w:color="9BBB59" w:sz="8" w:space="0"/>
          <w:insideH w:val="nil"/>
          <w:insideV w:val="single" w:sz="8" w:space="0"/>
        </w:tcBorders>
      </w:tcPr>
    </w:tblStylePr>
    <w:tblStylePr w:type="lastRow">
      <w:pPr>
        <w:spacing w:before="0" w:after="0" w:line="240" w:lineRule="auto"/>
      </w:pPr>
      <w:rPr>
        <w:rFonts w:cs="Times New Roman"/>
        <w:b/>
        <w:bCs/>
      </w:rPr>
      <w:tblPr/>
      <w:tcPr>
        <w:tcBorders>
          <w:top w:val="double" w:color="9BBB59" w:sz="6" w:space="0"/>
          <w:left w:val="single" w:color="9BBB59" w:sz="8" w:space="0"/>
          <w:bottom w:val="single" w:color="9BBB59" w:sz="8" w:space="0"/>
          <w:right w:val="single" w:color="9BBB59"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9BBB59" w:sz="8" w:space="0"/>
          <w:left w:val="single" w:color="9BBB59" w:sz="8" w:space="0"/>
          <w:bottom w:val="single" w:color="9BBB59" w:sz="8" w:space="0"/>
          <w:right w:val="single" w:color="9BBB59" w:sz="8" w:space="0"/>
        </w:tcBorders>
      </w:tcPr>
    </w:tblStylePr>
    <w:tblStylePr w:type="band1Vert">
      <w:tblPr/>
      <w:tcPr>
        <w:tcBorders>
          <w:top w:val="single" w:color="9BBB59" w:sz="8" w:space="0"/>
          <w:left w:val="single" w:color="9BBB59" w:sz="8" w:space="0"/>
          <w:bottom w:val="single" w:color="9BBB59" w:sz="8" w:space="0"/>
          <w:right w:val="single" w:color="9BBB59" w:sz="8" w:space="0"/>
        </w:tcBorders>
        <w:shd w:val="clear" w:color="auto" w:fill="E6EED5"/>
      </w:tcPr>
    </w:tblStylePr>
    <w:tblStylePr w:type="band1Horz">
      <w:tblPr/>
      <w:tcPr>
        <w:tcBorders>
          <w:top w:val="single" w:color="9BBB59" w:sz="8" w:space="0"/>
          <w:left w:val="single" w:color="9BBB59" w:sz="8" w:space="0"/>
          <w:bottom w:val="single" w:color="9BBB59" w:sz="8" w:space="0"/>
          <w:right w:val="single" w:color="9BBB59" w:sz="8" w:space="0"/>
          <w:insideV w:val="single" w:sz="8" w:space="0"/>
        </w:tcBorders>
        <w:shd w:val="clear" w:color="auto" w:fill="E6EED5"/>
      </w:tcPr>
    </w:tblStylePr>
    <w:tblStylePr w:type="band2Horz">
      <w:tblPr/>
      <w:tcPr>
        <w:tcBorders>
          <w:top w:val="single" w:color="9BBB59" w:sz="8" w:space="0"/>
          <w:left w:val="single" w:color="9BBB59" w:sz="8" w:space="0"/>
          <w:bottom w:val="single" w:color="9BBB59" w:sz="8" w:space="0"/>
          <w:right w:val="single" w:color="9BBB59" w:sz="8" w:space="0"/>
          <w:insideV w:val="single" w:sz="8" w:space="0"/>
        </w:tcBorders>
      </w:tcPr>
    </w:tblStylePr>
  </w:style>
  <w:style w:type="table" w:styleId="169">
    <w:name w:val="Light Grid Accent 4"/>
    <w:basedOn w:val="12"/>
    <w:qFormat/>
    <w:uiPriority w:val="62"/>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blStylePr w:type="firstRow">
      <w:pPr>
        <w:spacing w:before="0" w:after="0" w:line="240" w:lineRule="auto"/>
      </w:pPr>
      <w:rPr>
        <w:rFonts w:cs="Times New Roman"/>
        <w:b/>
        <w:bCs/>
      </w:rPr>
      <w:tblPr/>
      <w:tcPr>
        <w:tcBorders>
          <w:top w:val="single" w:color="8064A2" w:sz="8" w:space="0"/>
          <w:left w:val="single" w:color="8064A2" w:sz="18" w:space="0"/>
          <w:bottom w:val="single" w:color="8064A2" w:sz="8" w:space="0"/>
          <w:right w:val="single" w:color="8064A2" w:sz="8" w:space="0"/>
          <w:insideH w:val="nil"/>
          <w:insideV w:val="single" w:sz="8" w:space="0"/>
        </w:tcBorders>
      </w:tcPr>
    </w:tblStylePr>
    <w:tblStylePr w:type="lastRow">
      <w:pPr>
        <w:spacing w:before="0" w:after="0" w:line="240" w:lineRule="auto"/>
      </w:pPr>
      <w:rPr>
        <w:rFonts w:cs="Times New Roman"/>
        <w:b/>
        <w:bCs/>
      </w:rPr>
      <w:tblPr/>
      <w:tcPr>
        <w:tcBorders>
          <w:top w:val="double" w:color="8064A2" w:sz="6" w:space="0"/>
          <w:left w:val="single" w:color="8064A2" w:sz="8" w:space="0"/>
          <w:bottom w:val="single" w:color="8064A2" w:sz="8" w:space="0"/>
          <w:right w:val="single" w:color="8064A2"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8064A2" w:sz="8" w:space="0"/>
          <w:left w:val="single" w:color="8064A2" w:sz="8" w:space="0"/>
          <w:bottom w:val="single" w:color="8064A2" w:sz="8" w:space="0"/>
          <w:right w:val="single" w:color="8064A2" w:sz="8" w:space="0"/>
        </w:tcBorders>
      </w:tcPr>
    </w:tblStylePr>
    <w:tblStylePr w:type="band1Vert">
      <w:tblPr/>
      <w:tcPr>
        <w:tcBorders>
          <w:top w:val="single" w:color="8064A2" w:sz="8" w:space="0"/>
          <w:left w:val="single" w:color="8064A2" w:sz="8" w:space="0"/>
          <w:bottom w:val="single" w:color="8064A2" w:sz="8" w:space="0"/>
          <w:right w:val="single" w:color="8064A2" w:sz="8" w:space="0"/>
        </w:tcBorders>
        <w:shd w:val="clear" w:color="auto" w:fill="DFD8E8"/>
      </w:tcPr>
    </w:tblStylePr>
    <w:tblStylePr w:type="band1Horz">
      <w:tblPr/>
      <w:tcPr>
        <w:tcBorders>
          <w:top w:val="single" w:color="8064A2" w:sz="8" w:space="0"/>
          <w:left w:val="single" w:color="8064A2" w:sz="8" w:space="0"/>
          <w:bottom w:val="single" w:color="8064A2" w:sz="8" w:space="0"/>
          <w:right w:val="single" w:color="8064A2" w:sz="8" w:space="0"/>
          <w:insideV w:val="single" w:sz="8" w:space="0"/>
        </w:tcBorders>
        <w:shd w:val="clear" w:color="auto" w:fill="DFD8E8"/>
      </w:tcPr>
    </w:tblStylePr>
    <w:tblStylePr w:type="band2Horz">
      <w:tblPr/>
      <w:tcPr>
        <w:tcBorders>
          <w:top w:val="single" w:color="8064A2" w:sz="8" w:space="0"/>
          <w:left w:val="single" w:color="8064A2" w:sz="8" w:space="0"/>
          <w:bottom w:val="single" w:color="8064A2" w:sz="8" w:space="0"/>
          <w:right w:val="single" w:color="8064A2" w:sz="8" w:space="0"/>
          <w:insideV w:val="single" w:sz="8" w:space="0"/>
        </w:tcBorders>
      </w:tcPr>
    </w:tblStylePr>
  </w:style>
  <w:style w:type="table" w:styleId="170">
    <w:name w:val="Light Grid Accent 5"/>
    <w:basedOn w:val="12"/>
    <w:uiPriority w:val="62"/>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blStylePr w:type="firstRow">
      <w:pPr>
        <w:spacing w:before="0" w:after="0" w:line="240" w:lineRule="auto"/>
      </w:pPr>
      <w:rPr>
        <w:rFonts w:cs="Times New Roman"/>
        <w:b/>
        <w:bCs/>
      </w:rPr>
      <w:tblPr/>
      <w:tcPr>
        <w:tcBorders>
          <w:top w:val="single" w:color="4BACC6" w:sz="8" w:space="0"/>
          <w:left w:val="single" w:color="4BACC6" w:sz="18" w:space="0"/>
          <w:bottom w:val="single" w:color="4BACC6" w:sz="8" w:space="0"/>
          <w:right w:val="single" w:color="4BACC6" w:sz="8" w:space="0"/>
          <w:insideH w:val="nil"/>
          <w:insideV w:val="single" w:sz="8" w:space="0"/>
        </w:tcBorders>
      </w:tcPr>
    </w:tblStylePr>
    <w:tblStylePr w:type="lastRow">
      <w:pPr>
        <w:spacing w:before="0" w:after="0" w:line="240" w:lineRule="auto"/>
      </w:pPr>
      <w:rPr>
        <w:rFonts w:cs="Times New Roman"/>
        <w:b/>
        <w:bCs/>
      </w:rPr>
      <w:tblPr/>
      <w:tcPr>
        <w:tcBorders>
          <w:top w:val="double" w:color="4BACC6" w:sz="6" w:space="0"/>
          <w:left w:val="single" w:color="4BACC6" w:sz="8" w:space="0"/>
          <w:bottom w:val="single" w:color="4BACC6" w:sz="8" w:space="0"/>
          <w:right w:val="single" w:color="4BACC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4BACC6" w:sz="8" w:space="0"/>
          <w:left w:val="single" w:color="4BACC6" w:sz="8" w:space="0"/>
          <w:bottom w:val="single" w:color="4BACC6" w:sz="8" w:space="0"/>
          <w:right w:val="single" w:color="4BACC6" w:sz="8" w:space="0"/>
        </w:tcBorders>
      </w:tcPr>
    </w:tblStylePr>
    <w:tblStylePr w:type="band1Vert">
      <w:tblPr/>
      <w:tcPr>
        <w:tcBorders>
          <w:top w:val="single" w:color="4BACC6" w:sz="8" w:space="0"/>
          <w:left w:val="single" w:color="4BACC6" w:sz="8" w:space="0"/>
          <w:bottom w:val="single" w:color="4BACC6" w:sz="8" w:space="0"/>
          <w:right w:val="single" w:color="4BACC6" w:sz="8" w:space="0"/>
        </w:tcBorders>
        <w:shd w:val="clear" w:color="auto" w:fill="D2EAF1"/>
      </w:tcPr>
    </w:tblStylePr>
    <w:tblStylePr w:type="band1Horz">
      <w:tblPr/>
      <w:tcPr>
        <w:tcBorders>
          <w:top w:val="single" w:color="4BACC6" w:sz="8" w:space="0"/>
          <w:left w:val="single" w:color="4BACC6" w:sz="8" w:space="0"/>
          <w:bottom w:val="single" w:color="4BACC6" w:sz="8" w:space="0"/>
          <w:right w:val="single" w:color="4BACC6" w:sz="8" w:space="0"/>
          <w:insideV w:val="single" w:sz="8" w:space="0"/>
        </w:tcBorders>
        <w:shd w:val="clear" w:color="auto" w:fill="D2EAF1"/>
      </w:tcPr>
    </w:tblStylePr>
    <w:tblStylePr w:type="band2Horz">
      <w:tblPr/>
      <w:tcPr>
        <w:tcBorders>
          <w:top w:val="single" w:color="4BACC6" w:sz="8" w:space="0"/>
          <w:left w:val="single" w:color="4BACC6" w:sz="8" w:space="0"/>
          <w:bottom w:val="single" w:color="4BACC6" w:sz="8" w:space="0"/>
          <w:right w:val="single" w:color="4BACC6" w:sz="8" w:space="0"/>
          <w:insideV w:val="single" w:sz="8" w:space="0"/>
        </w:tcBorders>
      </w:tcPr>
    </w:tblStylePr>
  </w:style>
  <w:style w:type="table" w:styleId="171">
    <w:name w:val="Light Grid Accent 6"/>
    <w:basedOn w:val="12"/>
    <w:qFormat/>
    <w:uiPriority w:val="62"/>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blStylePr w:type="firstRow">
      <w:pPr>
        <w:spacing w:before="0" w:after="0" w:line="240" w:lineRule="auto"/>
      </w:pPr>
      <w:rPr>
        <w:rFonts w:cs="Times New Roman"/>
        <w:b/>
        <w:bCs/>
      </w:rPr>
      <w:tblPr/>
      <w:tcPr>
        <w:tcBorders>
          <w:top w:val="single" w:color="F79646" w:sz="8" w:space="0"/>
          <w:left w:val="single" w:color="F79646" w:sz="18" w:space="0"/>
          <w:bottom w:val="single" w:color="F79646" w:sz="8" w:space="0"/>
          <w:right w:val="single" w:color="F79646" w:sz="8" w:space="0"/>
          <w:insideH w:val="nil"/>
          <w:insideV w:val="single" w:sz="8" w:space="0"/>
        </w:tcBorders>
      </w:tcPr>
    </w:tblStylePr>
    <w:tblStylePr w:type="lastRow">
      <w:pPr>
        <w:spacing w:before="0" w:after="0" w:line="240" w:lineRule="auto"/>
      </w:pPr>
      <w:rPr>
        <w:rFonts w:cs="Times New Roman"/>
        <w:b/>
        <w:bCs/>
      </w:rPr>
      <w:tblPr/>
      <w:tcPr>
        <w:tcBorders>
          <w:top w:val="double" w:color="F79646" w:sz="6" w:space="0"/>
          <w:left w:val="single" w:color="F79646" w:sz="8" w:space="0"/>
          <w:bottom w:val="single" w:color="F79646" w:sz="8" w:space="0"/>
          <w:right w:val="single" w:color="F79646" w:sz="8" w:space="0"/>
          <w:insideH w:val="nil"/>
          <w:insideV w:val="single" w:sz="8" w:space="0"/>
        </w:tcBorders>
      </w:tcPr>
    </w:tblStylePr>
    <w:tblStylePr w:type="firstCol">
      <w:rPr>
        <w:rFonts w:cs="Times New Roman"/>
        <w:b/>
        <w:bCs/>
      </w:rPr>
    </w:tblStylePr>
    <w:tblStylePr w:type="lastCol">
      <w:rPr>
        <w:rFonts w:cs="Times New Roman"/>
        <w:b/>
        <w:bCs/>
      </w:rPr>
      <w:tblPr/>
      <w:tcPr>
        <w:tcBorders>
          <w:top w:val="single" w:color="F79646" w:sz="8" w:space="0"/>
          <w:left w:val="single" w:color="F79646" w:sz="8" w:space="0"/>
          <w:bottom w:val="single" w:color="F79646" w:sz="8" w:space="0"/>
          <w:right w:val="single" w:color="F79646" w:sz="8" w:space="0"/>
        </w:tcBorders>
      </w:tcPr>
    </w:tblStylePr>
    <w:tblStylePr w:type="band1Vert">
      <w:tblPr/>
      <w:tcPr>
        <w:tcBorders>
          <w:top w:val="single" w:color="F79646" w:sz="8" w:space="0"/>
          <w:left w:val="single" w:color="F79646" w:sz="8" w:space="0"/>
          <w:bottom w:val="single" w:color="F79646" w:sz="8" w:space="0"/>
          <w:right w:val="single" w:color="F79646" w:sz="8" w:space="0"/>
        </w:tcBorders>
        <w:shd w:val="clear" w:color="auto" w:fill="FDE4D0"/>
      </w:tcPr>
    </w:tblStylePr>
    <w:tblStylePr w:type="band1Horz">
      <w:tblPr/>
      <w:tcPr>
        <w:tcBorders>
          <w:top w:val="single" w:color="F79646" w:sz="8" w:space="0"/>
          <w:left w:val="single" w:color="F79646" w:sz="8" w:space="0"/>
          <w:bottom w:val="single" w:color="F79646" w:sz="8" w:space="0"/>
          <w:right w:val="single" w:color="F79646" w:sz="8" w:space="0"/>
          <w:insideV w:val="single" w:sz="8" w:space="0"/>
        </w:tcBorders>
        <w:shd w:val="clear" w:color="auto" w:fill="FDE4D0"/>
      </w:tcPr>
    </w:tblStylePr>
    <w:tblStylePr w:type="band2Horz">
      <w:tblPr/>
      <w:tcPr>
        <w:tcBorders>
          <w:top w:val="single" w:color="F79646" w:sz="8" w:space="0"/>
          <w:left w:val="single" w:color="F79646" w:sz="8" w:space="0"/>
          <w:bottom w:val="single" w:color="F79646" w:sz="8" w:space="0"/>
          <w:right w:val="single" w:color="F79646" w:sz="8" w:space="0"/>
          <w:insideV w:val="single" w:sz="8" w:space="0"/>
        </w:tcBorders>
      </w:tcPr>
    </w:tblStylePr>
  </w:style>
  <w:style w:type="table" w:styleId="172">
    <w:name w:val="Medium Shading 1"/>
    <w:basedOn w:val="12"/>
    <w:qFormat/>
    <w:uiPriority w:val="63"/>
    <w:tblPr>
      <w:tblBorders>
        <w:top w:val="single" w:color="404040" w:sz="8" w:space="0"/>
        <w:left w:val="single" w:color="404040" w:sz="8" w:space="0"/>
        <w:bottom w:val="single" w:color="404040" w:sz="8" w:space="0"/>
        <w:right w:val="single" w:color="404040" w:sz="8" w:space="0"/>
        <w:insideH w:val="single" w:color="404040" w:sz="8" w:space="0"/>
      </w:tblBorders>
    </w:tblPr>
    <w:tblStylePr w:type="firstRow">
      <w:pPr>
        <w:spacing w:before="0" w:after="0" w:line="240" w:lineRule="auto"/>
      </w:pPr>
      <w:rPr>
        <w:b/>
        <w:bCs/>
        <w:color w:val="FFFFFF"/>
      </w:rPr>
      <w:tblPr/>
      <w:tcPr>
        <w:tcBorders>
          <w:top w:val="single" w:color="404040" w:sz="8" w:space="0"/>
          <w:left w:val="single" w:color="404040" w:sz="8" w:space="0"/>
          <w:bottom w:val="single" w:color="404040" w:sz="8" w:space="0"/>
          <w:right w:val="single" w:color="404040" w:sz="8" w:space="0"/>
          <w:insideH w:val="nil"/>
          <w:insideV w:val="nil"/>
        </w:tcBorders>
        <w:shd w:val="clear" w:color="auto" w:fill="000000"/>
      </w:tcPr>
    </w:tblStylePr>
    <w:tblStylePr w:type="lastRow">
      <w:pPr>
        <w:spacing w:before="0" w:after="0" w:line="240" w:lineRule="auto"/>
      </w:pPr>
      <w:rPr>
        <w:b/>
        <w:bCs/>
      </w:rPr>
      <w:tblPr/>
      <w:tcPr>
        <w:tcBorders>
          <w:top w:val="double" w:color="404040" w:sz="6" w:space="0"/>
          <w:left w:val="single" w:color="404040" w:sz="8" w:space="0"/>
          <w:bottom w:val="single" w:color="404040" w:sz="8" w:space="0"/>
          <w:right w:val="single" w:color="404040" w:sz="8" w:space="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73">
    <w:name w:val="Medium Shading 1 Accent 1"/>
    <w:basedOn w:val="12"/>
    <w:qFormat/>
    <w:uiPriority w:val="63"/>
    <w:tblPr>
      <w:tblBorders>
        <w:top w:val="single" w:color="7BA0CD" w:sz="8" w:space="0"/>
        <w:left w:val="single" w:color="7BA0CD" w:sz="8" w:space="0"/>
        <w:bottom w:val="single" w:color="7BA0CD" w:sz="8" w:space="0"/>
        <w:right w:val="single" w:color="7BA0CD" w:sz="8" w:space="0"/>
        <w:insideH w:val="single" w:color="7BA0CD" w:sz="8" w:space="0"/>
      </w:tblBorders>
    </w:tblPr>
    <w:tblStylePr w:type="firstRow">
      <w:pPr>
        <w:spacing w:before="0" w:after="0" w:line="240" w:lineRule="auto"/>
      </w:pPr>
      <w:rPr>
        <w:b/>
        <w:bCs/>
        <w:color w:val="FFFFFF"/>
      </w:rPr>
      <w:tblPr/>
      <w:tcPr>
        <w:tcBorders>
          <w:top w:val="single" w:color="7BA0CD" w:sz="8" w:space="0"/>
          <w:left w:val="single" w:color="7BA0CD" w:sz="8" w:space="0"/>
          <w:bottom w:val="single" w:color="7BA0CD" w:sz="8" w:space="0"/>
          <w:right w:val="single" w:color="7BA0CD" w:sz="8" w:space="0"/>
          <w:insideH w:val="nil"/>
          <w:insideV w:val="nil"/>
        </w:tcBorders>
        <w:shd w:val="clear" w:color="auto" w:fill="4F81BD"/>
      </w:tcPr>
    </w:tblStylePr>
    <w:tblStylePr w:type="lastRow">
      <w:pPr>
        <w:spacing w:before="0" w:after="0" w:line="240" w:lineRule="auto"/>
      </w:pPr>
      <w:rPr>
        <w:b/>
        <w:bCs/>
      </w:rPr>
      <w:tblPr/>
      <w:tcPr>
        <w:tcBorders>
          <w:top w:val="double" w:color="7BA0CD" w:sz="6" w:space="0"/>
          <w:left w:val="single" w:color="7BA0CD" w:sz="8" w:space="0"/>
          <w:bottom w:val="single" w:color="7BA0CD" w:sz="8" w:space="0"/>
          <w:right w:val="single" w:color="7BA0CD" w:sz="8" w:space="0"/>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174">
    <w:name w:val="Medium Shading 1 Accent 2"/>
    <w:basedOn w:val="12"/>
    <w:qFormat/>
    <w:uiPriority w:val="63"/>
    <w:tblPr>
      <w:tblBorders>
        <w:top w:val="single" w:color="CF7B79" w:sz="8" w:space="0"/>
        <w:left w:val="single" w:color="CF7B79" w:sz="8" w:space="0"/>
        <w:bottom w:val="single" w:color="CF7B79" w:sz="8" w:space="0"/>
        <w:right w:val="single" w:color="CF7B79" w:sz="8" w:space="0"/>
        <w:insideH w:val="single" w:color="CF7B79" w:sz="8" w:space="0"/>
      </w:tblBorders>
    </w:tblPr>
    <w:tblStylePr w:type="firstRow">
      <w:pPr>
        <w:spacing w:before="0" w:after="0" w:line="240" w:lineRule="auto"/>
      </w:pPr>
      <w:rPr>
        <w:b/>
        <w:bCs/>
        <w:color w:val="FFFFFF"/>
      </w:rPr>
      <w:tblPr/>
      <w:tcPr>
        <w:tcBorders>
          <w:top w:val="single" w:color="CF7B79" w:sz="8" w:space="0"/>
          <w:left w:val="single" w:color="CF7B79" w:sz="8" w:space="0"/>
          <w:bottom w:val="single" w:color="CF7B79" w:sz="8" w:space="0"/>
          <w:right w:val="single" w:color="CF7B79" w:sz="8" w:space="0"/>
          <w:insideH w:val="nil"/>
          <w:insideV w:val="nil"/>
        </w:tcBorders>
        <w:shd w:val="clear" w:color="auto" w:fill="C0504D"/>
      </w:tcPr>
    </w:tblStylePr>
    <w:tblStylePr w:type="lastRow">
      <w:pPr>
        <w:spacing w:before="0" w:after="0" w:line="240" w:lineRule="auto"/>
      </w:pPr>
      <w:rPr>
        <w:b/>
        <w:bCs/>
      </w:rPr>
      <w:tblPr/>
      <w:tcPr>
        <w:tcBorders>
          <w:top w:val="double" w:color="CF7B79" w:sz="6" w:space="0"/>
          <w:left w:val="single" w:color="CF7B79" w:sz="8" w:space="0"/>
          <w:bottom w:val="single" w:color="CF7B79" w:sz="8" w:space="0"/>
          <w:right w:val="single" w:color="CF7B79" w:sz="8" w:space="0"/>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75">
    <w:name w:val="Medium Shading 1 Accent 3"/>
    <w:basedOn w:val="12"/>
    <w:uiPriority w:val="63"/>
    <w:tblPr>
      <w:tblBorders>
        <w:top w:val="single" w:color="B3CC82" w:sz="8" w:space="0"/>
        <w:left w:val="single" w:color="B3CC82" w:sz="8" w:space="0"/>
        <w:bottom w:val="single" w:color="B3CC82" w:sz="8" w:space="0"/>
        <w:right w:val="single" w:color="B3CC82" w:sz="8" w:space="0"/>
        <w:insideH w:val="single" w:color="B3CC82" w:sz="8" w:space="0"/>
      </w:tblBorders>
    </w:tblPr>
    <w:tblStylePr w:type="firstRow">
      <w:pPr>
        <w:spacing w:before="0" w:after="0" w:line="240" w:lineRule="auto"/>
      </w:pPr>
      <w:rPr>
        <w:b/>
        <w:bCs/>
        <w:color w:val="FFFFFF"/>
      </w:rPr>
      <w:tblPr/>
      <w:tcPr>
        <w:tcBorders>
          <w:top w:val="single" w:color="B3CC82" w:sz="8" w:space="0"/>
          <w:left w:val="single" w:color="B3CC82" w:sz="8" w:space="0"/>
          <w:bottom w:val="single" w:color="B3CC82" w:sz="8" w:space="0"/>
          <w:right w:val="single" w:color="B3CC82" w:sz="8" w:space="0"/>
          <w:insideH w:val="nil"/>
          <w:insideV w:val="nil"/>
        </w:tcBorders>
        <w:shd w:val="clear" w:color="auto" w:fill="9BBB59"/>
      </w:tcPr>
    </w:tblStylePr>
    <w:tblStylePr w:type="lastRow">
      <w:pPr>
        <w:spacing w:before="0" w:after="0" w:line="240" w:lineRule="auto"/>
      </w:pPr>
      <w:rPr>
        <w:b/>
        <w:bCs/>
      </w:rPr>
      <w:tblPr/>
      <w:tcPr>
        <w:tcBorders>
          <w:top w:val="double" w:color="B3CC82" w:sz="6" w:space="0"/>
          <w:left w:val="single" w:color="B3CC82" w:sz="8" w:space="0"/>
          <w:bottom w:val="single" w:color="B3CC82" w:sz="8" w:space="0"/>
          <w:right w:val="single" w:color="B3CC82" w:sz="8" w:space="0"/>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176">
    <w:name w:val="Medium Shading 1 Accent 4"/>
    <w:basedOn w:val="12"/>
    <w:qFormat/>
    <w:uiPriority w:val="63"/>
    <w:tblPr>
      <w:tblBorders>
        <w:top w:val="single" w:color="9F8AB9" w:sz="8" w:space="0"/>
        <w:left w:val="single" w:color="9F8AB9" w:sz="8" w:space="0"/>
        <w:bottom w:val="single" w:color="9F8AB9" w:sz="8" w:space="0"/>
        <w:right w:val="single" w:color="9F8AB9" w:sz="8" w:space="0"/>
        <w:insideH w:val="single" w:color="9F8AB9" w:sz="8" w:space="0"/>
      </w:tblBorders>
    </w:tblPr>
    <w:tblStylePr w:type="firstRow">
      <w:pPr>
        <w:spacing w:before="0" w:after="0" w:line="240" w:lineRule="auto"/>
      </w:pPr>
      <w:rPr>
        <w:b/>
        <w:bCs/>
        <w:color w:val="FFFFFF"/>
      </w:rPr>
      <w:tblPr/>
      <w:tcPr>
        <w:tcBorders>
          <w:top w:val="single" w:color="9F8AB9" w:sz="8" w:space="0"/>
          <w:left w:val="single" w:color="9F8AB9" w:sz="8" w:space="0"/>
          <w:bottom w:val="single" w:color="9F8AB9" w:sz="8" w:space="0"/>
          <w:right w:val="single" w:color="9F8AB9" w:sz="8" w:space="0"/>
          <w:insideH w:val="nil"/>
          <w:insideV w:val="nil"/>
        </w:tcBorders>
        <w:shd w:val="clear" w:color="auto" w:fill="8064A2"/>
      </w:tcPr>
    </w:tblStylePr>
    <w:tblStylePr w:type="lastRow">
      <w:pPr>
        <w:spacing w:before="0" w:after="0" w:line="240" w:lineRule="auto"/>
      </w:pPr>
      <w:rPr>
        <w:b/>
        <w:bCs/>
      </w:rPr>
      <w:tblPr/>
      <w:tcPr>
        <w:tcBorders>
          <w:top w:val="double" w:color="9F8AB9" w:sz="6" w:space="0"/>
          <w:left w:val="single" w:color="9F8AB9" w:sz="8" w:space="0"/>
          <w:bottom w:val="single" w:color="9F8AB9" w:sz="8" w:space="0"/>
          <w:right w:val="single" w:color="9F8AB9" w:sz="8" w:space="0"/>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177">
    <w:name w:val="Medium Shading 1 Accent 5"/>
    <w:basedOn w:val="12"/>
    <w:qFormat/>
    <w:uiPriority w:val="63"/>
    <w:tblPr>
      <w:tblBorders>
        <w:top w:val="single" w:color="78C0D4" w:sz="8" w:space="0"/>
        <w:left w:val="single" w:color="78C0D4" w:sz="8" w:space="0"/>
        <w:bottom w:val="single" w:color="78C0D4" w:sz="8" w:space="0"/>
        <w:right w:val="single" w:color="78C0D4" w:sz="8" w:space="0"/>
        <w:insideH w:val="single" w:color="78C0D4" w:sz="8" w:space="0"/>
      </w:tblBorders>
    </w:tblPr>
    <w:tblStylePr w:type="firstRow">
      <w:pPr>
        <w:spacing w:before="0" w:after="0" w:line="240" w:lineRule="auto"/>
      </w:pPr>
      <w:rPr>
        <w:b/>
        <w:bCs/>
        <w:color w:val="FFFFFF"/>
      </w:rPr>
      <w:tblPr/>
      <w:tcPr>
        <w:tcBorders>
          <w:top w:val="single" w:color="78C0D4" w:sz="8" w:space="0"/>
          <w:left w:val="single" w:color="78C0D4" w:sz="8" w:space="0"/>
          <w:bottom w:val="single" w:color="78C0D4" w:sz="8" w:space="0"/>
          <w:right w:val="single" w:color="78C0D4" w:sz="8" w:space="0"/>
          <w:insideH w:val="nil"/>
          <w:insideV w:val="nil"/>
        </w:tcBorders>
        <w:shd w:val="clear" w:color="auto" w:fill="4BACC6"/>
      </w:tcPr>
    </w:tblStylePr>
    <w:tblStylePr w:type="lastRow">
      <w:pPr>
        <w:spacing w:before="0" w:after="0" w:line="240" w:lineRule="auto"/>
      </w:pPr>
      <w:rPr>
        <w:b/>
        <w:bCs/>
      </w:rPr>
      <w:tblPr/>
      <w:tcPr>
        <w:tcBorders>
          <w:top w:val="double" w:color="78C0D4" w:sz="6" w:space="0"/>
          <w:left w:val="single" w:color="78C0D4" w:sz="8" w:space="0"/>
          <w:bottom w:val="single" w:color="78C0D4" w:sz="8" w:space="0"/>
          <w:right w:val="single" w:color="78C0D4" w:sz="8" w:space="0"/>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178">
    <w:name w:val="Medium Shading 1 Accent 6"/>
    <w:basedOn w:val="12"/>
    <w:qFormat/>
    <w:uiPriority w:val="63"/>
    <w:tblPr>
      <w:tblBorders>
        <w:top w:val="single" w:color="F9B074" w:sz="8" w:space="0"/>
        <w:left w:val="single" w:color="F9B074" w:sz="8" w:space="0"/>
        <w:bottom w:val="single" w:color="F9B074" w:sz="8" w:space="0"/>
        <w:right w:val="single" w:color="F9B074" w:sz="8" w:space="0"/>
        <w:insideH w:val="single" w:color="F9B074" w:sz="8" w:space="0"/>
      </w:tblBorders>
    </w:tblPr>
    <w:tblStylePr w:type="firstRow">
      <w:pPr>
        <w:spacing w:before="0" w:after="0" w:line="240" w:lineRule="auto"/>
      </w:pPr>
      <w:rPr>
        <w:b/>
        <w:bCs/>
        <w:color w:val="FFFFFF"/>
      </w:rPr>
      <w:tblPr/>
      <w:tcPr>
        <w:tcBorders>
          <w:top w:val="single" w:color="F9B074" w:sz="8" w:space="0"/>
          <w:left w:val="single" w:color="F9B074" w:sz="8" w:space="0"/>
          <w:bottom w:val="single" w:color="F9B074" w:sz="8" w:space="0"/>
          <w:right w:val="single" w:color="F9B074" w:sz="8" w:space="0"/>
          <w:insideH w:val="nil"/>
          <w:insideV w:val="nil"/>
        </w:tcBorders>
        <w:shd w:val="clear" w:color="auto" w:fill="F79646"/>
      </w:tcPr>
    </w:tblStylePr>
    <w:tblStylePr w:type="lastRow">
      <w:pPr>
        <w:spacing w:before="0" w:after="0" w:line="240" w:lineRule="auto"/>
      </w:pPr>
      <w:rPr>
        <w:b/>
        <w:bCs/>
      </w:rPr>
      <w:tblPr/>
      <w:tcPr>
        <w:tcBorders>
          <w:top w:val="double" w:color="F9B074" w:sz="6" w:space="0"/>
          <w:left w:val="single" w:color="F9B074" w:sz="8" w:space="0"/>
          <w:bottom w:val="single" w:color="F9B074" w:sz="8" w:space="0"/>
          <w:right w:val="single" w:color="F9B074" w:sz="8" w:space="0"/>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179">
    <w:name w:val="Medium Shading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000000"/>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000000"/>
      </w:tcPr>
    </w:tblStylePr>
    <w:tblStylePr w:type="lastCol">
      <w:rPr>
        <w:b/>
        <w:bCs/>
        <w:color w:val="FFFFFF"/>
      </w:rPr>
      <w:tblPr/>
      <w:tcPr>
        <w:tcBorders>
          <w:bottom w:val="nil"/>
          <w:right w:val="nil"/>
          <w:insideH w:val="nil"/>
          <w:insideV w:val="nil"/>
        </w:tcBorders>
        <w:shd w:val="clear" w:color="auto" w:fill="000000"/>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0">
    <w:name w:val="Medium Shading 2 Accent 1"/>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F81B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F81BD"/>
      </w:tcPr>
    </w:tblStylePr>
    <w:tblStylePr w:type="lastCol">
      <w:rPr>
        <w:b/>
        <w:bCs/>
        <w:color w:val="FFFFFF"/>
      </w:rPr>
      <w:tblPr/>
      <w:tcPr>
        <w:tcBorders>
          <w:bottom w:val="nil"/>
          <w:right w:val="nil"/>
          <w:insideH w:val="nil"/>
          <w:insideV w:val="nil"/>
        </w:tcBorders>
        <w:shd w:val="clear" w:color="auto" w:fill="4F81B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1">
    <w:name w:val="Medium Shading 2 Accent 2"/>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C0504D"/>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C0504D"/>
      </w:tcPr>
    </w:tblStylePr>
    <w:tblStylePr w:type="lastCol">
      <w:rPr>
        <w:b/>
        <w:bCs/>
        <w:color w:val="FFFFFF"/>
      </w:rPr>
      <w:tblPr/>
      <w:tcPr>
        <w:tcBorders>
          <w:bottom w:val="nil"/>
          <w:right w:val="nil"/>
          <w:insideH w:val="nil"/>
          <w:insideV w:val="nil"/>
        </w:tcBorders>
        <w:shd w:val="clear" w:color="auto" w:fill="C0504D"/>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2">
    <w:name w:val="Medium Shading 2 Accent 3"/>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9BBB59"/>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9BBB59"/>
      </w:tcPr>
    </w:tblStylePr>
    <w:tblStylePr w:type="lastCol">
      <w:rPr>
        <w:b/>
        <w:bCs/>
        <w:color w:val="FFFFFF"/>
      </w:rPr>
      <w:tblPr/>
      <w:tcPr>
        <w:tcBorders>
          <w:bottom w:val="nil"/>
          <w:right w:val="nil"/>
          <w:insideH w:val="nil"/>
          <w:insideV w:val="nil"/>
        </w:tcBorders>
        <w:shd w:val="clear" w:color="auto" w:fill="9BBB59"/>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3">
    <w:name w:val="Medium Shading 2 Accent 4"/>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8064A2"/>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8064A2"/>
      </w:tcPr>
    </w:tblStylePr>
    <w:tblStylePr w:type="lastCol">
      <w:rPr>
        <w:b/>
        <w:bCs/>
        <w:color w:val="FFFFFF"/>
      </w:rPr>
      <w:tblPr/>
      <w:tcPr>
        <w:tcBorders>
          <w:bottom w:val="nil"/>
          <w:right w:val="nil"/>
          <w:insideH w:val="nil"/>
          <w:insideV w:val="nil"/>
        </w:tcBorders>
        <w:shd w:val="clear" w:color="auto" w:fill="8064A2"/>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4">
    <w:name w:val="Medium Shading 2 Accent 5"/>
    <w:basedOn w:val="12"/>
    <w:qFormat/>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4BACC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4BACC6"/>
      </w:tcPr>
    </w:tblStylePr>
    <w:tblStylePr w:type="lastCol">
      <w:rPr>
        <w:b/>
        <w:bCs/>
        <w:color w:val="FFFFFF"/>
      </w:rPr>
      <w:tblPr/>
      <w:tcPr>
        <w:tcBorders>
          <w:bottom w:val="nil"/>
          <w:right w:val="nil"/>
          <w:insideH w:val="nil"/>
          <w:insideV w:val="nil"/>
        </w:tcBorders>
        <w:shd w:val="clear" w:color="auto" w:fill="4BACC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5">
    <w:name w:val="Medium Shading 2 Accent 6"/>
    <w:basedOn w:val="12"/>
    <w:uiPriority w:val="64"/>
    <w:tblPr>
      <w:tblBorders>
        <w:top w:val="single" w:color="auto" w:sz="18" w:space="0"/>
        <w:bottom w:val="single" w:color="auto" w:sz="18" w:space="0"/>
      </w:tblBorders>
    </w:tblPr>
    <w:tblStylePr w:type="firstRow">
      <w:pPr>
        <w:spacing w:before="0" w:after="0" w:line="240" w:lineRule="auto"/>
      </w:pPr>
      <w:rPr>
        <w:b/>
        <w:bCs/>
        <w:color w:val="FFFFFF"/>
      </w:rPr>
      <w:tblPr/>
      <w:tcPr>
        <w:tcBorders>
          <w:top w:val="single" w:color="auto" w:sz="18" w:space="0"/>
          <w:left w:val="single" w:color="auto" w:sz="18" w:space="0"/>
          <w:bottom w:val="nil"/>
          <w:right w:val="nil"/>
          <w:insideH w:val="nil"/>
          <w:insideV w:val="nil"/>
        </w:tcBorders>
        <w:shd w:val="clear" w:color="auto" w:fill="F79646"/>
      </w:tcPr>
    </w:tblStylePr>
    <w:tblStylePr w:type="lastRow">
      <w:pPr>
        <w:spacing w:before="0" w:after="0" w:line="240" w:lineRule="auto"/>
      </w:pPr>
      <w:rPr>
        <w:color w:val="auto"/>
      </w:rPr>
      <w:tblPr/>
      <w:tcPr>
        <w:tcBorders>
          <w:top w:val="double" w:color="auto" w:sz="6" w:space="0"/>
          <w:left w:val="single" w:color="auto" w:sz="18" w:space="0"/>
          <w:bottom w:val="nil"/>
          <w:right w:val="nil"/>
          <w:insideH w:val="nil"/>
          <w:insideV w:val="nil"/>
        </w:tcBorders>
        <w:shd w:val="clear" w:color="auto" w:fill="FFFFFF"/>
      </w:tcPr>
    </w:tblStylePr>
    <w:tblStylePr w:type="firstCol">
      <w:rPr>
        <w:b/>
        <w:bCs/>
        <w:color w:val="FFFFFF"/>
      </w:rPr>
      <w:tblPr/>
      <w:tcPr>
        <w:tcBorders>
          <w:top w:val="nil"/>
          <w:left w:val="single" w:color="auto" w:sz="18" w:space="0"/>
          <w:bottom w:val="nil"/>
          <w:right w:val="nil"/>
          <w:insideH w:val="nil"/>
          <w:insideV w:val="nil"/>
        </w:tcBorders>
        <w:shd w:val="clear" w:color="auto" w:fill="F79646"/>
      </w:tcPr>
    </w:tblStylePr>
    <w:tblStylePr w:type="lastCol">
      <w:rPr>
        <w:b/>
        <w:bCs/>
        <w:color w:val="FFFFFF"/>
      </w:rPr>
      <w:tblPr/>
      <w:tcPr>
        <w:tcBorders>
          <w:bottom w:val="nil"/>
          <w:right w:val="nil"/>
          <w:insideH w:val="nil"/>
          <w:insideV w:val="nil"/>
        </w:tcBorders>
        <w:shd w:val="clear" w:color="auto" w:fill="F79646"/>
      </w:tcPr>
    </w:tblStylePr>
    <w:tblStylePr w:type="band1Vert">
      <w:tblPr/>
      <w:tcPr>
        <w:tcBorders>
          <w:bottom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color="auto" w:sz="18" w:space="0"/>
          <w:left w:val="single" w:color="auto" w:sz="18" w:space="0"/>
          <w:bottom w:val="nil"/>
          <w:right w:val="nil"/>
          <w:insideH w:val="nil"/>
          <w:insideV w:val="nil"/>
        </w:tcBorders>
      </w:tcPr>
    </w:tblStylePr>
    <w:tblStylePr w:type="nwCell">
      <w:rPr>
        <w:color w:val="FFFFFF"/>
      </w:rPr>
      <w:tblPr/>
      <w:tcPr>
        <w:tcBorders>
          <w:top w:val="single" w:color="auto" w:sz="18" w:space="0"/>
          <w:left w:val="single" w:color="auto" w:sz="18" w:space="0"/>
          <w:bottom w:val="nil"/>
          <w:right w:val="nil"/>
          <w:insideH w:val="nil"/>
          <w:insideV w:val="nil"/>
        </w:tcBorders>
      </w:tcPr>
    </w:tblStylePr>
  </w:style>
  <w:style w:type="table" w:styleId="186">
    <w:name w:val="Medium List 1"/>
    <w:basedOn w:val="12"/>
    <w:uiPriority w:val="65"/>
    <w:rPr>
      <w:color w:val="000000"/>
    </w:rPr>
    <w:tblPr>
      <w:tblBorders>
        <w:top w:val="single" w:color="000000" w:sz="8" w:space="0"/>
        <w:bottom w:val="single" w:color="000000" w:sz="8" w:space="0"/>
      </w:tblBorders>
    </w:tblPr>
    <w:tblStylePr w:type="firstRow">
      <w:rPr>
        <w:rFonts w:cs="Times New Roman"/>
      </w:rPr>
      <w:tblPr/>
      <w:tcPr>
        <w:tcBorders>
          <w:top w:val="nil"/>
          <w:left w:val="single" w:color="000000" w:sz="8" w:space="0"/>
        </w:tcBorders>
      </w:tcPr>
    </w:tblStylePr>
    <w:tblStylePr w:type="lastRow">
      <w:rPr>
        <w:b/>
        <w:bCs/>
        <w:color w:val="1F497D"/>
      </w:rPr>
      <w:tblPr/>
      <w:tcPr>
        <w:tcBorders>
          <w:top w:val="single" w:color="000000" w:sz="8" w:space="0"/>
          <w:left w:val="single" w:color="000000" w:sz="8" w:space="0"/>
        </w:tcBorders>
      </w:tcPr>
    </w:tblStylePr>
    <w:tblStylePr w:type="firstCol">
      <w:rPr>
        <w:b/>
        <w:bCs/>
      </w:rPr>
    </w:tblStylePr>
    <w:tblStylePr w:type="lastCol">
      <w:rPr>
        <w:b/>
        <w:bCs/>
      </w:rPr>
      <w:tblPr/>
      <w:tcPr>
        <w:tcBorders>
          <w:top w:val="single" w:color="000000" w:sz="8" w:space="0"/>
          <w:left w:val="single" w:color="000000" w:sz="8" w:space="0"/>
        </w:tcBorders>
      </w:tcPr>
    </w:tblStylePr>
    <w:tblStylePr w:type="band1Vert">
      <w:tblPr/>
      <w:tcPr>
        <w:shd w:val="clear" w:color="auto" w:fill="C0C0C0"/>
      </w:tcPr>
    </w:tblStylePr>
    <w:tblStylePr w:type="band1Horz">
      <w:tblPr/>
      <w:tcPr>
        <w:shd w:val="clear" w:color="auto" w:fill="C0C0C0"/>
      </w:tcPr>
    </w:tblStylePr>
  </w:style>
  <w:style w:type="table" w:styleId="187">
    <w:name w:val="Medium List 1 Accent 1"/>
    <w:basedOn w:val="12"/>
    <w:uiPriority w:val="65"/>
    <w:rPr>
      <w:color w:val="000000"/>
    </w:rPr>
    <w:tblPr>
      <w:tblBorders>
        <w:top w:val="single" w:color="4F81BD" w:sz="8" w:space="0"/>
        <w:bottom w:val="single" w:color="4F81BD" w:sz="8" w:space="0"/>
      </w:tblBorders>
    </w:tblPr>
    <w:tblStylePr w:type="firstRow">
      <w:rPr>
        <w:rFonts w:cs="Times New Roman"/>
      </w:rPr>
      <w:tblPr/>
      <w:tcPr>
        <w:tcBorders>
          <w:top w:val="nil"/>
          <w:left w:val="single" w:color="4F81BD" w:sz="8" w:space="0"/>
        </w:tcBorders>
      </w:tcPr>
    </w:tblStylePr>
    <w:tblStylePr w:type="lastRow">
      <w:rPr>
        <w:b/>
        <w:bCs/>
        <w:color w:val="1F497D"/>
      </w:rPr>
      <w:tblPr/>
      <w:tcPr>
        <w:tcBorders>
          <w:top w:val="single" w:color="4F81BD" w:sz="8" w:space="0"/>
          <w:left w:val="single" w:color="4F81BD" w:sz="8" w:space="0"/>
        </w:tcBorders>
      </w:tcPr>
    </w:tblStylePr>
    <w:tblStylePr w:type="firstCol">
      <w:rPr>
        <w:b/>
        <w:bCs/>
      </w:rPr>
    </w:tblStylePr>
    <w:tblStylePr w:type="lastCol">
      <w:rPr>
        <w:b/>
        <w:bCs/>
      </w:rPr>
      <w:tblPr/>
      <w:tcPr>
        <w:tcBorders>
          <w:top w:val="single" w:color="4F81BD" w:sz="8" w:space="0"/>
          <w:left w:val="single" w:color="4F81BD" w:sz="8" w:space="0"/>
        </w:tcBorders>
      </w:tcPr>
    </w:tblStylePr>
    <w:tblStylePr w:type="band1Vert">
      <w:tblPr/>
      <w:tcPr>
        <w:shd w:val="clear" w:color="auto" w:fill="D3DFEE"/>
      </w:tcPr>
    </w:tblStylePr>
    <w:tblStylePr w:type="band1Horz">
      <w:tblPr/>
      <w:tcPr>
        <w:shd w:val="clear" w:color="auto" w:fill="D3DFEE"/>
      </w:tcPr>
    </w:tblStylePr>
  </w:style>
  <w:style w:type="table" w:styleId="188">
    <w:name w:val="Medium List 1 Accent 2"/>
    <w:basedOn w:val="12"/>
    <w:qFormat/>
    <w:uiPriority w:val="65"/>
    <w:rPr>
      <w:color w:val="000000"/>
    </w:rPr>
    <w:tblPr>
      <w:tblBorders>
        <w:top w:val="single" w:color="C0504D" w:sz="8" w:space="0"/>
        <w:bottom w:val="single" w:color="C0504D" w:sz="8" w:space="0"/>
      </w:tblBorders>
    </w:tblPr>
    <w:tblStylePr w:type="firstRow">
      <w:rPr>
        <w:rFonts w:cs="Times New Roman"/>
      </w:rPr>
      <w:tblPr/>
      <w:tcPr>
        <w:tcBorders>
          <w:top w:val="nil"/>
          <w:left w:val="single" w:color="C0504D" w:sz="8" w:space="0"/>
        </w:tcBorders>
      </w:tcPr>
    </w:tblStylePr>
    <w:tblStylePr w:type="lastRow">
      <w:rPr>
        <w:b/>
        <w:bCs/>
        <w:color w:val="1F497D"/>
      </w:rPr>
      <w:tblPr/>
      <w:tcPr>
        <w:tcBorders>
          <w:top w:val="single" w:color="C0504D" w:sz="8" w:space="0"/>
          <w:left w:val="single" w:color="C0504D" w:sz="8" w:space="0"/>
        </w:tcBorders>
      </w:tcPr>
    </w:tblStylePr>
    <w:tblStylePr w:type="firstCol">
      <w:rPr>
        <w:b/>
        <w:bCs/>
      </w:rPr>
    </w:tblStylePr>
    <w:tblStylePr w:type="lastCol">
      <w:rPr>
        <w:b/>
        <w:bCs/>
      </w:rPr>
      <w:tblPr/>
      <w:tcPr>
        <w:tcBorders>
          <w:top w:val="single" w:color="C0504D" w:sz="8" w:space="0"/>
          <w:left w:val="single" w:color="C0504D" w:sz="8" w:space="0"/>
        </w:tcBorders>
      </w:tcPr>
    </w:tblStylePr>
    <w:tblStylePr w:type="band1Vert">
      <w:tblPr/>
      <w:tcPr>
        <w:shd w:val="clear" w:color="auto" w:fill="EFD3D2"/>
      </w:tcPr>
    </w:tblStylePr>
    <w:tblStylePr w:type="band1Horz">
      <w:tblPr/>
      <w:tcPr>
        <w:shd w:val="clear" w:color="auto" w:fill="EFD3D2"/>
      </w:tcPr>
    </w:tblStylePr>
  </w:style>
  <w:style w:type="table" w:styleId="189">
    <w:name w:val="Medium List 1 Accent 3"/>
    <w:basedOn w:val="12"/>
    <w:qFormat/>
    <w:uiPriority w:val="65"/>
    <w:rPr>
      <w:color w:val="000000"/>
    </w:rPr>
    <w:tblPr>
      <w:tblBorders>
        <w:top w:val="single" w:color="9BBB59" w:sz="8" w:space="0"/>
        <w:bottom w:val="single" w:color="9BBB59" w:sz="8" w:space="0"/>
      </w:tblBorders>
    </w:tblPr>
    <w:tblStylePr w:type="firstRow">
      <w:rPr>
        <w:rFonts w:cs="Times New Roman"/>
      </w:rPr>
      <w:tblPr/>
      <w:tcPr>
        <w:tcBorders>
          <w:top w:val="nil"/>
          <w:left w:val="single" w:color="9BBB59" w:sz="8" w:space="0"/>
        </w:tcBorders>
      </w:tcPr>
    </w:tblStylePr>
    <w:tblStylePr w:type="lastRow">
      <w:rPr>
        <w:b/>
        <w:bCs/>
        <w:color w:val="1F497D"/>
      </w:rPr>
      <w:tblPr/>
      <w:tcPr>
        <w:tcBorders>
          <w:top w:val="single" w:color="9BBB59" w:sz="8" w:space="0"/>
          <w:left w:val="single" w:color="9BBB59" w:sz="8" w:space="0"/>
        </w:tcBorders>
      </w:tcPr>
    </w:tblStylePr>
    <w:tblStylePr w:type="firstCol">
      <w:rPr>
        <w:b/>
        <w:bCs/>
      </w:rPr>
    </w:tblStylePr>
    <w:tblStylePr w:type="lastCol">
      <w:rPr>
        <w:b/>
        <w:bCs/>
      </w:rPr>
      <w:tblPr/>
      <w:tcPr>
        <w:tcBorders>
          <w:top w:val="single" w:color="9BBB59" w:sz="8" w:space="0"/>
          <w:left w:val="single" w:color="9BBB59" w:sz="8" w:space="0"/>
        </w:tcBorders>
      </w:tcPr>
    </w:tblStylePr>
    <w:tblStylePr w:type="band1Vert">
      <w:tblPr/>
      <w:tcPr>
        <w:shd w:val="clear" w:color="auto" w:fill="E6EED5"/>
      </w:tcPr>
    </w:tblStylePr>
    <w:tblStylePr w:type="band1Horz">
      <w:tblPr/>
      <w:tcPr>
        <w:shd w:val="clear" w:color="auto" w:fill="E6EED5"/>
      </w:tcPr>
    </w:tblStylePr>
  </w:style>
  <w:style w:type="table" w:styleId="190">
    <w:name w:val="Medium List 1 Accent 4"/>
    <w:basedOn w:val="12"/>
    <w:qFormat/>
    <w:uiPriority w:val="65"/>
    <w:rPr>
      <w:color w:val="000000"/>
    </w:rPr>
    <w:tblPr>
      <w:tblBorders>
        <w:top w:val="single" w:color="8064A2" w:sz="8" w:space="0"/>
        <w:bottom w:val="single" w:color="8064A2" w:sz="8" w:space="0"/>
      </w:tblBorders>
    </w:tblPr>
    <w:tblStylePr w:type="firstRow">
      <w:rPr>
        <w:rFonts w:cs="Times New Roman"/>
      </w:rPr>
      <w:tblPr/>
      <w:tcPr>
        <w:tcBorders>
          <w:top w:val="nil"/>
          <w:left w:val="single" w:color="8064A2" w:sz="8" w:space="0"/>
        </w:tcBorders>
      </w:tcPr>
    </w:tblStylePr>
    <w:tblStylePr w:type="lastRow">
      <w:rPr>
        <w:b/>
        <w:bCs/>
        <w:color w:val="1F497D"/>
      </w:rPr>
      <w:tblPr/>
      <w:tcPr>
        <w:tcBorders>
          <w:top w:val="single" w:color="8064A2" w:sz="8" w:space="0"/>
          <w:left w:val="single" w:color="8064A2" w:sz="8" w:space="0"/>
        </w:tcBorders>
      </w:tcPr>
    </w:tblStylePr>
    <w:tblStylePr w:type="firstCol">
      <w:rPr>
        <w:b/>
        <w:bCs/>
      </w:rPr>
    </w:tblStylePr>
    <w:tblStylePr w:type="lastCol">
      <w:rPr>
        <w:b/>
        <w:bCs/>
      </w:rPr>
      <w:tblPr/>
      <w:tcPr>
        <w:tcBorders>
          <w:top w:val="single" w:color="8064A2" w:sz="8" w:space="0"/>
          <w:left w:val="single" w:color="8064A2" w:sz="8" w:space="0"/>
        </w:tcBorders>
      </w:tcPr>
    </w:tblStylePr>
    <w:tblStylePr w:type="band1Vert">
      <w:tblPr/>
      <w:tcPr>
        <w:shd w:val="clear" w:color="auto" w:fill="DFD8E8"/>
      </w:tcPr>
    </w:tblStylePr>
    <w:tblStylePr w:type="band1Horz">
      <w:tblPr/>
      <w:tcPr>
        <w:shd w:val="clear" w:color="auto" w:fill="DFD8E8"/>
      </w:tcPr>
    </w:tblStylePr>
  </w:style>
  <w:style w:type="table" w:styleId="191">
    <w:name w:val="Medium List 1 Accent 5"/>
    <w:basedOn w:val="12"/>
    <w:qFormat/>
    <w:uiPriority w:val="65"/>
    <w:rPr>
      <w:color w:val="000000"/>
    </w:rPr>
    <w:tblPr>
      <w:tblBorders>
        <w:top w:val="single" w:color="4BACC6" w:sz="8" w:space="0"/>
        <w:bottom w:val="single" w:color="4BACC6" w:sz="8" w:space="0"/>
      </w:tblBorders>
    </w:tblPr>
    <w:tblStylePr w:type="firstRow">
      <w:rPr>
        <w:rFonts w:cs="Times New Roman"/>
      </w:rPr>
      <w:tblPr/>
      <w:tcPr>
        <w:tcBorders>
          <w:top w:val="nil"/>
          <w:left w:val="single" w:color="4BACC6" w:sz="8" w:space="0"/>
        </w:tcBorders>
      </w:tcPr>
    </w:tblStylePr>
    <w:tblStylePr w:type="lastRow">
      <w:rPr>
        <w:b/>
        <w:bCs/>
        <w:color w:val="1F497D"/>
      </w:rPr>
      <w:tblPr/>
      <w:tcPr>
        <w:tcBorders>
          <w:top w:val="single" w:color="4BACC6" w:sz="8" w:space="0"/>
          <w:left w:val="single" w:color="4BACC6" w:sz="8" w:space="0"/>
        </w:tcBorders>
      </w:tcPr>
    </w:tblStylePr>
    <w:tblStylePr w:type="firstCol">
      <w:rPr>
        <w:b/>
        <w:bCs/>
      </w:rPr>
    </w:tblStylePr>
    <w:tblStylePr w:type="lastCol">
      <w:rPr>
        <w:b/>
        <w:bCs/>
      </w:rPr>
      <w:tblPr/>
      <w:tcPr>
        <w:tcBorders>
          <w:top w:val="single" w:color="4BACC6" w:sz="8" w:space="0"/>
          <w:left w:val="single" w:color="4BACC6" w:sz="8" w:space="0"/>
        </w:tcBorders>
      </w:tcPr>
    </w:tblStylePr>
    <w:tblStylePr w:type="band1Vert">
      <w:tblPr/>
      <w:tcPr>
        <w:shd w:val="clear" w:color="auto" w:fill="D2EAF1"/>
      </w:tcPr>
    </w:tblStylePr>
    <w:tblStylePr w:type="band1Horz">
      <w:tblPr/>
      <w:tcPr>
        <w:shd w:val="clear" w:color="auto" w:fill="D2EAF1"/>
      </w:tcPr>
    </w:tblStylePr>
  </w:style>
  <w:style w:type="table" w:styleId="192">
    <w:name w:val="Medium List 1 Accent 6"/>
    <w:basedOn w:val="12"/>
    <w:qFormat/>
    <w:uiPriority w:val="65"/>
    <w:rPr>
      <w:color w:val="000000"/>
    </w:rPr>
    <w:tblPr>
      <w:tblBorders>
        <w:top w:val="single" w:color="F79646" w:sz="8" w:space="0"/>
        <w:bottom w:val="single" w:color="F79646" w:sz="8" w:space="0"/>
      </w:tblBorders>
    </w:tblPr>
    <w:tblStylePr w:type="firstRow">
      <w:rPr>
        <w:rFonts w:cs="Times New Roman"/>
      </w:rPr>
      <w:tblPr/>
      <w:tcPr>
        <w:tcBorders>
          <w:top w:val="nil"/>
          <w:left w:val="single" w:color="F79646" w:sz="8" w:space="0"/>
        </w:tcBorders>
      </w:tcPr>
    </w:tblStylePr>
    <w:tblStylePr w:type="lastRow">
      <w:rPr>
        <w:b/>
        <w:bCs/>
        <w:color w:val="1F497D"/>
      </w:rPr>
      <w:tblPr/>
      <w:tcPr>
        <w:tcBorders>
          <w:top w:val="single" w:color="F79646" w:sz="8" w:space="0"/>
          <w:left w:val="single" w:color="F79646" w:sz="8" w:space="0"/>
        </w:tcBorders>
      </w:tcPr>
    </w:tblStylePr>
    <w:tblStylePr w:type="firstCol">
      <w:rPr>
        <w:b/>
        <w:bCs/>
      </w:rPr>
    </w:tblStylePr>
    <w:tblStylePr w:type="lastCol">
      <w:rPr>
        <w:b/>
        <w:bCs/>
      </w:rPr>
      <w:tblPr/>
      <w:tcPr>
        <w:tcBorders>
          <w:top w:val="single" w:color="F79646" w:sz="8" w:space="0"/>
          <w:left w:val="single" w:color="F79646" w:sz="8" w:space="0"/>
        </w:tcBorders>
      </w:tcPr>
    </w:tblStylePr>
    <w:tblStylePr w:type="band1Vert">
      <w:tblPr/>
      <w:tcPr>
        <w:shd w:val="clear" w:color="auto" w:fill="FDE4D0"/>
      </w:tcPr>
    </w:tblStylePr>
    <w:tblStylePr w:type="band1Horz">
      <w:tblPr/>
      <w:tcPr>
        <w:shd w:val="clear" w:color="auto" w:fill="FDE4D0"/>
      </w:tcPr>
    </w:tblStylePr>
  </w:style>
  <w:style w:type="table" w:styleId="193">
    <w:name w:val="Medium List 2"/>
    <w:basedOn w:val="12"/>
    <w:qFormat/>
    <w:uiPriority w:val="66"/>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tblBorders>
    </w:tblPr>
    <w:tblStylePr w:type="firstRow">
      <w:rPr>
        <w:sz w:val="24"/>
        <w:szCs w:val="24"/>
      </w:rPr>
      <w:tblPr/>
      <w:tcPr>
        <w:tcBorders>
          <w:top w:val="nil"/>
          <w:left w:val="single" w:color="000000" w:sz="24" w:space="0"/>
          <w:bottom w:val="nil"/>
          <w:right w:val="nil"/>
          <w:insideH w:val="nil"/>
          <w:insideV w:val="nil"/>
        </w:tcBorders>
        <w:shd w:val="clear" w:color="auto" w:fill="FFFFFF"/>
      </w:tcPr>
    </w:tblStylePr>
    <w:tblStylePr w:type="lastRow">
      <w:tblPr/>
      <w:tcPr>
        <w:tcBorders>
          <w:top w:val="single" w:color="000000" w:sz="8" w:space="0"/>
          <w:left w:val="nil"/>
          <w:bottom w:val="nil"/>
          <w:right w:val="nil"/>
          <w:insideH w:val="nil"/>
          <w:insideV w:val="nil"/>
        </w:tcBorders>
        <w:shd w:val="clear" w:color="auto" w:fill="FFFFFF"/>
      </w:tcPr>
    </w:tblStylePr>
    <w:tblStylePr w:type="firstCol">
      <w:tblPr/>
      <w:tcPr>
        <w:tcBorders>
          <w:top w:val="nil"/>
          <w:left w:val="nil"/>
          <w:bottom w:val="nil"/>
          <w:right w:val="single" w:color="000000" w:sz="8" w:space="0"/>
          <w:insideH w:val="nil"/>
          <w:insideV w:val="nil"/>
        </w:tcBorders>
        <w:shd w:val="clear" w:color="auto" w:fill="FFFFFF"/>
      </w:tcPr>
    </w:tblStylePr>
    <w:tblStylePr w:type="lastCol">
      <w:tblPr/>
      <w:tcPr>
        <w:tcBorders>
          <w:top w:val="nil"/>
          <w:left w:val="nil"/>
          <w:bottom w:val="single" w:color="000000"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C0C0C0"/>
      </w:tcPr>
    </w:tblStylePr>
    <w:tblStylePr w:type="band1Horz">
      <w:tblPr/>
      <w:tcPr>
        <w:tcBorders>
          <w:top w:val="nil"/>
          <w:left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194">
    <w:name w:val="Medium List 2 Accent 1"/>
    <w:basedOn w:val="12"/>
    <w:qFormat/>
    <w:uiPriority w:val="66"/>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tblBorders>
    </w:tblPr>
    <w:tblStylePr w:type="firstRow">
      <w:rPr>
        <w:sz w:val="24"/>
        <w:szCs w:val="24"/>
      </w:rPr>
      <w:tblPr/>
      <w:tcPr>
        <w:tcBorders>
          <w:top w:val="nil"/>
          <w:left w:val="single" w:color="4F81BD" w:sz="24" w:space="0"/>
          <w:bottom w:val="nil"/>
          <w:right w:val="nil"/>
          <w:insideH w:val="nil"/>
          <w:insideV w:val="nil"/>
        </w:tcBorders>
        <w:shd w:val="clear" w:color="auto" w:fill="FFFFFF"/>
      </w:tcPr>
    </w:tblStylePr>
    <w:tblStylePr w:type="lastRow">
      <w:tblPr/>
      <w:tcPr>
        <w:tcBorders>
          <w:top w:val="single" w:color="4F81BD" w:sz="8" w:space="0"/>
          <w:left w:val="nil"/>
          <w:bottom w:val="nil"/>
          <w:right w:val="nil"/>
          <w:insideH w:val="nil"/>
          <w:insideV w:val="nil"/>
        </w:tcBorders>
        <w:shd w:val="clear" w:color="auto" w:fill="FFFFFF"/>
      </w:tcPr>
    </w:tblStylePr>
    <w:tblStylePr w:type="firstCol">
      <w:tblPr/>
      <w:tcPr>
        <w:tcBorders>
          <w:top w:val="nil"/>
          <w:left w:val="nil"/>
          <w:bottom w:val="nil"/>
          <w:right w:val="single" w:color="4F81BD" w:sz="8" w:space="0"/>
          <w:insideH w:val="nil"/>
          <w:insideV w:val="nil"/>
        </w:tcBorders>
        <w:shd w:val="clear" w:color="auto" w:fill="FFFFFF"/>
      </w:tcPr>
    </w:tblStylePr>
    <w:tblStylePr w:type="lastCol">
      <w:tblPr/>
      <w:tcPr>
        <w:tcBorders>
          <w:top w:val="nil"/>
          <w:left w:val="nil"/>
          <w:bottom w:val="single" w:color="4F81B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3DFEE"/>
      </w:tcPr>
    </w:tblStylePr>
    <w:tblStylePr w:type="band1Horz">
      <w:tblPr/>
      <w:tcPr>
        <w:tcBorders>
          <w:top w:val="nil"/>
          <w:left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195">
    <w:name w:val="Medium List 2 Accent 2"/>
    <w:basedOn w:val="12"/>
    <w:qFormat/>
    <w:uiPriority w:val="66"/>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tblBorders>
    </w:tblPr>
    <w:tblStylePr w:type="firstRow">
      <w:rPr>
        <w:sz w:val="24"/>
        <w:szCs w:val="24"/>
      </w:rPr>
      <w:tblPr/>
      <w:tcPr>
        <w:tcBorders>
          <w:top w:val="nil"/>
          <w:left w:val="single" w:color="C0504D" w:sz="24" w:space="0"/>
          <w:bottom w:val="nil"/>
          <w:right w:val="nil"/>
          <w:insideH w:val="nil"/>
          <w:insideV w:val="nil"/>
        </w:tcBorders>
        <w:shd w:val="clear" w:color="auto" w:fill="FFFFFF"/>
      </w:tcPr>
    </w:tblStylePr>
    <w:tblStylePr w:type="lastRow">
      <w:tblPr/>
      <w:tcPr>
        <w:tcBorders>
          <w:top w:val="single" w:color="C0504D" w:sz="8" w:space="0"/>
          <w:left w:val="nil"/>
          <w:bottom w:val="nil"/>
          <w:right w:val="nil"/>
          <w:insideH w:val="nil"/>
          <w:insideV w:val="nil"/>
        </w:tcBorders>
        <w:shd w:val="clear" w:color="auto" w:fill="FFFFFF"/>
      </w:tcPr>
    </w:tblStylePr>
    <w:tblStylePr w:type="firstCol">
      <w:tblPr/>
      <w:tcPr>
        <w:tcBorders>
          <w:top w:val="nil"/>
          <w:left w:val="nil"/>
          <w:bottom w:val="nil"/>
          <w:right w:val="single" w:color="C0504D" w:sz="8" w:space="0"/>
          <w:insideH w:val="nil"/>
          <w:insideV w:val="nil"/>
        </w:tcBorders>
        <w:shd w:val="clear" w:color="auto" w:fill="FFFFFF"/>
      </w:tcPr>
    </w:tblStylePr>
    <w:tblStylePr w:type="lastCol">
      <w:tblPr/>
      <w:tcPr>
        <w:tcBorders>
          <w:top w:val="nil"/>
          <w:left w:val="nil"/>
          <w:bottom w:val="single" w:color="C0504D"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FD3D2"/>
      </w:tcPr>
    </w:tblStylePr>
    <w:tblStylePr w:type="band1Horz">
      <w:tblPr/>
      <w:tcPr>
        <w:tcBorders>
          <w:top w:val="nil"/>
          <w:left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196">
    <w:name w:val="Medium List 2 Accent 3"/>
    <w:basedOn w:val="12"/>
    <w:qFormat/>
    <w:uiPriority w:val="66"/>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tblBorders>
    </w:tblPr>
    <w:tblStylePr w:type="firstRow">
      <w:rPr>
        <w:sz w:val="24"/>
        <w:szCs w:val="24"/>
      </w:rPr>
      <w:tblPr/>
      <w:tcPr>
        <w:tcBorders>
          <w:top w:val="nil"/>
          <w:left w:val="single" w:color="9BBB59" w:sz="24" w:space="0"/>
          <w:bottom w:val="nil"/>
          <w:right w:val="nil"/>
          <w:insideH w:val="nil"/>
          <w:insideV w:val="nil"/>
        </w:tcBorders>
        <w:shd w:val="clear" w:color="auto" w:fill="FFFFFF"/>
      </w:tcPr>
    </w:tblStylePr>
    <w:tblStylePr w:type="lastRow">
      <w:tblPr/>
      <w:tcPr>
        <w:tcBorders>
          <w:top w:val="single" w:color="9BBB59" w:sz="8" w:space="0"/>
          <w:left w:val="nil"/>
          <w:bottom w:val="nil"/>
          <w:right w:val="nil"/>
          <w:insideH w:val="nil"/>
          <w:insideV w:val="nil"/>
        </w:tcBorders>
        <w:shd w:val="clear" w:color="auto" w:fill="FFFFFF"/>
      </w:tcPr>
    </w:tblStylePr>
    <w:tblStylePr w:type="firstCol">
      <w:tblPr/>
      <w:tcPr>
        <w:tcBorders>
          <w:top w:val="nil"/>
          <w:left w:val="nil"/>
          <w:bottom w:val="nil"/>
          <w:right w:val="single" w:color="9BBB59" w:sz="8" w:space="0"/>
          <w:insideH w:val="nil"/>
          <w:insideV w:val="nil"/>
        </w:tcBorders>
        <w:shd w:val="clear" w:color="auto" w:fill="FFFFFF"/>
      </w:tcPr>
    </w:tblStylePr>
    <w:tblStylePr w:type="lastCol">
      <w:tblPr/>
      <w:tcPr>
        <w:tcBorders>
          <w:top w:val="nil"/>
          <w:left w:val="nil"/>
          <w:bottom w:val="single" w:color="9BBB59"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E6EED5"/>
      </w:tcPr>
    </w:tblStylePr>
    <w:tblStylePr w:type="band1Horz">
      <w:tblPr/>
      <w:tcPr>
        <w:tcBorders>
          <w:top w:val="nil"/>
          <w:left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197">
    <w:name w:val="Medium List 2 Accent 4"/>
    <w:basedOn w:val="12"/>
    <w:qFormat/>
    <w:uiPriority w:val="66"/>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tblBorders>
    </w:tblPr>
    <w:tblStylePr w:type="firstRow">
      <w:rPr>
        <w:sz w:val="24"/>
        <w:szCs w:val="24"/>
      </w:rPr>
      <w:tblPr/>
      <w:tcPr>
        <w:tcBorders>
          <w:top w:val="nil"/>
          <w:left w:val="single" w:color="8064A2" w:sz="24" w:space="0"/>
          <w:bottom w:val="nil"/>
          <w:right w:val="nil"/>
          <w:insideH w:val="nil"/>
          <w:insideV w:val="nil"/>
        </w:tcBorders>
        <w:shd w:val="clear" w:color="auto" w:fill="FFFFFF"/>
      </w:tcPr>
    </w:tblStylePr>
    <w:tblStylePr w:type="lastRow">
      <w:tblPr/>
      <w:tcPr>
        <w:tcBorders>
          <w:top w:val="single" w:color="8064A2" w:sz="8" w:space="0"/>
          <w:left w:val="nil"/>
          <w:bottom w:val="nil"/>
          <w:right w:val="nil"/>
          <w:insideH w:val="nil"/>
          <w:insideV w:val="nil"/>
        </w:tcBorders>
        <w:shd w:val="clear" w:color="auto" w:fill="FFFFFF"/>
      </w:tcPr>
    </w:tblStylePr>
    <w:tblStylePr w:type="firstCol">
      <w:tblPr/>
      <w:tcPr>
        <w:tcBorders>
          <w:top w:val="nil"/>
          <w:left w:val="nil"/>
          <w:bottom w:val="nil"/>
          <w:right w:val="single" w:color="8064A2" w:sz="8" w:space="0"/>
          <w:insideH w:val="nil"/>
          <w:insideV w:val="nil"/>
        </w:tcBorders>
        <w:shd w:val="clear" w:color="auto" w:fill="FFFFFF"/>
      </w:tcPr>
    </w:tblStylePr>
    <w:tblStylePr w:type="lastCol">
      <w:tblPr/>
      <w:tcPr>
        <w:tcBorders>
          <w:top w:val="nil"/>
          <w:left w:val="nil"/>
          <w:bottom w:val="single" w:color="8064A2"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FD8E8"/>
      </w:tcPr>
    </w:tblStylePr>
    <w:tblStylePr w:type="band1Horz">
      <w:tblPr/>
      <w:tcPr>
        <w:tcBorders>
          <w:top w:val="nil"/>
          <w:left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198">
    <w:name w:val="Medium List 2 Accent 5"/>
    <w:basedOn w:val="12"/>
    <w:qFormat/>
    <w:uiPriority w:val="66"/>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tblBorders>
    </w:tblPr>
    <w:tblStylePr w:type="firstRow">
      <w:rPr>
        <w:sz w:val="24"/>
        <w:szCs w:val="24"/>
      </w:rPr>
      <w:tblPr/>
      <w:tcPr>
        <w:tcBorders>
          <w:top w:val="nil"/>
          <w:left w:val="single" w:color="4BACC6" w:sz="24" w:space="0"/>
          <w:bottom w:val="nil"/>
          <w:right w:val="nil"/>
          <w:insideH w:val="nil"/>
          <w:insideV w:val="nil"/>
        </w:tcBorders>
        <w:shd w:val="clear" w:color="auto" w:fill="FFFFFF"/>
      </w:tcPr>
    </w:tblStylePr>
    <w:tblStylePr w:type="lastRow">
      <w:tblPr/>
      <w:tcPr>
        <w:tcBorders>
          <w:top w:val="single" w:color="4BACC6" w:sz="8" w:space="0"/>
          <w:left w:val="nil"/>
          <w:bottom w:val="nil"/>
          <w:right w:val="nil"/>
          <w:insideH w:val="nil"/>
          <w:insideV w:val="nil"/>
        </w:tcBorders>
        <w:shd w:val="clear" w:color="auto" w:fill="FFFFFF"/>
      </w:tcPr>
    </w:tblStylePr>
    <w:tblStylePr w:type="firstCol">
      <w:tblPr/>
      <w:tcPr>
        <w:tcBorders>
          <w:top w:val="nil"/>
          <w:left w:val="nil"/>
          <w:bottom w:val="nil"/>
          <w:right w:val="single" w:color="4BACC6" w:sz="8" w:space="0"/>
          <w:insideH w:val="nil"/>
          <w:insideV w:val="nil"/>
        </w:tcBorders>
        <w:shd w:val="clear" w:color="auto" w:fill="FFFFFF"/>
      </w:tcPr>
    </w:tblStylePr>
    <w:tblStylePr w:type="lastCol">
      <w:tblPr/>
      <w:tcPr>
        <w:tcBorders>
          <w:top w:val="nil"/>
          <w:left w:val="nil"/>
          <w:bottom w:val="single" w:color="4BACC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D2EAF1"/>
      </w:tcPr>
    </w:tblStylePr>
    <w:tblStylePr w:type="band1Horz">
      <w:tblPr/>
      <w:tcPr>
        <w:tcBorders>
          <w:top w:val="nil"/>
          <w:left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199">
    <w:name w:val="Medium List 2 Accent 6"/>
    <w:basedOn w:val="12"/>
    <w:qFormat/>
    <w:uiPriority w:val="66"/>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tblBorders>
    </w:tblPr>
    <w:tblStylePr w:type="firstRow">
      <w:rPr>
        <w:sz w:val="24"/>
        <w:szCs w:val="24"/>
      </w:rPr>
      <w:tblPr/>
      <w:tcPr>
        <w:tcBorders>
          <w:top w:val="nil"/>
          <w:left w:val="single" w:color="F79646" w:sz="24" w:space="0"/>
          <w:bottom w:val="nil"/>
          <w:right w:val="nil"/>
          <w:insideH w:val="nil"/>
          <w:insideV w:val="nil"/>
        </w:tcBorders>
        <w:shd w:val="clear" w:color="auto" w:fill="FFFFFF"/>
      </w:tcPr>
    </w:tblStylePr>
    <w:tblStylePr w:type="lastRow">
      <w:tblPr/>
      <w:tcPr>
        <w:tcBorders>
          <w:top w:val="single" w:color="F79646" w:sz="8" w:space="0"/>
          <w:left w:val="nil"/>
          <w:bottom w:val="nil"/>
          <w:right w:val="nil"/>
          <w:insideH w:val="nil"/>
          <w:insideV w:val="nil"/>
        </w:tcBorders>
        <w:shd w:val="clear" w:color="auto" w:fill="FFFFFF"/>
      </w:tcPr>
    </w:tblStylePr>
    <w:tblStylePr w:type="firstCol">
      <w:tblPr/>
      <w:tcPr>
        <w:tcBorders>
          <w:top w:val="nil"/>
          <w:left w:val="nil"/>
          <w:bottom w:val="nil"/>
          <w:right w:val="single" w:color="F79646" w:sz="8" w:space="0"/>
          <w:insideH w:val="nil"/>
          <w:insideV w:val="nil"/>
        </w:tcBorders>
        <w:shd w:val="clear" w:color="auto" w:fill="FFFFFF"/>
      </w:tcPr>
    </w:tblStylePr>
    <w:tblStylePr w:type="lastCol">
      <w:tblPr/>
      <w:tcPr>
        <w:tcBorders>
          <w:top w:val="nil"/>
          <w:left w:val="nil"/>
          <w:bottom w:val="single" w:color="F79646" w:sz="8" w:space="0"/>
          <w:right w:val="nil"/>
          <w:insideH w:val="nil"/>
          <w:insideV w:val="nil"/>
        </w:tcBorders>
        <w:shd w:val="clear" w:color="auto" w:fill="FFFFFF"/>
      </w:tcPr>
    </w:tblStylePr>
    <w:tblStylePr w:type="band1Vert">
      <w:tblPr/>
      <w:tcPr>
        <w:tcBorders>
          <w:bottom w:val="nil"/>
          <w:right w:val="nil"/>
          <w:insideH w:val="nil"/>
          <w:insideV w:val="nil"/>
        </w:tcBorders>
        <w:shd w:val="clear" w:color="auto" w:fill="FDE4D0"/>
      </w:tcPr>
    </w:tblStylePr>
    <w:tblStylePr w:type="band1Horz">
      <w:tblPr/>
      <w:tcPr>
        <w:tcBorders>
          <w:top w:val="nil"/>
          <w:left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200">
    <w:name w:val="Medium Grid 1"/>
    <w:basedOn w:val="12"/>
    <w:qFormat/>
    <w:uiPriority w:val="67"/>
    <w:tblPr>
      <w:tblBorders>
        <w:top w:val="single" w:color="404040" w:sz="8" w:space="0"/>
        <w:left w:val="single" w:color="404040" w:sz="8" w:space="0"/>
        <w:bottom w:val="single" w:color="404040" w:sz="8" w:space="0"/>
        <w:right w:val="single" w:color="404040" w:sz="8" w:space="0"/>
        <w:insideH w:val="single" w:color="404040" w:sz="8" w:space="0"/>
        <w:insideV w:val="single" w:color="404040" w:sz="8" w:space="0"/>
      </w:tblBorders>
    </w:tblPr>
    <w:tcPr>
      <w:shd w:val="clear" w:color="auto" w:fill="C0C0C0"/>
    </w:tcPr>
    <w:tblStylePr w:type="firstRow">
      <w:rPr>
        <w:b/>
        <w:bCs/>
      </w:rPr>
    </w:tblStylePr>
    <w:tblStylePr w:type="lastRow">
      <w:rPr>
        <w:b/>
        <w:bCs/>
      </w:rPr>
      <w:tblPr/>
      <w:tcPr>
        <w:tcBorders>
          <w:top w:val="single" w:color="404040" w:sz="18" w:space="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201">
    <w:name w:val="Medium Grid 1 Accent 1"/>
    <w:basedOn w:val="12"/>
    <w:qFormat/>
    <w:uiPriority w:val="67"/>
    <w:tblPr>
      <w:tblBorders>
        <w:top w:val="single" w:color="7BA0CD" w:sz="8" w:space="0"/>
        <w:left w:val="single" w:color="7BA0CD" w:sz="8" w:space="0"/>
        <w:bottom w:val="single" w:color="7BA0CD" w:sz="8" w:space="0"/>
        <w:right w:val="single" w:color="7BA0CD" w:sz="8" w:space="0"/>
        <w:insideH w:val="single" w:color="7BA0CD" w:sz="8" w:space="0"/>
        <w:insideV w:val="single" w:color="7BA0CD" w:sz="8" w:space="0"/>
      </w:tblBorders>
    </w:tblPr>
    <w:tcPr>
      <w:shd w:val="clear" w:color="auto" w:fill="D3DFEE"/>
    </w:tcPr>
    <w:tblStylePr w:type="firstRow">
      <w:rPr>
        <w:b/>
        <w:bCs/>
      </w:rPr>
    </w:tblStylePr>
    <w:tblStylePr w:type="lastRow">
      <w:rPr>
        <w:b/>
        <w:bCs/>
      </w:rPr>
      <w:tblPr/>
      <w:tcPr>
        <w:tcBorders>
          <w:top w:val="single" w:color="7BA0CD" w:sz="18" w:space="0"/>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202">
    <w:name w:val="Medium Grid 1 Accent 2"/>
    <w:basedOn w:val="12"/>
    <w:qFormat/>
    <w:uiPriority w:val="67"/>
    <w:tblPr>
      <w:tblBorders>
        <w:top w:val="single" w:color="CF7B79" w:sz="8" w:space="0"/>
        <w:left w:val="single" w:color="CF7B79" w:sz="8" w:space="0"/>
        <w:bottom w:val="single" w:color="CF7B79" w:sz="8" w:space="0"/>
        <w:right w:val="single" w:color="CF7B79" w:sz="8" w:space="0"/>
        <w:insideH w:val="single" w:color="CF7B79" w:sz="8" w:space="0"/>
        <w:insideV w:val="single" w:color="CF7B79" w:sz="8" w:space="0"/>
      </w:tblBorders>
    </w:tblPr>
    <w:tcPr>
      <w:shd w:val="clear" w:color="auto" w:fill="EFD3D2"/>
    </w:tcPr>
    <w:tblStylePr w:type="firstRow">
      <w:rPr>
        <w:b/>
        <w:bCs/>
      </w:rPr>
    </w:tblStylePr>
    <w:tblStylePr w:type="lastRow">
      <w:rPr>
        <w:b/>
        <w:bCs/>
      </w:rPr>
      <w:tblPr/>
      <w:tcPr>
        <w:tcBorders>
          <w:top w:val="single" w:color="CF7B79" w:sz="18" w:space="0"/>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203">
    <w:name w:val="Medium Grid 1 Accent 3"/>
    <w:basedOn w:val="12"/>
    <w:uiPriority w:val="67"/>
    <w:tblPr>
      <w:tblBorders>
        <w:top w:val="single" w:color="B3CC82" w:sz="8" w:space="0"/>
        <w:left w:val="single" w:color="B3CC82" w:sz="8" w:space="0"/>
        <w:bottom w:val="single" w:color="B3CC82" w:sz="8" w:space="0"/>
        <w:right w:val="single" w:color="B3CC82" w:sz="8" w:space="0"/>
        <w:insideH w:val="single" w:color="B3CC82" w:sz="8" w:space="0"/>
        <w:insideV w:val="single" w:color="B3CC82" w:sz="8" w:space="0"/>
      </w:tblBorders>
    </w:tblPr>
    <w:tcPr>
      <w:shd w:val="clear" w:color="auto" w:fill="E6EED5"/>
    </w:tcPr>
    <w:tblStylePr w:type="firstRow">
      <w:rPr>
        <w:b/>
        <w:bCs/>
      </w:rPr>
    </w:tblStylePr>
    <w:tblStylePr w:type="lastRow">
      <w:rPr>
        <w:b/>
        <w:bCs/>
      </w:rPr>
      <w:tblPr/>
      <w:tcPr>
        <w:tcBorders>
          <w:top w:val="single" w:color="B3CC82" w:sz="18" w:space="0"/>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204">
    <w:name w:val="Medium Grid 1 Accent 4"/>
    <w:basedOn w:val="12"/>
    <w:qFormat/>
    <w:uiPriority w:val="67"/>
    <w:tblPr>
      <w:tblBorders>
        <w:top w:val="single" w:color="9F8AB9" w:sz="8" w:space="0"/>
        <w:left w:val="single" w:color="9F8AB9" w:sz="8" w:space="0"/>
        <w:bottom w:val="single" w:color="9F8AB9" w:sz="8" w:space="0"/>
        <w:right w:val="single" w:color="9F8AB9" w:sz="8" w:space="0"/>
        <w:insideH w:val="single" w:color="9F8AB9" w:sz="8" w:space="0"/>
        <w:insideV w:val="single" w:color="9F8AB9" w:sz="8" w:space="0"/>
      </w:tblBorders>
    </w:tblPr>
    <w:tcPr>
      <w:shd w:val="clear" w:color="auto" w:fill="DFD8E8"/>
    </w:tcPr>
    <w:tblStylePr w:type="firstRow">
      <w:rPr>
        <w:b/>
        <w:bCs/>
      </w:rPr>
    </w:tblStylePr>
    <w:tblStylePr w:type="lastRow">
      <w:rPr>
        <w:b/>
        <w:bCs/>
      </w:rPr>
      <w:tblPr/>
      <w:tcPr>
        <w:tcBorders>
          <w:top w:val="single" w:color="9F8AB9" w:sz="18" w:space="0"/>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205">
    <w:name w:val="Medium Grid 1 Accent 5"/>
    <w:basedOn w:val="12"/>
    <w:qFormat/>
    <w:uiPriority w:val="67"/>
    <w:tblPr>
      <w:tblBorders>
        <w:top w:val="single" w:color="78C0D4" w:sz="8" w:space="0"/>
        <w:left w:val="single" w:color="78C0D4" w:sz="8" w:space="0"/>
        <w:bottom w:val="single" w:color="78C0D4" w:sz="8" w:space="0"/>
        <w:right w:val="single" w:color="78C0D4" w:sz="8" w:space="0"/>
        <w:insideH w:val="single" w:color="78C0D4" w:sz="8" w:space="0"/>
        <w:insideV w:val="single" w:color="78C0D4" w:sz="8" w:space="0"/>
      </w:tblBorders>
    </w:tblPr>
    <w:tcPr>
      <w:shd w:val="clear" w:color="auto" w:fill="D2EAF1"/>
    </w:tcPr>
    <w:tblStylePr w:type="firstRow">
      <w:rPr>
        <w:b/>
        <w:bCs/>
      </w:rPr>
    </w:tblStylePr>
    <w:tblStylePr w:type="lastRow">
      <w:rPr>
        <w:b/>
        <w:bCs/>
      </w:rPr>
      <w:tblPr/>
      <w:tcPr>
        <w:tcBorders>
          <w:top w:val="single" w:color="78C0D4" w:sz="18" w:space="0"/>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206">
    <w:name w:val="Medium Grid 1 Accent 6"/>
    <w:basedOn w:val="12"/>
    <w:qFormat/>
    <w:uiPriority w:val="67"/>
    <w:tblPr>
      <w:tblBorders>
        <w:top w:val="single" w:color="F9B074" w:sz="8" w:space="0"/>
        <w:left w:val="single" w:color="F9B074" w:sz="8" w:space="0"/>
        <w:bottom w:val="single" w:color="F9B074" w:sz="8" w:space="0"/>
        <w:right w:val="single" w:color="F9B074" w:sz="8" w:space="0"/>
        <w:insideH w:val="single" w:color="F9B074" w:sz="8" w:space="0"/>
        <w:insideV w:val="single" w:color="F9B074" w:sz="8" w:space="0"/>
      </w:tblBorders>
    </w:tblPr>
    <w:tcPr>
      <w:shd w:val="clear" w:color="auto" w:fill="FDE4D0"/>
    </w:tcPr>
    <w:tblStylePr w:type="firstRow">
      <w:rPr>
        <w:b/>
        <w:bCs/>
      </w:rPr>
    </w:tblStylePr>
    <w:tblStylePr w:type="lastRow">
      <w:rPr>
        <w:b/>
        <w:bCs/>
      </w:rPr>
      <w:tblPr/>
      <w:tcPr>
        <w:tcBorders>
          <w:top w:val="single" w:color="F9B074" w:sz="18" w:space="0"/>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207">
    <w:name w:val="Medium Grid 2"/>
    <w:basedOn w:val="12"/>
    <w:qFormat/>
    <w:uiPriority w:val="68"/>
    <w:rPr>
      <w:rFonts w:ascii="SimSun" w:hAnsi="SimSun" w:eastAsia="Courier New" w:cs="Times New Roman"/>
      <w:color w:val="000000"/>
    </w:rPr>
    <w:tblP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insideV w:val="single" w:sz="6" w:space="0"/>
        </w:tcBorders>
        <w:shd w:val="clear" w:color="auto" w:fill="808080"/>
      </w:tcPr>
    </w:tblStylePr>
    <w:tblStylePr w:type="nwCell">
      <w:tblPr/>
      <w:tcPr>
        <w:shd w:val="clear" w:color="auto" w:fill="FFFFFF"/>
      </w:tcPr>
    </w:tblStylePr>
  </w:style>
  <w:style w:type="table" w:styleId="208">
    <w:name w:val="Medium Grid 2 Accent 1"/>
    <w:basedOn w:val="12"/>
    <w:qFormat/>
    <w:uiPriority w:val="68"/>
    <w:rPr>
      <w:rFonts w:ascii="SimSun" w:hAnsi="SimSun" w:eastAsia="Courier New" w:cs="Times New Roman"/>
      <w:color w:val="00000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insideV w:val="single" w:sz="6" w:space="0"/>
        </w:tcBorders>
        <w:shd w:val="clear" w:color="auto" w:fill="A7BFDE"/>
      </w:tcPr>
    </w:tblStylePr>
    <w:tblStylePr w:type="nwCell">
      <w:tblPr/>
      <w:tcPr>
        <w:shd w:val="clear" w:color="auto" w:fill="FFFFFF"/>
      </w:tcPr>
    </w:tblStylePr>
  </w:style>
  <w:style w:type="table" w:styleId="209">
    <w:name w:val="Medium Grid 2 Accent 2"/>
    <w:basedOn w:val="12"/>
    <w:qFormat/>
    <w:uiPriority w:val="68"/>
    <w:rPr>
      <w:rFonts w:ascii="SimSun" w:hAnsi="SimSun" w:eastAsia="Courier New" w:cs="Times New Roman"/>
      <w:color w:val="000000"/>
    </w:rPr>
    <w:tblPr>
      <w:tblBorders>
        <w:top w:val="single" w:color="C0504D" w:sz="8" w:space="0"/>
        <w:left w:val="single" w:color="C0504D" w:sz="8" w:space="0"/>
        <w:bottom w:val="single" w:color="C0504D" w:sz="8" w:space="0"/>
        <w:right w:val="single" w:color="C0504D" w:sz="8" w:space="0"/>
        <w:insideH w:val="single" w:color="C0504D" w:sz="8" w:space="0"/>
        <w:insideV w:val="single" w:color="C0504D" w:sz="8" w:space="0"/>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insideV w:val="single" w:sz="6" w:space="0"/>
        </w:tcBorders>
        <w:shd w:val="clear" w:color="auto" w:fill="DFA7A6"/>
      </w:tcPr>
    </w:tblStylePr>
    <w:tblStylePr w:type="nwCell">
      <w:tblPr/>
      <w:tcPr>
        <w:shd w:val="clear" w:color="auto" w:fill="FFFFFF"/>
      </w:tcPr>
    </w:tblStylePr>
  </w:style>
  <w:style w:type="table" w:styleId="210">
    <w:name w:val="Medium Grid 2 Accent 3"/>
    <w:basedOn w:val="12"/>
    <w:uiPriority w:val="68"/>
    <w:rPr>
      <w:rFonts w:ascii="SimSun" w:hAnsi="SimSun" w:eastAsia="Courier New" w:cs="Times New Roman"/>
      <w:color w:val="000000"/>
    </w:rPr>
    <w:tblPr>
      <w:tblBorders>
        <w:top w:val="single" w:color="9BBB59" w:sz="8" w:space="0"/>
        <w:left w:val="single" w:color="9BBB59" w:sz="8" w:space="0"/>
        <w:bottom w:val="single" w:color="9BBB59" w:sz="8" w:space="0"/>
        <w:right w:val="single" w:color="9BBB59" w:sz="8" w:space="0"/>
        <w:insideH w:val="single" w:color="9BBB59" w:sz="8" w:space="0"/>
        <w:insideV w:val="single" w:color="9BBB59" w:sz="8" w:space="0"/>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insideV w:val="single" w:sz="6" w:space="0"/>
        </w:tcBorders>
        <w:shd w:val="clear" w:color="auto" w:fill="CDDDAC"/>
      </w:tcPr>
    </w:tblStylePr>
    <w:tblStylePr w:type="nwCell">
      <w:tblPr/>
      <w:tcPr>
        <w:shd w:val="clear" w:color="auto" w:fill="FFFFFF"/>
      </w:tcPr>
    </w:tblStylePr>
  </w:style>
  <w:style w:type="table" w:styleId="211">
    <w:name w:val="Medium Grid 2 Accent 4"/>
    <w:basedOn w:val="12"/>
    <w:uiPriority w:val="68"/>
    <w:rPr>
      <w:rFonts w:ascii="SimSun" w:hAnsi="SimSun" w:eastAsia="Courier New" w:cs="Times New Roman"/>
      <w:color w:val="000000"/>
    </w:rPr>
    <w:tblPr>
      <w:tblBorders>
        <w:top w:val="single" w:color="8064A2" w:sz="8" w:space="0"/>
        <w:left w:val="single" w:color="8064A2" w:sz="8" w:space="0"/>
        <w:bottom w:val="single" w:color="8064A2" w:sz="8" w:space="0"/>
        <w:right w:val="single" w:color="8064A2" w:sz="8" w:space="0"/>
        <w:insideH w:val="single" w:color="8064A2" w:sz="8" w:space="0"/>
        <w:insideV w:val="single" w:color="8064A2" w:sz="8" w:space="0"/>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insideV w:val="single" w:sz="6" w:space="0"/>
        </w:tcBorders>
        <w:shd w:val="clear" w:color="auto" w:fill="BFB1D0"/>
      </w:tcPr>
    </w:tblStylePr>
    <w:tblStylePr w:type="nwCell">
      <w:tblPr/>
      <w:tcPr>
        <w:shd w:val="clear" w:color="auto" w:fill="FFFFFF"/>
      </w:tcPr>
    </w:tblStylePr>
  </w:style>
  <w:style w:type="table" w:styleId="212">
    <w:name w:val="Medium Grid 2 Accent 5"/>
    <w:basedOn w:val="12"/>
    <w:uiPriority w:val="68"/>
    <w:rPr>
      <w:rFonts w:ascii="SimSun" w:hAnsi="SimSun" w:eastAsia="Courier New" w:cs="Times New Roman"/>
      <w:color w:val="000000"/>
    </w:rPr>
    <w:tblPr>
      <w:tblBorders>
        <w:top w:val="single" w:color="4BACC6" w:sz="8" w:space="0"/>
        <w:left w:val="single" w:color="4BACC6" w:sz="8" w:space="0"/>
        <w:bottom w:val="single" w:color="4BACC6" w:sz="8" w:space="0"/>
        <w:right w:val="single" w:color="4BACC6" w:sz="8" w:space="0"/>
        <w:insideH w:val="single" w:color="4BACC6" w:sz="8" w:space="0"/>
        <w:insideV w:val="single" w:color="4BACC6" w:sz="8" w:space="0"/>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insideV w:val="single" w:sz="6" w:space="0"/>
        </w:tcBorders>
        <w:shd w:val="clear" w:color="auto" w:fill="A5D5E2"/>
      </w:tcPr>
    </w:tblStylePr>
    <w:tblStylePr w:type="nwCell">
      <w:tblPr/>
      <w:tcPr>
        <w:shd w:val="clear" w:color="auto" w:fill="FFFFFF"/>
      </w:tcPr>
    </w:tblStylePr>
  </w:style>
  <w:style w:type="table" w:styleId="213">
    <w:name w:val="Medium Grid 2 Accent 6"/>
    <w:basedOn w:val="12"/>
    <w:uiPriority w:val="68"/>
    <w:rPr>
      <w:rFonts w:ascii="SimSun" w:hAnsi="SimSun" w:eastAsia="Courier New" w:cs="Times New Roman"/>
      <w:color w:val="000000"/>
    </w:rPr>
    <w:tblPr>
      <w:tblBorders>
        <w:top w:val="single" w:color="F79646" w:sz="8" w:space="0"/>
        <w:left w:val="single" w:color="F79646" w:sz="8" w:space="0"/>
        <w:bottom w:val="single" w:color="F79646" w:sz="8" w:space="0"/>
        <w:right w:val="single" w:color="F79646" w:sz="8" w:space="0"/>
        <w:insideH w:val="single" w:color="F79646" w:sz="8" w:space="0"/>
        <w:insideV w:val="single" w:color="F79646" w:sz="8" w:space="0"/>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color="000000" w:sz="12" w:space="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insideV w:val="single" w:sz="6" w:space="0"/>
        </w:tcBorders>
        <w:shd w:val="clear" w:color="auto" w:fill="FBCAA2"/>
      </w:tcPr>
    </w:tblStylePr>
    <w:tblStylePr w:type="nwCell">
      <w:tblPr/>
      <w:tcPr>
        <w:shd w:val="clear" w:color="auto" w:fill="FFFFFF"/>
      </w:tcPr>
    </w:tblStylePr>
  </w:style>
  <w:style w:type="table" w:styleId="214">
    <w:name w:val="Medium Grid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C0C0C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000000"/>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000000"/>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000000"/>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000000"/>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80808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808080"/>
      </w:tcPr>
    </w:tblStylePr>
  </w:style>
  <w:style w:type="table" w:styleId="215">
    <w:name w:val="Medium Grid 3 Accent 1"/>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3DFEE"/>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F81B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F81B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F81B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F81B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7BFDE"/>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7BFDE"/>
      </w:tcPr>
    </w:tblStylePr>
  </w:style>
  <w:style w:type="table" w:styleId="216">
    <w:name w:val="Medium Grid 3 Accent 2"/>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FD3D2"/>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C0504D"/>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C0504D"/>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C0504D"/>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C0504D"/>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DFA7A6"/>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DFA7A6"/>
      </w:tcPr>
    </w:tblStylePr>
  </w:style>
  <w:style w:type="table" w:styleId="217">
    <w:name w:val="Medium Grid 3 Accent 3"/>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E6EED5"/>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9BBB59"/>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9BBB59"/>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9BBB59"/>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9BBB59"/>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CDDDAC"/>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CDDDAC"/>
      </w:tcPr>
    </w:tblStylePr>
  </w:style>
  <w:style w:type="table" w:styleId="218">
    <w:name w:val="Medium Grid 3 Accent 4"/>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FD8E8"/>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8064A2"/>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8064A2"/>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8064A2"/>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8064A2"/>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BFB1D0"/>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BFB1D0"/>
      </w:tcPr>
    </w:tblStylePr>
  </w:style>
  <w:style w:type="table" w:styleId="219">
    <w:name w:val="Medium Grid 3 Accent 5"/>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D2EAF1"/>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4BACC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4BACC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4BACC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4BACC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A5D5E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A5D5E2"/>
      </w:tcPr>
    </w:tblStylePr>
  </w:style>
  <w:style w:type="table" w:styleId="220">
    <w:name w:val="Medium Grid 3 Accent 6"/>
    <w:basedOn w:val="12"/>
    <w:uiPriority w:val="69"/>
    <w:tblPr>
      <w:tblBorders>
        <w:top w:val="single" w:color="FFFFFF" w:sz="8" w:space="0"/>
        <w:left w:val="single" w:color="FFFFFF" w:sz="8" w:space="0"/>
        <w:bottom w:val="single" w:color="FFFFFF" w:sz="8" w:space="0"/>
        <w:right w:val="single" w:color="FFFFFF" w:sz="8" w:space="0"/>
        <w:insideH w:val="single" w:color="FFFFFF" w:sz="6" w:space="0"/>
        <w:insideV w:val="single" w:color="FFFFFF" w:sz="6" w:space="0"/>
      </w:tblBorders>
    </w:tblPr>
    <w:tcPr>
      <w:shd w:val="clear" w:color="auto" w:fill="FDE4D0"/>
    </w:tcPr>
    <w:tblStylePr w:type="firstRow">
      <w:rPr>
        <w:b/>
        <w:bCs/>
        <w:i w:val="0"/>
        <w:iCs w:val="0"/>
        <w:color w:val="FFFFFF"/>
      </w:rPr>
      <w:tblPr/>
      <w:tcPr>
        <w:tcBorders>
          <w:top w:val="single" w:color="FFFFFF" w:sz="8" w:space="0"/>
          <w:left w:val="single" w:color="FFFFFF" w:sz="24" w:space="0"/>
          <w:bottom w:val="single" w:color="FFFFFF" w:sz="8" w:space="0"/>
          <w:right w:val="single" w:color="FFFFFF" w:sz="8" w:space="0"/>
          <w:insideH w:val="nil"/>
          <w:insideV w:val="single" w:sz="8" w:space="0"/>
        </w:tcBorders>
        <w:shd w:val="clear" w:color="auto" w:fill="F79646"/>
      </w:tcPr>
    </w:tblStylePr>
    <w:tblStylePr w:type="lastRow">
      <w:rPr>
        <w:b/>
        <w:bCs/>
        <w:i w:val="0"/>
        <w:iCs w:val="0"/>
        <w:color w:val="FFFFFF"/>
      </w:rPr>
      <w:tblPr/>
      <w:tcPr>
        <w:tcBorders>
          <w:top w:val="single" w:color="FFFFFF" w:sz="24" w:space="0"/>
          <w:left w:val="single" w:color="FFFFFF" w:sz="8" w:space="0"/>
          <w:bottom w:val="single" w:color="FFFFFF" w:sz="8" w:space="0"/>
          <w:right w:val="single" w:color="FFFFFF" w:sz="8" w:space="0"/>
          <w:insideH w:val="nil"/>
          <w:insideV w:val="single" w:sz="8" w:space="0"/>
        </w:tcBorders>
        <w:shd w:val="clear" w:color="auto" w:fill="F79646"/>
      </w:tcPr>
    </w:tblStylePr>
    <w:tblStylePr w:type="firstCol">
      <w:rPr>
        <w:b/>
        <w:bCs/>
        <w:i w:val="0"/>
        <w:iCs w:val="0"/>
        <w:color w:val="FFFFFF"/>
      </w:rPr>
      <w:tblPr/>
      <w:tcPr>
        <w:tcBorders>
          <w:bottom w:val="single" w:color="FFFFFF" w:sz="8" w:space="0"/>
          <w:right w:val="single" w:color="FFFFFF" w:sz="24" w:space="0"/>
          <w:insideH w:val="nil"/>
          <w:insideV w:val="nil"/>
        </w:tcBorders>
        <w:shd w:val="clear" w:color="auto" w:fill="F79646"/>
      </w:tcPr>
    </w:tblStylePr>
    <w:tblStylePr w:type="lastCol">
      <w:rPr>
        <w:b/>
        <w:bCs/>
        <w:i w:val="0"/>
        <w:iCs w:val="0"/>
        <w:color w:val="FFFFFF"/>
      </w:rPr>
      <w:tblPr/>
      <w:tcPr>
        <w:tcBorders>
          <w:top w:val="nil"/>
          <w:left w:val="nil"/>
          <w:bottom w:val="single" w:color="FFFFFF" w:sz="24" w:space="0"/>
          <w:right w:val="nil"/>
          <w:insideH w:val="nil"/>
          <w:insideV w:val="nil"/>
        </w:tcBorders>
        <w:shd w:val="clear" w:color="auto" w:fill="F79646"/>
      </w:tcPr>
    </w:tblStylePr>
    <w:tblStylePr w:type="band1Vert">
      <w:tblPr/>
      <w:tcPr>
        <w:tcBorders>
          <w:top w:val="single" w:color="FFFFFF" w:sz="8" w:space="0"/>
          <w:left w:val="single" w:color="FFFFFF" w:sz="8" w:space="0"/>
          <w:bottom w:val="single" w:color="FFFFFF" w:sz="8" w:space="0"/>
          <w:right w:val="single" w:color="FFFFFF" w:sz="8" w:space="0"/>
          <w:insideH w:val="nil"/>
          <w:insideV w:val="nil"/>
        </w:tcBorders>
        <w:shd w:val="clear" w:color="auto" w:fill="FBCAA2"/>
      </w:tcPr>
    </w:tblStylePr>
    <w:tblStylePr w:type="band1Horz">
      <w:tblPr/>
      <w:tcPr>
        <w:tcBorders>
          <w:top w:val="single" w:color="FFFFFF" w:sz="8" w:space="0"/>
          <w:left w:val="single" w:color="FFFFFF" w:sz="8" w:space="0"/>
          <w:bottom w:val="single" w:color="FFFFFF" w:sz="8" w:space="0"/>
          <w:right w:val="single" w:color="FFFFFF" w:sz="8" w:space="0"/>
          <w:insideH w:val="single" w:sz="8" w:space="0"/>
          <w:insideV w:val="single" w:sz="8" w:space="0"/>
        </w:tcBorders>
        <w:shd w:val="clear" w:color="auto" w:fill="FBCAA2"/>
      </w:tcPr>
    </w:tblStylePr>
  </w:style>
  <w:style w:type="table" w:styleId="221">
    <w:name w:val="Dark List"/>
    <w:basedOn w:val="12"/>
    <w:uiPriority w:val="70"/>
    <w:rPr>
      <w:color w:val="FFFFFF"/>
    </w:rPr>
    <w:tblPr>
      <w:tblStyleRowBandSize w:val="1"/>
      <w:tblStyleColBandSize w:val="1"/>
    </w:tblPr>
    <w:tcPr>
      <w:shd w:val="clear" w:color="auto" w:fill="000000"/>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000000"/>
      </w:tcPr>
    </w:tblStylePr>
    <w:tblStylePr w:type="firstCol">
      <w:tblPr/>
      <w:tcPr>
        <w:tcBorders>
          <w:top w:val="nil"/>
          <w:left w:val="nil"/>
          <w:bottom w:val="nil"/>
          <w:right w:val="single" w:color="FFFFFF" w:sz="18" w:space="0"/>
          <w:insideH w:val="nil"/>
          <w:insideV w:val="nil"/>
        </w:tcBorders>
        <w:shd w:val="clear" w:color="auto" w:fill="000000"/>
      </w:tcPr>
    </w:tblStylePr>
    <w:tblStylePr w:type="lastCol">
      <w:tblPr/>
      <w:tcPr>
        <w:tcBorders>
          <w:top w:val="nil"/>
          <w:left w:val="nil"/>
          <w:bottom w:val="single" w:color="FFFFFF" w:sz="18" w:space="0"/>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222">
    <w:name w:val="Dark List Accent 1"/>
    <w:basedOn w:val="12"/>
    <w:uiPriority w:val="70"/>
    <w:rPr>
      <w:color w:val="FFFFFF"/>
    </w:rPr>
    <w:tblPr>
      <w:tblStyleRowBandSize w:val="1"/>
      <w:tblStyleColBandSize w:val="1"/>
    </w:tblPr>
    <w:tcPr>
      <w:shd w:val="clear" w:color="auto" w:fill="4F81B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43F60"/>
      </w:tcPr>
    </w:tblStylePr>
    <w:tblStylePr w:type="firstCol">
      <w:tblPr/>
      <w:tcPr>
        <w:tcBorders>
          <w:top w:val="nil"/>
          <w:left w:val="nil"/>
          <w:bottom w:val="nil"/>
          <w:right w:val="single" w:color="FFFFFF" w:sz="18" w:space="0"/>
          <w:insideH w:val="nil"/>
          <w:insideV w:val="nil"/>
        </w:tcBorders>
        <w:shd w:val="clear" w:color="auto" w:fill="365F91"/>
      </w:tcPr>
    </w:tblStylePr>
    <w:tblStylePr w:type="lastCol">
      <w:tblPr/>
      <w:tcPr>
        <w:tcBorders>
          <w:top w:val="nil"/>
          <w:left w:val="nil"/>
          <w:bottom w:val="single" w:color="FFFFFF" w:sz="18" w:space="0"/>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223">
    <w:name w:val="Dark List Accent 2"/>
    <w:basedOn w:val="12"/>
    <w:uiPriority w:val="70"/>
    <w:rPr>
      <w:color w:val="FFFFFF"/>
    </w:rPr>
    <w:tblPr>
      <w:tblStyleRowBandSize w:val="1"/>
      <w:tblStyleColBandSize w:val="1"/>
    </w:tblPr>
    <w:tcPr>
      <w:shd w:val="clear" w:color="auto" w:fill="C0504D"/>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622423"/>
      </w:tcPr>
    </w:tblStylePr>
    <w:tblStylePr w:type="firstCol">
      <w:tblPr/>
      <w:tcPr>
        <w:tcBorders>
          <w:top w:val="nil"/>
          <w:left w:val="nil"/>
          <w:bottom w:val="nil"/>
          <w:right w:val="single" w:color="FFFFFF" w:sz="18" w:space="0"/>
          <w:insideH w:val="nil"/>
          <w:insideV w:val="nil"/>
        </w:tcBorders>
        <w:shd w:val="clear" w:color="auto" w:fill="943634"/>
      </w:tcPr>
    </w:tblStylePr>
    <w:tblStylePr w:type="lastCol">
      <w:tblPr/>
      <w:tcPr>
        <w:tcBorders>
          <w:top w:val="nil"/>
          <w:left w:val="nil"/>
          <w:bottom w:val="single" w:color="FFFFFF" w:sz="18" w:space="0"/>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224">
    <w:name w:val="Dark List Accent 3"/>
    <w:basedOn w:val="12"/>
    <w:uiPriority w:val="70"/>
    <w:rPr>
      <w:color w:val="FFFFFF"/>
    </w:rPr>
    <w:tblPr>
      <w:tblStyleRowBandSize w:val="1"/>
      <w:tblStyleColBandSize w:val="1"/>
    </w:tblPr>
    <w:tcPr>
      <w:shd w:val="clear" w:color="auto" w:fill="9BBB59"/>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4E6128"/>
      </w:tcPr>
    </w:tblStylePr>
    <w:tblStylePr w:type="firstCol">
      <w:tblPr/>
      <w:tcPr>
        <w:tcBorders>
          <w:top w:val="nil"/>
          <w:left w:val="nil"/>
          <w:bottom w:val="nil"/>
          <w:right w:val="single" w:color="FFFFFF" w:sz="18" w:space="0"/>
          <w:insideH w:val="nil"/>
          <w:insideV w:val="nil"/>
        </w:tcBorders>
        <w:shd w:val="clear" w:color="auto" w:fill="76923C"/>
      </w:tcPr>
    </w:tblStylePr>
    <w:tblStylePr w:type="lastCol">
      <w:tblPr/>
      <w:tcPr>
        <w:tcBorders>
          <w:top w:val="nil"/>
          <w:left w:val="nil"/>
          <w:bottom w:val="single" w:color="FFFFFF" w:sz="18" w:space="0"/>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225">
    <w:name w:val="Dark List Accent 4"/>
    <w:basedOn w:val="12"/>
    <w:uiPriority w:val="70"/>
    <w:rPr>
      <w:color w:val="FFFFFF"/>
    </w:rPr>
    <w:tblPr>
      <w:tblStyleRowBandSize w:val="1"/>
      <w:tblStyleColBandSize w:val="1"/>
    </w:tblPr>
    <w:tcPr>
      <w:shd w:val="clear" w:color="auto" w:fill="8064A2"/>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3F3151"/>
      </w:tcPr>
    </w:tblStylePr>
    <w:tblStylePr w:type="firstCol">
      <w:tblPr/>
      <w:tcPr>
        <w:tcBorders>
          <w:top w:val="nil"/>
          <w:left w:val="nil"/>
          <w:bottom w:val="nil"/>
          <w:right w:val="single" w:color="FFFFFF" w:sz="18" w:space="0"/>
          <w:insideH w:val="nil"/>
          <w:insideV w:val="nil"/>
        </w:tcBorders>
        <w:shd w:val="clear" w:color="auto" w:fill="5F497A"/>
      </w:tcPr>
    </w:tblStylePr>
    <w:tblStylePr w:type="lastCol">
      <w:tblPr/>
      <w:tcPr>
        <w:tcBorders>
          <w:top w:val="nil"/>
          <w:left w:val="nil"/>
          <w:bottom w:val="single" w:color="FFFFFF" w:sz="18" w:space="0"/>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226">
    <w:name w:val="Dark List Accent 5"/>
    <w:basedOn w:val="12"/>
    <w:uiPriority w:val="70"/>
    <w:rPr>
      <w:color w:val="FFFFFF"/>
    </w:rPr>
    <w:tblPr>
      <w:tblStyleRowBandSize w:val="1"/>
      <w:tblStyleColBandSize w:val="1"/>
    </w:tblPr>
    <w:tcPr>
      <w:shd w:val="clear" w:color="auto" w:fill="4BACC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205867"/>
      </w:tcPr>
    </w:tblStylePr>
    <w:tblStylePr w:type="firstCol">
      <w:tblPr/>
      <w:tcPr>
        <w:tcBorders>
          <w:top w:val="nil"/>
          <w:left w:val="nil"/>
          <w:bottom w:val="nil"/>
          <w:right w:val="single" w:color="FFFFFF" w:sz="18" w:space="0"/>
          <w:insideH w:val="nil"/>
          <w:insideV w:val="nil"/>
        </w:tcBorders>
        <w:shd w:val="clear" w:color="auto" w:fill="31849B"/>
      </w:tcPr>
    </w:tblStylePr>
    <w:tblStylePr w:type="lastCol">
      <w:tblPr/>
      <w:tcPr>
        <w:tcBorders>
          <w:top w:val="nil"/>
          <w:left w:val="nil"/>
          <w:bottom w:val="single" w:color="FFFFFF" w:sz="18" w:space="0"/>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227">
    <w:name w:val="Dark List Accent 6"/>
    <w:basedOn w:val="12"/>
    <w:uiPriority w:val="70"/>
    <w:rPr>
      <w:color w:val="FFFFFF"/>
    </w:rPr>
    <w:tblPr>
      <w:tblStyleRowBandSize w:val="1"/>
      <w:tblStyleColBandSize w:val="1"/>
    </w:tblPr>
    <w:tcPr>
      <w:shd w:val="clear" w:color="auto" w:fill="F79646"/>
    </w:tcPr>
    <w:tblStylePr w:type="firstRow">
      <w:rPr>
        <w:b/>
        <w:bCs/>
      </w:rPr>
      <w:tblPr/>
      <w:tcPr>
        <w:tcBorders>
          <w:top w:val="nil"/>
          <w:left w:val="single" w:color="FFFFFF" w:sz="18" w:space="0"/>
          <w:bottom w:val="nil"/>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nil"/>
          <w:bottom w:val="single" w:color="FFFFFF" w:sz="18" w:space="0"/>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228">
    <w:name w:val="Colorful Shading"/>
    <w:basedOn w:val="12"/>
    <w:uiPriority w:val="71"/>
    <w:rPr>
      <w:color w:val="000000"/>
    </w:rPr>
    <w:tblPr>
      <w:tblBorders>
        <w:top w:val="single" w:color="C0504D" w:sz="24" w:space="0"/>
        <w:left w:val="single" w:color="000000" w:sz="4" w:space="0"/>
        <w:bottom w:val="single" w:color="000000" w:sz="4" w:space="0"/>
        <w:right w:val="single" w:color="000000" w:sz="4" w:space="0"/>
        <w:insideH w:val="single" w:color="FFFFFF" w:sz="4" w:space="0"/>
        <w:insideV w:val="single" w:color="FFFFFF" w:sz="4" w:space="0"/>
      </w:tblBorders>
    </w:tblPr>
    <w:tcPr>
      <w:shd w:val="clear" w:color="auto" w:fill="E6E6E6"/>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000000"/>
      </w:tcPr>
    </w:tblStylePr>
    <w:tblStylePr w:type="firstCol">
      <w:rPr>
        <w:color w:val="FFFFFF"/>
      </w:rPr>
      <w:tblPr/>
      <w:tcPr>
        <w:tcBorders>
          <w:top w:val="nil"/>
          <w:left w:val="nil"/>
          <w:bottom w:val="nil"/>
          <w:right w:val="nil"/>
          <w:insideH w:val="single" w:sz="4" w:space="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229">
    <w:name w:val="Colorful Shading Accent 1"/>
    <w:basedOn w:val="12"/>
    <w:uiPriority w:val="71"/>
    <w:rPr>
      <w:color w:val="000000"/>
    </w:rPr>
    <w:tblPr>
      <w:tblBorders>
        <w:top w:val="single" w:color="C0504D" w:sz="24" w:space="0"/>
        <w:left w:val="single" w:color="4F81BD" w:sz="4" w:space="0"/>
        <w:bottom w:val="single" w:color="4F81BD" w:sz="4" w:space="0"/>
        <w:right w:val="single" w:color="4F81BD" w:sz="4" w:space="0"/>
        <w:insideH w:val="single" w:color="FFFFFF" w:sz="4" w:space="0"/>
        <w:insideV w:val="single" w:color="FFFFFF" w:sz="4" w:space="0"/>
      </w:tblBorders>
    </w:tblPr>
    <w:tcPr>
      <w:shd w:val="clear" w:color="auto" w:fill="EDF2F8"/>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C4C74"/>
      </w:tcPr>
    </w:tblStylePr>
    <w:tblStylePr w:type="firstCol">
      <w:rPr>
        <w:color w:val="FFFFFF"/>
      </w:rPr>
      <w:tblPr/>
      <w:tcPr>
        <w:tcBorders>
          <w:top w:val="nil"/>
          <w:left w:val="nil"/>
          <w:bottom w:val="nil"/>
          <w:right w:val="nil"/>
          <w:insideH w:val="single" w:sz="4" w:space="0"/>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230">
    <w:name w:val="Colorful Shading Accent 2"/>
    <w:basedOn w:val="12"/>
    <w:uiPriority w:val="71"/>
    <w:rPr>
      <w:color w:val="000000"/>
    </w:rPr>
    <w:tblPr>
      <w:tblBorders>
        <w:top w:val="single" w:color="C0504D" w:sz="24" w:space="0"/>
        <w:left w:val="single" w:color="C0504D" w:sz="4" w:space="0"/>
        <w:bottom w:val="single" w:color="C0504D" w:sz="4" w:space="0"/>
        <w:right w:val="single" w:color="C0504D" w:sz="4" w:space="0"/>
        <w:insideH w:val="single" w:color="FFFFFF" w:sz="4" w:space="0"/>
        <w:insideV w:val="single" w:color="FFFFFF" w:sz="4" w:space="0"/>
      </w:tblBorders>
    </w:tblPr>
    <w:tcPr>
      <w:shd w:val="clear" w:color="auto" w:fill="F8EDED"/>
    </w:tcPr>
    <w:tblStylePr w:type="firstRow">
      <w:rPr>
        <w:b/>
        <w:bCs/>
      </w:rPr>
      <w:tblPr/>
      <w:tcPr>
        <w:tcBorders>
          <w:top w:val="nil"/>
          <w:left w:val="single" w:color="C0504D"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772C2A"/>
      </w:tcPr>
    </w:tblStylePr>
    <w:tblStylePr w:type="firstCol">
      <w:rPr>
        <w:color w:val="FFFFFF"/>
      </w:rPr>
      <w:tblPr/>
      <w:tcPr>
        <w:tcBorders>
          <w:top w:val="nil"/>
          <w:left w:val="nil"/>
          <w:bottom w:val="nil"/>
          <w:right w:val="nil"/>
          <w:insideH w:val="single" w:sz="4" w:space="0"/>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231">
    <w:name w:val="Colorful Shading Accent 3"/>
    <w:basedOn w:val="12"/>
    <w:uiPriority w:val="71"/>
    <w:rPr>
      <w:color w:val="000000"/>
    </w:rPr>
    <w:tblPr>
      <w:tblBorders>
        <w:top w:val="single" w:color="8064A2" w:sz="24" w:space="0"/>
        <w:left w:val="single" w:color="9BBB59" w:sz="4" w:space="0"/>
        <w:bottom w:val="single" w:color="9BBB59" w:sz="4" w:space="0"/>
        <w:right w:val="single" w:color="9BBB59" w:sz="4" w:space="0"/>
        <w:insideH w:val="single" w:color="FFFFFF" w:sz="4" w:space="0"/>
        <w:insideV w:val="single" w:color="FFFFFF" w:sz="4" w:space="0"/>
      </w:tblBorders>
    </w:tblPr>
    <w:tcPr>
      <w:shd w:val="clear" w:color="auto" w:fill="F5F8EE"/>
    </w:tcPr>
    <w:tblStylePr w:type="firstRow">
      <w:rPr>
        <w:b/>
        <w:bCs/>
      </w:rPr>
      <w:tblPr/>
      <w:tcPr>
        <w:tcBorders>
          <w:top w:val="nil"/>
          <w:left w:val="single" w:color="8064A2"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5E7530"/>
      </w:tcPr>
    </w:tblStylePr>
    <w:tblStylePr w:type="firstCol">
      <w:rPr>
        <w:color w:val="FFFFFF"/>
      </w:rPr>
      <w:tblPr/>
      <w:tcPr>
        <w:tcBorders>
          <w:top w:val="nil"/>
          <w:left w:val="nil"/>
          <w:bottom w:val="nil"/>
          <w:right w:val="nil"/>
          <w:insideH w:val="single" w:sz="4" w:space="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232">
    <w:name w:val="Colorful Shading Accent 4"/>
    <w:basedOn w:val="12"/>
    <w:uiPriority w:val="71"/>
    <w:rPr>
      <w:color w:val="000000"/>
    </w:rPr>
    <w:tblPr>
      <w:tblBorders>
        <w:top w:val="single" w:color="9BBB59" w:sz="24" w:space="0"/>
        <w:left w:val="single" w:color="8064A2" w:sz="4" w:space="0"/>
        <w:bottom w:val="single" w:color="8064A2" w:sz="4" w:space="0"/>
        <w:right w:val="single" w:color="8064A2" w:sz="4" w:space="0"/>
        <w:insideH w:val="single" w:color="FFFFFF" w:sz="4" w:space="0"/>
        <w:insideV w:val="single" w:color="FFFFFF" w:sz="4" w:space="0"/>
      </w:tblBorders>
    </w:tblPr>
    <w:tcPr>
      <w:shd w:val="clear" w:color="auto" w:fill="F2EFF6"/>
    </w:tcPr>
    <w:tblStylePr w:type="firstRow">
      <w:rPr>
        <w:b/>
        <w:bCs/>
      </w:rPr>
      <w:tblPr/>
      <w:tcPr>
        <w:tcBorders>
          <w:top w:val="nil"/>
          <w:left w:val="single" w:color="9BBB59"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4C3B62"/>
      </w:tcPr>
    </w:tblStylePr>
    <w:tblStylePr w:type="firstCol">
      <w:rPr>
        <w:color w:val="FFFFFF"/>
      </w:rPr>
      <w:tblPr/>
      <w:tcPr>
        <w:tcBorders>
          <w:top w:val="nil"/>
          <w:left w:val="nil"/>
          <w:bottom w:val="nil"/>
          <w:right w:val="nil"/>
          <w:insideH w:val="single" w:sz="4" w:space="0"/>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233">
    <w:name w:val="Colorful Shading Accent 5"/>
    <w:basedOn w:val="12"/>
    <w:uiPriority w:val="71"/>
    <w:rPr>
      <w:color w:val="000000"/>
    </w:rPr>
    <w:tblPr>
      <w:tblBorders>
        <w:top w:val="single" w:color="F79646" w:sz="24" w:space="0"/>
        <w:left w:val="single" w:color="4BACC6" w:sz="4" w:space="0"/>
        <w:bottom w:val="single" w:color="4BACC6" w:sz="4" w:space="0"/>
        <w:right w:val="single" w:color="4BACC6" w:sz="4" w:space="0"/>
        <w:insideH w:val="single" w:color="FFFFFF" w:sz="4" w:space="0"/>
        <w:insideV w:val="single" w:color="FFFFFF" w:sz="4" w:space="0"/>
      </w:tblBorders>
    </w:tblPr>
    <w:tcPr>
      <w:shd w:val="clear" w:color="auto" w:fill="EDF6F9"/>
    </w:tcPr>
    <w:tblStylePr w:type="firstRow">
      <w:rPr>
        <w:b/>
        <w:bCs/>
      </w:rPr>
      <w:tblPr/>
      <w:tcPr>
        <w:tcBorders>
          <w:top w:val="nil"/>
          <w:left w:val="single" w:color="F7964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276A7C"/>
      </w:tcPr>
    </w:tblStylePr>
    <w:tblStylePr w:type="firstCol">
      <w:rPr>
        <w:color w:val="FFFFFF"/>
      </w:rPr>
      <w:tblPr/>
      <w:tcPr>
        <w:tcBorders>
          <w:top w:val="nil"/>
          <w:left w:val="nil"/>
          <w:bottom w:val="nil"/>
          <w:right w:val="nil"/>
          <w:insideH w:val="single" w:sz="4" w:space="0"/>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234">
    <w:name w:val="Colorful Shading Accent 6"/>
    <w:basedOn w:val="12"/>
    <w:uiPriority w:val="71"/>
    <w:rPr>
      <w:color w:val="000000"/>
    </w:rPr>
    <w:tblPr>
      <w:tblBorders>
        <w:top w:val="single" w:color="4BACC6" w:sz="24" w:space="0"/>
        <w:left w:val="single" w:color="F79646" w:sz="4" w:space="0"/>
        <w:bottom w:val="single" w:color="F79646" w:sz="4" w:space="0"/>
        <w:right w:val="single" w:color="F79646" w:sz="4" w:space="0"/>
        <w:insideH w:val="single" w:color="FFFFFF" w:sz="4" w:space="0"/>
        <w:insideV w:val="single" w:color="FFFFFF" w:sz="4" w:space="0"/>
      </w:tblBorders>
    </w:tblPr>
    <w:tcPr>
      <w:shd w:val="clear" w:color="auto" w:fill="FEF4EC"/>
    </w:tcPr>
    <w:tblStylePr w:type="firstRow">
      <w:rPr>
        <w:b/>
        <w:bCs/>
      </w:rPr>
      <w:tblPr/>
      <w:tcPr>
        <w:tcBorders>
          <w:top w:val="nil"/>
          <w:left w:val="single" w:color="4BACC6" w:sz="24" w:space="0"/>
          <w:bottom w:val="nil"/>
          <w:right w:val="nil"/>
          <w:insideH w:val="nil"/>
          <w:insideV w:val="nil"/>
        </w:tcBorders>
        <w:shd w:val="clear" w:color="auto" w:fill="FFFFFF"/>
      </w:tcPr>
    </w:tblStylePr>
    <w:tblStylePr w:type="lastRow">
      <w:rPr>
        <w:b/>
        <w:bCs/>
        <w:color w:val="FFFFFF"/>
      </w:rPr>
      <w:tblPr/>
      <w:tcPr>
        <w:tcBorders>
          <w:top w:val="single" w:color="FFFFFF" w:sz="6" w:space="0"/>
        </w:tcBorders>
        <w:shd w:val="clear" w:color="auto" w:fill="B65608"/>
      </w:tcPr>
    </w:tblStylePr>
    <w:tblStylePr w:type="firstCol">
      <w:rPr>
        <w:color w:val="FFFFFF"/>
      </w:rPr>
      <w:tblPr/>
      <w:tcPr>
        <w:tcBorders>
          <w:top w:val="nil"/>
          <w:left w:val="nil"/>
          <w:bottom w:val="nil"/>
          <w:right w:val="nil"/>
          <w:insideH w:val="single" w:sz="4" w:space="0"/>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235">
    <w:name w:val="Colorful List"/>
    <w:basedOn w:val="12"/>
    <w:uiPriority w:val="72"/>
    <w:rPr>
      <w:color w:val="000000"/>
    </w:rPr>
    <w:tblPr>
      <w:tblStyleRowBandSize w:val="1"/>
      <w:tblStyleColBandSize w:val="1"/>
    </w:tblPr>
    <w:tcPr>
      <w:shd w:val="clear" w:color="auto" w:fill="E6E6E6"/>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236">
    <w:name w:val="Colorful List Accent 1"/>
    <w:basedOn w:val="12"/>
    <w:uiPriority w:val="72"/>
    <w:rPr>
      <w:color w:val="000000"/>
    </w:rPr>
    <w:tblPr>
      <w:tblStyleRowBandSize w:val="1"/>
      <w:tblStyleColBandSize w:val="1"/>
    </w:tblPr>
    <w:tcPr>
      <w:shd w:val="clear" w:color="auto" w:fill="EDF2F8"/>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237">
    <w:name w:val="Colorful List Accent 2"/>
    <w:basedOn w:val="12"/>
    <w:uiPriority w:val="72"/>
    <w:rPr>
      <w:color w:val="000000"/>
    </w:rPr>
    <w:tblPr>
      <w:tblStyleRowBandSize w:val="1"/>
      <w:tblStyleColBandSize w:val="1"/>
    </w:tblPr>
    <w:tcPr>
      <w:shd w:val="clear" w:color="auto" w:fill="F8EDED"/>
    </w:tcPr>
    <w:tblStylePr w:type="firstRow">
      <w:rPr>
        <w:b/>
        <w:bCs/>
        <w:color w:val="FFFFFF"/>
      </w:rPr>
      <w:tblPr/>
      <w:tcPr>
        <w:tcBorders>
          <w:left w:val="single" w:color="FFFFFF" w:sz="12" w:space="0"/>
        </w:tcBorders>
        <w:shd w:val="clear" w:color="auto" w:fill="9E3A38"/>
      </w:tcPr>
    </w:tblStylePr>
    <w:tblStylePr w:type="lastRow">
      <w:rPr>
        <w:b/>
        <w:bCs/>
        <w:color w:val="9E3A38"/>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238">
    <w:name w:val="Colorful List Accent 3"/>
    <w:basedOn w:val="12"/>
    <w:uiPriority w:val="72"/>
    <w:rPr>
      <w:color w:val="000000"/>
    </w:rPr>
    <w:tblPr>
      <w:tblStyleRowBandSize w:val="1"/>
      <w:tblStyleColBandSize w:val="1"/>
    </w:tblPr>
    <w:tcPr>
      <w:shd w:val="clear" w:color="auto" w:fill="F5F8EE"/>
    </w:tcPr>
    <w:tblStylePr w:type="firstRow">
      <w:rPr>
        <w:b/>
        <w:bCs/>
        <w:color w:val="FFFFFF"/>
      </w:rPr>
      <w:tblPr/>
      <w:tcPr>
        <w:tcBorders>
          <w:left w:val="single" w:color="FFFFFF" w:sz="12" w:space="0"/>
        </w:tcBorders>
        <w:shd w:val="clear" w:color="auto" w:fill="664E82"/>
      </w:tcPr>
    </w:tblStylePr>
    <w:tblStylePr w:type="lastRow">
      <w:rPr>
        <w:b/>
        <w:bCs/>
        <w:color w:val="664E82"/>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239">
    <w:name w:val="Colorful List Accent 4"/>
    <w:basedOn w:val="12"/>
    <w:uiPriority w:val="72"/>
    <w:rPr>
      <w:color w:val="000000"/>
    </w:rPr>
    <w:tblPr>
      <w:tblStyleRowBandSize w:val="1"/>
      <w:tblStyleColBandSize w:val="1"/>
    </w:tblPr>
    <w:tcPr>
      <w:shd w:val="clear" w:color="auto" w:fill="F2EFF6"/>
    </w:tcPr>
    <w:tblStylePr w:type="firstRow">
      <w:rPr>
        <w:b/>
        <w:bCs/>
        <w:color w:val="FFFFFF"/>
      </w:rPr>
      <w:tblPr/>
      <w:tcPr>
        <w:tcBorders>
          <w:left w:val="single" w:color="FFFFFF" w:sz="12" w:space="0"/>
        </w:tcBorders>
        <w:shd w:val="clear" w:color="auto" w:fill="7E9C40"/>
      </w:tcPr>
    </w:tblStylePr>
    <w:tblStylePr w:type="lastRow">
      <w:rPr>
        <w:b/>
        <w:bCs/>
        <w:color w:val="7E9C40"/>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240">
    <w:name w:val="Colorful List Accent 5"/>
    <w:basedOn w:val="12"/>
    <w:uiPriority w:val="72"/>
    <w:rPr>
      <w:color w:val="000000"/>
    </w:rPr>
    <w:tblPr>
      <w:tblStyleRowBandSize w:val="1"/>
      <w:tblStyleColBandSize w:val="1"/>
    </w:tblPr>
    <w:tcPr>
      <w:shd w:val="clear" w:color="auto" w:fill="EDF6F9"/>
    </w:tcPr>
    <w:tblStylePr w:type="firstRow">
      <w:rPr>
        <w:b/>
        <w:bCs/>
        <w:color w:val="FFFFFF"/>
      </w:rPr>
      <w:tblPr/>
      <w:tcPr>
        <w:tcBorders>
          <w:left w:val="single" w:color="FFFFFF" w:sz="12" w:space="0"/>
        </w:tcBorders>
        <w:shd w:val="clear" w:color="auto" w:fill="F2730A"/>
      </w:tcPr>
    </w:tblStylePr>
    <w:tblStylePr w:type="lastRow">
      <w:rPr>
        <w:b/>
        <w:bCs/>
        <w:color w:val="F2730A"/>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241">
    <w:name w:val="Colorful List Accent 6"/>
    <w:basedOn w:val="12"/>
    <w:uiPriority w:val="72"/>
    <w:rPr>
      <w:color w:val="000000"/>
    </w:rPr>
    <w:tblPr>
      <w:tblStyleRowBandSize w:val="1"/>
      <w:tblStyleColBandSize w:val="1"/>
    </w:tblPr>
    <w:tcPr>
      <w:shd w:val="clear" w:color="auto" w:fill="FEF4EC"/>
    </w:tcPr>
    <w:tblStylePr w:type="firstRow">
      <w:rPr>
        <w:b/>
        <w:bCs/>
        <w:color w:val="FFFFFF"/>
      </w:rPr>
      <w:tblPr/>
      <w:tcPr>
        <w:tcBorders>
          <w:left w:val="single" w:color="FFFFFF" w:sz="12" w:space="0"/>
        </w:tcBorders>
        <w:shd w:val="clear" w:color="auto" w:fill="348DA5"/>
      </w:tcPr>
    </w:tblStylePr>
    <w:tblStylePr w:type="lastRow">
      <w:rPr>
        <w:b/>
        <w:bCs/>
        <w:color w:val="348DA5"/>
      </w:rPr>
      <w:tblPr/>
      <w:tcPr>
        <w:tcBorders>
          <w:top w:val="single" w:color="000000" w:sz="12" w:space="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242">
    <w:name w:val="Colorful Grid"/>
    <w:basedOn w:val="12"/>
    <w:uiPriority w:val="73"/>
    <w:rPr>
      <w:color w:val="000000"/>
    </w:rPr>
    <w:tblPr>
      <w:tblBorders>
        <w:insideH w:val="single" w:color="FFFFFF" w:sz="4" w:space="0"/>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243">
    <w:name w:val="Colorful Grid Accent 1"/>
    <w:basedOn w:val="12"/>
    <w:uiPriority w:val="73"/>
    <w:rPr>
      <w:color w:val="000000"/>
    </w:rPr>
    <w:tblPr>
      <w:tblBorders>
        <w:insideH w:val="single" w:color="FFFFFF" w:sz="4" w:space="0"/>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244">
    <w:name w:val="Colorful Grid Accent 2"/>
    <w:basedOn w:val="12"/>
    <w:uiPriority w:val="73"/>
    <w:rPr>
      <w:color w:val="000000"/>
    </w:rPr>
    <w:tblPr>
      <w:tblBorders>
        <w:insideH w:val="single" w:color="FFFFFF" w:sz="4" w:space="0"/>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245">
    <w:name w:val="Colorful Grid Accent 3"/>
    <w:basedOn w:val="12"/>
    <w:uiPriority w:val="73"/>
    <w:rPr>
      <w:color w:val="000000"/>
    </w:rPr>
    <w:tblPr>
      <w:tblBorders>
        <w:insideH w:val="single" w:color="FFFFFF" w:sz="4" w:space="0"/>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246">
    <w:name w:val="Colorful Grid Accent 4"/>
    <w:basedOn w:val="12"/>
    <w:qFormat/>
    <w:uiPriority w:val="73"/>
    <w:rPr>
      <w:color w:val="000000"/>
    </w:rPr>
    <w:tblPr>
      <w:tblBorders>
        <w:insideH w:val="single" w:color="FFFFFF" w:sz="4" w:space="0"/>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247">
    <w:name w:val="Colorful Grid Accent 5"/>
    <w:basedOn w:val="12"/>
    <w:qFormat/>
    <w:uiPriority w:val="73"/>
    <w:rPr>
      <w:color w:val="000000"/>
    </w:rPr>
    <w:tblPr>
      <w:tblBorders>
        <w:insideH w:val="single" w:color="FFFFFF" w:sz="4" w:space="0"/>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248">
    <w:name w:val="Colorful Grid Accent 6"/>
    <w:basedOn w:val="12"/>
    <w:qFormat/>
    <w:uiPriority w:val="73"/>
    <w:rPr>
      <w:color w:val="000000"/>
    </w:rPr>
    <w:tblPr>
      <w:tblBorders>
        <w:insideH w:val="single" w:color="FFFFFF" w:sz="4" w:space="0"/>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29</Pages>
  <Words>1757</Words>
  <Characters>11955</Characters>
  <Lines>0</Lines>
  <Paragraphs>0</Paragraphs>
  <TotalTime>28</TotalTime>
  <ScaleCrop>false</ScaleCrop>
  <LinksUpToDate>false</LinksUpToDate>
  <CharactersWithSpaces>13674</CharactersWithSpaces>
  <Application>WPS Office_12.1.0.25242_F1E327BC-269C-435d-A152-05C5408002CA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2026-03-27T13:40:00Z</dcterms:created>
  <dc:creator>dell</dc:creator>
  <cp:lastModifiedBy>Muhammad Nuraddeen Ado</cp:lastModifiedBy>
  <cp:lastPrinted>2026-03-30T07:21:28Z</cp:lastPrinted>
  <dcterms:modified xsi:type="dcterms:W3CDTF">2026-03-30T07:46:18Z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1033-12.1.0.25242</vt:lpwstr>
  </property>
  <property fmtid="{D5CDD505-2E9C-101B-9397-08002B2CF9AE}" pid="3" name="ICV">
    <vt:lpwstr>550166C25413415F9401F1D2257EB0A5_11</vt:lpwstr>
  </property>
  <property fmtid="{D5CDD505-2E9C-101B-9397-08002B2CF9AE}" pid="4" name="KSOTemplateDocerSaveRecord">
    <vt:lpwstr>eyJoZGlkIjoiM2MwYmM5ZWUzODhiOTVlODVmNWE4ZDRmMDc4ZTI1YWIiLCJ1c2VySWQiOiIyNzY2MzM4NjAxOTA5In0=</vt:lpwstr>
  </property>
</Properties>
</file>