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49ED" w14:textId="1BF3163C" w:rsidR="006A1D80" w:rsidRPr="0028426C" w:rsidRDefault="0028426C" w:rsidP="00CD2A7B">
      <w:pPr>
        <w:spacing w:after="0"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Unraveling Transphobia: role of socio-emotional factors</w:t>
      </w:r>
    </w:p>
    <w:p w14:paraId="50A7D044" w14:textId="51E126E2" w:rsidR="0028426C" w:rsidRPr="0028426C" w:rsidRDefault="00723FE0" w:rsidP="00CD2A7B">
      <w:pPr>
        <w:spacing w:after="0" w:line="360" w:lineRule="auto"/>
        <w:jc w:val="cente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vertAlign w:val="superscript"/>
          <w:lang w:val="en-IN"/>
        </w:rPr>
        <w:t>1</w:t>
      </w:r>
      <w:r w:rsidRPr="0028426C">
        <w:rPr>
          <w:rFonts w:ascii="Times New Roman" w:eastAsia="Times New Roman" w:hAnsi="Times New Roman" w:cs="Times New Roman"/>
          <w:sz w:val="24"/>
          <w:szCs w:val="24"/>
          <w:lang w:val="en-IN"/>
        </w:rPr>
        <w:t xml:space="preserve">Dr. </w:t>
      </w:r>
      <w:r>
        <w:rPr>
          <w:rFonts w:ascii="Times New Roman" w:eastAsia="Times New Roman" w:hAnsi="Times New Roman" w:cs="Times New Roman"/>
          <w:sz w:val="24"/>
          <w:szCs w:val="24"/>
          <w:lang w:val="en-IN"/>
        </w:rPr>
        <w:t>Kamalpreet Kaur Sohi</w:t>
      </w:r>
      <w:r w:rsidR="0028426C" w:rsidRPr="0028426C">
        <w:rPr>
          <w:rFonts w:ascii="Times New Roman" w:eastAsia="Times New Roman" w:hAnsi="Times New Roman" w:cs="Times New Roman"/>
          <w:sz w:val="24"/>
          <w:szCs w:val="24"/>
          <w:lang w:val="en-IN"/>
        </w:rPr>
        <w:t xml:space="preserve">, </w:t>
      </w:r>
      <w:r w:rsidR="0028426C" w:rsidRPr="0028426C">
        <w:rPr>
          <w:rFonts w:ascii="Times New Roman" w:eastAsia="Times New Roman" w:hAnsi="Times New Roman" w:cs="Times New Roman"/>
          <w:sz w:val="24"/>
          <w:szCs w:val="24"/>
          <w:vertAlign w:val="superscript"/>
          <w:lang w:val="en-IN"/>
        </w:rPr>
        <w:t>2</w:t>
      </w:r>
      <w:r w:rsidR="002435A7">
        <w:rPr>
          <w:rFonts w:ascii="Times New Roman" w:eastAsia="Times New Roman" w:hAnsi="Times New Roman" w:cs="Times New Roman"/>
          <w:sz w:val="24"/>
          <w:szCs w:val="24"/>
          <w:lang w:val="en-IN"/>
        </w:rPr>
        <w:t>Ms. Mandeep Kaur,</w:t>
      </w:r>
      <w:r w:rsidR="0028426C" w:rsidRPr="0028426C">
        <w:rPr>
          <w:rFonts w:ascii="Times New Roman" w:eastAsia="Times New Roman" w:hAnsi="Times New Roman" w:cs="Times New Roman"/>
          <w:sz w:val="24"/>
          <w:szCs w:val="24"/>
          <w:vertAlign w:val="superscript"/>
          <w:lang w:val="en-IN"/>
        </w:rPr>
        <w:t xml:space="preserve"> 3</w:t>
      </w:r>
      <w:r w:rsidR="0028426C" w:rsidRPr="0028426C">
        <w:rPr>
          <w:rFonts w:ascii="Times New Roman" w:eastAsia="Times New Roman" w:hAnsi="Times New Roman" w:cs="Times New Roman"/>
          <w:sz w:val="24"/>
          <w:szCs w:val="24"/>
          <w:lang w:val="en-IN"/>
        </w:rPr>
        <w:t>Dr. Diksha Kapur</w:t>
      </w:r>
    </w:p>
    <w:p w14:paraId="50ED996B" w14:textId="615EC880" w:rsidR="0028426C" w:rsidRPr="0028426C" w:rsidRDefault="00723FE0" w:rsidP="00CD2A7B">
      <w:pPr>
        <w:spacing w:after="0" w:line="360" w:lineRule="auto"/>
        <w:jc w:val="cente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vertAlign w:val="superscript"/>
          <w:lang w:val="en-IN"/>
        </w:rPr>
        <w:t>1</w:t>
      </w:r>
      <w:r w:rsidRPr="0028426C">
        <w:rPr>
          <w:rFonts w:ascii="Times New Roman" w:eastAsia="Times New Roman" w:hAnsi="Times New Roman" w:cs="Times New Roman"/>
          <w:sz w:val="24"/>
          <w:szCs w:val="24"/>
          <w:lang w:val="en-IN"/>
        </w:rPr>
        <w:t>Assistant Professor</w:t>
      </w:r>
      <w:r>
        <w:rPr>
          <w:rFonts w:ascii="Times New Roman" w:eastAsia="Times New Roman" w:hAnsi="Times New Roman" w:cs="Times New Roman"/>
          <w:sz w:val="24"/>
          <w:szCs w:val="24"/>
          <w:lang w:val="en-IN"/>
        </w:rPr>
        <w:t>,</w:t>
      </w:r>
      <w:r w:rsidRPr="0028426C">
        <w:rPr>
          <w:rFonts w:ascii="Times New Roman" w:eastAsia="Times New Roman" w:hAnsi="Times New Roman" w:cs="Times New Roman"/>
          <w:sz w:val="24"/>
          <w:szCs w:val="24"/>
          <w:vertAlign w:val="superscript"/>
          <w:lang w:val="en-IN"/>
        </w:rPr>
        <w:t xml:space="preserve"> </w:t>
      </w:r>
      <w:r>
        <w:rPr>
          <w:rFonts w:ascii="Times New Roman" w:eastAsia="Times New Roman" w:hAnsi="Times New Roman" w:cs="Times New Roman"/>
          <w:sz w:val="24"/>
          <w:szCs w:val="24"/>
          <w:vertAlign w:val="superscript"/>
          <w:lang w:val="en-IN"/>
        </w:rPr>
        <w:t>2</w:t>
      </w:r>
      <w:r w:rsidR="0028426C" w:rsidRPr="0028426C">
        <w:rPr>
          <w:rFonts w:ascii="Times New Roman" w:eastAsia="Times New Roman" w:hAnsi="Times New Roman" w:cs="Times New Roman"/>
          <w:sz w:val="24"/>
          <w:szCs w:val="24"/>
          <w:lang w:val="en-IN"/>
        </w:rPr>
        <w:t xml:space="preserve">Student, </w:t>
      </w:r>
      <w:r w:rsidR="0028426C" w:rsidRPr="0028426C">
        <w:rPr>
          <w:rFonts w:ascii="Times New Roman" w:eastAsia="Times New Roman" w:hAnsi="Times New Roman" w:cs="Times New Roman"/>
          <w:sz w:val="24"/>
          <w:szCs w:val="24"/>
          <w:vertAlign w:val="superscript"/>
          <w:lang w:val="en-IN"/>
        </w:rPr>
        <w:t>3</w:t>
      </w:r>
      <w:r w:rsidR="0028426C" w:rsidRPr="0028426C">
        <w:rPr>
          <w:rFonts w:ascii="Times New Roman" w:eastAsia="Times New Roman" w:hAnsi="Times New Roman" w:cs="Times New Roman"/>
          <w:sz w:val="24"/>
          <w:szCs w:val="24"/>
          <w:lang w:val="en-IN"/>
        </w:rPr>
        <w:t>Assistant Professor</w:t>
      </w:r>
    </w:p>
    <w:p w14:paraId="5A104EA6" w14:textId="32A588D9" w:rsidR="0028426C" w:rsidRPr="0028426C" w:rsidRDefault="0028426C" w:rsidP="00CD2A7B">
      <w:pPr>
        <w:spacing w:after="0" w:line="360" w:lineRule="auto"/>
        <w:jc w:val="center"/>
        <w:rPr>
          <w:rFonts w:ascii="Times New Roman" w:eastAsia="Times New Roman" w:hAnsi="Times New Roman" w:cs="Times New Roman"/>
          <w:sz w:val="24"/>
          <w:szCs w:val="24"/>
          <w:lang w:val="en-IN"/>
        </w:rPr>
      </w:pPr>
      <w:r w:rsidRPr="0028426C">
        <w:rPr>
          <w:rFonts w:ascii="Times New Roman" w:eastAsia="Times New Roman" w:hAnsi="Times New Roman" w:cs="Times New Roman"/>
          <w:sz w:val="24"/>
          <w:szCs w:val="24"/>
          <w:vertAlign w:val="superscript"/>
          <w:lang w:val="en-IN"/>
        </w:rPr>
        <w:t xml:space="preserve">1,2 </w:t>
      </w:r>
      <w:r w:rsidRPr="0028426C">
        <w:rPr>
          <w:rFonts w:ascii="Times New Roman" w:eastAsia="Times New Roman" w:hAnsi="Times New Roman" w:cs="Times New Roman"/>
          <w:sz w:val="24"/>
          <w:szCs w:val="24"/>
          <w:lang w:val="en-IN"/>
        </w:rPr>
        <w:t>Department of Psychology, Punjabi University, Patiala, Punjab, India</w:t>
      </w:r>
    </w:p>
    <w:p w14:paraId="7647CA6F" w14:textId="114A75A2" w:rsidR="0028426C" w:rsidRPr="0028426C" w:rsidRDefault="0028426C" w:rsidP="00CD2A7B">
      <w:pPr>
        <w:spacing w:after="0" w:line="360" w:lineRule="auto"/>
        <w:jc w:val="center"/>
        <w:rPr>
          <w:rFonts w:ascii="Times New Roman" w:eastAsia="Times New Roman" w:hAnsi="Times New Roman" w:cs="Times New Roman"/>
          <w:sz w:val="24"/>
          <w:szCs w:val="24"/>
          <w:lang w:val="en-IN"/>
        </w:rPr>
      </w:pPr>
      <w:r w:rsidRPr="0028426C">
        <w:rPr>
          <w:rFonts w:ascii="Times New Roman" w:eastAsia="Times New Roman" w:hAnsi="Times New Roman" w:cs="Times New Roman"/>
          <w:sz w:val="24"/>
          <w:szCs w:val="24"/>
          <w:vertAlign w:val="superscript"/>
          <w:lang w:val="en-IN"/>
        </w:rPr>
        <w:t xml:space="preserve">3 </w:t>
      </w:r>
      <w:r w:rsidRPr="0028426C">
        <w:rPr>
          <w:rFonts w:ascii="Times New Roman" w:eastAsia="Times New Roman" w:hAnsi="Times New Roman" w:cs="Times New Roman"/>
          <w:sz w:val="24"/>
          <w:szCs w:val="24"/>
          <w:lang w:val="en-IN"/>
        </w:rPr>
        <w:t xml:space="preserve">Department of Applied Psychology, School of </w:t>
      </w:r>
      <w:proofErr w:type="spellStart"/>
      <w:r w:rsidRPr="0028426C">
        <w:rPr>
          <w:rFonts w:ascii="Times New Roman" w:eastAsia="Times New Roman" w:hAnsi="Times New Roman" w:cs="Times New Roman"/>
          <w:sz w:val="24"/>
          <w:szCs w:val="24"/>
          <w:lang w:val="en-IN"/>
        </w:rPr>
        <w:t>Behavioral</w:t>
      </w:r>
      <w:proofErr w:type="spellEnd"/>
      <w:r w:rsidRPr="0028426C">
        <w:rPr>
          <w:rFonts w:ascii="Times New Roman" w:eastAsia="Times New Roman" w:hAnsi="Times New Roman" w:cs="Times New Roman"/>
          <w:sz w:val="24"/>
          <w:szCs w:val="24"/>
          <w:lang w:val="en-IN"/>
        </w:rPr>
        <w:t xml:space="preserve"> &amp; Social Sciences</w:t>
      </w:r>
    </w:p>
    <w:p w14:paraId="65D6A368" w14:textId="25C5BF96" w:rsidR="0028426C" w:rsidRPr="0028426C" w:rsidRDefault="0028426C" w:rsidP="00CD2A7B">
      <w:pPr>
        <w:spacing w:after="0" w:line="360" w:lineRule="auto"/>
        <w:jc w:val="center"/>
        <w:rPr>
          <w:rFonts w:ascii="Times New Roman" w:eastAsia="Times New Roman" w:hAnsi="Times New Roman" w:cs="Times New Roman"/>
          <w:sz w:val="24"/>
          <w:szCs w:val="24"/>
          <w:lang w:val="en-IN"/>
        </w:rPr>
      </w:pPr>
      <w:r w:rsidRPr="0028426C">
        <w:rPr>
          <w:rFonts w:ascii="Times New Roman" w:eastAsia="Times New Roman" w:hAnsi="Times New Roman" w:cs="Times New Roman"/>
          <w:sz w:val="24"/>
          <w:szCs w:val="24"/>
          <w:lang w:val="en-IN"/>
        </w:rPr>
        <w:t>Manav Rachna International Institute of Research &amp; Studies (MRIIRS), Faridabad, Haryana, India</w:t>
      </w:r>
    </w:p>
    <w:p w14:paraId="49B6A9C1" w14:textId="72115360" w:rsidR="00723FE0" w:rsidRPr="00DE55FE" w:rsidRDefault="00723FE0" w:rsidP="00CD2A7B">
      <w:pPr>
        <w:spacing w:line="360" w:lineRule="auto"/>
        <w:jc w:val="center"/>
        <w:rPr>
          <w:rFonts w:ascii="Times New Roman" w:eastAsia="Times New Roman" w:hAnsi="Times New Roman" w:cs="Times New Roman"/>
          <w:bCs/>
          <w:sz w:val="24"/>
          <w:szCs w:val="24"/>
        </w:rPr>
      </w:pPr>
      <w:hyperlink r:id="rId8" w:history="1">
        <w:r w:rsidRPr="00756054">
          <w:rPr>
            <w:rStyle w:val="Hyperlink"/>
            <w:rFonts w:ascii="Times New Roman" w:eastAsia="Times New Roman" w:hAnsi="Times New Roman" w:cs="Times New Roman"/>
            <w:bCs/>
            <w:sz w:val="24"/>
            <w:szCs w:val="24"/>
            <w:vertAlign w:val="superscript"/>
          </w:rPr>
          <w:t>1</w:t>
        </w:r>
        <w:r w:rsidRPr="00756054">
          <w:rPr>
            <w:rStyle w:val="Hyperlink"/>
            <w:rFonts w:ascii="Times New Roman" w:eastAsia="Times New Roman" w:hAnsi="Times New Roman" w:cs="Times New Roman"/>
            <w:bCs/>
            <w:sz w:val="24"/>
            <w:szCs w:val="24"/>
          </w:rPr>
          <w:t>ksohi@pbi.ac.in</w:t>
        </w:r>
      </w:hyperlink>
      <w:r w:rsidR="00CF1F2E">
        <w:t>,</w:t>
      </w:r>
      <w:r>
        <w:rPr>
          <w:rFonts w:ascii="Times New Roman" w:eastAsia="Times New Roman" w:hAnsi="Times New Roman" w:cs="Times New Roman"/>
          <w:bCs/>
          <w:sz w:val="24"/>
          <w:szCs w:val="24"/>
        </w:rPr>
        <w:t xml:space="preserve"> </w:t>
      </w:r>
      <w:r w:rsidR="00CF1F2E">
        <w:rPr>
          <w:rFonts w:ascii="Times New Roman" w:eastAsia="Times New Roman" w:hAnsi="Times New Roman" w:cs="Times New Roman"/>
          <w:bCs/>
          <w:sz w:val="24"/>
          <w:szCs w:val="24"/>
          <w:vertAlign w:val="superscript"/>
        </w:rPr>
        <w:t>2</w:t>
      </w:r>
      <w:hyperlink r:id="rId9" w:history="1">
        <w:r w:rsidR="00CF1F2E" w:rsidRPr="0066732B">
          <w:rPr>
            <w:rStyle w:val="Hyperlink"/>
            <w:rFonts w:ascii="Times New Roman" w:eastAsia="Times New Roman" w:hAnsi="Times New Roman" w:cs="Times New Roman"/>
            <w:bCs/>
            <w:sz w:val="24"/>
            <w:szCs w:val="24"/>
          </w:rPr>
          <w:t>mandeepbrar980@gmail.com</w:t>
        </w:r>
      </w:hyperlink>
      <w:r w:rsidR="00CF1F2E">
        <w:rPr>
          <w:rFonts w:ascii="Times New Roman" w:eastAsia="Times New Roman" w:hAnsi="Times New Roman" w:cs="Times New Roman"/>
          <w:bCs/>
          <w:sz w:val="24"/>
          <w:szCs w:val="24"/>
        </w:rPr>
        <w:t xml:space="preserve">, </w:t>
      </w:r>
      <w:hyperlink r:id="rId10" w:history="1">
        <w:r w:rsidRPr="00756054">
          <w:rPr>
            <w:rStyle w:val="Hyperlink"/>
            <w:rFonts w:ascii="Times New Roman" w:eastAsia="Times New Roman" w:hAnsi="Times New Roman" w:cs="Times New Roman"/>
            <w:bCs/>
            <w:sz w:val="24"/>
            <w:szCs w:val="24"/>
            <w:vertAlign w:val="superscript"/>
          </w:rPr>
          <w:t>3</w:t>
        </w:r>
        <w:r w:rsidRPr="00756054">
          <w:rPr>
            <w:rStyle w:val="Hyperlink"/>
            <w:rFonts w:ascii="Times New Roman" w:eastAsia="Times New Roman" w:hAnsi="Times New Roman" w:cs="Times New Roman"/>
            <w:bCs/>
            <w:sz w:val="24"/>
            <w:szCs w:val="24"/>
          </w:rPr>
          <w:t>dr.dikshakapur@gmail.com</w:t>
        </w:r>
      </w:hyperlink>
      <w:r>
        <w:rPr>
          <w:rFonts w:ascii="Times New Roman" w:eastAsia="Times New Roman" w:hAnsi="Times New Roman" w:cs="Times New Roman"/>
          <w:bCs/>
          <w:sz w:val="24"/>
          <w:szCs w:val="24"/>
        </w:rPr>
        <w:t xml:space="preserve">  </w:t>
      </w:r>
      <w:r w:rsidRPr="00723FE0">
        <w:rPr>
          <w:rFonts w:ascii="Times New Roman" w:eastAsia="Times New Roman" w:hAnsi="Times New Roman" w:cs="Times New Roman"/>
          <w:bCs/>
          <w:sz w:val="24"/>
          <w:szCs w:val="24"/>
        </w:rPr>
        <w:t xml:space="preserve"> </w:t>
      </w:r>
      <w:r w:rsidRPr="00DE55FE">
        <w:rPr>
          <w:rFonts w:ascii="Times New Roman" w:eastAsia="Times New Roman" w:hAnsi="Times New Roman" w:cs="Times New Roman"/>
          <w:bCs/>
          <w:sz w:val="24"/>
          <w:szCs w:val="24"/>
        </w:rPr>
        <w:t xml:space="preserve"> </w:t>
      </w:r>
      <w:hyperlink r:id="rId11" w:history="1">
        <w:r w:rsidRPr="00756054">
          <w:rPr>
            <w:rStyle w:val="Hyperlink"/>
            <w:rFonts w:ascii="Times New Roman" w:hAnsi="Times New Roman" w:cs="Times New Roman"/>
            <w:bCs/>
            <w:sz w:val="24"/>
            <w:szCs w:val="24"/>
          </w:rPr>
          <w:t xml:space="preserve">  </w:t>
        </w:r>
      </w:hyperlink>
    </w:p>
    <w:p w14:paraId="37351308" w14:textId="77777777" w:rsidR="0028426C" w:rsidRPr="0028426C" w:rsidRDefault="0028426C" w:rsidP="00CD2A7B">
      <w:pPr>
        <w:spacing w:line="360" w:lineRule="auto"/>
        <w:rPr>
          <w:rFonts w:ascii="Times New Roman" w:hAnsi="Times New Roman" w:cs="Times New Roman"/>
          <w:b/>
          <w:sz w:val="24"/>
          <w:szCs w:val="24"/>
        </w:rPr>
      </w:pPr>
    </w:p>
    <w:p w14:paraId="0E0433FC" w14:textId="3CA49718" w:rsidR="00FB097F" w:rsidRDefault="009E7E8E" w:rsidP="00CD2A7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9AD223A" w14:textId="77777777" w:rsidR="00FB097F" w:rsidRPr="00FB097F" w:rsidRDefault="00FB097F" w:rsidP="00CD2A7B">
      <w:pPr>
        <w:spacing w:line="360" w:lineRule="auto"/>
        <w:jc w:val="both"/>
        <w:rPr>
          <w:rFonts w:ascii="Times New Roman" w:hAnsi="Times New Roman" w:cs="Times New Roman"/>
          <w:bCs/>
          <w:sz w:val="24"/>
          <w:szCs w:val="24"/>
        </w:rPr>
      </w:pPr>
      <w:r w:rsidRPr="00FB097F">
        <w:rPr>
          <w:rFonts w:ascii="Times New Roman" w:hAnsi="Times New Roman" w:cs="Times New Roman"/>
          <w:bCs/>
          <w:sz w:val="24"/>
          <w:szCs w:val="24"/>
        </w:rPr>
        <w:t>This study investigates the socio-emotional determinants of transphobia among young adults aged 18 to 22, focusing on the roles of peer influence and alexithymia. Despite increasing visibility and legal recognition of transgender individuals, transphobia remains pervasive, particularly within cultures governed by rigid binary gender norms. Drawing from cognitive, discursive, and socio-cultural frameworks, this research explores how emotional regulation deficits and social conformity mechanisms contribute to discriminatory attitudes. A sample of 101 university students participated in the study using standardized tools: the Genderism and Transphobia Scale (Hill &amp; Willoughby, 2005), the Peer Pressure Questionnaire–Revised (Saini &amp; Singh, 2010), and the Perth Alexithymia Questionnaire (Preece et al., 2018). Correlational and regression analyses revealed that peer influence significantly correlates with and predicts transphobic attitudes, while alexithymia, though positively associated, did not emerge as a statistically significant predictor. The combined model explained 7.1% of the variance in transphobia. These findings underscore the critical role of social environments in shaping prejudice and highlight the need for educational interventions that address peer group norms and promote emotional literacy. The study contributes to a deeper understanding of how socio-emotional mechanisms interact to perpetuate stigma against gender-diverse populations and calls for further interdisciplinary research to inform inclusive policies and psychosocial interventions.</w:t>
      </w:r>
    </w:p>
    <w:p w14:paraId="2C663D61" w14:textId="6C7969E2" w:rsidR="00FB097F" w:rsidRPr="00D258BB" w:rsidRDefault="00D258BB" w:rsidP="00CD2A7B">
      <w:pPr>
        <w:spacing w:line="360" w:lineRule="auto"/>
        <w:rPr>
          <w:rFonts w:ascii="Times New Roman" w:hAnsi="Times New Roman" w:cs="Times New Roman"/>
          <w:bCs/>
          <w:i/>
          <w:iCs/>
          <w:sz w:val="24"/>
          <w:szCs w:val="24"/>
        </w:rPr>
      </w:pPr>
      <w:r w:rsidRPr="00D258BB">
        <w:rPr>
          <w:rFonts w:ascii="Times New Roman" w:hAnsi="Times New Roman" w:cs="Times New Roman"/>
          <w:bCs/>
          <w:i/>
          <w:iCs/>
          <w:sz w:val="24"/>
          <w:szCs w:val="24"/>
        </w:rPr>
        <w:t>Keywords: Transphobia, Alexithymia, Peer Pressure</w:t>
      </w:r>
    </w:p>
    <w:p w14:paraId="5E1517AC" w14:textId="77777777" w:rsidR="00FB097F" w:rsidRDefault="00FB097F" w:rsidP="00CD2A7B">
      <w:pPr>
        <w:spacing w:line="360" w:lineRule="auto"/>
        <w:jc w:val="center"/>
        <w:rPr>
          <w:rFonts w:ascii="Times New Roman" w:hAnsi="Times New Roman" w:cs="Times New Roman"/>
          <w:b/>
          <w:sz w:val="24"/>
          <w:szCs w:val="24"/>
        </w:rPr>
      </w:pPr>
    </w:p>
    <w:p w14:paraId="306C914C" w14:textId="694D85DB" w:rsidR="00E01E19" w:rsidRPr="0028426C" w:rsidRDefault="00E01E19"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lastRenderedPageBreak/>
        <w:t>INTRODUCTION</w:t>
      </w:r>
    </w:p>
    <w:p w14:paraId="4220ADAD" w14:textId="1EE026E5" w:rsidR="00D612D4" w:rsidRPr="0028426C" w:rsidRDefault="00725554" w:rsidP="00CD2A7B">
      <w:pPr>
        <w:spacing w:line="360" w:lineRule="auto"/>
        <w:jc w:val="both"/>
        <w:rPr>
          <w:rFonts w:ascii="Times New Roman" w:hAnsi="Times New Roman" w:cs="Times New Roman"/>
          <w:sz w:val="24"/>
          <w:szCs w:val="24"/>
        </w:rPr>
      </w:pPr>
      <w:r w:rsidRPr="00723FE0">
        <w:rPr>
          <w:rFonts w:ascii="Times New Roman" w:hAnsi="Times New Roman" w:cs="Times New Roman"/>
          <w:sz w:val="24"/>
          <w:szCs w:val="24"/>
        </w:rPr>
        <w:t xml:space="preserve">Defining gender in contemporary society has become an increasingly complex and multifaceted task, given the evolving cultural, social, and psychological understandings of identity and expression. </w:t>
      </w:r>
      <w:r w:rsidR="007A4C01" w:rsidRPr="0028426C">
        <w:rPr>
          <w:rFonts w:ascii="Times New Roman" w:hAnsi="Times New Roman" w:cs="Times New Roman"/>
          <w:sz w:val="24"/>
          <w:szCs w:val="24"/>
        </w:rPr>
        <w:t>Traditionally, gender has been viewed as a set of socially constructed</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roles and expectations assigned to individuals based on their perceived biological</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sex-</w:t>
      </w:r>
      <w:r w:rsidR="000E4213" w:rsidRPr="0028426C">
        <w:rPr>
          <w:rFonts w:ascii="Times New Roman" w:hAnsi="Times New Roman" w:cs="Times New Roman"/>
          <w:sz w:val="24"/>
          <w:szCs w:val="24"/>
        </w:rPr>
        <w:t>typically categorized</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as male, female, or, more recently acknowledged, transgender or</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non-binary identities (West &amp;Zimmerman, 1987; Butler, 2004). While the term</w:t>
      </w:r>
      <w:r w:rsidR="007D5196" w:rsidRPr="0028426C">
        <w:rPr>
          <w:rFonts w:ascii="Times New Roman" w:hAnsi="Times New Roman" w:cs="Times New Roman"/>
          <w:sz w:val="24"/>
          <w:szCs w:val="24"/>
        </w:rPr>
        <w:t>s “sex” and</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“gender”</w:t>
      </w:r>
      <w:r w:rsidR="007A4C01" w:rsidRPr="0028426C">
        <w:rPr>
          <w:rFonts w:ascii="Times New Roman" w:hAnsi="Times New Roman" w:cs="Times New Roman"/>
          <w:sz w:val="24"/>
          <w:szCs w:val="24"/>
        </w:rPr>
        <w:t xml:space="preserve"> are often mistakenly used interchangeably, they represent distinct concepts: sex</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refers to the biological attributes assigned at birth such as chromosomes and reproductive</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anatomy, whereas gender encompasses a broader sociocultural framework of identity, roles,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behaviors, and expectations that individuals internalize and express throughout their lives</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(Bittner &amp;</w:t>
      </w:r>
      <w:r w:rsidR="007A4C01" w:rsidRPr="0028426C">
        <w:rPr>
          <w:rFonts w:ascii="Times New Roman" w:hAnsi="Times New Roman" w:cs="Times New Roman"/>
          <w:sz w:val="24"/>
          <w:szCs w:val="24"/>
        </w:rPr>
        <w:t xml:space="preserve"> Goodyear, 2017; WHO, 2021). Individuals whose gender identity aligns with their assigned sex at birth</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known as cisgender, whereas those who do not conform to these normative alignments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identified as transgender—a diverse category that includes subgroups represented within</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the broader LGBTQ+ spectrum, such as non-binary, genderqueer, and </w:t>
      </w:r>
      <w:r w:rsidR="0020037C" w:rsidRPr="0028426C">
        <w:rPr>
          <w:rFonts w:ascii="Times New Roman" w:hAnsi="Times New Roman" w:cs="Times New Roman"/>
          <w:sz w:val="24"/>
          <w:szCs w:val="24"/>
        </w:rPr>
        <w:t>gender fluid</w:t>
      </w:r>
      <w:r w:rsidR="007A4C01" w:rsidRPr="0028426C">
        <w:rPr>
          <w:rFonts w:ascii="Times New Roman" w:hAnsi="Times New Roman" w:cs="Times New Roman"/>
          <w:sz w:val="24"/>
          <w:szCs w:val="24"/>
        </w:rPr>
        <w:t xml:space="preserve"> individuals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(APA, 2015; Bettcher, 2007). These identities, though socially marginalized, are gaining</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increasing vi</w:t>
      </w:r>
      <w:r w:rsidR="004F27D2" w:rsidRPr="0028426C">
        <w:rPr>
          <w:rFonts w:ascii="Times New Roman" w:hAnsi="Times New Roman" w:cs="Times New Roman"/>
          <w:sz w:val="24"/>
          <w:szCs w:val="24"/>
        </w:rPr>
        <w:t xml:space="preserve">sibility and recognition, </w:t>
      </w:r>
      <w:r w:rsidR="007A4C01" w:rsidRPr="0028426C">
        <w:rPr>
          <w:rFonts w:ascii="Times New Roman" w:hAnsi="Times New Roman" w:cs="Times New Roman"/>
          <w:sz w:val="24"/>
          <w:szCs w:val="24"/>
        </w:rPr>
        <w:t>amid persistent societal resistance and prejudice</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in various cultural </w:t>
      </w:r>
      <w:r w:rsidR="003215FC" w:rsidRPr="0028426C">
        <w:rPr>
          <w:rFonts w:ascii="Times New Roman" w:hAnsi="Times New Roman" w:cs="Times New Roman"/>
          <w:sz w:val="24"/>
          <w:szCs w:val="24"/>
        </w:rPr>
        <w:t xml:space="preserve">contexts. </w:t>
      </w:r>
      <w:r w:rsidR="007A4C01" w:rsidRPr="0028426C">
        <w:rPr>
          <w:rFonts w:ascii="Times New Roman" w:hAnsi="Times New Roman" w:cs="Times New Roman"/>
          <w:sz w:val="24"/>
          <w:szCs w:val="24"/>
        </w:rPr>
        <w:t>These acts of exclusion and hostility are manifestations of transphobia—a deeply</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ingrained set of beliefs and attitudes rooted in binary gender norms and cultural ideologies</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that reject gender variance as legitimate or natur</w:t>
      </w:r>
      <w:r w:rsidR="004F27D2" w:rsidRPr="0028426C">
        <w:rPr>
          <w:rFonts w:ascii="Times New Roman" w:hAnsi="Times New Roman" w:cs="Times New Roman"/>
          <w:sz w:val="24"/>
          <w:szCs w:val="24"/>
        </w:rPr>
        <w:t>al (Serano, 2007; Bandini &amp;</w:t>
      </w:r>
      <w:r w:rsidR="007A4C01" w:rsidRPr="0028426C">
        <w:rPr>
          <w:rFonts w:ascii="Times New Roman" w:hAnsi="Times New Roman" w:cs="Times New Roman"/>
          <w:sz w:val="24"/>
          <w:szCs w:val="24"/>
        </w:rPr>
        <w:t>Maggi, 2014</w:t>
      </w:r>
      <w:r w:rsidR="004B67D1">
        <w:rPr>
          <w:rFonts w:ascii="Times New Roman" w:hAnsi="Times New Roman" w:cs="Times New Roman"/>
          <w:sz w:val="24"/>
          <w:szCs w:val="24"/>
        </w:rPr>
        <w:t xml:space="preserve">. </w:t>
      </w:r>
      <w:r w:rsidR="007A4C01" w:rsidRPr="0028426C">
        <w:rPr>
          <w:rFonts w:ascii="Times New Roman" w:hAnsi="Times New Roman" w:cs="Times New Roman"/>
          <w:sz w:val="24"/>
          <w:szCs w:val="24"/>
        </w:rPr>
        <w:t>In the Indian</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context, although progressive legal steps have been taken—such as the decriminalization of</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Section 377 of the Indian Penal Code and the enactment of the Transgender Persons</w:t>
      </w:r>
      <w:r w:rsidR="000401A1">
        <w:rPr>
          <w:rFonts w:ascii="Times New Roman" w:hAnsi="Times New Roman" w:cs="Times New Roman"/>
          <w:sz w:val="24"/>
          <w:szCs w:val="24"/>
        </w:rPr>
        <w:t xml:space="preserve"> </w:t>
      </w:r>
      <w:r w:rsidR="007A4C01" w:rsidRPr="0028426C">
        <w:rPr>
          <w:rFonts w:ascii="Times New Roman" w:hAnsi="Times New Roman" w:cs="Times New Roman"/>
          <w:sz w:val="24"/>
          <w:szCs w:val="24"/>
        </w:rPr>
        <w:t>(Protection of Rights) Act, 2019—transgender individuals continue to face widespread</w:t>
      </w:r>
      <w:r w:rsidR="00D612D4" w:rsidRPr="0028426C">
        <w:rPr>
          <w:rFonts w:ascii="Times New Roman" w:hAnsi="Times New Roman" w:cs="Times New Roman"/>
          <w:sz w:val="24"/>
          <w:szCs w:val="24"/>
        </w:rPr>
        <w:t xml:space="preserve"> </w:t>
      </w:r>
      <w:proofErr w:type="gramStart"/>
      <w:r w:rsidR="007A4C01" w:rsidRPr="0028426C">
        <w:rPr>
          <w:rFonts w:ascii="Times New Roman" w:hAnsi="Times New Roman" w:cs="Times New Roman"/>
          <w:sz w:val="24"/>
          <w:szCs w:val="24"/>
        </w:rPr>
        <w:t xml:space="preserve">discrimination, </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inadequate</w:t>
      </w:r>
      <w:proofErr w:type="gramEnd"/>
      <w:r w:rsidR="007A4C01" w:rsidRPr="0028426C">
        <w:rPr>
          <w:rFonts w:ascii="Times New Roman" w:hAnsi="Times New Roman" w:cs="Times New Roman"/>
          <w:sz w:val="24"/>
          <w:szCs w:val="24"/>
        </w:rPr>
        <w:t xml:space="preserve"> representation, and limited access to basic human rights</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w:t>
      </w:r>
      <w:proofErr w:type="spellStart"/>
      <w:r w:rsidR="007A4C01" w:rsidRPr="0028426C">
        <w:rPr>
          <w:rFonts w:ascii="Times New Roman" w:hAnsi="Times New Roman" w:cs="Times New Roman"/>
          <w:sz w:val="24"/>
          <w:szCs w:val="24"/>
        </w:rPr>
        <w:t>Michelraj</w:t>
      </w:r>
      <w:proofErr w:type="spellEnd"/>
      <w:r w:rsidR="007A4C01" w:rsidRPr="0028426C">
        <w:rPr>
          <w:rFonts w:ascii="Times New Roman" w:hAnsi="Times New Roman" w:cs="Times New Roman"/>
          <w:sz w:val="24"/>
          <w:szCs w:val="24"/>
        </w:rPr>
        <w:t>, 2015; Behera, 2022). This paradox between legal recognition and social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acceptance underscores the need to explore the psychological and sociocultural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underpinnings of transphobia, particularly as they manifest in young adults navigating</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identity, belonging, and emotional development.</w:t>
      </w:r>
    </w:p>
    <w:p w14:paraId="508486F6" w14:textId="78D2D143" w:rsidR="007A4C01" w:rsidRPr="0028426C" w:rsidRDefault="007A4C0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presence of non-binary individuals in Indian society dates back to the Vedic period,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where they were recognized as Tritiya-Prakriti or the third sex, alongside male and female</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identities (</w:t>
      </w:r>
      <w:proofErr w:type="spellStart"/>
      <w:r w:rsidRPr="0028426C">
        <w:rPr>
          <w:rFonts w:ascii="Times New Roman" w:hAnsi="Times New Roman" w:cs="Times New Roman"/>
          <w:sz w:val="24"/>
          <w:szCs w:val="24"/>
        </w:rPr>
        <w:t>Svestasvatara</w:t>
      </w:r>
      <w:proofErr w:type="spellEnd"/>
      <w:r w:rsidRPr="0028426C">
        <w:rPr>
          <w:rFonts w:ascii="Times New Roman" w:hAnsi="Times New Roman" w:cs="Times New Roman"/>
          <w:sz w:val="24"/>
          <w:szCs w:val="24"/>
        </w:rPr>
        <w:t xml:space="preserve"> Upanishad). They held a respected status and were referred to by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 xml:space="preserve">various names </w:t>
      </w:r>
      <w:r w:rsidRPr="0028426C">
        <w:rPr>
          <w:rFonts w:ascii="Times New Roman" w:hAnsi="Times New Roman" w:cs="Times New Roman"/>
          <w:sz w:val="24"/>
          <w:szCs w:val="24"/>
        </w:rPr>
        <w:lastRenderedPageBreak/>
        <w:t xml:space="preserve">such as </w:t>
      </w:r>
      <w:proofErr w:type="spellStart"/>
      <w:r w:rsidRPr="0028426C">
        <w:rPr>
          <w:rFonts w:ascii="Times New Roman" w:hAnsi="Times New Roman" w:cs="Times New Roman"/>
          <w:sz w:val="24"/>
          <w:szCs w:val="24"/>
        </w:rPr>
        <w:t>napunsaka</w:t>
      </w:r>
      <w:proofErr w:type="spellEnd"/>
      <w:r w:rsidRPr="0028426C">
        <w:rPr>
          <w:rFonts w:ascii="Times New Roman" w:hAnsi="Times New Roman" w:cs="Times New Roman"/>
          <w:sz w:val="24"/>
          <w:szCs w:val="24"/>
        </w:rPr>
        <w:t>, shiv-</w:t>
      </w:r>
      <w:proofErr w:type="spellStart"/>
      <w:r w:rsidRPr="0028426C">
        <w:rPr>
          <w:rFonts w:ascii="Times New Roman" w:hAnsi="Times New Roman" w:cs="Times New Roman"/>
          <w:sz w:val="24"/>
          <w:szCs w:val="24"/>
        </w:rPr>
        <w:t>shakthis</w:t>
      </w:r>
      <w:proofErr w:type="spellEnd"/>
      <w:r w:rsidRPr="0028426C">
        <w:rPr>
          <w:rFonts w:ascii="Times New Roman" w:hAnsi="Times New Roman" w:cs="Times New Roman"/>
          <w:sz w:val="24"/>
          <w:szCs w:val="24"/>
        </w:rPr>
        <w:t xml:space="preserve">, hijras, and </w:t>
      </w:r>
      <w:proofErr w:type="spellStart"/>
      <w:r w:rsidRPr="0028426C">
        <w:rPr>
          <w:rFonts w:ascii="Times New Roman" w:hAnsi="Times New Roman" w:cs="Times New Roman"/>
          <w:sz w:val="24"/>
          <w:szCs w:val="24"/>
        </w:rPr>
        <w:t>kothis</w:t>
      </w:r>
      <w:proofErr w:type="spellEnd"/>
      <w:r w:rsidRPr="0028426C">
        <w:rPr>
          <w:rFonts w:ascii="Times New Roman" w:hAnsi="Times New Roman" w:cs="Times New Roman"/>
          <w:sz w:val="24"/>
          <w:szCs w:val="24"/>
        </w:rPr>
        <w:t>. Families provided them</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with essential support, and no Vedic law penalized their orientation. They were seen as</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sexually neutral and believed to bring prospe</w:t>
      </w:r>
      <w:r w:rsidR="000A3781" w:rsidRPr="0028426C">
        <w:rPr>
          <w:rFonts w:ascii="Times New Roman" w:hAnsi="Times New Roman" w:cs="Times New Roman"/>
          <w:sz w:val="24"/>
          <w:szCs w:val="24"/>
        </w:rPr>
        <w:t>rity to society (</w:t>
      </w:r>
      <w:proofErr w:type="spellStart"/>
      <w:r w:rsidR="000A3781" w:rsidRPr="0028426C">
        <w:rPr>
          <w:rFonts w:ascii="Times New Roman" w:hAnsi="Times New Roman" w:cs="Times New Roman"/>
          <w:sz w:val="24"/>
          <w:szCs w:val="24"/>
        </w:rPr>
        <w:t>Vasumathi</w:t>
      </w:r>
      <w:proofErr w:type="spellEnd"/>
      <w:r w:rsidR="000A3781" w:rsidRPr="0028426C">
        <w:rPr>
          <w:rFonts w:ascii="Times New Roman" w:hAnsi="Times New Roman" w:cs="Times New Roman"/>
          <w:sz w:val="24"/>
          <w:szCs w:val="24"/>
        </w:rPr>
        <w:t xml:space="preserve"> &amp; Geetanjali, 2018).</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In medieval India, transgender individuals continued to enjoy dignity, often serving in royal</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courts as advisors, generals, and administrators, contributing significantly to governance and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stability (</w:t>
      </w:r>
      <w:proofErr w:type="spellStart"/>
      <w:r w:rsidRPr="0028426C">
        <w:rPr>
          <w:rFonts w:ascii="Times New Roman" w:hAnsi="Times New Roman" w:cs="Times New Roman"/>
          <w:sz w:val="24"/>
          <w:szCs w:val="24"/>
        </w:rPr>
        <w:t>Michelraj</w:t>
      </w:r>
      <w:proofErr w:type="spellEnd"/>
      <w:r w:rsidRPr="0028426C">
        <w:rPr>
          <w:rFonts w:ascii="Times New Roman" w:hAnsi="Times New Roman" w:cs="Times New Roman"/>
          <w:sz w:val="24"/>
          <w:szCs w:val="24"/>
        </w:rPr>
        <w:t>,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However, during British colonial rule, their status declined drastically. Initially, some Indian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states supported them with land, food, and income, but colonial authorities viewed them with</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suspicion. By the late 19th century, laws like the Criminal Tribes Act of 1871 criminalized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hijras, associating them with public nuisance and deviance. This led to widespread stigma</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and the denial of their civil rights (</w:t>
      </w:r>
      <w:proofErr w:type="spellStart"/>
      <w:r w:rsidRPr="0028426C">
        <w:rPr>
          <w:rFonts w:ascii="Times New Roman" w:hAnsi="Times New Roman" w:cs="Times New Roman"/>
          <w:sz w:val="24"/>
          <w:szCs w:val="24"/>
        </w:rPr>
        <w:t>Michelraj</w:t>
      </w:r>
      <w:proofErr w:type="spellEnd"/>
      <w:r w:rsidRPr="0028426C">
        <w:rPr>
          <w:rFonts w:ascii="Times New Roman" w:hAnsi="Times New Roman" w:cs="Times New Roman"/>
          <w:sz w:val="24"/>
          <w:szCs w:val="24"/>
        </w:rPr>
        <w:t>,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Although the Act was repealed in 1952, deep-rooted stereotypes and legal discrimination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persisted. Trans individuals often faced harassment under vague laws related to obscenity,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begging, and public nuisance (Section 294 of the Indian Penal Code), reinforcing their</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marginalization in post-independence India</w:t>
      </w:r>
      <w:r w:rsidRPr="0028426C">
        <w:rPr>
          <w:rFonts w:ascii="Times New Roman" w:hAnsi="Times New Roman" w:cs="Times New Roman"/>
          <w:b/>
          <w:sz w:val="24"/>
          <w:szCs w:val="24"/>
        </w:rPr>
        <w:t>.</w:t>
      </w:r>
    </w:p>
    <w:p w14:paraId="073A5D91" w14:textId="77777777" w:rsidR="000A10B5" w:rsidRPr="00326ACB" w:rsidRDefault="00871AAC"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Transphobia</w:t>
      </w:r>
    </w:p>
    <w:p w14:paraId="4DB54D30" w14:textId="500638CA" w:rsidR="00D612D4" w:rsidRPr="0028426C" w:rsidRDefault="000A378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Transphobia is derived from two components</w:t>
      </w:r>
      <w:proofErr w:type="gramStart"/>
      <w:r w:rsidRPr="0028426C">
        <w:rPr>
          <w:rFonts w:ascii="Times New Roman" w:hAnsi="Times New Roman" w:cs="Times New Roman"/>
          <w:sz w:val="24"/>
          <w:szCs w:val="24"/>
        </w:rPr>
        <w:t>—“</w:t>
      </w:r>
      <w:proofErr w:type="gramEnd"/>
      <w:r w:rsidRPr="0028426C">
        <w:rPr>
          <w:rFonts w:ascii="Times New Roman" w:hAnsi="Times New Roman" w:cs="Times New Roman"/>
          <w:sz w:val="24"/>
          <w:szCs w:val="24"/>
        </w:rPr>
        <w:t>Trans,” referring to individuals whose gender identity does not align with the societal norms associated with their assigned sex at birth, and “Phobia,” denoting an irrational fear or aversion. Together, transphobia encompasses a wide spectrum of negative emotional, cognitive, and behavioral responses—including fear, hatred, prejudice, discrimination, and rejection—toward transgender and gender non-conforming individuals (Serano, 2007; Bandini &amp; Maggi, 2014). It reflects not just personal biases but broader systems of power and social norms that stigmatize any deviation from the binary concept of gender (Bettcher, 2007; Norton &amp; Herek, 2013).</w:t>
      </w:r>
      <w:r w:rsidR="007A7C0D">
        <w:rPr>
          <w:rFonts w:ascii="Times New Roman" w:hAnsi="Times New Roman" w:cs="Times New Roman"/>
          <w:sz w:val="24"/>
          <w:szCs w:val="24"/>
        </w:rPr>
        <w:t xml:space="preserve"> </w:t>
      </w:r>
      <w:r w:rsidRPr="0028426C">
        <w:rPr>
          <w:rFonts w:ascii="Times New Roman" w:hAnsi="Times New Roman" w:cs="Times New Roman"/>
          <w:sz w:val="24"/>
          <w:szCs w:val="24"/>
        </w:rPr>
        <w:t xml:space="preserve">Transphobia can manifest in subtle ways, such as exclusion or lack of representation, as well as overt acts of violence, ridicule, and legal discrimination (Flores et al., 2021; Grant et al., 2011). </w:t>
      </w:r>
    </w:p>
    <w:p w14:paraId="19E4D11C" w14:textId="77777777" w:rsidR="00326ACB" w:rsidRPr="00326ACB" w:rsidRDefault="00905931"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Theoretical Framework </w:t>
      </w:r>
      <w:r w:rsidR="007A7C0D" w:rsidRPr="00326ACB">
        <w:rPr>
          <w:rFonts w:ascii="Times New Roman" w:hAnsi="Times New Roman" w:cs="Times New Roman"/>
          <w:b/>
          <w:sz w:val="24"/>
          <w:szCs w:val="24"/>
        </w:rPr>
        <w:t>for Transphobia</w:t>
      </w:r>
    </w:p>
    <w:p w14:paraId="50465E31" w14:textId="730174A5" w:rsidR="00FD2F10" w:rsidRPr="00326ACB" w:rsidRDefault="00B16F69"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Cognitive approach: internal dispositions and belief systems</w:t>
      </w:r>
    </w:p>
    <w:p w14:paraId="36986BCC" w14:textId="77777777" w:rsidR="00B16F69" w:rsidRPr="0028426C" w:rsidRDefault="00B16F69" w:rsidP="00CD2A7B">
      <w:pPr>
        <w:pStyle w:val="ListParagraph"/>
        <w:spacing w:line="360" w:lineRule="auto"/>
        <w:jc w:val="both"/>
        <w:rPr>
          <w:rFonts w:ascii="Times New Roman" w:hAnsi="Times New Roman" w:cs="Times New Roman"/>
          <w:sz w:val="24"/>
          <w:szCs w:val="24"/>
        </w:rPr>
      </w:pPr>
    </w:p>
    <w:p w14:paraId="7ACFEE3E" w14:textId="17074016" w:rsidR="00EC31AA" w:rsidRDefault="00B16F69" w:rsidP="00CD2A7B">
      <w:pPr>
        <w:pStyle w:val="ListParagraph"/>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Cognitive approaches to transphobia emerge primarily from the discipline of psychology and posit that the discriminatory behavior is a consequence of internal cognitive </w:t>
      </w:r>
      <w:r w:rsidR="00D612D4" w:rsidRPr="0028426C">
        <w:rPr>
          <w:rFonts w:ascii="Times New Roman" w:hAnsi="Times New Roman" w:cs="Times New Roman"/>
          <w:sz w:val="24"/>
          <w:szCs w:val="24"/>
        </w:rPr>
        <w:lastRenderedPageBreak/>
        <w:t>s</w:t>
      </w:r>
      <w:r w:rsidRPr="0028426C">
        <w:rPr>
          <w:rFonts w:ascii="Times New Roman" w:hAnsi="Times New Roman" w:cs="Times New Roman"/>
          <w:sz w:val="24"/>
          <w:szCs w:val="24"/>
        </w:rPr>
        <w:t>tructures- attitudes, beliefs and prejudices – harbored by individuals.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Early definitions of transphobia, such as the one by Hill &amp; Willoughby (2005), describe it as an emotional disgust toward individuals who do not conform to society’s gender expectations. However, scholars have critiqued the term for its implied association with irrational fear and pathology, advocating instead for terms like Trans prejudice and Trans stigma. These terms conceptualize negative attitudes not as illness but as learned belief systems that delegitimize transgender identities in relation to a heteronormative ide</w:t>
      </w:r>
      <w:r w:rsidR="000E7554" w:rsidRPr="00DD12A3">
        <w:rPr>
          <w:rFonts w:ascii="Times New Roman" w:hAnsi="Times New Roman" w:cs="Times New Roman"/>
          <w:sz w:val="24"/>
          <w:szCs w:val="24"/>
        </w:rPr>
        <w:t xml:space="preserve">al (King et al., 2009). </w:t>
      </w:r>
    </w:p>
    <w:p w14:paraId="115C51C9" w14:textId="77777777" w:rsidR="007A7C0D" w:rsidRPr="00DD12A3" w:rsidRDefault="007A7C0D" w:rsidP="00CD2A7B">
      <w:pPr>
        <w:pStyle w:val="ListParagraph"/>
        <w:spacing w:line="360" w:lineRule="auto"/>
        <w:jc w:val="both"/>
        <w:rPr>
          <w:rFonts w:ascii="Times New Roman" w:hAnsi="Times New Roman" w:cs="Times New Roman"/>
          <w:sz w:val="24"/>
          <w:szCs w:val="24"/>
        </w:rPr>
      </w:pPr>
    </w:p>
    <w:p w14:paraId="6539B8F4" w14:textId="77777777" w:rsidR="00197D62" w:rsidRPr="00326ACB" w:rsidRDefault="00FD2372"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Discursive Approaches: language, power and the social construction of gender </w:t>
      </w:r>
    </w:p>
    <w:p w14:paraId="14BF1D05" w14:textId="305A8FB1" w:rsidR="00907BC4" w:rsidRPr="00555C11" w:rsidRDefault="00197D62" w:rsidP="00CD2A7B">
      <w:pPr>
        <w:spacing w:line="360" w:lineRule="auto"/>
        <w:ind w:left="720"/>
        <w:jc w:val="both"/>
        <w:rPr>
          <w:rFonts w:ascii="Times New Roman" w:hAnsi="Times New Roman" w:cs="Times New Roman"/>
          <w:sz w:val="24"/>
          <w:szCs w:val="24"/>
        </w:rPr>
      </w:pPr>
      <w:r w:rsidRPr="0028426C">
        <w:rPr>
          <w:rFonts w:ascii="Times New Roman" w:hAnsi="Times New Roman" w:cs="Times New Roman"/>
          <w:sz w:val="24"/>
          <w:szCs w:val="24"/>
        </w:rPr>
        <w:t xml:space="preserve">Discursive approaches, emerging from disciplines such as </w:t>
      </w:r>
      <w:r w:rsidR="00121FEC" w:rsidRPr="0028426C">
        <w:rPr>
          <w:rFonts w:ascii="Times New Roman" w:hAnsi="Times New Roman" w:cs="Times New Roman"/>
          <w:sz w:val="24"/>
          <w:szCs w:val="24"/>
        </w:rPr>
        <w:t xml:space="preserve">sociology, gender studies, and </w:t>
      </w:r>
      <w:r w:rsidRPr="0028426C">
        <w:rPr>
          <w:rFonts w:ascii="Times New Roman" w:hAnsi="Times New Roman" w:cs="Times New Roman"/>
          <w:sz w:val="24"/>
          <w:szCs w:val="24"/>
        </w:rPr>
        <w:t xml:space="preserve">philosophy, shift the focus from individual cognition to </w:t>
      </w:r>
      <w:r w:rsidR="00121FEC" w:rsidRPr="0028426C">
        <w:rPr>
          <w:rFonts w:ascii="Times New Roman" w:hAnsi="Times New Roman" w:cs="Times New Roman"/>
          <w:sz w:val="24"/>
          <w:szCs w:val="24"/>
        </w:rPr>
        <w:t xml:space="preserve">the construction of meaning in </w:t>
      </w:r>
      <w:r w:rsidRPr="0028426C">
        <w:rPr>
          <w:rFonts w:ascii="Times New Roman" w:hAnsi="Times New Roman" w:cs="Times New Roman"/>
          <w:sz w:val="24"/>
          <w:szCs w:val="24"/>
        </w:rPr>
        <w:t>society. These perspectives explore how language, powe</w:t>
      </w:r>
      <w:r w:rsidR="00121FEC" w:rsidRPr="0028426C">
        <w:rPr>
          <w:rFonts w:ascii="Times New Roman" w:hAnsi="Times New Roman" w:cs="Times New Roman"/>
          <w:sz w:val="24"/>
          <w:szCs w:val="24"/>
        </w:rPr>
        <w:t>r and social practices generate</w:t>
      </w:r>
      <w:r w:rsidRPr="0028426C">
        <w:rPr>
          <w:rFonts w:ascii="Times New Roman" w:hAnsi="Times New Roman" w:cs="Times New Roman"/>
          <w:sz w:val="24"/>
          <w:szCs w:val="24"/>
        </w:rPr>
        <w:t xml:space="preserve"> and reinforce binary gender norms </w:t>
      </w:r>
      <w:r w:rsidR="0020037C" w:rsidRPr="0028426C">
        <w:rPr>
          <w:rFonts w:ascii="Times New Roman" w:hAnsi="Times New Roman" w:cs="Times New Roman"/>
          <w:sz w:val="24"/>
          <w:szCs w:val="24"/>
        </w:rPr>
        <w:t>and, by</w:t>
      </w:r>
      <w:r w:rsidRPr="0028426C">
        <w:rPr>
          <w:rFonts w:ascii="Times New Roman" w:hAnsi="Times New Roman" w:cs="Times New Roman"/>
          <w:sz w:val="24"/>
          <w:szCs w:val="24"/>
        </w:rPr>
        <w:t xml:space="preserve"> extension, th</w:t>
      </w:r>
      <w:r w:rsidR="00121FEC" w:rsidRPr="0028426C">
        <w:rPr>
          <w:rFonts w:ascii="Times New Roman" w:hAnsi="Times New Roman" w:cs="Times New Roman"/>
          <w:sz w:val="24"/>
          <w:szCs w:val="24"/>
        </w:rPr>
        <w:t xml:space="preserve">e marginalization of those who transgress them. </w:t>
      </w:r>
      <w:r w:rsidRPr="0028426C">
        <w:rPr>
          <w:rFonts w:ascii="Times New Roman" w:hAnsi="Times New Roman" w:cs="Times New Roman"/>
          <w:sz w:val="24"/>
          <w:szCs w:val="24"/>
        </w:rPr>
        <w:t>Three interrelated categories define this approach</w:t>
      </w:r>
      <w:r w:rsidR="00DD12A3">
        <w:rPr>
          <w:rFonts w:ascii="Times New Roman" w:hAnsi="Times New Roman" w:cs="Times New Roman"/>
          <w:sz w:val="24"/>
          <w:szCs w:val="24"/>
        </w:rPr>
        <w:t xml:space="preserve">- </w:t>
      </w:r>
      <w:proofErr w:type="spellStart"/>
      <w:r w:rsidR="00DD12A3">
        <w:rPr>
          <w:rFonts w:ascii="Times New Roman" w:hAnsi="Times New Roman" w:cs="Times New Roman"/>
          <w:sz w:val="24"/>
          <w:szCs w:val="24"/>
        </w:rPr>
        <w:t>i</w:t>
      </w:r>
      <w:proofErr w:type="spellEnd"/>
      <w:r w:rsidR="00DD12A3">
        <w:rPr>
          <w:rFonts w:ascii="Times New Roman" w:hAnsi="Times New Roman" w:cs="Times New Roman"/>
          <w:sz w:val="24"/>
          <w:szCs w:val="24"/>
        </w:rPr>
        <w:t xml:space="preserve">. </w:t>
      </w:r>
      <w:r w:rsidRPr="00DD12A3">
        <w:rPr>
          <w:rFonts w:ascii="Times New Roman" w:hAnsi="Times New Roman" w:cs="Times New Roman"/>
          <w:sz w:val="24"/>
          <w:szCs w:val="24"/>
        </w:rPr>
        <w:t>Production of gender meanings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influenced heavily by Judith Butler’s (2002) theory of gender performativity, gender is seen not as an innate characteristic but as an identity produced through repeated social practices. Language plays a central role here- not merely reflecting but actively constituting social reality</w:t>
      </w:r>
      <w:r w:rsidR="00DD12A3">
        <w:rPr>
          <w:rFonts w:ascii="Times New Roman" w:hAnsi="Times New Roman" w:cs="Times New Roman"/>
          <w:sz w:val="24"/>
          <w:szCs w:val="24"/>
        </w:rPr>
        <w:t>)</w:t>
      </w:r>
      <w:proofErr w:type="gramStart"/>
      <w:r w:rsidR="00555C11">
        <w:rPr>
          <w:rFonts w:ascii="Times New Roman" w:hAnsi="Times New Roman" w:cs="Times New Roman"/>
          <w:sz w:val="24"/>
          <w:szCs w:val="24"/>
        </w:rPr>
        <w:t xml:space="preserve">, </w:t>
      </w:r>
      <w:r w:rsidRPr="00DD12A3">
        <w:rPr>
          <w:rFonts w:ascii="Times New Roman" w:hAnsi="Times New Roman" w:cs="Times New Roman"/>
          <w:sz w:val="24"/>
          <w:szCs w:val="24"/>
        </w:rPr>
        <w:t xml:space="preserve"> </w:t>
      </w:r>
      <w:r w:rsidR="00555C11">
        <w:rPr>
          <w:rFonts w:ascii="Times New Roman" w:hAnsi="Times New Roman" w:cs="Times New Roman"/>
          <w:sz w:val="24"/>
          <w:szCs w:val="24"/>
        </w:rPr>
        <w:t>ii.</w:t>
      </w:r>
      <w:proofErr w:type="gramEnd"/>
      <w:r w:rsidR="00555C11">
        <w:rPr>
          <w:rFonts w:ascii="Times New Roman" w:hAnsi="Times New Roman" w:cs="Times New Roman"/>
          <w:sz w:val="24"/>
          <w:szCs w:val="24"/>
        </w:rPr>
        <w:t xml:space="preserve"> </w:t>
      </w:r>
      <w:r w:rsidRPr="00555C11">
        <w:rPr>
          <w:rFonts w:ascii="Times New Roman" w:hAnsi="Times New Roman" w:cs="Times New Roman"/>
          <w:sz w:val="24"/>
          <w:szCs w:val="24"/>
        </w:rPr>
        <w:t>Predominance of gender norms</w:t>
      </w:r>
      <w:r w:rsidR="00555C11">
        <w:rPr>
          <w:rFonts w:ascii="Times New Roman" w:hAnsi="Times New Roman" w:cs="Times New Roman"/>
          <w:sz w:val="24"/>
          <w:szCs w:val="24"/>
        </w:rPr>
        <w:t xml:space="preserve"> (</w:t>
      </w:r>
      <w:r w:rsidRPr="00555C11">
        <w:rPr>
          <w:rFonts w:ascii="Times New Roman" w:hAnsi="Times New Roman" w:cs="Times New Roman"/>
          <w:sz w:val="24"/>
          <w:szCs w:val="24"/>
        </w:rPr>
        <w:t xml:space="preserve">this examines how certain gender meanings become dominant through </w:t>
      </w:r>
      <w:r w:rsidR="00907BC4" w:rsidRPr="00555C11">
        <w:rPr>
          <w:rFonts w:ascii="Times New Roman" w:hAnsi="Times New Roman" w:cs="Times New Roman"/>
          <w:sz w:val="24"/>
          <w:szCs w:val="24"/>
        </w:rPr>
        <w:t>institutional power)</w:t>
      </w:r>
      <w:r w:rsidR="00555C11">
        <w:rPr>
          <w:rFonts w:ascii="Times New Roman" w:hAnsi="Times New Roman" w:cs="Times New Roman"/>
          <w:sz w:val="24"/>
          <w:szCs w:val="24"/>
        </w:rPr>
        <w:t xml:space="preserve">, iii. </w:t>
      </w:r>
      <w:r w:rsidR="00907BC4" w:rsidRPr="00555C11">
        <w:rPr>
          <w:rFonts w:ascii="Times New Roman" w:hAnsi="Times New Roman" w:cs="Times New Roman"/>
          <w:sz w:val="24"/>
          <w:szCs w:val="24"/>
        </w:rPr>
        <w:t>Effects of dominant gender meanings</w:t>
      </w:r>
      <w:r w:rsidR="00555C11">
        <w:rPr>
          <w:rFonts w:ascii="Times New Roman" w:hAnsi="Times New Roman" w:cs="Times New Roman"/>
          <w:sz w:val="24"/>
          <w:szCs w:val="24"/>
        </w:rPr>
        <w:t xml:space="preserve"> (</w:t>
      </w:r>
      <w:r w:rsidR="00907BC4" w:rsidRPr="00555C11">
        <w:rPr>
          <w:rFonts w:ascii="Times New Roman" w:hAnsi="Times New Roman" w:cs="Times New Roman"/>
          <w:sz w:val="24"/>
          <w:szCs w:val="24"/>
        </w:rPr>
        <w:t>these include “othering” and “unintelligibility”. Othering renders trans people as deviant or abnormal, while unintelligibility suggests that trans identities fall outside of what society considers recognizable or real</w:t>
      </w:r>
      <w:r w:rsidR="00555C11">
        <w:rPr>
          <w:rFonts w:ascii="Times New Roman" w:hAnsi="Times New Roman" w:cs="Times New Roman"/>
          <w:sz w:val="24"/>
          <w:szCs w:val="24"/>
        </w:rPr>
        <w:t>).</w:t>
      </w:r>
    </w:p>
    <w:p w14:paraId="182C6298" w14:textId="52F81634" w:rsidR="0050491F" w:rsidRPr="00326ACB" w:rsidRDefault="00551AC5" w:rsidP="00CD2A7B">
      <w:pPr>
        <w:spacing w:line="360" w:lineRule="auto"/>
        <w:jc w:val="both"/>
        <w:rPr>
          <w:rFonts w:ascii="Times New Roman" w:hAnsi="Times New Roman" w:cs="Times New Roman"/>
          <w:sz w:val="24"/>
          <w:szCs w:val="24"/>
        </w:rPr>
      </w:pPr>
      <w:r w:rsidRPr="00326ACB">
        <w:rPr>
          <w:rFonts w:ascii="Times New Roman" w:hAnsi="Times New Roman" w:cs="Times New Roman"/>
          <w:b/>
          <w:sz w:val="24"/>
          <w:szCs w:val="24"/>
        </w:rPr>
        <w:t xml:space="preserve">The Discursive Psychology Perspective: </w:t>
      </w:r>
      <w:r w:rsidR="000401A1" w:rsidRPr="00326ACB">
        <w:rPr>
          <w:rFonts w:ascii="Times New Roman" w:hAnsi="Times New Roman" w:cs="Times New Roman"/>
          <w:b/>
          <w:sz w:val="24"/>
          <w:szCs w:val="24"/>
        </w:rPr>
        <w:t>B</w:t>
      </w:r>
      <w:r w:rsidRPr="00326ACB">
        <w:rPr>
          <w:rFonts w:ascii="Times New Roman" w:hAnsi="Times New Roman" w:cs="Times New Roman"/>
          <w:b/>
          <w:sz w:val="24"/>
          <w:szCs w:val="24"/>
        </w:rPr>
        <w:t>ridging the divide</w:t>
      </w:r>
    </w:p>
    <w:p w14:paraId="6434EDBC" w14:textId="3B7A266E" w:rsidR="0020037C"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overcome the limitations of both cognitive individualism and discursive determinism, </w:t>
      </w:r>
      <w:r w:rsidR="000401A1">
        <w:rPr>
          <w:rFonts w:ascii="Times New Roman" w:hAnsi="Times New Roman" w:cs="Times New Roman"/>
          <w:sz w:val="24"/>
          <w:szCs w:val="24"/>
        </w:rPr>
        <w:t>w</w:t>
      </w:r>
      <w:r w:rsidRPr="0028426C">
        <w:rPr>
          <w:rFonts w:ascii="Times New Roman" w:hAnsi="Times New Roman" w:cs="Times New Roman"/>
          <w:sz w:val="24"/>
          <w:szCs w:val="24"/>
        </w:rPr>
        <w:t xml:space="preserve">e adopt a discursive psychology (DP) perspective. DP reconceptualizes attitudes—not as static mental objects—but as discursive practices embedded in interaction and shaped by context. </w:t>
      </w:r>
    </w:p>
    <w:p w14:paraId="3FC2E23C" w14:textId="5D913C6E"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Key tenets of discursive psychology </w:t>
      </w:r>
      <w:proofErr w:type="gramStart"/>
      <w:r w:rsidRPr="0028426C">
        <w:rPr>
          <w:rFonts w:ascii="Times New Roman" w:hAnsi="Times New Roman" w:cs="Times New Roman"/>
          <w:sz w:val="24"/>
          <w:szCs w:val="24"/>
        </w:rPr>
        <w:t>include:-</w:t>
      </w:r>
      <w:proofErr w:type="gramEnd"/>
    </w:p>
    <w:p w14:paraId="326DDB15" w14:textId="77777777" w:rsidR="0050491F"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Attitudes as constructed in discourse: The meaning of “trans people” is not fixed </w:t>
      </w:r>
    </w:p>
    <w:p w14:paraId="73F232A8" w14:textId="77777777" w:rsidR="000401A1"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but co-constructed in social interaction. </w:t>
      </w:r>
    </w:p>
    <w:p w14:paraId="7FA2A26F" w14:textId="1D12C3E7" w:rsidR="00121FEC" w:rsidRPr="000401A1" w:rsidRDefault="0050491F" w:rsidP="00CD2A7B">
      <w:pPr>
        <w:pStyle w:val="ListParagraph"/>
        <w:numPr>
          <w:ilvl w:val="0"/>
          <w:numId w:val="37"/>
        </w:numPr>
        <w:spacing w:line="360" w:lineRule="auto"/>
        <w:jc w:val="both"/>
        <w:rPr>
          <w:rFonts w:ascii="Times New Roman" w:hAnsi="Times New Roman" w:cs="Times New Roman"/>
          <w:sz w:val="24"/>
          <w:szCs w:val="24"/>
        </w:rPr>
      </w:pPr>
      <w:r w:rsidRPr="000401A1">
        <w:rPr>
          <w:rFonts w:ascii="Times New Roman" w:hAnsi="Times New Roman" w:cs="Times New Roman"/>
          <w:sz w:val="24"/>
          <w:szCs w:val="24"/>
        </w:rPr>
        <w:t>Common-sense dilemmas: DP recognizes that individuals draw on conflicting cultural repertoires. Someone may endorse equality in one context but express transphobic views in another, reflecting broader ideological tensions rather than personal inconsistency.</w:t>
      </w:r>
    </w:p>
    <w:p w14:paraId="4728E8D9" w14:textId="1D3E78C8" w:rsidR="00551AC5"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Discourse as ideological: Language not only communicates but enacts power </w:t>
      </w:r>
    </w:p>
    <w:p w14:paraId="70CFE446" w14:textId="3D03104E" w:rsidR="0050491F" w:rsidRPr="0028426C"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relations. </w:t>
      </w:r>
    </w:p>
    <w:p w14:paraId="2FCE60E2" w14:textId="27C840D2"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By analyzing how people construct, reproduce, or resist norms around gender in real-life interactions, DP enables a more dynamic understanding of transphobia as an ongoing, contested process rather than a fixed attribute</w:t>
      </w:r>
      <w:r w:rsidR="0020037C" w:rsidRPr="0028426C">
        <w:rPr>
          <w:rFonts w:ascii="Times New Roman" w:hAnsi="Times New Roman" w:cs="Times New Roman"/>
          <w:sz w:val="24"/>
          <w:szCs w:val="24"/>
        </w:rPr>
        <w:t>.</w:t>
      </w:r>
    </w:p>
    <w:p w14:paraId="1B677B8C" w14:textId="77777777" w:rsidR="00197D62" w:rsidRPr="00326ACB" w:rsidRDefault="00551AC5"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 Socio-cultural Approach </w:t>
      </w:r>
    </w:p>
    <w:p w14:paraId="3C4A95AB" w14:textId="2A4EBF0E" w:rsidR="002147B9" w:rsidRPr="0028426C" w:rsidRDefault="00551AC5"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w:t>
      </w:r>
      <w:proofErr w:type="spellStart"/>
      <w:r w:rsidRPr="0028426C">
        <w:rPr>
          <w:rFonts w:ascii="Times New Roman" w:hAnsi="Times New Roman" w:cs="Times New Roman"/>
          <w:sz w:val="24"/>
          <w:szCs w:val="24"/>
        </w:rPr>
        <w:t>Sociofunctional</w:t>
      </w:r>
      <w:proofErr w:type="spellEnd"/>
      <w:r w:rsidRPr="0028426C">
        <w:rPr>
          <w:rFonts w:ascii="Times New Roman" w:hAnsi="Times New Roman" w:cs="Times New Roman"/>
          <w:sz w:val="24"/>
          <w:szCs w:val="24"/>
        </w:rPr>
        <w:t xml:space="preserve"> threat approach, proposed by Cottrell and Neuberg (2005), offers a multidimensional framework for understanding prejudice. This model identifies how specific perceived threats from out groups elicit distinct emotional reactions and motivate behaviors. Applied to transphobia, it provides insight into why different transgender subgroups are perceived differently and targeted with varied forms of discrimination. According to the framework, out groups may pose threats such as contamination (health or moral), obstacles (to social coordination or values), safety risks, or an inability to reciprocate within society. Transgender indivi</w:t>
      </w:r>
      <w:r w:rsidR="003215FC" w:rsidRPr="0028426C">
        <w:rPr>
          <w:rFonts w:ascii="Times New Roman" w:hAnsi="Times New Roman" w:cs="Times New Roman"/>
          <w:sz w:val="24"/>
          <w:szCs w:val="24"/>
        </w:rPr>
        <w:t>duals, particularly trans-</w:t>
      </w:r>
      <w:r w:rsidRPr="0028426C">
        <w:rPr>
          <w:rFonts w:ascii="Times New Roman" w:hAnsi="Times New Roman" w:cs="Times New Roman"/>
          <w:sz w:val="24"/>
          <w:szCs w:val="24"/>
        </w:rPr>
        <w:t>women, are often stereotyped as posing threats to traditional values and public safety. These stereotypes are reinforced through political narratives (e.g., bat</w:t>
      </w:r>
      <w:r w:rsidR="003215FC" w:rsidRPr="0028426C">
        <w:rPr>
          <w:rFonts w:ascii="Times New Roman" w:hAnsi="Times New Roman" w:cs="Times New Roman"/>
          <w:sz w:val="24"/>
          <w:szCs w:val="24"/>
        </w:rPr>
        <w:t>hroom bills) that portray trans-</w:t>
      </w:r>
      <w:r w:rsidRPr="0028426C">
        <w:rPr>
          <w:rFonts w:ascii="Times New Roman" w:hAnsi="Times New Roman" w:cs="Times New Roman"/>
          <w:sz w:val="24"/>
          <w:szCs w:val="24"/>
        </w:rPr>
        <w:t>individuals as dang</w:t>
      </w:r>
      <w:r w:rsidR="006B61BC" w:rsidRPr="0028426C">
        <w:rPr>
          <w:rFonts w:ascii="Times New Roman" w:hAnsi="Times New Roman" w:cs="Times New Roman"/>
          <w:sz w:val="24"/>
          <w:szCs w:val="24"/>
        </w:rPr>
        <w:t>erous or morally corrupt. Trans-</w:t>
      </w:r>
      <w:r w:rsidRPr="0028426C">
        <w:rPr>
          <w:rFonts w:ascii="Times New Roman" w:hAnsi="Times New Roman" w:cs="Times New Roman"/>
          <w:sz w:val="24"/>
          <w:szCs w:val="24"/>
        </w:rPr>
        <w:t>men and non</w:t>
      </w:r>
      <w:r w:rsidR="003215FC" w:rsidRPr="0028426C">
        <w:rPr>
          <w:rFonts w:ascii="Times New Roman" w:hAnsi="Times New Roman" w:cs="Times New Roman"/>
          <w:sz w:val="24"/>
          <w:szCs w:val="24"/>
        </w:rPr>
        <w:t>-</w:t>
      </w:r>
      <w:r w:rsidRPr="0028426C">
        <w:rPr>
          <w:rFonts w:ascii="Times New Roman" w:hAnsi="Times New Roman" w:cs="Times New Roman"/>
          <w:sz w:val="24"/>
          <w:szCs w:val="24"/>
        </w:rPr>
        <w:t>binary individuals disrupt binary gender norms, leading to discomfort and anger in some observers. However, the emotional responses toward these subgroups vary, partly due to lower public familiarity and distinct perceived threats.</w:t>
      </w:r>
    </w:p>
    <w:p w14:paraId="7AF4737F" w14:textId="098C565E"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Peer Influence </w:t>
      </w:r>
    </w:p>
    <w:p w14:paraId="111B547D" w14:textId="353D4BF8"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concept of peer influence originates from sociological and psychological observations that individuals often mirror the behaviors and attitudes of those around them—especially those within their age cohort. This concept gained academic traction in the mid-20th century through </w:t>
      </w:r>
      <w:r w:rsidRPr="0028426C">
        <w:rPr>
          <w:rFonts w:ascii="Times New Roman" w:hAnsi="Times New Roman" w:cs="Times New Roman"/>
          <w:sz w:val="24"/>
          <w:szCs w:val="24"/>
        </w:rPr>
        <w:lastRenderedPageBreak/>
        <w:t xml:space="preserve">the sociological construct of homophily, introduced by </w:t>
      </w:r>
      <w:proofErr w:type="spellStart"/>
      <w:r w:rsidRPr="0028426C">
        <w:rPr>
          <w:rFonts w:ascii="Times New Roman" w:hAnsi="Times New Roman" w:cs="Times New Roman"/>
          <w:sz w:val="24"/>
          <w:szCs w:val="24"/>
        </w:rPr>
        <w:t>Lazarsfeld</w:t>
      </w:r>
      <w:proofErr w:type="spellEnd"/>
      <w:r w:rsidRPr="0028426C">
        <w:rPr>
          <w:rFonts w:ascii="Times New Roman" w:hAnsi="Times New Roman" w:cs="Times New Roman"/>
          <w:sz w:val="24"/>
          <w:szCs w:val="24"/>
        </w:rPr>
        <w:t xml:space="preserve"> and Merton (1954), which describes the tendency for individuals to associate with others who are similar in background, interests, or values. As children grow, they begin to form friendships based on shared interests, values, and behaviors, creating environments where peer dynamics become powerful shapers of personal development. Peer influence, therefore, refers to the social pressure or modeling that occurs within peer relationships, leading individuals to adopt behaviors, values, or attitudes prevalent in their social group. Peer influence becomes especially potent during adolescence due to the developmental shifts that increase the salience of peer relationships over familial ones. During this stage, individuals begin to value autonomy and social validation, often seeking acceptance and status within their peer groups. This need for belonging makes them more susceptible to adopting the norms and behaviors of their peers, whether beneficial or harmful.</w:t>
      </w:r>
    </w:p>
    <w:p w14:paraId="118023C8" w14:textId="0B9830E1"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According to Laursen and Veenstra (2021), peer influence is defined as “instances where one person affects, or is affected by, one or multiple others who are similar in age.” </w:t>
      </w:r>
      <w:proofErr w:type="spellStart"/>
      <w:r w:rsidRPr="0028426C">
        <w:rPr>
          <w:rFonts w:ascii="Times New Roman" w:hAnsi="Times New Roman" w:cs="Times New Roman"/>
          <w:sz w:val="24"/>
          <w:szCs w:val="24"/>
        </w:rPr>
        <w:t>Prinstein</w:t>
      </w:r>
      <w:proofErr w:type="spellEnd"/>
      <w:r w:rsidRPr="0028426C">
        <w:rPr>
          <w:rFonts w:ascii="Times New Roman" w:hAnsi="Times New Roman" w:cs="Times New Roman"/>
          <w:sz w:val="24"/>
          <w:szCs w:val="24"/>
        </w:rPr>
        <w:t xml:space="preserve"> and Dodge (2008) describe peer influence as “remarkably potent,” noting its effects across a broad array of behaviors including internalizing symptoms (like depression), externalizing behaviors (like aggression), academic performance, substance use, and even physical health habits. Notably, these influences are not merely anecdotal; they are consistently</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observed in longitudinal and experimental research designs.</w:t>
      </w:r>
    </w:p>
    <w:p w14:paraId="2A509D82" w14:textId="31C09B62" w:rsidR="00997D6D" w:rsidRPr="0028426C" w:rsidRDefault="00997D6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Peer Influence</w:t>
      </w:r>
    </w:p>
    <w:p w14:paraId="75224458" w14:textId="7DB61E3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Multiple theoretical models have been developed to explain how and why peer influence occurs. Each framework offers a unique lens for understanding the mechanisms behind peer effects, especially during adolescence.</w:t>
      </w:r>
    </w:p>
    <w:p w14:paraId="3EA4DB8E" w14:textId="4515C81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Learning Theory (Bandura, 1971)</w:t>
      </w:r>
    </w:p>
    <w:p w14:paraId="49D5CADC" w14:textId="4E1E995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This theory posits that individuals learn by observing and imitating others, especially when those behaviors are reinforced or rewarded. In peer groups, behaviors that receive approval—such as being rebellious, athletic, or academically successful—are more likely to be adopted by observers. Adolescents often model the behaviors of peers who hold higher social </w:t>
      </w:r>
      <w:r w:rsidR="003215FC" w:rsidRPr="0028426C">
        <w:rPr>
          <w:rFonts w:ascii="Times New Roman" w:hAnsi="Times New Roman" w:cs="Times New Roman"/>
          <w:sz w:val="24"/>
          <w:szCs w:val="24"/>
        </w:rPr>
        <w:t>status;</w:t>
      </w:r>
      <w:r w:rsidRPr="0028426C">
        <w:rPr>
          <w:rFonts w:ascii="Times New Roman" w:hAnsi="Times New Roman" w:cs="Times New Roman"/>
          <w:sz w:val="24"/>
          <w:szCs w:val="24"/>
        </w:rPr>
        <w:t xml:space="preserve"> as such individuals are seen as aspirational figures. Social reinforcement, such as praise, acceptance, or </w:t>
      </w:r>
      <w:r w:rsidRPr="0028426C">
        <w:rPr>
          <w:rFonts w:ascii="Times New Roman" w:hAnsi="Times New Roman" w:cs="Times New Roman"/>
          <w:sz w:val="24"/>
          <w:szCs w:val="24"/>
        </w:rPr>
        <w:lastRenderedPageBreak/>
        <w:t>increased popularity, strengthens the likelihood of imitation. This theory helps explain behaviors ranging from substance use to volunteering.</w:t>
      </w:r>
    </w:p>
    <w:p w14:paraId="29D42959" w14:textId="6FAA94E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Identity and Self-Categorization</w:t>
      </w:r>
      <w:r w:rsidRPr="0028426C">
        <w:rPr>
          <w:rFonts w:ascii="Times New Roman" w:hAnsi="Times New Roman" w:cs="Times New Roman"/>
          <w:sz w:val="24"/>
          <w:szCs w:val="24"/>
        </w:rPr>
        <w:t xml:space="preserve"> </w:t>
      </w:r>
      <w:r w:rsidRPr="0028426C">
        <w:rPr>
          <w:rFonts w:ascii="Times New Roman" w:hAnsi="Times New Roman" w:cs="Times New Roman"/>
          <w:b/>
          <w:sz w:val="24"/>
          <w:szCs w:val="24"/>
        </w:rPr>
        <w:t>Theories</w:t>
      </w:r>
      <w:r w:rsidRPr="0028426C">
        <w:rPr>
          <w:rFonts w:ascii="Times New Roman" w:hAnsi="Times New Roman" w:cs="Times New Roman"/>
          <w:sz w:val="24"/>
          <w:szCs w:val="24"/>
        </w:rPr>
        <w:t xml:space="preserve"> </w:t>
      </w:r>
    </w:p>
    <w:p w14:paraId="1F4EB518" w14:textId="75D48B4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These theories argue that people derive their self-concept from their group affiliations. During adolescence, individuals are especially sensitive to the norms and expectations of their peer groups, and they may change their behaviors to align with group standards in or</w:t>
      </w:r>
      <w:r w:rsidR="003215FC" w:rsidRPr="0028426C">
        <w:rPr>
          <w:rFonts w:ascii="Times New Roman" w:hAnsi="Times New Roman" w:cs="Times New Roman"/>
          <w:sz w:val="24"/>
          <w:szCs w:val="24"/>
        </w:rPr>
        <w:t>der to maintain a positive self-</w:t>
      </w:r>
      <w:r w:rsidRPr="0028426C">
        <w:rPr>
          <w:rFonts w:ascii="Times New Roman" w:hAnsi="Times New Roman" w:cs="Times New Roman"/>
          <w:sz w:val="24"/>
          <w:szCs w:val="24"/>
        </w:rPr>
        <w:t>image and sense of belonging. Abrams and Hogg (1990) suggest that conformity to peer behavior provides social validation and reinforces group identity. This internal motivation to “fit in” explains why adolescents may adopt even risky or deviant behaviors if such actions are valued within their peer context.</w:t>
      </w:r>
    </w:p>
    <w:p w14:paraId="2986142A" w14:textId="7E1FBE6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Influence-Compatibility Model</w:t>
      </w:r>
      <w:r w:rsidRPr="0028426C">
        <w:rPr>
          <w:rFonts w:ascii="Times New Roman" w:hAnsi="Times New Roman" w:cs="Times New Roman"/>
          <w:sz w:val="24"/>
          <w:szCs w:val="24"/>
        </w:rPr>
        <w:t xml:space="preserve"> (Laursen &amp; Veenstra, 2021) </w:t>
      </w:r>
    </w:p>
    <w:p w14:paraId="7FB3825A" w14:textId="1DA31BF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This model integrates developmental and social compatibility perspectives to explain why peer influence is particularly potent during adolescence. It proposes that the function of peer influence is to increase similarity within peer groups, promoting cohesion and reducing conflict. Adolescents, aware of the social risks of nonconformity—such as exclusion or ridicule—are motivated to align with their peers to maintain harmony and avoid being marginalized. This process is especially critical in early to mid-adolescence, a period marked by identity exploration, school transitions, and heightened emotional sensitivity to peer feedback.</w:t>
      </w:r>
    </w:p>
    <w:p w14:paraId="249CBC12" w14:textId="22D971A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Selection and Socialization Framework</w:t>
      </w:r>
      <w:r w:rsidRPr="0028426C">
        <w:rPr>
          <w:rFonts w:ascii="Times New Roman" w:hAnsi="Times New Roman" w:cs="Times New Roman"/>
          <w:sz w:val="24"/>
          <w:szCs w:val="24"/>
        </w:rPr>
        <w:t xml:space="preserve"> (Kandel, 1978)</w:t>
      </w:r>
    </w:p>
    <w:p w14:paraId="7C17F940" w14:textId="63446F8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Kandel’s model distinguishes between selection effects—where individuals choose peers with similar behaviors or interests—and socialization effects—where individuals become more like their peers over time due to interaction. This dual-process model has been validated in studies on everything from academic performance to substance use. Selection and socialization together help explain the emergence of homophily in peer networks, where individuals in the same group tend to behave similarly due to both initial compatibility and subsequent influence.</w:t>
      </w:r>
    </w:p>
    <w:p w14:paraId="3EC2142C" w14:textId="0AEAF376" w:rsidR="00250CAC" w:rsidRPr="0028426C" w:rsidRDefault="00250CAC"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Developmental Neuroscience Perspectives </w:t>
      </w:r>
    </w:p>
    <w:p w14:paraId="63019200" w14:textId="5F80668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Recent studies in developmental neuroscience have found that adolescents experience heightened</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sensitivity to social rewards and punishments due to the rapid development of brain regions involved in emotion regulation and social processing. For example, the limbic system, which processes reward and social stimuli, matures faster than the prefrontal cortex, which governs decision-making and impulse control (Chein et al., 2011). This imbalance makes adolescents more responsive to peer approval and more prone to risk-taking in social contexts. These findings support the idea that peer presence can dramatically alter adolescent decision-making.</w:t>
      </w:r>
    </w:p>
    <w:p w14:paraId="4E4AEE8E" w14:textId="728AA1C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Ecological Systems Theory </w:t>
      </w:r>
      <w:r w:rsidRPr="0028426C">
        <w:rPr>
          <w:rFonts w:ascii="Times New Roman" w:hAnsi="Times New Roman" w:cs="Times New Roman"/>
          <w:sz w:val="24"/>
          <w:szCs w:val="24"/>
        </w:rPr>
        <w:t>(Bronfenbrenner,1979)</w:t>
      </w:r>
    </w:p>
    <w:p w14:paraId="568A53A6" w14:textId="77777777" w:rsidR="00121FE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This theory posits that development is influenced by multiple levels of environmental systems, from immediate family and peers (microsystem) to broader cultural values (macrosystem). Peer influence is understood within this model as a proximal process—one of the key drivers of development within an individual's immediate environment. Changes in school structure, such as transitions to middle school, often reduce adult supervision and increase peer interactions, thereby magnifying the influence of peers on behavior.</w:t>
      </w:r>
    </w:p>
    <w:p w14:paraId="59C4787A" w14:textId="6897DBA9" w:rsidR="002814B2"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conclude, </w:t>
      </w:r>
      <w:r w:rsidR="00250CAC" w:rsidRPr="0028426C">
        <w:rPr>
          <w:rFonts w:ascii="Times New Roman" w:hAnsi="Times New Roman" w:cs="Times New Roman"/>
          <w:sz w:val="24"/>
          <w:szCs w:val="24"/>
        </w:rPr>
        <w:t xml:space="preserve">Peer influence is a powerful, multifaceted force that plays a central role in shaping the developmental trajectories of children and adolescents. Rooted in ancient philosophical ideas and developed through decades of empirical research, it encompasses both the selection of peers and the dynamic process of behavioral adaptation. </w:t>
      </w:r>
    </w:p>
    <w:p w14:paraId="17345FD0" w14:textId="4B6D13B4"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Alexithymia </w:t>
      </w:r>
    </w:p>
    <w:p w14:paraId="031C2ABA" w14:textId="1884D923" w:rsidR="00021654" w:rsidRPr="0028426C" w:rsidRDefault="004D42B3"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of human emotion has long fascinated researchers across psychology, neuroscience, psychiatry, and philosophy. Emotions not only inform how individuals perceive and interact with the world but also guide adaptive responses and decision-making processes in complex social environments. A significant body of research has now focused on a specific emotional processing deficit termed "alexithymia," which refers to an individual’s difficulty in identifying, understanding, and verbally expressing emotions. The term "alexithymia" is</w:t>
      </w:r>
      <w:r w:rsidR="00FF72C1" w:rsidRPr="0028426C">
        <w:rPr>
          <w:rFonts w:ascii="Times New Roman" w:hAnsi="Times New Roman" w:cs="Times New Roman"/>
          <w:sz w:val="24"/>
          <w:szCs w:val="24"/>
        </w:rPr>
        <w:t xml:space="preserve"> derived from the Greek roots: “a” (lack), “lexis” (word), and “</w:t>
      </w:r>
      <w:proofErr w:type="spellStart"/>
      <w:r w:rsidR="00FF72C1" w:rsidRPr="0028426C">
        <w:rPr>
          <w:rFonts w:ascii="Times New Roman" w:hAnsi="Times New Roman" w:cs="Times New Roman"/>
          <w:sz w:val="24"/>
          <w:szCs w:val="24"/>
        </w:rPr>
        <w:t>thymos</w:t>
      </w:r>
      <w:proofErr w:type="spellEnd"/>
      <w:r w:rsidR="00FF72C1" w:rsidRPr="0028426C">
        <w:rPr>
          <w:rFonts w:ascii="Times New Roman" w:hAnsi="Times New Roman" w:cs="Times New Roman"/>
          <w:sz w:val="24"/>
          <w:szCs w:val="24"/>
        </w:rPr>
        <w:t>”</w:t>
      </w:r>
      <w:r w:rsidRPr="0028426C">
        <w:rPr>
          <w:rFonts w:ascii="Times New Roman" w:hAnsi="Times New Roman" w:cs="Times New Roman"/>
          <w:sz w:val="24"/>
          <w:szCs w:val="24"/>
        </w:rPr>
        <w:t xml:space="preserve"> (emotion), meaning "no words for emotions." This term was first introduced by psychiatrist Peter Sifneos in the early 1970s, who observed that many psychosomatic patients exhibited impoverished emotional awareness and had difficulty expressing their feelings verbally (Sifneos, 1973). These patients also </w:t>
      </w:r>
      <w:r w:rsidRPr="0028426C">
        <w:rPr>
          <w:rFonts w:ascii="Times New Roman" w:hAnsi="Times New Roman" w:cs="Times New Roman"/>
          <w:sz w:val="24"/>
          <w:szCs w:val="24"/>
        </w:rPr>
        <w:lastRenderedPageBreak/>
        <w:t xml:space="preserve">demonstrated an externally-oriented thinking style, often focusing on factual or material aspects of life while neglecting inner experiences. </w:t>
      </w:r>
      <w:r w:rsidR="00FF72C1" w:rsidRPr="0028426C">
        <w:rPr>
          <w:rFonts w:ascii="Times New Roman" w:hAnsi="Times New Roman" w:cs="Times New Roman"/>
          <w:sz w:val="24"/>
          <w:szCs w:val="24"/>
        </w:rPr>
        <w:t xml:space="preserve">Nemiah, Freyberger, and Sifneos (1976) elaborated on the original concept and outlined four core features of alexithymia: (1) difficulty in identifying feelings and distinguishing them from bodily sensations; (2) difficulty describing feelings to others; (3) limited imaginative processes, evidenced by a scarcity of fantasies; and (4) an externally-oriented cognitive style that avoids introspection. These defining characteristics laid the foundation for the development of reliable psychometric measures, most notably the Toronto Alexithymia Scale (TAS-20) developed by Bagby, Parker, and Taylor (1994), which identifies three primary factors: Difficulty Identifying Feelings (DIF), Difficulty Describing Feelings (DDF), and Externally-Oriented Thinking (EOT). </w:t>
      </w:r>
    </w:p>
    <w:p w14:paraId="6A9FC323" w14:textId="3299B416"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Alexithymia</w:t>
      </w:r>
    </w:p>
    <w:p w14:paraId="5150FCBD" w14:textId="568194B0"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Several theoretical models have been proposed to explain the development, maintenance, and manifestations of alexithymia. These include psychodynamic theories, trait and developmental models, emotion regulation perspectives, n</w:t>
      </w:r>
      <w:r w:rsidR="00121FEC" w:rsidRPr="0028426C">
        <w:rPr>
          <w:rFonts w:ascii="Times New Roman" w:hAnsi="Times New Roman" w:cs="Times New Roman"/>
          <w:sz w:val="24"/>
          <w:szCs w:val="24"/>
        </w:rPr>
        <w:t xml:space="preserve">eurobiological frameworks, and </w:t>
      </w:r>
      <w:r w:rsidRPr="0028426C">
        <w:rPr>
          <w:rFonts w:ascii="Times New Roman" w:hAnsi="Times New Roman" w:cs="Times New Roman"/>
          <w:sz w:val="24"/>
          <w:szCs w:val="24"/>
        </w:rPr>
        <w:t xml:space="preserve">computational neuroscience models. </w:t>
      </w:r>
    </w:p>
    <w:p w14:paraId="2AFCB8BA" w14:textId="77777777" w:rsidR="00FF72C1" w:rsidRPr="0028426C" w:rsidRDefault="0011339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1.3.2</w:t>
      </w:r>
      <w:r w:rsidR="00FF72C1" w:rsidRPr="0028426C">
        <w:rPr>
          <w:rFonts w:ascii="Times New Roman" w:hAnsi="Times New Roman" w:cs="Times New Roman"/>
          <w:b/>
          <w:sz w:val="24"/>
          <w:szCs w:val="24"/>
        </w:rPr>
        <w:t xml:space="preserve"> Psychodynamic and Developmental Theories</w:t>
      </w:r>
    </w:p>
    <w:p w14:paraId="203D89D2" w14:textId="18A4A359"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psychodynamic perspective posits that alexithymia </w:t>
      </w:r>
      <w:r w:rsidR="005372CB" w:rsidRPr="0028426C">
        <w:rPr>
          <w:rFonts w:ascii="Times New Roman" w:hAnsi="Times New Roman" w:cs="Times New Roman"/>
          <w:sz w:val="24"/>
          <w:szCs w:val="24"/>
        </w:rPr>
        <w:t xml:space="preserve">may arise from early childhood </w:t>
      </w:r>
      <w:r w:rsidRPr="0028426C">
        <w:rPr>
          <w:rFonts w:ascii="Times New Roman" w:hAnsi="Times New Roman" w:cs="Times New Roman"/>
          <w:sz w:val="24"/>
          <w:szCs w:val="24"/>
        </w:rPr>
        <w:t>trauma or emotional neglect, leading to the repression or avoi</w:t>
      </w:r>
      <w:r w:rsidR="00121FEC" w:rsidRPr="0028426C">
        <w:rPr>
          <w:rFonts w:ascii="Times New Roman" w:hAnsi="Times New Roman" w:cs="Times New Roman"/>
          <w:sz w:val="24"/>
          <w:szCs w:val="24"/>
        </w:rPr>
        <w:t xml:space="preserve">dance of emotional experiences </w:t>
      </w:r>
      <w:r w:rsidRPr="0028426C">
        <w:rPr>
          <w:rFonts w:ascii="Times New Roman" w:hAnsi="Times New Roman" w:cs="Times New Roman"/>
          <w:sz w:val="24"/>
          <w:szCs w:val="24"/>
        </w:rPr>
        <w:t xml:space="preserve">(Krystal, 1988). Emotional development is viewed as a product of secure attachment and emotional mirroring by caregivers, and disruptions in these processes may hinder the child's ability to identify and verbalize </w:t>
      </w:r>
      <w:r w:rsidR="00121FEC" w:rsidRPr="0028426C">
        <w:rPr>
          <w:rFonts w:ascii="Times New Roman" w:hAnsi="Times New Roman" w:cs="Times New Roman"/>
          <w:sz w:val="24"/>
          <w:szCs w:val="24"/>
        </w:rPr>
        <w:t>emotions. Longitudinal</w:t>
      </w:r>
      <w:r w:rsidRPr="0028426C">
        <w:rPr>
          <w:rFonts w:ascii="Times New Roman" w:hAnsi="Times New Roman" w:cs="Times New Roman"/>
          <w:sz w:val="24"/>
          <w:szCs w:val="24"/>
        </w:rPr>
        <w:t xml:space="preserve"> studies have demonstrated that adverse childhood experiences, including abuse, neglect, and family dysfunction, are associated with elevated alexithymia in adulthood (Aust et al., 2013; Bermond et al., 2008). </w:t>
      </w:r>
    </w:p>
    <w:p w14:paraId="73DCF88E" w14:textId="4D9E85B6"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Trait and Dimensional Perspective</w:t>
      </w:r>
      <w:r w:rsidRPr="0028426C">
        <w:rPr>
          <w:rFonts w:ascii="Times New Roman" w:hAnsi="Times New Roman" w:cs="Times New Roman"/>
          <w:sz w:val="24"/>
          <w:szCs w:val="24"/>
        </w:rPr>
        <w:t xml:space="preserve"> </w:t>
      </w:r>
    </w:p>
    <w:p w14:paraId="49942BA7" w14:textId="32AEB200"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Modern psychological theories view alexithymia as a stable personality trait rather than a transient state. This conceptualization allows for the study of alexithymia in both clinical and non-clinical populations. Trait alexithymia is considered to have moderate heritability and stable expression over time, though environmental factors such as trauma and socialization play </w:t>
      </w:r>
      <w:r w:rsidRPr="0028426C">
        <w:rPr>
          <w:rFonts w:ascii="Times New Roman" w:hAnsi="Times New Roman" w:cs="Times New Roman"/>
          <w:sz w:val="24"/>
          <w:szCs w:val="24"/>
        </w:rPr>
        <w:lastRenderedPageBreak/>
        <w:t xml:space="preserve">significant roles in its development. It shares conceptual overlap with other personality traits such as neuroticism and low openness to experience (Taylor et al., 1997). </w:t>
      </w:r>
    </w:p>
    <w:p w14:paraId="545B80DB" w14:textId="557C692A"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Emotion Regulation Deficit Model</w:t>
      </w:r>
    </w:p>
    <w:p w14:paraId="5BE4E9C2" w14:textId="653A10FF"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Another perspective views alexithymia as a core deficit in emotional regulation—the process by which individuals monitor, evaluate, and modify their emotional reactions. Preece et al. (2017) conceptualized alexithymia as a breakdown in two key stages of emotion regulation: </w:t>
      </w:r>
      <w:r w:rsidR="00121FEC" w:rsidRPr="0028426C">
        <w:rPr>
          <w:rFonts w:ascii="Times New Roman" w:hAnsi="Times New Roman" w:cs="Times New Roman"/>
          <w:sz w:val="24"/>
          <w:szCs w:val="24"/>
        </w:rPr>
        <w:t xml:space="preserve">(1) </w:t>
      </w:r>
      <w:r w:rsidRPr="0028426C">
        <w:rPr>
          <w:rFonts w:ascii="Times New Roman" w:hAnsi="Times New Roman" w:cs="Times New Roman"/>
          <w:sz w:val="24"/>
          <w:szCs w:val="24"/>
        </w:rPr>
        <w:t>attention to emotional stimuli and (2) appraisal of emotional meaning. Individuals high in alexithymia often fail to effectively engage with or label their emotions, which impedes adaptive coping and increases vulnerability to mood disorders, addictive behaviors, and interpersonal conflicts (Barrett et al., 2001; Swart et al., 2009).</w:t>
      </w:r>
    </w:p>
    <w:p w14:paraId="77E8AD69" w14:textId="171E199C" w:rsidR="005D63DA" w:rsidRPr="0028426C" w:rsidRDefault="005D63DA"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 </w:t>
      </w:r>
      <w:r w:rsidR="00FF72C1" w:rsidRPr="0028426C">
        <w:rPr>
          <w:rFonts w:ascii="Times New Roman" w:hAnsi="Times New Roman" w:cs="Times New Roman"/>
          <w:b/>
          <w:sz w:val="24"/>
          <w:szCs w:val="24"/>
        </w:rPr>
        <w:t>Neurobiological Models</w:t>
      </w:r>
    </w:p>
    <w:p w14:paraId="55D46B5B" w14:textId="78C9434B" w:rsidR="005D63DA"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Neuroscientific research has greatly enhanced our </w:t>
      </w:r>
      <w:r w:rsidR="005D63DA" w:rsidRPr="0028426C">
        <w:rPr>
          <w:rFonts w:ascii="Times New Roman" w:hAnsi="Times New Roman" w:cs="Times New Roman"/>
          <w:sz w:val="24"/>
          <w:szCs w:val="24"/>
        </w:rPr>
        <w:t>u</w:t>
      </w:r>
      <w:r w:rsidR="00121FEC" w:rsidRPr="0028426C">
        <w:rPr>
          <w:rFonts w:ascii="Times New Roman" w:hAnsi="Times New Roman" w:cs="Times New Roman"/>
          <w:sz w:val="24"/>
          <w:szCs w:val="24"/>
        </w:rPr>
        <w:t>nderstanding of alexithymia by</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identifying the neural circuits implicated in emotional processing and awareness. </w:t>
      </w:r>
      <w:r w:rsidR="00121FEC" w:rsidRPr="0028426C">
        <w:rPr>
          <w:rFonts w:ascii="Times New Roman" w:hAnsi="Times New Roman" w:cs="Times New Roman"/>
          <w:sz w:val="24"/>
          <w:szCs w:val="24"/>
        </w:rPr>
        <w:t>Structural and</w:t>
      </w:r>
      <w:r w:rsidR="00FF72C1" w:rsidRPr="0028426C">
        <w:rPr>
          <w:rFonts w:ascii="Times New Roman" w:hAnsi="Times New Roman" w:cs="Times New Roman"/>
          <w:sz w:val="24"/>
          <w:szCs w:val="24"/>
        </w:rPr>
        <w:t xml:space="preserve"> functional imaging studies indicate that alexithymia is associated with hypoactivity and volume reductions in the anterior insula (</w:t>
      </w:r>
      <w:proofErr w:type="spellStart"/>
      <w:r w:rsidR="00FF72C1" w:rsidRPr="0028426C">
        <w:rPr>
          <w:rFonts w:ascii="Times New Roman" w:hAnsi="Times New Roman" w:cs="Times New Roman"/>
          <w:sz w:val="24"/>
          <w:szCs w:val="24"/>
        </w:rPr>
        <w:t>aINS</w:t>
      </w:r>
      <w:proofErr w:type="spellEnd"/>
      <w:r w:rsidR="00FF72C1" w:rsidRPr="0028426C">
        <w:rPr>
          <w:rFonts w:ascii="Times New Roman" w:hAnsi="Times New Roman" w:cs="Times New Roman"/>
          <w:sz w:val="24"/>
          <w:szCs w:val="24"/>
        </w:rPr>
        <w:t>), anterior cingulate cortex (ACC), and prefrontal cortex (PFC)—regions crucial for interoce</w:t>
      </w:r>
      <w:r w:rsidR="00813C46" w:rsidRPr="0028426C">
        <w:rPr>
          <w:rFonts w:ascii="Times New Roman" w:hAnsi="Times New Roman" w:cs="Times New Roman"/>
          <w:sz w:val="24"/>
          <w:szCs w:val="24"/>
        </w:rPr>
        <w:t>ption, emotional awareness, and</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cognitive regulation (Bird et al., 2010; van der Velde et al., 2013; Hogeveen et al., 2019). </w:t>
      </w:r>
    </w:p>
    <w:p w14:paraId="51277350" w14:textId="20DB4621" w:rsidR="005D63DA" w:rsidRPr="0028426C" w:rsidRDefault="00FF72C1"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Computational Neuroscience Models</w:t>
      </w:r>
    </w:p>
    <w:p w14:paraId="0EB3A7D3" w14:textId="0ACF6C62" w:rsidR="00FD2F10"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More recently, computational models have offered mechanistic explanations of alexithymia through the lens of neurocomputational processes. Smith et al. (2019) proposed that alexithymia may result from impaired generative models of emotional awareness, including biased prior expectations, poor emotion concept acquisition, and reduced emotional metacognition. These models integrate Bayesian frameworks with emotion processing, positing that the brain's failure to accurately infer internal emotional states underlies the cognitive-affective disruptions seen in alexithymia.</w:t>
      </w:r>
    </w:p>
    <w:p w14:paraId="2164D8D8" w14:textId="7C8810A3" w:rsidR="00B17B41" w:rsidRPr="00B17B41" w:rsidRDefault="00817B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In conclusion, alexithymia is a multifaceted construct with profound theoretical and clinical significance. As research continues to evolve, particularly with advancements in neuroimaging and computational modeling, a more integrated and nuanced understanding of alexithymia is </w:t>
      </w:r>
      <w:r w:rsidRPr="0028426C">
        <w:rPr>
          <w:rFonts w:ascii="Times New Roman" w:hAnsi="Times New Roman" w:cs="Times New Roman"/>
          <w:sz w:val="24"/>
          <w:szCs w:val="24"/>
        </w:rPr>
        <w:lastRenderedPageBreak/>
        <w:t>emerging—one that has the potential to inform clinical interventions, diagnostic assessments, and therapeutic approaches across a wide range of psychiatric and neurological domains</w:t>
      </w:r>
      <w:r w:rsidR="00884034">
        <w:rPr>
          <w:rFonts w:ascii="Times New Roman" w:hAnsi="Times New Roman" w:cs="Times New Roman"/>
          <w:sz w:val="24"/>
          <w:szCs w:val="24"/>
        </w:rPr>
        <w:t>.</w:t>
      </w:r>
    </w:p>
    <w:p w14:paraId="79B0C4F3" w14:textId="53009268" w:rsidR="00E24F54"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REVIEW OF LITERATURE</w:t>
      </w:r>
    </w:p>
    <w:p w14:paraId="6B69368A" w14:textId="77777777" w:rsidR="00326ACB" w:rsidRDefault="00C35891" w:rsidP="00CD2A7B">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35891">
        <w:rPr>
          <w:rFonts w:ascii="Times New Roman" w:hAnsi="Times New Roman" w:cs="Times New Roman"/>
          <w:sz w:val="24"/>
          <w:szCs w:val="24"/>
        </w:rPr>
        <w:t>he present study seeks to systematically examine existing scholarly work to contextualize the relationship between peer influence, alexithymia, and transphobia, thereby providing a foundation for the subsequent review of literature.</w:t>
      </w:r>
    </w:p>
    <w:p w14:paraId="35C1CB5D" w14:textId="0B9EEFFB" w:rsidR="00351E63" w:rsidRPr="0028426C" w:rsidRDefault="00351E63"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Transphobia</w:t>
      </w:r>
    </w:p>
    <w:p w14:paraId="59364F1A" w14:textId="34DF987B"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by Cabrera et al. (2021) investigates the underlying ps</w:t>
      </w:r>
      <w:r w:rsidR="000E4213" w:rsidRPr="0028426C">
        <w:rPr>
          <w:rFonts w:ascii="Times New Roman" w:hAnsi="Times New Roman" w:cs="Times New Roman"/>
          <w:sz w:val="24"/>
          <w:szCs w:val="24"/>
        </w:rPr>
        <w:t xml:space="preserve">ychological and social factors </w:t>
      </w:r>
      <w:r w:rsidRPr="0028426C">
        <w:rPr>
          <w:rFonts w:ascii="Times New Roman" w:hAnsi="Times New Roman" w:cs="Times New Roman"/>
          <w:sz w:val="24"/>
          <w:szCs w:val="24"/>
        </w:rPr>
        <w:t>associated with transphobia and gender bashing among adolescents and emer</w:t>
      </w:r>
      <w:r w:rsidR="000E4213" w:rsidRPr="0028426C">
        <w:rPr>
          <w:rFonts w:ascii="Times New Roman" w:hAnsi="Times New Roman" w:cs="Times New Roman"/>
          <w:sz w:val="24"/>
          <w:szCs w:val="24"/>
        </w:rPr>
        <w:t xml:space="preserve">ging adults. The </w:t>
      </w:r>
      <w:r w:rsidRPr="0028426C">
        <w:rPr>
          <w:rFonts w:ascii="Times New Roman" w:hAnsi="Times New Roman" w:cs="Times New Roman"/>
          <w:sz w:val="24"/>
          <w:szCs w:val="24"/>
        </w:rPr>
        <w:t xml:space="preserve">authors examine variables such as social reputation, family </w:t>
      </w:r>
      <w:r w:rsidR="000E4213" w:rsidRPr="0028426C">
        <w:rPr>
          <w:rFonts w:ascii="Times New Roman" w:hAnsi="Times New Roman" w:cs="Times New Roman"/>
          <w:sz w:val="24"/>
          <w:szCs w:val="24"/>
        </w:rPr>
        <w:t xml:space="preserve">socialization styles, Big Five </w:t>
      </w:r>
      <w:r w:rsidRPr="0028426C">
        <w:rPr>
          <w:rFonts w:ascii="Times New Roman" w:hAnsi="Times New Roman" w:cs="Times New Roman"/>
          <w:sz w:val="24"/>
          <w:szCs w:val="24"/>
        </w:rPr>
        <w:t>personality traits, and aggressiveness, using a sample of 479 ad</w:t>
      </w:r>
      <w:r w:rsidR="000E4213" w:rsidRPr="0028426C">
        <w:rPr>
          <w:rFonts w:ascii="Times New Roman" w:hAnsi="Times New Roman" w:cs="Times New Roman"/>
          <w:sz w:val="24"/>
          <w:szCs w:val="24"/>
        </w:rPr>
        <w:t xml:space="preserve">olescents. Their findings show </w:t>
      </w:r>
      <w:r w:rsidRPr="0028426C">
        <w:rPr>
          <w:rFonts w:ascii="Times New Roman" w:hAnsi="Times New Roman" w:cs="Times New Roman"/>
          <w:sz w:val="24"/>
          <w:szCs w:val="24"/>
        </w:rPr>
        <w:t>that while transphobia is largely associated with affective and</w:t>
      </w:r>
      <w:r w:rsidR="000E4213" w:rsidRPr="0028426C">
        <w:rPr>
          <w:rFonts w:ascii="Times New Roman" w:hAnsi="Times New Roman" w:cs="Times New Roman"/>
          <w:sz w:val="24"/>
          <w:szCs w:val="24"/>
        </w:rPr>
        <w:t xml:space="preserve"> personality-related variables—</w:t>
      </w:r>
      <w:r w:rsidRPr="0028426C">
        <w:rPr>
          <w:rFonts w:ascii="Times New Roman" w:hAnsi="Times New Roman" w:cs="Times New Roman"/>
          <w:sz w:val="24"/>
          <w:szCs w:val="24"/>
        </w:rPr>
        <w:t>especially low agreeableness and openness to experience—g</w:t>
      </w:r>
      <w:r w:rsidR="000E4213" w:rsidRPr="0028426C">
        <w:rPr>
          <w:rFonts w:ascii="Times New Roman" w:hAnsi="Times New Roman" w:cs="Times New Roman"/>
          <w:sz w:val="24"/>
          <w:szCs w:val="24"/>
        </w:rPr>
        <w:t xml:space="preserve">ender bashing is more socially </w:t>
      </w:r>
      <w:r w:rsidRPr="0028426C">
        <w:rPr>
          <w:rFonts w:ascii="Times New Roman" w:hAnsi="Times New Roman" w:cs="Times New Roman"/>
          <w:sz w:val="24"/>
          <w:szCs w:val="24"/>
        </w:rPr>
        <w:t>influenced, especially by the desire to gain peer approval. The stud</w:t>
      </w:r>
      <w:r w:rsidR="000E4213" w:rsidRPr="0028426C">
        <w:rPr>
          <w:rFonts w:ascii="Times New Roman" w:hAnsi="Times New Roman" w:cs="Times New Roman"/>
          <w:sz w:val="24"/>
          <w:szCs w:val="24"/>
        </w:rPr>
        <w:t xml:space="preserve">y also notes that males report </w:t>
      </w:r>
      <w:r w:rsidRPr="0028426C">
        <w:rPr>
          <w:rFonts w:ascii="Times New Roman" w:hAnsi="Times New Roman" w:cs="Times New Roman"/>
          <w:sz w:val="24"/>
          <w:szCs w:val="24"/>
        </w:rPr>
        <w:t>significantly higher levels of transphobia and gender bashing th</w:t>
      </w:r>
      <w:r w:rsidR="000E4213" w:rsidRPr="0028426C">
        <w:rPr>
          <w:rFonts w:ascii="Times New Roman" w:hAnsi="Times New Roman" w:cs="Times New Roman"/>
          <w:sz w:val="24"/>
          <w:szCs w:val="24"/>
        </w:rPr>
        <w:t xml:space="preserve">an females. </w:t>
      </w:r>
    </w:p>
    <w:p w14:paraId="322172B8" w14:textId="00E98180"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Costa and Davies (2012) explore Portuguese adolescents</w:t>
      </w:r>
      <w:r w:rsidR="000E4213" w:rsidRPr="0028426C">
        <w:rPr>
          <w:rFonts w:ascii="Times New Roman" w:hAnsi="Times New Roman" w:cs="Times New Roman"/>
          <w:sz w:val="24"/>
          <w:szCs w:val="24"/>
        </w:rPr>
        <w:t xml:space="preserve">’ attitudes toward transgender </w:t>
      </w:r>
      <w:r w:rsidRPr="0028426C">
        <w:rPr>
          <w:rFonts w:ascii="Times New Roman" w:hAnsi="Times New Roman" w:cs="Times New Roman"/>
          <w:sz w:val="24"/>
          <w:szCs w:val="24"/>
        </w:rPr>
        <w:t>individuals, lesbians, and gay men, and how these attitudes corre</w:t>
      </w:r>
      <w:r w:rsidR="000E4213" w:rsidRPr="0028426C">
        <w:rPr>
          <w:rFonts w:ascii="Times New Roman" w:hAnsi="Times New Roman" w:cs="Times New Roman"/>
          <w:sz w:val="24"/>
          <w:szCs w:val="24"/>
        </w:rPr>
        <w:t xml:space="preserve">late with gender role beliefs. </w:t>
      </w:r>
      <w:r w:rsidRPr="0028426C">
        <w:rPr>
          <w:rFonts w:ascii="Times New Roman" w:hAnsi="Times New Roman" w:cs="Times New Roman"/>
          <w:sz w:val="24"/>
          <w:szCs w:val="24"/>
        </w:rPr>
        <w:t xml:space="preserve">With a sample of 188 high school students, the study reveals </w:t>
      </w:r>
      <w:r w:rsidR="000E4213" w:rsidRPr="0028426C">
        <w:rPr>
          <w:rFonts w:ascii="Times New Roman" w:hAnsi="Times New Roman" w:cs="Times New Roman"/>
          <w:sz w:val="24"/>
          <w:szCs w:val="24"/>
        </w:rPr>
        <w:t xml:space="preserve">that negative attitudes toward </w:t>
      </w:r>
      <w:r w:rsidRPr="0028426C">
        <w:rPr>
          <w:rFonts w:ascii="Times New Roman" w:hAnsi="Times New Roman" w:cs="Times New Roman"/>
          <w:sz w:val="24"/>
          <w:szCs w:val="24"/>
        </w:rPr>
        <w:t>transgender individuals are significantly associated with homophobia and tradition</w:t>
      </w:r>
      <w:r w:rsidR="000E4213" w:rsidRPr="0028426C">
        <w:rPr>
          <w:rFonts w:ascii="Times New Roman" w:hAnsi="Times New Roman" w:cs="Times New Roman"/>
          <w:sz w:val="24"/>
          <w:szCs w:val="24"/>
        </w:rPr>
        <w:t xml:space="preserve">al gender </w:t>
      </w:r>
      <w:r w:rsidRPr="0028426C">
        <w:rPr>
          <w:rFonts w:ascii="Times New Roman" w:hAnsi="Times New Roman" w:cs="Times New Roman"/>
          <w:sz w:val="24"/>
          <w:szCs w:val="24"/>
        </w:rPr>
        <w:t>roles. Males were found to exhibit more negative attitudes</w:t>
      </w:r>
      <w:r w:rsidR="000E4213" w:rsidRPr="0028426C">
        <w:rPr>
          <w:rFonts w:ascii="Times New Roman" w:hAnsi="Times New Roman" w:cs="Times New Roman"/>
          <w:sz w:val="24"/>
          <w:szCs w:val="24"/>
        </w:rPr>
        <w:t xml:space="preserve">, particularly toward gay men, </w:t>
      </w:r>
      <w:r w:rsidRPr="0028426C">
        <w:rPr>
          <w:rFonts w:ascii="Times New Roman" w:hAnsi="Times New Roman" w:cs="Times New Roman"/>
          <w:sz w:val="24"/>
          <w:szCs w:val="24"/>
        </w:rPr>
        <w:t xml:space="preserve">compared to females. Adolescents who endorse traditional gender roles tend to hold </w:t>
      </w:r>
      <w:r w:rsidR="000E4213" w:rsidRPr="0028426C">
        <w:rPr>
          <w:rFonts w:ascii="Times New Roman" w:hAnsi="Times New Roman" w:cs="Times New Roman"/>
          <w:sz w:val="24"/>
          <w:szCs w:val="24"/>
        </w:rPr>
        <w:t xml:space="preserve">more prejudicial views against </w:t>
      </w:r>
      <w:r w:rsidRPr="0028426C">
        <w:rPr>
          <w:rFonts w:ascii="Times New Roman" w:hAnsi="Times New Roman" w:cs="Times New Roman"/>
          <w:sz w:val="24"/>
          <w:szCs w:val="24"/>
        </w:rPr>
        <w:t>sexual minorities. The findings emphasize the intersection of gender identity, gender expression, and sexual orientation in shaping adolescents' perceptions and pre</w:t>
      </w:r>
      <w:r w:rsidR="000E4213" w:rsidRPr="0028426C">
        <w:rPr>
          <w:rFonts w:ascii="Times New Roman" w:hAnsi="Times New Roman" w:cs="Times New Roman"/>
          <w:sz w:val="24"/>
          <w:szCs w:val="24"/>
        </w:rPr>
        <w:t xml:space="preserve">judices, calling for inclusive </w:t>
      </w:r>
      <w:r w:rsidRPr="0028426C">
        <w:rPr>
          <w:rFonts w:ascii="Times New Roman" w:hAnsi="Times New Roman" w:cs="Times New Roman"/>
          <w:sz w:val="24"/>
          <w:szCs w:val="24"/>
        </w:rPr>
        <w:t>education and greater awareness to address these issues early in development.</w:t>
      </w:r>
    </w:p>
    <w:p w14:paraId="208AC2B2" w14:textId="1919C4AC"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research conducted by Shafiee-</w:t>
      </w:r>
      <w:proofErr w:type="spellStart"/>
      <w:r w:rsidRPr="0028426C">
        <w:rPr>
          <w:rFonts w:ascii="Times New Roman" w:hAnsi="Times New Roman" w:cs="Times New Roman"/>
          <w:sz w:val="24"/>
          <w:szCs w:val="24"/>
        </w:rPr>
        <w:t>Kandjani</w:t>
      </w:r>
      <w:proofErr w:type="spellEnd"/>
      <w:r w:rsidRPr="0028426C">
        <w:rPr>
          <w:rFonts w:ascii="Times New Roman" w:hAnsi="Times New Roman" w:cs="Times New Roman"/>
          <w:sz w:val="24"/>
          <w:szCs w:val="24"/>
        </w:rPr>
        <w:t xml:space="preserve"> et al. (2025) in Ir</w:t>
      </w:r>
      <w:r w:rsidR="000E4213" w:rsidRPr="0028426C">
        <w:rPr>
          <w:rFonts w:ascii="Times New Roman" w:hAnsi="Times New Roman" w:cs="Times New Roman"/>
          <w:sz w:val="24"/>
          <w:szCs w:val="24"/>
        </w:rPr>
        <w:t xml:space="preserve">an focuses on the relationship </w:t>
      </w:r>
      <w:r w:rsidRPr="0028426C">
        <w:rPr>
          <w:rFonts w:ascii="Times New Roman" w:hAnsi="Times New Roman" w:cs="Times New Roman"/>
          <w:sz w:val="24"/>
          <w:szCs w:val="24"/>
        </w:rPr>
        <w:t>between personality traits and transphobia among university st</w:t>
      </w:r>
      <w:r w:rsidR="000E4213" w:rsidRPr="0028426C">
        <w:rPr>
          <w:rFonts w:ascii="Times New Roman" w:hAnsi="Times New Roman" w:cs="Times New Roman"/>
          <w:sz w:val="24"/>
          <w:szCs w:val="24"/>
        </w:rPr>
        <w:t xml:space="preserve">udents. Utilizing the Big Five </w:t>
      </w:r>
      <w:r w:rsidRPr="0028426C">
        <w:rPr>
          <w:rFonts w:ascii="Times New Roman" w:hAnsi="Times New Roman" w:cs="Times New Roman"/>
          <w:sz w:val="24"/>
          <w:szCs w:val="24"/>
        </w:rPr>
        <w:t>personality model and the Genderism and Transphobia Scale, th</w:t>
      </w:r>
      <w:r w:rsidR="000E4213" w:rsidRPr="0028426C">
        <w:rPr>
          <w:rFonts w:ascii="Times New Roman" w:hAnsi="Times New Roman" w:cs="Times New Roman"/>
          <w:sz w:val="24"/>
          <w:szCs w:val="24"/>
        </w:rPr>
        <w:t xml:space="preserve">e study analyzes data from 418 </w:t>
      </w:r>
      <w:r w:rsidRPr="0028426C">
        <w:rPr>
          <w:rFonts w:ascii="Times New Roman" w:hAnsi="Times New Roman" w:cs="Times New Roman"/>
          <w:sz w:val="24"/>
          <w:szCs w:val="24"/>
        </w:rPr>
        <w:lastRenderedPageBreak/>
        <w:t>medical and non-medical students. The results indicate that</w:t>
      </w:r>
      <w:r w:rsidR="000E4213" w:rsidRPr="0028426C">
        <w:rPr>
          <w:rFonts w:ascii="Times New Roman" w:hAnsi="Times New Roman" w:cs="Times New Roman"/>
          <w:sz w:val="24"/>
          <w:szCs w:val="24"/>
        </w:rPr>
        <w:t xml:space="preserve"> agreeableness and openness to </w:t>
      </w:r>
      <w:r w:rsidRPr="0028426C">
        <w:rPr>
          <w:rFonts w:ascii="Times New Roman" w:hAnsi="Times New Roman" w:cs="Times New Roman"/>
          <w:sz w:val="24"/>
          <w:szCs w:val="24"/>
        </w:rPr>
        <w:t>experience are negatively associated with transphobic attitu</w:t>
      </w:r>
      <w:r w:rsidR="000E4213" w:rsidRPr="0028426C">
        <w:rPr>
          <w:rFonts w:ascii="Times New Roman" w:hAnsi="Times New Roman" w:cs="Times New Roman"/>
          <w:sz w:val="24"/>
          <w:szCs w:val="24"/>
        </w:rPr>
        <w:t xml:space="preserve">des, while neuroticism shows a </w:t>
      </w:r>
      <w:r w:rsidRPr="0028426C">
        <w:rPr>
          <w:rFonts w:ascii="Times New Roman" w:hAnsi="Times New Roman" w:cs="Times New Roman"/>
          <w:sz w:val="24"/>
          <w:szCs w:val="24"/>
        </w:rPr>
        <w:t>positive association. Conscientiousness and extraversion, however</w:t>
      </w:r>
      <w:r w:rsidR="000E4213" w:rsidRPr="0028426C">
        <w:rPr>
          <w:rFonts w:ascii="Times New Roman" w:hAnsi="Times New Roman" w:cs="Times New Roman"/>
          <w:sz w:val="24"/>
          <w:szCs w:val="24"/>
        </w:rPr>
        <w:t xml:space="preserve">, do not significantly predict </w:t>
      </w:r>
      <w:r w:rsidRPr="0028426C">
        <w:rPr>
          <w:rFonts w:ascii="Times New Roman" w:hAnsi="Times New Roman" w:cs="Times New Roman"/>
          <w:sz w:val="24"/>
          <w:szCs w:val="24"/>
        </w:rPr>
        <w:t>transphobia. The study suggests that individual personality traits can inf</w:t>
      </w:r>
      <w:r w:rsidR="000E4213" w:rsidRPr="0028426C">
        <w:rPr>
          <w:rFonts w:ascii="Times New Roman" w:hAnsi="Times New Roman" w:cs="Times New Roman"/>
          <w:sz w:val="24"/>
          <w:szCs w:val="24"/>
        </w:rPr>
        <w:t xml:space="preserve">luence discriminatory </w:t>
      </w:r>
      <w:r w:rsidRPr="0028426C">
        <w:rPr>
          <w:rFonts w:ascii="Times New Roman" w:hAnsi="Times New Roman" w:cs="Times New Roman"/>
          <w:sz w:val="24"/>
          <w:szCs w:val="24"/>
        </w:rPr>
        <w:t xml:space="preserve">attitudes, especially among future healthcare professionals. </w:t>
      </w:r>
    </w:p>
    <w:p w14:paraId="0DB18603" w14:textId="0C9AC4AB" w:rsidR="00033712" w:rsidRPr="0028426C" w:rsidRDefault="00033712"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Uluboy</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Husnu</w:t>
      </w:r>
      <w:proofErr w:type="spellEnd"/>
      <w:r w:rsidRPr="0028426C">
        <w:rPr>
          <w:rFonts w:ascii="Times New Roman" w:hAnsi="Times New Roman" w:cs="Times New Roman"/>
          <w:sz w:val="24"/>
          <w:szCs w:val="24"/>
        </w:rPr>
        <w:t xml:space="preserve"> (2022) investigate transphobia, homopho</w:t>
      </w:r>
      <w:r w:rsidR="000E4213" w:rsidRPr="0028426C">
        <w:rPr>
          <w:rFonts w:ascii="Times New Roman" w:hAnsi="Times New Roman" w:cs="Times New Roman"/>
          <w:sz w:val="24"/>
          <w:szCs w:val="24"/>
        </w:rPr>
        <w:t xml:space="preserve">bia, and gender ideology among </w:t>
      </w:r>
      <w:r w:rsidRPr="0028426C">
        <w:rPr>
          <w:rFonts w:ascii="Times New Roman" w:hAnsi="Times New Roman" w:cs="Times New Roman"/>
          <w:sz w:val="24"/>
          <w:szCs w:val="24"/>
        </w:rPr>
        <w:t>Turkish-speaking young adults in Northern Cyprus. The study, wh</w:t>
      </w:r>
      <w:r w:rsidR="000E4213" w:rsidRPr="0028426C">
        <w:rPr>
          <w:rFonts w:ascii="Times New Roman" w:hAnsi="Times New Roman" w:cs="Times New Roman"/>
          <w:sz w:val="24"/>
          <w:szCs w:val="24"/>
        </w:rPr>
        <w:t xml:space="preserve">ich includes 148 participants, </w:t>
      </w:r>
      <w:r w:rsidRPr="0028426C">
        <w:rPr>
          <w:rFonts w:ascii="Times New Roman" w:hAnsi="Times New Roman" w:cs="Times New Roman"/>
          <w:sz w:val="24"/>
          <w:szCs w:val="24"/>
        </w:rPr>
        <w:t>examines the role of gender, intergroup contact, ambivale</w:t>
      </w:r>
      <w:r w:rsidR="000E4213" w:rsidRPr="0028426C">
        <w:rPr>
          <w:rFonts w:ascii="Times New Roman" w:hAnsi="Times New Roman" w:cs="Times New Roman"/>
          <w:sz w:val="24"/>
          <w:szCs w:val="24"/>
        </w:rPr>
        <w:t xml:space="preserve">nt sexism, and social dominance </w:t>
      </w:r>
      <w:r w:rsidRPr="0028426C">
        <w:rPr>
          <w:rFonts w:ascii="Times New Roman" w:hAnsi="Times New Roman" w:cs="Times New Roman"/>
          <w:sz w:val="24"/>
          <w:szCs w:val="24"/>
        </w:rPr>
        <w:t>orientation as predictors of transphobic attitudes. The results demonstrate</w:t>
      </w:r>
      <w:r w:rsidR="000E4213" w:rsidRPr="0028426C">
        <w:rPr>
          <w:rFonts w:ascii="Times New Roman" w:hAnsi="Times New Roman" w:cs="Times New Roman"/>
          <w:sz w:val="24"/>
          <w:szCs w:val="24"/>
        </w:rPr>
        <w:t xml:space="preserve"> that hostile sexism and </w:t>
      </w:r>
      <w:r w:rsidRPr="0028426C">
        <w:rPr>
          <w:rFonts w:ascii="Times New Roman" w:hAnsi="Times New Roman" w:cs="Times New Roman"/>
          <w:sz w:val="24"/>
          <w:szCs w:val="24"/>
        </w:rPr>
        <w:t>homophobia are strong predictors of transphobia, while inter</w:t>
      </w:r>
      <w:r w:rsidR="000E4213" w:rsidRPr="0028426C">
        <w:rPr>
          <w:rFonts w:ascii="Times New Roman" w:hAnsi="Times New Roman" w:cs="Times New Roman"/>
          <w:sz w:val="24"/>
          <w:szCs w:val="24"/>
        </w:rPr>
        <w:t xml:space="preserve">group contact with transgender </w:t>
      </w:r>
      <w:r w:rsidRPr="0028426C">
        <w:rPr>
          <w:rFonts w:ascii="Times New Roman" w:hAnsi="Times New Roman" w:cs="Times New Roman"/>
          <w:sz w:val="24"/>
          <w:szCs w:val="24"/>
        </w:rPr>
        <w:t>individuals significantly reduces prejudicial attitudes. Males re</w:t>
      </w:r>
      <w:r w:rsidR="000E4213" w:rsidRPr="0028426C">
        <w:rPr>
          <w:rFonts w:ascii="Times New Roman" w:hAnsi="Times New Roman" w:cs="Times New Roman"/>
          <w:sz w:val="24"/>
          <w:szCs w:val="24"/>
        </w:rPr>
        <w:t xml:space="preserve">ported more negative attitudes </w:t>
      </w:r>
      <w:r w:rsidRPr="0028426C">
        <w:rPr>
          <w:rFonts w:ascii="Times New Roman" w:hAnsi="Times New Roman" w:cs="Times New Roman"/>
          <w:sz w:val="24"/>
          <w:szCs w:val="24"/>
        </w:rPr>
        <w:t>than females, and the study highlights how traditional gender roles</w:t>
      </w:r>
      <w:r w:rsidR="000E4213" w:rsidRPr="0028426C">
        <w:rPr>
          <w:rFonts w:ascii="Times New Roman" w:hAnsi="Times New Roman" w:cs="Times New Roman"/>
          <w:sz w:val="24"/>
          <w:szCs w:val="24"/>
        </w:rPr>
        <w:t xml:space="preserve"> and anxiety about masculinity </w:t>
      </w:r>
      <w:r w:rsidRPr="0028426C">
        <w:rPr>
          <w:rFonts w:ascii="Times New Roman" w:hAnsi="Times New Roman" w:cs="Times New Roman"/>
          <w:sz w:val="24"/>
          <w:szCs w:val="24"/>
        </w:rPr>
        <w:t xml:space="preserve">may underlie transphobia among men. </w:t>
      </w:r>
    </w:p>
    <w:p w14:paraId="2E6BBD46" w14:textId="28A93360" w:rsidR="00C1688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Esteban Mora et al. (2022) focus on the relationships between at</w:t>
      </w:r>
      <w:r w:rsidR="000E4213" w:rsidRPr="0028426C">
        <w:rPr>
          <w:rFonts w:ascii="Times New Roman" w:hAnsi="Times New Roman" w:cs="Times New Roman"/>
          <w:sz w:val="24"/>
          <w:szCs w:val="24"/>
        </w:rPr>
        <w:t xml:space="preserve">titudes toward transsexuality, </w:t>
      </w:r>
      <w:r w:rsidRPr="0028426C">
        <w:rPr>
          <w:rFonts w:ascii="Times New Roman" w:hAnsi="Times New Roman" w:cs="Times New Roman"/>
          <w:sz w:val="24"/>
          <w:szCs w:val="24"/>
        </w:rPr>
        <w:t>empathy, and bullying among Spanish university students. With</w:t>
      </w:r>
      <w:r w:rsidR="000E4213" w:rsidRPr="0028426C">
        <w:rPr>
          <w:rFonts w:ascii="Times New Roman" w:hAnsi="Times New Roman" w:cs="Times New Roman"/>
          <w:sz w:val="24"/>
          <w:szCs w:val="24"/>
        </w:rPr>
        <w:t xml:space="preserve"> a sample of 247 students, the </w:t>
      </w:r>
      <w:r w:rsidRPr="0028426C">
        <w:rPr>
          <w:rFonts w:ascii="Times New Roman" w:hAnsi="Times New Roman" w:cs="Times New Roman"/>
          <w:sz w:val="24"/>
          <w:szCs w:val="24"/>
        </w:rPr>
        <w:t>study finds an inverse relationship between empathy and trans</w:t>
      </w:r>
      <w:r w:rsidR="000E4213" w:rsidRPr="0028426C">
        <w:rPr>
          <w:rFonts w:ascii="Times New Roman" w:hAnsi="Times New Roman" w:cs="Times New Roman"/>
          <w:sz w:val="24"/>
          <w:szCs w:val="24"/>
        </w:rPr>
        <w:t xml:space="preserve">phobia, suggesting that higher </w:t>
      </w:r>
      <w:r w:rsidRPr="0028426C">
        <w:rPr>
          <w:rFonts w:ascii="Times New Roman" w:hAnsi="Times New Roman" w:cs="Times New Roman"/>
          <w:sz w:val="24"/>
          <w:szCs w:val="24"/>
        </w:rPr>
        <w:t>empathy levels are associated with more positive attitudes toward tran</w:t>
      </w:r>
      <w:r w:rsidR="000E4213" w:rsidRPr="0028426C">
        <w:rPr>
          <w:rFonts w:ascii="Times New Roman" w:hAnsi="Times New Roman" w:cs="Times New Roman"/>
          <w:sz w:val="24"/>
          <w:szCs w:val="24"/>
        </w:rPr>
        <w:t xml:space="preserve">sgender individuals. The </w:t>
      </w:r>
      <w:r w:rsidRPr="0028426C">
        <w:rPr>
          <w:rFonts w:ascii="Times New Roman" w:hAnsi="Times New Roman" w:cs="Times New Roman"/>
          <w:sz w:val="24"/>
          <w:szCs w:val="24"/>
        </w:rPr>
        <w:t>study also establishes that negative attitudes and gender-based b</w:t>
      </w:r>
      <w:r w:rsidR="000E4213" w:rsidRPr="0028426C">
        <w:rPr>
          <w:rFonts w:ascii="Times New Roman" w:hAnsi="Times New Roman" w:cs="Times New Roman"/>
          <w:sz w:val="24"/>
          <w:szCs w:val="24"/>
        </w:rPr>
        <w:t xml:space="preserve">ullying are interconnected and </w:t>
      </w:r>
      <w:r w:rsidRPr="0028426C">
        <w:rPr>
          <w:rFonts w:ascii="Times New Roman" w:hAnsi="Times New Roman" w:cs="Times New Roman"/>
          <w:sz w:val="24"/>
          <w:szCs w:val="24"/>
        </w:rPr>
        <w:t>stem from societal labeling and rigid stereotypes about gender id</w:t>
      </w:r>
      <w:r w:rsidR="000E4213" w:rsidRPr="0028426C">
        <w:rPr>
          <w:rFonts w:ascii="Times New Roman" w:hAnsi="Times New Roman" w:cs="Times New Roman"/>
          <w:sz w:val="24"/>
          <w:szCs w:val="24"/>
        </w:rPr>
        <w:t xml:space="preserve">entity. The authors stress the </w:t>
      </w:r>
      <w:r w:rsidRPr="0028426C">
        <w:rPr>
          <w:rFonts w:ascii="Times New Roman" w:hAnsi="Times New Roman" w:cs="Times New Roman"/>
          <w:sz w:val="24"/>
          <w:szCs w:val="24"/>
        </w:rPr>
        <w:t>importance of early educational interventions that foster empath</w:t>
      </w:r>
      <w:r w:rsidR="000E4213" w:rsidRPr="0028426C">
        <w:rPr>
          <w:rFonts w:ascii="Times New Roman" w:hAnsi="Times New Roman" w:cs="Times New Roman"/>
          <w:sz w:val="24"/>
          <w:szCs w:val="24"/>
        </w:rPr>
        <w:t xml:space="preserve">y and inclusiveness to prevent </w:t>
      </w:r>
      <w:r w:rsidRPr="0028426C">
        <w:rPr>
          <w:rFonts w:ascii="Times New Roman" w:hAnsi="Times New Roman" w:cs="Times New Roman"/>
          <w:sz w:val="24"/>
          <w:szCs w:val="24"/>
        </w:rPr>
        <w:t xml:space="preserve">discrimination and bullying. </w:t>
      </w:r>
    </w:p>
    <w:p w14:paraId="429BAD58" w14:textId="3E5E3B7A" w:rsidR="00E24F54"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Peer Influence</w:t>
      </w:r>
    </w:p>
    <w:p w14:paraId="0672F234" w14:textId="0EA14F3B" w:rsidR="005628D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study by </w:t>
      </w:r>
      <w:proofErr w:type="spellStart"/>
      <w:r w:rsidRPr="0028426C">
        <w:rPr>
          <w:rFonts w:ascii="Times New Roman" w:hAnsi="Times New Roman" w:cs="Times New Roman"/>
          <w:sz w:val="24"/>
          <w:szCs w:val="24"/>
        </w:rPr>
        <w:t>Hjerm</w:t>
      </w:r>
      <w:proofErr w:type="spellEnd"/>
      <w:r w:rsidRPr="0028426C">
        <w:rPr>
          <w:rFonts w:ascii="Times New Roman" w:hAnsi="Times New Roman" w:cs="Times New Roman"/>
          <w:sz w:val="24"/>
          <w:szCs w:val="24"/>
        </w:rPr>
        <w:t xml:space="preserve">, Eger, and Danell (2018) investigates how peer attitudes influence the development of prejudice during adolescence using a five-wave longitudinal panel from Sweden. The authors argue that adolescence is a crucial period for attitudinal formation, with peer groups playing a significant role. Through mixed multilevel modeling, the study finds that adolescents' prejudice levels are shaped over time by the average attitudes of their nominated peers. These findings support the relevance of group norm theory and social identity development theory, suggesting that peer networks are more than just sources of interpersonal interaction; they act as </w:t>
      </w:r>
      <w:r w:rsidRPr="0028426C">
        <w:rPr>
          <w:rFonts w:ascii="Times New Roman" w:hAnsi="Times New Roman" w:cs="Times New Roman"/>
          <w:sz w:val="24"/>
          <w:szCs w:val="24"/>
        </w:rPr>
        <w:lastRenderedPageBreak/>
        <w:t xml:space="preserve">influential environments that facilitate or mitigate prejudice through shared norms and social positioning. </w:t>
      </w:r>
    </w:p>
    <w:p w14:paraId="3CA71554" w14:textId="5D694E78"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Elizabeth Paluck’s (2011) field experiment examines how peer-led interventions can reduce prejudice within high school social networks. The intervention trained selected students (Peer Trainers) to model and promote anti-prejudice behavior over five months, after which their social networks were surveyed for changes. The study finds that treatment Peer Trainers were more likely to be seen as confronting prejudice, and their behavior—though not consistently their attitudes—spread to close friends and acquaintances, demonstrating a measurable network effect. Peer Trainers influenced behavior more than attitudes, and particularly among those who shared a close relationship. </w:t>
      </w:r>
    </w:p>
    <w:p w14:paraId="2389A222" w14:textId="42C7F7A1" w:rsidR="001F6817"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systematic review conducted by Read, Sargeant, and Wright (2021) synthesizes findings from 15 studies to identify the beliefs influencing children and young people’s (CYP) attitudes toward the transgender population. The review highlights three main belief systems—heteronormativity, conservatism, and gender essentialism—as significant contributors to transprejudice among youth. It also reveals consistent gender differences, with males typically exhibiting higher levels of transprejudice than females. The authors emphasize that many young people still hold binary and essentialist views of gender, which are at odds with the lived experiences of transgender individuals. The studies reviewed also suggest that personal contact with transgender individuals and inclusive education can reduce prejudice. However, mechanisms behind these belief-attitude links remain largely theoretical, indicating a need for further qualitative exploration. The authors advocate for interventions that challenge rigid gender norms and promote inclusivity, particularly in educational settings where transprejudice is common.</w:t>
      </w:r>
    </w:p>
    <w:p w14:paraId="721DC1EC" w14:textId="7DA28577"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Ugwu, </w:t>
      </w:r>
      <w:proofErr w:type="spellStart"/>
      <w:r w:rsidRPr="0028426C">
        <w:rPr>
          <w:rFonts w:ascii="Times New Roman" w:hAnsi="Times New Roman" w:cs="Times New Roman"/>
          <w:sz w:val="24"/>
          <w:szCs w:val="24"/>
        </w:rPr>
        <w:t>Ramadie</w:t>
      </w:r>
      <w:proofErr w:type="spellEnd"/>
      <w:r w:rsidRPr="0028426C">
        <w:rPr>
          <w:rFonts w:ascii="Times New Roman" w:hAnsi="Times New Roman" w:cs="Times New Roman"/>
          <w:sz w:val="24"/>
          <w:szCs w:val="24"/>
        </w:rPr>
        <w:t xml:space="preserve">, </w:t>
      </w:r>
      <w:proofErr w:type="spellStart"/>
      <w:r w:rsidRPr="0028426C">
        <w:rPr>
          <w:rFonts w:ascii="Times New Roman" w:hAnsi="Times New Roman" w:cs="Times New Roman"/>
          <w:sz w:val="24"/>
          <w:szCs w:val="24"/>
        </w:rPr>
        <w:t>Ajele</w:t>
      </w:r>
      <w:proofErr w:type="spellEnd"/>
      <w:r w:rsidRPr="0028426C">
        <w:rPr>
          <w:rFonts w:ascii="Times New Roman" w:hAnsi="Times New Roman" w:cs="Times New Roman"/>
          <w:sz w:val="24"/>
          <w:szCs w:val="24"/>
        </w:rPr>
        <w:t>, and Idemudia (2024) explored the compl</w:t>
      </w:r>
      <w:r w:rsidR="00C16882" w:rsidRPr="0028426C">
        <w:rPr>
          <w:rFonts w:ascii="Times New Roman" w:hAnsi="Times New Roman" w:cs="Times New Roman"/>
          <w:sz w:val="24"/>
          <w:szCs w:val="24"/>
        </w:rPr>
        <w:t xml:space="preserve">ex interplay between childhood </w:t>
      </w:r>
      <w:r w:rsidRPr="0028426C">
        <w:rPr>
          <w:rFonts w:ascii="Times New Roman" w:hAnsi="Times New Roman" w:cs="Times New Roman"/>
          <w:sz w:val="24"/>
          <w:szCs w:val="24"/>
        </w:rPr>
        <w:t>adversity, peer influence, personality traits, and bullying p</w:t>
      </w:r>
      <w:r w:rsidR="00C16882" w:rsidRPr="0028426C">
        <w:rPr>
          <w:rFonts w:ascii="Times New Roman" w:hAnsi="Times New Roman" w:cs="Times New Roman"/>
          <w:sz w:val="24"/>
          <w:szCs w:val="24"/>
        </w:rPr>
        <w:t xml:space="preserve">erpetration among South African </w:t>
      </w:r>
      <w:r w:rsidRPr="0028426C">
        <w:rPr>
          <w:rFonts w:ascii="Times New Roman" w:hAnsi="Times New Roman" w:cs="Times New Roman"/>
          <w:sz w:val="24"/>
          <w:szCs w:val="24"/>
        </w:rPr>
        <w:t>adolescents. Using structural equation modeling on a sample of</w:t>
      </w:r>
      <w:r w:rsidR="00C16882" w:rsidRPr="0028426C">
        <w:rPr>
          <w:rFonts w:ascii="Times New Roman" w:hAnsi="Times New Roman" w:cs="Times New Roman"/>
          <w:sz w:val="24"/>
          <w:szCs w:val="24"/>
        </w:rPr>
        <w:t xml:space="preserve"> 769 high school students, the </w:t>
      </w:r>
      <w:r w:rsidRPr="0028426C">
        <w:rPr>
          <w:rFonts w:ascii="Times New Roman" w:hAnsi="Times New Roman" w:cs="Times New Roman"/>
          <w:sz w:val="24"/>
          <w:szCs w:val="24"/>
        </w:rPr>
        <w:t>study demonstrated that childhood adversity was a significant predictor of bullying p</w:t>
      </w:r>
      <w:r w:rsidR="00C16882" w:rsidRPr="0028426C">
        <w:rPr>
          <w:rFonts w:ascii="Times New Roman" w:hAnsi="Times New Roman" w:cs="Times New Roman"/>
          <w:sz w:val="24"/>
          <w:szCs w:val="24"/>
        </w:rPr>
        <w:t xml:space="preserve">erpetration, both directly and </w:t>
      </w:r>
      <w:r w:rsidRPr="0028426C">
        <w:rPr>
          <w:rFonts w:ascii="Times New Roman" w:hAnsi="Times New Roman" w:cs="Times New Roman"/>
          <w:sz w:val="24"/>
          <w:szCs w:val="24"/>
        </w:rPr>
        <w:t xml:space="preserve">indirectly via peer influence. </w:t>
      </w:r>
    </w:p>
    <w:p w14:paraId="255B5C49" w14:textId="7124395A" w:rsidR="00C16882"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Doehne, </w:t>
      </w:r>
      <w:proofErr w:type="spellStart"/>
      <w:r w:rsidRPr="0028426C">
        <w:rPr>
          <w:rFonts w:ascii="Times New Roman" w:hAnsi="Times New Roman" w:cs="Times New Roman"/>
          <w:sz w:val="24"/>
          <w:szCs w:val="24"/>
        </w:rPr>
        <w:t>Grundherr</w:t>
      </w:r>
      <w:proofErr w:type="spellEnd"/>
      <w:r w:rsidRPr="0028426C">
        <w:rPr>
          <w:rFonts w:ascii="Times New Roman" w:hAnsi="Times New Roman" w:cs="Times New Roman"/>
          <w:sz w:val="24"/>
          <w:szCs w:val="24"/>
        </w:rPr>
        <w:t>, and Schäfer (2018) conducted two studies th</w:t>
      </w:r>
      <w:r w:rsidR="00C16882" w:rsidRPr="0028426C">
        <w:rPr>
          <w:rFonts w:ascii="Times New Roman" w:hAnsi="Times New Roman" w:cs="Times New Roman"/>
          <w:sz w:val="24"/>
          <w:szCs w:val="24"/>
        </w:rPr>
        <w:t xml:space="preserve">at examined how peer influence </w:t>
      </w:r>
      <w:r w:rsidRPr="0028426C">
        <w:rPr>
          <w:rFonts w:ascii="Times New Roman" w:hAnsi="Times New Roman" w:cs="Times New Roman"/>
          <w:sz w:val="24"/>
          <w:szCs w:val="24"/>
        </w:rPr>
        <w:t xml:space="preserve">affects bullying behavior and how moral competence can serve as </w:t>
      </w:r>
      <w:r w:rsidR="00C16882" w:rsidRPr="0028426C">
        <w:rPr>
          <w:rFonts w:ascii="Times New Roman" w:hAnsi="Times New Roman" w:cs="Times New Roman"/>
          <w:sz w:val="24"/>
          <w:szCs w:val="24"/>
        </w:rPr>
        <w:t xml:space="preserve">a buffer. Using a cross-lagged </w:t>
      </w:r>
      <w:r w:rsidRPr="0028426C">
        <w:rPr>
          <w:rFonts w:ascii="Times New Roman" w:hAnsi="Times New Roman" w:cs="Times New Roman"/>
          <w:sz w:val="24"/>
          <w:szCs w:val="24"/>
        </w:rPr>
        <w:t>panel design, they found that adolescents with low moral compe</w:t>
      </w:r>
      <w:r w:rsidR="00C16882" w:rsidRPr="0028426C">
        <w:rPr>
          <w:rFonts w:ascii="Times New Roman" w:hAnsi="Times New Roman" w:cs="Times New Roman"/>
          <w:sz w:val="24"/>
          <w:szCs w:val="24"/>
        </w:rPr>
        <w:t xml:space="preserve">tence were more susceptible to </w:t>
      </w:r>
      <w:r w:rsidRPr="0028426C">
        <w:rPr>
          <w:rFonts w:ascii="Times New Roman" w:hAnsi="Times New Roman" w:cs="Times New Roman"/>
          <w:sz w:val="24"/>
          <w:szCs w:val="24"/>
        </w:rPr>
        <w:t>peer influence and likely to imitate pro-bullying peers, while those with high moral compe</w:t>
      </w:r>
      <w:r w:rsidR="00C16882" w:rsidRPr="0028426C">
        <w:rPr>
          <w:rFonts w:ascii="Times New Roman" w:hAnsi="Times New Roman" w:cs="Times New Roman"/>
          <w:sz w:val="24"/>
          <w:szCs w:val="24"/>
        </w:rPr>
        <w:t xml:space="preserve">tence </w:t>
      </w:r>
      <w:r w:rsidRPr="0028426C">
        <w:rPr>
          <w:rFonts w:ascii="Times New Roman" w:hAnsi="Times New Roman" w:cs="Times New Roman"/>
          <w:sz w:val="24"/>
          <w:szCs w:val="24"/>
        </w:rPr>
        <w:t>resisted such influence. This highlights moral competence as an "</w:t>
      </w:r>
      <w:r w:rsidR="00C16882" w:rsidRPr="0028426C">
        <w:rPr>
          <w:rFonts w:ascii="Times New Roman" w:hAnsi="Times New Roman" w:cs="Times New Roman"/>
          <w:sz w:val="24"/>
          <w:szCs w:val="24"/>
        </w:rPr>
        <w:t xml:space="preserve">autonomy-enhancing" trait that </w:t>
      </w:r>
      <w:r w:rsidRPr="0028426C">
        <w:rPr>
          <w:rFonts w:ascii="Times New Roman" w:hAnsi="Times New Roman" w:cs="Times New Roman"/>
          <w:sz w:val="24"/>
          <w:szCs w:val="24"/>
        </w:rPr>
        <w:t>can shield adolescents from conforming to harmful pee</w:t>
      </w:r>
      <w:r w:rsidR="00C16882" w:rsidRPr="0028426C">
        <w:rPr>
          <w:rFonts w:ascii="Times New Roman" w:hAnsi="Times New Roman" w:cs="Times New Roman"/>
          <w:sz w:val="24"/>
          <w:szCs w:val="24"/>
        </w:rPr>
        <w:t xml:space="preserve">r norms. The study is vital in </w:t>
      </w:r>
      <w:r w:rsidRPr="0028426C">
        <w:rPr>
          <w:rFonts w:ascii="Times New Roman" w:hAnsi="Times New Roman" w:cs="Times New Roman"/>
          <w:sz w:val="24"/>
          <w:szCs w:val="24"/>
        </w:rPr>
        <w:t xml:space="preserve">understanding the mechanisms through which peer environments shape </w:t>
      </w:r>
      <w:r w:rsidR="00C16882" w:rsidRPr="0028426C">
        <w:rPr>
          <w:rFonts w:ascii="Times New Roman" w:hAnsi="Times New Roman" w:cs="Times New Roman"/>
          <w:sz w:val="24"/>
          <w:szCs w:val="24"/>
        </w:rPr>
        <w:t xml:space="preserve">bullying behavior and </w:t>
      </w:r>
      <w:r w:rsidRPr="0028426C">
        <w:rPr>
          <w:rFonts w:ascii="Times New Roman" w:hAnsi="Times New Roman" w:cs="Times New Roman"/>
          <w:sz w:val="24"/>
          <w:szCs w:val="24"/>
        </w:rPr>
        <w:t>offers insights into preventive strategi</w:t>
      </w:r>
      <w:r w:rsidR="00C16882" w:rsidRPr="0028426C">
        <w:rPr>
          <w:rFonts w:ascii="Times New Roman" w:hAnsi="Times New Roman" w:cs="Times New Roman"/>
          <w:sz w:val="24"/>
          <w:szCs w:val="24"/>
        </w:rPr>
        <w:t>es focused on moral education​.</w:t>
      </w:r>
    </w:p>
    <w:p w14:paraId="528C5861" w14:textId="401C8E2A" w:rsidR="009216A7"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Alexithymia </w:t>
      </w:r>
    </w:p>
    <w:p w14:paraId="6907C1FA" w14:textId="06ABF0E4"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Lyvers et al. (2020) explore the intricate relationship between self-compassion, alexithymia, empathy, and negative mood among young Australian adults.</w:t>
      </w:r>
      <w:r w:rsidR="00C16882" w:rsidRPr="0028426C">
        <w:rPr>
          <w:rFonts w:ascii="Times New Roman" w:hAnsi="Times New Roman" w:cs="Times New Roman"/>
          <w:sz w:val="24"/>
          <w:szCs w:val="24"/>
        </w:rPr>
        <w:t xml:space="preserve"> The study reveals that higher </w:t>
      </w:r>
      <w:r w:rsidRPr="0028426C">
        <w:rPr>
          <w:rFonts w:ascii="Times New Roman" w:hAnsi="Times New Roman" w:cs="Times New Roman"/>
          <w:sz w:val="24"/>
          <w:szCs w:val="24"/>
        </w:rPr>
        <w:t>levels of alexithymia—a personality trait characterized by d</w:t>
      </w:r>
      <w:r w:rsidR="00C16882" w:rsidRPr="0028426C">
        <w:rPr>
          <w:rFonts w:ascii="Times New Roman" w:hAnsi="Times New Roman" w:cs="Times New Roman"/>
          <w:sz w:val="24"/>
          <w:szCs w:val="24"/>
        </w:rPr>
        <w:t xml:space="preserve">ifficulties in identifying and </w:t>
      </w:r>
      <w:r w:rsidRPr="0028426C">
        <w:rPr>
          <w:rFonts w:ascii="Times New Roman" w:hAnsi="Times New Roman" w:cs="Times New Roman"/>
          <w:sz w:val="24"/>
          <w:szCs w:val="24"/>
        </w:rPr>
        <w:t>articulating emotions—are negatively correlated with se</w:t>
      </w:r>
      <w:r w:rsidR="00C16882" w:rsidRPr="0028426C">
        <w:rPr>
          <w:rFonts w:ascii="Times New Roman" w:hAnsi="Times New Roman" w:cs="Times New Roman"/>
          <w:sz w:val="24"/>
          <w:szCs w:val="24"/>
        </w:rPr>
        <w:t xml:space="preserve">lf-compassion and empathy, and </w:t>
      </w:r>
      <w:r w:rsidRPr="0028426C">
        <w:rPr>
          <w:rFonts w:ascii="Times New Roman" w:hAnsi="Times New Roman" w:cs="Times New Roman"/>
          <w:sz w:val="24"/>
          <w:szCs w:val="24"/>
        </w:rPr>
        <w:t>positively linked to depression, anxiety, and stress. I</w:t>
      </w:r>
      <w:r w:rsidR="00C16882" w:rsidRPr="0028426C">
        <w:rPr>
          <w:rFonts w:ascii="Times New Roman" w:hAnsi="Times New Roman" w:cs="Times New Roman"/>
          <w:sz w:val="24"/>
          <w:szCs w:val="24"/>
        </w:rPr>
        <w:t xml:space="preserve">mportantly, self-judgment, one </w:t>
      </w:r>
      <w:r w:rsidRPr="0028426C">
        <w:rPr>
          <w:rFonts w:ascii="Times New Roman" w:hAnsi="Times New Roman" w:cs="Times New Roman"/>
          <w:sz w:val="24"/>
          <w:szCs w:val="24"/>
        </w:rPr>
        <w:t>subcomponent of self-compassion, was a significant predictor of</w:t>
      </w:r>
      <w:r w:rsidR="00C16882" w:rsidRPr="0028426C">
        <w:rPr>
          <w:rFonts w:ascii="Times New Roman" w:hAnsi="Times New Roman" w:cs="Times New Roman"/>
          <w:sz w:val="24"/>
          <w:szCs w:val="24"/>
        </w:rPr>
        <w:t xml:space="preserve"> emotional distress. The study </w:t>
      </w:r>
      <w:r w:rsidRPr="0028426C">
        <w:rPr>
          <w:rFonts w:ascii="Times New Roman" w:hAnsi="Times New Roman" w:cs="Times New Roman"/>
          <w:sz w:val="24"/>
          <w:szCs w:val="24"/>
        </w:rPr>
        <w:t xml:space="preserve">suggests that fostering self-compassion could serve as </w:t>
      </w:r>
      <w:r w:rsidR="00C16882" w:rsidRPr="0028426C">
        <w:rPr>
          <w:rFonts w:ascii="Times New Roman" w:hAnsi="Times New Roman" w:cs="Times New Roman"/>
          <w:sz w:val="24"/>
          <w:szCs w:val="24"/>
        </w:rPr>
        <w:t xml:space="preserve">a buffer against emotional and </w:t>
      </w:r>
      <w:r w:rsidRPr="0028426C">
        <w:rPr>
          <w:rFonts w:ascii="Times New Roman" w:hAnsi="Times New Roman" w:cs="Times New Roman"/>
          <w:sz w:val="24"/>
          <w:szCs w:val="24"/>
        </w:rPr>
        <w:t>psychological challenges in individuals with high alexithymia. T</w:t>
      </w:r>
      <w:r w:rsidR="00C16882" w:rsidRPr="0028426C">
        <w:rPr>
          <w:rFonts w:ascii="Times New Roman" w:hAnsi="Times New Roman" w:cs="Times New Roman"/>
          <w:sz w:val="24"/>
          <w:szCs w:val="24"/>
        </w:rPr>
        <w:t>he authors also note that self-</w:t>
      </w:r>
      <w:r w:rsidRPr="0028426C">
        <w:rPr>
          <w:rFonts w:ascii="Times New Roman" w:hAnsi="Times New Roman" w:cs="Times New Roman"/>
          <w:sz w:val="24"/>
          <w:szCs w:val="24"/>
        </w:rPr>
        <w:t>compassion might be more influential than mindfulness in promo</w:t>
      </w:r>
      <w:r w:rsidR="00C16882" w:rsidRPr="0028426C">
        <w:rPr>
          <w:rFonts w:ascii="Times New Roman" w:hAnsi="Times New Roman" w:cs="Times New Roman"/>
          <w:sz w:val="24"/>
          <w:szCs w:val="24"/>
        </w:rPr>
        <w:t xml:space="preserve">ting mental well-being, making </w:t>
      </w:r>
      <w:r w:rsidRPr="0028426C">
        <w:rPr>
          <w:rFonts w:ascii="Times New Roman" w:hAnsi="Times New Roman" w:cs="Times New Roman"/>
          <w:sz w:val="24"/>
          <w:szCs w:val="24"/>
        </w:rPr>
        <w:t>it a potentially powerful target in therapeutic interventions. The findings highlight the</w:t>
      </w:r>
      <w:r w:rsidR="00C16882" w:rsidRPr="0028426C">
        <w:rPr>
          <w:rFonts w:ascii="Times New Roman" w:hAnsi="Times New Roman" w:cs="Times New Roman"/>
          <w:sz w:val="24"/>
          <w:szCs w:val="24"/>
        </w:rPr>
        <w:t xml:space="preserve"> </w:t>
      </w:r>
      <w:r w:rsidRPr="0028426C">
        <w:rPr>
          <w:rFonts w:ascii="Times New Roman" w:hAnsi="Times New Roman" w:cs="Times New Roman"/>
          <w:sz w:val="24"/>
          <w:szCs w:val="24"/>
        </w:rPr>
        <w:t>interdependence of emotional awareness, self-regulatio</w:t>
      </w:r>
      <w:r w:rsidR="00C16882" w:rsidRPr="0028426C">
        <w:rPr>
          <w:rFonts w:ascii="Times New Roman" w:hAnsi="Times New Roman" w:cs="Times New Roman"/>
          <w:sz w:val="24"/>
          <w:szCs w:val="24"/>
        </w:rPr>
        <w:t xml:space="preserve">n, and compassion in promoting </w:t>
      </w:r>
      <w:r w:rsidRPr="0028426C">
        <w:rPr>
          <w:rFonts w:ascii="Times New Roman" w:hAnsi="Times New Roman" w:cs="Times New Roman"/>
          <w:sz w:val="24"/>
          <w:szCs w:val="24"/>
        </w:rPr>
        <w:t>resil</w:t>
      </w:r>
      <w:r w:rsidR="00C16882" w:rsidRPr="0028426C">
        <w:rPr>
          <w:rFonts w:ascii="Times New Roman" w:hAnsi="Times New Roman" w:cs="Times New Roman"/>
          <w:sz w:val="24"/>
          <w:szCs w:val="24"/>
        </w:rPr>
        <w:t>ience and psychological health.</w:t>
      </w:r>
    </w:p>
    <w:p w14:paraId="2F051A02" w14:textId="5EE72409"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Önal's (2023) dissertation investigates how empathy and alexit</w:t>
      </w:r>
      <w:r w:rsidR="00C16882" w:rsidRPr="0028426C">
        <w:rPr>
          <w:rFonts w:ascii="Times New Roman" w:hAnsi="Times New Roman" w:cs="Times New Roman"/>
          <w:sz w:val="24"/>
          <w:szCs w:val="24"/>
        </w:rPr>
        <w:t xml:space="preserve">hymia impact the expression of </w:t>
      </w:r>
      <w:r w:rsidRPr="0028426C">
        <w:rPr>
          <w:rFonts w:ascii="Times New Roman" w:hAnsi="Times New Roman" w:cs="Times New Roman"/>
          <w:sz w:val="24"/>
          <w:szCs w:val="24"/>
        </w:rPr>
        <w:t>subtle and blatant prejudices among young German men. The study finds a significant negative correlation between empathy and both types of prejudice, with the</w:t>
      </w:r>
      <w:r w:rsidR="00C16882" w:rsidRPr="0028426C">
        <w:rPr>
          <w:rFonts w:ascii="Times New Roman" w:hAnsi="Times New Roman" w:cs="Times New Roman"/>
          <w:sz w:val="24"/>
          <w:szCs w:val="24"/>
        </w:rPr>
        <w:t xml:space="preserve"> effect of empathy on reducing </w:t>
      </w:r>
      <w:r w:rsidRPr="0028426C">
        <w:rPr>
          <w:rFonts w:ascii="Times New Roman" w:hAnsi="Times New Roman" w:cs="Times New Roman"/>
          <w:sz w:val="24"/>
          <w:szCs w:val="24"/>
        </w:rPr>
        <w:t>prejudice diminishing at higher levels of alexithymia. The work situates these findings within a psychodynamic framework, proposing that emotional awareness and interpersonal sensitivity are foundational to reducing prejudice. It calls for further research into the under</w:t>
      </w:r>
      <w:r w:rsidR="00C16882" w:rsidRPr="0028426C">
        <w:rPr>
          <w:rFonts w:ascii="Times New Roman" w:hAnsi="Times New Roman" w:cs="Times New Roman"/>
          <w:sz w:val="24"/>
          <w:szCs w:val="24"/>
        </w:rPr>
        <w:t xml:space="preserve">lying psychological mechanisms </w:t>
      </w:r>
      <w:r w:rsidRPr="0028426C">
        <w:rPr>
          <w:rFonts w:ascii="Times New Roman" w:hAnsi="Times New Roman" w:cs="Times New Roman"/>
          <w:sz w:val="24"/>
          <w:szCs w:val="24"/>
        </w:rPr>
        <w:t>and encourages the inclusion of more diverse populations to b</w:t>
      </w:r>
      <w:r w:rsidR="00C16882" w:rsidRPr="0028426C">
        <w:rPr>
          <w:rFonts w:ascii="Times New Roman" w:hAnsi="Times New Roman" w:cs="Times New Roman"/>
          <w:sz w:val="24"/>
          <w:szCs w:val="24"/>
        </w:rPr>
        <w:t xml:space="preserve">etter understand how emotional </w:t>
      </w:r>
      <w:r w:rsidRPr="0028426C">
        <w:rPr>
          <w:rFonts w:ascii="Times New Roman" w:hAnsi="Times New Roman" w:cs="Times New Roman"/>
          <w:sz w:val="24"/>
          <w:szCs w:val="24"/>
        </w:rPr>
        <w:t>traits influence prejudice expression ac</w:t>
      </w:r>
      <w:r w:rsidR="00C16882" w:rsidRPr="0028426C">
        <w:rPr>
          <w:rFonts w:ascii="Times New Roman" w:hAnsi="Times New Roman" w:cs="Times New Roman"/>
          <w:sz w:val="24"/>
          <w:szCs w:val="24"/>
        </w:rPr>
        <w:t>ross different social contexts.</w:t>
      </w:r>
    </w:p>
    <w:p w14:paraId="637E18B8" w14:textId="645E4635"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Frisch (2013) presents a novel approach to prejudice reductio</w:t>
      </w:r>
      <w:r w:rsidR="00C16882" w:rsidRPr="0028426C">
        <w:rPr>
          <w:rFonts w:ascii="Times New Roman" w:hAnsi="Times New Roman" w:cs="Times New Roman"/>
          <w:sz w:val="24"/>
          <w:szCs w:val="24"/>
        </w:rPr>
        <w:t xml:space="preserve">n by examining how training in </w:t>
      </w:r>
      <w:r w:rsidRPr="0028426C">
        <w:rPr>
          <w:rFonts w:ascii="Times New Roman" w:hAnsi="Times New Roman" w:cs="Times New Roman"/>
          <w:sz w:val="24"/>
          <w:szCs w:val="24"/>
        </w:rPr>
        <w:t>emotional recognition—both of self and others—impacts preju</w:t>
      </w:r>
      <w:r w:rsidR="00C16882" w:rsidRPr="0028426C">
        <w:rPr>
          <w:rFonts w:ascii="Times New Roman" w:hAnsi="Times New Roman" w:cs="Times New Roman"/>
          <w:sz w:val="24"/>
          <w:szCs w:val="24"/>
        </w:rPr>
        <w:t xml:space="preserve">dice and discrimination. In an </w:t>
      </w:r>
      <w:r w:rsidRPr="0028426C">
        <w:rPr>
          <w:rFonts w:ascii="Times New Roman" w:hAnsi="Times New Roman" w:cs="Times New Roman"/>
          <w:sz w:val="24"/>
          <w:szCs w:val="24"/>
        </w:rPr>
        <w:t>experimental design, participants underwent various training p</w:t>
      </w:r>
      <w:r w:rsidR="00C16882" w:rsidRPr="0028426C">
        <w:rPr>
          <w:rFonts w:ascii="Times New Roman" w:hAnsi="Times New Roman" w:cs="Times New Roman"/>
          <w:sz w:val="24"/>
          <w:szCs w:val="24"/>
        </w:rPr>
        <w:t xml:space="preserve">rograms and were then observed </w:t>
      </w:r>
      <w:r w:rsidRPr="0028426C">
        <w:rPr>
          <w:rFonts w:ascii="Times New Roman" w:hAnsi="Times New Roman" w:cs="Times New Roman"/>
          <w:sz w:val="24"/>
          <w:szCs w:val="24"/>
        </w:rPr>
        <w:t>for behavioral indicators of discrimination. The results indicate th</w:t>
      </w:r>
      <w:r w:rsidR="00C16882" w:rsidRPr="0028426C">
        <w:rPr>
          <w:rFonts w:ascii="Times New Roman" w:hAnsi="Times New Roman" w:cs="Times New Roman"/>
          <w:sz w:val="24"/>
          <w:szCs w:val="24"/>
        </w:rPr>
        <w:t xml:space="preserve">at while emotional recognition </w:t>
      </w:r>
      <w:r w:rsidRPr="0028426C">
        <w:rPr>
          <w:rFonts w:ascii="Times New Roman" w:hAnsi="Times New Roman" w:cs="Times New Roman"/>
          <w:sz w:val="24"/>
          <w:szCs w:val="24"/>
        </w:rPr>
        <w:t>training did not reduce self-reported prejudice, it signific</w:t>
      </w:r>
      <w:r w:rsidR="00C16882" w:rsidRPr="0028426C">
        <w:rPr>
          <w:rFonts w:ascii="Times New Roman" w:hAnsi="Times New Roman" w:cs="Times New Roman"/>
          <w:sz w:val="24"/>
          <w:szCs w:val="24"/>
        </w:rPr>
        <w:t xml:space="preserve">antly decreased discriminatory </w:t>
      </w:r>
      <w:r w:rsidRPr="0028426C">
        <w:rPr>
          <w:rFonts w:ascii="Times New Roman" w:hAnsi="Times New Roman" w:cs="Times New Roman"/>
          <w:sz w:val="24"/>
          <w:szCs w:val="24"/>
        </w:rPr>
        <w:t>behaviors, especially in participants with low alexithymia. The st</w:t>
      </w:r>
      <w:r w:rsidR="00C16882" w:rsidRPr="0028426C">
        <w:rPr>
          <w:rFonts w:ascii="Times New Roman" w:hAnsi="Times New Roman" w:cs="Times New Roman"/>
          <w:sz w:val="24"/>
          <w:szCs w:val="24"/>
        </w:rPr>
        <w:t xml:space="preserve">udy underscores the importance </w:t>
      </w:r>
      <w:r w:rsidRPr="0028426C">
        <w:rPr>
          <w:rFonts w:ascii="Times New Roman" w:hAnsi="Times New Roman" w:cs="Times New Roman"/>
          <w:sz w:val="24"/>
          <w:szCs w:val="24"/>
        </w:rPr>
        <w:t xml:space="preserve">of emotional intelligence, particularly the ability to recognize emotions, as a tool </w:t>
      </w:r>
      <w:r w:rsidR="00C16882" w:rsidRPr="0028426C">
        <w:rPr>
          <w:rFonts w:ascii="Times New Roman" w:hAnsi="Times New Roman" w:cs="Times New Roman"/>
          <w:sz w:val="24"/>
          <w:szCs w:val="24"/>
        </w:rPr>
        <w:t xml:space="preserve">for behavior </w:t>
      </w:r>
      <w:r w:rsidRPr="0028426C">
        <w:rPr>
          <w:rFonts w:ascii="Times New Roman" w:hAnsi="Times New Roman" w:cs="Times New Roman"/>
          <w:sz w:val="24"/>
          <w:szCs w:val="24"/>
        </w:rPr>
        <w:t xml:space="preserve">regulation in intergroup contexts. </w:t>
      </w:r>
    </w:p>
    <w:p w14:paraId="7AA57730" w14:textId="0FB85066" w:rsidR="001F6817"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Birtel et al. (2023) conduct a series of three studies to explore the </w:t>
      </w:r>
      <w:r w:rsidR="00C16882" w:rsidRPr="0028426C">
        <w:rPr>
          <w:rFonts w:ascii="Times New Roman" w:hAnsi="Times New Roman" w:cs="Times New Roman"/>
          <w:sz w:val="24"/>
          <w:szCs w:val="24"/>
        </w:rPr>
        <w:t xml:space="preserve">role of alexithymia in shaping </w:t>
      </w:r>
      <w:r w:rsidRPr="0028426C">
        <w:rPr>
          <w:rFonts w:ascii="Times New Roman" w:hAnsi="Times New Roman" w:cs="Times New Roman"/>
          <w:sz w:val="24"/>
          <w:szCs w:val="24"/>
        </w:rPr>
        <w:t>intergroup prejudice and the mediating effect of empathy. The research spans</w:t>
      </w:r>
      <w:r w:rsidR="00C16882" w:rsidRPr="0028426C">
        <w:rPr>
          <w:rFonts w:ascii="Times New Roman" w:hAnsi="Times New Roman" w:cs="Times New Roman"/>
          <w:sz w:val="24"/>
          <w:szCs w:val="24"/>
        </w:rPr>
        <w:t xml:space="preserve"> diverse groups—</w:t>
      </w:r>
      <w:r w:rsidRPr="0028426C">
        <w:rPr>
          <w:rFonts w:ascii="Times New Roman" w:hAnsi="Times New Roman" w:cs="Times New Roman"/>
          <w:sz w:val="24"/>
          <w:szCs w:val="24"/>
        </w:rPr>
        <w:t>LGBT+ individuals, Asian British people, and immigrant</w:t>
      </w:r>
      <w:r w:rsidR="00C16882" w:rsidRPr="0028426C">
        <w:rPr>
          <w:rFonts w:ascii="Times New Roman" w:hAnsi="Times New Roman" w:cs="Times New Roman"/>
          <w:sz w:val="24"/>
          <w:szCs w:val="24"/>
        </w:rPr>
        <w:t xml:space="preserve">s—across the UK and Italy. The </w:t>
      </w:r>
      <w:r w:rsidRPr="0028426C">
        <w:rPr>
          <w:rFonts w:ascii="Times New Roman" w:hAnsi="Times New Roman" w:cs="Times New Roman"/>
          <w:sz w:val="24"/>
          <w:szCs w:val="24"/>
        </w:rPr>
        <w:t>authors find that the externally oriented thinking compone</w:t>
      </w:r>
      <w:r w:rsidR="00C16882" w:rsidRPr="0028426C">
        <w:rPr>
          <w:rFonts w:ascii="Times New Roman" w:hAnsi="Times New Roman" w:cs="Times New Roman"/>
          <w:sz w:val="24"/>
          <w:szCs w:val="24"/>
        </w:rPr>
        <w:t xml:space="preserve">nt of alexithymia (EOT), which </w:t>
      </w:r>
      <w:r w:rsidRPr="0028426C">
        <w:rPr>
          <w:rFonts w:ascii="Times New Roman" w:hAnsi="Times New Roman" w:cs="Times New Roman"/>
          <w:sz w:val="24"/>
          <w:szCs w:val="24"/>
        </w:rPr>
        <w:t>reflects avoidance of emotional processing, is consistently assoc</w:t>
      </w:r>
      <w:r w:rsidR="00C16882" w:rsidRPr="0028426C">
        <w:rPr>
          <w:rFonts w:ascii="Times New Roman" w:hAnsi="Times New Roman" w:cs="Times New Roman"/>
          <w:sz w:val="24"/>
          <w:szCs w:val="24"/>
        </w:rPr>
        <w:t xml:space="preserve">iated with lower dispositional </w:t>
      </w:r>
      <w:r w:rsidRPr="0028426C">
        <w:rPr>
          <w:rFonts w:ascii="Times New Roman" w:hAnsi="Times New Roman" w:cs="Times New Roman"/>
          <w:sz w:val="24"/>
          <w:szCs w:val="24"/>
        </w:rPr>
        <w:t>and intergroup empathy, and consequently, higher level</w:t>
      </w:r>
      <w:r w:rsidR="00C16882" w:rsidRPr="0028426C">
        <w:rPr>
          <w:rFonts w:ascii="Times New Roman" w:hAnsi="Times New Roman" w:cs="Times New Roman"/>
          <w:sz w:val="24"/>
          <w:szCs w:val="24"/>
        </w:rPr>
        <w:t xml:space="preserve">s of prejudice. Both cognitive </w:t>
      </w:r>
      <w:r w:rsidRPr="0028426C">
        <w:rPr>
          <w:rFonts w:ascii="Times New Roman" w:hAnsi="Times New Roman" w:cs="Times New Roman"/>
          <w:sz w:val="24"/>
          <w:szCs w:val="24"/>
        </w:rPr>
        <w:t>(perspective taking) and affective (empathic concern) emp</w:t>
      </w:r>
      <w:r w:rsidR="00C16882" w:rsidRPr="0028426C">
        <w:rPr>
          <w:rFonts w:ascii="Times New Roman" w:hAnsi="Times New Roman" w:cs="Times New Roman"/>
          <w:sz w:val="24"/>
          <w:szCs w:val="24"/>
        </w:rPr>
        <w:t xml:space="preserve">athy were found to mediate the </w:t>
      </w:r>
      <w:r w:rsidRPr="0028426C">
        <w:rPr>
          <w:rFonts w:ascii="Times New Roman" w:hAnsi="Times New Roman" w:cs="Times New Roman"/>
          <w:sz w:val="24"/>
          <w:szCs w:val="24"/>
        </w:rPr>
        <w:t>alexithymia-prejudice link, suggesting that deficits in emotio</w:t>
      </w:r>
      <w:r w:rsidR="00C16882" w:rsidRPr="0028426C">
        <w:rPr>
          <w:rFonts w:ascii="Times New Roman" w:hAnsi="Times New Roman" w:cs="Times New Roman"/>
          <w:sz w:val="24"/>
          <w:szCs w:val="24"/>
        </w:rPr>
        <w:t xml:space="preserve">nal processing hinder empathic </w:t>
      </w:r>
      <w:r w:rsidRPr="0028426C">
        <w:rPr>
          <w:rFonts w:ascii="Times New Roman" w:hAnsi="Times New Roman" w:cs="Times New Roman"/>
          <w:sz w:val="24"/>
          <w:szCs w:val="24"/>
        </w:rPr>
        <w:t xml:space="preserve">responses and foster negative intergroup attitudes. </w:t>
      </w:r>
    </w:p>
    <w:p w14:paraId="38DA6167" w14:textId="2CF1172C"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Guzzo et al. (2013) examined the interplay between bullying victimization, post</w:t>
      </w:r>
      <w:r w:rsidR="00C16882" w:rsidRPr="0028426C">
        <w:rPr>
          <w:rFonts w:ascii="Times New Roman" w:hAnsi="Times New Roman" w:cs="Times New Roman"/>
          <w:sz w:val="24"/>
          <w:szCs w:val="24"/>
        </w:rPr>
        <w:t xml:space="preserve">-traumatic stress </w:t>
      </w:r>
      <w:r w:rsidRPr="0028426C">
        <w:rPr>
          <w:rFonts w:ascii="Times New Roman" w:hAnsi="Times New Roman" w:cs="Times New Roman"/>
          <w:sz w:val="24"/>
          <w:szCs w:val="24"/>
        </w:rPr>
        <w:t>symptoms, and alexithymia among adolescents aged 16–17. The study found that experiences of being bullied were significantly associated with PTSD symptoms, and this relationship was mediated by alexithymia. Adolescents with difficulty identifyin</w:t>
      </w:r>
      <w:r w:rsidR="00C16882" w:rsidRPr="0028426C">
        <w:rPr>
          <w:rFonts w:ascii="Times New Roman" w:hAnsi="Times New Roman" w:cs="Times New Roman"/>
          <w:sz w:val="24"/>
          <w:szCs w:val="24"/>
        </w:rPr>
        <w:t xml:space="preserve">g and describing feelings, and </w:t>
      </w:r>
      <w:r w:rsidRPr="0028426C">
        <w:rPr>
          <w:rFonts w:ascii="Times New Roman" w:hAnsi="Times New Roman" w:cs="Times New Roman"/>
          <w:sz w:val="24"/>
          <w:szCs w:val="24"/>
        </w:rPr>
        <w:t>those with externally-oriented thinking, were more likely to ma</w:t>
      </w:r>
      <w:r w:rsidR="00C16882" w:rsidRPr="0028426C">
        <w:rPr>
          <w:rFonts w:ascii="Times New Roman" w:hAnsi="Times New Roman" w:cs="Times New Roman"/>
          <w:sz w:val="24"/>
          <w:szCs w:val="24"/>
        </w:rPr>
        <w:t xml:space="preserve">nifest PTSD symptoms following </w:t>
      </w:r>
      <w:r w:rsidRPr="0028426C">
        <w:rPr>
          <w:rFonts w:ascii="Times New Roman" w:hAnsi="Times New Roman" w:cs="Times New Roman"/>
          <w:sz w:val="24"/>
          <w:szCs w:val="24"/>
        </w:rPr>
        <w:t xml:space="preserve">victimization. </w:t>
      </w:r>
    </w:p>
    <w:p w14:paraId="2CD774BA" w14:textId="3AEDD60F" w:rsidR="001F6817" w:rsidRPr="0028426C" w:rsidRDefault="001F4AAB"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Levantini</w:t>
      </w:r>
      <w:proofErr w:type="spellEnd"/>
      <w:r w:rsidRPr="0028426C">
        <w:rPr>
          <w:rFonts w:ascii="Times New Roman" w:hAnsi="Times New Roman" w:cs="Times New Roman"/>
          <w:sz w:val="24"/>
          <w:szCs w:val="24"/>
        </w:rPr>
        <w:t>, Camodeca, and Iannello (2023) investigated the joint e</w:t>
      </w:r>
      <w:r w:rsidR="00C16882" w:rsidRPr="0028426C">
        <w:rPr>
          <w:rFonts w:ascii="Times New Roman" w:hAnsi="Times New Roman" w:cs="Times New Roman"/>
          <w:sz w:val="24"/>
          <w:szCs w:val="24"/>
        </w:rPr>
        <w:t xml:space="preserve">ffects of bullying involvement </w:t>
      </w:r>
      <w:r w:rsidRPr="0028426C">
        <w:rPr>
          <w:rFonts w:ascii="Times New Roman" w:hAnsi="Times New Roman" w:cs="Times New Roman"/>
          <w:sz w:val="24"/>
          <w:szCs w:val="24"/>
        </w:rPr>
        <w:t>and alexithymia on somatic complaints in preadolescents. The</w:t>
      </w:r>
      <w:r w:rsidR="00C16882" w:rsidRPr="0028426C">
        <w:rPr>
          <w:rFonts w:ascii="Times New Roman" w:hAnsi="Times New Roman" w:cs="Times New Roman"/>
          <w:sz w:val="24"/>
          <w:szCs w:val="24"/>
        </w:rPr>
        <w:t xml:space="preserve">ir findings revealed that both </w:t>
      </w:r>
      <w:r w:rsidRPr="0028426C">
        <w:rPr>
          <w:rFonts w:ascii="Times New Roman" w:hAnsi="Times New Roman" w:cs="Times New Roman"/>
          <w:sz w:val="24"/>
          <w:szCs w:val="24"/>
        </w:rPr>
        <w:t>bullying perpetration and victimization were associated with</w:t>
      </w:r>
      <w:r w:rsidR="00C16882" w:rsidRPr="0028426C">
        <w:rPr>
          <w:rFonts w:ascii="Times New Roman" w:hAnsi="Times New Roman" w:cs="Times New Roman"/>
          <w:sz w:val="24"/>
          <w:szCs w:val="24"/>
        </w:rPr>
        <w:t xml:space="preserve"> increased somatic complaints, </w:t>
      </w:r>
      <w:r w:rsidRPr="0028426C">
        <w:rPr>
          <w:rFonts w:ascii="Times New Roman" w:hAnsi="Times New Roman" w:cs="Times New Roman"/>
          <w:sz w:val="24"/>
          <w:szCs w:val="24"/>
        </w:rPr>
        <w:t>mediated indirectly by alexithymia. Notably, the direct relation</w:t>
      </w:r>
      <w:r w:rsidR="00C16882" w:rsidRPr="0028426C">
        <w:rPr>
          <w:rFonts w:ascii="Times New Roman" w:hAnsi="Times New Roman" w:cs="Times New Roman"/>
          <w:sz w:val="24"/>
          <w:szCs w:val="24"/>
        </w:rPr>
        <w:t xml:space="preserve">ship between victimization and </w:t>
      </w:r>
      <w:r w:rsidRPr="0028426C">
        <w:rPr>
          <w:rFonts w:ascii="Times New Roman" w:hAnsi="Times New Roman" w:cs="Times New Roman"/>
          <w:sz w:val="24"/>
          <w:szCs w:val="24"/>
        </w:rPr>
        <w:t xml:space="preserve">somatic symptoms was significant, while outsider behavior was </w:t>
      </w:r>
      <w:r w:rsidR="00C16882" w:rsidRPr="0028426C">
        <w:rPr>
          <w:rFonts w:ascii="Times New Roman" w:hAnsi="Times New Roman" w:cs="Times New Roman"/>
          <w:sz w:val="24"/>
          <w:szCs w:val="24"/>
        </w:rPr>
        <w:t>not significantly linked.</w:t>
      </w:r>
    </w:p>
    <w:p w14:paraId="60A5C1E9" w14:textId="5139DBA2"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Cerqueira and Almeida (2023) explored the relationship between</w:t>
      </w:r>
      <w:r w:rsidR="00C16882" w:rsidRPr="0028426C">
        <w:rPr>
          <w:rFonts w:ascii="Times New Roman" w:hAnsi="Times New Roman" w:cs="Times New Roman"/>
          <w:sz w:val="24"/>
          <w:szCs w:val="24"/>
        </w:rPr>
        <w:t xml:space="preserve"> adverse childhood experiences </w:t>
      </w:r>
      <w:r w:rsidRPr="0028426C">
        <w:rPr>
          <w:rFonts w:ascii="Times New Roman" w:hAnsi="Times New Roman" w:cs="Times New Roman"/>
          <w:sz w:val="24"/>
          <w:szCs w:val="24"/>
        </w:rPr>
        <w:t>(ACEs), alexithymia, and empathy in adulthood. Their results</w:t>
      </w:r>
      <w:r w:rsidR="00C16882" w:rsidRPr="0028426C">
        <w:rPr>
          <w:rFonts w:ascii="Times New Roman" w:hAnsi="Times New Roman" w:cs="Times New Roman"/>
          <w:sz w:val="24"/>
          <w:szCs w:val="24"/>
        </w:rPr>
        <w:t xml:space="preserve"> showed a significant positive </w:t>
      </w:r>
      <w:r w:rsidRPr="0028426C">
        <w:rPr>
          <w:rFonts w:ascii="Times New Roman" w:hAnsi="Times New Roman" w:cs="Times New Roman"/>
          <w:sz w:val="24"/>
          <w:szCs w:val="24"/>
        </w:rPr>
        <w:t xml:space="preserve">correlation between ACEs—especially emotional abuse and neglect—and </w:t>
      </w:r>
      <w:proofErr w:type="spellStart"/>
      <w:r w:rsidRPr="0028426C">
        <w:rPr>
          <w:rFonts w:ascii="Times New Roman" w:hAnsi="Times New Roman" w:cs="Times New Roman"/>
          <w:sz w:val="24"/>
          <w:szCs w:val="24"/>
        </w:rPr>
        <w:t>alexithymic</w:t>
      </w:r>
      <w:proofErr w:type="spellEnd"/>
      <w:r w:rsidRPr="0028426C">
        <w:rPr>
          <w:rFonts w:ascii="Times New Roman" w:hAnsi="Times New Roman" w:cs="Times New Roman"/>
          <w:sz w:val="24"/>
          <w:szCs w:val="24"/>
        </w:rPr>
        <w:t xml:space="preserve"> trait</w:t>
      </w:r>
      <w:r w:rsidR="00C16882" w:rsidRPr="0028426C">
        <w:rPr>
          <w:rFonts w:ascii="Times New Roman" w:hAnsi="Times New Roman" w:cs="Times New Roman"/>
          <w:sz w:val="24"/>
          <w:szCs w:val="24"/>
        </w:rPr>
        <w:t xml:space="preserve">s, </w:t>
      </w:r>
      <w:r w:rsidRPr="0028426C">
        <w:rPr>
          <w:rFonts w:ascii="Times New Roman" w:hAnsi="Times New Roman" w:cs="Times New Roman"/>
          <w:sz w:val="24"/>
          <w:szCs w:val="24"/>
        </w:rPr>
        <w:t>including difficulty identifying and expressing emotions. The</w:t>
      </w:r>
      <w:r w:rsidR="00C16882" w:rsidRPr="0028426C">
        <w:rPr>
          <w:rFonts w:ascii="Times New Roman" w:hAnsi="Times New Roman" w:cs="Times New Roman"/>
          <w:sz w:val="24"/>
          <w:szCs w:val="24"/>
        </w:rPr>
        <w:t xml:space="preserve"> study confirmed that ACEs are </w:t>
      </w:r>
      <w:r w:rsidRPr="0028426C">
        <w:rPr>
          <w:rFonts w:ascii="Times New Roman" w:hAnsi="Times New Roman" w:cs="Times New Roman"/>
          <w:sz w:val="24"/>
          <w:szCs w:val="24"/>
        </w:rPr>
        <w:t>predictive of higher alexithymia scores and lower empathic conc</w:t>
      </w:r>
      <w:r w:rsidR="00C16882" w:rsidRPr="0028426C">
        <w:rPr>
          <w:rFonts w:ascii="Times New Roman" w:hAnsi="Times New Roman" w:cs="Times New Roman"/>
          <w:sz w:val="24"/>
          <w:szCs w:val="24"/>
        </w:rPr>
        <w:t xml:space="preserve">ern. </w:t>
      </w:r>
    </w:p>
    <w:p w14:paraId="73AAF659" w14:textId="1A04C1A7" w:rsidR="00E24F54" w:rsidRPr="0028426C" w:rsidRDefault="00C8123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Collectively, these studies</w:t>
      </w:r>
      <w:r w:rsidR="005628D2" w:rsidRPr="0028426C">
        <w:rPr>
          <w:rFonts w:ascii="Times New Roman" w:hAnsi="Times New Roman" w:cs="Times New Roman"/>
          <w:sz w:val="24"/>
          <w:szCs w:val="24"/>
        </w:rPr>
        <w:t xml:space="preserve"> outline a critical need to </w:t>
      </w:r>
      <w:r w:rsidR="00C83E09" w:rsidRPr="0028426C">
        <w:rPr>
          <w:rFonts w:ascii="Times New Roman" w:hAnsi="Times New Roman" w:cs="Times New Roman"/>
          <w:sz w:val="24"/>
          <w:szCs w:val="24"/>
        </w:rPr>
        <w:t xml:space="preserve">address the </w:t>
      </w:r>
      <w:r w:rsidR="00C16882" w:rsidRPr="0028426C">
        <w:rPr>
          <w:rFonts w:ascii="Times New Roman" w:hAnsi="Times New Roman" w:cs="Times New Roman"/>
          <w:sz w:val="24"/>
          <w:szCs w:val="24"/>
        </w:rPr>
        <w:t xml:space="preserve">research gaps in the variables </w:t>
      </w:r>
      <w:r w:rsidR="00C83E09" w:rsidRPr="0028426C">
        <w:rPr>
          <w:rFonts w:ascii="Times New Roman" w:hAnsi="Times New Roman" w:cs="Times New Roman"/>
          <w:sz w:val="24"/>
          <w:szCs w:val="24"/>
        </w:rPr>
        <w:t>under study. Limited research has been documented in the pas</w:t>
      </w:r>
      <w:r w:rsidR="00C16882" w:rsidRPr="0028426C">
        <w:rPr>
          <w:rFonts w:ascii="Times New Roman" w:hAnsi="Times New Roman" w:cs="Times New Roman"/>
          <w:sz w:val="24"/>
          <w:szCs w:val="24"/>
        </w:rPr>
        <w:t xml:space="preserve">t to study peer influences and </w:t>
      </w:r>
      <w:r w:rsidR="00C83E09" w:rsidRPr="0028426C">
        <w:rPr>
          <w:rFonts w:ascii="Times New Roman" w:hAnsi="Times New Roman" w:cs="Times New Roman"/>
          <w:sz w:val="24"/>
          <w:szCs w:val="24"/>
        </w:rPr>
        <w:t>alexithymia as predictors of Transphobia. The chapter also revie</w:t>
      </w:r>
      <w:r w:rsidR="00C16882" w:rsidRPr="0028426C">
        <w:rPr>
          <w:rFonts w:ascii="Times New Roman" w:hAnsi="Times New Roman" w:cs="Times New Roman"/>
          <w:sz w:val="24"/>
          <w:szCs w:val="24"/>
        </w:rPr>
        <w:t xml:space="preserve">wed that while Transphobia and </w:t>
      </w:r>
      <w:r w:rsidR="00C83E09" w:rsidRPr="0028426C">
        <w:rPr>
          <w:rFonts w:ascii="Times New Roman" w:hAnsi="Times New Roman" w:cs="Times New Roman"/>
          <w:sz w:val="24"/>
          <w:szCs w:val="24"/>
        </w:rPr>
        <w:t xml:space="preserve">Peer influences are correlated in some studies, there are less or no </w:t>
      </w:r>
      <w:r w:rsidR="00C16882" w:rsidRPr="0028426C">
        <w:rPr>
          <w:rFonts w:ascii="Times New Roman" w:hAnsi="Times New Roman" w:cs="Times New Roman"/>
          <w:sz w:val="24"/>
          <w:szCs w:val="24"/>
        </w:rPr>
        <w:t xml:space="preserve">studies done on Transphobia </w:t>
      </w:r>
      <w:r w:rsidR="00C83E09" w:rsidRPr="0028426C">
        <w:rPr>
          <w:rFonts w:ascii="Times New Roman" w:hAnsi="Times New Roman" w:cs="Times New Roman"/>
          <w:sz w:val="24"/>
          <w:szCs w:val="24"/>
        </w:rPr>
        <w:t xml:space="preserve">and Alexithymia. Therefore, the current study aims to fill this research gap. </w:t>
      </w:r>
    </w:p>
    <w:p w14:paraId="719B6D55" w14:textId="4E69EC89" w:rsidR="00884034" w:rsidRPr="00884034" w:rsidRDefault="00884034" w:rsidP="00CD2A7B">
      <w:pPr>
        <w:spacing w:line="360" w:lineRule="auto"/>
        <w:jc w:val="both"/>
        <w:rPr>
          <w:rFonts w:ascii="Times New Roman" w:hAnsi="Times New Roman" w:cs="Times New Roman"/>
          <w:sz w:val="24"/>
          <w:szCs w:val="24"/>
        </w:rPr>
      </w:pPr>
      <w:r>
        <w:rPr>
          <w:rFonts w:ascii="Times New Roman" w:hAnsi="Times New Roman" w:cs="Times New Roman"/>
          <w:b/>
          <w:sz w:val="24"/>
          <w:szCs w:val="24"/>
        </w:rPr>
        <w:t>Objectives</w:t>
      </w:r>
    </w:p>
    <w:p w14:paraId="0AF33C39" w14:textId="77777777" w:rsidR="00884034" w:rsidRPr="0028426C" w:rsidRDefault="00884034" w:rsidP="00CD2A7B">
      <w:pPr>
        <w:pStyle w:val="ListParagraph"/>
        <w:numPr>
          <w:ilvl w:val="0"/>
          <w:numId w:val="25"/>
        </w:numPr>
        <w:spacing w:before="100" w:beforeAutospacing="1"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investigate Peer Influence and Alexithymia in shaping Transphobic attitudes </w:t>
      </w:r>
    </w:p>
    <w:p w14:paraId="305A05B0" w14:textId="77777777" w:rsidR="00884034" w:rsidRPr="00C35891" w:rsidRDefault="00884034" w:rsidP="00CD2A7B">
      <w:pPr>
        <w:pStyle w:val="ListParagraph"/>
        <w:numPr>
          <w:ilvl w:val="0"/>
          <w:numId w:val="25"/>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evaluate the predictive power of Alexithymia and Peer Influences to explain Transphobia </w:t>
      </w:r>
    </w:p>
    <w:p w14:paraId="6FEDD653" w14:textId="578829AB" w:rsidR="008D4177" w:rsidRPr="0028426C" w:rsidRDefault="00C3589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Hypotheses</w:t>
      </w:r>
    </w:p>
    <w:p w14:paraId="5D2910F7" w14:textId="54AFC44A"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will correlate positively with Transphobia </w:t>
      </w:r>
    </w:p>
    <w:p w14:paraId="4C4EC6DA" w14:textId="21B1D819"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Pressure will correl</w:t>
      </w:r>
      <w:r w:rsidR="00C83E09" w:rsidRPr="0028426C">
        <w:rPr>
          <w:rFonts w:ascii="Times New Roman" w:hAnsi="Times New Roman" w:cs="Times New Roman"/>
          <w:sz w:val="24"/>
          <w:szCs w:val="24"/>
        </w:rPr>
        <w:t>ate positively with Transphobia</w:t>
      </w:r>
    </w:p>
    <w:p w14:paraId="1894DCF3" w14:textId="1D174B2D" w:rsidR="00C16882" w:rsidRPr="00C35891"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 and Peer pressure will independently and c</w:t>
      </w:r>
      <w:r w:rsidR="00DD26CE" w:rsidRPr="0028426C">
        <w:rPr>
          <w:rFonts w:ascii="Times New Roman" w:hAnsi="Times New Roman" w:cs="Times New Roman"/>
          <w:sz w:val="24"/>
          <w:szCs w:val="24"/>
        </w:rPr>
        <w:t>ollectively predict Transphobia</w:t>
      </w:r>
    </w:p>
    <w:p w14:paraId="6BC810F3" w14:textId="77777777" w:rsidR="0028426C" w:rsidRPr="00DE55FE" w:rsidRDefault="0028426C" w:rsidP="00CD2A7B">
      <w:pPr>
        <w:spacing w:line="360" w:lineRule="auto"/>
        <w:rPr>
          <w:rFonts w:ascii="Times New Roman" w:eastAsia="Times New Roman" w:hAnsi="Times New Roman" w:cs="Times New Roman"/>
          <w:b/>
          <w:sz w:val="24"/>
          <w:szCs w:val="24"/>
        </w:rPr>
      </w:pPr>
      <w:r w:rsidRPr="00DE55FE">
        <w:rPr>
          <w:rFonts w:ascii="Times New Roman" w:eastAsia="Times New Roman" w:hAnsi="Times New Roman" w:cs="Times New Roman"/>
          <w:b/>
          <w:color w:val="000000"/>
          <w:sz w:val="24"/>
          <w:szCs w:val="24"/>
        </w:rPr>
        <w:t>METHOD</w:t>
      </w:r>
    </w:p>
    <w:p w14:paraId="753F280B" w14:textId="2EE44323" w:rsidR="0028426C" w:rsidRPr="00DE55FE" w:rsidRDefault="0028426C" w:rsidP="00CD2A7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Sample</w:t>
      </w:r>
    </w:p>
    <w:p w14:paraId="4F5B8AEF" w14:textId="167BA48C" w:rsidR="008A3389" w:rsidRDefault="008A3389"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total sample of 101 participants (29 males and 72 females) was collected from Punjabi University, Patiala. All the participants were aged between 18-22 years of age. T </w:t>
      </w:r>
    </w:p>
    <w:p w14:paraId="390BD874" w14:textId="77777777" w:rsidR="008A3389" w:rsidRDefault="008A3389" w:rsidP="00CD2A7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Sampling technique</w:t>
      </w:r>
    </w:p>
    <w:p w14:paraId="5C5E2EF9" w14:textId="758458DF" w:rsidR="008A3389" w:rsidRDefault="008A3389" w:rsidP="00CD2A7B">
      <w:pPr>
        <w:spacing w:line="360" w:lineRule="auto"/>
        <w:rPr>
          <w:rFonts w:ascii="Times New Roman" w:hAnsi="Times New Roman" w:cs="Times New Roman"/>
          <w:sz w:val="24"/>
          <w:szCs w:val="24"/>
        </w:rPr>
      </w:pPr>
      <w:r w:rsidRPr="0028426C">
        <w:rPr>
          <w:rFonts w:ascii="Times New Roman" w:hAnsi="Times New Roman" w:cs="Times New Roman"/>
          <w:sz w:val="24"/>
          <w:szCs w:val="24"/>
        </w:rPr>
        <w:t>Convenience Sampling (non-probability sampling) was used</w:t>
      </w:r>
      <w:r w:rsidR="008269D4">
        <w:rPr>
          <w:rFonts w:ascii="Times New Roman" w:hAnsi="Times New Roman" w:cs="Times New Roman"/>
          <w:sz w:val="24"/>
          <w:szCs w:val="24"/>
        </w:rPr>
        <w:t>.</w:t>
      </w:r>
    </w:p>
    <w:p w14:paraId="23C4654B" w14:textId="2286A8BE" w:rsidR="0028426C" w:rsidRPr="00DE55FE" w:rsidRDefault="008A3389"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b/>
          <w:sz w:val="24"/>
          <w:szCs w:val="24"/>
        </w:rPr>
        <w:t>Description of the Tools</w:t>
      </w:r>
    </w:p>
    <w:p w14:paraId="715260E3" w14:textId="0848F0A6" w:rsidR="008269D4" w:rsidRPr="008A3389" w:rsidRDefault="003D4774"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sz w:val="24"/>
          <w:szCs w:val="24"/>
        </w:rPr>
        <w:lastRenderedPageBreak/>
        <w:t>For the purpo</w:t>
      </w:r>
      <w:r w:rsidR="00631B8F" w:rsidRPr="0028426C">
        <w:rPr>
          <w:rFonts w:ascii="Times New Roman" w:hAnsi="Times New Roman" w:cs="Times New Roman"/>
          <w:sz w:val="24"/>
          <w:szCs w:val="24"/>
        </w:rPr>
        <w:t>se of the current study</w:t>
      </w:r>
      <w:r w:rsidR="008269D4">
        <w:rPr>
          <w:rFonts w:ascii="Times New Roman" w:hAnsi="Times New Roman" w:cs="Times New Roman"/>
          <w:sz w:val="24"/>
          <w:szCs w:val="24"/>
        </w:rPr>
        <w:t xml:space="preserve"> the</w:t>
      </w:r>
      <w:r w:rsidR="008269D4" w:rsidRPr="0028426C">
        <w:rPr>
          <w:rFonts w:ascii="Times New Roman" w:hAnsi="Times New Roman" w:cs="Times New Roman"/>
          <w:sz w:val="24"/>
          <w:szCs w:val="24"/>
        </w:rPr>
        <w:t xml:space="preserve"> data was collected using self-administered questionnaires and inventories. </w:t>
      </w:r>
    </w:p>
    <w:p w14:paraId="4E34D2ED" w14:textId="5B8CB44C" w:rsidR="008A3389" w:rsidRPr="008A3389" w:rsidRDefault="009024AB"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Genderism and Transphobia Scale (Hill and Willoughby, 2005)</w:t>
      </w:r>
      <w:r w:rsidRPr="008A3389">
        <w:rPr>
          <w:rFonts w:ascii="Times New Roman" w:hAnsi="Times New Roman" w:cs="Times New Roman"/>
          <w:sz w:val="24"/>
          <w:szCs w:val="24"/>
        </w:rPr>
        <w:t xml:space="preserve"> </w:t>
      </w:r>
    </w:p>
    <w:p w14:paraId="165CA85D" w14:textId="50A42148" w:rsidR="00B0265D" w:rsidRPr="008A3389" w:rsidRDefault="008A3389" w:rsidP="00CD2A7B">
      <w:pPr>
        <w:spacing w:line="360" w:lineRule="auto"/>
        <w:ind w:left="360"/>
        <w:jc w:val="both"/>
        <w:rPr>
          <w:rFonts w:ascii="Times New Roman" w:hAnsi="Times New Roman" w:cs="Times New Roman"/>
          <w:sz w:val="24"/>
          <w:szCs w:val="24"/>
        </w:rPr>
      </w:pPr>
      <w:r w:rsidRPr="008A3389">
        <w:rPr>
          <w:rFonts w:ascii="Times New Roman" w:hAnsi="Times New Roman" w:cs="Times New Roman"/>
          <w:sz w:val="24"/>
          <w:szCs w:val="24"/>
        </w:rPr>
        <w:t>It i</w:t>
      </w:r>
      <w:r w:rsidR="009024AB" w:rsidRPr="008A3389">
        <w:rPr>
          <w:rFonts w:ascii="Times New Roman" w:hAnsi="Times New Roman" w:cs="Times New Roman"/>
          <w:sz w:val="24"/>
          <w:szCs w:val="24"/>
        </w:rPr>
        <w:t>s used to measure the attitudes and behaviors of binary indi</w:t>
      </w:r>
      <w:r w:rsidR="00C16882" w:rsidRPr="008A3389">
        <w:rPr>
          <w:rFonts w:ascii="Times New Roman" w:hAnsi="Times New Roman" w:cs="Times New Roman"/>
          <w:sz w:val="24"/>
          <w:szCs w:val="24"/>
        </w:rPr>
        <w:t>viduals towards the non-binary i</w:t>
      </w:r>
      <w:r w:rsidR="009024AB" w:rsidRPr="008A3389">
        <w:rPr>
          <w:rFonts w:ascii="Times New Roman" w:hAnsi="Times New Roman" w:cs="Times New Roman"/>
          <w:sz w:val="24"/>
          <w:szCs w:val="24"/>
        </w:rPr>
        <w:t>ndividuals i.e. the Transgenders. The scale contains 32 it</w:t>
      </w:r>
      <w:r w:rsidR="00220ECE" w:rsidRPr="008A3389">
        <w:rPr>
          <w:rFonts w:ascii="Times New Roman" w:hAnsi="Times New Roman" w:cs="Times New Roman"/>
          <w:sz w:val="24"/>
          <w:szCs w:val="24"/>
        </w:rPr>
        <w:t xml:space="preserve">ems with a </w:t>
      </w:r>
      <w:proofErr w:type="gramStart"/>
      <w:r w:rsidR="00220ECE" w:rsidRPr="008A3389">
        <w:rPr>
          <w:rFonts w:ascii="Times New Roman" w:hAnsi="Times New Roman" w:cs="Times New Roman"/>
          <w:sz w:val="24"/>
          <w:szCs w:val="24"/>
        </w:rPr>
        <w:t>7 point</w:t>
      </w:r>
      <w:proofErr w:type="gramEnd"/>
      <w:r w:rsidR="00220ECE" w:rsidRPr="008A3389">
        <w:rPr>
          <w:rFonts w:ascii="Times New Roman" w:hAnsi="Times New Roman" w:cs="Times New Roman"/>
          <w:sz w:val="24"/>
          <w:szCs w:val="24"/>
        </w:rPr>
        <w:t xml:space="preserve"> Likert scale</w:t>
      </w:r>
      <w:r w:rsidR="00C16882" w:rsidRPr="008A3389">
        <w:rPr>
          <w:rFonts w:ascii="Times New Roman" w:hAnsi="Times New Roman" w:cs="Times New Roman"/>
          <w:sz w:val="24"/>
          <w:szCs w:val="24"/>
        </w:rPr>
        <w:t xml:space="preserve">, </w:t>
      </w:r>
      <w:r w:rsidR="009024AB" w:rsidRPr="008A3389">
        <w:rPr>
          <w:rFonts w:ascii="Times New Roman" w:hAnsi="Times New Roman" w:cs="Times New Roman"/>
          <w:sz w:val="24"/>
          <w:szCs w:val="24"/>
        </w:rPr>
        <w:t>ranging from ‘7’ indicating ‘Strongly Disagree’ to ‘1’ indicating ‘Strongly Agree’.</w:t>
      </w:r>
      <w:r w:rsidR="00C16882" w:rsidRPr="008A3389">
        <w:rPr>
          <w:rFonts w:ascii="Times New Roman" w:hAnsi="Times New Roman" w:cs="Times New Roman"/>
          <w:sz w:val="24"/>
          <w:szCs w:val="24"/>
        </w:rPr>
        <w:t xml:space="preserve"> The scores </w:t>
      </w:r>
      <w:r w:rsidR="00425FBB" w:rsidRPr="008A3389">
        <w:rPr>
          <w:rFonts w:ascii="Times New Roman" w:hAnsi="Times New Roman" w:cs="Times New Roman"/>
          <w:sz w:val="24"/>
          <w:szCs w:val="24"/>
        </w:rPr>
        <w:t>can range from 32 to 224.</w:t>
      </w:r>
      <w:r w:rsidR="009024AB" w:rsidRPr="008A3389">
        <w:rPr>
          <w:rFonts w:ascii="Times New Roman" w:hAnsi="Times New Roman" w:cs="Times New Roman"/>
          <w:sz w:val="24"/>
          <w:szCs w:val="24"/>
        </w:rPr>
        <w:t xml:space="preserve"> The </w:t>
      </w:r>
      <w:r w:rsidR="00685480" w:rsidRPr="008A3389">
        <w:rPr>
          <w:rFonts w:ascii="Times New Roman" w:hAnsi="Times New Roman" w:cs="Times New Roman"/>
          <w:sz w:val="24"/>
          <w:szCs w:val="24"/>
        </w:rPr>
        <w:t>internal consistency (Coefficient Alpha) for all the 32 items is quite high (</w:t>
      </w:r>
      <w:r>
        <w:rPr>
          <w:rFonts w:ascii="Times New Roman" w:hAnsi="Times New Roman" w:cs="Times New Roman"/>
          <w:sz w:val="24"/>
          <w:szCs w:val="24"/>
        </w:rPr>
        <w:t>0</w:t>
      </w:r>
      <w:r w:rsidR="00685480" w:rsidRPr="008A3389">
        <w:rPr>
          <w:rFonts w:ascii="Times New Roman" w:hAnsi="Times New Roman" w:cs="Times New Roman"/>
          <w:sz w:val="24"/>
          <w:szCs w:val="24"/>
        </w:rPr>
        <w:t xml:space="preserve">.94) (Hill &amp; Willoughby, 2005). </w:t>
      </w:r>
    </w:p>
    <w:p w14:paraId="68C3DE3A" w14:textId="3D313508" w:rsidR="008A3389" w:rsidRPr="008A3389" w:rsidRDefault="007F5686"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Peer Pressure Questionnaire- Revised</w:t>
      </w:r>
      <w:r w:rsidRPr="008A3389">
        <w:rPr>
          <w:rFonts w:ascii="Times New Roman" w:hAnsi="Times New Roman" w:cs="Times New Roman"/>
          <w:sz w:val="24"/>
          <w:szCs w:val="24"/>
        </w:rPr>
        <w:t xml:space="preserve"> (Saini &amp; Singh</w:t>
      </w:r>
      <w:r w:rsidR="00B56EF2" w:rsidRPr="008A3389">
        <w:rPr>
          <w:rFonts w:ascii="Times New Roman" w:hAnsi="Times New Roman" w:cs="Times New Roman"/>
          <w:sz w:val="24"/>
          <w:szCs w:val="24"/>
        </w:rPr>
        <w:t>, 2010</w:t>
      </w:r>
      <w:r w:rsidRPr="008A3389">
        <w:rPr>
          <w:rFonts w:ascii="Times New Roman" w:hAnsi="Times New Roman" w:cs="Times New Roman"/>
          <w:sz w:val="24"/>
          <w:szCs w:val="24"/>
        </w:rPr>
        <w:t xml:space="preserve">) </w:t>
      </w:r>
    </w:p>
    <w:p w14:paraId="26E7C131" w14:textId="439D9502" w:rsidR="00B0265D"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scale </w:t>
      </w:r>
      <w:r w:rsidR="007F5686" w:rsidRPr="008A3389">
        <w:rPr>
          <w:rFonts w:ascii="Times New Roman" w:hAnsi="Times New Roman" w:cs="Times New Roman"/>
          <w:sz w:val="24"/>
          <w:szCs w:val="24"/>
        </w:rPr>
        <w:t xml:space="preserve">is used to quantify the influence of his/her peers in their day-to-day lives. The questionnaire contains 29 items with a </w:t>
      </w:r>
      <w:proofErr w:type="gramStart"/>
      <w:r w:rsidR="007F5686" w:rsidRPr="008A3389">
        <w:rPr>
          <w:rFonts w:ascii="Times New Roman" w:hAnsi="Times New Roman" w:cs="Times New Roman"/>
          <w:sz w:val="24"/>
          <w:szCs w:val="24"/>
        </w:rPr>
        <w:t>5 point</w:t>
      </w:r>
      <w:proofErr w:type="gramEnd"/>
      <w:r w:rsidR="007F5686" w:rsidRPr="008A3389">
        <w:rPr>
          <w:rFonts w:ascii="Times New Roman" w:hAnsi="Times New Roman" w:cs="Times New Roman"/>
          <w:sz w:val="24"/>
          <w:szCs w:val="24"/>
        </w:rPr>
        <w:t xml:space="preserve"> Likert Scale, ‘1’ indicating ‘Strongly Agree’ and ‘5’ indicating ‘Strongly Disagree’. Scores &gt;72 means higher levels of peer influence, scores between 56-72 means moderate levels of peer influence and score 55 indicates low levels of peer influence on an individual. </w:t>
      </w:r>
      <w:r w:rsidR="00425FBB" w:rsidRPr="008A3389">
        <w:rPr>
          <w:rFonts w:ascii="Times New Roman" w:hAnsi="Times New Roman" w:cs="Times New Roman"/>
          <w:sz w:val="24"/>
          <w:szCs w:val="24"/>
        </w:rPr>
        <w:t>The scores can range from 29 to 145.</w:t>
      </w:r>
    </w:p>
    <w:p w14:paraId="67D35073" w14:textId="30C242EA" w:rsidR="008A3389" w:rsidRPr="008A3389" w:rsidRDefault="00B56EF2"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Perth Alexithymia Questionnaire (Preece et.al.2018)</w:t>
      </w:r>
      <w:r w:rsidRPr="008A3389">
        <w:rPr>
          <w:rFonts w:ascii="Times New Roman" w:hAnsi="Times New Roman" w:cs="Times New Roman"/>
          <w:sz w:val="24"/>
          <w:szCs w:val="24"/>
        </w:rPr>
        <w:t xml:space="preserve"> </w:t>
      </w:r>
    </w:p>
    <w:p w14:paraId="49C7B76C" w14:textId="7CEE00A3" w:rsidR="007F5686"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w:t>
      </w:r>
      <w:r w:rsidR="00B56EF2" w:rsidRPr="008A3389">
        <w:rPr>
          <w:rFonts w:ascii="Times New Roman" w:hAnsi="Times New Roman" w:cs="Times New Roman"/>
          <w:sz w:val="24"/>
          <w:szCs w:val="24"/>
        </w:rPr>
        <w:t xml:space="preserve">is a 24 item self-report administration of Alexithymia. It has a </w:t>
      </w:r>
      <w:proofErr w:type="gramStart"/>
      <w:r w:rsidR="00B56EF2" w:rsidRPr="008A3389">
        <w:rPr>
          <w:rFonts w:ascii="Times New Roman" w:hAnsi="Times New Roman" w:cs="Times New Roman"/>
          <w:sz w:val="24"/>
          <w:szCs w:val="24"/>
        </w:rPr>
        <w:t>7 point</w:t>
      </w:r>
      <w:proofErr w:type="gramEnd"/>
      <w:r w:rsidR="00B56EF2" w:rsidRPr="008A3389">
        <w:rPr>
          <w:rFonts w:ascii="Times New Roman" w:hAnsi="Times New Roman" w:cs="Times New Roman"/>
          <w:sz w:val="24"/>
          <w:szCs w:val="24"/>
        </w:rPr>
        <w:t xml:space="preserve"> Likert scale with ‘1’ indicating ‘Strongly</w:t>
      </w:r>
      <w:r w:rsidR="006B61BC" w:rsidRPr="008A3389">
        <w:rPr>
          <w:rFonts w:ascii="Times New Roman" w:hAnsi="Times New Roman" w:cs="Times New Roman"/>
          <w:sz w:val="24"/>
          <w:szCs w:val="24"/>
        </w:rPr>
        <w:t xml:space="preserve"> </w:t>
      </w:r>
      <w:r w:rsidR="00B56EF2" w:rsidRPr="008A3389">
        <w:rPr>
          <w:rFonts w:ascii="Times New Roman" w:hAnsi="Times New Roman" w:cs="Times New Roman"/>
          <w:sz w:val="24"/>
          <w:szCs w:val="24"/>
        </w:rPr>
        <w:t xml:space="preserve">Disagree’ and ‘7’ indicating ‘Strongly Agree’. </w:t>
      </w:r>
      <w:r w:rsidR="00CF0A12" w:rsidRPr="008A3389">
        <w:rPr>
          <w:rFonts w:ascii="Times New Roman" w:hAnsi="Times New Roman" w:cs="Times New Roman"/>
          <w:sz w:val="24"/>
          <w:szCs w:val="24"/>
        </w:rPr>
        <w:t xml:space="preserve">The internal consistency (Cronbach Alpha) of the total scale is </w:t>
      </w:r>
      <w:r>
        <w:rPr>
          <w:rFonts w:ascii="Times New Roman" w:hAnsi="Times New Roman" w:cs="Times New Roman"/>
          <w:sz w:val="24"/>
          <w:szCs w:val="24"/>
        </w:rPr>
        <w:t>0</w:t>
      </w:r>
      <w:r w:rsidR="00CF0A12" w:rsidRPr="008A3389">
        <w:rPr>
          <w:rFonts w:ascii="Times New Roman" w:hAnsi="Times New Roman" w:cs="Times New Roman"/>
          <w:sz w:val="24"/>
          <w:szCs w:val="24"/>
        </w:rPr>
        <w:t>.96.</w:t>
      </w:r>
      <w:r>
        <w:rPr>
          <w:rFonts w:ascii="Times New Roman" w:hAnsi="Times New Roman" w:cs="Times New Roman"/>
          <w:sz w:val="24"/>
          <w:szCs w:val="24"/>
        </w:rPr>
        <w:t xml:space="preserve"> </w:t>
      </w:r>
      <w:r w:rsidR="00CF0A12" w:rsidRPr="008A3389">
        <w:rPr>
          <w:rFonts w:ascii="Times New Roman" w:hAnsi="Times New Roman" w:cs="Times New Roman"/>
          <w:sz w:val="24"/>
          <w:szCs w:val="24"/>
        </w:rPr>
        <w:t xml:space="preserve">Higher scores signify higher levels of alexithymia. </w:t>
      </w:r>
      <w:r w:rsidR="00425FBB" w:rsidRPr="008A3389">
        <w:rPr>
          <w:rFonts w:ascii="Times New Roman" w:hAnsi="Times New Roman" w:cs="Times New Roman"/>
          <w:sz w:val="24"/>
          <w:szCs w:val="24"/>
        </w:rPr>
        <w:t xml:space="preserve">The range of scores can be 24 to 168. </w:t>
      </w:r>
    </w:p>
    <w:p w14:paraId="0DD48A25" w14:textId="23043F71" w:rsidR="00B764E8" w:rsidRPr="0028426C" w:rsidRDefault="00B764E8"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Design </w:t>
      </w:r>
    </w:p>
    <w:p w14:paraId="5D2191FF" w14:textId="47117026" w:rsidR="00C83E09" w:rsidRPr="0028426C" w:rsidRDefault="0002069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For the ongoing study, quantitative research design has been empl</w:t>
      </w:r>
      <w:r w:rsidR="00C16882" w:rsidRPr="0028426C">
        <w:rPr>
          <w:rFonts w:ascii="Times New Roman" w:hAnsi="Times New Roman" w:cs="Times New Roman"/>
          <w:sz w:val="24"/>
          <w:szCs w:val="24"/>
        </w:rPr>
        <w:t xml:space="preserve">oyed. Regression </w:t>
      </w:r>
      <w:r w:rsidRPr="0028426C">
        <w:rPr>
          <w:rFonts w:ascii="Times New Roman" w:hAnsi="Times New Roman" w:cs="Times New Roman"/>
          <w:sz w:val="24"/>
          <w:szCs w:val="24"/>
        </w:rPr>
        <w:t xml:space="preserve">analysis </w:t>
      </w:r>
      <w:proofErr w:type="gramStart"/>
      <w:r w:rsidR="00884034">
        <w:rPr>
          <w:rFonts w:ascii="Times New Roman" w:hAnsi="Times New Roman" w:cs="Times New Roman"/>
          <w:sz w:val="24"/>
          <w:szCs w:val="24"/>
        </w:rPr>
        <w:t xml:space="preserve">and </w:t>
      </w:r>
      <w:r w:rsidRPr="0028426C">
        <w:rPr>
          <w:rFonts w:ascii="Times New Roman" w:hAnsi="Times New Roman" w:cs="Times New Roman"/>
          <w:sz w:val="24"/>
          <w:szCs w:val="24"/>
        </w:rPr>
        <w:t xml:space="preserve"> Correlational</w:t>
      </w:r>
      <w:proofErr w:type="gramEnd"/>
      <w:r w:rsidRPr="0028426C">
        <w:rPr>
          <w:rFonts w:ascii="Times New Roman" w:hAnsi="Times New Roman" w:cs="Times New Roman"/>
          <w:sz w:val="24"/>
          <w:szCs w:val="24"/>
        </w:rPr>
        <w:t xml:space="preserve"> design is used in order to unde</w:t>
      </w:r>
      <w:r w:rsidR="00C16882" w:rsidRPr="0028426C">
        <w:rPr>
          <w:rFonts w:ascii="Times New Roman" w:hAnsi="Times New Roman" w:cs="Times New Roman"/>
          <w:sz w:val="24"/>
          <w:szCs w:val="24"/>
        </w:rPr>
        <w:t xml:space="preserve">rstand </w:t>
      </w:r>
      <w:r w:rsidR="00884034">
        <w:rPr>
          <w:rFonts w:ascii="Times New Roman" w:hAnsi="Times New Roman" w:cs="Times New Roman"/>
          <w:sz w:val="24"/>
          <w:szCs w:val="24"/>
        </w:rPr>
        <w:t xml:space="preserve">the objectives. </w:t>
      </w:r>
    </w:p>
    <w:p w14:paraId="6BEACC76" w14:textId="7502914A" w:rsidR="00762BAF" w:rsidRPr="0028426C" w:rsidRDefault="00762BAF"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Procedure</w:t>
      </w:r>
    </w:p>
    <w:p w14:paraId="05C39730" w14:textId="359AE064" w:rsidR="006B61BC" w:rsidRPr="008269D4" w:rsidRDefault="00B11CB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For the current study, age group of 18-22 years of age was taken to understand the role of socio-emotional factors in understanding transphobia. The sample was selected using the convenience sampling, a type of non-probability sampling.  For this, informed consent was taken from the </w:t>
      </w:r>
      <w:r w:rsidR="00246D72" w:rsidRPr="0028426C">
        <w:rPr>
          <w:rFonts w:ascii="Times New Roman" w:hAnsi="Times New Roman" w:cs="Times New Roman"/>
          <w:sz w:val="24"/>
          <w:szCs w:val="24"/>
        </w:rPr>
        <w:lastRenderedPageBreak/>
        <w:t>participants. Their</w:t>
      </w:r>
      <w:r w:rsidRPr="0028426C">
        <w:rPr>
          <w:rFonts w:ascii="Times New Roman" w:hAnsi="Times New Roman" w:cs="Times New Roman"/>
          <w:sz w:val="24"/>
          <w:szCs w:val="24"/>
        </w:rPr>
        <w:t xml:space="preserve"> demographic details such as name, age, gender, educational qualification, family type, socio-economic status, parent’s education and occupation were taken. </w:t>
      </w:r>
      <w:r w:rsidR="00246D72" w:rsidRPr="0028426C">
        <w:rPr>
          <w:rFonts w:ascii="Times New Roman" w:hAnsi="Times New Roman" w:cs="Times New Roman"/>
          <w:sz w:val="24"/>
          <w:szCs w:val="24"/>
        </w:rPr>
        <w:t>Instructions regarding the thr</w:t>
      </w:r>
      <w:r w:rsidR="000E2AEB" w:rsidRPr="0028426C">
        <w:rPr>
          <w:rFonts w:ascii="Times New Roman" w:hAnsi="Times New Roman" w:cs="Times New Roman"/>
          <w:sz w:val="24"/>
          <w:szCs w:val="24"/>
        </w:rPr>
        <w:t xml:space="preserve">ee tests were given and doubts </w:t>
      </w:r>
      <w:r w:rsidR="00246D72" w:rsidRPr="0028426C">
        <w:rPr>
          <w:rFonts w:ascii="Times New Roman" w:hAnsi="Times New Roman" w:cs="Times New Roman"/>
          <w:sz w:val="24"/>
          <w:szCs w:val="24"/>
        </w:rPr>
        <w:t>regarding any specific word or phrase were cleared. After the</w:t>
      </w:r>
      <w:r w:rsidR="000E2AEB" w:rsidRPr="0028426C">
        <w:rPr>
          <w:rFonts w:ascii="Times New Roman" w:hAnsi="Times New Roman" w:cs="Times New Roman"/>
          <w:sz w:val="24"/>
          <w:szCs w:val="24"/>
        </w:rPr>
        <w:t xml:space="preserve"> data collection, the scores </w:t>
      </w:r>
      <w:r w:rsidR="00246D72" w:rsidRPr="0028426C">
        <w:rPr>
          <w:rFonts w:ascii="Times New Roman" w:hAnsi="Times New Roman" w:cs="Times New Roman"/>
          <w:sz w:val="24"/>
          <w:szCs w:val="24"/>
        </w:rPr>
        <w:t xml:space="preserve">of all the participants were </w:t>
      </w:r>
      <w:proofErr w:type="spellStart"/>
      <w:r w:rsidR="00884034">
        <w:rPr>
          <w:rFonts w:ascii="Times New Roman" w:hAnsi="Times New Roman" w:cs="Times New Roman"/>
          <w:sz w:val="24"/>
          <w:szCs w:val="24"/>
        </w:rPr>
        <w:t>analysed</w:t>
      </w:r>
      <w:proofErr w:type="spellEnd"/>
      <w:r w:rsidR="00884034">
        <w:rPr>
          <w:rFonts w:ascii="Times New Roman" w:hAnsi="Times New Roman" w:cs="Times New Roman"/>
          <w:sz w:val="24"/>
          <w:szCs w:val="24"/>
        </w:rPr>
        <w:t xml:space="preserve"> </w:t>
      </w:r>
      <w:r w:rsidR="00246D72" w:rsidRPr="0028426C">
        <w:rPr>
          <w:rFonts w:ascii="Times New Roman" w:hAnsi="Times New Roman" w:cs="Times New Roman"/>
          <w:sz w:val="24"/>
          <w:szCs w:val="24"/>
        </w:rPr>
        <w:t>using</w:t>
      </w:r>
      <w:r w:rsidR="000E2AEB" w:rsidRPr="0028426C">
        <w:rPr>
          <w:rFonts w:ascii="Times New Roman" w:hAnsi="Times New Roman" w:cs="Times New Roman"/>
          <w:sz w:val="24"/>
          <w:szCs w:val="24"/>
        </w:rPr>
        <w:t xml:space="preserve"> the SPSS</w:t>
      </w:r>
      <w:r w:rsidR="00CF1F2E">
        <w:rPr>
          <w:rFonts w:ascii="Times New Roman" w:hAnsi="Times New Roman" w:cs="Times New Roman"/>
          <w:sz w:val="24"/>
          <w:szCs w:val="24"/>
        </w:rPr>
        <w:t xml:space="preserve"> 28</w:t>
      </w:r>
      <w:r w:rsidR="000E2AEB" w:rsidRPr="0028426C">
        <w:rPr>
          <w:rFonts w:ascii="Times New Roman" w:hAnsi="Times New Roman" w:cs="Times New Roman"/>
          <w:sz w:val="24"/>
          <w:szCs w:val="24"/>
        </w:rPr>
        <w:t xml:space="preserve"> (Statistical package </w:t>
      </w:r>
      <w:r w:rsidR="00246D72" w:rsidRPr="0028426C">
        <w:rPr>
          <w:rFonts w:ascii="Times New Roman" w:hAnsi="Times New Roman" w:cs="Times New Roman"/>
          <w:sz w:val="24"/>
          <w:szCs w:val="24"/>
        </w:rPr>
        <w:t>for social sciences</w:t>
      </w:r>
      <w:r w:rsidR="00CF1F2E">
        <w:rPr>
          <w:rFonts w:ascii="Times New Roman" w:hAnsi="Times New Roman" w:cs="Times New Roman"/>
          <w:sz w:val="24"/>
          <w:szCs w:val="24"/>
        </w:rPr>
        <w:t xml:space="preserve"> Version 28</w:t>
      </w:r>
      <w:r w:rsidR="00246D72" w:rsidRPr="0028426C">
        <w:rPr>
          <w:rFonts w:ascii="Times New Roman" w:hAnsi="Times New Roman" w:cs="Times New Roman"/>
          <w:sz w:val="24"/>
          <w:szCs w:val="24"/>
        </w:rPr>
        <w:t xml:space="preserve">).   </w:t>
      </w:r>
    </w:p>
    <w:p w14:paraId="5CB0D525" w14:textId="2E53CBE9" w:rsidR="005E707B"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RESULTS</w:t>
      </w:r>
    </w:p>
    <w:p w14:paraId="4C898043" w14:textId="6F342AB4" w:rsidR="001D2D9D"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In the current investigation, the findings of the statistical analyses conducted to understand the role of socio-emotional factors on transphobia </w:t>
      </w:r>
      <w:r w:rsidR="007D240D" w:rsidRPr="0028426C">
        <w:rPr>
          <w:rFonts w:ascii="Times New Roman" w:hAnsi="Times New Roman" w:cs="Times New Roman"/>
          <w:sz w:val="24"/>
          <w:szCs w:val="24"/>
        </w:rPr>
        <w:t xml:space="preserve">has been presented. The result is presented in three sections: descriptive statistics, correlation analysis and regression analysis. </w:t>
      </w:r>
    </w:p>
    <w:p w14:paraId="3F572C3C" w14:textId="7E8CA968"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Descriptive Statistics </w:t>
      </w:r>
    </w:p>
    <w:p w14:paraId="540433F6" w14:textId="6ACEEED3"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means and standard deviations of the three variables: Transphobia, Peer Influence and Alexithymia have been organized.</w:t>
      </w:r>
    </w:p>
    <w:tbl>
      <w:tblPr>
        <w:tblpPr w:leftFromText="180" w:rightFromText="180" w:vertAnchor="text" w:horzAnchor="margin" w:tblpXSpec="center" w:tblpY="844"/>
        <w:tblW w:w="4794" w:type="dxa"/>
        <w:tblLayout w:type="fixed"/>
        <w:tblCellMar>
          <w:left w:w="0" w:type="dxa"/>
          <w:right w:w="0" w:type="dxa"/>
        </w:tblCellMar>
        <w:tblLook w:val="04A0" w:firstRow="1" w:lastRow="0" w:firstColumn="1" w:lastColumn="0" w:noHBand="0" w:noVBand="1"/>
      </w:tblPr>
      <w:tblGrid>
        <w:gridCol w:w="4794"/>
      </w:tblGrid>
      <w:tr w:rsidR="007B7499" w:rsidRPr="0028426C" w14:paraId="6A38B133" w14:textId="77777777" w:rsidTr="00303AF0">
        <w:trPr>
          <w:cantSplit/>
        </w:trPr>
        <w:tc>
          <w:tcPr>
            <w:tcW w:w="4794" w:type="dxa"/>
            <w:shd w:val="clear" w:color="auto" w:fill="FFFFFF"/>
            <w:vAlign w:val="center"/>
            <w:hideMark/>
          </w:tcPr>
          <w:p w14:paraId="06EDC203" w14:textId="77777777" w:rsidR="007B7499" w:rsidRPr="0028426C" w:rsidRDefault="007B7499" w:rsidP="00CD2A7B">
            <w:pPr>
              <w:spacing w:after="160" w:line="360" w:lineRule="auto"/>
              <w:jc w:val="both"/>
              <w:rPr>
                <w:rFonts w:ascii="Times New Roman" w:hAnsi="Times New Roman" w:cs="Times New Roman"/>
                <w:kern w:val="2"/>
                <w:sz w:val="24"/>
                <w:szCs w:val="24"/>
                <w:lang w:val="en-IN"/>
                <w14:ligatures w14:val="standardContextual"/>
              </w:rPr>
            </w:pPr>
          </w:p>
        </w:tc>
      </w:tr>
    </w:tbl>
    <w:p w14:paraId="1BF2CFA4" w14:textId="77777777" w:rsidR="007B7499" w:rsidRPr="0028426C" w:rsidRDefault="00246D72"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Summary table 01 showing the N</w:t>
      </w:r>
      <w:r w:rsidR="007371BF" w:rsidRPr="0028426C">
        <w:rPr>
          <w:rFonts w:ascii="Times New Roman" w:hAnsi="Times New Roman" w:cs="Times New Roman"/>
          <w:b/>
          <w:sz w:val="24"/>
          <w:szCs w:val="24"/>
        </w:rPr>
        <w:t xml:space="preserve"> </w:t>
      </w:r>
      <w:r w:rsidRPr="0028426C">
        <w:rPr>
          <w:rFonts w:ascii="Times New Roman" w:hAnsi="Times New Roman" w:cs="Times New Roman"/>
          <w:b/>
          <w:sz w:val="24"/>
          <w:szCs w:val="24"/>
        </w:rPr>
        <w:t>(101), Mean, Standard Deviation of the scores on Transphobia, Peer influence and Alexithymia</w:t>
      </w:r>
    </w:p>
    <w:p w14:paraId="4D147F73" w14:textId="77777777" w:rsidR="007B7499" w:rsidRPr="0028426C" w:rsidRDefault="007B7499" w:rsidP="00CD2A7B">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215"/>
        <w:tblOverlap w:val="never"/>
        <w:tblW w:w="5274" w:type="dxa"/>
        <w:tblLayout w:type="fixed"/>
        <w:tblLook w:val="04A0" w:firstRow="1" w:lastRow="0" w:firstColumn="1" w:lastColumn="0" w:noHBand="0" w:noVBand="1"/>
      </w:tblPr>
      <w:tblGrid>
        <w:gridCol w:w="1638"/>
        <w:gridCol w:w="1350"/>
        <w:gridCol w:w="1440"/>
        <w:gridCol w:w="846"/>
      </w:tblGrid>
      <w:tr w:rsidR="00303AF0" w:rsidRPr="0028426C" w14:paraId="233A0D3B" w14:textId="77777777" w:rsidTr="00303AF0">
        <w:trPr>
          <w:trHeight w:val="598"/>
        </w:trPr>
        <w:tc>
          <w:tcPr>
            <w:tcW w:w="1638" w:type="dxa"/>
          </w:tcPr>
          <w:p w14:paraId="266A3373" w14:textId="77777777" w:rsidR="00303AF0" w:rsidRPr="0028426C" w:rsidRDefault="00303AF0" w:rsidP="00CD2A7B">
            <w:pPr>
              <w:spacing w:line="360" w:lineRule="auto"/>
              <w:jc w:val="both"/>
              <w:rPr>
                <w:rFonts w:ascii="Times New Roman" w:hAnsi="Times New Roman" w:cs="Times New Roman"/>
                <w:b/>
                <w:sz w:val="24"/>
                <w:szCs w:val="24"/>
              </w:rPr>
            </w:pPr>
          </w:p>
        </w:tc>
        <w:tc>
          <w:tcPr>
            <w:tcW w:w="1350" w:type="dxa"/>
          </w:tcPr>
          <w:p w14:paraId="53447FFE"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Mean</w:t>
            </w:r>
          </w:p>
        </w:tc>
        <w:tc>
          <w:tcPr>
            <w:tcW w:w="1440" w:type="dxa"/>
          </w:tcPr>
          <w:p w14:paraId="05EF1C7A" w14:textId="77777777" w:rsidR="00303AF0" w:rsidRPr="0028426C" w:rsidRDefault="00303AF0"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Std.Deviation</w:t>
            </w:r>
            <w:proofErr w:type="spellEnd"/>
          </w:p>
        </w:tc>
        <w:tc>
          <w:tcPr>
            <w:tcW w:w="846" w:type="dxa"/>
          </w:tcPr>
          <w:p w14:paraId="412428B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N</w:t>
            </w:r>
          </w:p>
        </w:tc>
      </w:tr>
      <w:tr w:rsidR="00303AF0" w:rsidRPr="0028426C" w14:paraId="6AA5AD05" w14:textId="77777777" w:rsidTr="00303AF0">
        <w:trPr>
          <w:trHeight w:val="598"/>
        </w:trPr>
        <w:tc>
          <w:tcPr>
            <w:tcW w:w="1638" w:type="dxa"/>
          </w:tcPr>
          <w:p w14:paraId="051A5E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Transphobia </w:t>
            </w:r>
          </w:p>
        </w:tc>
        <w:tc>
          <w:tcPr>
            <w:tcW w:w="1350" w:type="dxa"/>
          </w:tcPr>
          <w:p w14:paraId="5FB12504"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104.0891</w:t>
            </w:r>
          </w:p>
        </w:tc>
        <w:tc>
          <w:tcPr>
            <w:tcW w:w="1440" w:type="dxa"/>
          </w:tcPr>
          <w:p w14:paraId="29E5F8A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29.65303</w:t>
            </w:r>
          </w:p>
        </w:tc>
        <w:tc>
          <w:tcPr>
            <w:tcW w:w="846" w:type="dxa"/>
          </w:tcPr>
          <w:p w14:paraId="7681BF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2B079F03" w14:textId="77777777" w:rsidTr="00303AF0">
        <w:trPr>
          <w:trHeight w:val="747"/>
        </w:trPr>
        <w:tc>
          <w:tcPr>
            <w:tcW w:w="1638" w:type="dxa"/>
          </w:tcPr>
          <w:p w14:paraId="70EB804A" w14:textId="77777777" w:rsidR="00303AF0" w:rsidRPr="0028426C" w:rsidRDefault="00303AF0"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Peer Influence</w:t>
            </w:r>
          </w:p>
        </w:tc>
        <w:tc>
          <w:tcPr>
            <w:tcW w:w="1350" w:type="dxa"/>
          </w:tcPr>
          <w:p w14:paraId="15A5912B"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65.0495</w:t>
            </w:r>
          </w:p>
        </w:tc>
        <w:tc>
          <w:tcPr>
            <w:tcW w:w="1440" w:type="dxa"/>
          </w:tcPr>
          <w:p w14:paraId="0BBEE2E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13.91429</w:t>
            </w:r>
          </w:p>
        </w:tc>
        <w:tc>
          <w:tcPr>
            <w:tcW w:w="846" w:type="dxa"/>
          </w:tcPr>
          <w:p w14:paraId="3512BDC9"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6EA46F3B" w14:textId="77777777" w:rsidTr="00303AF0">
        <w:trPr>
          <w:trHeight w:val="604"/>
        </w:trPr>
        <w:tc>
          <w:tcPr>
            <w:tcW w:w="1638" w:type="dxa"/>
          </w:tcPr>
          <w:p w14:paraId="5E6C0B8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w:t>
            </w:r>
          </w:p>
        </w:tc>
        <w:tc>
          <w:tcPr>
            <w:tcW w:w="1350" w:type="dxa"/>
          </w:tcPr>
          <w:p w14:paraId="720256C3"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98.6832</w:t>
            </w:r>
          </w:p>
        </w:tc>
        <w:tc>
          <w:tcPr>
            <w:tcW w:w="1440" w:type="dxa"/>
          </w:tcPr>
          <w:p w14:paraId="5EC75D31"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23.44651</w:t>
            </w:r>
          </w:p>
        </w:tc>
        <w:tc>
          <w:tcPr>
            <w:tcW w:w="846" w:type="dxa"/>
          </w:tcPr>
          <w:p w14:paraId="214EFF4A"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bl>
    <w:p w14:paraId="354C10DD" w14:textId="77777777" w:rsidR="005E707B" w:rsidRPr="0028426C" w:rsidRDefault="005E707B" w:rsidP="00CD2A7B">
      <w:pPr>
        <w:spacing w:line="360" w:lineRule="auto"/>
        <w:jc w:val="both"/>
        <w:rPr>
          <w:rFonts w:ascii="Times New Roman" w:hAnsi="Times New Roman" w:cs="Times New Roman"/>
          <w:b/>
          <w:sz w:val="24"/>
          <w:szCs w:val="24"/>
        </w:rPr>
      </w:pPr>
    </w:p>
    <w:p w14:paraId="422FAD73" w14:textId="77777777" w:rsidR="005E707B" w:rsidRPr="0028426C" w:rsidRDefault="005E707B" w:rsidP="00CD2A7B">
      <w:pPr>
        <w:spacing w:line="360" w:lineRule="auto"/>
        <w:jc w:val="both"/>
        <w:rPr>
          <w:rFonts w:ascii="Times New Roman" w:hAnsi="Times New Roman" w:cs="Times New Roman"/>
          <w:b/>
          <w:sz w:val="24"/>
          <w:szCs w:val="24"/>
        </w:rPr>
      </w:pPr>
    </w:p>
    <w:p w14:paraId="3A1DF356" w14:textId="77777777" w:rsidR="005E707B" w:rsidRPr="0028426C" w:rsidRDefault="005E707B" w:rsidP="00CD2A7B">
      <w:pPr>
        <w:spacing w:line="360" w:lineRule="auto"/>
        <w:jc w:val="both"/>
        <w:rPr>
          <w:rFonts w:ascii="Times New Roman" w:hAnsi="Times New Roman" w:cs="Times New Roman"/>
          <w:b/>
          <w:sz w:val="24"/>
          <w:szCs w:val="24"/>
        </w:rPr>
      </w:pPr>
    </w:p>
    <w:p w14:paraId="2A0D0CED" w14:textId="77777777" w:rsidR="005E707B" w:rsidRPr="0028426C" w:rsidRDefault="005E707B" w:rsidP="00CD2A7B">
      <w:pPr>
        <w:spacing w:line="360" w:lineRule="auto"/>
        <w:jc w:val="both"/>
        <w:rPr>
          <w:rFonts w:ascii="Times New Roman" w:hAnsi="Times New Roman" w:cs="Times New Roman"/>
          <w:b/>
          <w:sz w:val="24"/>
          <w:szCs w:val="24"/>
        </w:rPr>
      </w:pPr>
    </w:p>
    <w:p w14:paraId="16259B3F" w14:textId="77777777" w:rsidR="0020037C" w:rsidRPr="0028426C" w:rsidRDefault="0020037C" w:rsidP="00CD2A7B">
      <w:pPr>
        <w:spacing w:line="360" w:lineRule="auto"/>
        <w:jc w:val="both"/>
        <w:rPr>
          <w:rFonts w:ascii="Times New Roman" w:hAnsi="Times New Roman" w:cs="Times New Roman"/>
          <w:b/>
          <w:sz w:val="24"/>
          <w:szCs w:val="24"/>
        </w:rPr>
      </w:pPr>
    </w:p>
    <w:p w14:paraId="51B59C0A" w14:textId="77777777" w:rsidR="005E707B" w:rsidRPr="0028426C" w:rsidRDefault="005E707B" w:rsidP="00CD2A7B">
      <w:pPr>
        <w:spacing w:line="360" w:lineRule="auto"/>
        <w:jc w:val="both"/>
        <w:rPr>
          <w:rFonts w:ascii="Times New Roman" w:hAnsi="Times New Roman" w:cs="Times New Roman"/>
          <w:sz w:val="24"/>
          <w:szCs w:val="24"/>
        </w:rPr>
      </w:pPr>
    </w:p>
    <w:p w14:paraId="3F301176" w14:textId="2F3BE969" w:rsidR="006756E6"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 value of Transphobia was 104.089 (SD=29.65), while the mean Peer Influence score was 65.91 (SD=13.91, and the mean Alexithymia score was 98.68 (SD=23.45).</w:t>
      </w:r>
    </w:p>
    <w:p w14:paraId="28762C00" w14:textId="754BFFC7"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Correlation Analysis </w:t>
      </w:r>
    </w:p>
    <w:p w14:paraId="10525152" w14:textId="0FC663CD"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Pearson’s correlation coefficients have been used to explore the relationships among Transphobia, Peer Influence and Alexithymia. </w:t>
      </w:r>
    </w:p>
    <w:p w14:paraId="321AAFF0" w14:textId="77777777" w:rsidR="005E707B" w:rsidRPr="0028426C" w:rsidRDefault="007B7499" w:rsidP="00CD2A7B">
      <w:pPr>
        <w:spacing w:line="360" w:lineRule="auto"/>
        <w:jc w:val="both"/>
        <w:rPr>
          <w:rFonts w:ascii="Times New Roman" w:hAnsi="Times New Roman" w:cs="Times New Roman"/>
          <w:b/>
          <w:i/>
          <w:sz w:val="24"/>
          <w:szCs w:val="24"/>
        </w:rPr>
      </w:pPr>
      <w:r w:rsidRPr="0028426C">
        <w:rPr>
          <w:rFonts w:ascii="Times New Roman" w:hAnsi="Times New Roman" w:cs="Times New Roman"/>
          <w:b/>
          <w:sz w:val="24"/>
          <w:szCs w:val="24"/>
        </w:rPr>
        <w:t>SUMMARY TABLE 02</w:t>
      </w:r>
      <w:r w:rsidR="00443DF7" w:rsidRPr="0028426C">
        <w:rPr>
          <w:rFonts w:ascii="Times New Roman" w:hAnsi="Times New Roman" w:cs="Times New Roman"/>
          <w:b/>
          <w:sz w:val="24"/>
          <w:szCs w:val="24"/>
        </w:rPr>
        <w:t xml:space="preserve"> showing the correlations among the variables Transphobia,</w:t>
      </w:r>
      <w:r w:rsidR="00235642" w:rsidRPr="0028426C">
        <w:rPr>
          <w:rFonts w:ascii="Times New Roman" w:hAnsi="Times New Roman" w:cs="Times New Roman"/>
          <w:b/>
          <w:sz w:val="24"/>
          <w:szCs w:val="24"/>
        </w:rPr>
        <w:t xml:space="preserve"> Peer influence and Alexithymia and the </w:t>
      </w:r>
      <w:r w:rsidR="00235642" w:rsidRPr="0028426C">
        <w:rPr>
          <w:rFonts w:ascii="Times New Roman" w:hAnsi="Times New Roman" w:cs="Times New Roman"/>
          <w:b/>
          <w:i/>
          <w:sz w:val="24"/>
          <w:szCs w:val="24"/>
        </w:rPr>
        <w:t xml:space="preserve">p-values (one-tailed) </w:t>
      </w:r>
    </w:p>
    <w:tbl>
      <w:tblPr>
        <w:tblStyle w:val="TableGrid"/>
        <w:tblW w:w="0" w:type="auto"/>
        <w:tblInd w:w="1805" w:type="dxa"/>
        <w:tblLook w:val="04A0" w:firstRow="1" w:lastRow="0" w:firstColumn="1" w:lastColumn="0" w:noHBand="0" w:noVBand="1"/>
      </w:tblPr>
      <w:tblGrid>
        <w:gridCol w:w="1836"/>
        <w:gridCol w:w="1314"/>
        <w:gridCol w:w="1350"/>
        <w:gridCol w:w="1260"/>
      </w:tblGrid>
      <w:tr w:rsidR="000B0F6B" w:rsidRPr="0028426C" w14:paraId="0CCAF9C7" w14:textId="77777777" w:rsidTr="000B0F6B">
        <w:tc>
          <w:tcPr>
            <w:tcW w:w="1836" w:type="dxa"/>
          </w:tcPr>
          <w:p w14:paraId="44DC5C6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Variable </w:t>
            </w:r>
          </w:p>
        </w:tc>
        <w:tc>
          <w:tcPr>
            <w:tcW w:w="1314" w:type="dxa"/>
          </w:tcPr>
          <w:p w14:paraId="54D0FF68"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50" w:type="dxa"/>
          </w:tcPr>
          <w:p w14:paraId="70E31085"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260" w:type="dxa"/>
          </w:tcPr>
          <w:p w14:paraId="51FDB30E"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r>
      <w:tr w:rsidR="000B0F6B" w:rsidRPr="0028426C" w14:paraId="4018DB9A" w14:textId="77777777" w:rsidTr="000B0F6B">
        <w:tc>
          <w:tcPr>
            <w:tcW w:w="1836" w:type="dxa"/>
          </w:tcPr>
          <w:p w14:paraId="61DD0B07"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14" w:type="dxa"/>
          </w:tcPr>
          <w:p w14:paraId="77FCED2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350" w:type="dxa"/>
          </w:tcPr>
          <w:p w14:paraId="3D23A4D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260" w:type="dxa"/>
          </w:tcPr>
          <w:p w14:paraId="1B7705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r>
      <w:tr w:rsidR="000B0F6B" w:rsidRPr="0028426C" w14:paraId="48711208" w14:textId="77777777" w:rsidTr="000B0F6B">
        <w:tc>
          <w:tcPr>
            <w:tcW w:w="1836" w:type="dxa"/>
          </w:tcPr>
          <w:p w14:paraId="14AD8016"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314" w:type="dxa"/>
          </w:tcPr>
          <w:p w14:paraId="5F177700"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350" w:type="dxa"/>
          </w:tcPr>
          <w:p w14:paraId="223D1EE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260" w:type="dxa"/>
          </w:tcPr>
          <w:p w14:paraId="1DD67C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r>
      <w:tr w:rsidR="000B0F6B" w:rsidRPr="0028426C" w14:paraId="2715BFBE" w14:textId="77777777" w:rsidTr="000B0F6B">
        <w:tc>
          <w:tcPr>
            <w:tcW w:w="1836" w:type="dxa"/>
          </w:tcPr>
          <w:p w14:paraId="34CD96F9"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c>
          <w:tcPr>
            <w:tcW w:w="1314" w:type="dxa"/>
          </w:tcPr>
          <w:p w14:paraId="4E258EA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c>
          <w:tcPr>
            <w:tcW w:w="1350" w:type="dxa"/>
          </w:tcPr>
          <w:p w14:paraId="11DF2984"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c>
          <w:tcPr>
            <w:tcW w:w="1260" w:type="dxa"/>
          </w:tcPr>
          <w:p w14:paraId="394855F1"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r>
    </w:tbl>
    <w:p w14:paraId="0869908D"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p>
    <w:p w14:paraId="2ADC0E6B" w14:textId="684C9B73" w:rsidR="006901C8" w:rsidRDefault="000B0F6B"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 xml:space="preserve">                             </w:t>
      </w:r>
      <w:r w:rsidR="007B7499" w:rsidRPr="0028426C">
        <w:rPr>
          <w:rFonts w:ascii="Times New Roman" w:hAnsi="Times New Roman" w:cs="Times New Roman"/>
          <w:b/>
          <w:i/>
          <w:sz w:val="24"/>
          <w:szCs w:val="24"/>
        </w:rPr>
        <w:t xml:space="preserve"> *TP- </w:t>
      </w:r>
      <w:r w:rsidR="007B7499" w:rsidRPr="0028426C">
        <w:rPr>
          <w:rFonts w:ascii="Times New Roman" w:hAnsi="Times New Roman" w:cs="Times New Roman"/>
          <w:i/>
          <w:sz w:val="24"/>
          <w:szCs w:val="24"/>
        </w:rPr>
        <w:t xml:space="preserve">Transphobia; </w:t>
      </w:r>
      <w:r w:rsidR="007B7499" w:rsidRPr="0028426C">
        <w:rPr>
          <w:rFonts w:ascii="Times New Roman" w:hAnsi="Times New Roman" w:cs="Times New Roman"/>
          <w:b/>
          <w:i/>
          <w:sz w:val="24"/>
          <w:szCs w:val="24"/>
        </w:rPr>
        <w:t xml:space="preserve">PI- </w:t>
      </w:r>
      <w:r w:rsidR="007B7499" w:rsidRPr="0028426C">
        <w:rPr>
          <w:rFonts w:ascii="Times New Roman" w:hAnsi="Times New Roman" w:cs="Times New Roman"/>
          <w:i/>
          <w:sz w:val="24"/>
          <w:szCs w:val="24"/>
        </w:rPr>
        <w:t xml:space="preserve">Peer Influence; </w:t>
      </w:r>
      <w:r w:rsidR="007B7499" w:rsidRPr="0028426C">
        <w:rPr>
          <w:rFonts w:ascii="Times New Roman" w:hAnsi="Times New Roman" w:cs="Times New Roman"/>
          <w:b/>
          <w:i/>
          <w:sz w:val="24"/>
          <w:szCs w:val="24"/>
        </w:rPr>
        <w:t>AT-</w:t>
      </w:r>
      <w:r w:rsidR="007B7499" w:rsidRPr="0028426C">
        <w:rPr>
          <w:rFonts w:ascii="Times New Roman" w:hAnsi="Times New Roman" w:cs="Times New Roman"/>
          <w:i/>
          <w:sz w:val="24"/>
          <w:szCs w:val="24"/>
        </w:rPr>
        <w:t xml:space="preserve">Alexithymia </w:t>
      </w:r>
    </w:p>
    <w:p w14:paraId="07066D92" w14:textId="77777777" w:rsidR="008269D4" w:rsidRPr="008269D4" w:rsidRDefault="008269D4" w:rsidP="00CD2A7B">
      <w:pPr>
        <w:spacing w:line="360" w:lineRule="auto"/>
        <w:jc w:val="both"/>
        <w:rPr>
          <w:rFonts w:ascii="Times New Roman" w:hAnsi="Times New Roman" w:cs="Times New Roman"/>
          <w:i/>
          <w:sz w:val="24"/>
          <w:szCs w:val="24"/>
        </w:rPr>
      </w:pPr>
    </w:p>
    <w:p w14:paraId="780182D7" w14:textId="5721EA79" w:rsidR="00AF65C1" w:rsidRPr="0028426C" w:rsidRDefault="00AF65C1"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 xml:space="preserve">  </w:t>
      </w:r>
      <w:r w:rsidRPr="0028426C">
        <w:rPr>
          <w:rFonts w:ascii="Times New Roman" w:hAnsi="Times New Roman" w:cs="Times New Roman"/>
          <w:i/>
          <w:sz w:val="24"/>
          <w:szCs w:val="24"/>
        </w:rPr>
        <w:t xml:space="preserve">p-values (one-tailed) </w:t>
      </w:r>
    </w:p>
    <w:tbl>
      <w:tblPr>
        <w:tblStyle w:val="TableGrid"/>
        <w:tblW w:w="0" w:type="auto"/>
        <w:tblInd w:w="1818" w:type="dxa"/>
        <w:tblLook w:val="04A0" w:firstRow="1" w:lastRow="0" w:firstColumn="1" w:lastColumn="0" w:noHBand="0" w:noVBand="1"/>
      </w:tblPr>
      <w:tblGrid>
        <w:gridCol w:w="1800"/>
        <w:gridCol w:w="1350"/>
        <w:gridCol w:w="1350"/>
        <w:gridCol w:w="1260"/>
      </w:tblGrid>
      <w:tr w:rsidR="00AF65C1" w:rsidRPr="0028426C" w14:paraId="670351B8" w14:textId="77777777" w:rsidTr="00AF65C1">
        <w:tc>
          <w:tcPr>
            <w:tcW w:w="1800" w:type="dxa"/>
          </w:tcPr>
          <w:p w14:paraId="6D056BF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Variable</w:t>
            </w:r>
          </w:p>
        </w:tc>
        <w:tc>
          <w:tcPr>
            <w:tcW w:w="1350" w:type="dxa"/>
          </w:tcPr>
          <w:p w14:paraId="040ABD5E"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2B0F774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260" w:type="dxa"/>
          </w:tcPr>
          <w:p w14:paraId="0B5F6DC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r>
      <w:tr w:rsidR="00AF65C1" w:rsidRPr="0028426C" w14:paraId="445FD5C3" w14:textId="77777777" w:rsidTr="00AF65C1">
        <w:tc>
          <w:tcPr>
            <w:tcW w:w="1800" w:type="dxa"/>
          </w:tcPr>
          <w:p w14:paraId="0562E54D"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3E036C33"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350" w:type="dxa"/>
          </w:tcPr>
          <w:p w14:paraId="245AC75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260" w:type="dxa"/>
          </w:tcPr>
          <w:p w14:paraId="499DC37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r>
      <w:tr w:rsidR="00AF65C1" w:rsidRPr="0028426C" w14:paraId="4B7C54D0" w14:textId="77777777" w:rsidTr="00AF65C1">
        <w:tc>
          <w:tcPr>
            <w:tcW w:w="1800" w:type="dxa"/>
          </w:tcPr>
          <w:p w14:paraId="2B988284"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350" w:type="dxa"/>
          </w:tcPr>
          <w:p w14:paraId="14D3D24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350" w:type="dxa"/>
          </w:tcPr>
          <w:p w14:paraId="1D36BCD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260" w:type="dxa"/>
          </w:tcPr>
          <w:p w14:paraId="57F7762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r>
      <w:tr w:rsidR="00AF65C1" w:rsidRPr="0028426C" w14:paraId="1F7EB0A9" w14:textId="77777777" w:rsidTr="00AF65C1">
        <w:tc>
          <w:tcPr>
            <w:tcW w:w="1800" w:type="dxa"/>
          </w:tcPr>
          <w:p w14:paraId="7BCE949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c>
          <w:tcPr>
            <w:tcW w:w="1350" w:type="dxa"/>
          </w:tcPr>
          <w:p w14:paraId="3F2652D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c>
          <w:tcPr>
            <w:tcW w:w="1350" w:type="dxa"/>
          </w:tcPr>
          <w:p w14:paraId="3C441B8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c>
          <w:tcPr>
            <w:tcW w:w="1260" w:type="dxa"/>
          </w:tcPr>
          <w:p w14:paraId="1BE0F0B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r>
    </w:tbl>
    <w:p w14:paraId="5A4C0E9F" w14:textId="77777777" w:rsidR="006756E6" w:rsidRPr="0028426C" w:rsidRDefault="006756E6" w:rsidP="00CD2A7B">
      <w:pPr>
        <w:spacing w:line="360" w:lineRule="auto"/>
        <w:jc w:val="both"/>
        <w:rPr>
          <w:rFonts w:ascii="Times New Roman" w:hAnsi="Times New Roman" w:cs="Times New Roman"/>
          <w:kern w:val="2"/>
          <w:sz w:val="24"/>
          <w:szCs w:val="24"/>
          <w:lang w:val="en-IN"/>
          <w14:ligatures w14:val="standardContextual"/>
        </w:rPr>
      </w:pPr>
    </w:p>
    <w:p w14:paraId="520A6F0B" w14:textId="7055E917" w:rsidR="001D2D9D" w:rsidRPr="0028426C" w:rsidRDefault="006901C8"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 xml:space="preserve">There was a statistically significant positive correlation between Transphobia and Peer Influence (r = 0.263, p = 0.004), indicating that higher levels of Peer Influence are associated with greater Transphobia. A significant positive correlation was also found between Peer influence and Alexithymia (r = 0.359. p &lt;0.001). However, the correlation between Transphobia and Alexithymia was not statistically significant (r = 0.126, p = 0.104). </w:t>
      </w:r>
    </w:p>
    <w:p w14:paraId="7552D7A1" w14:textId="7FA05F03" w:rsidR="001D2D9D" w:rsidRPr="0028426C" w:rsidRDefault="006901C8" w:rsidP="00CD2A7B">
      <w:pPr>
        <w:spacing w:line="360" w:lineRule="auto"/>
        <w:jc w:val="both"/>
        <w:rPr>
          <w:rFonts w:ascii="Times New Roman" w:hAnsi="Times New Roman" w:cs="Times New Roman"/>
          <w:b/>
          <w:kern w:val="2"/>
          <w:sz w:val="24"/>
          <w:szCs w:val="24"/>
          <w:lang w:val="en-IN"/>
          <w14:ligatures w14:val="standardContextual"/>
        </w:rPr>
      </w:pPr>
      <w:r w:rsidRPr="0028426C">
        <w:rPr>
          <w:rFonts w:ascii="Times New Roman" w:hAnsi="Times New Roman" w:cs="Times New Roman"/>
          <w:b/>
          <w:kern w:val="2"/>
          <w:sz w:val="24"/>
          <w:szCs w:val="24"/>
          <w:lang w:val="en-IN"/>
          <w14:ligatures w14:val="standardContextual"/>
        </w:rPr>
        <w:t xml:space="preserve">Regression Analysis </w:t>
      </w:r>
    </w:p>
    <w:p w14:paraId="09243D91" w14:textId="4101B3DE" w:rsidR="006901C8" w:rsidRPr="0028426C" w:rsidRDefault="00A828C6"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M</w:t>
      </w:r>
      <w:r w:rsidR="006901C8" w:rsidRPr="0028426C">
        <w:rPr>
          <w:rFonts w:ascii="Times New Roman" w:hAnsi="Times New Roman" w:cs="Times New Roman"/>
          <w:kern w:val="2"/>
          <w:sz w:val="24"/>
          <w:szCs w:val="24"/>
          <w:lang w:val="en-IN"/>
          <w14:ligatures w14:val="standardContextual"/>
        </w:rPr>
        <w:t xml:space="preserve">ultiple regression analysis was conducted to determine whether Peer Influences and Alexithymia predict Transphobia. </w:t>
      </w:r>
    </w:p>
    <w:p w14:paraId="32D9D1B0" w14:textId="77777777" w:rsidR="006756E6" w:rsidRPr="0028426C" w:rsidRDefault="009500D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 xml:space="preserve">SUMMARY TABLE 03 showing the Regression model summary for the predictors – Peer influence and Alexithymia </w:t>
      </w:r>
    </w:p>
    <w:tbl>
      <w:tblPr>
        <w:tblStyle w:val="TableGrid"/>
        <w:tblW w:w="0" w:type="auto"/>
        <w:tblLook w:val="04A0" w:firstRow="1" w:lastRow="0" w:firstColumn="1" w:lastColumn="0" w:noHBand="0" w:noVBand="1"/>
      </w:tblPr>
      <w:tblGrid>
        <w:gridCol w:w="955"/>
        <w:gridCol w:w="949"/>
        <w:gridCol w:w="949"/>
        <w:gridCol w:w="949"/>
        <w:gridCol w:w="1016"/>
        <w:gridCol w:w="950"/>
        <w:gridCol w:w="956"/>
        <w:gridCol w:w="947"/>
        <w:gridCol w:w="949"/>
        <w:gridCol w:w="956"/>
      </w:tblGrid>
      <w:tr w:rsidR="00CE7287" w:rsidRPr="0028426C" w14:paraId="76099E41" w14:textId="77777777" w:rsidTr="00211DAB">
        <w:tc>
          <w:tcPr>
            <w:tcW w:w="957" w:type="dxa"/>
          </w:tcPr>
          <w:p w14:paraId="694E244D"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957" w:type="dxa"/>
          </w:tcPr>
          <w:p w14:paraId="75D3963B"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R</w:t>
            </w:r>
          </w:p>
        </w:tc>
        <w:tc>
          <w:tcPr>
            <w:tcW w:w="957" w:type="dxa"/>
          </w:tcPr>
          <w:p w14:paraId="513743BA" w14:textId="77777777" w:rsidR="00211DAB" w:rsidRPr="0028426C" w:rsidRDefault="00211DAB"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7" w:type="dxa"/>
          </w:tcPr>
          <w:p w14:paraId="502E1ECB" w14:textId="77777777" w:rsidR="00211DAB" w:rsidRPr="0028426C" w:rsidRDefault="00F605C0"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Adj. R</w:t>
            </w:r>
            <w:r w:rsidRPr="0028426C">
              <w:rPr>
                <w:rFonts w:ascii="Times New Roman" w:hAnsi="Times New Roman" w:cs="Times New Roman"/>
                <w:sz w:val="24"/>
                <w:szCs w:val="24"/>
                <w:vertAlign w:val="superscript"/>
              </w:rPr>
              <w:t>2</w:t>
            </w:r>
          </w:p>
        </w:tc>
        <w:tc>
          <w:tcPr>
            <w:tcW w:w="958" w:type="dxa"/>
          </w:tcPr>
          <w:p w14:paraId="146044FD" w14:textId="77777777" w:rsidR="00211DAB" w:rsidRPr="0028426C" w:rsidRDefault="00F605C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SE of estimate </w:t>
            </w:r>
          </w:p>
        </w:tc>
        <w:tc>
          <w:tcPr>
            <w:tcW w:w="958" w:type="dxa"/>
          </w:tcPr>
          <w:p w14:paraId="4C435F52" w14:textId="77777777" w:rsidR="00211DAB" w:rsidRPr="0028426C" w:rsidRDefault="00CE7287"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25334834" wp14:editId="22CE0502">
                      <wp:simplePos x="0" y="0"/>
                      <wp:positionH relativeFrom="column">
                        <wp:posOffset>273685</wp:posOffset>
                      </wp:positionH>
                      <wp:positionV relativeFrom="paragraph">
                        <wp:posOffset>46355</wp:posOffset>
                      </wp:positionV>
                      <wp:extent cx="180975" cy="142875"/>
                      <wp:effectExtent l="0" t="0" r="28575" b="28575"/>
                      <wp:wrapNone/>
                      <wp:docPr id="2" name="Isosceles Triangle 2"/>
                      <wp:cNvGraphicFramePr/>
                      <a:graphic xmlns:a="http://schemas.openxmlformats.org/drawingml/2006/main">
                        <a:graphicData uri="http://schemas.microsoft.com/office/word/2010/wordprocessingShape">
                          <wps:wsp>
                            <wps:cNvSpPr/>
                            <wps:spPr>
                              <a:xfrm>
                                <a:off x="0" y="0"/>
                                <a:ext cx="180975" cy="1428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B7F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1.55pt;margin-top:3.65pt;width:14.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" fillcolor="#4f81bd [3204]" strokecolor="#243f60 [1604]" strokeweight="2pt"/>
                  </w:pict>
                </mc:Fallback>
              </mc:AlternateContent>
            </w: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8" w:type="dxa"/>
          </w:tcPr>
          <w:p w14:paraId="4FACBC9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 change</w:t>
            </w:r>
          </w:p>
        </w:tc>
        <w:tc>
          <w:tcPr>
            <w:tcW w:w="958" w:type="dxa"/>
          </w:tcPr>
          <w:p w14:paraId="30CB7A4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df1</w:t>
            </w:r>
          </w:p>
        </w:tc>
        <w:tc>
          <w:tcPr>
            <w:tcW w:w="958" w:type="dxa"/>
          </w:tcPr>
          <w:p w14:paraId="091E7041"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Df2</w:t>
            </w:r>
          </w:p>
        </w:tc>
        <w:tc>
          <w:tcPr>
            <w:tcW w:w="958" w:type="dxa"/>
          </w:tcPr>
          <w:p w14:paraId="6FC51027"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 F change</w:t>
            </w:r>
          </w:p>
        </w:tc>
      </w:tr>
      <w:tr w:rsidR="00CE7287" w:rsidRPr="0028426C" w14:paraId="42EB70BA" w14:textId="77777777" w:rsidTr="00211DAB">
        <w:tc>
          <w:tcPr>
            <w:tcW w:w="957" w:type="dxa"/>
          </w:tcPr>
          <w:p w14:paraId="6A0907A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w:t>
            </w:r>
          </w:p>
        </w:tc>
        <w:tc>
          <w:tcPr>
            <w:tcW w:w="957" w:type="dxa"/>
          </w:tcPr>
          <w:p w14:paraId="77770B4C"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.266</w:t>
            </w:r>
          </w:p>
        </w:tc>
        <w:tc>
          <w:tcPr>
            <w:tcW w:w="957" w:type="dxa"/>
          </w:tcPr>
          <w:p w14:paraId="2CF951F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7" w:type="dxa"/>
          </w:tcPr>
          <w:p w14:paraId="73C9D45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.052</w:t>
            </w:r>
          </w:p>
        </w:tc>
        <w:tc>
          <w:tcPr>
            <w:tcW w:w="958" w:type="dxa"/>
          </w:tcPr>
          <w:p w14:paraId="20E3A0C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28.88</w:t>
            </w:r>
          </w:p>
        </w:tc>
        <w:tc>
          <w:tcPr>
            <w:tcW w:w="958" w:type="dxa"/>
          </w:tcPr>
          <w:p w14:paraId="579C2C0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8" w:type="dxa"/>
          </w:tcPr>
          <w:p w14:paraId="1D52607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3.718</w:t>
            </w:r>
          </w:p>
        </w:tc>
        <w:tc>
          <w:tcPr>
            <w:tcW w:w="958" w:type="dxa"/>
          </w:tcPr>
          <w:p w14:paraId="7C4C619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w:t>
            </w:r>
          </w:p>
        </w:tc>
        <w:tc>
          <w:tcPr>
            <w:tcW w:w="958" w:type="dxa"/>
          </w:tcPr>
          <w:p w14:paraId="1949CBCF"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w:t>
            </w:r>
          </w:p>
        </w:tc>
        <w:tc>
          <w:tcPr>
            <w:tcW w:w="958" w:type="dxa"/>
          </w:tcPr>
          <w:p w14:paraId="3F1C7CC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.028</w:t>
            </w:r>
          </w:p>
        </w:tc>
      </w:tr>
    </w:tbl>
    <w:p w14:paraId="5D505D45" w14:textId="77777777" w:rsidR="009500D6"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i/>
          <w:sz w:val="24"/>
          <w:szCs w:val="24"/>
        </w:rPr>
        <w:t xml:space="preserve">Note: </w:t>
      </w:r>
      <w:r w:rsidRPr="0028426C">
        <w:rPr>
          <w:rFonts w:ascii="Times New Roman" w:hAnsi="Times New Roman" w:cs="Times New Roman"/>
          <w:sz w:val="24"/>
          <w:szCs w:val="24"/>
        </w:rPr>
        <w:t xml:space="preserve">SE = Standard Error; Predictors: PI, AT </w:t>
      </w:r>
    </w:p>
    <w:p w14:paraId="6F1707C4" w14:textId="7381BB85" w:rsidR="00FF659E" w:rsidRPr="0028426C" w:rsidRDefault="006901C8"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val</w:t>
      </w:r>
      <w:r w:rsidR="0077394F" w:rsidRPr="0028426C">
        <w:rPr>
          <w:rFonts w:ascii="Times New Roman" w:hAnsi="Times New Roman" w:cs="Times New Roman"/>
          <w:sz w:val="24"/>
          <w:szCs w:val="24"/>
        </w:rPr>
        <w:t>ues of R and R</w:t>
      </w:r>
      <w:r w:rsidR="0077394F" w:rsidRPr="0028426C">
        <w:rPr>
          <w:rFonts w:ascii="Times New Roman" w:hAnsi="Times New Roman" w:cs="Times New Roman"/>
          <w:sz w:val="24"/>
          <w:szCs w:val="24"/>
          <w:vertAlign w:val="superscript"/>
        </w:rPr>
        <w:t xml:space="preserve">2 </w:t>
      </w:r>
      <w:r w:rsidR="0077394F" w:rsidRPr="0028426C">
        <w:rPr>
          <w:rFonts w:ascii="Times New Roman" w:hAnsi="Times New Roman" w:cs="Times New Roman"/>
          <w:sz w:val="24"/>
          <w:szCs w:val="24"/>
        </w:rPr>
        <w:t xml:space="preserve">were 0.266 and 0.071 respectively. The regression model explains 7.1% of variance. </w:t>
      </w:r>
    </w:p>
    <w:p w14:paraId="5303C564" w14:textId="466A01AE" w:rsidR="0077394F" w:rsidRPr="0028426C" w:rsidRDefault="0077394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Regression Coefficients </w:t>
      </w:r>
    </w:p>
    <w:p w14:paraId="6191D307" w14:textId="77777777" w:rsidR="00FF659E" w:rsidRPr="0028426C" w:rsidRDefault="00225DFE"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SUMMARY TABLE 04</w:t>
      </w:r>
      <w:r w:rsidR="00FF659E" w:rsidRPr="0028426C">
        <w:rPr>
          <w:rFonts w:ascii="Times New Roman" w:hAnsi="Times New Roman" w:cs="Times New Roman"/>
          <w:b/>
          <w:sz w:val="24"/>
          <w:szCs w:val="24"/>
        </w:rPr>
        <w:t xml:space="preserve"> showing the Coefficients of Regression of variables Transphobia, Peer influence and alexithymia </w:t>
      </w:r>
    </w:p>
    <w:tbl>
      <w:tblPr>
        <w:tblStyle w:val="TableGrid"/>
        <w:tblW w:w="0" w:type="auto"/>
        <w:tblInd w:w="666" w:type="dxa"/>
        <w:tblLook w:val="04A0" w:firstRow="1" w:lastRow="0" w:firstColumn="1" w:lastColumn="0" w:noHBand="0" w:noVBand="1"/>
      </w:tblPr>
      <w:tblGrid>
        <w:gridCol w:w="1575"/>
        <w:gridCol w:w="876"/>
        <w:gridCol w:w="876"/>
        <w:gridCol w:w="1591"/>
        <w:gridCol w:w="1552"/>
        <w:gridCol w:w="1560"/>
      </w:tblGrid>
      <w:tr w:rsidR="00C74912" w:rsidRPr="0028426C" w14:paraId="30AB7F1E" w14:textId="77777777" w:rsidTr="00C74912">
        <w:tc>
          <w:tcPr>
            <w:tcW w:w="1575" w:type="dxa"/>
          </w:tcPr>
          <w:p w14:paraId="325991E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1752" w:type="dxa"/>
            <w:gridSpan w:val="2"/>
          </w:tcPr>
          <w:p w14:paraId="313E3284"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Unstandardized Coefficients </w:t>
            </w:r>
          </w:p>
        </w:tc>
        <w:tc>
          <w:tcPr>
            <w:tcW w:w="1591" w:type="dxa"/>
          </w:tcPr>
          <w:p w14:paraId="3A24BA4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Standardized Coefficients </w:t>
            </w:r>
          </w:p>
        </w:tc>
        <w:tc>
          <w:tcPr>
            <w:tcW w:w="1552" w:type="dxa"/>
          </w:tcPr>
          <w:p w14:paraId="2E0A5AAE" w14:textId="26C88E0D" w:rsidR="00C74912"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w:t>
            </w:r>
          </w:p>
        </w:tc>
        <w:tc>
          <w:tcPr>
            <w:tcW w:w="1560" w:type="dxa"/>
          </w:tcPr>
          <w:p w14:paraId="5E45A3D8"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w:t>
            </w:r>
          </w:p>
        </w:tc>
      </w:tr>
      <w:tr w:rsidR="00C74912" w:rsidRPr="0028426C" w14:paraId="6BC536A9" w14:textId="77777777" w:rsidTr="00C74912">
        <w:tc>
          <w:tcPr>
            <w:tcW w:w="1575" w:type="dxa"/>
          </w:tcPr>
          <w:p w14:paraId="3E388015" w14:textId="77777777" w:rsidR="00C74912" w:rsidRPr="0028426C" w:rsidRDefault="00C74912" w:rsidP="00CD2A7B">
            <w:pPr>
              <w:spacing w:line="360" w:lineRule="auto"/>
              <w:jc w:val="both"/>
              <w:rPr>
                <w:rFonts w:ascii="Times New Roman" w:hAnsi="Times New Roman" w:cs="Times New Roman"/>
                <w:sz w:val="24"/>
                <w:szCs w:val="24"/>
              </w:rPr>
            </w:pPr>
          </w:p>
        </w:tc>
        <w:tc>
          <w:tcPr>
            <w:tcW w:w="876" w:type="dxa"/>
          </w:tcPr>
          <w:p w14:paraId="18968BD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w:t>
            </w:r>
          </w:p>
        </w:tc>
        <w:tc>
          <w:tcPr>
            <w:tcW w:w="876" w:type="dxa"/>
          </w:tcPr>
          <w:p w14:paraId="627F3AE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Std. Error</w:t>
            </w:r>
          </w:p>
        </w:tc>
        <w:tc>
          <w:tcPr>
            <w:tcW w:w="1591" w:type="dxa"/>
          </w:tcPr>
          <w:p w14:paraId="46047A0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Beta</w:t>
            </w:r>
          </w:p>
        </w:tc>
        <w:tc>
          <w:tcPr>
            <w:tcW w:w="1552" w:type="dxa"/>
          </w:tcPr>
          <w:p w14:paraId="34CB2A67" w14:textId="77777777" w:rsidR="00C74912" w:rsidRPr="0028426C" w:rsidRDefault="00C74912" w:rsidP="00CD2A7B">
            <w:pPr>
              <w:spacing w:line="360" w:lineRule="auto"/>
              <w:jc w:val="both"/>
              <w:rPr>
                <w:rFonts w:ascii="Times New Roman" w:hAnsi="Times New Roman" w:cs="Times New Roman"/>
                <w:sz w:val="24"/>
                <w:szCs w:val="24"/>
              </w:rPr>
            </w:pPr>
          </w:p>
        </w:tc>
        <w:tc>
          <w:tcPr>
            <w:tcW w:w="1560" w:type="dxa"/>
          </w:tcPr>
          <w:p w14:paraId="7126778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.000</w:t>
            </w:r>
          </w:p>
        </w:tc>
      </w:tr>
      <w:tr w:rsidR="00C74912" w:rsidRPr="0028426C" w14:paraId="40C4F72A" w14:textId="77777777" w:rsidTr="00C74912">
        <w:tc>
          <w:tcPr>
            <w:tcW w:w="1575" w:type="dxa"/>
          </w:tcPr>
          <w:p w14:paraId="07CED48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1. (Constant) </w:t>
            </w:r>
          </w:p>
        </w:tc>
        <w:tc>
          <w:tcPr>
            <w:tcW w:w="876" w:type="dxa"/>
          </w:tcPr>
          <w:p w14:paraId="24BBFE8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64.855</w:t>
            </w:r>
          </w:p>
        </w:tc>
        <w:tc>
          <w:tcPr>
            <w:tcW w:w="876" w:type="dxa"/>
          </w:tcPr>
          <w:p w14:paraId="5B1F954B"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15.867</w:t>
            </w:r>
          </w:p>
        </w:tc>
        <w:tc>
          <w:tcPr>
            <w:tcW w:w="1591" w:type="dxa"/>
          </w:tcPr>
          <w:p w14:paraId="65AF56CE" w14:textId="77777777" w:rsidR="00C74912" w:rsidRPr="0028426C" w:rsidRDefault="00C74912" w:rsidP="00CD2A7B">
            <w:pPr>
              <w:spacing w:line="360" w:lineRule="auto"/>
              <w:jc w:val="both"/>
              <w:rPr>
                <w:rFonts w:ascii="Times New Roman" w:hAnsi="Times New Roman" w:cs="Times New Roman"/>
                <w:sz w:val="24"/>
                <w:szCs w:val="24"/>
              </w:rPr>
            </w:pPr>
          </w:p>
        </w:tc>
        <w:tc>
          <w:tcPr>
            <w:tcW w:w="1552" w:type="dxa"/>
          </w:tcPr>
          <w:p w14:paraId="12A200A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4.087</w:t>
            </w:r>
          </w:p>
        </w:tc>
        <w:tc>
          <w:tcPr>
            <w:tcW w:w="1560" w:type="dxa"/>
          </w:tcPr>
          <w:p w14:paraId="6BFF6B5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.018</w:t>
            </w:r>
          </w:p>
        </w:tc>
      </w:tr>
      <w:tr w:rsidR="00C74912" w:rsidRPr="0028426C" w14:paraId="330ABA61" w14:textId="77777777" w:rsidTr="00C74912">
        <w:tc>
          <w:tcPr>
            <w:tcW w:w="1575" w:type="dxa"/>
          </w:tcPr>
          <w:p w14:paraId="5F4ADFF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Influence</w:t>
            </w:r>
          </w:p>
        </w:tc>
        <w:tc>
          <w:tcPr>
            <w:tcW w:w="876" w:type="dxa"/>
          </w:tcPr>
          <w:p w14:paraId="567E3103"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.534</w:t>
            </w:r>
          </w:p>
        </w:tc>
        <w:tc>
          <w:tcPr>
            <w:tcW w:w="876" w:type="dxa"/>
          </w:tcPr>
          <w:p w14:paraId="422B21B9"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.222</w:t>
            </w:r>
          </w:p>
        </w:tc>
        <w:tc>
          <w:tcPr>
            <w:tcW w:w="1591" w:type="dxa"/>
          </w:tcPr>
          <w:p w14:paraId="0BB983B0"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.250</w:t>
            </w:r>
          </w:p>
        </w:tc>
        <w:tc>
          <w:tcPr>
            <w:tcW w:w="1552" w:type="dxa"/>
          </w:tcPr>
          <w:p w14:paraId="66FDA35E"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2.399</w:t>
            </w:r>
          </w:p>
        </w:tc>
        <w:tc>
          <w:tcPr>
            <w:tcW w:w="1560" w:type="dxa"/>
          </w:tcPr>
          <w:p w14:paraId="2B714256"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r w:rsidR="00C74912" w:rsidRPr="0028426C" w14:paraId="268265BF" w14:textId="77777777" w:rsidTr="00C74912">
        <w:tc>
          <w:tcPr>
            <w:tcW w:w="1575" w:type="dxa"/>
          </w:tcPr>
          <w:p w14:paraId="3D9CEC9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t>
            </w:r>
          </w:p>
        </w:tc>
        <w:tc>
          <w:tcPr>
            <w:tcW w:w="876" w:type="dxa"/>
          </w:tcPr>
          <w:p w14:paraId="482E008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.046</w:t>
            </w:r>
          </w:p>
        </w:tc>
        <w:tc>
          <w:tcPr>
            <w:tcW w:w="876" w:type="dxa"/>
          </w:tcPr>
          <w:p w14:paraId="27D7FFEF"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.132</w:t>
            </w:r>
          </w:p>
        </w:tc>
        <w:tc>
          <w:tcPr>
            <w:tcW w:w="1591" w:type="dxa"/>
          </w:tcPr>
          <w:p w14:paraId="24823E1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.036</w:t>
            </w:r>
          </w:p>
        </w:tc>
        <w:tc>
          <w:tcPr>
            <w:tcW w:w="1552" w:type="dxa"/>
          </w:tcPr>
          <w:p w14:paraId="33945F5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.347</w:t>
            </w:r>
          </w:p>
        </w:tc>
        <w:tc>
          <w:tcPr>
            <w:tcW w:w="1560" w:type="dxa"/>
          </w:tcPr>
          <w:p w14:paraId="5E1A001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bl>
    <w:p w14:paraId="73861FBC" w14:textId="77777777" w:rsidR="00CE7287"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a. Dependent Variable: Transphobia </w:t>
      </w:r>
    </w:p>
    <w:p w14:paraId="329F6BA4" w14:textId="795D5D6B" w:rsidR="00DD26CE" w:rsidRPr="008269D4" w:rsidRDefault="0077394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Peer Influence was a significant predictor of Transphobia (B = 0.534, p = 0.018), suggesting that as influence of the peers increases, the level of Transphobia also increases. In contrast, Alexithymia was not a significant predictor (B = 0.046, p = 0.729), indicating that emotional expression and awareness difficulties do not significantly contribute to Transphobia in the current study. </w:t>
      </w:r>
    </w:p>
    <w:p w14:paraId="3853A128" w14:textId="051763F2" w:rsidR="00F9191E" w:rsidRPr="0028426C" w:rsidRDefault="00B764E8"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DISCUSSION</w:t>
      </w:r>
    </w:p>
    <w:p w14:paraId="35C03E29" w14:textId="69B9732F" w:rsidR="001A2078" w:rsidRPr="0028426C" w:rsidRDefault="001A2078" w:rsidP="00CD2A7B">
      <w:pPr>
        <w:spacing w:after="160" w:line="360" w:lineRule="auto"/>
        <w:jc w:val="both"/>
        <w:rPr>
          <w:rFonts w:ascii="Times New Roman" w:hAnsi="Times New Roman" w:cs="Times New Roman"/>
          <w:i/>
          <w:iCs/>
          <w:sz w:val="24"/>
          <w:szCs w:val="24"/>
          <w:lang w:val="en-IN"/>
        </w:rPr>
      </w:pPr>
      <w:r w:rsidRPr="0028426C">
        <w:rPr>
          <w:rFonts w:ascii="Times New Roman" w:hAnsi="Times New Roman" w:cs="Times New Roman"/>
          <w:sz w:val="24"/>
          <w:szCs w:val="24"/>
          <w:lang w:val="en-IN"/>
        </w:rPr>
        <w:lastRenderedPageBreak/>
        <w:t xml:space="preserve">The findings of the study were evaluated in alignment with the three hypotheses. First, the hypothesis that </w:t>
      </w:r>
      <w:r w:rsidRPr="0028426C">
        <w:rPr>
          <w:rFonts w:ascii="Times New Roman" w:hAnsi="Times New Roman" w:cs="Times New Roman"/>
          <w:bCs/>
          <w:sz w:val="24"/>
          <w:szCs w:val="24"/>
          <w:lang w:val="en-IN"/>
        </w:rPr>
        <w:t>alexithymia will correlate positively with transphobia</w:t>
      </w:r>
      <w:r w:rsidRPr="0028426C">
        <w:rPr>
          <w:rFonts w:ascii="Times New Roman" w:hAnsi="Times New Roman" w:cs="Times New Roman"/>
          <w:sz w:val="24"/>
          <w:szCs w:val="24"/>
          <w:lang w:val="en-IN"/>
        </w:rPr>
        <w:t xml:space="preserve"> was not supported</w:t>
      </w:r>
      <w:r w:rsidR="00736985" w:rsidRPr="0028426C">
        <w:rPr>
          <w:rFonts w:ascii="Times New Roman" w:hAnsi="Times New Roman" w:cs="Times New Roman"/>
          <w:i/>
          <w:iCs/>
          <w:sz w:val="24"/>
          <w:szCs w:val="24"/>
          <w:lang w:val="en-IN"/>
        </w:rPr>
        <w:t xml:space="preserve"> </w:t>
      </w:r>
      <w:r w:rsidRPr="0028426C">
        <w:rPr>
          <w:rFonts w:ascii="Times New Roman" w:hAnsi="Times New Roman" w:cs="Times New Roman"/>
          <w:sz w:val="24"/>
          <w:szCs w:val="24"/>
          <w:lang w:val="en-IN"/>
        </w:rPr>
        <w:t>significantly, as the correlation between alexithymia and transphobia was positive but statistically insignificant (r = .126, p = .104).</w:t>
      </w:r>
      <w:r w:rsidR="00943740" w:rsidRPr="0028426C">
        <w:rPr>
          <w:rFonts w:ascii="Times New Roman" w:hAnsi="Times New Roman" w:cs="Times New Roman"/>
          <w:sz w:val="24"/>
          <w:szCs w:val="24"/>
        </w:rPr>
        <w:t xml:space="preserve"> This non-significant result suggests that while emotional processing difficulties may play a role in prejudiced attitudes, they might not be the most salient contributors within this sample. </w:t>
      </w:r>
      <w:r w:rsidRPr="0028426C">
        <w:rPr>
          <w:rFonts w:ascii="Times New Roman" w:hAnsi="Times New Roman" w:cs="Times New Roman"/>
          <w:sz w:val="24"/>
          <w:szCs w:val="24"/>
          <w:lang w:val="en-IN"/>
        </w:rPr>
        <w:t>Although existing studies such as those by Lyvers</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et al. (2020) and Birtel et al. (2023) have established a link between emotional deficits and</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prejudicial attitudes, this study did not find a strong correlation, possibly due to sample-specific</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 xml:space="preserve">emotional literacy or lack of variance in emotional awareness within the group. </w:t>
      </w:r>
      <w:r w:rsidR="00943740" w:rsidRPr="0028426C">
        <w:rPr>
          <w:rFonts w:ascii="Times New Roman" w:hAnsi="Times New Roman" w:cs="Times New Roman"/>
          <w:sz w:val="24"/>
          <w:szCs w:val="24"/>
        </w:rPr>
        <w:t>Nonetheless, theoretical perspectives suggest that alexithymia impairs emotional awareness and regulation, which can reduce empathic concern for marginalized groups. The emotion regulation deficit model (Preece et al., 2017) and neurobiological findings (Bird et al., 2010) indicate that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alexithymia involves hypoactivity in brain regions such as the anterior insula and prefrontal</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cortex, crucial for recognizing and verbalizing emotional states. Psychodynamic theory, particularly from Krystal (1988), further explains alexithymia as a consequence of unresolved early developmental trauma and emotional neglect, which disrupts the capacity for emotional introspection. Developmental models highlight the role of secure attachment and parental mirroring in building emotional competence, suggesting that disruptions in these processes can manifest as emotional detachment and prejudice in later life. Although the effect was not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statistically significant here, the theoretical underpinnings remain robust: emotional deficits may limit an individual's capacity to resonate with the lived experiences of gender-diverse individuals, thereby indirectly sustaining transphobic attitudes.</w:t>
      </w:r>
    </w:p>
    <w:p w14:paraId="2B1D7B85" w14:textId="22E60FB4" w:rsidR="001A2078" w:rsidRPr="0028426C" w:rsidRDefault="001A2078" w:rsidP="00CD2A7B">
      <w:pPr>
        <w:spacing w:after="160" w:line="360" w:lineRule="auto"/>
        <w:jc w:val="both"/>
        <w:rPr>
          <w:rFonts w:ascii="Times New Roman" w:hAnsi="Times New Roman" w:cs="Times New Roman"/>
          <w:sz w:val="24"/>
          <w:szCs w:val="24"/>
          <w:lang w:val="en-IN"/>
        </w:rPr>
      </w:pPr>
      <w:r w:rsidRPr="0028426C">
        <w:rPr>
          <w:rFonts w:ascii="Times New Roman" w:hAnsi="Times New Roman" w:cs="Times New Roman"/>
          <w:sz w:val="24"/>
          <w:szCs w:val="24"/>
          <w:lang w:val="en-IN"/>
        </w:rPr>
        <w:t xml:space="preserve">The second hypothesis, </w:t>
      </w:r>
      <w:r w:rsidRPr="0028426C">
        <w:rPr>
          <w:rFonts w:ascii="Times New Roman" w:hAnsi="Times New Roman" w:cs="Times New Roman"/>
          <w:bCs/>
          <w:sz w:val="24"/>
          <w:szCs w:val="24"/>
          <w:lang w:val="en-IN"/>
        </w:rPr>
        <w:t>peer pressure will correlate positively with transphobia</w:t>
      </w:r>
      <w:r w:rsidRPr="0028426C">
        <w:rPr>
          <w:rFonts w:ascii="Times New Roman" w:hAnsi="Times New Roman" w:cs="Times New Roman"/>
          <w:sz w:val="24"/>
          <w:szCs w:val="24"/>
          <w:lang w:val="en-IN"/>
        </w:rPr>
        <w:t>, was supported by the data (r = .263, p = .004), suggesting that peer influence plays a significant role in</w:t>
      </w:r>
      <w:r w:rsidR="00165F76" w:rsidRPr="0028426C">
        <w:rPr>
          <w:rFonts w:ascii="Times New Roman" w:hAnsi="Times New Roman" w:cs="Times New Roman"/>
          <w:sz w:val="24"/>
          <w:szCs w:val="24"/>
          <w:lang w:val="en-IN"/>
        </w:rPr>
        <w:t xml:space="preserve"> shaping transphobic attitudes. </w:t>
      </w:r>
      <w:r w:rsidR="00165F76" w:rsidRPr="0028426C">
        <w:rPr>
          <w:rFonts w:ascii="Times New Roman" w:hAnsi="Times New Roman" w:cs="Times New Roman"/>
          <w:sz w:val="24"/>
          <w:szCs w:val="24"/>
        </w:rPr>
        <w:t xml:space="preserve">This supports the Social Learning Theory (Bandura, 1971), which posits that behaviors and attitudes are modeled based on reinforcement within social environments. Additionally, the Social Identity Theory (Abrams &amp; Hogg, 1990) and Ecological Systems Theory (Bronfenbrenner, 1979) underscore how peer group norms and immediate social contexts act as key drivers of conformity and prejudice. The Influence-Compatibility Model (Laursen &amp; Veenstra, 2021) provides further nuance by suggesting that adolescents conform to peer norms to maintain social harmony and reduce conflict. These findings align with </w:t>
      </w:r>
      <w:proofErr w:type="spellStart"/>
      <w:r w:rsidR="00165F76" w:rsidRPr="0028426C">
        <w:rPr>
          <w:rFonts w:ascii="Times New Roman" w:hAnsi="Times New Roman" w:cs="Times New Roman"/>
          <w:sz w:val="24"/>
          <w:szCs w:val="24"/>
        </w:rPr>
        <w:t>Hjerm</w:t>
      </w:r>
      <w:proofErr w:type="spellEnd"/>
      <w:r w:rsidR="00165F76" w:rsidRPr="0028426C">
        <w:rPr>
          <w:rFonts w:ascii="Times New Roman" w:hAnsi="Times New Roman" w:cs="Times New Roman"/>
          <w:sz w:val="24"/>
          <w:szCs w:val="24"/>
        </w:rPr>
        <w:t xml:space="preserve"> et al. (2018) and </w:t>
      </w:r>
      <w:r w:rsidR="00165F76" w:rsidRPr="0028426C">
        <w:rPr>
          <w:rFonts w:ascii="Times New Roman" w:hAnsi="Times New Roman" w:cs="Times New Roman"/>
          <w:sz w:val="24"/>
          <w:szCs w:val="24"/>
        </w:rPr>
        <w:lastRenderedPageBreak/>
        <w:t>Paluck (2011), where peer networks not only shape, but also sustain, prejudicial norms. From a discursive psychology (DP) lens, peer conversations and collective language use create and normalize discriminato</w:t>
      </w:r>
      <w:r w:rsidR="0020037C" w:rsidRPr="0028426C">
        <w:rPr>
          <w:rFonts w:ascii="Times New Roman" w:hAnsi="Times New Roman" w:cs="Times New Roman"/>
          <w:sz w:val="24"/>
          <w:szCs w:val="24"/>
        </w:rPr>
        <w:t>ry discourse, positioning trans-</w:t>
      </w:r>
      <w:r w:rsidR="00165F76" w:rsidRPr="0028426C">
        <w:rPr>
          <w:rFonts w:ascii="Times New Roman" w:hAnsi="Times New Roman" w:cs="Times New Roman"/>
          <w:sz w:val="24"/>
          <w:szCs w:val="24"/>
        </w:rPr>
        <w:t>individuals as deviant or “other.” Therefore, peer dynamics serve not only as transmitters of behavior but also as co-constructors of ideological narratives about gender conformity.</w:t>
      </w:r>
    </w:p>
    <w:p w14:paraId="223E6AFE" w14:textId="6BB4CE37" w:rsidR="00165F76" w:rsidRPr="0028426C" w:rsidRDefault="001A2078" w:rsidP="00CD2A7B">
      <w:pPr>
        <w:spacing w:after="160" w:line="360" w:lineRule="auto"/>
        <w:jc w:val="both"/>
        <w:rPr>
          <w:rFonts w:ascii="Times New Roman" w:hAnsi="Times New Roman" w:cs="Times New Roman"/>
          <w:bCs/>
          <w:sz w:val="24"/>
          <w:szCs w:val="24"/>
          <w:lang w:val="en-IN"/>
        </w:rPr>
      </w:pPr>
      <w:r w:rsidRPr="0028426C">
        <w:rPr>
          <w:rFonts w:ascii="Times New Roman" w:hAnsi="Times New Roman" w:cs="Times New Roman"/>
          <w:sz w:val="24"/>
          <w:szCs w:val="24"/>
          <w:lang w:val="en-IN"/>
        </w:rPr>
        <w:t xml:space="preserve">The third hypothesis, </w:t>
      </w:r>
      <w:r w:rsidRPr="0028426C">
        <w:rPr>
          <w:rFonts w:ascii="Times New Roman" w:hAnsi="Times New Roman" w:cs="Times New Roman"/>
          <w:bCs/>
          <w:sz w:val="24"/>
          <w:szCs w:val="24"/>
          <w:lang w:val="en-IN"/>
        </w:rPr>
        <w:t>alexithymia and peer pressure will independently and collectively predict transphobia</w:t>
      </w:r>
      <w:r w:rsidRPr="0028426C">
        <w:rPr>
          <w:rFonts w:ascii="Times New Roman" w:hAnsi="Times New Roman" w:cs="Times New Roman"/>
          <w:sz w:val="24"/>
          <w:szCs w:val="24"/>
          <w:lang w:val="en-IN"/>
        </w:rPr>
        <w:t>, received partial support. The regression analysis showed that the overall model was statistically significant (F = 3.718, p = .028), but only peer influence emerged as a significant predictor (β = .250, p = .018), while alexithymia did not (β = .036, p = .729). The combined R² value of 0.071 indicates that the model explains only 7.1% of the variance in transphobia, suggesting that other unmeasured variables may also contribute meaningfully.</w:t>
      </w:r>
      <w:r w:rsidR="00736985"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Integrating the socio</w:t>
      </w:r>
      <w:r w:rsidR="003E1DB1" w:rsidRPr="0028426C">
        <w:rPr>
          <w:rFonts w:ascii="Times New Roman" w:hAnsi="Times New Roman" w:cs="Times New Roman"/>
          <w:sz w:val="24"/>
          <w:szCs w:val="24"/>
        </w:rPr>
        <w:t>-</w:t>
      </w:r>
      <w:r w:rsidR="00165F76" w:rsidRPr="0028426C">
        <w:rPr>
          <w:rFonts w:ascii="Times New Roman" w:hAnsi="Times New Roman" w:cs="Times New Roman"/>
          <w:sz w:val="24"/>
          <w:szCs w:val="24"/>
        </w:rPr>
        <w:t>functional threat approach (Cottrell &amp; Neuberg, 2005), it becomes clear that perceived social threats—such as the disruption of traditional gender norms—evoke negative emotional responses like disgust or fear, particularly in environments dominated by conservative peer ideologies. This could explain why peer influence, more than internal emotional deficits, significantly drives</w:t>
      </w:r>
      <w:r w:rsidR="0020037C" w:rsidRPr="0028426C">
        <w:rPr>
          <w:rFonts w:ascii="Times New Roman" w:hAnsi="Times New Roman" w:cs="Times New Roman"/>
          <w:sz w:val="24"/>
          <w:szCs w:val="24"/>
        </w:rPr>
        <w:t xml:space="preserve"> discriminatory behavior. Trans-</w:t>
      </w:r>
      <w:r w:rsidR="00165F76" w:rsidRPr="0028426C">
        <w:rPr>
          <w:rFonts w:ascii="Times New Roman" w:hAnsi="Times New Roman" w:cs="Times New Roman"/>
          <w:sz w:val="24"/>
          <w:szCs w:val="24"/>
        </w:rPr>
        <w:t>individuals may be viewed as symbolic threats to group cohesion, and peer norms function as mechanisms for reinforcing perceived in-group superiority.</w:t>
      </w:r>
      <w:r w:rsidR="0020037C"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 xml:space="preserve">From a discursive approach, the study aligns with Judith Butler’s (2004) theory of gender performativity, which argues that gender is constructed through repeated social performances, and deviations from these performances are marginalized through linguistic and behavioral means. </w:t>
      </w:r>
    </w:p>
    <w:p w14:paraId="1FCFC190"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Top of Form</w:t>
      </w:r>
    </w:p>
    <w:p w14:paraId="00416B9C"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Bottom of Form</w:t>
      </w:r>
    </w:p>
    <w:p w14:paraId="4569C77B" w14:textId="3478DBE2" w:rsidR="00DD12A3" w:rsidRPr="0028426C" w:rsidRDefault="00DD12A3" w:rsidP="00CD2A7B">
      <w:pPr>
        <w:spacing w:before="48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CONCLUSION</w:t>
      </w:r>
    </w:p>
    <w:p w14:paraId="3AA88A35" w14:textId="52669208" w:rsidR="006A1D80" w:rsidRPr="00DD12A3" w:rsidRDefault="00DD12A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This study highlights the critical role of peer influence in shaping transphobic attitudes and underlines the potential but complex relationship of alexithymia with prejudice. The findings offer valuable insights for educators, psychologists, and policymakers seeking to foster inclusive, emotionally aware environments for gender-diverse individuals. Though limited in scope, the research lays the groundwork for future interdisciplinary inquiry and intervention development aimed at dismantling transphobia through both social and emotional pathways.</w:t>
      </w:r>
    </w:p>
    <w:p w14:paraId="637557D8" w14:textId="7C11D007"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IMPLICATIONS OF THE STUDY</w:t>
      </w:r>
    </w:p>
    <w:p w14:paraId="27B7EF42" w14:textId="77258CAE"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lastRenderedPageBreak/>
        <w:t>Peer Norms Matter</w:t>
      </w:r>
      <w:r w:rsidRPr="0028426C">
        <w:rPr>
          <w:rFonts w:ascii="Times New Roman" w:hAnsi="Times New Roman" w:cs="Times New Roman"/>
          <w:bCs/>
          <w:sz w:val="24"/>
          <w:szCs w:val="24"/>
          <w:lang w:val="en-IN"/>
        </w:rPr>
        <w:t xml:space="preserve">: The strong role of peer influence suggests that interventions targeting group norms and peer </w:t>
      </w:r>
      <w:proofErr w:type="spellStart"/>
      <w:r w:rsidRPr="0028426C">
        <w:rPr>
          <w:rFonts w:ascii="Times New Roman" w:hAnsi="Times New Roman" w:cs="Times New Roman"/>
          <w:bCs/>
          <w:sz w:val="24"/>
          <w:szCs w:val="24"/>
          <w:lang w:val="en-IN"/>
        </w:rPr>
        <w:t>modeling</w:t>
      </w:r>
      <w:proofErr w:type="spellEnd"/>
      <w:r w:rsidRPr="0028426C">
        <w:rPr>
          <w:rFonts w:ascii="Times New Roman" w:hAnsi="Times New Roman" w:cs="Times New Roman"/>
          <w:bCs/>
          <w:sz w:val="24"/>
          <w:szCs w:val="24"/>
          <w:lang w:val="en-IN"/>
        </w:rPr>
        <w:t xml:space="preserve"> could be effective in reducing transphobia in youth.</w:t>
      </w:r>
    </w:p>
    <w:p w14:paraId="56627F22" w14:textId="2BC7071F"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Emotional Awareness Still Relevant</w:t>
      </w:r>
      <w:r w:rsidRPr="0028426C">
        <w:rPr>
          <w:rFonts w:ascii="Times New Roman" w:hAnsi="Times New Roman" w:cs="Times New Roman"/>
          <w:bCs/>
          <w:sz w:val="24"/>
          <w:szCs w:val="24"/>
          <w:lang w:val="en-IN"/>
        </w:rPr>
        <w:t>: Despite the lack of statistical significance, prior literature supports the role of alexithymia in empathy and prejudice; emotional literacy remains a useful target for education.</w:t>
      </w:r>
    </w:p>
    <w:p w14:paraId="1BB4121F" w14:textId="4A725355"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Educational Interventions</w:t>
      </w:r>
      <w:r w:rsidRPr="0028426C">
        <w:rPr>
          <w:rFonts w:ascii="Times New Roman" w:hAnsi="Times New Roman" w:cs="Times New Roman"/>
          <w:bCs/>
          <w:sz w:val="24"/>
          <w:szCs w:val="24"/>
          <w:lang w:val="en-IN"/>
        </w:rPr>
        <w:t>: Programs should combine peer-led discussions, empathy training, and emotional regulation skill-building.</w:t>
      </w:r>
    </w:p>
    <w:p w14:paraId="5AB2D1DD" w14:textId="77777777" w:rsidR="00DD12A3" w:rsidRDefault="00DD12A3" w:rsidP="00CD2A7B">
      <w:pPr>
        <w:spacing w:line="360" w:lineRule="auto"/>
        <w:jc w:val="both"/>
        <w:rPr>
          <w:rFonts w:ascii="Times New Roman" w:hAnsi="Times New Roman" w:cs="Times New Roman"/>
          <w:bCs/>
          <w:sz w:val="24"/>
          <w:szCs w:val="24"/>
          <w:lang w:val="en-IN"/>
        </w:rPr>
      </w:pPr>
    </w:p>
    <w:p w14:paraId="252667D5" w14:textId="6A6FB655"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LIMITATIONS</w:t>
      </w:r>
    </w:p>
    <w:p w14:paraId="4D6A153E" w14:textId="2D05B2A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Self-report Bias</w:t>
      </w:r>
      <w:r w:rsidRPr="0028426C">
        <w:rPr>
          <w:rFonts w:ascii="Times New Roman" w:hAnsi="Times New Roman" w:cs="Times New Roman"/>
          <w:bCs/>
          <w:sz w:val="24"/>
          <w:szCs w:val="24"/>
          <w:lang w:val="en-IN"/>
        </w:rPr>
        <w:t>: The use of questionnaires may have influenced socially desirable responses.</w:t>
      </w:r>
    </w:p>
    <w:p w14:paraId="79BDD492" w14:textId="4C54B43E"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Sampling Constraints</w:t>
      </w:r>
      <w:r w:rsidRPr="0028426C">
        <w:rPr>
          <w:rFonts w:ascii="Times New Roman" w:hAnsi="Times New Roman" w:cs="Times New Roman"/>
          <w:bCs/>
          <w:sz w:val="24"/>
          <w:szCs w:val="24"/>
          <w:lang w:val="en-IN"/>
        </w:rPr>
        <w:t>: The convenience sample from a single university limits the generalizability of results.</w:t>
      </w:r>
    </w:p>
    <w:p w14:paraId="0290D835" w14:textId="5ECC30DD"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Gender Imbalance</w:t>
      </w:r>
      <w:r w:rsidRPr="0028426C">
        <w:rPr>
          <w:rFonts w:ascii="Times New Roman" w:hAnsi="Times New Roman" w:cs="Times New Roman"/>
          <w:bCs/>
          <w:sz w:val="24"/>
          <w:szCs w:val="24"/>
          <w:lang w:val="en-IN"/>
        </w:rPr>
        <w:t>: The higher proportion of female participants may have skewed findings.</w:t>
      </w:r>
    </w:p>
    <w:p w14:paraId="09C323C7" w14:textId="3B73866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Limited Variance Explained</w:t>
      </w:r>
      <w:r w:rsidRPr="0028426C">
        <w:rPr>
          <w:rFonts w:ascii="Times New Roman" w:hAnsi="Times New Roman" w:cs="Times New Roman"/>
          <w:bCs/>
          <w:sz w:val="24"/>
          <w:szCs w:val="24"/>
          <w:lang w:val="en-IN"/>
        </w:rPr>
        <w:t>: The model explained a modest portion of the variance, indicating other influential variables were not included.</w:t>
      </w:r>
    </w:p>
    <w:p w14:paraId="7FBEF82E" w14:textId="77777777" w:rsidR="007C5173" w:rsidRPr="0028426C" w:rsidRDefault="007C5173" w:rsidP="00CD2A7B">
      <w:pPr>
        <w:spacing w:after="120" w:line="360" w:lineRule="auto"/>
        <w:jc w:val="both"/>
        <w:rPr>
          <w:rFonts w:ascii="Times New Roman" w:hAnsi="Times New Roman" w:cs="Times New Roman"/>
          <w:b/>
          <w:bCs/>
          <w:sz w:val="24"/>
          <w:szCs w:val="24"/>
          <w:lang w:val="en-IN"/>
        </w:rPr>
      </w:pPr>
    </w:p>
    <w:p w14:paraId="209C236B" w14:textId="79D730CF" w:rsidR="007C5173" w:rsidRPr="0028426C" w:rsidRDefault="00DD12A3" w:rsidP="00CD2A7B">
      <w:pPr>
        <w:spacing w:after="12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SUGGESTIONS FOR FUTURE RESEARCH</w:t>
      </w:r>
    </w:p>
    <w:p w14:paraId="58E33C6A" w14:textId="0A84CA7D" w:rsidR="006A1D80" w:rsidRDefault="00CE289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For the future research, qualitative</w:t>
      </w:r>
      <w:r w:rsidR="007C5173" w:rsidRPr="0028426C">
        <w:rPr>
          <w:rFonts w:ascii="Times New Roman" w:hAnsi="Times New Roman" w:cs="Times New Roman"/>
          <w:bCs/>
          <w:sz w:val="24"/>
          <w:szCs w:val="24"/>
          <w:lang w:val="en-IN"/>
        </w:rPr>
        <w:t xml:space="preserve"> methods</w:t>
      </w:r>
      <w:r w:rsidRPr="0028426C">
        <w:rPr>
          <w:rFonts w:ascii="Times New Roman" w:hAnsi="Times New Roman" w:cs="Times New Roman"/>
          <w:bCs/>
          <w:sz w:val="24"/>
          <w:szCs w:val="24"/>
          <w:lang w:val="en-IN"/>
        </w:rPr>
        <w:t xml:space="preserve"> such as interviews must be included </w:t>
      </w:r>
      <w:r w:rsidR="006A1D80" w:rsidRPr="0028426C">
        <w:rPr>
          <w:rFonts w:ascii="Times New Roman" w:hAnsi="Times New Roman" w:cs="Times New Roman"/>
          <w:bCs/>
          <w:sz w:val="24"/>
          <w:szCs w:val="24"/>
          <w:lang w:val="en-IN"/>
        </w:rPr>
        <w:t xml:space="preserve">to capture </w:t>
      </w:r>
      <w:r w:rsidR="007C5173" w:rsidRPr="0028426C">
        <w:rPr>
          <w:rFonts w:ascii="Times New Roman" w:hAnsi="Times New Roman" w:cs="Times New Roman"/>
          <w:bCs/>
          <w:sz w:val="24"/>
          <w:szCs w:val="24"/>
          <w:lang w:val="en-IN"/>
        </w:rPr>
        <w:t>deeper emotional and cultural underpinnings.</w:t>
      </w:r>
      <w:r w:rsidRPr="0028426C">
        <w:rPr>
          <w:rFonts w:ascii="Times New Roman" w:hAnsi="Times New Roman" w:cs="Times New Roman"/>
          <w:bCs/>
          <w:sz w:val="24"/>
          <w:szCs w:val="24"/>
          <w:lang w:val="en-IN"/>
        </w:rPr>
        <w:t xml:space="preserve"> Other variables such as authoritarianism,</w:t>
      </w:r>
      <w:r w:rsidRPr="0028426C">
        <w:rPr>
          <w:rFonts w:ascii="Times New Roman" w:hAnsi="Times New Roman" w:cs="Times New Roman"/>
          <w:b/>
          <w:bCs/>
          <w:sz w:val="24"/>
          <w:szCs w:val="24"/>
          <w:lang w:val="en-IN"/>
        </w:rPr>
        <w:t xml:space="preserve"> </w:t>
      </w:r>
      <w:r w:rsidRPr="0028426C">
        <w:rPr>
          <w:rFonts w:ascii="Times New Roman" w:hAnsi="Times New Roman" w:cs="Times New Roman"/>
          <w:bCs/>
          <w:sz w:val="24"/>
          <w:szCs w:val="24"/>
          <w:lang w:val="en-IN"/>
        </w:rPr>
        <w:t>cultural values, intergroup contact</w:t>
      </w:r>
      <w:r w:rsidRPr="0028426C">
        <w:rPr>
          <w:rFonts w:ascii="Times New Roman" w:hAnsi="Times New Roman" w:cs="Times New Roman"/>
          <w:b/>
          <w:bCs/>
          <w:sz w:val="24"/>
          <w:szCs w:val="24"/>
          <w:lang w:val="en-IN"/>
        </w:rPr>
        <w:t>,</w:t>
      </w:r>
      <w:r w:rsidRPr="0028426C">
        <w:rPr>
          <w:rFonts w:ascii="Times New Roman" w:hAnsi="Times New Roman" w:cs="Times New Roman"/>
          <w:bCs/>
          <w:sz w:val="24"/>
          <w:szCs w:val="24"/>
          <w:lang w:val="en-IN"/>
        </w:rPr>
        <w:t xml:space="preserve"> and media influence must be exa</w:t>
      </w:r>
      <w:r w:rsidR="006A1D80" w:rsidRPr="0028426C">
        <w:rPr>
          <w:rFonts w:ascii="Times New Roman" w:hAnsi="Times New Roman" w:cs="Times New Roman"/>
          <w:bCs/>
          <w:sz w:val="24"/>
          <w:szCs w:val="24"/>
          <w:lang w:val="en-IN"/>
        </w:rPr>
        <w:t xml:space="preserve">mined. The future studies must </w:t>
      </w:r>
      <w:r w:rsidRPr="0028426C">
        <w:rPr>
          <w:rFonts w:ascii="Times New Roman" w:hAnsi="Times New Roman" w:cs="Times New Roman"/>
          <w:bCs/>
          <w:sz w:val="24"/>
          <w:szCs w:val="24"/>
          <w:lang w:val="en-IN"/>
        </w:rPr>
        <w:t>expand</w:t>
      </w:r>
      <w:r w:rsidR="007C5173" w:rsidRPr="0028426C">
        <w:rPr>
          <w:rFonts w:ascii="Times New Roman" w:hAnsi="Times New Roman" w:cs="Times New Roman"/>
          <w:bCs/>
          <w:sz w:val="24"/>
          <w:szCs w:val="24"/>
          <w:lang w:val="en-IN"/>
        </w:rPr>
        <w:t xml:space="preserve"> to diverse geographic and socio-economic populations to enhance representativeness.</w:t>
      </w:r>
    </w:p>
    <w:p w14:paraId="20BA0CFE" w14:textId="0F7141D6" w:rsidR="008269D4" w:rsidRPr="00FF484F" w:rsidRDefault="00FF484F" w:rsidP="00CD2A7B">
      <w:pPr>
        <w:spacing w:line="360" w:lineRule="auto"/>
        <w:jc w:val="both"/>
        <w:rPr>
          <w:rFonts w:ascii="Times New Roman" w:hAnsi="Times New Roman" w:cs="Times New Roman"/>
          <w:b/>
          <w:bCs/>
          <w:sz w:val="24"/>
          <w:szCs w:val="24"/>
          <w:lang w:val="en-IN"/>
        </w:rPr>
      </w:pPr>
      <w:r w:rsidRPr="00FF484F">
        <w:rPr>
          <w:rFonts w:ascii="Times New Roman" w:hAnsi="Times New Roman" w:cs="Times New Roman"/>
          <w:b/>
          <w:bCs/>
          <w:sz w:val="24"/>
          <w:szCs w:val="24"/>
          <w:lang w:val="en-IN"/>
        </w:rPr>
        <w:t>REFEERENCES</w:t>
      </w:r>
    </w:p>
    <w:p w14:paraId="5AFD9444"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color w:val="222222"/>
          <w:sz w:val="24"/>
          <w:szCs w:val="24"/>
          <w:shd w:val="clear" w:color="auto" w:fill="FFFFFF"/>
        </w:rPr>
        <w:lastRenderedPageBreak/>
        <w:t>Abrams, D., &amp; Hogg, M. A. (1990). Social identification, self-categorization and social influence. </w:t>
      </w:r>
      <w:r w:rsidRPr="0028426C">
        <w:rPr>
          <w:rFonts w:ascii="Times New Roman" w:hAnsi="Times New Roman" w:cs="Times New Roman"/>
          <w:i/>
          <w:iCs/>
          <w:color w:val="222222"/>
          <w:sz w:val="24"/>
          <w:szCs w:val="24"/>
          <w:shd w:val="clear" w:color="auto" w:fill="FFFFFF"/>
        </w:rPr>
        <w:t>European review of social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w:t>
      </w:r>
      <w:r w:rsidRPr="0028426C">
        <w:rPr>
          <w:rFonts w:ascii="Times New Roman" w:hAnsi="Times New Roman" w:cs="Times New Roman"/>
          <w:color w:val="222222"/>
          <w:sz w:val="24"/>
          <w:szCs w:val="24"/>
          <w:shd w:val="clear" w:color="auto" w:fill="FFFFFF"/>
        </w:rPr>
        <w:t>(1), 195-228.</w:t>
      </w:r>
    </w:p>
    <w:p w14:paraId="4D2DEE03"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Allport, G. W. (1954). </w:t>
      </w:r>
      <w:r w:rsidRPr="0028426C">
        <w:rPr>
          <w:rStyle w:val="Emphasis"/>
          <w:rFonts w:ascii="Times New Roman" w:hAnsi="Times New Roman" w:cs="Times New Roman"/>
          <w:sz w:val="24"/>
          <w:szCs w:val="24"/>
        </w:rPr>
        <w:t>The nature of prejudice</w:t>
      </w:r>
      <w:r w:rsidRPr="0028426C">
        <w:rPr>
          <w:rFonts w:ascii="Times New Roman" w:hAnsi="Times New Roman" w:cs="Times New Roman"/>
          <w:sz w:val="24"/>
          <w:szCs w:val="24"/>
        </w:rPr>
        <w:t>. Addison-Wesley.</w:t>
      </w:r>
    </w:p>
    <w:p w14:paraId="7610C5D9"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eastAsia="Times New Roman" w:hAnsi="Times New Roman" w:cs="Times New Roman"/>
          <w:sz w:val="24"/>
          <w:szCs w:val="24"/>
        </w:rPr>
        <w:t xml:space="preserve">American Psychological Association. (2015). </w:t>
      </w:r>
      <w:r w:rsidRPr="0028426C">
        <w:rPr>
          <w:rFonts w:ascii="Times New Roman" w:eastAsia="Times New Roman" w:hAnsi="Times New Roman" w:cs="Times New Roman"/>
          <w:i/>
          <w:iCs/>
          <w:sz w:val="24"/>
          <w:szCs w:val="24"/>
        </w:rPr>
        <w:t>Guidelines for psychological practice with transgender and gender nonconforming people</w:t>
      </w:r>
      <w:r w:rsidRPr="0028426C">
        <w:rPr>
          <w:rFonts w:ascii="Times New Roman" w:eastAsia="Times New Roman" w:hAnsi="Times New Roman" w:cs="Times New Roman"/>
          <w:sz w:val="24"/>
          <w:szCs w:val="24"/>
        </w:rPr>
        <w:t xml:space="preserve">. </w:t>
      </w:r>
      <w:hyperlink r:id="rId12" w:tgtFrame="_new" w:history="1">
        <w:r w:rsidRPr="0028426C">
          <w:rPr>
            <w:rFonts w:ascii="Times New Roman" w:eastAsia="Times New Roman" w:hAnsi="Times New Roman" w:cs="Times New Roman"/>
            <w:color w:val="0000FF"/>
            <w:sz w:val="24"/>
            <w:szCs w:val="24"/>
            <w:u w:val="single"/>
          </w:rPr>
          <w:t>https://www.apa.org/practice/guidelines/transgender.pdf</w:t>
        </w:r>
      </w:hyperlink>
    </w:p>
    <w:p w14:paraId="7C83111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Ansara, Y. G., &amp; Hegarty, P. (2014). Methodologies of misgendering: Recommendations for reducing </w:t>
      </w:r>
      <w:proofErr w:type="spellStart"/>
      <w:r w:rsidRPr="0028426C">
        <w:rPr>
          <w:rFonts w:ascii="Times New Roman" w:eastAsia="Times New Roman" w:hAnsi="Times New Roman" w:cs="Times New Roman"/>
          <w:sz w:val="24"/>
          <w:szCs w:val="24"/>
        </w:rPr>
        <w:t>cisgenderism</w:t>
      </w:r>
      <w:proofErr w:type="spellEnd"/>
      <w:r w:rsidRPr="0028426C">
        <w:rPr>
          <w:rFonts w:ascii="Times New Roman" w:eastAsia="Times New Roman" w:hAnsi="Times New Roman" w:cs="Times New Roman"/>
          <w:sz w:val="24"/>
          <w:szCs w:val="24"/>
        </w:rPr>
        <w:t xml:space="preserve"> in psychological research. </w:t>
      </w:r>
      <w:r w:rsidRPr="0028426C">
        <w:rPr>
          <w:rFonts w:ascii="Times New Roman" w:eastAsia="Times New Roman" w:hAnsi="Times New Roman" w:cs="Times New Roman"/>
          <w:i/>
          <w:iCs/>
          <w:sz w:val="24"/>
          <w:szCs w:val="24"/>
        </w:rPr>
        <w:t>Feminism &amp; Psychology, 24</w:t>
      </w:r>
      <w:r w:rsidRPr="0028426C">
        <w:rPr>
          <w:rFonts w:ascii="Times New Roman" w:eastAsia="Times New Roman" w:hAnsi="Times New Roman" w:cs="Times New Roman"/>
          <w:sz w:val="24"/>
          <w:szCs w:val="24"/>
        </w:rPr>
        <w:t xml:space="preserve">(2), 259–270. </w:t>
      </w:r>
      <w:hyperlink r:id="rId13" w:history="1">
        <w:r w:rsidRPr="0028426C">
          <w:rPr>
            <w:rStyle w:val="Hyperlink"/>
            <w:rFonts w:ascii="Times New Roman" w:eastAsia="Times New Roman" w:hAnsi="Times New Roman" w:cs="Times New Roman"/>
            <w:sz w:val="24"/>
            <w:szCs w:val="24"/>
          </w:rPr>
          <w:t>https://doi.org/10.1177/0959353514526217</w:t>
        </w:r>
      </w:hyperlink>
    </w:p>
    <w:p w14:paraId="4B33718D"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t xml:space="preserve">Aust, S., </w:t>
      </w:r>
      <w:proofErr w:type="spellStart"/>
      <w:r w:rsidRPr="0028426C">
        <w:rPr>
          <w:rFonts w:ascii="Times New Roman" w:hAnsi="Times New Roman" w:cs="Times New Roman"/>
          <w:color w:val="222222"/>
          <w:sz w:val="24"/>
          <w:szCs w:val="24"/>
          <w:shd w:val="clear" w:color="auto" w:fill="FFFFFF"/>
        </w:rPr>
        <w:t>Härtwig</w:t>
      </w:r>
      <w:proofErr w:type="spellEnd"/>
      <w:r w:rsidRPr="0028426C">
        <w:rPr>
          <w:rFonts w:ascii="Times New Roman" w:hAnsi="Times New Roman" w:cs="Times New Roman"/>
          <w:color w:val="222222"/>
          <w:sz w:val="24"/>
          <w:szCs w:val="24"/>
          <w:shd w:val="clear" w:color="auto" w:fill="FFFFFF"/>
        </w:rPr>
        <w:t xml:space="preserve">, E. A., Heuser, I., &amp; </w:t>
      </w:r>
      <w:proofErr w:type="spellStart"/>
      <w:r w:rsidRPr="0028426C">
        <w:rPr>
          <w:rFonts w:ascii="Times New Roman" w:hAnsi="Times New Roman" w:cs="Times New Roman"/>
          <w:color w:val="222222"/>
          <w:sz w:val="24"/>
          <w:szCs w:val="24"/>
          <w:shd w:val="clear" w:color="auto" w:fill="FFFFFF"/>
        </w:rPr>
        <w:t>Bajbouj</w:t>
      </w:r>
      <w:proofErr w:type="spellEnd"/>
      <w:r w:rsidRPr="0028426C">
        <w:rPr>
          <w:rFonts w:ascii="Times New Roman" w:hAnsi="Times New Roman" w:cs="Times New Roman"/>
          <w:color w:val="222222"/>
          <w:sz w:val="24"/>
          <w:szCs w:val="24"/>
          <w:shd w:val="clear" w:color="auto" w:fill="FFFFFF"/>
        </w:rPr>
        <w:t>, M. (2013). The role of early emotional neglect in alexithymia. </w:t>
      </w:r>
      <w:r w:rsidRPr="0028426C">
        <w:rPr>
          <w:rFonts w:ascii="Times New Roman" w:hAnsi="Times New Roman" w:cs="Times New Roman"/>
          <w:i/>
          <w:iCs/>
          <w:color w:val="222222"/>
          <w:sz w:val="24"/>
          <w:szCs w:val="24"/>
          <w:shd w:val="clear" w:color="auto" w:fill="FFFFFF"/>
        </w:rPr>
        <w:t>Psychological trauma: theory, research, practice, and policy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5</w:t>
      </w:r>
      <w:r w:rsidRPr="0028426C">
        <w:rPr>
          <w:rFonts w:ascii="Times New Roman" w:hAnsi="Times New Roman" w:cs="Times New Roman"/>
          <w:color w:val="222222"/>
          <w:sz w:val="24"/>
          <w:szCs w:val="24"/>
          <w:shd w:val="clear" w:color="auto" w:fill="FFFFFF"/>
        </w:rPr>
        <w:t>(3), 225.</w:t>
      </w:r>
    </w:p>
    <w:p w14:paraId="0F98121B"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Bagby, R. M., Parker, J. D., &amp; Taylor, G. J. (1994). The Alexithymia Scale: Development of a new self-report method. </w:t>
      </w:r>
      <w:r w:rsidRPr="0028426C">
        <w:rPr>
          <w:rStyle w:val="Emphasis"/>
          <w:rFonts w:ascii="Times New Roman" w:hAnsi="Times New Roman" w:cs="Times New Roman"/>
          <w:sz w:val="24"/>
          <w:szCs w:val="24"/>
        </w:rPr>
        <w:t>Psychiatry Research, 43</w:t>
      </w:r>
      <w:r w:rsidRPr="0028426C">
        <w:rPr>
          <w:rFonts w:ascii="Times New Roman" w:hAnsi="Times New Roman" w:cs="Times New Roman"/>
          <w:sz w:val="24"/>
          <w:szCs w:val="24"/>
        </w:rPr>
        <w:t>(2), 85–102. https://doi.org/10.1016/0165-1781(94)90005-1</w:t>
      </w:r>
    </w:p>
    <w:p w14:paraId="57FB4E27"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333333"/>
          <w:sz w:val="24"/>
          <w:szCs w:val="24"/>
          <w:shd w:val="clear" w:color="auto" w:fill="FFFFFF"/>
        </w:rPr>
        <w:t>Bandini, E., &amp; Maggi, M. (2014). Transphobia. In G. Corona, E. A. Jannini, &amp; M. Maggi (Eds.), </w:t>
      </w:r>
      <w:r w:rsidRPr="0028426C">
        <w:rPr>
          <w:rStyle w:val="Emphasis"/>
          <w:rFonts w:ascii="Times New Roman" w:hAnsi="Times New Roman" w:cs="Times New Roman"/>
          <w:color w:val="333333"/>
          <w:sz w:val="24"/>
          <w:szCs w:val="24"/>
          <w:shd w:val="clear" w:color="auto" w:fill="FFFFFF"/>
        </w:rPr>
        <w:t>Emotional, physical and sexual abuse: Impact in children and social minorities</w:t>
      </w:r>
      <w:r w:rsidRPr="0028426C">
        <w:rPr>
          <w:rFonts w:ascii="Times New Roman" w:hAnsi="Times New Roman" w:cs="Times New Roman"/>
          <w:color w:val="333333"/>
          <w:sz w:val="24"/>
          <w:szCs w:val="24"/>
          <w:shd w:val="clear" w:color="auto" w:fill="FFFFFF"/>
        </w:rPr>
        <w:t> (pp. 49–59). Springer International Publishing/Springer Nature. </w:t>
      </w:r>
      <w:hyperlink r:id="rId14" w:tgtFrame="_blank" w:history="1">
        <w:r w:rsidRPr="0028426C">
          <w:rPr>
            <w:rStyle w:val="Hyperlink"/>
            <w:rFonts w:ascii="Times New Roman" w:hAnsi="Times New Roman" w:cs="Times New Roman"/>
            <w:color w:val="2C72B7"/>
            <w:sz w:val="24"/>
            <w:szCs w:val="24"/>
            <w:shd w:val="clear" w:color="auto" w:fill="FFFFFF"/>
          </w:rPr>
          <w:t>https://doi.org/10.1007/978-3-319-06787-2_4</w:t>
        </w:r>
      </w:hyperlink>
    </w:p>
    <w:p w14:paraId="5EF21EC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Bandura, A. (1971). Vicarious and self-reinforcement processes. </w:t>
      </w:r>
      <w:r w:rsidRPr="0028426C">
        <w:rPr>
          <w:rFonts w:ascii="Times New Roman" w:hAnsi="Times New Roman" w:cs="Times New Roman"/>
          <w:i/>
          <w:iCs/>
          <w:color w:val="222222"/>
          <w:sz w:val="24"/>
          <w:szCs w:val="24"/>
          <w:shd w:val="clear" w:color="auto" w:fill="FFFFFF"/>
        </w:rPr>
        <w:t>The nature of reinforcement</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228278</w:t>
      </w:r>
    </w:p>
    <w:p w14:paraId="0993DF1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Barrett, L. F., Lane, R. D., Sechrest, L., &amp; Schwartz, G. E. (2001). Clustering of emotional experience: A self-report study of alexithymia. </w:t>
      </w:r>
      <w:r w:rsidRPr="0028426C">
        <w:rPr>
          <w:rStyle w:val="Emphasis"/>
          <w:rFonts w:ascii="Times New Roman" w:hAnsi="Times New Roman" w:cs="Times New Roman"/>
          <w:sz w:val="24"/>
          <w:szCs w:val="24"/>
        </w:rPr>
        <w:t>Journal of Personality and Social Psychology, 81</w:t>
      </w:r>
      <w:r w:rsidRPr="0028426C">
        <w:rPr>
          <w:rFonts w:ascii="Times New Roman" w:hAnsi="Times New Roman" w:cs="Times New Roman"/>
          <w:sz w:val="24"/>
          <w:szCs w:val="24"/>
        </w:rPr>
        <w:t>(3), 1130–1141. https://doi.org/10.1037/0022-3514.81.3.1130</w:t>
      </w:r>
    </w:p>
    <w:p w14:paraId="08E20F3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Behera, M. C. (2022). </w:t>
      </w:r>
      <w:r w:rsidRPr="0028426C">
        <w:rPr>
          <w:rFonts w:ascii="Times New Roman" w:eastAsia="Times New Roman" w:hAnsi="Times New Roman" w:cs="Times New Roman"/>
          <w:i/>
          <w:iCs/>
          <w:sz w:val="24"/>
          <w:szCs w:val="24"/>
        </w:rPr>
        <w:t>Transgender in India: Inclusion and social justice</w:t>
      </w:r>
      <w:r w:rsidRPr="0028426C">
        <w:rPr>
          <w:rFonts w:ascii="Times New Roman" w:eastAsia="Times New Roman" w:hAnsi="Times New Roman" w:cs="Times New Roman"/>
          <w:sz w:val="24"/>
          <w:szCs w:val="24"/>
        </w:rPr>
        <w:t>. Routledge India.</w:t>
      </w:r>
    </w:p>
    <w:p w14:paraId="636E3147"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lastRenderedPageBreak/>
        <w:t xml:space="preserve">Bermond, B., </w:t>
      </w:r>
      <w:proofErr w:type="spellStart"/>
      <w:r w:rsidRPr="0028426C">
        <w:rPr>
          <w:rFonts w:ascii="Times New Roman" w:hAnsi="Times New Roman" w:cs="Times New Roman"/>
          <w:sz w:val="24"/>
          <w:szCs w:val="24"/>
        </w:rPr>
        <w:t>Sijtsma</w:t>
      </w:r>
      <w:proofErr w:type="spellEnd"/>
      <w:r w:rsidRPr="0028426C">
        <w:rPr>
          <w:rFonts w:ascii="Times New Roman" w:hAnsi="Times New Roman" w:cs="Times New Roman"/>
          <w:sz w:val="24"/>
          <w:szCs w:val="24"/>
        </w:rPr>
        <w:t xml:space="preserve">, K., van der Horst, F., &amp; Kooiman, C. (2008). The construction and validation of the Bermond-Vorst Alexithymia Questionnaire. </w:t>
      </w:r>
      <w:r w:rsidRPr="0028426C">
        <w:rPr>
          <w:rStyle w:val="Emphasis"/>
          <w:rFonts w:ascii="Times New Roman" w:hAnsi="Times New Roman" w:cs="Times New Roman"/>
          <w:sz w:val="24"/>
          <w:szCs w:val="24"/>
        </w:rPr>
        <w:t>Personality and Individual Differences, 44</w:t>
      </w:r>
      <w:r w:rsidRPr="0028426C">
        <w:rPr>
          <w:rFonts w:ascii="Times New Roman" w:hAnsi="Times New Roman" w:cs="Times New Roman"/>
          <w:sz w:val="24"/>
          <w:szCs w:val="24"/>
        </w:rPr>
        <w:t>(5), 1011–1022. https://doi.org/10.1016/j.paid.2007.11.007</w:t>
      </w:r>
    </w:p>
    <w:p w14:paraId="15656682"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Bettcher, T. M. (2007). Evil deceivers and make-believers: On transphobic violence and the politics of illusion. </w:t>
      </w:r>
      <w:r w:rsidRPr="0028426C">
        <w:rPr>
          <w:rFonts w:ascii="Times New Roman" w:eastAsia="Times New Roman" w:hAnsi="Times New Roman" w:cs="Times New Roman"/>
          <w:i/>
          <w:iCs/>
          <w:sz w:val="24"/>
          <w:szCs w:val="24"/>
        </w:rPr>
        <w:t>Hypatia, 22</w:t>
      </w:r>
      <w:r w:rsidRPr="0028426C">
        <w:rPr>
          <w:rFonts w:ascii="Times New Roman" w:eastAsia="Times New Roman" w:hAnsi="Times New Roman" w:cs="Times New Roman"/>
          <w:sz w:val="24"/>
          <w:szCs w:val="24"/>
        </w:rPr>
        <w:t xml:space="preserve">(3), 43–65. </w:t>
      </w:r>
      <w:hyperlink r:id="rId15" w:history="1">
        <w:r w:rsidRPr="00756054">
          <w:rPr>
            <w:rStyle w:val="Hyperlink"/>
            <w:rFonts w:ascii="Times New Roman" w:eastAsia="Times New Roman" w:hAnsi="Times New Roman" w:cs="Times New Roman"/>
            <w:sz w:val="24"/>
            <w:szCs w:val="24"/>
          </w:rPr>
          <w:t>https://doi.org/10.1111/j.1527-2001.2007.tb01090.x</w:t>
        </w:r>
      </w:hyperlink>
      <w:r>
        <w:rPr>
          <w:rFonts w:ascii="Times New Roman" w:eastAsia="Times New Roman" w:hAnsi="Times New Roman" w:cs="Times New Roman"/>
          <w:sz w:val="24"/>
          <w:szCs w:val="24"/>
        </w:rPr>
        <w:t xml:space="preserve"> </w:t>
      </w:r>
    </w:p>
    <w:p w14:paraId="6E1A4A6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Bird, G., Leighton, J., Press, C., &amp; Heyes, C. (2010). The role of alexithymia in empathy: A neuroimaging study of the neural bases of empathy. </w:t>
      </w:r>
      <w:r w:rsidRPr="0028426C">
        <w:rPr>
          <w:rFonts w:ascii="Times New Roman" w:hAnsi="Times New Roman" w:cs="Times New Roman"/>
          <w:i/>
          <w:iCs/>
          <w:sz w:val="24"/>
          <w:szCs w:val="24"/>
        </w:rPr>
        <w:t>Cerebral Cortex, 20</w:t>
      </w:r>
      <w:r w:rsidRPr="0028426C">
        <w:rPr>
          <w:rFonts w:ascii="Times New Roman" w:hAnsi="Times New Roman" w:cs="Times New Roman"/>
          <w:sz w:val="24"/>
          <w:szCs w:val="24"/>
        </w:rPr>
        <w:t xml:space="preserve">(5), 1305–1313. </w:t>
      </w:r>
      <w:hyperlink r:id="rId16" w:tgtFrame="_new" w:history="1">
        <w:r w:rsidRPr="0028426C">
          <w:rPr>
            <w:rFonts w:ascii="Times New Roman" w:hAnsi="Times New Roman" w:cs="Times New Roman"/>
            <w:color w:val="0000FF"/>
            <w:sz w:val="24"/>
            <w:szCs w:val="24"/>
            <w:u w:val="single"/>
          </w:rPr>
          <w:t>https://doi.org/10.1093/cercor/bhp189</w:t>
        </w:r>
      </w:hyperlink>
    </w:p>
    <w:p w14:paraId="01A59F66"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Birtel, M. D., Di Bernardo, G. A., Hobson, H., Collins-Quirk, A., &amp; </w:t>
      </w:r>
      <w:proofErr w:type="spellStart"/>
      <w:r w:rsidRPr="0028426C">
        <w:rPr>
          <w:rFonts w:ascii="Times New Roman" w:hAnsi="Times New Roman" w:cs="Times New Roman"/>
          <w:sz w:val="24"/>
          <w:szCs w:val="24"/>
        </w:rPr>
        <w:t>Vezzali</w:t>
      </w:r>
      <w:proofErr w:type="spellEnd"/>
      <w:r w:rsidRPr="0028426C">
        <w:rPr>
          <w:rFonts w:ascii="Times New Roman" w:hAnsi="Times New Roman" w:cs="Times New Roman"/>
          <w:sz w:val="24"/>
          <w:szCs w:val="24"/>
        </w:rPr>
        <w:t xml:space="preserve">, L. (2023). Avoiding affect in intergroup relations: The roles of dispositional and intergroup empathy in the relationship between alexithymia and prejudice. </w:t>
      </w:r>
      <w:r w:rsidRPr="0028426C">
        <w:rPr>
          <w:rFonts w:ascii="Times New Roman" w:hAnsi="Times New Roman" w:cs="Times New Roman"/>
          <w:i/>
          <w:iCs/>
          <w:sz w:val="24"/>
          <w:szCs w:val="24"/>
        </w:rPr>
        <w:t>Journal of Applied Social Psychology, 53</w:t>
      </w:r>
      <w:r w:rsidRPr="0028426C">
        <w:rPr>
          <w:rFonts w:ascii="Times New Roman" w:hAnsi="Times New Roman" w:cs="Times New Roman"/>
          <w:sz w:val="24"/>
          <w:szCs w:val="24"/>
        </w:rPr>
        <w:t xml:space="preserve">(1), 1–16. </w:t>
      </w:r>
      <w:hyperlink r:id="rId17" w:tgtFrame="_new" w:history="1">
        <w:r w:rsidRPr="0028426C">
          <w:rPr>
            <w:rFonts w:ascii="Times New Roman" w:hAnsi="Times New Roman" w:cs="Times New Roman"/>
            <w:color w:val="0000FF"/>
            <w:sz w:val="24"/>
            <w:szCs w:val="24"/>
            <w:u w:val="single"/>
          </w:rPr>
          <w:t>https://doi.org/10.1111/jasp.12942</w:t>
        </w:r>
      </w:hyperlink>
      <w:r w:rsidRPr="0028426C">
        <w:rPr>
          <w:rFonts w:ascii="Times New Roman" w:hAnsi="Times New Roman" w:cs="Times New Roman"/>
          <w:sz w:val="24"/>
          <w:szCs w:val="24"/>
        </w:rPr>
        <w:t>​</w:t>
      </w:r>
    </w:p>
    <w:p w14:paraId="49E0CC45"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Butler, J. (2002). </w:t>
      </w:r>
      <w:r w:rsidRPr="0028426C">
        <w:rPr>
          <w:rStyle w:val="Emphasis"/>
          <w:rFonts w:ascii="Times New Roman" w:hAnsi="Times New Roman" w:cs="Times New Roman"/>
          <w:sz w:val="24"/>
          <w:szCs w:val="24"/>
        </w:rPr>
        <w:t>Gender trouble</w:t>
      </w:r>
      <w:r w:rsidRPr="0028426C">
        <w:rPr>
          <w:rFonts w:ascii="Times New Roman" w:hAnsi="Times New Roman" w:cs="Times New Roman"/>
          <w:sz w:val="24"/>
          <w:szCs w:val="24"/>
        </w:rPr>
        <w:t xml:space="preserve"> (2nd ed.). Routledge.</w:t>
      </w:r>
    </w:p>
    <w:p w14:paraId="50094018"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Butler, J. (2004). </w:t>
      </w:r>
      <w:r w:rsidRPr="0028426C">
        <w:rPr>
          <w:rFonts w:ascii="Times New Roman" w:eastAsia="Times New Roman" w:hAnsi="Times New Roman" w:cs="Times New Roman"/>
          <w:i/>
          <w:iCs/>
          <w:sz w:val="24"/>
          <w:szCs w:val="24"/>
        </w:rPr>
        <w:t>Undoing gender</w:t>
      </w:r>
      <w:r w:rsidRPr="0028426C">
        <w:rPr>
          <w:rFonts w:ascii="Times New Roman" w:eastAsia="Times New Roman" w:hAnsi="Times New Roman" w:cs="Times New Roman"/>
          <w:sz w:val="24"/>
          <w:szCs w:val="24"/>
        </w:rPr>
        <w:t>. Routledge.</w:t>
      </w:r>
    </w:p>
    <w:p w14:paraId="0DECB389"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Bronfenbrenner, U. (1979). </w:t>
      </w:r>
      <w:r w:rsidRPr="0028426C">
        <w:rPr>
          <w:rFonts w:ascii="Times New Roman" w:hAnsi="Times New Roman" w:cs="Times New Roman"/>
          <w:i/>
          <w:iCs/>
          <w:color w:val="222222"/>
          <w:sz w:val="24"/>
          <w:szCs w:val="24"/>
          <w:shd w:val="clear" w:color="auto" w:fill="FFFFFF"/>
        </w:rPr>
        <w:t>The ecology of human development: Experiments by nature and design</w:t>
      </w:r>
      <w:r w:rsidRPr="0028426C">
        <w:rPr>
          <w:rFonts w:ascii="Times New Roman" w:hAnsi="Times New Roman" w:cs="Times New Roman"/>
          <w:color w:val="222222"/>
          <w:sz w:val="24"/>
          <w:szCs w:val="24"/>
          <w:shd w:val="clear" w:color="auto" w:fill="FFFFFF"/>
        </w:rPr>
        <w:t>. Harvard university press.</w:t>
      </w:r>
    </w:p>
    <w:p w14:paraId="4CB047F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t>Cabrera, C., Dueñas, J.-M., Cosi, S., &amp; Morales-Vives, F. (2022). Transphobia and Gender Bashing in Adolescence and Emerging Adulthood: The Role of Individual Differences and Psychosocial Variables. </w:t>
      </w:r>
      <w:r w:rsidRPr="0028426C">
        <w:rPr>
          <w:rFonts w:ascii="Times New Roman" w:hAnsi="Times New Roman" w:cs="Times New Roman"/>
          <w:i/>
          <w:iCs/>
          <w:color w:val="333333"/>
          <w:sz w:val="24"/>
          <w:szCs w:val="24"/>
          <w:shd w:val="clear" w:color="auto" w:fill="FFFFFF"/>
        </w:rPr>
        <w:t>Psychological Reports</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125</w:t>
      </w:r>
      <w:r w:rsidRPr="0028426C">
        <w:rPr>
          <w:rFonts w:ascii="Times New Roman" w:hAnsi="Times New Roman" w:cs="Times New Roman"/>
          <w:color w:val="333333"/>
          <w:sz w:val="24"/>
          <w:szCs w:val="24"/>
          <w:shd w:val="clear" w:color="auto" w:fill="FFFFFF"/>
        </w:rPr>
        <w:t>(3), 1648-1666. </w:t>
      </w:r>
      <w:hyperlink r:id="rId18" w:history="1">
        <w:r w:rsidRPr="0028426C">
          <w:rPr>
            <w:rFonts w:ascii="Times New Roman" w:hAnsi="Times New Roman" w:cs="Times New Roman"/>
            <w:color w:val="046FF8"/>
            <w:sz w:val="24"/>
            <w:szCs w:val="24"/>
            <w:u w:val="single"/>
            <w:shd w:val="clear" w:color="auto" w:fill="FFFFFF"/>
          </w:rPr>
          <w:t>https://doi.org/10.1177/00332941211002130</w:t>
        </w:r>
      </w:hyperlink>
    </w:p>
    <w:p w14:paraId="21C4B2B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Cerqueira, A., &amp; Almeida, T. C. (2023). Adverse childhood experiences: relationship with empathy and alexithymia. </w:t>
      </w:r>
      <w:r w:rsidRPr="0028426C">
        <w:rPr>
          <w:rFonts w:ascii="Times New Roman" w:hAnsi="Times New Roman" w:cs="Times New Roman"/>
          <w:i/>
          <w:iCs/>
          <w:color w:val="222222"/>
          <w:sz w:val="24"/>
          <w:szCs w:val="24"/>
          <w:shd w:val="clear" w:color="auto" w:fill="FFFFFF"/>
        </w:rPr>
        <w:t>Journal of Child &amp; Adolescent Trauma</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16</w:t>
      </w:r>
      <w:r w:rsidRPr="0028426C">
        <w:rPr>
          <w:rFonts w:ascii="Times New Roman" w:hAnsi="Times New Roman" w:cs="Times New Roman"/>
          <w:color w:val="222222"/>
          <w:sz w:val="24"/>
          <w:szCs w:val="24"/>
          <w:shd w:val="clear" w:color="auto" w:fill="FFFFFF"/>
        </w:rPr>
        <w:t>(3), 559-568.</w:t>
      </w:r>
    </w:p>
    <w:p w14:paraId="1209830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 xml:space="preserve">Chein, J., Albert, D., O’Brien, L., </w:t>
      </w:r>
      <w:proofErr w:type="spellStart"/>
      <w:r w:rsidRPr="0028426C">
        <w:rPr>
          <w:rFonts w:ascii="Times New Roman" w:hAnsi="Times New Roman" w:cs="Times New Roman"/>
          <w:color w:val="222222"/>
          <w:sz w:val="24"/>
          <w:szCs w:val="24"/>
          <w:shd w:val="clear" w:color="auto" w:fill="FFFFFF"/>
        </w:rPr>
        <w:t>Uckert</w:t>
      </w:r>
      <w:proofErr w:type="spellEnd"/>
      <w:r w:rsidRPr="0028426C">
        <w:rPr>
          <w:rFonts w:ascii="Times New Roman" w:hAnsi="Times New Roman" w:cs="Times New Roman"/>
          <w:color w:val="222222"/>
          <w:sz w:val="24"/>
          <w:szCs w:val="24"/>
          <w:shd w:val="clear" w:color="auto" w:fill="FFFFFF"/>
        </w:rPr>
        <w:t>, K., &amp; Steinberg, L. (2011). Peers increase adolescent risk taking by enhancing activity in the brain’s reward circuitry.</w:t>
      </w:r>
    </w:p>
    <w:p w14:paraId="11F48E3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lastRenderedPageBreak/>
        <w:t>Costa, P. A., &amp; Davies, M. (2012). Portuguese Adolescents’ Attitudes Toward Sexual Minorities: Transphobia, Homophobia, and Gender Role Beliefs.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59</w:t>
      </w:r>
      <w:r w:rsidRPr="0028426C">
        <w:rPr>
          <w:rFonts w:ascii="Times New Roman" w:hAnsi="Times New Roman" w:cs="Times New Roman"/>
          <w:color w:val="333333"/>
          <w:sz w:val="24"/>
          <w:szCs w:val="24"/>
          <w:shd w:val="clear" w:color="auto" w:fill="FFFFFF"/>
        </w:rPr>
        <w:t xml:space="preserve">(10), 1424–1442. </w:t>
      </w:r>
      <w:hyperlink r:id="rId19" w:history="1">
        <w:r w:rsidRPr="0028426C">
          <w:rPr>
            <w:rStyle w:val="Hyperlink"/>
            <w:rFonts w:ascii="Times New Roman" w:hAnsi="Times New Roman" w:cs="Times New Roman"/>
            <w:sz w:val="24"/>
            <w:szCs w:val="24"/>
            <w:shd w:val="clear" w:color="auto" w:fill="FFFFFF"/>
          </w:rPr>
          <w:t>https://doi.org/10.1080/00918369.2012.724944</w:t>
        </w:r>
      </w:hyperlink>
    </w:p>
    <w:p w14:paraId="6E01AD2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Cottrell, C. A., &amp; Neuberg, S. L. (2005). Different emotional reactions to different groups: A </w:t>
      </w:r>
      <w:proofErr w:type="spellStart"/>
      <w:r w:rsidRPr="0028426C">
        <w:rPr>
          <w:rFonts w:ascii="Times New Roman" w:hAnsi="Times New Roman" w:cs="Times New Roman"/>
          <w:sz w:val="24"/>
          <w:szCs w:val="24"/>
        </w:rPr>
        <w:t>sociofunctional</w:t>
      </w:r>
      <w:proofErr w:type="spellEnd"/>
      <w:r w:rsidRPr="0028426C">
        <w:rPr>
          <w:rFonts w:ascii="Times New Roman" w:hAnsi="Times New Roman" w:cs="Times New Roman"/>
          <w:sz w:val="24"/>
          <w:szCs w:val="24"/>
        </w:rPr>
        <w:t xml:space="preserve"> threat-based approach to “prejudice.” </w:t>
      </w:r>
      <w:r w:rsidRPr="0028426C">
        <w:rPr>
          <w:rStyle w:val="Emphasis"/>
          <w:rFonts w:ascii="Times New Roman" w:hAnsi="Times New Roman" w:cs="Times New Roman"/>
          <w:sz w:val="24"/>
          <w:szCs w:val="24"/>
        </w:rPr>
        <w:t>Journal of Personality and Social Psychology, 88</w:t>
      </w:r>
      <w:r w:rsidRPr="0028426C">
        <w:rPr>
          <w:rFonts w:ascii="Times New Roman" w:hAnsi="Times New Roman" w:cs="Times New Roman"/>
          <w:sz w:val="24"/>
          <w:szCs w:val="24"/>
        </w:rPr>
        <w:t xml:space="preserve">(5), 770–789. </w:t>
      </w:r>
      <w:hyperlink r:id="rId20" w:history="1">
        <w:r w:rsidRPr="0028426C">
          <w:rPr>
            <w:rStyle w:val="Hyperlink"/>
            <w:rFonts w:ascii="Times New Roman" w:hAnsi="Times New Roman" w:cs="Times New Roman"/>
            <w:sz w:val="24"/>
            <w:szCs w:val="24"/>
          </w:rPr>
          <w:t>https://doi.org/10.1037/0022-3514.88.5.770</w:t>
        </w:r>
      </w:hyperlink>
    </w:p>
    <w:p w14:paraId="515D6A3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Doehne, M., von Grundherr, M., &amp; Schäfer, M. (2018). Peer influence in bullying: The autonomy‐enhancing effect of moral competence. </w:t>
      </w:r>
      <w:r w:rsidRPr="0028426C">
        <w:rPr>
          <w:rFonts w:ascii="Times New Roman" w:hAnsi="Times New Roman" w:cs="Times New Roman"/>
          <w:i/>
          <w:iCs/>
          <w:color w:val="222222"/>
          <w:sz w:val="24"/>
          <w:szCs w:val="24"/>
          <w:shd w:val="clear" w:color="auto" w:fill="FFFFFF"/>
        </w:rPr>
        <w:t>Aggressive behavior</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44</w:t>
      </w:r>
      <w:r w:rsidRPr="0028426C">
        <w:rPr>
          <w:rFonts w:ascii="Times New Roman" w:hAnsi="Times New Roman" w:cs="Times New Roman"/>
          <w:color w:val="222222"/>
          <w:sz w:val="24"/>
          <w:szCs w:val="24"/>
          <w:shd w:val="clear" w:color="auto" w:fill="FFFFFF"/>
        </w:rPr>
        <w:t>(6), 591-600.</w:t>
      </w:r>
    </w:p>
    <w:p w14:paraId="07C0BC4A"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Esteban Mora, J., Morales Rodríguez, F. M., &amp; Martínez Ramón, J. P. (2022). Attitudes toward Transsexuality, Empathy, and Bullying in Young Population. </w:t>
      </w:r>
      <w:r w:rsidRPr="0028426C">
        <w:rPr>
          <w:rStyle w:val="Emphasis"/>
          <w:rFonts w:ascii="Times New Roman" w:hAnsi="Times New Roman" w:cs="Times New Roman"/>
          <w:color w:val="222222"/>
          <w:sz w:val="24"/>
          <w:szCs w:val="24"/>
          <w:shd w:val="clear" w:color="auto" w:fill="FFFFFF"/>
        </w:rPr>
        <w:t>International Journal of Environmental Research and Public Health</w:t>
      </w:r>
      <w:r w:rsidRPr="0028426C">
        <w:rPr>
          <w:rFonts w:ascii="Times New Roman" w:hAnsi="Times New Roman" w:cs="Times New Roman"/>
          <w:color w:val="222222"/>
          <w:sz w:val="24"/>
          <w:szCs w:val="24"/>
          <w:shd w:val="clear" w:color="auto" w:fill="FFFFFF"/>
        </w:rPr>
        <w:t>, </w:t>
      </w:r>
      <w:r w:rsidRPr="0028426C">
        <w:rPr>
          <w:rStyle w:val="Emphasis"/>
          <w:rFonts w:ascii="Times New Roman" w:hAnsi="Times New Roman" w:cs="Times New Roman"/>
          <w:color w:val="222222"/>
          <w:sz w:val="24"/>
          <w:szCs w:val="24"/>
          <w:shd w:val="clear" w:color="auto" w:fill="FFFFFF"/>
        </w:rPr>
        <w:t>19</w:t>
      </w:r>
      <w:r w:rsidRPr="0028426C">
        <w:rPr>
          <w:rFonts w:ascii="Times New Roman" w:hAnsi="Times New Roman" w:cs="Times New Roman"/>
          <w:color w:val="222222"/>
          <w:sz w:val="24"/>
          <w:szCs w:val="24"/>
          <w:shd w:val="clear" w:color="auto" w:fill="FFFFFF"/>
        </w:rPr>
        <w:t xml:space="preserve">(7), 3849. </w:t>
      </w:r>
      <w:hyperlink r:id="rId21" w:history="1">
        <w:r w:rsidRPr="0028426C">
          <w:rPr>
            <w:rStyle w:val="Hyperlink"/>
            <w:rFonts w:ascii="Times New Roman" w:hAnsi="Times New Roman" w:cs="Times New Roman"/>
            <w:sz w:val="24"/>
            <w:szCs w:val="24"/>
            <w:shd w:val="clear" w:color="auto" w:fill="FFFFFF"/>
          </w:rPr>
          <w:t>https://doi.org/10.3390/ijerph19073849</w:t>
        </w:r>
      </w:hyperlink>
    </w:p>
    <w:p w14:paraId="0804237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Flores, A. R., Herman, J. L., &amp; Mallory, C. (2021). </w:t>
      </w:r>
      <w:r w:rsidRPr="0028426C">
        <w:rPr>
          <w:rFonts w:ascii="Times New Roman" w:eastAsia="Times New Roman" w:hAnsi="Times New Roman" w:cs="Times New Roman"/>
          <w:i/>
          <w:iCs/>
          <w:sz w:val="24"/>
          <w:szCs w:val="24"/>
        </w:rPr>
        <w:t>The impact of transphobia on mental health outcomes among transgender individuals</w:t>
      </w:r>
      <w:r w:rsidRPr="0028426C">
        <w:rPr>
          <w:rFonts w:ascii="Times New Roman" w:eastAsia="Times New Roman" w:hAnsi="Times New Roman" w:cs="Times New Roman"/>
          <w:sz w:val="24"/>
          <w:szCs w:val="24"/>
        </w:rPr>
        <w:t xml:space="preserve">. The Williams Institute. </w:t>
      </w:r>
      <w:hyperlink r:id="rId22" w:history="1">
        <w:r w:rsidRPr="0028426C">
          <w:rPr>
            <w:rStyle w:val="Hyperlink"/>
            <w:rFonts w:ascii="Times New Roman" w:eastAsia="Times New Roman" w:hAnsi="Times New Roman" w:cs="Times New Roman"/>
            <w:sz w:val="24"/>
            <w:szCs w:val="24"/>
          </w:rPr>
          <w:t>https://williamsinstitute.law.ucla.edu/publications/</w:t>
        </w:r>
      </w:hyperlink>
    </w:p>
    <w:p w14:paraId="21D1A277"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Frisch, L. (2013). The impact of emotional recognition on prejudice and discrimination (Honors thesis). University of Michigan, Ann Arbor</w:t>
      </w:r>
    </w:p>
    <w:p w14:paraId="025269F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 xml:space="preserve">Giletta, M., </w:t>
      </w:r>
      <w:proofErr w:type="spellStart"/>
      <w:r w:rsidRPr="0028426C">
        <w:rPr>
          <w:rFonts w:ascii="Times New Roman" w:hAnsi="Times New Roman" w:cs="Times New Roman"/>
          <w:color w:val="222222"/>
          <w:sz w:val="24"/>
          <w:szCs w:val="24"/>
          <w:shd w:val="clear" w:color="auto" w:fill="FFFFFF"/>
        </w:rPr>
        <w:t>Choukas</w:t>
      </w:r>
      <w:proofErr w:type="spellEnd"/>
      <w:r w:rsidRPr="0028426C">
        <w:rPr>
          <w:rFonts w:ascii="Times New Roman" w:hAnsi="Times New Roman" w:cs="Times New Roman"/>
          <w:color w:val="222222"/>
          <w:sz w:val="24"/>
          <w:szCs w:val="24"/>
          <w:shd w:val="clear" w:color="auto" w:fill="FFFFFF"/>
        </w:rPr>
        <w:t xml:space="preserve">-Bradley, S., Maes, M., Linthicum, K. P., Card, N. A., &amp; </w:t>
      </w:r>
      <w:proofErr w:type="spellStart"/>
      <w:r w:rsidRPr="0028426C">
        <w:rPr>
          <w:rFonts w:ascii="Times New Roman" w:hAnsi="Times New Roman" w:cs="Times New Roman"/>
          <w:color w:val="222222"/>
          <w:sz w:val="24"/>
          <w:szCs w:val="24"/>
          <w:shd w:val="clear" w:color="auto" w:fill="FFFFFF"/>
        </w:rPr>
        <w:t>Prinstein</w:t>
      </w:r>
      <w:proofErr w:type="spellEnd"/>
      <w:r w:rsidRPr="0028426C">
        <w:rPr>
          <w:rFonts w:ascii="Times New Roman" w:hAnsi="Times New Roman" w:cs="Times New Roman"/>
          <w:color w:val="222222"/>
          <w:sz w:val="24"/>
          <w:szCs w:val="24"/>
          <w:shd w:val="clear" w:color="auto" w:fill="FFFFFF"/>
        </w:rPr>
        <w:t>, M. J. (2021). A meta-analysis of longitudinal peer influence effects in childhood and adolescence. </w:t>
      </w:r>
      <w:r w:rsidRPr="0028426C">
        <w:rPr>
          <w:rFonts w:ascii="Times New Roman" w:hAnsi="Times New Roman" w:cs="Times New Roman"/>
          <w:i/>
          <w:iCs/>
          <w:color w:val="222222"/>
          <w:sz w:val="24"/>
          <w:szCs w:val="24"/>
          <w:shd w:val="clear" w:color="auto" w:fill="FFFFFF"/>
        </w:rPr>
        <w:t>Psychological Bulletin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147</w:t>
      </w:r>
      <w:r w:rsidRPr="0028426C">
        <w:rPr>
          <w:rFonts w:ascii="Times New Roman" w:hAnsi="Times New Roman" w:cs="Times New Roman"/>
          <w:color w:val="222222"/>
          <w:sz w:val="24"/>
          <w:szCs w:val="24"/>
          <w:shd w:val="clear" w:color="auto" w:fill="FFFFFF"/>
        </w:rPr>
        <w:t>(7), 719.</w:t>
      </w:r>
    </w:p>
    <w:p w14:paraId="2EB85EE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Grant, J. M., Mottet, L. A., Tanis, J., Herman, J. L., Harrison, J., &amp; Keisling, M. (2011). </w:t>
      </w:r>
      <w:r w:rsidRPr="0028426C">
        <w:rPr>
          <w:rFonts w:ascii="Times New Roman" w:eastAsia="Times New Roman" w:hAnsi="Times New Roman" w:cs="Times New Roman"/>
          <w:i/>
          <w:iCs/>
          <w:sz w:val="24"/>
          <w:szCs w:val="24"/>
        </w:rPr>
        <w:t>Injustice at every turn: A report of the National Transgender Discrimination Survey</w:t>
      </w:r>
      <w:r w:rsidRPr="0028426C">
        <w:rPr>
          <w:rFonts w:ascii="Times New Roman" w:eastAsia="Times New Roman" w:hAnsi="Times New Roman" w:cs="Times New Roman"/>
          <w:sz w:val="24"/>
          <w:szCs w:val="24"/>
        </w:rPr>
        <w:t xml:space="preserve">. National Center for Transgender Equality and the National Gay and Lesbian Task Force. </w:t>
      </w:r>
      <w:hyperlink r:id="rId23" w:history="1">
        <w:r w:rsidRPr="0028426C">
          <w:rPr>
            <w:rStyle w:val="Hyperlink"/>
            <w:rFonts w:ascii="Times New Roman" w:eastAsia="Times New Roman" w:hAnsi="Times New Roman" w:cs="Times New Roman"/>
            <w:sz w:val="24"/>
            <w:szCs w:val="24"/>
          </w:rPr>
          <w:t>https://transequality.org/sites/default/files/docs/resources/NTDS_Report.pdf</w:t>
        </w:r>
      </w:hyperlink>
    </w:p>
    <w:p w14:paraId="721CCD62"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hAnsi="Times New Roman" w:cs="Times New Roman"/>
          <w:color w:val="222222"/>
          <w:sz w:val="24"/>
          <w:szCs w:val="24"/>
          <w:shd w:val="clear" w:color="auto" w:fill="FFFFFF"/>
        </w:rPr>
        <w:t>Guzzo, G., Pace, U., Lo Cascio, V., Craparo, G., &amp; Schimmenti, A. (2014). Bullying victimization, post-traumatic symptoms, and the mediating role of alexithymia. </w:t>
      </w:r>
      <w:r w:rsidRPr="0028426C">
        <w:rPr>
          <w:rFonts w:ascii="Times New Roman" w:hAnsi="Times New Roman" w:cs="Times New Roman"/>
          <w:i/>
          <w:iCs/>
          <w:color w:val="222222"/>
          <w:sz w:val="24"/>
          <w:szCs w:val="24"/>
          <w:shd w:val="clear" w:color="auto" w:fill="FFFFFF"/>
        </w:rPr>
        <w:t>Child Indicators Research</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7</w:t>
      </w:r>
      <w:r w:rsidRPr="0028426C">
        <w:rPr>
          <w:rFonts w:ascii="Times New Roman" w:hAnsi="Times New Roman" w:cs="Times New Roman"/>
          <w:color w:val="222222"/>
          <w:sz w:val="24"/>
          <w:szCs w:val="24"/>
          <w:shd w:val="clear" w:color="auto" w:fill="FFFFFF"/>
        </w:rPr>
        <w:t>, 141-153.</w:t>
      </w:r>
    </w:p>
    <w:p w14:paraId="56000BC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lastRenderedPageBreak/>
        <w:t>Hendricks, M. L., &amp; Testa, R. J. (2012). A conceptual framework for clinical work with transgender and gender nonconforming clients: An adaptation of the Minority Stress Model. </w:t>
      </w:r>
      <w:r w:rsidRPr="0028426C">
        <w:rPr>
          <w:rFonts w:ascii="Times New Roman" w:hAnsi="Times New Roman" w:cs="Times New Roman"/>
          <w:i/>
          <w:iCs/>
          <w:color w:val="333333"/>
          <w:sz w:val="24"/>
          <w:szCs w:val="24"/>
          <w:shd w:val="clear" w:color="auto" w:fill="FFFFFF"/>
        </w:rPr>
        <w:t>Professional Psychology: Research and Practice, 43</w:t>
      </w:r>
      <w:r w:rsidRPr="0028426C">
        <w:rPr>
          <w:rFonts w:ascii="Times New Roman" w:hAnsi="Times New Roman" w:cs="Times New Roman"/>
          <w:color w:val="333333"/>
          <w:sz w:val="24"/>
          <w:szCs w:val="24"/>
          <w:shd w:val="clear" w:color="auto" w:fill="FFFFFF"/>
        </w:rPr>
        <w:t>(5), 460–467. </w:t>
      </w:r>
      <w:hyperlink r:id="rId24" w:tgtFrame="_blank" w:history="1">
        <w:r w:rsidRPr="0028426C">
          <w:rPr>
            <w:rFonts w:ascii="Times New Roman" w:hAnsi="Times New Roman" w:cs="Times New Roman"/>
            <w:color w:val="2C72B7"/>
            <w:sz w:val="24"/>
            <w:szCs w:val="24"/>
            <w:shd w:val="clear" w:color="auto" w:fill="FFFFFF"/>
          </w:rPr>
          <w:t>https://doi.org/10.1037/a0029597</w:t>
        </w:r>
      </w:hyperlink>
    </w:p>
    <w:p w14:paraId="5AD1CA8E"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eastAsia="Times New Roman" w:hAnsi="Times New Roman" w:cs="Times New Roman"/>
          <w:sz w:val="24"/>
          <w:szCs w:val="24"/>
        </w:rPr>
        <w:t xml:space="preserve">Herek, G. M. (2007). Confronting sexual stigma and prejudice: Theory and practice. </w:t>
      </w:r>
      <w:r w:rsidRPr="0028426C">
        <w:rPr>
          <w:rFonts w:ascii="Times New Roman" w:eastAsia="Times New Roman" w:hAnsi="Times New Roman" w:cs="Times New Roman"/>
          <w:i/>
          <w:iCs/>
          <w:sz w:val="24"/>
          <w:szCs w:val="24"/>
        </w:rPr>
        <w:t>Journal of Social Issues, 63</w:t>
      </w:r>
      <w:r w:rsidRPr="0028426C">
        <w:rPr>
          <w:rFonts w:ascii="Times New Roman" w:eastAsia="Times New Roman" w:hAnsi="Times New Roman" w:cs="Times New Roman"/>
          <w:sz w:val="24"/>
          <w:szCs w:val="24"/>
        </w:rPr>
        <w:t>(4), 905–925. https://doi.org/10.1111/j.1540-4560.2007.00544.x</w:t>
      </w:r>
    </w:p>
    <w:p w14:paraId="3D5498E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Hill, M. S. (2002). The Genderism and Transphobia Scale: Development and validation of a new scale to measure gender and transgender prejudice. </w:t>
      </w:r>
      <w:r w:rsidRPr="0028426C">
        <w:rPr>
          <w:rStyle w:val="Emphasis"/>
          <w:rFonts w:ascii="Times New Roman" w:hAnsi="Times New Roman" w:cs="Times New Roman"/>
          <w:sz w:val="24"/>
          <w:szCs w:val="24"/>
        </w:rPr>
        <w:t>Sex Roles</w:t>
      </w:r>
      <w:r w:rsidRPr="0028426C">
        <w:rPr>
          <w:rFonts w:ascii="Times New Roman" w:hAnsi="Times New Roman" w:cs="Times New Roman"/>
          <w:sz w:val="24"/>
          <w:szCs w:val="24"/>
        </w:rPr>
        <w:t>, 46(11-12), 453-470.</w:t>
      </w:r>
    </w:p>
    <w:p w14:paraId="717BB9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t>Hjerm</w:t>
      </w:r>
      <w:proofErr w:type="spellEnd"/>
      <w:r w:rsidRPr="0028426C">
        <w:rPr>
          <w:rFonts w:ascii="Times New Roman" w:hAnsi="Times New Roman" w:cs="Times New Roman"/>
          <w:sz w:val="24"/>
          <w:szCs w:val="24"/>
        </w:rPr>
        <w:t xml:space="preserve">, M., Eger, M. A., &amp; Danell, R. (2018). Peer attitudes and the development of prejudice in adolescence. </w:t>
      </w:r>
      <w:r w:rsidRPr="0028426C">
        <w:rPr>
          <w:rFonts w:ascii="Times New Roman" w:hAnsi="Times New Roman" w:cs="Times New Roman"/>
          <w:i/>
          <w:iCs/>
          <w:sz w:val="24"/>
          <w:szCs w:val="24"/>
        </w:rPr>
        <w:t>Socius: Sociological Research for a Dynamic World, 4</w:t>
      </w:r>
      <w:r w:rsidRPr="0028426C">
        <w:rPr>
          <w:rFonts w:ascii="Times New Roman" w:hAnsi="Times New Roman" w:cs="Times New Roman"/>
          <w:sz w:val="24"/>
          <w:szCs w:val="24"/>
        </w:rPr>
        <w:t xml:space="preserve">, 4111. </w:t>
      </w:r>
      <w:hyperlink r:id="rId25" w:tgtFrame="_new" w:history="1">
        <w:r w:rsidRPr="0028426C">
          <w:rPr>
            <w:rFonts w:ascii="Times New Roman" w:hAnsi="Times New Roman" w:cs="Times New Roman"/>
            <w:color w:val="0000FF"/>
            <w:sz w:val="24"/>
            <w:szCs w:val="24"/>
            <w:u w:val="single"/>
          </w:rPr>
          <w:t>https://doi.org/10.1177/2378023118774111</w:t>
        </w:r>
      </w:hyperlink>
    </w:p>
    <w:p w14:paraId="327AED14"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Hogeveen, J., Grafman, J., &amp; Kable, J. W. (2019). Acquired alexithymia following damage to the anterior insula. </w:t>
      </w:r>
      <w:proofErr w:type="spellStart"/>
      <w:r w:rsidRPr="0028426C">
        <w:rPr>
          <w:rFonts w:ascii="Times New Roman" w:hAnsi="Times New Roman" w:cs="Times New Roman"/>
          <w:i/>
          <w:iCs/>
          <w:sz w:val="24"/>
          <w:szCs w:val="24"/>
        </w:rPr>
        <w:t>Neuropsychologia</w:t>
      </w:r>
      <w:proofErr w:type="spellEnd"/>
      <w:r w:rsidRPr="0028426C">
        <w:rPr>
          <w:rFonts w:ascii="Times New Roman" w:hAnsi="Times New Roman" w:cs="Times New Roman"/>
          <w:i/>
          <w:iCs/>
          <w:sz w:val="24"/>
          <w:szCs w:val="24"/>
        </w:rPr>
        <w:t>, 129</w:t>
      </w:r>
      <w:r w:rsidRPr="0028426C">
        <w:rPr>
          <w:rFonts w:ascii="Times New Roman" w:hAnsi="Times New Roman" w:cs="Times New Roman"/>
          <w:sz w:val="24"/>
          <w:szCs w:val="24"/>
        </w:rPr>
        <w:t xml:space="preserve">, 1–8. </w:t>
      </w:r>
      <w:hyperlink r:id="rId26" w:tgtFrame="_new" w:history="1">
        <w:r w:rsidRPr="0028426C">
          <w:rPr>
            <w:rFonts w:ascii="Times New Roman" w:hAnsi="Times New Roman" w:cs="Times New Roman"/>
            <w:color w:val="0000FF"/>
            <w:sz w:val="24"/>
            <w:szCs w:val="24"/>
            <w:u w:val="single"/>
          </w:rPr>
          <w:t>https://doi.org/10.1016/j.neuropsychologia.2019.03.010</w:t>
        </w:r>
      </w:hyperlink>
    </w:p>
    <w:p w14:paraId="30E5DEED"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Kandel, D. B. (1978). Homophily, selection, and socialization in adolescent friendships. </w:t>
      </w:r>
      <w:r w:rsidRPr="0028426C">
        <w:rPr>
          <w:rStyle w:val="Emphasis"/>
          <w:rFonts w:ascii="Times New Roman" w:hAnsi="Times New Roman" w:cs="Times New Roman"/>
          <w:sz w:val="24"/>
          <w:szCs w:val="24"/>
        </w:rPr>
        <w:t>American Journal of Sociology, 84</w:t>
      </w:r>
      <w:r w:rsidRPr="0028426C">
        <w:rPr>
          <w:rFonts w:ascii="Times New Roman" w:hAnsi="Times New Roman" w:cs="Times New Roman"/>
          <w:sz w:val="24"/>
          <w:szCs w:val="24"/>
        </w:rPr>
        <w:t>(2), 427–436. https://doi.org/10.1086/226792</w:t>
      </w:r>
    </w:p>
    <w:p w14:paraId="7DA5E89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King, E. B., Reilly, C., &amp; Hebl, M. R. (2009). </w:t>
      </w:r>
      <w:r w:rsidRPr="0028426C">
        <w:rPr>
          <w:rStyle w:val="Emphasis"/>
          <w:rFonts w:ascii="Times New Roman" w:hAnsi="Times New Roman" w:cs="Times New Roman"/>
          <w:sz w:val="24"/>
          <w:szCs w:val="24"/>
        </w:rPr>
        <w:t>The best of times, the worst of times: Exploring dual perspectives of “coming out” in the workplace.</w:t>
      </w:r>
      <w:r w:rsidRPr="0028426C">
        <w:rPr>
          <w:rFonts w:ascii="Times New Roman" w:hAnsi="Times New Roman" w:cs="Times New Roman"/>
          <w:sz w:val="24"/>
          <w:szCs w:val="24"/>
        </w:rPr>
        <w:t xml:space="preserve"> Group &amp; Organization Management, 34(5), 566–593. </w:t>
      </w:r>
      <w:hyperlink r:id="rId27" w:history="1">
        <w:r w:rsidRPr="0028426C">
          <w:rPr>
            <w:rStyle w:val="Hyperlink"/>
            <w:rFonts w:ascii="Times New Roman" w:hAnsi="Times New Roman" w:cs="Times New Roman"/>
            <w:sz w:val="24"/>
            <w:szCs w:val="24"/>
          </w:rPr>
          <w:t>https://doi.org/10.1177/1059601109340382</w:t>
        </w:r>
      </w:hyperlink>
    </w:p>
    <w:p w14:paraId="60D8AF1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Krystal, H. (1988). Alexithymia and the affective dimensions of the self. </w:t>
      </w:r>
      <w:r w:rsidRPr="0028426C">
        <w:rPr>
          <w:rStyle w:val="Emphasis"/>
          <w:rFonts w:ascii="Times New Roman" w:hAnsi="Times New Roman" w:cs="Times New Roman"/>
          <w:sz w:val="24"/>
          <w:szCs w:val="24"/>
        </w:rPr>
        <w:t>Psychiatric Clinics of North America, 11</w:t>
      </w:r>
      <w:r w:rsidRPr="0028426C">
        <w:rPr>
          <w:rFonts w:ascii="Times New Roman" w:hAnsi="Times New Roman" w:cs="Times New Roman"/>
          <w:sz w:val="24"/>
          <w:szCs w:val="24"/>
        </w:rPr>
        <w:t>(3), 437–447. https://doi.org/10.1016/S0193-953X(18)30132-9</w:t>
      </w:r>
    </w:p>
    <w:p w14:paraId="73C0DA4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Laursen, B., &amp; Veenstra, R. (2021). Toward understanding peer influence in childhood and adolescence: The Influence-Compatibility Model. </w:t>
      </w:r>
      <w:r w:rsidRPr="0028426C">
        <w:rPr>
          <w:rStyle w:val="Emphasis"/>
          <w:rFonts w:ascii="Times New Roman" w:hAnsi="Times New Roman" w:cs="Times New Roman"/>
          <w:sz w:val="24"/>
          <w:szCs w:val="24"/>
        </w:rPr>
        <w:t>Perspectives on Psychological Science, 16</w:t>
      </w:r>
      <w:r w:rsidRPr="0028426C">
        <w:rPr>
          <w:rFonts w:ascii="Times New Roman" w:hAnsi="Times New Roman" w:cs="Times New Roman"/>
          <w:sz w:val="24"/>
          <w:szCs w:val="24"/>
        </w:rPr>
        <w:t>(3), 647–660. https://doi.org/10.1177/1745691620966792</w:t>
      </w:r>
    </w:p>
    <w:p w14:paraId="488355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lastRenderedPageBreak/>
        <w:t>Lazarsfeld</w:t>
      </w:r>
      <w:proofErr w:type="spellEnd"/>
      <w:r w:rsidRPr="0028426C">
        <w:rPr>
          <w:rFonts w:ascii="Times New Roman" w:hAnsi="Times New Roman" w:cs="Times New Roman"/>
          <w:sz w:val="24"/>
          <w:szCs w:val="24"/>
        </w:rPr>
        <w:t xml:space="preserve">, P. F., &amp; Merton, R. K. (1954). Friendship as a social process: A substantive and methodological analysis. In M. Berger, T. Abel, &amp; C. H. Page (Eds.), </w:t>
      </w:r>
      <w:r w:rsidRPr="0028426C">
        <w:rPr>
          <w:rStyle w:val="Emphasis"/>
          <w:rFonts w:ascii="Times New Roman" w:hAnsi="Times New Roman" w:cs="Times New Roman"/>
          <w:sz w:val="24"/>
          <w:szCs w:val="24"/>
        </w:rPr>
        <w:t>Freedom and control in modern society</w:t>
      </w:r>
      <w:r w:rsidRPr="0028426C">
        <w:rPr>
          <w:rFonts w:ascii="Times New Roman" w:hAnsi="Times New Roman" w:cs="Times New Roman"/>
          <w:sz w:val="24"/>
          <w:szCs w:val="24"/>
        </w:rPr>
        <w:t xml:space="preserve"> (pp. 18–66). Van Nostrand.</w:t>
      </w:r>
    </w:p>
    <w:p w14:paraId="71666D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222222"/>
          <w:sz w:val="24"/>
          <w:szCs w:val="24"/>
          <w:shd w:val="clear" w:color="auto" w:fill="FFFFFF"/>
        </w:rPr>
        <w:t>Levantini</w:t>
      </w:r>
      <w:proofErr w:type="spellEnd"/>
      <w:r w:rsidRPr="0028426C">
        <w:rPr>
          <w:rFonts w:ascii="Times New Roman" w:hAnsi="Times New Roman" w:cs="Times New Roman"/>
          <w:color w:val="222222"/>
          <w:sz w:val="24"/>
          <w:szCs w:val="24"/>
          <w:shd w:val="clear" w:color="auto" w:fill="FFFFFF"/>
        </w:rPr>
        <w:t>, V., Camodeca, M., &amp; Iannello, N. M. (2023). The contribution of bullying involvement and alexithymia to somatic complaints in preadolescents. </w:t>
      </w:r>
      <w:r w:rsidRPr="0028426C">
        <w:rPr>
          <w:rFonts w:ascii="Times New Roman" w:hAnsi="Times New Roman" w:cs="Times New Roman"/>
          <w:i/>
          <w:iCs/>
          <w:color w:val="222222"/>
          <w:sz w:val="24"/>
          <w:szCs w:val="24"/>
          <w:shd w:val="clear" w:color="auto" w:fill="FFFFFF"/>
        </w:rPr>
        <w:t>Children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10</w:t>
      </w:r>
      <w:r w:rsidRPr="0028426C">
        <w:rPr>
          <w:rFonts w:ascii="Times New Roman" w:hAnsi="Times New Roman" w:cs="Times New Roman"/>
          <w:color w:val="222222"/>
          <w:sz w:val="24"/>
          <w:szCs w:val="24"/>
          <w:shd w:val="clear" w:color="auto" w:fill="FFFFFF"/>
        </w:rPr>
        <w:t>(5), 905.</w:t>
      </w:r>
    </w:p>
    <w:p w14:paraId="0190C58C"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Lombardi, E. L., </w:t>
      </w:r>
      <w:proofErr w:type="spellStart"/>
      <w:r w:rsidRPr="0028426C">
        <w:rPr>
          <w:rFonts w:ascii="Times New Roman" w:eastAsia="Times New Roman" w:hAnsi="Times New Roman" w:cs="Times New Roman"/>
          <w:sz w:val="24"/>
          <w:szCs w:val="24"/>
        </w:rPr>
        <w:t>Wilchins</w:t>
      </w:r>
      <w:proofErr w:type="spellEnd"/>
      <w:r w:rsidRPr="0028426C">
        <w:rPr>
          <w:rFonts w:ascii="Times New Roman" w:eastAsia="Times New Roman" w:hAnsi="Times New Roman" w:cs="Times New Roman"/>
          <w:sz w:val="24"/>
          <w:szCs w:val="24"/>
        </w:rPr>
        <w:t xml:space="preserve">, R. A., </w:t>
      </w:r>
      <w:proofErr w:type="spellStart"/>
      <w:r w:rsidRPr="0028426C">
        <w:rPr>
          <w:rFonts w:ascii="Times New Roman" w:eastAsia="Times New Roman" w:hAnsi="Times New Roman" w:cs="Times New Roman"/>
          <w:sz w:val="24"/>
          <w:szCs w:val="24"/>
        </w:rPr>
        <w:t>Priesing</w:t>
      </w:r>
      <w:proofErr w:type="spellEnd"/>
      <w:r w:rsidRPr="0028426C">
        <w:rPr>
          <w:rFonts w:ascii="Times New Roman" w:eastAsia="Times New Roman" w:hAnsi="Times New Roman" w:cs="Times New Roman"/>
          <w:sz w:val="24"/>
          <w:szCs w:val="24"/>
        </w:rPr>
        <w:t xml:space="preserve">, D., &amp; Malouf, D. (2002). Gender violence: Transgender experiences with violence and discrimination. </w:t>
      </w:r>
      <w:r w:rsidRPr="0028426C">
        <w:rPr>
          <w:rFonts w:ascii="Times New Roman" w:eastAsia="Times New Roman" w:hAnsi="Times New Roman" w:cs="Times New Roman"/>
          <w:i/>
          <w:iCs/>
          <w:sz w:val="24"/>
          <w:szCs w:val="24"/>
        </w:rPr>
        <w:t>Journal of Homosexuality, 42</w:t>
      </w:r>
      <w:r w:rsidRPr="0028426C">
        <w:rPr>
          <w:rFonts w:ascii="Times New Roman" w:eastAsia="Times New Roman" w:hAnsi="Times New Roman" w:cs="Times New Roman"/>
          <w:sz w:val="24"/>
          <w:szCs w:val="24"/>
        </w:rPr>
        <w:t xml:space="preserve">(1), 89–101. </w:t>
      </w:r>
      <w:hyperlink r:id="rId28" w:history="1">
        <w:r w:rsidRPr="0028426C">
          <w:rPr>
            <w:rStyle w:val="Hyperlink"/>
            <w:rFonts w:ascii="Times New Roman" w:eastAsia="Times New Roman" w:hAnsi="Times New Roman" w:cs="Times New Roman"/>
            <w:sz w:val="24"/>
            <w:szCs w:val="24"/>
          </w:rPr>
          <w:t>https://doi.org/10.1300/J082v42n01_05</w:t>
        </w:r>
      </w:hyperlink>
    </w:p>
    <w:p w14:paraId="29F749D4"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Lyvers, M., Makin, C., &amp; Thorberg, F. A. (2020). Self-compassion in relation to alexithymia, empathy, and negative mood. </w:t>
      </w:r>
      <w:r w:rsidRPr="0028426C">
        <w:rPr>
          <w:rStyle w:val="Emphasis"/>
          <w:rFonts w:ascii="Times New Roman" w:hAnsi="Times New Roman" w:cs="Times New Roman"/>
          <w:sz w:val="24"/>
          <w:szCs w:val="24"/>
        </w:rPr>
        <w:t>Personality and Individual Differences, 168</w:t>
      </w:r>
      <w:r w:rsidRPr="0028426C">
        <w:rPr>
          <w:rFonts w:ascii="Times New Roman" w:hAnsi="Times New Roman" w:cs="Times New Roman"/>
          <w:sz w:val="24"/>
          <w:szCs w:val="24"/>
        </w:rPr>
        <w:t>, 110295</w:t>
      </w:r>
      <w:proofErr w:type="gramStart"/>
      <w:r w:rsidRPr="0028426C">
        <w:rPr>
          <w:rFonts w:ascii="Times New Roman" w:hAnsi="Times New Roman" w:cs="Times New Roman"/>
          <w:sz w:val="24"/>
          <w:szCs w:val="24"/>
        </w:rPr>
        <w:t>. .</w:t>
      </w:r>
      <w:proofErr w:type="gramEnd"/>
      <w:r w:rsidRPr="0028426C">
        <w:rPr>
          <w:rFonts w:ascii="Times New Roman" w:hAnsi="Times New Roman" w:cs="Times New Roman"/>
          <w:sz w:val="24"/>
          <w:szCs w:val="24"/>
        </w:rPr>
        <w:t xml:space="preserve"> </w:t>
      </w:r>
      <w:hyperlink r:id="rId29" w:tgtFrame="_new" w:history="1">
        <w:r w:rsidRPr="0028426C">
          <w:rPr>
            <w:rFonts w:ascii="Times New Roman" w:hAnsi="Times New Roman" w:cs="Times New Roman"/>
            <w:color w:val="0000FF"/>
            <w:sz w:val="24"/>
            <w:szCs w:val="24"/>
            <w:u w:val="single"/>
          </w:rPr>
          <w:t>https://doi.org/10.1007/s12671-020-01379-6</w:t>
        </w:r>
      </w:hyperlink>
    </w:p>
    <w:p w14:paraId="0ED805D0"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t>Michelraj.M</w:t>
      </w:r>
      <w:proofErr w:type="spellEnd"/>
      <w:r w:rsidRPr="0028426C">
        <w:rPr>
          <w:rFonts w:ascii="Times New Roman" w:hAnsi="Times New Roman" w:cs="Times New Roman"/>
          <w:sz w:val="24"/>
          <w:szCs w:val="24"/>
        </w:rPr>
        <w:t>.(2015</w:t>
      </w:r>
      <w:proofErr w:type="gramStart"/>
      <w:r w:rsidRPr="0028426C">
        <w:rPr>
          <w:rFonts w:ascii="Times New Roman" w:hAnsi="Times New Roman" w:cs="Times New Roman"/>
          <w:sz w:val="24"/>
          <w:szCs w:val="24"/>
        </w:rPr>
        <w:t>).Historical</w:t>
      </w:r>
      <w:proofErr w:type="gramEnd"/>
      <w:r w:rsidRPr="0028426C">
        <w:rPr>
          <w:rFonts w:ascii="Times New Roman" w:hAnsi="Times New Roman" w:cs="Times New Roman"/>
          <w:sz w:val="24"/>
          <w:szCs w:val="24"/>
        </w:rPr>
        <w:t xml:space="preserve"> Evolution of Transgender Community in India. </w:t>
      </w:r>
      <w:r w:rsidRPr="0028426C">
        <w:rPr>
          <w:rFonts w:ascii="Times New Roman" w:hAnsi="Times New Roman" w:cs="Times New Roman"/>
          <w:i/>
          <w:sz w:val="24"/>
          <w:szCs w:val="24"/>
        </w:rPr>
        <w:t>Asian Review of Social Sciences.</w:t>
      </w:r>
      <w:r w:rsidRPr="0028426C">
        <w:rPr>
          <w:rFonts w:ascii="Times New Roman" w:hAnsi="Times New Roman" w:cs="Times New Roman"/>
          <w:sz w:val="24"/>
          <w:szCs w:val="24"/>
        </w:rPr>
        <w:t>4(1),17-19.</w:t>
      </w:r>
    </w:p>
    <w:p w14:paraId="1063B9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Nemiah, J. C., Freyberger, H. J., &amp; Sifneos, P. E. (1976). Alexithymia: A review of the literature. </w:t>
      </w:r>
      <w:r w:rsidRPr="0028426C">
        <w:rPr>
          <w:rStyle w:val="Emphasis"/>
          <w:rFonts w:ascii="Times New Roman" w:hAnsi="Times New Roman" w:cs="Times New Roman"/>
          <w:sz w:val="24"/>
          <w:szCs w:val="24"/>
        </w:rPr>
        <w:t>Psychosomatic Medicine, 38</w:t>
      </w:r>
      <w:r w:rsidRPr="0028426C">
        <w:rPr>
          <w:rFonts w:ascii="Times New Roman" w:hAnsi="Times New Roman" w:cs="Times New Roman"/>
          <w:sz w:val="24"/>
          <w:szCs w:val="24"/>
        </w:rPr>
        <w:t>(5), 553–577. https://doi.org/10.1097/00006842-197609000-00001</w:t>
      </w:r>
    </w:p>
    <w:p w14:paraId="5CD3C0D0"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Norton, A. T., &amp; Herek, G. M. (2013). Heterosexuals’ attitudes toward transgender people: Findings from a national probability sample of U.S. adults. </w:t>
      </w:r>
      <w:r w:rsidRPr="0028426C">
        <w:rPr>
          <w:rFonts w:ascii="Times New Roman" w:eastAsia="Times New Roman" w:hAnsi="Times New Roman" w:cs="Times New Roman"/>
          <w:i/>
          <w:iCs/>
          <w:sz w:val="24"/>
          <w:szCs w:val="24"/>
        </w:rPr>
        <w:t>Sex Roles, 68</w:t>
      </w:r>
      <w:r w:rsidRPr="0028426C">
        <w:rPr>
          <w:rFonts w:ascii="Times New Roman" w:eastAsia="Times New Roman" w:hAnsi="Times New Roman" w:cs="Times New Roman"/>
          <w:sz w:val="24"/>
          <w:szCs w:val="24"/>
        </w:rPr>
        <w:t xml:space="preserve">(11–12), 738–753. </w:t>
      </w:r>
      <w:hyperlink r:id="rId30" w:history="1">
        <w:r w:rsidRPr="0028426C">
          <w:rPr>
            <w:rStyle w:val="Hyperlink"/>
            <w:rFonts w:ascii="Times New Roman" w:eastAsia="Times New Roman" w:hAnsi="Times New Roman" w:cs="Times New Roman"/>
            <w:sz w:val="24"/>
            <w:szCs w:val="24"/>
          </w:rPr>
          <w:t>https://doi.org/10.1007/s11199-011-0110-6</w:t>
        </w:r>
      </w:hyperlink>
    </w:p>
    <w:p w14:paraId="4298E3C9" w14:textId="77777777" w:rsidR="00FF484F" w:rsidRPr="0028426C" w:rsidRDefault="00FF484F" w:rsidP="00CD2A7B">
      <w:pPr>
        <w:spacing w:line="360" w:lineRule="auto"/>
        <w:ind w:left="720" w:hanging="720"/>
        <w:jc w:val="both"/>
        <w:rPr>
          <w:rStyle w:val="Hyperlink"/>
          <w:rFonts w:ascii="Times New Roman" w:hAnsi="Times New Roman" w:cs="Times New Roman"/>
          <w:color w:val="auto"/>
          <w:sz w:val="24"/>
          <w:szCs w:val="24"/>
          <w:u w:val="none"/>
        </w:rPr>
      </w:pPr>
      <w:r w:rsidRPr="0028426C">
        <w:rPr>
          <w:rStyle w:val="Hyperlink"/>
          <w:rFonts w:ascii="Times New Roman" w:hAnsi="Times New Roman" w:cs="Times New Roman"/>
          <w:color w:val="auto"/>
          <w:sz w:val="24"/>
          <w:szCs w:val="24"/>
          <w:u w:val="none"/>
        </w:rPr>
        <w:t xml:space="preserve">Önal, A. (2023). Empathy and alexithymia and their effect on subtle and blatant prejudices (Doctoral dissertation). Charité – </w:t>
      </w:r>
      <w:proofErr w:type="spellStart"/>
      <w:r w:rsidRPr="0028426C">
        <w:rPr>
          <w:rStyle w:val="Hyperlink"/>
          <w:rFonts w:ascii="Times New Roman" w:hAnsi="Times New Roman" w:cs="Times New Roman"/>
          <w:color w:val="auto"/>
          <w:sz w:val="24"/>
          <w:szCs w:val="24"/>
          <w:u w:val="none"/>
        </w:rPr>
        <w:t>Universitätsmedizin</w:t>
      </w:r>
      <w:proofErr w:type="spellEnd"/>
      <w:r w:rsidRPr="0028426C">
        <w:rPr>
          <w:rStyle w:val="Hyperlink"/>
          <w:rFonts w:ascii="Times New Roman" w:hAnsi="Times New Roman" w:cs="Times New Roman"/>
          <w:color w:val="auto"/>
          <w:sz w:val="24"/>
          <w:szCs w:val="24"/>
          <w:u w:val="none"/>
        </w:rPr>
        <w:t xml:space="preserve"> Berlin.</w:t>
      </w:r>
    </w:p>
    <w:p w14:paraId="7E676DAF"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Paluck, E. L. (2011). Peer pressure against prejudice: A high school field experiment examining social network change. </w:t>
      </w:r>
      <w:r w:rsidRPr="0028426C">
        <w:rPr>
          <w:rFonts w:ascii="Times New Roman" w:hAnsi="Times New Roman" w:cs="Times New Roman"/>
          <w:i/>
          <w:iCs/>
          <w:sz w:val="24"/>
          <w:szCs w:val="24"/>
        </w:rPr>
        <w:t>Journal of Experimental Social Psychology, 47</w:t>
      </w:r>
      <w:r w:rsidRPr="0028426C">
        <w:rPr>
          <w:rFonts w:ascii="Times New Roman" w:hAnsi="Times New Roman" w:cs="Times New Roman"/>
          <w:sz w:val="24"/>
          <w:szCs w:val="24"/>
        </w:rPr>
        <w:t xml:space="preserve">(2), 350–358. </w:t>
      </w:r>
      <w:hyperlink r:id="rId31" w:tgtFrame="_new" w:history="1">
        <w:r w:rsidRPr="0028426C">
          <w:rPr>
            <w:rFonts w:ascii="Times New Roman" w:hAnsi="Times New Roman" w:cs="Times New Roman"/>
            <w:color w:val="0000FF"/>
            <w:sz w:val="24"/>
            <w:szCs w:val="24"/>
            <w:u w:val="single"/>
          </w:rPr>
          <w:t>https://doi.org/10.1016/j.jesp.2010.11.003</w:t>
        </w:r>
      </w:hyperlink>
    </w:p>
    <w:p w14:paraId="60E7C058"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lastRenderedPageBreak/>
        <w:t xml:space="preserve">Parker, J. D., Taylor, G. J., &amp; Bagby, R. M. (2008). The 20-item Toronto Alexithymia Scale: I. Item selection and cross-validation of the factor structure. </w:t>
      </w:r>
      <w:r w:rsidRPr="0028426C">
        <w:rPr>
          <w:rStyle w:val="Emphasis"/>
          <w:rFonts w:ascii="Times New Roman" w:hAnsi="Times New Roman" w:cs="Times New Roman"/>
          <w:sz w:val="24"/>
          <w:szCs w:val="24"/>
        </w:rPr>
        <w:t>Journal of Psychosomatic Research, 55</w:t>
      </w:r>
      <w:r w:rsidRPr="0028426C">
        <w:rPr>
          <w:rFonts w:ascii="Times New Roman" w:hAnsi="Times New Roman" w:cs="Times New Roman"/>
          <w:sz w:val="24"/>
          <w:szCs w:val="24"/>
        </w:rPr>
        <w:t>(3), 231–239. https://doi.org/10.1016/S0022-3999(02)00467-8</w:t>
      </w:r>
    </w:p>
    <w:p w14:paraId="35CACDD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Pettigrew, T. F. (1998). Intergroup contact theory. </w:t>
      </w:r>
      <w:r w:rsidRPr="0028426C">
        <w:rPr>
          <w:rStyle w:val="Emphasis"/>
          <w:rFonts w:ascii="Times New Roman" w:hAnsi="Times New Roman" w:cs="Times New Roman"/>
          <w:sz w:val="24"/>
          <w:szCs w:val="24"/>
        </w:rPr>
        <w:t>Annual Review of Psychology, 49</w:t>
      </w:r>
      <w:r w:rsidRPr="0028426C">
        <w:rPr>
          <w:rFonts w:ascii="Times New Roman" w:hAnsi="Times New Roman" w:cs="Times New Roman"/>
          <w:sz w:val="24"/>
          <w:szCs w:val="24"/>
        </w:rPr>
        <w:t>(1), 65–85. https://doi.org/10.1146/annurev.psych.49.1.65</w:t>
      </w:r>
    </w:p>
    <w:p w14:paraId="404814E3"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Preece, D., Becerra, R., Allan, A., Robinson, K., &amp; Dandy, J. (2017). Establishing the theoretical components of alexithymia via factor analysis: Introduction and validation of the attention-appraisal model of alexithymia. </w:t>
      </w:r>
      <w:r w:rsidRPr="0028426C">
        <w:rPr>
          <w:rFonts w:ascii="Times New Roman" w:hAnsi="Times New Roman" w:cs="Times New Roman"/>
          <w:i/>
          <w:iCs/>
          <w:color w:val="222222"/>
          <w:sz w:val="24"/>
          <w:szCs w:val="24"/>
          <w:shd w:val="clear" w:color="auto" w:fill="FFFFFF"/>
        </w:rPr>
        <w:t>Personality and individual differences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119</w:t>
      </w:r>
      <w:r w:rsidRPr="0028426C">
        <w:rPr>
          <w:rFonts w:ascii="Times New Roman" w:hAnsi="Times New Roman" w:cs="Times New Roman"/>
          <w:color w:val="222222"/>
          <w:sz w:val="24"/>
          <w:szCs w:val="24"/>
          <w:shd w:val="clear" w:color="auto" w:fill="FFFFFF"/>
        </w:rPr>
        <w:t>, 341-352.</w:t>
      </w:r>
    </w:p>
    <w:p w14:paraId="2856298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Preece, D., Becerra, R., Robinson, K., Dandy, J., &amp; Allan, A. (2018). The psychometric assessment of alexithymia: Development and validation of the Perth Alexithymia Questionnaire. Personality and Individual Differences, 132, 32-44.</w:t>
      </w:r>
    </w:p>
    <w:p w14:paraId="0C82CF99"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222222"/>
          <w:sz w:val="24"/>
          <w:szCs w:val="24"/>
          <w:shd w:val="clear" w:color="auto" w:fill="FFFFFF"/>
        </w:rPr>
        <w:t>Prinstein</w:t>
      </w:r>
      <w:proofErr w:type="spellEnd"/>
      <w:r w:rsidRPr="0028426C">
        <w:rPr>
          <w:rFonts w:ascii="Times New Roman" w:hAnsi="Times New Roman" w:cs="Times New Roman"/>
          <w:color w:val="222222"/>
          <w:sz w:val="24"/>
          <w:szCs w:val="24"/>
          <w:shd w:val="clear" w:color="auto" w:fill="FFFFFF"/>
        </w:rPr>
        <w:t>, M. J., &amp; Dodge, K. A. (Eds.). (2008). </w:t>
      </w:r>
      <w:r w:rsidRPr="0028426C">
        <w:rPr>
          <w:rFonts w:ascii="Times New Roman" w:hAnsi="Times New Roman" w:cs="Times New Roman"/>
          <w:i/>
          <w:iCs/>
          <w:color w:val="222222"/>
          <w:sz w:val="24"/>
          <w:szCs w:val="24"/>
          <w:shd w:val="clear" w:color="auto" w:fill="FFFFFF"/>
        </w:rPr>
        <w:t>Understanding peer influence in children and adolescents</w:t>
      </w:r>
      <w:r w:rsidRPr="0028426C">
        <w:rPr>
          <w:rFonts w:ascii="Times New Roman" w:hAnsi="Times New Roman" w:cs="Times New Roman"/>
          <w:color w:val="222222"/>
          <w:sz w:val="24"/>
          <w:szCs w:val="24"/>
          <w:shd w:val="clear" w:color="auto" w:fill="FFFFFF"/>
        </w:rPr>
        <w:t>. Guilford Press.</w:t>
      </w:r>
    </w:p>
    <w:p w14:paraId="1162C79F"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Read, J., Sargeant, C., &amp; Wright, S. (2020). What beliefs influence children and young people’s attitudes towards the transgender population. </w:t>
      </w:r>
      <w:r w:rsidRPr="0028426C">
        <w:rPr>
          <w:rFonts w:ascii="Times New Roman" w:hAnsi="Times New Roman" w:cs="Times New Roman"/>
          <w:i/>
          <w:iCs/>
          <w:color w:val="222222"/>
          <w:sz w:val="24"/>
          <w:szCs w:val="24"/>
          <w:shd w:val="clear" w:color="auto" w:fill="FFFFFF"/>
        </w:rPr>
        <w:t>Educational &amp; Child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37</w:t>
      </w:r>
      <w:r w:rsidRPr="0028426C">
        <w:rPr>
          <w:rFonts w:ascii="Times New Roman" w:hAnsi="Times New Roman" w:cs="Times New Roman"/>
          <w:color w:val="222222"/>
          <w:sz w:val="24"/>
          <w:szCs w:val="24"/>
          <w:shd w:val="clear" w:color="auto" w:fill="FFFFFF"/>
        </w:rPr>
        <w:t>(1), 11-36.</w:t>
      </w:r>
    </w:p>
    <w:p w14:paraId="1590EA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Serano, J. (2007</w:t>
      </w:r>
      <w:proofErr w:type="gramStart"/>
      <w:r w:rsidRPr="0028426C">
        <w:rPr>
          <w:rFonts w:ascii="Times New Roman" w:hAnsi="Times New Roman" w:cs="Times New Roman"/>
          <w:sz w:val="24"/>
          <w:szCs w:val="24"/>
        </w:rPr>
        <w:t>).Whipping</w:t>
      </w:r>
      <w:proofErr w:type="gramEnd"/>
      <w:r w:rsidRPr="0028426C">
        <w:rPr>
          <w:rFonts w:ascii="Times New Roman" w:hAnsi="Times New Roman" w:cs="Times New Roman"/>
          <w:sz w:val="24"/>
          <w:szCs w:val="24"/>
        </w:rPr>
        <w:t xml:space="preserve"> girl: A </w:t>
      </w:r>
      <w:proofErr w:type="gramStart"/>
      <w:r w:rsidRPr="0028426C">
        <w:rPr>
          <w:rFonts w:ascii="Times New Roman" w:hAnsi="Times New Roman" w:cs="Times New Roman"/>
          <w:sz w:val="24"/>
          <w:szCs w:val="24"/>
        </w:rPr>
        <w:t>transsexual women</w:t>
      </w:r>
      <w:proofErr w:type="gramEnd"/>
      <w:r w:rsidRPr="0028426C">
        <w:rPr>
          <w:rFonts w:ascii="Times New Roman" w:hAnsi="Times New Roman" w:cs="Times New Roman"/>
          <w:sz w:val="24"/>
          <w:szCs w:val="24"/>
        </w:rPr>
        <w:t xml:space="preserve"> on sexism and the scapegoating of </w:t>
      </w:r>
      <w:proofErr w:type="spellStart"/>
      <w:r w:rsidRPr="0028426C">
        <w:rPr>
          <w:rFonts w:ascii="Times New Roman" w:hAnsi="Times New Roman" w:cs="Times New Roman"/>
          <w:sz w:val="24"/>
          <w:szCs w:val="24"/>
        </w:rPr>
        <w:t>feminity</w:t>
      </w:r>
      <w:proofErr w:type="spellEnd"/>
      <w:r w:rsidRPr="0028426C">
        <w:rPr>
          <w:rFonts w:ascii="Times New Roman" w:hAnsi="Times New Roman" w:cs="Times New Roman"/>
          <w:sz w:val="24"/>
          <w:szCs w:val="24"/>
        </w:rPr>
        <w:t xml:space="preserve">. Seal press. </w:t>
      </w:r>
    </w:p>
    <w:p w14:paraId="738475C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Shafiee-</w:t>
      </w:r>
      <w:proofErr w:type="spellStart"/>
      <w:r w:rsidRPr="0028426C">
        <w:rPr>
          <w:rFonts w:ascii="Times New Roman" w:hAnsi="Times New Roman" w:cs="Times New Roman"/>
          <w:color w:val="222222"/>
          <w:sz w:val="24"/>
          <w:szCs w:val="24"/>
          <w:shd w:val="clear" w:color="auto" w:fill="FFFFFF"/>
        </w:rPr>
        <w:t>Kandjani</w:t>
      </w:r>
      <w:proofErr w:type="spellEnd"/>
      <w:r w:rsidRPr="0028426C">
        <w:rPr>
          <w:rFonts w:ascii="Times New Roman" w:hAnsi="Times New Roman" w:cs="Times New Roman"/>
          <w:color w:val="222222"/>
          <w:sz w:val="24"/>
          <w:szCs w:val="24"/>
          <w:shd w:val="clear" w:color="auto" w:fill="FFFFFF"/>
        </w:rPr>
        <w:t xml:space="preserve">, A. R., </w:t>
      </w:r>
      <w:proofErr w:type="spellStart"/>
      <w:r w:rsidRPr="0028426C">
        <w:rPr>
          <w:rFonts w:ascii="Times New Roman" w:hAnsi="Times New Roman" w:cs="Times New Roman"/>
          <w:color w:val="222222"/>
          <w:sz w:val="24"/>
          <w:szCs w:val="24"/>
          <w:shd w:val="clear" w:color="auto" w:fill="FFFFFF"/>
        </w:rPr>
        <w:t>Shalchi</w:t>
      </w:r>
      <w:proofErr w:type="spellEnd"/>
      <w:r w:rsidRPr="0028426C">
        <w:rPr>
          <w:rFonts w:ascii="Times New Roman" w:hAnsi="Times New Roman" w:cs="Times New Roman"/>
          <w:color w:val="222222"/>
          <w:sz w:val="24"/>
          <w:szCs w:val="24"/>
          <w:shd w:val="clear" w:color="auto" w:fill="FFFFFF"/>
        </w:rPr>
        <w:t xml:space="preserve">, B., </w:t>
      </w:r>
      <w:proofErr w:type="spellStart"/>
      <w:r w:rsidRPr="0028426C">
        <w:rPr>
          <w:rFonts w:ascii="Times New Roman" w:hAnsi="Times New Roman" w:cs="Times New Roman"/>
          <w:color w:val="222222"/>
          <w:sz w:val="24"/>
          <w:szCs w:val="24"/>
          <w:shd w:val="clear" w:color="auto" w:fill="FFFFFF"/>
        </w:rPr>
        <w:t>Raeisnia</w:t>
      </w:r>
      <w:proofErr w:type="spellEnd"/>
      <w:r w:rsidRPr="0028426C">
        <w:rPr>
          <w:rFonts w:ascii="Times New Roman" w:hAnsi="Times New Roman" w:cs="Times New Roman"/>
          <w:color w:val="222222"/>
          <w:sz w:val="24"/>
          <w:szCs w:val="24"/>
          <w:shd w:val="clear" w:color="auto" w:fill="FFFFFF"/>
        </w:rPr>
        <w:t xml:space="preserve">, A., </w:t>
      </w:r>
      <w:proofErr w:type="spellStart"/>
      <w:r w:rsidRPr="0028426C">
        <w:rPr>
          <w:rFonts w:ascii="Times New Roman" w:hAnsi="Times New Roman" w:cs="Times New Roman"/>
          <w:color w:val="222222"/>
          <w:sz w:val="24"/>
          <w:szCs w:val="24"/>
          <w:shd w:val="clear" w:color="auto" w:fill="FFFFFF"/>
        </w:rPr>
        <w:t>Tajlil</w:t>
      </w:r>
      <w:proofErr w:type="spellEnd"/>
      <w:r w:rsidRPr="0028426C">
        <w:rPr>
          <w:rFonts w:ascii="Times New Roman" w:hAnsi="Times New Roman" w:cs="Times New Roman"/>
          <w:color w:val="222222"/>
          <w:sz w:val="24"/>
          <w:szCs w:val="24"/>
          <w:shd w:val="clear" w:color="auto" w:fill="FFFFFF"/>
        </w:rPr>
        <w:t xml:space="preserve">, S., &amp; </w:t>
      </w:r>
      <w:proofErr w:type="spellStart"/>
      <w:r w:rsidRPr="0028426C">
        <w:rPr>
          <w:rFonts w:ascii="Times New Roman" w:hAnsi="Times New Roman" w:cs="Times New Roman"/>
          <w:color w:val="222222"/>
          <w:sz w:val="24"/>
          <w:szCs w:val="24"/>
          <w:shd w:val="clear" w:color="auto" w:fill="FFFFFF"/>
        </w:rPr>
        <w:t>Davtalab</w:t>
      </w:r>
      <w:proofErr w:type="spellEnd"/>
      <w:r w:rsidRPr="0028426C">
        <w:rPr>
          <w:rFonts w:ascii="Times New Roman" w:hAnsi="Times New Roman" w:cs="Times New Roman"/>
          <w:color w:val="222222"/>
          <w:sz w:val="24"/>
          <w:szCs w:val="24"/>
          <w:shd w:val="clear" w:color="auto" w:fill="FFFFFF"/>
        </w:rPr>
        <w:t>-Esmaeili, E. (2025). The association between personality traits and transphobia among university students: a cross-sectional study in northwestern Iran. </w:t>
      </w:r>
      <w:r w:rsidRPr="0028426C">
        <w:rPr>
          <w:rFonts w:ascii="Times New Roman" w:hAnsi="Times New Roman" w:cs="Times New Roman"/>
          <w:i/>
          <w:iCs/>
          <w:color w:val="222222"/>
          <w:sz w:val="24"/>
          <w:szCs w:val="24"/>
          <w:shd w:val="clear" w:color="auto" w:fill="FFFFFF"/>
        </w:rPr>
        <w:t>BMC psychiatry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25</w:t>
      </w:r>
      <w:r w:rsidRPr="0028426C">
        <w:rPr>
          <w:rFonts w:ascii="Times New Roman" w:hAnsi="Times New Roman" w:cs="Times New Roman"/>
          <w:color w:val="222222"/>
          <w:sz w:val="24"/>
          <w:szCs w:val="24"/>
          <w:shd w:val="clear" w:color="auto" w:fill="FFFFFF"/>
        </w:rPr>
        <w:t>(1), 80.</w:t>
      </w:r>
    </w:p>
    <w:p w14:paraId="3BA8163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Sifneos, P. E. (1973). The prevalence of ‘</w:t>
      </w:r>
      <w:proofErr w:type="spellStart"/>
      <w:r w:rsidRPr="0028426C">
        <w:rPr>
          <w:rFonts w:ascii="Times New Roman" w:hAnsi="Times New Roman" w:cs="Times New Roman"/>
          <w:sz w:val="24"/>
          <w:szCs w:val="24"/>
        </w:rPr>
        <w:t>alexithymic</w:t>
      </w:r>
      <w:proofErr w:type="spellEnd"/>
      <w:r w:rsidRPr="0028426C">
        <w:rPr>
          <w:rFonts w:ascii="Times New Roman" w:hAnsi="Times New Roman" w:cs="Times New Roman"/>
          <w:sz w:val="24"/>
          <w:szCs w:val="24"/>
        </w:rPr>
        <w:t xml:space="preserve">’ characteristics in psychosomatic patients. </w:t>
      </w:r>
      <w:r w:rsidRPr="0028426C">
        <w:rPr>
          <w:rStyle w:val="Emphasis"/>
          <w:rFonts w:ascii="Times New Roman" w:hAnsi="Times New Roman" w:cs="Times New Roman"/>
          <w:sz w:val="24"/>
          <w:szCs w:val="24"/>
        </w:rPr>
        <w:t>Psychotherapy and Psychosomatics,22</w:t>
      </w:r>
      <w:r w:rsidRPr="0028426C">
        <w:rPr>
          <w:rFonts w:ascii="Times New Roman" w:hAnsi="Times New Roman" w:cs="Times New Roman"/>
          <w:sz w:val="24"/>
          <w:szCs w:val="24"/>
        </w:rPr>
        <w:t>(2), 255–262. https://doi.org/10.1159/000286529</w:t>
      </w:r>
    </w:p>
    <w:p w14:paraId="3A69D0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Singh, S., &amp; Saini, S. (2010). Manual of Peer Pressure. Prasad Psycho Corporation, New Delhi</w:t>
      </w:r>
    </w:p>
    <w:p w14:paraId="087DA8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Style w:val="fadein4f9by7"/>
          <w:rFonts w:ascii="Times New Roman" w:hAnsi="Times New Roman" w:cs="Times New Roman"/>
          <w:sz w:val="24"/>
          <w:szCs w:val="24"/>
        </w:rPr>
        <w:lastRenderedPageBreak/>
        <w:t xml:space="preserve">Smith, R., Lane, R. D., &amp; Schwartz, G. E. (2019). Alexithymia: Implications of the three-process model and a single case study illustration. </w:t>
      </w:r>
      <w:r w:rsidRPr="0028426C">
        <w:rPr>
          <w:rStyle w:val="fadein4f9by7"/>
          <w:rFonts w:ascii="Times New Roman" w:hAnsi="Times New Roman" w:cs="Times New Roman"/>
          <w:i/>
          <w:iCs/>
          <w:sz w:val="24"/>
          <w:szCs w:val="24"/>
        </w:rPr>
        <w:t>Consciousness and Cognition, 68</w:t>
      </w:r>
      <w:r w:rsidRPr="0028426C">
        <w:rPr>
          <w:rStyle w:val="fadein4f9by7"/>
          <w:rFonts w:ascii="Times New Roman" w:hAnsi="Times New Roman" w:cs="Times New Roman"/>
          <w:sz w:val="24"/>
          <w:szCs w:val="24"/>
        </w:rPr>
        <w:t>, 33–46.</w:t>
      </w:r>
      <w:r w:rsidRPr="0028426C">
        <w:rPr>
          <w:rFonts w:ascii="Times New Roman" w:hAnsi="Times New Roman" w:cs="Times New Roman"/>
          <w:sz w:val="24"/>
          <w:szCs w:val="24"/>
        </w:rPr>
        <w:t xml:space="preserve"> </w:t>
      </w:r>
      <w:hyperlink r:id="rId32" w:tgtFrame="_new" w:history="1">
        <w:r w:rsidRPr="0028426C">
          <w:rPr>
            <w:rFonts w:ascii="Times New Roman" w:hAnsi="Times New Roman" w:cs="Times New Roman"/>
            <w:color w:val="0000FF"/>
            <w:sz w:val="24"/>
            <w:szCs w:val="24"/>
            <w:u w:val="single"/>
          </w:rPr>
          <w:t>https://doi.org/10.1016/j.concog.2018.12.001</w:t>
        </w:r>
      </w:hyperlink>
      <w:r w:rsidRPr="0028426C">
        <w:rPr>
          <w:rFonts w:ascii="Times New Roman" w:hAnsi="Times New Roman" w:cs="Times New Roman"/>
          <w:sz w:val="24"/>
          <w:szCs w:val="24"/>
        </w:rPr>
        <w:t>​</w:t>
      </w:r>
    </w:p>
    <w:p w14:paraId="57A927D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426C">
        <w:rPr>
          <w:rFonts w:ascii="Times New Roman" w:eastAsia="Times New Roman" w:hAnsi="Times New Roman" w:cs="Times New Roman"/>
          <w:sz w:val="24"/>
          <w:szCs w:val="24"/>
        </w:rPr>
        <w:t>Svestasvatara</w:t>
      </w:r>
      <w:proofErr w:type="spellEnd"/>
      <w:r w:rsidRPr="0028426C">
        <w:rPr>
          <w:rFonts w:ascii="Times New Roman" w:eastAsia="Times New Roman" w:hAnsi="Times New Roman" w:cs="Times New Roman"/>
          <w:sz w:val="24"/>
          <w:szCs w:val="24"/>
        </w:rPr>
        <w:t xml:space="preserve"> Upanishad. (n.d.). In </w:t>
      </w:r>
      <w:r w:rsidRPr="0028426C">
        <w:rPr>
          <w:rFonts w:ascii="Times New Roman" w:eastAsia="Times New Roman" w:hAnsi="Times New Roman" w:cs="Times New Roman"/>
          <w:i/>
          <w:iCs/>
          <w:sz w:val="24"/>
          <w:szCs w:val="24"/>
        </w:rPr>
        <w:t>The Upanishads</w:t>
      </w:r>
      <w:r w:rsidRPr="0028426C">
        <w:rPr>
          <w:rFonts w:ascii="Times New Roman" w:eastAsia="Times New Roman" w:hAnsi="Times New Roman" w:cs="Times New Roman"/>
          <w:sz w:val="24"/>
          <w:szCs w:val="24"/>
        </w:rPr>
        <w:t>. (Original work translated by various scholars).</w:t>
      </w:r>
    </w:p>
    <w:p w14:paraId="0F6AB2CF"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Swart, M., Kortekaas, R., &amp; Aleman, A. (2009). Dealing with feelings: Characterization of trait alexithymia on emotion regulation strategies and cognitive-emotional processing. </w:t>
      </w:r>
      <w:proofErr w:type="spellStart"/>
      <w:r w:rsidRPr="0028426C">
        <w:rPr>
          <w:rFonts w:ascii="Times New Roman" w:hAnsi="Times New Roman" w:cs="Times New Roman"/>
          <w:i/>
          <w:iCs/>
          <w:sz w:val="24"/>
          <w:szCs w:val="24"/>
        </w:rPr>
        <w:t>PLoS</w:t>
      </w:r>
      <w:proofErr w:type="spellEnd"/>
      <w:r w:rsidRPr="0028426C">
        <w:rPr>
          <w:rFonts w:ascii="Times New Roman" w:hAnsi="Times New Roman" w:cs="Times New Roman"/>
          <w:i/>
          <w:iCs/>
          <w:sz w:val="24"/>
          <w:szCs w:val="24"/>
        </w:rPr>
        <w:t xml:space="preserve"> ONE, 4</w:t>
      </w:r>
      <w:r w:rsidRPr="0028426C">
        <w:rPr>
          <w:rFonts w:ascii="Times New Roman" w:hAnsi="Times New Roman" w:cs="Times New Roman"/>
          <w:sz w:val="24"/>
          <w:szCs w:val="24"/>
        </w:rPr>
        <w:t xml:space="preserve">(6), e5751. </w:t>
      </w:r>
      <w:hyperlink r:id="rId33" w:tgtFrame="_new" w:history="1">
        <w:r w:rsidRPr="0028426C">
          <w:rPr>
            <w:rFonts w:ascii="Times New Roman" w:hAnsi="Times New Roman" w:cs="Times New Roman"/>
            <w:color w:val="0000FF"/>
            <w:sz w:val="24"/>
            <w:szCs w:val="24"/>
            <w:u w:val="single"/>
          </w:rPr>
          <w:t>https://doi.org/10.1371/journal.pone.0005751</w:t>
        </w:r>
      </w:hyperlink>
    </w:p>
    <w:p w14:paraId="0B5A7629"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Style w:val="relative"/>
          <w:rFonts w:ascii="Times New Roman" w:hAnsi="Times New Roman" w:cs="Times New Roman"/>
          <w:sz w:val="24"/>
          <w:szCs w:val="24"/>
        </w:rPr>
        <w:t xml:space="preserve">Taylor, G. J., &amp; Taylor, H. L. (1997). Alexithymia. In M. McCallum &amp; W. E. Piper (Eds.), </w:t>
      </w:r>
      <w:r w:rsidRPr="0028426C">
        <w:rPr>
          <w:rStyle w:val="Emphasis"/>
          <w:rFonts w:ascii="Times New Roman" w:hAnsi="Times New Roman" w:cs="Times New Roman"/>
          <w:sz w:val="24"/>
          <w:szCs w:val="24"/>
        </w:rPr>
        <w:t>Psychological mindedness: A contemporary understanding</w:t>
      </w:r>
      <w:r w:rsidRPr="0028426C">
        <w:rPr>
          <w:rStyle w:val="relative"/>
          <w:rFonts w:ascii="Times New Roman" w:hAnsi="Times New Roman" w:cs="Times New Roman"/>
          <w:sz w:val="24"/>
          <w:szCs w:val="24"/>
        </w:rPr>
        <w:t xml:space="preserve"> (pp. 77–104). Lawrence Erlbaum Associates.</w:t>
      </w:r>
      <w:r w:rsidRPr="0028426C">
        <w:rPr>
          <w:rFonts w:ascii="Times New Roman" w:hAnsi="Times New Roman" w:cs="Times New Roman"/>
          <w:sz w:val="24"/>
          <w:szCs w:val="24"/>
        </w:rPr>
        <w:t>​</w:t>
      </w:r>
    </w:p>
    <w:p w14:paraId="2873B6E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Taylor, G. J., &amp; Bagby, R. M. (2004). The development of the Toronto Alexithymia Scale. In J. A. Parker, G. J. Taylor, &amp; R. M. Bagby (Eds.), </w:t>
      </w:r>
      <w:r w:rsidRPr="0028426C">
        <w:rPr>
          <w:rStyle w:val="Emphasis"/>
          <w:rFonts w:ascii="Times New Roman" w:hAnsi="Times New Roman" w:cs="Times New Roman"/>
          <w:sz w:val="24"/>
          <w:szCs w:val="24"/>
        </w:rPr>
        <w:t>The handbook of alexithymia: Theories, methods, and applications</w:t>
      </w:r>
      <w:r w:rsidRPr="0028426C">
        <w:rPr>
          <w:rFonts w:ascii="Times New Roman" w:hAnsi="Times New Roman" w:cs="Times New Roman"/>
          <w:sz w:val="24"/>
          <w:szCs w:val="24"/>
        </w:rPr>
        <w:t xml:space="preserve"> (pp. 51–69). Cambridge University Press.</w:t>
      </w:r>
    </w:p>
    <w:p w14:paraId="7A3C4B4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Tebbe, E. N., &amp; Moradi, B. (2012). Anti-transgender prejudice: A structural equation model of associated constructs. </w:t>
      </w:r>
      <w:r w:rsidRPr="0028426C">
        <w:rPr>
          <w:rFonts w:ascii="Times New Roman" w:eastAsia="Times New Roman" w:hAnsi="Times New Roman" w:cs="Times New Roman"/>
          <w:i/>
          <w:iCs/>
          <w:sz w:val="24"/>
          <w:szCs w:val="24"/>
        </w:rPr>
        <w:t>Journal of Counseling Psychology, 59</w:t>
      </w:r>
      <w:r w:rsidRPr="0028426C">
        <w:rPr>
          <w:rFonts w:ascii="Times New Roman" w:eastAsia="Times New Roman" w:hAnsi="Times New Roman" w:cs="Times New Roman"/>
          <w:sz w:val="24"/>
          <w:szCs w:val="24"/>
        </w:rPr>
        <w:t xml:space="preserve">(2), 251–261. </w:t>
      </w:r>
      <w:hyperlink r:id="rId34" w:history="1">
        <w:r w:rsidRPr="0028426C">
          <w:rPr>
            <w:rStyle w:val="Hyperlink"/>
            <w:rFonts w:ascii="Times New Roman" w:eastAsia="Times New Roman" w:hAnsi="Times New Roman" w:cs="Times New Roman"/>
            <w:sz w:val="24"/>
            <w:szCs w:val="24"/>
          </w:rPr>
          <w:t>https://doi.org/10.1037/a0026990</w:t>
        </w:r>
      </w:hyperlink>
    </w:p>
    <w:p w14:paraId="7620C5B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t xml:space="preserve">Ugwu, L. E., </w:t>
      </w:r>
      <w:proofErr w:type="spellStart"/>
      <w:r w:rsidRPr="0028426C">
        <w:rPr>
          <w:rFonts w:ascii="Times New Roman" w:hAnsi="Times New Roman" w:cs="Times New Roman"/>
          <w:color w:val="222222"/>
          <w:sz w:val="24"/>
          <w:szCs w:val="24"/>
          <w:shd w:val="clear" w:color="auto" w:fill="FFFFFF"/>
        </w:rPr>
        <w:t>Ramadie</w:t>
      </w:r>
      <w:proofErr w:type="spellEnd"/>
      <w:r w:rsidRPr="0028426C">
        <w:rPr>
          <w:rFonts w:ascii="Times New Roman" w:hAnsi="Times New Roman" w:cs="Times New Roman"/>
          <w:color w:val="222222"/>
          <w:sz w:val="24"/>
          <w:szCs w:val="24"/>
          <w:shd w:val="clear" w:color="auto" w:fill="FFFFFF"/>
        </w:rPr>
        <w:t xml:space="preserve">, K. J., </w:t>
      </w:r>
      <w:proofErr w:type="spellStart"/>
      <w:r w:rsidRPr="0028426C">
        <w:rPr>
          <w:rFonts w:ascii="Times New Roman" w:hAnsi="Times New Roman" w:cs="Times New Roman"/>
          <w:color w:val="222222"/>
          <w:sz w:val="24"/>
          <w:szCs w:val="24"/>
          <w:shd w:val="clear" w:color="auto" w:fill="FFFFFF"/>
        </w:rPr>
        <w:t>Ajele</w:t>
      </w:r>
      <w:proofErr w:type="spellEnd"/>
      <w:r w:rsidRPr="0028426C">
        <w:rPr>
          <w:rFonts w:ascii="Times New Roman" w:hAnsi="Times New Roman" w:cs="Times New Roman"/>
          <w:color w:val="222222"/>
          <w:sz w:val="24"/>
          <w:szCs w:val="24"/>
          <w:shd w:val="clear" w:color="auto" w:fill="FFFFFF"/>
        </w:rPr>
        <w:t>, W. K., &amp; Idemudia, E. S. (2024). Childhood adversity and peer influence in adolescent bullying perpetration. </w:t>
      </w:r>
      <w:r w:rsidRPr="0028426C">
        <w:rPr>
          <w:rFonts w:ascii="Times New Roman" w:hAnsi="Times New Roman" w:cs="Times New Roman"/>
          <w:i/>
          <w:iCs/>
          <w:color w:val="222222"/>
          <w:sz w:val="24"/>
          <w:szCs w:val="24"/>
          <w:shd w:val="clear" w:color="auto" w:fill="FFFFFF"/>
        </w:rPr>
        <w:t>Scientific Reports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w:t>
      </w:r>
      <w:r w:rsidRPr="0028426C">
        <w:rPr>
          <w:rFonts w:ascii="Times New Roman" w:hAnsi="Times New Roman" w:cs="Times New Roman"/>
          <w:color w:val="222222"/>
          <w:sz w:val="24"/>
          <w:szCs w:val="24"/>
          <w:shd w:val="clear" w:color="auto" w:fill="FFFFFF"/>
        </w:rPr>
        <w:t>(1), 30959.</w:t>
      </w:r>
    </w:p>
    <w:p w14:paraId="624D34E0"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333333"/>
          <w:sz w:val="24"/>
          <w:szCs w:val="24"/>
          <w:shd w:val="clear" w:color="auto" w:fill="FFFFFF"/>
        </w:rPr>
        <w:t>Uluboy</w:t>
      </w:r>
      <w:proofErr w:type="spellEnd"/>
      <w:r w:rsidRPr="0028426C">
        <w:rPr>
          <w:rFonts w:ascii="Times New Roman" w:hAnsi="Times New Roman" w:cs="Times New Roman"/>
          <w:color w:val="333333"/>
          <w:sz w:val="24"/>
          <w:szCs w:val="24"/>
          <w:shd w:val="clear" w:color="auto" w:fill="FFFFFF"/>
        </w:rPr>
        <w:t xml:space="preserve">, Z., &amp; </w:t>
      </w:r>
      <w:proofErr w:type="spellStart"/>
      <w:r w:rsidRPr="0028426C">
        <w:rPr>
          <w:rFonts w:ascii="Times New Roman" w:hAnsi="Times New Roman" w:cs="Times New Roman"/>
          <w:color w:val="333333"/>
          <w:sz w:val="24"/>
          <w:szCs w:val="24"/>
          <w:shd w:val="clear" w:color="auto" w:fill="FFFFFF"/>
        </w:rPr>
        <w:t>Husnu</w:t>
      </w:r>
      <w:proofErr w:type="spellEnd"/>
      <w:r w:rsidRPr="0028426C">
        <w:rPr>
          <w:rFonts w:ascii="Times New Roman" w:hAnsi="Times New Roman" w:cs="Times New Roman"/>
          <w:color w:val="333333"/>
          <w:sz w:val="24"/>
          <w:szCs w:val="24"/>
          <w:shd w:val="clear" w:color="auto" w:fill="FFFFFF"/>
        </w:rPr>
        <w:t>, S. (2020). Turkish Speaking Young Adults Attitudes Toward Transgender Individuals: Transphobia, Homophobia and Gender Ideology.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69</w:t>
      </w:r>
      <w:r w:rsidRPr="0028426C">
        <w:rPr>
          <w:rFonts w:ascii="Times New Roman" w:hAnsi="Times New Roman" w:cs="Times New Roman"/>
          <w:color w:val="333333"/>
          <w:sz w:val="24"/>
          <w:szCs w:val="24"/>
          <w:shd w:val="clear" w:color="auto" w:fill="FFFFFF"/>
        </w:rPr>
        <w:t xml:space="preserve">(1), 101–119. </w:t>
      </w:r>
      <w:hyperlink r:id="rId35" w:history="1">
        <w:r w:rsidRPr="0028426C">
          <w:rPr>
            <w:rStyle w:val="Hyperlink"/>
            <w:rFonts w:ascii="Times New Roman" w:hAnsi="Times New Roman" w:cs="Times New Roman"/>
            <w:sz w:val="24"/>
            <w:szCs w:val="24"/>
            <w:shd w:val="clear" w:color="auto" w:fill="FFFFFF"/>
          </w:rPr>
          <w:t>https://doi.org/10.1080/00918369.2020.1813510</w:t>
        </w:r>
      </w:hyperlink>
    </w:p>
    <w:p w14:paraId="46F24EE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van der Velde, J., Servaas, M. N., Goerlich, K. S., Bruggeman, R., Horton, P., </w:t>
      </w:r>
      <w:proofErr w:type="spellStart"/>
      <w:r w:rsidRPr="0028426C">
        <w:rPr>
          <w:rFonts w:ascii="Times New Roman" w:hAnsi="Times New Roman" w:cs="Times New Roman"/>
          <w:sz w:val="24"/>
          <w:szCs w:val="24"/>
        </w:rPr>
        <w:t>Costafreda</w:t>
      </w:r>
      <w:proofErr w:type="spellEnd"/>
      <w:r w:rsidRPr="0028426C">
        <w:rPr>
          <w:rFonts w:ascii="Times New Roman" w:hAnsi="Times New Roman" w:cs="Times New Roman"/>
          <w:sz w:val="24"/>
          <w:szCs w:val="24"/>
        </w:rPr>
        <w:t xml:space="preserve">, S. G., &amp; Aleman, A. (2013). Neural correlates of alexithymia: A meta-analysis of emotion processing studies. </w:t>
      </w:r>
      <w:r w:rsidRPr="0028426C">
        <w:rPr>
          <w:rStyle w:val="Emphasis"/>
          <w:rFonts w:ascii="Times New Roman" w:hAnsi="Times New Roman" w:cs="Times New Roman"/>
          <w:sz w:val="24"/>
          <w:szCs w:val="24"/>
        </w:rPr>
        <w:t>Neuroscience and Biobehavioral Reviews, 37</w:t>
      </w:r>
      <w:r w:rsidRPr="0028426C">
        <w:rPr>
          <w:rFonts w:ascii="Times New Roman" w:hAnsi="Times New Roman" w:cs="Times New Roman"/>
          <w:sz w:val="24"/>
          <w:szCs w:val="24"/>
        </w:rPr>
        <w:t>(8), 1774–1785. https://doi.org/10.1016/j.neubiorev.2013.07</w:t>
      </w:r>
    </w:p>
    <w:p w14:paraId="58CA43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lastRenderedPageBreak/>
        <w:t>Vasumatha.T</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Geetanjali.M</w:t>
      </w:r>
      <w:proofErr w:type="spellEnd"/>
      <w:r w:rsidRPr="0028426C">
        <w:rPr>
          <w:rFonts w:ascii="Times New Roman" w:hAnsi="Times New Roman" w:cs="Times New Roman"/>
          <w:sz w:val="24"/>
          <w:szCs w:val="24"/>
        </w:rPr>
        <w:t>.(2018</w:t>
      </w:r>
      <w:proofErr w:type="gramStart"/>
      <w:r w:rsidRPr="0028426C">
        <w:rPr>
          <w:rFonts w:ascii="Times New Roman" w:hAnsi="Times New Roman" w:cs="Times New Roman"/>
          <w:sz w:val="24"/>
          <w:szCs w:val="24"/>
        </w:rPr>
        <w:t>).Transgender</w:t>
      </w:r>
      <w:proofErr w:type="gramEnd"/>
      <w:r w:rsidRPr="0028426C">
        <w:rPr>
          <w:rFonts w:ascii="Times New Roman" w:hAnsi="Times New Roman" w:cs="Times New Roman"/>
          <w:sz w:val="24"/>
          <w:szCs w:val="24"/>
        </w:rPr>
        <w:t xml:space="preserve"> identity as hidden in Vedic literature and society. </w:t>
      </w:r>
      <w:r w:rsidRPr="0028426C">
        <w:rPr>
          <w:rFonts w:ascii="Times New Roman" w:hAnsi="Times New Roman" w:cs="Times New Roman"/>
          <w:i/>
          <w:sz w:val="24"/>
          <w:szCs w:val="24"/>
        </w:rPr>
        <w:t>International Journal of Humanities and Social Sciences Invention,</w:t>
      </w:r>
      <w:r w:rsidRPr="0028426C">
        <w:rPr>
          <w:rFonts w:ascii="Times New Roman" w:hAnsi="Times New Roman" w:cs="Times New Roman"/>
          <w:sz w:val="24"/>
          <w:szCs w:val="24"/>
        </w:rPr>
        <w:t>7(1),62-65.</w:t>
      </w:r>
    </w:p>
    <w:p w14:paraId="627FB27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West, C., &amp; Zimmerman, D. H. (1987). Doing gender. </w:t>
      </w:r>
      <w:r w:rsidRPr="0028426C">
        <w:rPr>
          <w:rFonts w:ascii="Times New Roman" w:eastAsia="Times New Roman" w:hAnsi="Times New Roman" w:cs="Times New Roman"/>
          <w:i/>
          <w:iCs/>
          <w:sz w:val="24"/>
          <w:szCs w:val="24"/>
        </w:rPr>
        <w:t>Gender &amp; Society, 1</w:t>
      </w:r>
      <w:r w:rsidRPr="0028426C">
        <w:rPr>
          <w:rFonts w:ascii="Times New Roman" w:eastAsia="Times New Roman" w:hAnsi="Times New Roman" w:cs="Times New Roman"/>
          <w:sz w:val="24"/>
          <w:szCs w:val="24"/>
        </w:rPr>
        <w:t xml:space="preserve">(2), 125–151. </w:t>
      </w:r>
      <w:hyperlink r:id="rId36" w:history="1">
        <w:r w:rsidRPr="0028426C">
          <w:rPr>
            <w:rStyle w:val="Hyperlink"/>
            <w:rFonts w:ascii="Times New Roman" w:eastAsia="Times New Roman" w:hAnsi="Times New Roman" w:cs="Times New Roman"/>
            <w:sz w:val="24"/>
            <w:szCs w:val="24"/>
          </w:rPr>
          <w:t>https://doi.org/10.1177/0891243287001002002</w:t>
        </w:r>
      </w:hyperlink>
    </w:p>
    <w:p w14:paraId="57EF7EDD" w14:textId="77777777" w:rsidR="00FF484F" w:rsidRPr="00776CA2" w:rsidRDefault="00FF484F" w:rsidP="00CD2A7B">
      <w:pPr>
        <w:spacing w:before="100" w:beforeAutospacing="1" w:after="100" w:afterAutospacing="1" w:line="360" w:lineRule="auto"/>
        <w:ind w:left="720" w:hanging="720"/>
        <w:jc w:val="both"/>
      </w:pPr>
      <w:r w:rsidRPr="0028426C">
        <w:rPr>
          <w:rFonts w:ascii="Times New Roman" w:eastAsia="Times New Roman" w:hAnsi="Times New Roman" w:cs="Times New Roman"/>
          <w:sz w:val="24"/>
          <w:szCs w:val="24"/>
        </w:rPr>
        <w:t xml:space="preserve">World Health Organization. (2021). </w:t>
      </w:r>
      <w:r w:rsidRPr="0028426C">
        <w:rPr>
          <w:rFonts w:ascii="Times New Roman" w:eastAsia="Times New Roman" w:hAnsi="Times New Roman" w:cs="Times New Roman"/>
          <w:i/>
          <w:iCs/>
          <w:sz w:val="24"/>
          <w:szCs w:val="24"/>
        </w:rPr>
        <w:t>Closing the leadership gap: Gender equity and leadership in the global health and care workforce</w:t>
      </w:r>
      <w:r w:rsidRPr="0028426C">
        <w:rPr>
          <w:rFonts w:ascii="Times New Roman" w:eastAsia="Times New Roman" w:hAnsi="Times New Roman" w:cs="Times New Roman"/>
          <w:sz w:val="24"/>
          <w:szCs w:val="24"/>
        </w:rPr>
        <w:t xml:space="preserve">. </w:t>
      </w:r>
      <w:hyperlink r:id="rId37" w:tgtFrame="_new" w:history="1">
        <w:r w:rsidRPr="0028426C">
          <w:rPr>
            <w:rFonts w:ascii="Times New Roman" w:eastAsia="Times New Roman" w:hAnsi="Times New Roman" w:cs="Times New Roman"/>
            <w:color w:val="0000FF"/>
            <w:sz w:val="24"/>
            <w:szCs w:val="24"/>
            <w:u w:val="single"/>
          </w:rPr>
          <w:t>https://www.who.int/publications/i/item/9789240025905</w:t>
        </w:r>
      </w:hyperlink>
    </w:p>
    <w:p w14:paraId="7445D7E6" w14:textId="77777777" w:rsidR="00D360AB" w:rsidRPr="00326ACB" w:rsidRDefault="00D360AB"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p>
    <w:sectPr w:rsidR="00D360AB" w:rsidRPr="00326ACB" w:rsidSect="00A14242">
      <w:footerReference w:type="default" r:id="rId3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E7D8" w14:textId="77777777" w:rsidR="009A7AC5" w:rsidRDefault="009A7AC5" w:rsidP="00CC67B6">
      <w:pPr>
        <w:spacing w:after="0" w:line="240" w:lineRule="auto"/>
      </w:pPr>
      <w:r>
        <w:separator/>
      </w:r>
    </w:p>
  </w:endnote>
  <w:endnote w:type="continuationSeparator" w:id="0">
    <w:p w14:paraId="7D040C90" w14:textId="77777777" w:rsidR="009A7AC5" w:rsidRDefault="009A7AC5" w:rsidP="00CC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5026"/>
      <w:docPartObj>
        <w:docPartGallery w:val="Page Numbers (Bottom of Page)"/>
        <w:docPartUnique/>
      </w:docPartObj>
    </w:sdtPr>
    <w:sdtEndPr>
      <w:rPr>
        <w:noProof/>
      </w:rPr>
    </w:sdtEndPr>
    <w:sdtContent>
      <w:p w14:paraId="5658C9FE" w14:textId="5CBFC22D" w:rsidR="0020037C" w:rsidRDefault="0020037C">
        <w:pPr>
          <w:pStyle w:val="Footer"/>
          <w:jc w:val="center"/>
        </w:pPr>
        <w:r>
          <w:fldChar w:fldCharType="begin"/>
        </w:r>
        <w:r>
          <w:instrText xml:space="preserve"> PAGE   \* MERGEFORMAT </w:instrText>
        </w:r>
        <w:r>
          <w:fldChar w:fldCharType="separate"/>
        </w:r>
        <w:r w:rsidR="006B61BC">
          <w:rPr>
            <w:noProof/>
          </w:rPr>
          <w:t>32</w:t>
        </w:r>
        <w:r>
          <w:rPr>
            <w:noProof/>
          </w:rPr>
          <w:fldChar w:fldCharType="end"/>
        </w:r>
      </w:p>
    </w:sdtContent>
  </w:sdt>
  <w:p w14:paraId="2F80C70F" w14:textId="77777777" w:rsidR="0020037C" w:rsidRDefault="0020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8F26" w14:textId="77777777" w:rsidR="009A7AC5" w:rsidRDefault="009A7AC5" w:rsidP="00CC67B6">
      <w:pPr>
        <w:spacing w:after="0" w:line="240" w:lineRule="auto"/>
      </w:pPr>
      <w:r>
        <w:separator/>
      </w:r>
    </w:p>
  </w:footnote>
  <w:footnote w:type="continuationSeparator" w:id="0">
    <w:p w14:paraId="633AF33C" w14:textId="77777777" w:rsidR="009A7AC5" w:rsidRDefault="009A7AC5" w:rsidP="00CC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2CB"/>
    <w:multiLevelType w:val="multilevel"/>
    <w:tmpl w:val="C274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E27"/>
    <w:multiLevelType w:val="hybridMultilevel"/>
    <w:tmpl w:val="EE640C00"/>
    <w:lvl w:ilvl="0" w:tplc="CC08D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B80"/>
    <w:multiLevelType w:val="multilevel"/>
    <w:tmpl w:val="B9965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33DEC"/>
    <w:multiLevelType w:val="multilevel"/>
    <w:tmpl w:val="B5ECBE1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F4870"/>
    <w:multiLevelType w:val="hybridMultilevel"/>
    <w:tmpl w:val="4A5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1472"/>
    <w:multiLevelType w:val="multilevel"/>
    <w:tmpl w:val="0C3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76A33"/>
    <w:multiLevelType w:val="hybridMultilevel"/>
    <w:tmpl w:val="E9F634E2"/>
    <w:lvl w:ilvl="0" w:tplc="6D82A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41464"/>
    <w:multiLevelType w:val="hybridMultilevel"/>
    <w:tmpl w:val="62F48C7C"/>
    <w:lvl w:ilvl="0" w:tplc="0356655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BA13CF"/>
    <w:multiLevelType w:val="hybridMultilevel"/>
    <w:tmpl w:val="BCEE6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95146"/>
    <w:multiLevelType w:val="hybridMultilevel"/>
    <w:tmpl w:val="756AE22A"/>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0" w15:restartNumberingAfterBreak="0">
    <w:nsid w:val="29A96D6B"/>
    <w:multiLevelType w:val="hybridMultilevel"/>
    <w:tmpl w:val="F73C3D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A775D"/>
    <w:multiLevelType w:val="multilevel"/>
    <w:tmpl w:val="8F9843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4477C1"/>
    <w:multiLevelType w:val="hybridMultilevel"/>
    <w:tmpl w:val="D23CF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44052"/>
    <w:multiLevelType w:val="multilevel"/>
    <w:tmpl w:val="791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87A14"/>
    <w:multiLevelType w:val="multilevel"/>
    <w:tmpl w:val="3CAAC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C72DA"/>
    <w:multiLevelType w:val="hybridMultilevel"/>
    <w:tmpl w:val="A7C4A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4C33F7"/>
    <w:multiLevelType w:val="hybridMultilevel"/>
    <w:tmpl w:val="A68A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07A54"/>
    <w:multiLevelType w:val="multilevel"/>
    <w:tmpl w:val="61F6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C3C77"/>
    <w:multiLevelType w:val="multilevel"/>
    <w:tmpl w:val="E094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51654A"/>
    <w:multiLevelType w:val="hybridMultilevel"/>
    <w:tmpl w:val="EAFE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653A4"/>
    <w:multiLevelType w:val="multilevel"/>
    <w:tmpl w:val="15FE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604E5"/>
    <w:multiLevelType w:val="hybridMultilevel"/>
    <w:tmpl w:val="E37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26E35"/>
    <w:multiLevelType w:val="hybridMultilevel"/>
    <w:tmpl w:val="75C45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5B5F50"/>
    <w:multiLevelType w:val="multilevel"/>
    <w:tmpl w:val="BB9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D6A85"/>
    <w:multiLevelType w:val="multilevel"/>
    <w:tmpl w:val="FB9670C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6C21C9"/>
    <w:multiLevelType w:val="hybridMultilevel"/>
    <w:tmpl w:val="9B22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F07C7"/>
    <w:multiLevelType w:val="hybridMultilevel"/>
    <w:tmpl w:val="F1D87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AD5D29"/>
    <w:multiLevelType w:val="multilevel"/>
    <w:tmpl w:val="587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62AAD"/>
    <w:multiLevelType w:val="hybridMultilevel"/>
    <w:tmpl w:val="076C219E"/>
    <w:lvl w:ilvl="0" w:tplc="EBD2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A02825"/>
    <w:multiLevelType w:val="hybridMultilevel"/>
    <w:tmpl w:val="AD4232FE"/>
    <w:lvl w:ilvl="0" w:tplc="24BA67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51122"/>
    <w:multiLevelType w:val="hybridMultilevel"/>
    <w:tmpl w:val="D3AA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65BC7"/>
    <w:multiLevelType w:val="multilevel"/>
    <w:tmpl w:val="3C84F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A3167D"/>
    <w:multiLevelType w:val="hybridMultilevel"/>
    <w:tmpl w:val="63AA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B716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CBD555B"/>
    <w:multiLevelType w:val="hybridMultilevel"/>
    <w:tmpl w:val="B13C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B5CCA"/>
    <w:multiLevelType w:val="hybridMultilevel"/>
    <w:tmpl w:val="25EC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050A0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2029521">
    <w:abstractNumId w:val="14"/>
  </w:num>
  <w:num w:numId="2" w16cid:durableId="1252616192">
    <w:abstractNumId w:val="6"/>
  </w:num>
  <w:num w:numId="3" w16cid:durableId="413476600">
    <w:abstractNumId w:val="8"/>
  </w:num>
  <w:num w:numId="4" w16cid:durableId="1124738651">
    <w:abstractNumId w:val="7"/>
  </w:num>
  <w:num w:numId="5" w16cid:durableId="923145350">
    <w:abstractNumId w:val="29"/>
  </w:num>
  <w:num w:numId="6" w16cid:durableId="1602301929">
    <w:abstractNumId w:val="3"/>
  </w:num>
  <w:num w:numId="7" w16cid:durableId="1951428548">
    <w:abstractNumId w:val="2"/>
  </w:num>
  <w:num w:numId="8" w16cid:durableId="908536345">
    <w:abstractNumId w:val="16"/>
  </w:num>
  <w:num w:numId="9" w16cid:durableId="145128192">
    <w:abstractNumId w:val="11"/>
  </w:num>
  <w:num w:numId="10" w16cid:durableId="1586526162">
    <w:abstractNumId w:val="22"/>
  </w:num>
  <w:num w:numId="11" w16cid:durableId="1889032788">
    <w:abstractNumId w:val="10"/>
  </w:num>
  <w:num w:numId="12" w16cid:durableId="1248466750">
    <w:abstractNumId w:val="15"/>
  </w:num>
  <w:num w:numId="13" w16cid:durableId="200016398">
    <w:abstractNumId w:val="4"/>
  </w:num>
  <w:num w:numId="14" w16cid:durableId="1785072547">
    <w:abstractNumId w:val="35"/>
  </w:num>
  <w:num w:numId="15" w16cid:durableId="2049063106">
    <w:abstractNumId w:val="32"/>
  </w:num>
  <w:num w:numId="16" w16cid:durableId="295766560">
    <w:abstractNumId w:val="19"/>
  </w:num>
  <w:num w:numId="17" w16cid:durableId="1857233463">
    <w:abstractNumId w:val="28"/>
  </w:num>
  <w:num w:numId="18" w16cid:durableId="46150414">
    <w:abstractNumId w:val="26"/>
  </w:num>
  <w:num w:numId="19" w16cid:durableId="1945382572">
    <w:abstractNumId w:val="1"/>
  </w:num>
  <w:num w:numId="20" w16cid:durableId="1006521084">
    <w:abstractNumId w:val="36"/>
  </w:num>
  <w:num w:numId="21" w16cid:durableId="1633292179">
    <w:abstractNumId w:val="33"/>
  </w:num>
  <w:num w:numId="22" w16cid:durableId="233708499">
    <w:abstractNumId w:val="12"/>
  </w:num>
  <w:num w:numId="23" w16cid:durableId="135026365">
    <w:abstractNumId w:val="31"/>
  </w:num>
  <w:num w:numId="24" w16cid:durableId="267660327">
    <w:abstractNumId w:val="25"/>
  </w:num>
  <w:num w:numId="25" w16cid:durableId="393506089">
    <w:abstractNumId w:val="21"/>
  </w:num>
  <w:num w:numId="26" w16cid:durableId="1947425097">
    <w:abstractNumId w:val="24"/>
  </w:num>
  <w:num w:numId="27" w16cid:durableId="1496993106">
    <w:abstractNumId w:val="20"/>
  </w:num>
  <w:num w:numId="28" w16cid:durableId="1037046279">
    <w:abstractNumId w:val="27"/>
  </w:num>
  <w:num w:numId="29" w16cid:durableId="1785610842">
    <w:abstractNumId w:val="0"/>
  </w:num>
  <w:num w:numId="30" w16cid:durableId="1171095009">
    <w:abstractNumId w:val="13"/>
  </w:num>
  <w:num w:numId="31" w16cid:durableId="28529433">
    <w:abstractNumId w:val="5"/>
  </w:num>
  <w:num w:numId="32" w16cid:durableId="794442615">
    <w:abstractNumId w:val="23"/>
  </w:num>
  <w:num w:numId="33" w16cid:durableId="1293055634">
    <w:abstractNumId w:val="17"/>
  </w:num>
  <w:num w:numId="34" w16cid:durableId="1578899378">
    <w:abstractNumId w:val="30"/>
  </w:num>
  <w:num w:numId="35" w16cid:durableId="604266686">
    <w:abstractNumId w:val="34"/>
  </w:num>
  <w:num w:numId="36" w16cid:durableId="299576244">
    <w:abstractNumId w:val="18"/>
  </w:num>
  <w:num w:numId="37" w16cid:durableId="683631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FD"/>
    <w:rsid w:val="00001FD0"/>
    <w:rsid w:val="00005A53"/>
    <w:rsid w:val="00020692"/>
    <w:rsid w:val="00021654"/>
    <w:rsid w:val="000237F1"/>
    <w:rsid w:val="00033712"/>
    <w:rsid w:val="000343F8"/>
    <w:rsid w:val="000401A1"/>
    <w:rsid w:val="00044071"/>
    <w:rsid w:val="00050ADB"/>
    <w:rsid w:val="000626E7"/>
    <w:rsid w:val="000752A1"/>
    <w:rsid w:val="000A07F5"/>
    <w:rsid w:val="000A10B5"/>
    <w:rsid w:val="000A3781"/>
    <w:rsid w:val="000B0F6B"/>
    <w:rsid w:val="000B57C9"/>
    <w:rsid w:val="000B73D5"/>
    <w:rsid w:val="000E2AEB"/>
    <w:rsid w:val="000E4213"/>
    <w:rsid w:val="000E7554"/>
    <w:rsid w:val="000F5949"/>
    <w:rsid w:val="00104BFD"/>
    <w:rsid w:val="00105158"/>
    <w:rsid w:val="00113396"/>
    <w:rsid w:val="00117810"/>
    <w:rsid w:val="00121FEC"/>
    <w:rsid w:val="00142346"/>
    <w:rsid w:val="00165F76"/>
    <w:rsid w:val="00166F31"/>
    <w:rsid w:val="00170FCE"/>
    <w:rsid w:val="00176A7D"/>
    <w:rsid w:val="00195AFC"/>
    <w:rsid w:val="00196D89"/>
    <w:rsid w:val="00197D62"/>
    <w:rsid w:val="001A2078"/>
    <w:rsid w:val="001C6286"/>
    <w:rsid w:val="001D2D9D"/>
    <w:rsid w:val="001D3DE8"/>
    <w:rsid w:val="001F4AAB"/>
    <w:rsid w:val="001F6817"/>
    <w:rsid w:val="0020037C"/>
    <w:rsid w:val="00211DAB"/>
    <w:rsid w:val="00212841"/>
    <w:rsid w:val="0021398C"/>
    <w:rsid w:val="002147B9"/>
    <w:rsid w:val="00220ECE"/>
    <w:rsid w:val="00225DFE"/>
    <w:rsid w:val="00235642"/>
    <w:rsid w:val="002435A7"/>
    <w:rsid w:val="00246D72"/>
    <w:rsid w:val="00250CAC"/>
    <w:rsid w:val="002814B2"/>
    <w:rsid w:val="0028426C"/>
    <w:rsid w:val="00292703"/>
    <w:rsid w:val="002A2547"/>
    <w:rsid w:val="002A4500"/>
    <w:rsid w:val="002B4B7C"/>
    <w:rsid w:val="002B6FC6"/>
    <w:rsid w:val="002C4809"/>
    <w:rsid w:val="002E20FE"/>
    <w:rsid w:val="002E7A00"/>
    <w:rsid w:val="00303AF0"/>
    <w:rsid w:val="003129C1"/>
    <w:rsid w:val="003136DD"/>
    <w:rsid w:val="00313937"/>
    <w:rsid w:val="003215FC"/>
    <w:rsid w:val="00326ACB"/>
    <w:rsid w:val="003316DE"/>
    <w:rsid w:val="00340ACB"/>
    <w:rsid w:val="00351E63"/>
    <w:rsid w:val="00354EAC"/>
    <w:rsid w:val="00374E01"/>
    <w:rsid w:val="003778E7"/>
    <w:rsid w:val="00380040"/>
    <w:rsid w:val="00390603"/>
    <w:rsid w:val="00393C00"/>
    <w:rsid w:val="00396908"/>
    <w:rsid w:val="003C0795"/>
    <w:rsid w:val="003C672B"/>
    <w:rsid w:val="003D17A0"/>
    <w:rsid w:val="003D34FB"/>
    <w:rsid w:val="003D4774"/>
    <w:rsid w:val="003E1DB1"/>
    <w:rsid w:val="003F1843"/>
    <w:rsid w:val="003F3F99"/>
    <w:rsid w:val="004079AA"/>
    <w:rsid w:val="00425FBB"/>
    <w:rsid w:val="004373F0"/>
    <w:rsid w:val="00443BBE"/>
    <w:rsid w:val="00443DF7"/>
    <w:rsid w:val="00472887"/>
    <w:rsid w:val="0048220C"/>
    <w:rsid w:val="00491CB9"/>
    <w:rsid w:val="0049214C"/>
    <w:rsid w:val="004A5C57"/>
    <w:rsid w:val="004B67D1"/>
    <w:rsid w:val="004D42B3"/>
    <w:rsid w:val="004F27D2"/>
    <w:rsid w:val="0050491F"/>
    <w:rsid w:val="00534C1B"/>
    <w:rsid w:val="00535889"/>
    <w:rsid w:val="005372CB"/>
    <w:rsid w:val="00540EE8"/>
    <w:rsid w:val="005438A4"/>
    <w:rsid w:val="00551AC5"/>
    <w:rsid w:val="00552D59"/>
    <w:rsid w:val="005553B5"/>
    <w:rsid w:val="00555C11"/>
    <w:rsid w:val="0056134E"/>
    <w:rsid w:val="005628D2"/>
    <w:rsid w:val="005716BB"/>
    <w:rsid w:val="00572D5C"/>
    <w:rsid w:val="00573142"/>
    <w:rsid w:val="00573461"/>
    <w:rsid w:val="00577E05"/>
    <w:rsid w:val="005C67CA"/>
    <w:rsid w:val="005C78D7"/>
    <w:rsid w:val="005D63DA"/>
    <w:rsid w:val="005E707B"/>
    <w:rsid w:val="00621F1C"/>
    <w:rsid w:val="00625FB9"/>
    <w:rsid w:val="006267D0"/>
    <w:rsid w:val="00631B8F"/>
    <w:rsid w:val="006420FD"/>
    <w:rsid w:val="006650CB"/>
    <w:rsid w:val="006756E6"/>
    <w:rsid w:val="00685480"/>
    <w:rsid w:val="006901C8"/>
    <w:rsid w:val="006904E0"/>
    <w:rsid w:val="00692A57"/>
    <w:rsid w:val="006A1D80"/>
    <w:rsid w:val="006B61BC"/>
    <w:rsid w:val="006C1088"/>
    <w:rsid w:val="00712BA6"/>
    <w:rsid w:val="00723FE0"/>
    <w:rsid w:val="00725554"/>
    <w:rsid w:val="00726076"/>
    <w:rsid w:val="0073427D"/>
    <w:rsid w:val="00736985"/>
    <w:rsid w:val="007371BF"/>
    <w:rsid w:val="007402A0"/>
    <w:rsid w:val="00745DA3"/>
    <w:rsid w:val="00762BAF"/>
    <w:rsid w:val="0077394F"/>
    <w:rsid w:val="0077691C"/>
    <w:rsid w:val="00777BAC"/>
    <w:rsid w:val="007A38B9"/>
    <w:rsid w:val="007A4C01"/>
    <w:rsid w:val="007A7C0D"/>
    <w:rsid w:val="007B071F"/>
    <w:rsid w:val="007B7499"/>
    <w:rsid w:val="007C5173"/>
    <w:rsid w:val="007D240D"/>
    <w:rsid w:val="007D5196"/>
    <w:rsid w:val="007E42EC"/>
    <w:rsid w:val="007E6784"/>
    <w:rsid w:val="007F06ED"/>
    <w:rsid w:val="007F5686"/>
    <w:rsid w:val="007F7421"/>
    <w:rsid w:val="008038D3"/>
    <w:rsid w:val="00811386"/>
    <w:rsid w:val="00813C46"/>
    <w:rsid w:val="008150D7"/>
    <w:rsid w:val="00817B9D"/>
    <w:rsid w:val="00824D3D"/>
    <w:rsid w:val="008269D4"/>
    <w:rsid w:val="008410D6"/>
    <w:rsid w:val="008559EF"/>
    <w:rsid w:val="00865AEB"/>
    <w:rsid w:val="00871AAC"/>
    <w:rsid w:val="00882E6E"/>
    <w:rsid w:val="00884034"/>
    <w:rsid w:val="00892645"/>
    <w:rsid w:val="008A3389"/>
    <w:rsid w:val="008B57E5"/>
    <w:rsid w:val="008B6E80"/>
    <w:rsid w:val="008B78DB"/>
    <w:rsid w:val="008D4177"/>
    <w:rsid w:val="008F139D"/>
    <w:rsid w:val="009024AB"/>
    <w:rsid w:val="00904B92"/>
    <w:rsid w:val="00905931"/>
    <w:rsid w:val="00907BC4"/>
    <w:rsid w:val="00913B27"/>
    <w:rsid w:val="009140F7"/>
    <w:rsid w:val="00915658"/>
    <w:rsid w:val="009216A7"/>
    <w:rsid w:val="0093744C"/>
    <w:rsid w:val="009407F9"/>
    <w:rsid w:val="00943740"/>
    <w:rsid w:val="00947204"/>
    <w:rsid w:val="009500D6"/>
    <w:rsid w:val="00997D6D"/>
    <w:rsid w:val="009A7AC5"/>
    <w:rsid w:val="009D062F"/>
    <w:rsid w:val="009E7E8E"/>
    <w:rsid w:val="009F3BBF"/>
    <w:rsid w:val="009F57CC"/>
    <w:rsid w:val="00A02888"/>
    <w:rsid w:val="00A0444C"/>
    <w:rsid w:val="00A14242"/>
    <w:rsid w:val="00A31C2E"/>
    <w:rsid w:val="00A3675A"/>
    <w:rsid w:val="00A716AC"/>
    <w:rsid w:val="00A779EA"/>
    <w:rsid w:val="00A828C6"/>
    <w:rsid w:val="00A9260C"/>
    <w:rsid w:val="00AD2C08"/>
    <w:rsid w:val="00AD38BC"/>
    <w:rsid w:val="00AE1129"/>
    <w:rsid w:val="00AF5964"/>
    <w:rsid w:val="00AF65C1"/>
    <w:rsid w:val="00B00DB6"/>
    <w:rsid w:val="00B0265D"/>
    <w:rsid w:val="00B10E56"/>
    <w:rsid w:val="00B11CB7"/>
    <w:rsid w:val="00B13C85"/>
    <w:rsid w:val="00B1537D"/>
    <w:rsid w:val="00B16F69"/>
    <w:rsid w:val="00B17B41"/>
    <w:rsid w:val="00B2509E"/>
    <w:rsid w:val="00B47BF5"/>
    <w:rsid w:val="00B56EF2"/>
    <w:rsid w:val="00B6338A"/>
    <w:rsid w:val="00B65D46"/>
    <w:rsid w:val="00B764E8"/>
    <w:rsid w:val="00B76628"/>
    <w:rsid w:val="00B823AA"/>
    <w:rsid w:val="00BA15DD"/>
    <w:rsid w:val="00BE6379"/>
    <w:rsid w:val="00BF0186"/>
    <w:rsid w:val="00BF2764"/>
    <w:rsid w:val="00C00474"/>
    <w:rsid w:val="00C16882"/>
    <w:rsid w:val="00C2189F"/>
    <w:rsid w:val="00C35891"/>
    <w:rsid w:val="00C40D12"/>
    <w:rsid w:val="00C53E05"/>
    <w:rsid w:val="00C56B64"/>
    <w:rsid w:val="00C63CE4"/>
    <w:rsid w:val="00C63EEA"/>
    <w:rsid w:val="00C725A4"/>
    <w:rsid w:val="00C7450C"/>
    <w:rsid w:val="00C74912"/>
    <w:rsid w:val="00C81232"/>
    <w:rsid w:val="00C83E09"/>
    <w:rsid w:val="00C94DF9"/>
    <w:rsid w:val="00CA5E7A"/>
    <w:rsid w:val="00CB3BEC"/>
    <w:rsid w:val="00CC67B6"/>
    <w:rsid w:val="00CD2A7B"/>
    <w:rsid w:val="00CD3E52"/>
    <w:rsid w:val="00CD6971"/>
    <w:rsid w:val="00CE2893"/>
    <w:rsid w:val="00CE7287"/>
    <w:rsid w:val="00CF0A12"/>
    <w:rsid w:val="00CF1F2E"/>
    <w:rsid w:val="00D06B35"/>
    <w:rsid w:val="00D13BA8"/>
    <w:rsid w:val="00D15AF4"/>
    <w:rsid w:val="00D16538"/>
    <w:rsid w:val="00D17FF6"/>
    <w:rsid w:val="00D2525B"/>
    <w:rsid w:val="00D258BB"/>
    <w:rsid w:val="00D31488"/>
    <w:rsid w:val="00D360AB"/>
    <w:rsid w:val="00D429ED"/>
    <w:rsid w:val="00D452CB"/>
    <w:rsid w:val="00D612D4"/>
    <w:rsid w:val="00D84288"/>
    <w:rsid w:val="00D91971"/>
    <w:rsid w:val="00D97458"/>
    <w:rsid w:val="00D97CDA"/>
    <w:rsid w:val="00DB4408"/>
    <w:rsid w:val="00DC4456"/>
    <w:rsid w:val="00DD12A3"/>
    <w:rsid w:val="00DD26CE"/>
    <w:rsid w:val="00E01E19"/>
    <w:rsid w:val="00E03781"/>
    <w:rsid w:val="00E24F54"/>
    <w:rsid w:val="00E320EF"/>
    <w:rsid w:val="00E3698E"/>
    <w:rsid w:val="00E3700F"/>
    <w:rsid w:val="00E5123F"/>
    <w:rsid w:val="00E82D2B"/>
    <w:rsid w:val="00E86F2A"/>
    <w:rsid w:val="00E90A00"/>
    <w:rsid w:val="00EC31AA"/>
    <w:rsid w:val="00ED0842"/>
    <w:rsid w:val="00ED4582"/>
    <w:rsid w:val="00ED7FB6"/>
    <w:rsid w:val="00EF35C9"/>
    <w:rsid w:val="00EF377B"/>
    <w:rsid w:val="00EF3DE3"/>
    <w:rsid w:val="00EF45BB"/>
    <w:rsid w:val="00F01C72"/>
    <w:rsid w:val="00F069CB"/>
    <w:rsid w:val="00F1228D"/>
    <w:rsid w:val="00F17EF7"/>
    <w:rsid w:val="00F55528"/>
    <w:rsid w:val="00F605C0"/>
    <w:rsid w:val="00F8331E"/>
    <w:rsid w:val="00F9086E"/>
    <w:rsid w:val="00F9191E"/>
    <w:rsid w:val="00FA47D2"/>
    <w:rsid w:val="00FB097F"/>
    <w:rsid w:val="00FC75AC"/>
    <w:rsid w:val="00FD1790"/>
    <w:rsid w:val="00FD2372"/>
    <w:rsid w:val="00FD2F10"/>
    <w:rsid w:val="00FE3181"/>
    <w:rsid w:val="00FF16D8"/>
    <w:rsid w:val="00FF484F"/>
    <w:rsid w:val="00FF659E"/>
    <w:rsid w:val="00FF72C1"/>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8B6A"/>
  <w15:docId w15:val="{2B17B039-B58C-4676-9F7D-316CAE2D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E19"/>
    <w:pPr>
      <w:spacing w:after="0" w:line="240" w:lineRule="auto"/>
    </w:pPr>
  </w:style>
  <w:style w:type="paragraph" w:styleId="Header">
    <w:name w:val="header"/>
    <w:basedOn w:val="Normal"/>
    <w:link w:val="HeaderChar"/>
    <w:uiPriority w:val="99"/>
    <w:unhideWhenUsed/>
    <w:rsid w:val="00CC6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B6"/>
  </w:style>
  <w:style w:type="paragraph" w:styleId="Footer">
    <w:name w:val="footer"/>
    <w:basedOn w:val="Normal"/>
    <w:link w:val="FooterChar"/>
    <w:uiPriority w:val="99"/>
    <w:unhideWhenUsed/>
    <w:rsid w:val="00CC6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B6"/>
  </w:style>
  <w:style w:type="paragraph" w:styleId="ListParagraph">
    <w:name w:val="List Paragraph"/>
    <w:basedOn w:val="Normal"/>
    <w:uiPriority w:val="34"/>
    <w:qFormat/>
    <w:rsid w:val="00871AAC"/>
    <w:pPr>
      <w:ind w:left="720"/>
      <w:contextualSpacing/>
    </w:pPr>
  </w:style>
  <w:style w:type="character" w:styleId="Emphasis">
    <w:name w:val="Emphasis"/>
    <w:basedOn w:val="DefaultParagraphFont"/>
    <w:uiPriority w:val="20"/>
    <w:qFormat/>
    <w:rsid w:val="00A0444C"/>
    <w:rPr>
      <w:i/>
      <w:iCs/>
    </w:rPr>
  </w:style>
  <w:style w:type="character" w:styleId="Hyperlink">
    <w:name w:val="Hyperlink"/>
    <w:basedOn w:val="DefaultParagraphFont"/>
    <w:uiPriority w:val="99"/>
    <w:unhideWhenUsed/>
    <w:rsid w:val="00A0444C"/>
    <w:rPr>
      <w:color w:val="0000FF"/>
      <w:u w:val="single"/>
    </w:rPr>
  </w:style>
  <w:style w:type="paragraph" w:styleId="BalloonText">
    <w:name w:val="Balloon Text"/>
    <w:basedOn w:val="Normal"/>
    <w:link w:val="BalloonTextChar"/>
    <w:uiPriority w:val="99"/>
    <w:semiHidden/>
    <w:unhideWhenUsed/>
    <w:rsid w:val="00E2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54"/>
    <w:rPr>
      <w:rFonts w:ascii="Tahoma" w:hAnsi="Tahoma" w:cs="Tahoma"/>
      <w:sz w:val="16"/>
      <w:szCs w:val="16"/>
    </w:rPr>
  </w:style>
  <w:style w:type="table" w:styleId="TableGrid">
    <w:name w:val="Table Grid"/>
    <w:basedOn w:val="TableNormal"/>
    <w:uiPriority w:val="59"/>
    <w:rsid w:val="0022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2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888"/>
    <w:rPr>
      <w:b/>
      <w:bCs/>
    </w:rPr>
  </w:style>
  <w:style w:type="character" w:customStyle="1" w:styleId="NoSpacingChar">
    <w:name w:val="No Spacing Char"/>
    <w:basedOn w:val="DefaultParagraphFont"/>
    <w:link w:val="NoSpacing"/>
    <w:uiPriority w:val="1"/>
    <w:rsid w:val="00F17EF7"/>
  </w:style>
  <w:style w:type="character" w:customStyle="1" w:styleId="relative">
    <w:name w:val="relative"/>
    <w:basedOn w:val="DefaultParagraphFont"/>
    <w:rsid w:val="00F9086E"/>
  </w:style>
  <w:style w:type="character" w:customStyle="1" w:styleId="fadein4f9by7">
    <w:name w:val="_fadein_4f9by_7"/>
    <w:basedOn w:val="DefaultParagraphFont"/>
    <w:rsid w:val="00313937"/>
  </w:style>
  <w:style w:type="character" w:styleId="CommentReference">
    <w:name w:val="annotation reference"/>
    <w:basedOn w:val="DefaultParagraphFont"/>
    <w:uiPriority w:val="99"/>
    <w:semiHidden/>
    <w:unhideWhenUsed/>
    <w:rsid w:val="008A3389"/>
    <w:rPr>
      <w:sz w:val="16"/>
      <w:szCs w:val="16"/>
    </w:rPr>
  </w:style>
  <w:style w:type="paragraph" w:styleId="CommentText">
    <w:name w:val="annotation text"/>
    <w:basedOn w:val="Normal"/>
    <w:link w:val="CommentTextChar"/>
    <w:uiPriority w:val="99"/>
    <w:unhideWhenUsed/>
    <w:rsid w:val="008A3389"/>
    <w:pPr>
      <w:spacing w:line="240" w:lineRule="auto"/>
    </w:pPr>
    <w:rPr>
      <w:sz w:val="20"/>
      <w:szCs w:val="20"/>
    </w:rPr>
  </w:style>
  <w:style w:type="character" w:customStyle="1" w:styleId="CommentTextChar">
    <w:name w:val="Comment Text Char"/>
    <w:basedOn w:val="DefaultParagraphFont"/>
    <w:link w:val="CommentText"/>
    <w:uiPriority w:val="99"/>
    <w:rsid w:val="008A3389"/>
    <w:rPr>
      <w:sz w:val="20"/>
      <w:szCs w:val="20"/>
    </w:rPr>
  </w:style>
  <w:style w:type="paragraph" w:styleId="CommentSubject">
    <w:name w:val="annotation subject"/>
    <w:basedOn w:val="CommentText"/>
    <w:next w:val="CommentText"/>
    <w:link w:val="CommentSubjectChar"/>
    <w:uiPriority w:val="99"/>
    <w:semiHidden/>
    <w:unhideWhenUsed/>
    <w:rsid w:val="008A3389"/>
    <w:rPr>
      <w:b/>
      <w:bCs/>
    </w:rPr>
  </w:style>
  <w:style w:type="character" w:customStyle="1" w:styleId="CommentSubjectChar">
    <w:name w:val="Comment Subject Char"/>
    <w:basedOn w:val="CommentTextChar"/>
    <w:link w:val="CommentSubject"/>
    <w:uiPriority w:val="99"/>
    <w:semiHidden/>
    <w:rsid w:val="008A3389"/>
    <w:rPr>
      <w:b/>
      <w:bCs/>
      <w:sz w:val="20"/>
      <w:szCs w:val="20"/>
    </w:rPr>
  </w:style>
  <w:style w:type="character" w:styleId="UnresolvedMention">
    <w:name w:val="Unresolved Mention"/>
    <w:basedOn w:val="DefaultParagraphFont"/>
    <w:uiPriority w:val="99"/>
    <w:semiHidden/>
    <w:unhideWhenUsed/>
    <w:rsid w:val="0072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4956">
      <w:bodyDiv w:val="1"/>
      <w:marLeft w:val="0"/>
      <w:marRight w:val="0"/>
      <w:marTop w:val="0"/>
      <w:marBottom w:val="0"/>
      <w:divBdr>
        <w:top w:val="none" w:sz="0" w:space="0" w:color="auto"/>
        <w:left w:val="none" w:sz="0" w:space="0" w:color="auto"/>
        <w:bottom w:val="none" w:sz="0" w:space="0" w:color="auto"/>
        <w:right w:val="none" w:sz="0" w:space="0" w:color="auto"/>
      </w:divBdr>
    </w:div>
    <w:div w:id="367220871">
      <w:bodyDiv w:val="1"/>
      <w:marLeft w:val="0"/>
      <w:marRight w:val="0"/>
      <w:marTop w:val="0"/>
      <w:marBottom w:val="0"/>
      <w:divBdr>
        <w:top w:val="none" w:sz="0" w:space="0" w:color="auto"/>
        <w:left w:val="none" w:sz="0" w:space="0" w:color="auto"/>
        <w:bottom w:val="none" w:sz="0" w:space="0" w:color="auto"/>
        <w:right w:val="none" w:sz="0" w:space="0" w:color="auto"/>
      </w:divBdr>
    </w:div>
    <w:div w:id="400564396">
      <w:bodyDiv w:val="1"/>
      <w:marLeft w:val="0"/>
      <w:marRight w:val="0"/>
      <w:marTop w:val="0"/>
      <w:marBottom w:val="0"/>
      <w:divBdr>
        <w:top w:val="none" w:sz="0" w:space="0" w:color="auto"/>
        <w:left w:val="none" w:sz="0" w:space="0" w:color="auto"/>
        <w:bottom w:val="none" w:sz="0" w:space="0" w:color="auto"/>
        <w:right w:val="none" w:sz="0" w:space="0" w:color="auto"/>
      </w:divBdr>
    </w:div>
    <w:div w:id="435173053">
      <w:bodyDiv w:val="1"/>
      <w:marLeft w:val="0"/>
      <w:marRight w:val="0"/>
      <w:marTop w:val="0"/>
      <w:marBottom w:val="0"/>
      <w:divBdr>
        <w:top w:val="none" w:sz="0" w:space="0" w:color="auto"/>
        <w:left w:val="none" w:sz="0" w:space="0" w:color="auto"/>
        <w:bottom w:val="none" w:sz="0" w:space="0" w:color="auto"/>
        <w:right w:val="none" w:sz="0" w:space="0" w:color="auto"/>
      </w:divBdr>
      <w:divsChild>
        <w:div w:id="1220243492">
          <w:marLeft w:val="0"/>
          <w:marRight w:val="0"/>
          <w:marTop w:val="0"/>
          <w:marBottom w:val="0"/>
          <w:divBdr>
            <w:top w:val="none" w:sz="0" w:space="0" w:color="auto"/>
            <w:left w:val="none" w:sz="0" w:space="0" w:color="auto"/>
            <w:bottom w:val="none" w:sz="0" w:space="0" w:color="auto"/>
            <w:right w:val="none" w:sz="0" w:space="0" w:color="auto"/>
          </w:divBdr>
          <w:divsChild>
            <w:div w:id="1839492282">
              <w:marLeft w:val="0"/>
              <w:marRight w:val="0"/>
              <w:marTop w:val="0"/>
              <w:marBottom w:val="0"/>
              <w:divBdr>
                <w:top w:val="none" w:sz="0" w:space="0" w:color="auto"/>
                <w:left w:val="none" w:sz="0" w:space="0" w:color="auto"/>
                <w:bottom w:val="none" w:sz="0" w:space="0" w:color="auto"/>
                <w:right w:val="none" w:sz="0" w:space="0" w:color="auto"/>
              </w:divBdr>
              <w:divsChild>
                <w:div w:id="1882747865">
                  <w:marLeft w:val="0"/>
                  <w:marRight w:val="0"/>
                  <w:marTop w:val="0"/>
                  <w:marBottom w:val="0"/>
                  <w:divBdr>
                    <w:top w:val="none" w:sz="0" w:space="0" w:color="auto"/>
                    <w:left w:val="none" w:sz="0" w:space="0" w:color="auto"/>
                    <w:bottom w:val="none" w:sz="0" w:space="0" w:color="auto"/>
                    <w:right w:val="none" w:sz="0" w:space="0" w:color="auto"/>
                  </w:divBdr>
                  <w:divsChild>
                    <w:div w:id="503210631">
                      <w:marLeft w:val="0"/>
                      <w:marRight w:val="0"/>
                      <w:marTop w:val="0"/>
                      <w:marBottom w:val="0"/>
                      <w:divBdr>
                        <w:top w:val="none" w:sz="0" w:space="0" w:color="auto"/>
                        <w:left w:val="none" w:sz="0" w:space="0" w:color="auto"/>
                        <w:bottom w:val="none" w:sz="0" w:space="0" w:color="auto"/>
                        <w:right w:val="none" w:sz="0" w:space="0" w:color="auto"/>
                      </w:divBdr>
                      <w:divsChild>
                        <w:div w:id="336923973">
                          <w:marLeft w:val="0"/>
                          <w:marRight w:val="0"/>
                          <w:marTop w:val="0"/>
                          <w:marBottom w:val="0"/>
                          <w:divBdr>
                            <w:top w:val="none" w:sz="0" w:space="0" w:color="auto"/>
                            <w:left w:val="none" w:sz="0" w:space="0" w:color="auto"/>
                            <w:bottom w:val="none" w:sz="0" w:space="0" w:color="auto"/>
                            <w:right w:val="none" w:sz="0" w:space="0" w:color="auto"/>
                          </w:divBdr>
                          <w:divsChild>
                            <w:div w:id="794296847">
                              <w:marLeft w:val="0"/>
                              <w:marRight w:val="0"/>
                              <w:marTop w:val="0"/>
                              <w:marBottom w:val="0"/>
                              <w:divBdr>
                                <w:top w:val="none" w:sz="0" w:space="0" w:color="auto"/>
                                <w:left w:val="none" w:sz="0" w:space="0" w:color="auto"/>
                                <w:bottom w:val="none" w:sz="0" w:space="0" w:color="auto"/>
                                <w:right w:val="none" w:sz="0" w:space="0" w:color="auto"/>
                              </w:divBdr>
                              <w:divsChild>
                                <w:div w:id="1931307650">
                                  <w:marLeft w:val="0"/>
                                  <w:marRight w:val="0"/>
                                  <w:marTop w:val="0"/>
                                  <w:marBottom w:val="0"/>
                                  <w:divBdr>
                                    <w:top w:val="none" w:sz="0" w:space="0" w:color="auto"/>
                                    <w:left w:val="none" w:sz="0" w:space="0" w:color="auto"/>
                                    <w:bottom w:val="none" w:sz="0" w:space="0" w:color="auto"/>
                                    <w:right w:val="none" w:sz="0" w:space="0" w:color="auto"/>
                                  </w:divBdr>
                                  <w:divsChild>
                                    <w:div w:id="172576987">
                                      <w:marLeft w:val="0"/>
                                      <w:marRight w:val="0"/>
                                      <w:marTop w:val="0"/>
                                      <w:marBottom w:val="0"/>
                                      <w:divBdr>
                                        <w:top w:val="none" w:sz="0" w:space="0" w:color="auto"/>
                                        <w:left w:val="none" w:sz="0" w:space="0" w:color="auto"/>
                                        <w:bottom w:val="none" w:sz="0" w:space="0" w:color="auto"/>
                                        <w:right w:val="none" w:sz="0" w:space="0" w:color="auto"/>
                                      </w:divBdr>
                                      <w:divsChild>
                                        <w:div w:id="1377437688">
                                          <w:marLeft w:val="0"/>
                                          <w:marRight w:val="0"/>
                                          <w:marTop w:val="0"/>
                                          <w:marBottom w:val="0"/>
                                          <w:divBdr>
                                            <w:top w:val="none" w:sz="0" w:space="0" w:color="auto"/>
                                            <w:left w:val="none" w:sz="0" w:space="0" w:color="auto"/>
                                            <w:bottom w:val="none" w:sz="0" w:space="0" w:color="auto"/>
                                            <w:right w:val="none" w:sz="0" w:space="0" w:color="auto"/>
                                          </w:divBdr>
                                          <w:divsChild>
                                            <w:div w:id="675766674">
                                              <w:marLeft w:val="0"/>
                                              <w:marRight w:val="0"/>
                                              <w:marTop w:val="0"/>
                                              <w:marBottom w:val="0"/>
                                              <w:divBdr>
                                                <w:top w:val="none" w:sz="0" w:space="0" w:color="auto"/>
                                                <w:left w:val="none" w:sz="0" w:space="0" w:color="auto"/>
                                                <w:bottom w:val="none" w:sz="0" w:space="0" w:color="auto"/>
                                                <w:right w:val="none" w:sz="0" w:space="0" w:color="auto"/>
                                              </w:divBdr>
                                              <w:divsChild>
                                                <w:div w:id="2083210776">
                                                  <w:marLeft w:val="0"/>
                                                  <w:marRight w:val="0"/>
                                                  <w:marTop w:val="0"/>
                                                  <w:marBottom w:val="0"/>
                                                  <w:divBdr>
                                                    <w:top w:val="none" w:sz="0" w:space="0" w:color="auto"/>
                                                    <w:left w:val="none" w:sz="0" w:space="0" w:color="auto"/>
                                                    <w:bottom w:val="none" w:sz="0" w:space="0" w:color="auto"/>
                                                    <w:right w:val="none" w:sz="0" w:space="0" w:color="auto"/>
                                                  </w:divBdr>
                                                  <w:divsChild>
                                                    <w:div w:id="5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320">
                                          <w:marLeft w:val="0"/>
                                          <w:marRight w:val="0"/>
                                          <w:marTop w:val="0"/>
                                          <w:marBottom w:val="0"/>
                                          <w:divBdr>
                                            <w:top w:val="none" w:sz="0" w:space="0" w:color="auto"/>
                                            <w:left w:val="none" w:sz="0" w:space="0" w:color="auto"/>
                                            <w:bottom w:val="none" w:sz="0" w:space="0" w:color="auto"/>
                                            <w:right w:val="none" w:sz="0" w:space="0" w:color="auto"/>
                                          </w:divBdr>
                                          <w:divsChild>
                                            <w:div w:id="792402361">
                                              <w:marLeft w:val="0"/>
                                              <w:marRight w:val="0"/>
                                              <w:marTop w:val="0"/>
                                              <w:marBottom w:val="0"/>
                                              <w:divBdr>
                                                <w:top w:val="none" w:sz="0" w:space="0" w:color="auto"/>
                                                <w:left w:val="none" w:sz="0" w:space="0" w:color="auto"/>
                                                <w:bottom w:val="none" w:sz="0" w:space="0" w:color="auto"/>
                                                <w:right w:val="none" w:sz="0" w:space="0" w:color="auto"/>
                                              </w:divBdr>
                                              <w:divsChild>
                                                <w:div w:id="1215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066241">
          <w:marLeft w:val="0"/>
          <w:marRight w:val="0"/>
          <w:marTop w:val="0"/>
          <w:marBottom w:val="0"/>
          <w:divBdr>
            <w:top w:val="none" w:sz="0" w:space="0" w:color="auto"/>
            <w:left w:val="none" w:sz="0" w:space="0" w:color="auto"/>
            <w:bottom w:val="none" w:sz="0" w:space="0" w:color="auto"/>
            <w:right w:val="none" w:sz="0" w:space="0" w:color="auto"/>
          </w:divBdr>
          <w:divsChild>
            <w:div w:id="1368943981">
              <w:marLeft w:val="0"/>
              <w:marRight w:val="0"/>
              <w:marTop w:val="0"/>
              <w:marBottom w:val="0"/>
              <w:divBdr>
                <w:top w:val="none" w:sz="0" w:space="0" w:color="auto"/>
                <w:left w:val="none" w:sz="0" w:space="0" w:color="auto"/>
                <w:bottom w:val="none" w:sz="0" w:space="0" w:color="auto"/>
                <w:right w:val="none" w:sz="0" w:space="0" w:color="auto"/>
              </w:divBdr>
              <w:divsChild>
                <w:div w:id="1540628441">
                  <w:marLeft w:val="0"/>
                  <w:marRight w:val="0"/>
                  <w:marTop w:val="0"/>
                  <w:marBottom w:val="0"/>
                  <w:divBdr>
                    <w:top w:val="none" w:sz="0" w:space="0" w:color="auto"/>
                    <w:left w:val="none" w:sz="0" w:space="0" w:color="auto"/>
                    <w:bottom w:val="none" w:sz="0" w:space="0" w:color="auto"/>
                    <w:right w:val="none" w:sz="0" w:space="0" w:color="auto"/>
                  </w:divBdr>
                  <w:divsChild>
                    <w:div w:id="59526472">
                      <w:marLeft w:val="0"/>
                      <w:marRight w:val="0"/>
                      <w:marTop w:val="0"/>
                      <w:marBottom w:val="0"/>
                      <w:divBdr>
                        <w:top w:val="none" w:sz="0" w:space="0" w:color="auto"/>
                        <w:left w:val="none" w:sz="0" w:space="0" w:color="auto"/>
                        <w:bottom w:val="none" w:sz="0" w:space="0" w:color="auto"/>
                        <w:right w:val="none" w:sz="0" w:space="0" w:color="auto"/>
                      </w:divBdr>
                      <w:divsChild>
                        <w:div w:id="345400314">
                          <w:marLeft w:val="0"/>
                          <w:marRight w:val="0"/>
                          <w:marTop w:val="0"/>
                          <w:marBottom w:val="0"/>
                          <w:divBdr>
                            <w:top w:val="none" w:sz="0" w:space="0" w:color="auto"/>
                            <w:left w:val="none" w:sz="0" w:space="0" w:color="auto"/>
                            <w:bottom w:val="none" w:sz="0" w:space="0" w:color="auto"/>
                            <w:right w:val="none" w:sz="0" w:space="0" w:color="auto"/>
                          </w:divBdr>
                          <w:divsChild>
                            <w:div w:id="2103528594">
                              <w:marLeft w:val="0"/>
                              <w:marRight w:val="0"/>
                              <w:marTop w:val="0"/>
                              <w:marBottom w:val="0"/>
                              <w:divBdr>
                                <w:top w:val="none" w:sz="0" w:space="0" w:color="auto"/>
                                <w:left w:val="none" w:sz="0" w:space="0" w:color="auto"/>
                                <w:bottom w:val="none" w:sz="0" w:space="0" w:color="auto"/>
                                <w:right w:val="none" w:sz="0" w:space="0" w:color="auto"/>
                              </w:divBdr>
                              <w:divsChild>
                                <w:div w:id="2043628876">
                                  <w:marLeft w:val="0"/>
                                  <w:marRight w:val="0"/>
                                  <w:marTop w:val="0"/>
                                  <w:marBottom w:val="0"/>
                                  <w:divBdr>
                                    <w:top w:val="none" w:sz="0" w:space="0" w:color="auto"/>
                                    <w:left w:val="none" w:sz="0" w:space="0" w:color="auto"/>
                                    <w:bottom w:val="none" w:sz="0" w:space="0" w:color="auto"/>
                                    <w:right w:val="none" w:sz="0" w:space="0" w:color="auto"/>
                                  </w:divBdr>
                                  <w:divsChild>
                                    <w:div w:id="1666279227">
                                      <w:marLeft w:val="0"/>
                                      <w:marRight w:val="0"/>
                                      <w:marTop w:val="0"/>
                                      <w:marBottom w:val="0"/>
                                      <w:divBdr>
                                        <w:top w:val="none" w:sz="0" w:space="0" w:color="auto"/>
                                        <w:left w:val="none" w:sz="0" w:space="0" w:color="auto"/>
                                        <w:bottom w:val="none" w:sz="0" w:space="0" w:color="auto"/>
                                        <w:right w:val="none" w:sz="0" w:space="0" w:color="auto"/>
                                      </w:divBdr>
                                      <w:divsChild>
                                        <w:div w:id="1684017246">
                                          <w:marLeft w:val="0"/>
                                          <w:marRight w:val="0"/>
                                          <w:marTop w:val="0"/>
                                          <w:marBottom w:val="0"/>
                                          <w:divBdr>
                                            <w:top w:val="none" w:sz="0" w:space="0" w:color="auto"/>
                                            <w:left w:val="none" w:sz="0" w:space="0" w:color="auto"/>
                                            <w:bottom w:val="none" w:sz="0" w:space="0" w:color="auto"/>
                                            <w:right w:val="none" w:sz="0" w:space="0" w:color="auto"/>
                                          </w:divBdr>
                                          <w:divsChild>
                                            <w:div w:id="38287833">
                                              <w:marLeft w:val="0"/>
                                              <w:marRight w:val="0"/>
                                              <w:marTop w:val="0"/>
                                              <w:marBottom w:val="0"/>
                                              <w:divBdr>
                                                <w:top w:val="none" w:sz="0" w:space="0" w:color="auto"/>
                                                <w:left w:val="none" w:sz="0" w:space="0" w:color="auto"/>
                                                <w:bottom w:val="none" w:sz="0" w:space="0" w:color="auto"/>
                                                <w:right w:val="none" w:sz="0" w:space="0" w:color="auto"/>
                                              </w:divBdr>
                                              <w:divsChild>
                                                <w:div w:id="1712535973">
                                                  <w:marLeft w:val="0"/>
                                                  <w:marRight w:val="0"/>
                                                  <w:marTop w:val="0"/>
                                                  <w:marBottom w:val="0"/>
                                                  <w:divBdr>
                                                    <w:top w:val="none" w:sz="0" w:space="0" w:color="auto"/>
                                                    <w:left w:val="none" w:sz="0" w:space="0" w:color="auto"/>
                                                    <w:bottom w:val="none" w:sz="0" w:space="0" w:color="auto"/>
                                                    <w:right w:val="none" w:sz="0" w:space="0" w:color="auto"/>
                                                  </w:divBdr>
                                                  <w:divsChild>
                                                    <w:div w:id="472062467">
                                                      <w:marLeft w:val="0"/>
                                                      <w:marRight w:val="0"/>
                                                      <w:marTop w:val="0"/>
                                                      <w:marBottom w:val="0"/>
                                                      <w:divBdr>
                                                        <w:top w:val="none" w:sz="0" w:space="0" w:color="auto"/>
                                                        <w:left w:val="none" w:sz="0" w:space="0" w:color="auto"/>
                                                        <w:bottom w:val="none" w:sz="0" w:space="0" w:color="auto"/>
                                                        <w:right w:val="none" w:sz="0" w:space="0" w:color="auto"/>
                                                      </w:divBdr>
                                                      <w:divsChild>
                                                        <w:div w:id="1302494951">
                                                          <w:marLeft w:val="0"/>
                                                          <w:marRight w:val="0"/>
                                                          <w:marTop w:val="0"/>
                                                          <w:marBottom w:val="0"/>
                                                          <w:divBdr>
                                                            <w:top w:val="none" w:sz="0" w:space="0" w:color="auto"/>
                                                            <w:left w:val="none" w:sz="0" w:space="0" w:color="auto"/>
                                                            <w:bottom w:val="none" w:sz="0" w:space="0" w:color="auto"/>
                                                            <w:right w:val="none" w:sz="0" w:space="0" w:color="auto"/>
                                                          </w:divBdr>
                                                          <w:divsChild>
                                                            <w:div w:id="241646214">
                                                              <w:marLeft w:val="0"/>
                                                              <w:marRight w:val="0"/>
                                                              <w:marTop w:val="0"/>
                                                              <w:marBottom w:val="0"/>
                                                              <w:divBdr>
                                                                <w:top w:val="none" w:sz="0" w:space="0" w:color="auto"/>
                                                                <w:left w:val="none" w:sz="0" w:space="0" w:color="auto"/>
                                                                <w:bottom w:val="none" w:sz="0" w:space="0" w:color="auto"/>
                                                                <w:right w:val="none" w:sz="0" w:space="0" w:color="auto"/>
                                                              </w:divBdr>
                                                              <w:divsChild>
                                                                <w:div w:id="12174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720147">
      <w:bodyDiv w:val="1"/>
      <w:marLeft w:val="0"/>
      <w:marRight w:val="0"/>
      <w:marTop w:val="0"/>
      <w:marBottom w:val="0"/>
      <w:divBdr>
        <w:top w:val="none" w:sz="0" w:space="0" w:color="auto"/>
        <w:left w:val="none" w:sz="0" w:space="0" w:color="auto"/>
        <w:bottom w:val="none" w:sz="0" w:space="0" w:color="auto"/>
        <w:right w:val="none" w:sz="0" w:space="0" w:color="auto"/>
      </w:divBdr>
    </w:div>
    <w:div w:id="626085266">
      <w:bodyDiv w:val="1"/>
      <w:marLeft w:val="0"/>
      <w:marRight w:val="0"/>
      <w:marTop w:val="0"/>
      <w:marBottom w:val="0"/>
      <w:divBdr>
        <w:top w:val="none" w:sz="0" w:space="0" w:color="auto"/>
        <w:left w:val="none" w:sz="0" w:space="0" w:color="auto"/>
        <w:bottom w:val="none" w:sz="0" w:space="0" w:color="auto"/>
        <w:right w:val="none" w:sz="0" w:space="0" w:color="auto"/>
      </w:divBdr>
    </w:div>
    <w:div w:id="639728648">
      <w:bodyDiv w:val="1"/>
      <w:marLeft w:val="0"/>
      <w:marRight w:val="0"/>
      <w:marTop w:val="0"/>
      <w:marBottom w:val="0"/>
      <w:divBdr>
        <w:top w:val="none" w:sz="0" w:space="0" w:color="auto"/>
        <w:left w:val="none" w:sz="0" w:space="0" w:color="auto"/>
        <w:bottom w:val="none" w:sz="0" w:space="0" w:color="auto"/>
        <w:right w:val="none" w:sz="0" w:space="0" w:color="auto"/>
      </w:divBdr>
    </w:div>
    <w:div w:id="658582347">
      <w:bodyDiv w:val="1"/>
      <w:marLeft w:val="0"/>
      <w:marRight w:val="0"/>
      <w:marTop w:val="0"/>
      <w:marBottom w:val="0"/>
      <w:divBdr>
        <w:top w:val="none" w:sz="0" w:space="0" w:color="auto"/>
        <w:left w:val="none" w:sz="0" w:space="0" w:color="auto"/>
        <w:bottom w:val="none" w:sz="0" w:space="0" w:color="auto"/>
        <w:right w:val="none" w:sz="0" w:space="0" w:color="auto"/>
      </w:divBdr>
      <w:divsChild>
        <w:div w:id="61025604">
          <w:marLeft w:val="0"/>
          <w:marRight w:val="0"/>
          <w:marTop w:val="0"/>
          <w:marBottom w:val="0"/>
          <w:divBdr>
            <w:top w:val="none" w:sz="0" w:space="0" w:color="auto"/>
            <w:left w:val="none" w:sz="0" w:space="0" w:color="auto"/>
            <w:bottom w:val="none" w:sz="0" w:space="0" w:color="auto"/>
            <w:right w:val="none" w:sz="0" w:space="0" w:color="auto"/>
          </w:divBdr>
          <w:divsChild>
            <w:div w:id="983124587">
              <w:marLeft w:val="0"/>
              <w:marRight w:val="0"/>
              <w:marTop w:val="0"/>
              <w:marBottom w:val="0"/>
              <w:divBdr>
                <w:top w:val="none" w:sz="0" w:space="0" w:color="auto"/>
                <w:left w:val="none" w:sz="0" w:space="0" w:color="auto"/>
                <w:bottom w:val="none" w:sz="0" w:space="0" w:color="auto"/>
                <w:right w:val="none" w:sz="0" w:space="0" w:color="auto"/>
              </w:divBdr>
              <w:divsChild>
                <w:div w:id="390227952">
                  <w:marLeft w:val="0"/>
                  <w:marRight w:val="0"/>
                  <w:marTop w:val="0"/>
                  <w:marBottom w:val="0"/>
                  <w:divBdr>
                    <w:top w:val="none" w:sz="0" w:space="0" w:color="auto"/>
                    <w:left w:val="none" w:sz="0" w:space="0" w:color="auto"/>
                    <w:bottom w:val="none" w:sz="0" w:space="0" w:color="auto"/>
                    <w:right w:val="none" w:sz="0" w:space="0" w:color="auto"/>
                  </w:divBdr>
                </w:div>
                <w:div w:id="253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7896">
      <w:bodyDiv w:val="1"/>
      <w:marLeft w:val="0"/>
      <w:marRight w:val="0"/>
      <w:marTop w:val="0"/>
      <w:marBottom w:val="0"/>
      <w:divBdr>
        <w:top w:val="none" w:sz="0" w:space="0" w:color="auto"/>
        <w:left w:val="none" w:sz="0" w:space="0" w:color="auto"/>
        <w:bottom w:val="none" w:sz="0" w:space="0" w:color="auto"/>
        <w:right w:val="none" w:sz="0" w:space="0" w:color="auto"/>
      </w:divBdr>
    </w:div>
    <w:div w:id="908266906">
      <w:bodyDiv w:val="1"/>
      <w:marLeft w:val="0"/>
      <w:marRight w:val="0"/>
      <w:marTop w:val="0"/>
      <w:marBottom w:val="0"/>
      <w:divBdr>
        <w:top w:val="none" w:sz="0" w:space="0" w:color="auto"/>
        <w:left w:val="none" w:sz="0" w:space="0" w:color="auto"/>
        <w:bottom w:val="none" w:sz="0" w:space="0" w:color="auto"/>
        <w:right w:val="none" w:sz="0" w:space="0" w:color="auto"/>
      </w:divBdr>
    </w:div>
    <w:div w:id="943343597">
      <w:bodyDiv w:val="1"/>
      <w:marLeft w:val="0"/>
      <w:marRight w:val="0"/>
      <w:marTop w:val="0"/>
      <w:marBottom w:val="0"/>
      <w:divBdr>
        <w:top w:val="none" w:sz="0" w:space="0" w:color="auto"/>
        <w:left w:val="none" w:sz="0" w:space="0" w:color="auto"/>
        <w:bottom w:val="none" w:sz="0" w:space="0" w:color="auto"/>
        <w:right w:val="none" w:sz="0" w:space="0" w:color="auto"/>
      </w:divBdr>
      <w:divsChild>
        <w:div w:id="318845748">
          <w:marLeft w:val="0"/>
          <w:marRight w:val="0"/>
          <w:marTop w:val="0"/>
          <w:marBottom w:val="0"/>
          <w:divBdr>
            <w:top w:val="none" w:sz="0" w:space="0" w:color="auto"/>
            <w:left w:val="none" w:sz="0" w:space="0" w:color="auto"/>
            <w:bottom w:val="none" w:sz="0" w:space="0" w:color="auto"/>
            <w:right w:val="none" w:sz="0" w:space="0" w:color="auto"/>
          </w:divBdr>
          <w:divsChild>
            <w:div w:id="1868642231">
              <w:marLeft w:val="0"/>
              <w:marRight w:val="0"/>
              <w:marTop w:val="0"/>
              <w:marBottom w:val="0"/>
              <w:divBdr>
                <w:top w:val="none" w:sz="0" w:space="0" w:color="auto"/>
                <w:left w:val="none" w:sz="0" w:space="0" w:color="auto"/>
                <w:bottom w:val="none" w:sz="0" w:space="0" w:color="auto"/>
                <w:right w:val="none" w:sz="0" w:space="0" w:color="auto"/>
              </w:divBdr>
              <w:divsChild>
                <w:div w:id="709459843">
                  <w:marLeft w:val="0"/>
                  <w:marRight w:val="0"/>
                  <w:marTop w:val="0"/>
                  <w:marBottom w:val="0"/>
                  <w:divBdr>
                    <w:top w:val="none" w:sz="0" w:space="0" w:color="auto"/>
                    <w:left w:val="none" w:sz="0" w:space="0" w:color="auto"/>
                    <w:bottom w:val="none" w:sz="0" w:space="0" w:color="auto"/>
                    <w:right w:val="none" w:sz="0" w:space="0" w:color="auto"/>
                  </w:divBdr>
                  <w:divsChild>
                    <w:div w:id="1999963164">
                      <w:marLeft w:val="0"/>
                      <w:marRight w:val="0"/>
                      <w:marTop w:val="0"/>
                      <w:marBottom w:val="0"/>
                      <w:divBdr>
                        <w:top w:val="none" w:sz="0" w:space="0" w:color="auto"/>
                        <w:left w:val="none" w:sz="0" w:space="0" w:color="auto"/>
                        <w:bottom w:val="none" w:sz="0" w:space="0" w:color="auto"/>
                        <w:right w:val="none" w:sz="0" w:space="0" w:color="auto"/>
                      </w:divBdr>
                      <w:divsChild>
                        <w:div w:id="1762556850">
                          <w:marLeft w:val="0"/>
                          <w:marRight w:val="0"/>
                          <w:marTop w:val="0"/>
                          <w:marBottom w:val="0"/>
                          <w:divBdr>
                            <w:top w:val="none" w:sz="0" w:space="0" w:color="auto"/>
                            <w:left w:val="none" w:sz="0" w:space="0" w:color="auto"/>
                            <w:bottom w:val="none" w:sz="0" w:space="0" w:color="auto"/>
                            <w:right w:val="none" w:sz="0" w:space="0" w:color="auto"/>
                          </w:divBdr>
                          <w:divsChild>
                            <w:div w:id="804278681">
                              <w:marLeft w:val="0"/>
                              <w:marRight w:val="0"/>
                              <w:marTop w:val="0"/>
                              <w:marBottom w:val="0"/>
                              <w:divBdr>
                                <w:top w:val="none" w:sz="0" w:space="0" w:color="auto"/>
                                <w:left w:val="none" w:sz="0" w:space="0" w:color="auto"/>
                                <w:bottom w:val="none" w:sz="0" w:space="0" w:color="auto"/>
                                <w:right w:val="none" w:sz="0" w:space="0" w:color="auto"/>
                              </w:divBdr>
                              <w:divsChild>
                                <w:div w:id="2132355897">
                                  <w:marLeft w:val="0"/>
                                  <w:marRight w:val="0"/>
                                  <w:marTop w:val="0"/>
                                  <w:marBottom w:val="0"/>
                                  <w:divBdr>
                                    <w:top w:val="none" w:sz="0" w:space="0" w:color="auto"/>
                                    <w:left w:val="none" w:sz="0" w:space="0" w:color="auto"/>
                                    <w:bottom w:val="none" w:sz="0" w:space="0" w:color="auto"/>
                                    <w:right w:val="none" w:sz="0" w:space="0" w:color="auto"/>
                                  </w:divBdr>
                                  <w:divsChild>
                                    <w:div w:id="1763989427">
                                      <w:marLeft w:val="0"/>
                                      <w:marRight w:val="0"/>
                                      <w:marTop w:val="0"/>
                                      <w:marBottom w:val="0"/>
                                      <w:divBdr>
                                        <w:top w:val="none" w:sz="0" w:space="0" w:color="auto"/>
                                        <w:left w:val="none" w:sz="0" w:space="0" w:color="auto"/>
                                        <w:bottom w:val="none" w:sz="0" w:space="0" w:color="auto"/>
                                        <w:right w:val="none" w:sz="0" w:space="0" w:color="auto"/>
                                      </w:divBdr>
                                      <w:divsChild>
                                        <w:div w:id="24017604">
                                          <w:marLeft w:val="0"/>
                                          <w:marRight w:val="0"/>
                                          <w:marTop w:val="0"/>
                                          <w:marBottom w:val="0"/>
                                          <w:divBdr>
                                            <w:top w:val="none" w:sz="0" w:space="0" w:color="auto"/>
                                            <w:left w:val="none" w:sz="0" w:space="0" w:color="auto"/>
                                            <w:bottom w:val="none" w:sz="0" w:space="0" w:color="auto"/>
                                            <w:right w:val="none" w:sz="0" w:space="0" w:color="auto"/>
                                          </w:divBdr>
                                          <w:divsChild>
                                            <w:div w:id="50468288">
                                              <w:marLeft w:val="0"/>
                                              <w:marRight w:val="0"/>
                                              <w:marTop w:val="0"/>
                                              <w:marBottom w:val="0"/>
                                              <w:divBdr>
                                                <w:top w:val="none" w:sz="0" w:space="0" w:color="auto"/>
                                                <w:left w:val="none" w:sz="0" w:space="0" w:color="auto"/>
                                                <w:bottom w:val="none" w:sz="0" w:space="0" w:color="auto"/>
                                                <w:right w:val="none" w:sz="0" w:space="0" w:color="auto"/>
                                              </w:divBdr>
                                              <w:divsChild>
                                                <w:div w:id="286281053">
                                                  <w:marLeft w:val="0"/>
                                                  <w:marRight w:val="0"/>
                                                  <w:marTop w:val="0"/>
                                                  <w:marBottom w:val="0"/>
                                                  <w:divBdr>
                                                    <w:top w:val="none" w:sz="0" w:space="0" w:color="auto"/>
                                                    <w:left w:val="none" w:sz="0" w:space="0" w:color="auto"/>
                                                    <w:bottom w:val="none" w:sz="0" w:space="0" w:color="auto"/>
                                                    <w:right w:val="none" w:sz="0" w:space="0" w:color="auto"/>
                                                  </w:divBdr>
                                                  <w:divsChild>
                                                    <w:div w:id="2081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847">
                                          <w:marLeft w:val="0"/>
                                          <w:marRight w:val="0"/>
                                          <w:marTop w:val="0"/>
                                          <w:marBottom w:val="0"/>
                                          <w:divBdr>
                                            <w:top w:val="none" w:sz="0" w:space="0" w:color="auto"/>
                                            <w:left w:val="none" w:sz="0" w:space="0" w:color="auto"/>
                                            <w:bottom w:val="none" w:sz="0" w:space="0" w:color="auto"/>
                                            <w:right w:val="none" w:sz="0" w:space="0" w:color="auto"/>
                                          </w:divBdr>
                                          <w:divsChild>
                                            <w:div w:id="798383396">
                                              <w:marLeft w:val="0"/>
                                              <w:marRight w:val="0"/>
                                              <w:marTop w:val="0"/>
                                              <w:marBottom w:val="0"/>
                                              <w:divBdr>
                                                <w:top w:val="none" w:sz="0" w:space="0" w:color="auto"/>
                                                <w:left w:val="none" w:sz="0" w:space="0" w:color="auto"/>
                                                <w:bottom w:val="none" w:sz="0" w:space="0" w:color="auto"/>
                                                <w:right w:val="none" w:sz="0" w:space="0" w:color="auto"/>
                                              </w:divBdr>
                                              <w:divsChild>
                                                <w:div w:id="16772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338729">
          <w:marLeft w:val="0"/>
          <w:marRight w:val="0"/>
          <w:marTop w:val="0"/>
          <w:marBottom w:val="0"/>
          <w:divBdr>
            <w:top w:val="none" w:sz="0" w:space="0" w:color="auto"/>
            <w:left w:val="none" w:sz="0" w:space="0" w:color="auto"/>
            <w:bottom w:val="none" w:sz="0" w:space="0" w:color="auto"/>
            <w:right w:val="none" w:sz="0" w:space="0" w:color="auto"/>
          </w:divBdr>
          <w:divsChild>
            <w:div w:id="205720589">
              <w:marLeft w:val="0"/>
              <w:marRight w:val="0"/>
              <w:marTop w:val="0"/>
              <w:marBottom w:val="0"/>
              <w:divBdr>
                <w:top w:val="none" w:sz="0" w:space="0" w:color="auto"/>
                <w:left w:val="none" w:sz="0" w:space="0" w:color="auto"/>
                <w:bottom w:val="none" w:sz="0" w:space="0" w:color="auto"/>
                <w:right w:val="none" w:sz="0" w:space="0" w:color="auto"/>
              </w:divBdr>
              <w:divsChild>
                <w:div w:id="1817989983">
                  <w:marLeft w:val="0"/>
                  <w:marRight w:val="0"/>
                  <w:marTop w:val="0"/>
                  <w:marBottom w:val="0"/>
                  <w:divBdr>
                    <w:top w:val="none" w:sz="0" w:space="0" w:color="auto"/>
                    <w:left w:val="none" w:sz="0" w:space="0" w:color="auto"/>
                    <w:bottom w:val="none" w:sz="0" w:space="0" w:color="auto"/>
                    <w:right w:val="none" w:sz="0" w:space="0" w:color="auto"/>
                  </w:divBdr>
                  <w:divsChild>
                    <w:div w:id="930552663">
                      <w:marLeft w:val="0"/>
                      <w:marRight w:val="0"/>
                      <w:marTop w:val="0"/>
                      <w:marBottom w:val="0"/>
                      <w:divBdr>
                        <w:top w:val="none" w:sz="0" w:space="0" w:color="auto"/>
                        <w:left w:val="none" w:sz="0" w:space="0" w:color="auto"/>
                        <w:bottom w:val="none" w:sz="0" w:space="0" w:color="auto"/>
                        <w:right w:val="none" w:sz="0" w:space="0" w:color="auto"/>
                      </w:divBdr>
                      <w:divsChild>
                        <w:div w:id="3294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78859">
      <w:bodyDiv w:val="1"/>
      <w:marLeft w:val="0"/>
      <w:marRight w:val="0"/>
      <w:marTop w:val="0"/>
      <w:marBottom w:val="0"/>
      <w:divBdr>
        <w:top w:val="none" w:sz="0" w:space="0" w:color="auto"/>
        <w:left w:val="none" w:sz="0" w:space="0" w:color="auto"/>
        <w:bottom w:val="none" w:sz="0" w:space="0" w:color="auto"/>
        <w:right w:val="none" w:sz="0" w:space="0" w:color="auto"/>
      </w:divBdr>
    </w:div>
    <w:div w:id="1218735682">
      <w:bodyDiv w:val="1"/>
      <w:marLeft w:val="0"/>
      <w:marRight w:val="0"/>
      <w:marTop w:val="0"/>
      <w:marBottom w:val="0"/>
      <w:divBdr>
        <w:top w:val="none" w:sz="0" w:space="0" w:color="auto"/>
        <w:left w:val="none" w:sz="0" w:space="0" w:color="auto"/>
        <w:bottom w:val="none" w:sz="0" w:space="0" w:color="auto"/>
        <w:right w:val="none" w:sz="0" w:space="0" w:color="auto"/>
      </w:divBdr>
    </w:div>
    <w:div w:id="1225868277">
      <w:bodyDiv w:val="1"/>
      <w:marLeft w:val="0"/>
      <w:marRight w:val="0"/>
      <w:marTop w:val="0"/>
      <w:marBottom w:val="0"/>
      <w:divBdr>
        <w:top w:val="none" w:sz="0" w:space="0" w:color="auto"/>
        <w:left w:val="none" w:sz="0" w:space="0" w:color="auto"/>
        <w:bottom w:val="none" w:sz="0" w:space="0" w:color="auto"/>
        <w:right w:val="none" w:sz="0" w:space="0" w:color="auto"/>
      </w:divBdr>
    </w:div>
    <w:div w:id="1334407836">
      <w:bodyDiv w:val="1"/>
      <w:marLeft w:val="0"/>
      <w:marRight w:val="0"/>
      <w:marTop w:val="0"/>
      <w:marBottom w:val="0"/>
      <w:divBdr>
        <w:top w:val="none" w:sz="0" w:space="0" w:color="auto"/>
        <w:left w:val="none" w:sz="0" w:space="0" w:color="auto"/>
        <w:bottom w:val="none" w:sz="0" w:space="0" w:color="auto"/>
        <w:right w:val="none" w:sz="0" w:space="0" w:color="auto"/>
      </w:divBdr>
    </w:div>
    <w:div w:id="1364020586">
      <w:bodyDiv w:val="1"/>
      <w:marLeft w:val="0"/>
      <w:marRight w:val="0"/>
      <w:marTop w:val="0"/>
      <w:marBottom w:val="0"/>
      <w:divBdr>
        <w:top w:val="none" w:sz="0" w:space="0" w:color="auto"/>
        <w:left w:val="none" w:sz="0" w:space="0" w:color="auto"/>
        <w:bottom w:val="none" w:sz="0" w:space="0" w:color="auto"/>
        <w:right w:val="none" w:sz="0" w:space="0" w:color="auto"/>
      </w:divBdr>
    </w:div>
    <w:div w:id="1587764604">
      <w:bodyDiv w:val="1"/>
      <w:marLeft w:val="0"/>
      <w:marRight w:val="0"/>
      <w:marTop w:val="0"/>
      <w:marBottom w:val="0"/>
      <w:divBdr>
        <w:top w:val="none" w:sz="0" w:space="0" w:color="auto"/>
        <w:left w:val="none" w:sz="0" w:space="0" w:color="auto"/>
        <w:bottom w:val="none" w:sz="0" w:space="0" w:color="auto"/>
        <w:right w:val="none" w:sz="0" w:space="0" w:color="auto"/>
      </w:divBdr>
      <w:divsChild>
        <w:div w:id="1235122139">
          <w:marLeft w:val="0"/>
          <w:marRight w:val="0"/>
          <w:marTop w:val="0"/>
          <w:marBottom w:val="0"/>
          <w:divBdr>
            <w:top w:val="none" w:sz="0" w:space="0" w:color="auto"/>
            <w:left w:val="none" w:sz="0" w:space="0" w:color="auto"/>
            <w:bottom w:val="none" w:sz="0" w:space="0" w:color="auto"/>
            <w:right w:val="none" w:sz="0" w:space="0" w:color="auto"/>
          </w:divBdr>
          <w:divsChild>
            <w:div w:id="1349671991">
              <w:marLeft w:val="0"/>
              <w:marRight w:val="0"/>
              <w:marTop w:val="0"/>
              <w:marBottom w:val="0"/>
              <w:divBdr>
                <w:top w:val="none" w:sz="0" w:space="0" w:color="auto"/>
                <w:left w:val="none" w:sz="0" w:space="0" w:color="auto"/>
                <w:bottom w:val="none" w:sz="0" w:space="0" w:color="auto"/>
                <w:right w:val="none" w:sz="0" w:space="0" w:color="auto"/>
              </w:divBdr>
              <w:divsChild>
                <w:div w:id="1936130260">
                  <w:marLeft w:val="0"/>
                  <w:marRight w:val="0"/>
                  <w:marTop w:val="0"/>
                  <w:marBottom w:val="0"/>
                  <w:divBdr>
                    <w:top w:val="none" w:sz="0" w:space="0" w:color="auto"/>
                    <w:left w:val="none" w:sz="0" w:space="0" w:color="auto"/>
                    <w:bottom w:val="none" w:sz="0" w:space="0" w:color="auto"/>
                    <w:right w:val="none" w:sz="0" w:space="0" w:color="auto"/>
                  </w:divBdr>
                  <w:divsChild>
                    <w:div w:id="762578203">
                      <w:marLeft w:val="0"/>
                      <w:marRight w:val="0"/>
                      <w:marTop w:val="0"/>
                      <w:marBottom w:val="0"/>
                      <w:divBdr>
                        <w:top w:val="none" w:sz="0" w:space="0" w:color="auto"/>
                        <w:left w:val="none" w:sz="0" w:space="0" w:color="auto"/>
                        <w:bottom w:val="none" w:sz="0" w:space="0" w:color="auto"/>
                        <w:right w:val="none" w:sz="0" w:space="0" w:color="auto"/>
                      </w:divBdr>
                      <w:divsChild>
                        <w:div w:id="2100901352">
                          <w:marLeft w:val="0"/>
                          <w:marRight w:val="0"/>
                          <w:marTop w:val="0"/>
                          <w:marBottom w:val="0"/>
                          <w:divBdr>
                            <w:top w:val="none" w:sz="0" w:space="0" w:color="auto"/>
                            <w:left w:val="none" w:sz="0" w:space="0" w:color="auto"/>
                            <w:bottom w:val="none" w:sz="0" w:space="0" w:color="auto"/>
                            <w:right w:val="none" w:sz="0" w:space="0" w:color="auto"/>
                          </w:divBdr>
                          <w:divsChild>
                            <w:div w:id="2086996702">
                              <w:marLeft w:val="0"/>
                              <w:marRight w:val="0"/>
                              <w:marTop w:val="0"/>
                              <w:marBottom w:val="0"/>
                              <w:divBdr>
                                <w:top w:val="none" w:sz="0" w:space="0" w:color="auto"/>
                                <w:left w:val="none" w:sz="0" w:space="0" w:color="auto"/>
                                <w:bottom w:val="none" w:sz="0" w:space="0" w:color="auto"/>
                                <w:right w:val="none" w:sz="0" w:space="0" w:color="auto"/>
                              </w:divBdr>
                              <w:divsChild>
                                <w:div w:id="912423738">
                                  <w:marLeft w:val="0"/>
                                  <w:marRight w:val="0"/>
                                  <w:marTop w:val="0"/>
                                  <w:marBottom w:val="0"/>
                                  <w:divBdr>
                                    <w:top w:val="none" w:sz="0" w:space="0" w:color="auto"/>
                                    <w:left w:val="none" w:sz="0" w:space="0" w:color="auto"/>
                                    <w:bottom w:val="none" w:sz="0" w:space="0" w:color="auto"/>
                                    <w:right w:val="none" w:sz="0" w:space="0" w:color="auto"/>
                                  </w:divBdr>
                                  <w:divsChild>
                                    <w:div w:id="199779897">
                                      <w:marLeft w:val="0"/>
                                      <w:marRight w:val="0"/>
                                      <w:marTop w:val="0"/>
                                      <w:marBottom w:val="0"/>
                                      <w:divBdr>
                                        <w:top w:val="none" w:sz="0" w:space="0" w:color="auto"/>
                                        <w:left w:val="none" w:sz="0" w:space="0" w:color="auto"/>
                                        <w:bottom w:val="none" w:sz="0" w:space="0" w:color="auto"/>
                                        <w:right w:val="none" w:sz="0" w:space="0" w:color="auto"/>
                                      </w:divBdr>
                                      <w:divsChild>
                                        <w:div w:id="747729614">
                                          <w:marLeft w:val="0"/>
                                          <w:marRight w:val="0"/>
                                          <w:marTop w:val="0"/>
                                          <w:marBottom w:val="0"/>
                                          <w:divBdr>
                                            <w:top w:val="none" w:sz="0" w:space="0" w:color="auto"/>
                                            <w:left w:val="none" w:sz="0" w:space="0" w:color="auto"/>
                                            <w:bottom w:val="none" w:sz="0" w:space="0" w:color="auto"/>
                                            <w:right w:val="none" w:sz="0" w:space="0" w:color="auto"/>
                                          </w:divBdr>
                                          <w:divsChild>
                                            <w:div w:id="1874223816">
                                              <w:marLeft w:val="0"/>
                                              <w:marRight w:val="0"/>
                                              <w:marTop w:val="0"/>
                                              <w:marBottom w:val="0"/>
                                              <w:divBdr>
                                                <w:top w:val="none" w:sz="0" w:space="0" w:color="auto"/>
                                                <w:left w:val="none" w:sz="0" w:space="0" w:color="auto"/>
                                                <w:bottom w:val="none" w:sz="0" w:space="0" w:color="auto"/>
                                                <w:right w:val="none" w:sz="0" w:space="0" w:color="auto"/>
                                              </w:divBdr>
                                              <w:divsChild>
                                                <w:div w:id="2008050812">
                                                  <w:marLeft w:val="0"/>
                                                  <w:marRight w:val="0"/>
                                                  <w:marTop w:val="0"/>
                                                  <w:marBottom w:val="0"/>
                                                  <w:divBdr>
                                                    <w:top w:val="none" w:sz="0" w:space="0" w:color="auto"/>
                                                    <w:left w:val="none" w:sz="0" w:space="0" w:color="auto"/>
                                                    <w:bottom w:val="none" w:sz="0" w:space="0" w:color="auto"/>
                                                    <w:right w:val="none" w:sz="0" w:space="0" w:color="auto"/>
                                                  </w:divBdr>
                                                  <w:divsChild>
                                                    <w:div w:id="17497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98026">
                                          <w:marLeft w:val="0"/>
                                          <w:marRight w:val="0"/>
                                          <w:marTop w:val="0"/>
                                          <w:marBottom w:val="0"/>
                                          <w:divBdr>
                                            <w:top w:val="none" w:sz="0" w:space="0" w:color="auto"/>
                                            <w:left w:val="none" w:sz="0" w:space="0" w:color="auto"/>
                                            <w:bottom w:val="none" w:sz="0" w:space="0" w:color="auto"/>
                                            <w:right w:val="none" w:sz="0" w:space="0" w:color="auto"/>
                                          </w:divBdr>
                                          <w:divsChild>
                                            <w:div w:id="634601681">
                                              <w:marLeft w:val="0"/>
                                              <w:marRight w:val="0"/>
                                              <w:marTop w:val="0"/>
                                              <w:marBottom w:val="0"/>
                                              <w:divBdr>
                                                <w:top w:val="none" w:sz="0" w:space="0" w:color="auto"/>
                                                <w:left w:val="none" w:sz="0" w:space="0" w:color="auto"/>
                                                <w:bottom w:val="none" w:sz="0" w:space="0" w:color="auto"/>
                                                <w:right w:val="none" w:sz="0" w:space="0" w:color="auto"/>
                                              </w:divBdr>
                                              <w:divsChild>
                                                <w:div w:id="17499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8579">
          <w:marLeft w:val="0"/>
          <w:marRight w:val="0"/>
          <w:marTop w:val="0"/>
          <w:marBottom w:val="0"/>
          <w:divBdr>
            <w:top w:val="none" w:sz="0" w:space="0" w:color="auto"/>
            <w:left w:val="none" w:sz="0" w:space="0" w:color="auto"/>
            <w:bottom w:val="none" w:sz="0" w:space="0" w:color="auto"/>
            <w:right w:val="none" w:sz="0" w:space="0" w:color="auto"/>
          </w:divBdr>
          <w:divsChild>
            <w:div w:id="203374672">
              <w:marLeft w:val="0"/>
              <w:marRight w:val="0"/>
              <w:marTop w:val="0"/>
              <w:marBottom w:val="0"/>
              <w:divBdr>
                <w:top w:val="none" w:sz="0" w:space="0" w:color="auto"/>
                <w:left w:val="none" w:sz="0" w:space="0" w:color="auto"/>
                <w:bottom w:val="none" w:sz="0" w:space="0" w:color="auto"/>
                <w:right w:val="none" w:sz="0" w:space="0" w:color="auto"/>
              </w:divBdr>
              <w:divsChild>
                <w:div w:id="1208446794">
                  <w:marLeft w:val="0"/>
                  <w:marRight w:val="0"/>
                  <w:marTop w:val="0"/>
                  <w:marBottom w:val="0"/>
                  <w:divBdr>
                    <w:top w:val="none" w:sz="0" w:space="0" w:color="auto"/>
                    <w:left w:val="none" w:sz="0" w:space="0" w:color="auto"/>
                    <w:bottom w:val="none" w:sz="0" w:space="0" w:color="auto"/>
                    <w:right w:val="none" w:sz="0" w:space="0" w:color="auto"/>
                  </w:divBdr>
                  <w:divsChild>
                    <w:div w:id="596787049">
                      <w:marLeft w:val="0"/>
                      <w:marRight w:val="0"/>
                      <w:marTop w:val="0"/>
                      <w:marBottom w:val="0"/>
                      <w:divBdr>
                        <w:top w:val="none" w:sz="0" w:space="0" w:color="auto"/>
                        <w:left w:val="none" w:sz="0" w:space="0" w:color="auto"/>
                        <w:bottom w:val="none" w:sz="0" w:space="0" w:color="auto"/>
                        <w:right w:val="none" w:sz="0" w:space="0" w:color="auto"/>
                      </w:divBdr>
                      <w:divsChild>
                        <w:div w:id="1854954176">
                          <w:marLeft w:val="0"/>
                          <w:marRight w:val="0"/>
                          <w:marTop w:val="0"/>
                          <w:marBottom w:val="0"/>
                          <w:divBdr>
                            <w:top w:val="none" w:sz="0" w:space="0" w:color="auto"/>
                            <w:left w:val="none" w:sz="0" w:space="0" w:color="auto"/>
                            <w:bottom w:val="none" w:sz="0" w:space="0" w:color="auto"/>
                            <w:right w:val="none" w:sz="0" w:space="0" w:color="auto"/>
                          </w:divBdr>
                          <w:divsChild>
                            <w:div w:id="51774904">
                              <w:marLeft w:val="0"/>
                              <w:marRight w:val="0"/>
                              <w:marTop w:val="0"/>
                              <w:marBottom w:val="0"/>
                              <w:divBdr>
                                <w:top w:val="none" w:sz="0" w:space="0" w:color="auto"/>
                                <w:left w:val="none" w:sz="0" w:space="0" w:color="auto"/>
                                <w:bottom w:val="none" w:sz="0" w:space="0" w:color="auto"/>
                                <w:right w:val="none" w:sz="0" w:space="0" w:color="auto"/>
                              </w:divBdr>
                              <w:divsChild>
                                <w:div w:id="2014918813">
                                  <w:marLeft w:val="0"/>
                                  <w:marRight w:val="0"/>
                                  <w:marTop w:val="0"/>
                                  <w:marBottom w:val="0"/>
                                  <w:divBdr>
                                    <w:top w:val="none" w:sz="0" w:space="0" w:color="auto"/>
                                    <w:left w:val="none" w:sz="0" w:space="0" w:color="auto"/>
                                    <w:bottom w:val="none" w:sz="0" w:space="0" w:color="auto"/>
                                    <w:right w:val="none" w:sz="0" w:space="0" w:color="auto"/>
                                  </w:divBdr>
                                  <w:divsChild>
                                    <w:div w:id="1411853839">
                                      <w:marLeft w:val="0"/>
                                      <w:marRight w:val="0"/>
                                      <w:marTop w:val="0"/>
                                      <w:marBottom w:val="0"/>
                                      <w:divBdr>
                                        <w:top w:val="none" w:sz="0" w:space="0" w:color="auto"/>
                                        <w:left w:val="none" w:sz="0" w:space="0" w:color="auto"/>
                                        <w:bottom w:val="none" w:sz="0" w:space="0" w:color="auto"/>
                                        <w:right w:val="none" w:sz="0" w:space="0" w:color="auto"/>
                                      </w:divBdr>
                                      <w:divsChild>
                                        <w:div w:id="1317418767">
                                          <w:marLeft w:val="0"/>
                                          <w:marRight w:val="0"/>
                                          <w:marTop w:val="0"/>
                                          <w:marBottom w:val="0"/>
                                          <w:divBdr>
                                            <w:top w:val="none" w:sz="0" w:space="0" w:color="auto"/>
                                            <w:left w:val="none" w:sz="0" w:space="0" w:color="auto"/>
                                            <w:bottom w:val="none" w:sz="0" w:space="0" w:color="auto"/>
                                            <w:right w:val="none" w:sz="0" w:space="0" w:color="auto"/>
                                          </w:divBdr>
                                          <w:divsChild>
                                            <w:div w:id="1880047959">
                                              <w:marLeft w:val="0"/>
                                              <w:marRight w:val="0"/>
                                              <w:marTop w:val="0"/>
                                              <w:marBottom w:val="0"/>
                                              <w:divBdr>
                                                <w:top w:val="none" w:sz="0" w:space="0" w:color="auto"/>
                                                <w:left w:val="none" w:sz="0" w:space="0" w:color="auto"/>
                                                <w:bottom w:val="none" w:sz="0" w:space="0" w:color="auto"/>
                                                <w:right w:val="none" w:sz="0" w:space="0" w:color="auto"/>
                                              </w:divBdr>
                                              <w:divsChild>
                                                <w:div w:id="2038003119">
                                                  <w:marLeft w:val="0"/>
                                                  <w:marRight w:val="0"/>
                                                  <w:marTop w:val="0"/>
                                                  <w:marBottom w:val="0"/>
                                                  <w:divBdr>
                                                    <w:top w:val="none" w:sz="0" w:space="0" w:color="auto"/>
                                                    <w:left w:val="none" w:sz="0" w:space="0" w:color="auto"/>
                                                    <w:bottom w:val="none" w:sz="0" w:space="0" w:color="auto"/>
                                                    <w:right w:val="none" w:sz="0" w:space="0" w:color="auto"/>
                                                  </w:divBdr>
                                                  <w:divsChild>
                                                    <w:div w:id="2030528125">
                                                      <w:marLeft w:val="0"/>
                                                      <w:marRight w:val="0"/>
                                                      <w:marTop w:val="0"/>
                                                      <w:marBottom w:val="0"/>
                                                      <w:divBdr>
                                                        <w:top w:val="none" w:sz="0" w:space="0" w:color="auto"/>
                                                        <w:left w:val="none" w:sz="0" w:space="0" w:color="auto"/>
                                                        <w:bottom w:val="none" w:sz="0" w:space="0" w:color="auto"/>
                                                        <w:right w:val="none" w:sz="0" w:space="0" w:color="auto"/>
                                                      </w:divBdr>
                                                      <w:divsChild>
                                                        <w:div w:id="1656102437">
                                                          <w:marLeft w:val="0"/>
                                                          <w:marRight w:val="0"/>
                                                          <w:marTop w:val="0"/>
                                                          <w:marBottom w:val="0"/>
                                                          <w:divBdr>
                                                            <w:top w:val="none" w:sz="0" w:space="0" w:color="auto"/>
                                                            <w:left w:val="none" w:sz="0" w:space="0" w:color="auto"/>
                                                            <w:bottom w:val="none" w:sz="0" w:space="0" w:color="auto"/>
                                                            <w:right w:val="none" w:sz="0" w:space="0" w:color="auto"/>
                                                          </w:divBdr>
                                                          <w:divsChild>
                                                            <w:div w:id="29192206">
                                                              <w:marLeft w:val="0"/>
                                                              <w:marRight w:val="0"/>
                                                              <w:marTop w:val="0"/>
                                                              <w:marBottom w:val="0"/>
                                                              <w:divBdr>
                                                                <w:top w:val="none" w:sz="0" w:space="0" w:color="auto"/>
                                                                <w:left w:val="none" w:sz="0" w:space="0" w:color="auto"/>
                                                                <w:bottom w:val="none" w:sz="0" w:space="0" w:color="auto"/>
                                                                <w:right w:val="none" w:sz="0" w:space="0" w:color="auto"/>
                                                              </w:divBdr>
                                                              <w:divsChild>
                                                                <w:div w:id="993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594227">
      <w:bodyDiv w:val="1"/>
      <w:marLeft w:val="0"/>
      <w:marRight w:val="0"/>
      <w:marTop w:val="0"/>
      <w:marBottom w:val="0"/>
      <w:divBdr>
        <w:top w:val="none" w:sz="0" w:space="0" w:color="auto"/>
        <w:left w:val="none" w:sz="0" w:space="0" w:color="auto"/>
        <w:bottom w:val="none" w:sz="0" w:space="0" w:color="auto"/>
        <w:right w:val="none" w:sz="0" w:space="0" w:color="auto"/>
      </w:divBdr>
      <w:divsChild>
        <w:div w:id="1999066658">
          <w:marLeft w:val="0"/>
          <w:marRight w:val="0"/>
          <w:marTop w:val="0"/>
          <w:marBottom w:val="0"/>
          <w:divBdr>
            <w:top w:val="none" w:sz="0" w:space="0" w:color="auto"/>
            <w:left w:val="none" w:sz="0" w:space="0" w:color="auto"/>
            <w:bottom w:val="none" w:sz="0" w:space="0" w:color="auto"/>
            <w:right w:val="none" w:sz="0" w:space="0" w:color="auto"/>
          </w:divBdr>
          <w:divsChild>
            <w:div w:id="1518352000">
              <w:marLeft w:val="0"/>
              <w:marRight w:val="0"/>
              <w:marTop w:val="0"/>
              <w:marBottom w:val="0"/>
              <w:divBdr>
                <w:top w:val="none" w:sz="0" w:space="0" w:color="auto"/>
                <w:left w:val="none" w:sz="0" w:space="0" w:color="auto"/>
                <w:bottom w:val="none" w:sz="0" w:space="0" w:color="auto"/>
                <w:right w:val="none" w:sz="0" w:space="0" w:color="auto"/>
              </w:divBdr>
              <w:divsChild>
                <w:div w:id="1399285359">
                  <w:marLeft w:val="0"/>
                  <w:marRight w:val="0"/>
                  <w:marTop w:val="0"/>
                  <w:marBottom w:val="0"/>
                  <w:divBdr>
                    <w:top w:val="none" w:sz="0" w:space="0" w:color="auto"/>
                    <w:left w:val="none" w:sz="0" w:space="0" w:color="auto"/>
                    <w:bottom w:val="none" w:sz="0" w:space="0" w:color="auto"/>
                    <w:right w:val="none" w:sz="0" w:space="0" w:color="auto"/>
                  </w:divBdr>
                  <w:divsChild>
                    <w:div w:id="1999067077">
                      <w:marLeft w:val="0"/>
                      <w:marRight w:val="0"/>
                      <w:marTop w:val="0"/>
                      <w:marBottom w:val="0"/>
                      <w:divBdr>
                        <w:top w:val="none" w:sz="0" w:space="0" w:color="auto"/>
                        <w:left w:val="none" w:sz="0" w:space="0" w:color="auto"/>
                        <w:bottom w:val="none" w:sz="0" w:space="0" w:color="auto"/>
                        <w:right w:val="none" w:sz="0" w:space="0" w:color="auto"/>
                      </w:divBdr>
                      <w:divsChild>
                        <w:div w:id="1525747923">
                          <w:marLeft w:val="0"/>
                          <w:marRight w:val="0"/>
                          <w:marTop w:val="0"/>
                          <w:marBottom w:val="0"/>
                          <w:divBdr>
                            <w:top w:val="none" w:sz="0" w:space="0" w:color="auto"/>
                            <w:left w:val="none" w:sz="0" w:space="0" w:color="auto"/>
                            <w:bottom w:val="none" w:sz="0" w:space="0" w:color="auto"/>
                            <w:right w:val="none" w:sz="0" w:space="0" w:color="auto"/>
                          </w:divBdr>
                          <w:divsChild>
                            <w:div w:id="1941597387">
                              <w:marLeft w:val="0"/>
                              <w:marRight w:val="0"/>
                              <w:marTop w:val="0"/>
                              <w:marBottom w:val="0"/>
                              <w:divBdr>
                                <w:top w:val="none" w:sz="0" w:space="0" w:color="auto"/>
                                <w:left w:val="none" w:sz="0" w:space="0" w:color="auto"/>
                                <w:bottom w:val="none" w:sz="0" w:space="0" w:color="auto"/>
                                <w:right w:val="none" w:sz="0" w:space="0" w:color="auto"/>
                              </w:divBdr>
                              <w:divsChild>
                                <w:div w:id="1035010354">
                                  <w:marLeft w:val="0"/>
                                  <w:marRight w:val="0"/>
                                  <w:marTop w:val="0"/>
                                  <w:marBottom w:val="0"/>
                                  <w:divBdr>
                                    <w:top w:val="none" w:sz="0" w:space="0" w:color="auto"/>
                                    <w:left w:val="none" w:sz="0" w:space="0" w:color="auto"/>
                                    <w:bottom w:val="none" w:sz="0" w:space="0" w:color="auto"/>
                                    <w:right w:val="none" w:sz="0" w:space="0" w:color="auto"/>
                                  </w:divBdr>
                                  <w:divsChild>
                                    <w:div w:id="1346253205">
                                      <w:marLeft w:val="0"/>
                                      <w:marRight w:val="0"/>
                                      <w:marTop w:val="0"/>
                                      <w:marBottom w:val="0"/>
                                      <w:divBdr>
                                        <w:top w:val="none" w:sz="0" w:space="0" w:color="auto"/>
                                        <w:left w:val="none" w:sz="0" w:space="0" w:color="auto"/>
                                        <w:bottom w:val="none" w:sz="0" w:space="0" w:color="auto"/>
                                        <w:right w:val="none" w:sz="0" w:space="0" w:color="auto"/>
                                      </w:divBdr>
                                      <w:divsChild>
                                        <w:div w:id="869490972">
                                          <w:marLeft w:val="0"/>
                                          <w:marRight w:val="0"/>
                                          <w:marTop w:val="0"/>
                                          <w:marBottom w:val="0"/>
                                          <w:divBdr>
                                            <w:top w:val="none" w:sz="0" w:space="0" w:color="auto"/>
                                            <w:left w:val="none" w:sz="0" w:space="0" w:color="auto"/>
                                            <w:bottom w:val="none" w:sz="0" w:space="0" w:color="auto"/>
                                            <w:right w:val="none" w:sz="0" w:space="0" w:color="auto"/>
                                          </w:divBdr>
                                          <w:divsChild>
                                            <w:div w:id="554779741">
                                              <w:marLeft w:val="0"/>
                                              <w:marRight w:val="0"/>
                                              <w:marTop w:val="0"/>
                                              <w:marBottom w:val="0"/>
                                              <w:divBdr>
                                                <w:top w:val="none" w:sz="0" w:space="0" w:color="auto"/>
                                                <w:left w:val="none" w:sz="0" w:space="0" w:color="auto"/>
                                                <w:bottom w:val="none" w:sz="0" w:space="0" w:color="auto"/>
                                                <w:right w:val="none" w:sz="0" w:space="0" w:color="auto"/>
                                              </w:divBdr>
                                              <w:divsChild>
                                                <w:div w:id="454907711">
                                                  <w:marLeft w:val="0"/>
                                                  <w:marRight w:val="0"/>
                                                  <w:marTop w:val="0"/>
                                                  <w:marBottom w:val="0"/>
                                                  <w:divBdr>
                                                    <w:top w:val="none" w:sz="0" w:space="0" w:color="auto"/>
                                                    <w:left w:val="none" w:sz="0" w:space="0" w:color="auto"/>
                                                    <w:bottom w:val="none" w:sz="0" w:space="0" w:color="auto"/>
                                                    <w:right w:val="none" w:sz="0" w:space="0" w:color="auto"/>
                                                  </w:divBdr>
                                                  <w:divsChild>
                                                    <w:div w:id="17712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1483">
                                          <w:marLeft w:val="0"/>
                                          <w:marRight w:val="0"/>
                                          <w:marTop w:val="0"/>
                                          <w:marBottom w:val="0"/>
                                          <w:divBdr>
                                            <w:top w:val="none" w:sz="0" w:space="0" w:color="auto"/>
                                            <w:left w:val="none" w:sz="0" w:space="0" w:color="auto"/>
                                            <w:bottom w:val="none" w:sz="0" w:space="0" w:color="auto"/>
                                            <w:right w:val="none" w:sz="0" w:space="0" w:color="auto"/>
                                          </w:divBdr>
                                          <w:divsChild>
                                            <w:div w:id="186258039">
                                              <w:marLeft w:val="0"/>
                                              <w:marRight w:val="0"/>
                                              <w:marTop w:val="0"/>
                                              <w:marBottom w:val="0"/>
                                              <w:divBdr>
                                                <w:top w:val="none" w:sz="0" w:space="0" w:color="auto"/>
                                                <w:left w:val="none" w:sz="0" w:space="0" w:color="auto"/>
                                                <w:bottom w:val="none" w:sz="0" w:space="0" w:color="auto"/>
                                                <w:right w:val="none" w:sz="0" w:space="0" w:color="auto"/>
                                              </w:divBdr>
                                              <w:divsChild>
                                                <w:div w:id="818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984370">
          <w:marLeft w:val="0"/>
          <w:marRight w:val="0"/>
          <w:marTop w:val="0"/>
          <w:marBottom w:val="0"/>
          <w:divBdr>
            <w:top w:val="none" w:sz="0" w:space="0" w:color="auto"/>
            <w:left w:val="none" w:sz="0" w:space="0" w:color="auto"/>
            <w:bottom w:val="none" w:sz="0" w:space="0" w:color="auto"/>
            <w:right w:val="none" w:sz="0" w:space="0" w:color="auto"/>
          </w:divBdr>
          <w:divsChild>
            <w:div w:id="723144644">
              <w:marLeft w:val="0"/>
              <w:marRight w:val="0"/>
              <w:marTop w:val="0"/>
              <w:marBottom w:val="0"/>
              <w:divBdr>
                <w:top w:val="none" w:sz="0" w:space="0" w:color="auto"/>
                <w:left w:val="none" w:sz="0" w:space="0" w:color="auto"/>
                <w:bottom w:val="none" w:sz="0" w:space="0" w:color="auto"/>
                <w:right w:val="none" w:sz="0" w:space="0" w:color="auto"/>
              </w:divBdr>
              <w:divsChild>
                <w:div w:id="1052851716">
                  <w:marLeft w:val="0"/>
                  <w:marRight w:val="0"/>
                  <w:marTop w:val="0"/>
                  <w:marBottom w:val="0"/>
                  <w:divBdr>
                    <w:top w:val="none" w:sz="0" w:space="0" w:color="auto"/>
                    <w:left w:val="none" w:sz="0" w:space="0" w:color="auto"/>
                    <w:bottom w:val="none" w:sz="0" w:space="0" w:color="auto"/>
                    <w:right w:val="none" w:sz="0" w:space="0" w:color="auto"/>
                  </w:divBdr>
                  <w:divsChild>
                    <w:div w:id="2062053375">
                      <w:marLeft w:val="0"/>
                      <w:marRight w:val="0"/>
                      <w:marTop w:val="0"/>
                      <w:marBottom w:val="0"/>
                      <w:divBdr>
                        <w:top w:val="none" w:sz="0" w:space="0" w:color="auto"/>
                        <w:left w:val="none" w:sz="0" w:space="0" w:color="auto"/>
                        <w:bottom w:val="none" w:sz="0" w:space="0" w:color="auto"/>
                        <w:right w:val="none" w:sz="0" w:space="0" w:color="auto"/>
                      </w:divBdr>
                      <w:divsChild>
                        <w:div w:id="1174757996">
                          <w:marLeft w:val="0"/>
                          <w:marRight w:val="0"/>
                          <w:marTop w:val="0"/>
                          <w:marBottom w:val="0"/>
                          <w:divBdr>
                            <w:top w:val="none" w:sz="0" w:space="0" w:color="auto"/>
                            <w:left w:val="none" w:sz="0" w:space="0" w:color="auto"/>
                            <w:bottom w:val="none" w:sz="0" w:space="0" w:color="auto"/>
                            <w:right w:val="none" w:sz="0" w:space="0" w:color="auto"/>
                          </w:divBdr>
                          <w:divsChild>
                            <w:div w:id="1884318906">
                              <w:marLeft w:val="0"/>
                              <w:marRight w:val="0"/>
                              <w:marTop w:val="0"/>
                              <w:marBottom w:val="0"/>
                              <w:divBdr>
                                <w:top w:val="none" w:sz="0" w:space="0" w:color="auto"/>
                                <w:left w:val="none" w:sz="0" w:space="0" w:color="auto"/>
                                <w:bottom w:val="none" w:sz="0" w:space="0" w:color="auto"/>
                                <w:right w:val="none" w:sz="0" w:space="0" w:color="auto"/>
                              </w:divBdr>
                              <w:divsChild>
                                <w:div w:id="1094090407">
                                  <w:marLeft w:val="0"/>
                                  <w:marRight w:val="0"/>
                                  <w:marTop w:val="0"/>
                                  <w:marBottom w:val="0"/>
                                  <w:divBdr>
                                    <w:top w:val="none" w:sz="0" w:space="0" w:color="auto"/>
                                    <w:left w:val="none" w:sz="0" w:space="0" w:color="auto"/>
                                    <w:bottom w:val="none" w:sz="0" w:space="0" w:color="auto"/>
                                    <w:right w:val="none" w:sz="0" w:space="0" w:color="auto"/>
                                  </w:divBdr>
                                  <w:divsChild>
                                    <w:div w:id="11107365">
                                      <w:marLeft w:val="0"/>
                                      <w:marRight w:val="0"/>
                                      <w:marTop w:val="0"/>
                                      <w:marBottom w:val="0"/>
                                      <w:divBdr>
                                        <w:top w:val="none" w:sz="0" w:space="0" w:color="auto"/>
                                        <w:left w:val="none" w:sz="0" w:space="0" w:color="auto"/>
                                        <w:bottom w:val="none" w:sz="0" w:space="0" w:color="auto"/>
                                        <w:right w:val="none" w:sz="0" w:space="0" w:color="auto"/>
                                      </w:divBdr>
                                      <w:divsChild>
                                        <w:div w:id="1350107816">
                                          <w:marLeft w:val="0"/>
                                          <w:marRight w:val="0"/>
                                          <w:marTop w:val="0"/>
                                          <w:marBottom w:val="0"/>
                                          <w:divBdr>
                                            <w:top w:val="none" w:sz="0" w:space="0" w:color="auto"/>
                                            <w:left w:val="none" w:sz="0" w:space="0" w:color="auto"/>
                                            <w:bottom w:val="none" w:sz="0" w:space="0" w:color="auto"/>
                                            <w:right w:val="none" w:sz="0" w:space="0" w:color="auto"/>
                                          </w:divBdr>
                                          <w:divsChild>
                                            <w:div w:id="2126344365">
                                              <w:marLeft w:val="0"/>
                                              <w:marRight w:val="0"/>
                                              <w:marTop w:val="0"/>
                                              <w:marBottom w:val="0"/>
                                              <w:divBdr>
                                                <w:top w:val="none" w:sz="0" w:space="0" w:color="auto"/>
                                                <w:left w:val="none" w:sz="0" w:space="0" w:color="auto"/>
                                                <w:bottom w:val="none" w:sz="0" w:space="0" w:color="auto"/>
                                                <w:right w:val="none" w:sz="0" w:space="0" w:color="auto"/>
                                              </w:divBdr>
                                              <w:divsChild>
                                                <w:div w:id="932935858">
                                                  <w:marLeft w:val="0"/>
                                                  <w:marRight w:val="0"/>
                                                  <w:marTop w:val="0"/>
                                                  <w:marBottom w:val="0"/>
                                                  <w:divBdr>
                                                    <w:top w:val="none" w:sz="0" w:space="0" w:color="auto"/>
                                                    <w:left w:val="none" w:sz="0" w:space="0" w:color="auto"/>
                                                    <w:bottom w:val="none" w:sz="0" w:space="0" w:color="auto"/>
                                                    <w:right w:val="none" w:sz="0" w:space="0" w:color="auto"/>
                                                  </w:divBdr>
                                                  <w:divsChild>
                                                    <w:div w:id="1442459916">
                                                      <w:marLeft w:val="0"/>
                                                      <w:marRight w:val="0"/>
                                                      <w:marTop w:val="0"/>
                                                      <w:marBottom w:val="0"/>
                                                      <w:divBdr>
                                                        <w:top w:val="none" w:sz="0" w:space="0" w:color="auto"/>
                                                        <w:left w:val="none" w:sz="0" w:space="0" w:color="auto"/>
                                                        <w:bottom w:val="none" w:sz="0" w:space="0" w:color="auto"/>
                                                        <w:right w:val="none" w:sz="0" w:space="0" w:color="auto"/>
                                                      </w:divBdr>
                                                      <w:divsChild>
                                                        <w:div w:id="1369329181">
                                                          <w:marLeft w:val="0"/>
                                                          <w:marRight w:val="0"/>
                                                          <w:marTop w:val="0"/>
                                                          <w:marBottom w:val="0"/>
                                                          <w:divBdr>
                                                            <w:top w:val="none" w:sz="0" w:space="0" w:color="auto"/>
                                                            <w:left w:val="none" w:sz="0" w:space="0" w:color="auto"/>
                                                            <w:bottom w:val="none" w:sz="0" w:space="0" w:color="auto"/>
                                                            <w:right w:val="none" w:sz="0" w:space="0" w:color="auto"/>
                                                          </w:divBdr>
                                                          <w:divsChild>
                                                            <w:div w:id="244413337">
                                                              <w:marLeft w:val="0"/>
                                                              <w:marRight w:val="0"/>
                                                              <w:marTop w:val="0"/>
                                                              <w:marBottom w:val="0"/>
                                                              <w:divBdr>
                                                                <w:top w:val="none" w:sz="0" w:space="0" w:color="auto"/>
                                                                <w:left w:val="none" w:sz="0" w:space="0" w:color="auto"/>
                                                                <w:bottom w:val="none" w:sz="0" w:space="0" w:color="auto"/>
                                                                <w:right w:val="none" w:sz="0" w:space="0" w:color="auto"/>
                                                              </w:divBdr>
                                                              <w:divsChild>
                                                                <w:div w:id="394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2617673">
      <w:bodyDiv w:val="1"/>
      <w:marLeft w:val="0"/>
      <w:marRight w:val="0"/>
      <w:marTop w:val="0"/>
      <w:marBottom w:val="0"/>
      <w:divBdr>
        <w:top w:val="none" w:sz="0" w:space="0" w:color="auto"/>
        <w:left w:val="none" w:sz="0" w:space="0" w:color="auto"/>
        <w:bottom w:val="none" w:sz="0" w:space="0" w:color="auto"/>
        <w:right w:val="none" w:sz="0" w:space="0" w:color="auto"/>
      </w:divBdr>
      <w:divsChild>
        <w:div w:id="1933202776">
          <w:marLeft w:val="0"/>
          <w:marRight w:val="0"/>
          <w:marTop w:val="0"/>
          <w:marBottom w:val="0"/>
          <w:divBdr>
            <w:top w:val="none" w:sz="0" w:space="0" w:color="auto"/>
            <w:left w:val="none" w:sz="0" w:space="0" w:color="auto"/>
            <w:bottom w:val="none" w:sz="0" w:space="0" w:color="auto"/>
            <w:right w:val="none" w:sz="0" w:space="0" w:color="auto"/>
          </w:divBdr>
          <w:divsChild>
            <w:div w:id="64769086">
              <w:marLeft w:val="0"/>
              <w:marRight w:val="0"/>
              <w:marTop w:val="0"/>
              <w:marBottom w:val="0"/>
              <w:divBdr>
                <w:top w:val="none" w:sz="0" w:space="0" w:color="auto"/>
                <w:left w:val="none" w:sz="0" w:space="0" w:color="auto"/>
                <w:bottom w:val="none" w:sz="0" w:space="0" w:color="auto"/>
                <w:right w:val="none" w:sz="0" w:space="0" w:color="auto"/>
              </w:divBdr>
              <w:divsChild>
                <w:div w:id="2130319025">
                  <w:marLeft w:val="0"/>
                  <w:marRight w:val="0"/>
                  <w:marTop w:val="0"/>
                  <w:marBottom w:val="0"/>
                  <w:divBdr>
                    <w:top w:val="none" w:sz="0" w:space="0" w:color="auto"/>
                    <w:left w:val="none" w:sz="0" w:space="0" w:color="auto"/>
                    <w:bottom w:val="none" w:sz="0" w:space="0" w:color="auto"/>
                    <w:right w:val="none" w:sz="0" w:space="0" w:color="auto"/>
                  </w:divBdr>
                  <w:divsChild>
                    <w:div w:id="481851654">
                      <w:marLeft w:val="0"/>
                      <w:marRight w:val="0"/>
                      <w:marTop w:val="0"/>
                      <w:marBottom w:val="0"/>
                      <w:divBdr>
                        <w:top w:val="none" w:sz="0" w:space="0" w:color="auto"/>
                        <w:left w:val="none" w:sz="0" w:space="0" w:color="auto"/>
                        <w:bottom w:val="none" w:sz="0" w:space="0" w:color="auto"/>
                        <w:right w:val="none" w:sz="0" w:space="0" w:color="auto"/>
                      </w:divBdr>
                      <w:divsChild>
                        <w:div w:id="549533891">
                          <w:marLeft w:val="0"/>
                          <w:marRight w:val="0"/>
                          <w:marTop w:val="0"/>
                          <w:marBottom w:val="0"/>
                          <w:divBdr>
                            <w:top w:val="none" w:sz="0" w:space="0" w:color="auto"/>
                            <w:left w:val="none" w:sz="0" w:space="0" w:color="auto"/>
                            <w:bottom w:val="none" w:sz="0" w:space="0" w:color="auto"/>
                            <w:right w:val="none" w:sz="0" w:space="0" w:color="auto"/>
                          </w:divBdr>
                          <w:divsChild>
                            <w:div w:id="1167132546">
                              <w:marLeft w:val="0"/>
                              <w:marRight w:val="0"/>
                              <w:marTop w:val="0"/>
                              <w:marBottom w:val="0"/>
                              <w:divBdr>
                                <w:top w:val="none" w:sz="0" w:space="0" w:color="auto"/>
                                <w:left w:val="none" w:sz="0" w:space="0" w:color="auto"/>
                                <w:bottom w:val="none" w:sz="0" w:space="0" w:color="auto"/>
                                <w:right w:val="none" w:sz="0" w:space="0" w:color="auto"/>
                              </w:divBdr>
                              <w:divsChild>
                                <w:div w:id="941492376">
                                  <w:marLeft w:val="0"/>
                                  <w:marRight w:val="0"/>
                                  <w:marTop w:val="0"/>
                                  <w:marBottom w:val="0"/>
                                  <w:divBdr>
                                    <w:top w:val="none" w:sz="0" w:space="0" w:color="auto"/>
                                    <w:left w:val="none" w:sz="0" w:space="0" w:color="auto"/>
                                    <w:bottom w:val="none" w:sz="0" w:space="0" w:color="auto"/>
                                    <w:right w:val="none" w:sz="0" w:space="0" w:color="auto"/>
                                  </w:divBdr>
                                  <w:divsChild>
                                    <w:div w:id="1821648626">
                                      <w:marLeft w:val="0"/>
                                      <w:marRight w:val="0"/>
                                      <w:marTop w:val="0"/>
                                      <w:marBottom w:val="0"/>
                                      <w:divBdr>
                                        <w:top w:val="none" w:sz="0" w:space="0" w:color="auto"/>
                                        <w:left w:val="none" w:sz="0" w:space="0" w:color="auto"/>
                                        <w:bottom w:val="none" w:sz="0" w:space="0" w:color="auto"/>
                                        <w:right w:val="none" w:sz="0" w:space="0" w:color="auto"/>
                                      </w:divBdr>
                                      <w:divsChild>
                                        <w:div w:id="178005415">
                                          <w:marLeft w:val="0"/>
                                          <w:marRight w:val="0"/>
                                          <w:marTop w:val="0"/>
                                          <w:marBottom w:val="0"/>
                                          <w:divBdr>
                                            <w:top w:val="none" w:sz="0" w:space="0" w:color="auto"/>
                                            <w:left w:val="none" w:sz="0" w:space="0" w:color="auto"/>
                                            <w:bottom w:val="none" w:sz="0" w:space="0" w:color="auto"/>
                                            <w:right w:val="none" w:sz="0" w:space="0" w:color="auto"/>
                                          </w:divBdr>
                                          <w:divsChild>
                                            <w:div w:id="447479861">
                                              <w:marLeft w:val="0"/>
                                              <w:marRight w:val="0"/>
                                              <w:marTop w:val="0"/>
                                              <w:marBottom w:val="0"/>
                                              <w:divBdr>
                                                <w:top w:val="none" w:sz="0" w:space="0" w:color="auto"/>
                                                <w:left w:val="none" w:sz="0" w:space="0" w:color="auto"/>
                                                <w:bottom w:val="none" w:sz="0" w:space="0" w:color="auto"/>
                                                <w:right w:val="none" w:sz="0" w:space="0" w:color="auto"/>
                                              </w:divBdr>
                                              <w:divsChild>
                                                <w:div w:id="204026607">
                                                  <w:marLeft w:val="0"/>
                                                  <w:marRight w:val="0"/>
                                                  <w:marTop w:val="0"/>
                                                  <w:marBottom w:val="0"/>
                                                  <w:divBdr>
                                                    <w:top w:val="none" w:sz="0" w:space="0" w:color="auto"/>
                                                    <w:left w:val="none" w:sz="0" w:space="0" w:color="auto"/>
                                                    <w:bottom w:val="none" w:sz="0" w:space="0" w:color="auto"/>
                                                    <w:right w:val="none" w:sz="0" w:space="0" w:color="auto"/>
                                                  </w:divBdr>
                                                  <w:divsChild>
                                                    <w:div w:id="9087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5667">
                                          <w:marLeft w:val="0"/>
                                          <w:marRight w:val="0"/>
                                          <w:marTop w:val="0"/>
                                          <w:marBottom w:val="0"/>
                                          <w:divBdr>
                                            <w:top w:val="none" w:sz="0" w:space="0" w:color="auto"/>
                                            <w:left w:val="none" w:sz="0" w:space="0" w:color="auto"/>
                                            <w:bottom w:val="none" w:sz="0" w:space="0" w:color="auto"/>
                                            <w:right w:val="none" w:sz="0" w:space="0" w:color="auto"/>
                                          </w:divBdr>
                                          <w:divsChild>
                                            <w:div w:id="132647414">
                                              <w:marLeft w:val="0"/>
                                              <w:marRight w:val="0"/>
                                              <w:marTop w:val="0"/>
                                              <w:marBottom w:val="0"/>
                                              <w:divBdr>
                                                <w:top w:val="none" w:sz="0" w:space="0" w:color="auto"/>
                                                <w:left w:val="none" w:sz="0" w:space="0" w:color="auto"/>
                                                <w:bottom w:val="none" w:sz="0" w:space="0" w:color="auto"/>
                                                <w:right w:val="none" w:sz="0" w:space="0" w:color="auto"/>
                                              </w:divBdr>
                                              <w:divsChild>
                                                <w:div w:id="2902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254577">
          <w:marLeft w:val="0"/>
          <w:marRight w:val="0"/>
          <w:marTop w:val="0"/>
          <w:marBottom w:val="0"/>
          <w:divBdr>
            <w:top w:val="none" w:sz="0" w:space="0" w:color="auto"/>
            <w:left w:val="none" w:sz="0" w:space="0" w:color="auto"/>
            <w:bottom w:val="none" w:sz="0" w:space="0" w:color="auto"/>
            <w:right w:val="none" w:sz="0" w:space="0" w:color="auto"/>
          </w:divBdr>
          <w:divsChild>
            <w:div w:id="1558667448">
              <w:marLeft w:val="0"/>
              <w:marRight w:val="0"/>
              <w:marTop w:val="0"/>
              <w:marBottom w:val="0"/>
              <w:divBdr>
                <w:top w:val="none" w:sz="0" w:space="0" w:color="auto"/>
                <w:left w:val="none" w:sz="0" w:space="0" w:color="auto"/>
                <w:bottom w:val="none" w:sz="0" w:space="0" w:color="auto"/>
                <w:right w:val="none" w:sz="0" w:space="0" w:color="auto"/>
              </w:divBdr>
              <w:divsChild>
                <w:div w:id="2071226601">
                  <w:marLeft w:val="0"/>
                  <w:marRight w:val="0"/>
                  <w:marTop w:val="0"/>
                  <w:marBottom w:val="0"/>
                  <w:divBdr>
                    <w:top w:val="none" w:sz="0" w:space="0" w:color="auto"/>
                    <w:left w:val="none" w:sz="0" w:space="0" w:color="auto"/>
                    <w:bottom w:val="none" w:sz="0" w:space="0" w:color="auto"/>
                    <w:right w:val="none" w:sz="0" w:space="0" w:color="auto"/>
                  </w:divBdr>
                  <w:divsChild>
                    <w:div w:id="1938782476">
                      <w:marLeft w:val="0"/>
                      <w:marRight w:val="0"/>
                      <w:marTop w:val="0"/>
                      <w:marBottom w:val="0"/>
                      <w:divBdr>
                        <w:top w:val="none" w:sz="0" w:space="0" w:color="auto"/>
                        <w:left w:val="none" w:sz="0" w:space="0" w:color="auto"/>
                        <w:bottom w:val="none" w:sz="0" w:space="0" w:color="auto"/>
                        <w:right w:val="none" w:sz="0" w:space="0" w:color="auto"/>
                      </w:divBdr>
                      <w:divsChild>
                        <w:div w:id="42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53543">
      <w:bodyDiv w:val="1"/>
      <w:marLeft w:val="0"/>
      <w:marRight w:val="0"/>
      <w:marTop w:val="0"/>
      <w:marBottom w:val="0"/>
      <w:divBdr>
        <w:top w:val="none" w:sz="0" w:space="0" w:color="auto"/>
        <w:left w:val="none" w:sz="0" w:space="0" w:color="auto"/>
        <w:bottom w:val="none" w:sz="0" w:space="0" w:color="auto"/>
        <w:right w:val="none" w:sz="0" w:space="0" w:color="auto"/>
      </w:divBdr>
    </w:div>
    <w:div w:id="2054039187">
      <w:bodyDiv w:val="1"/>
      <w:marLeft w:val="0"/>
      <w:marRight w:val="0"/>
      <w:marTop w:val="0"/>
      <w:marBottom w:val="0"/>
      <w:divBdr>
        <w:top w:val="none" w:sz="0" w:space="0" w:color="auto"/>
        <w:left w:val="none" w:sz="0" w:space="0" w:color="auto"/>
        <w:bottom w:val="none" w:sz="0" w:space="0" w:color="auto"/>
        <w:right w:val="none" w:sz="0" w:space="0" w:color="auto"/>
      </w:divBdr>
      <w:divsChild>
        <w:div w:id="1122848983">
          <w:marLeft w:val="0"/>
          <w:marRight w:val="0"/>
          <w:marTop w:val="0"/>
          <w:marBottom w:val="0"/>
          <w:divBdr>
            <w:top w:val="none" w:sz="0" w:space="0" w:color="auto"/>
            <w:left w:val="none" w:sz="0" w:space="0" w:color="auto"/>
            <w:bottom w:val="none" w:sz="0" w:space="0" w:color="auto"/>
            <w:right w:val="none" w:sz="0" w:space="0" w:color="auto"/>
          </w:divBdr>
          <w:divsChild>
            <w:div w:id="1169445382">
              <w:marLeft w:val="0"/>
              <w:marRight w:val="0"/>
              <w:marTop w:val="0"/>
              <w:marBottom w:val="0"/>
              <w:divBdr>
                <w:top w:val="none" w:sz="0" w:space="0" w:color="auto"/>
                <w:left w:val="none" w:sz="0" w:space="0" w:color="auto"/>
                <w:bottom w:val="none" w:sz="0" w:space="0" w:color="auto"/>
                <w:right w:val="none" w:sz="0" w:space="0" w:color="auto"/>
              </w:divBdr>
              <w:divsChild>
                <w:div w:id="1334188279">
                  <w:marLeft w:val="0"/>
                  <w:marRight w:val="0"/>
                  <w:marTop w:val="0"/>
                  <w:marBottom w:val="0"/>
                  <w:divBdr>
                    <w:top w:val="none" w:sz="0" w:space="0" w:color="auto"/>
                    <w:left w:val="none" w:sz="0" w:space="0" w:color="auto"/>
                    <w:bottom w:val="none" w:sz="0" w:space="0" w:color="auto"/>
                    <w:right w:val="none" w:sz="0" w:space="0" w:color="auto"/>
                  </w:divBdr>
                  <w:divsChild>
                    <w:div w:id="1695572601">
                      <w:marLeft w:val="0"/>
                      <w:marRight w:val="0"/>
                      <w:marTop w:val="0"/>
                      <w:marBottom w:val="0"/>
                      <w:divBdr>
                        <w:top w:val="none" w:sz="0" w:space="0" w:color="auto"/>
                        <w:left w:val="none" w:sz="0" w:space="0" w:color="auto"/>
                        <w:bottom w:val="none" w:sz="0" w:space="0" w:color="auto"/>
                        <w:right w:val="none" w:sz="0" w:space="0" w:color="auto"/>
                      </w:divBdr>
                      <w:divsChild>
                        <w:div w:id="276379334">
                          <w:marLeft w:val="0"/>
                          <w:marRight w:val="0"/>
                          <w:marTop w:val="0"/>
                          <w:marBottom w:val="0"/>
                          <w:divBdr>
                            <w:top w:val="none" w:sz="0" w:space="0" w:color="auto"/>
                            <w:left w:val="none" w:sz="0" w:space="0" w:color="auto"/>
                            <w:bottom w:val="none" w:sz="0" w:space="0" w:color="auto"/>
                            <w:right w:val="none" w:sz="0" w:space="0" w:color="auto"/>
                          </w:divBdr>
                          <w:divsChild>
                            <w:div w:id="417406138">
                              <w:marLeft w:val="0"/>
                              <w:marRight w:val="0"/>
                              <w:marTop w:val="0"/>
                              <w:marBottom w:val="0"/>
                              <w:divBdr>
                                <w:top w:val="none" w:sz="0" w:space="0" w:color="auto"/>
                                <w:left w:val="none" w:sz="0" w:space="0" w:color="auto"/>
                                <w:bottom w:val="none" w:sz="0" w:space="0" w:color="auto"/>
                                <w:right w:val="none" w:sz="0" w:space="0" w:color="auto"/>
                              </w:divBdr>
                              <w:divsChild>
                                <w:div w:id="178544550">
                                  <w:marLeft w:val="0"/>
                                  <w:marRight w:val="0"/>
                                  <w:marTop w:val="0"/>
                                  <w:marBottom w:val="0"/>
                                  <w:divBdr>
                                    <w:top w:val="none" w:sz="0" w:space="0" w:color="auto"/>
                                    <w:left w:val="none" w:sz="0" w:space="0" w:color="auto"/>
                                    <w:bottom w:val="none" w:sz="0" w:space="0" w:color="auto"/>
                                    <w:right w:val="none" w:sz="0" w:space="0" w:color="auto"/>
                                  </w:divBdr>
                                  <w:divsChild>
                                    <w:div w:id="1284995264">
                                      <w:marLeft w:val="0"/>
                                      <w:marRight w:val="0"/>
                                      <w:marTop w:val="0"/>
                                      <w:marBottom w:val="0"/>
                                      <w:divBdr>
                                        <w:top w:val="none" w:sz="0" w:space="0" w:color="auto"/>
                                        <w:left w:val="none" w:sz="0" w:space="0" w:color="auto"/>
                                        <w:bottom w:val="none" w:sz="0" w:space="0" w:color="auto"/>
                                        <w:right w:val="none" w:sz="0" w:space="0" w:color="auto"/>
                                      </w:divBdr>
                                      <w:divsChild>
                                        <w:div w:id="149492467">
                                          <w:marLeft w:val="0"/>
                                          <w:marRight w:val="0"/>
                                          <w:marTop w:val="0"/>
                                          <w:marBottom w:val="0"/>
                                          <w:divBdr>
                                            <w:top w:val="none" w:sz="0" w:space="0" w:color="auto"/>
                                            <w:left w:val="none" w:sz="0" w:space="0" w:color="auto"/>
                                            <w:bottom w:val="none" w:sz="0" w:space="0" w:color="auto"/>
                                            <w:right w:val="none" w:sz="0" w:space="0" w:color="auto"/>
                                          </w:divBdr>
                                          <w:divsChild>
                                            <w:div w:id="1460535573">
                                              <w:marLeft w:val="0"/>
                                              <w:marRight w:val="0"/>
                                              <w:marTop w:val="0"/>
                                              <w:marBottom w:val="0"/>
                                              <w:divBdr>
                                                <w:top w:val="none" w:sz="0" w:space="0" w:color="auto"/>
                                                <w:left w:val="none" w:sz="0" w:space="0" w:color="auto"/>
                                                <w:bottom w:val="none" w:sz="0" w:space="0" w:color="auto"/>
                                                <w:right w:val="none" w:sz="0" w:space="0" w:color="auto"/>
                                              </w:divBdr>
                                              <w:divsChild>
                                                <w:div w:id="396826541">
                                                  <w:marLeft w:val="0"/>
                                                  <w:marRight w:val="0"/>
                                                  <w:marTop w:val="0"/>
                                                  <w:marBottom w:val="0"/>
                                                  <w:divBdr>
                                                    <w:top w:val="none" w:sz="0" w:space="0" w:color="auto"/>
                                                    <w:left w:val="none" w:sz="0" w:space="0" w:color="auto"/>
                                                    <w:bottom w:val="none" w:sz="0" w:space="0" w:color="auto"/>
                                                    <w:right w:val="none" w:sz="0" w:space="0" w:color="auto"/>
                                                  </w:divBdr>
                                                  <w:divsChild>
                                                    <w:div w:id="14244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29638">
                                          <w:marLeft w:val="0"/>
                                          <w:marRight w:val="0"/>
                                          <w:marTop w:val="0"/>
                                          <w:marBottom w:val="0"/>
                                          <w:divBdr>
                                            <w:top w:val="none" w:sz="0" w:space="0" w:color="auto"/>
                                            <w:left w:val="none" w:sz="0" w:space="0" w:color="auto"/>
                                            <w:bottom w:val="none" w:sz="0" w:space="0" w:color="auto"/>
                                            <w:right w:val="none" w:sz="0" w:space="0" w:color="auto"/>
                                          </w:divBdr>
                                          <w:divsChild>
                                            <w:div w:id="1096559191">
                                              <w:marLeft w:val="0"/>
                                              <w:marRight w:val="0"/>
                                              <w:marTop w:val="0"/>
                                              <w:marBottom w:val="0"/>
                                              <w:divBdr>
                                                <w:top w:val="none" w:sz="0" w:space="0" w:color="auto"/>
                                                <w:left w:val="none" w:sz="0" w:space="0" w:color="auto"/>
                                                <w:bottom w:val="none" w:sz="0" w:space="0" w:color="auto"/>
                                                <w:right w:val="none" w:sz="0" w:space="0" w:color="auto"/>
                                              </w:divBdr>
                                              <w:divsChild>
                                                <w:div w:id="505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8632">
          <w:marLeft w:val="0"/>
          <w:marRight w:val="0"/>
          <w:marTop w:val="0"/>
          <w:marBottom w:val="0"/>
          <w:divBdr>
            <w:top w:val="none" w:sz="0" w:space="0" w:color="auto"/>
            <w:left w:val="none" w:sz="0" w:space="0" w:color="auto"/>
            <w:bottom w:val="none" w:sz="0" w:space="0" w:color="auto"/>
            <w:right w:val="none" w:sz="0" w:space="0" w:color="auto"/>
          </w:divBdr>
          <w:divsChild>
            <w:div w:id="1373267534">
              <w:marLeft w:val="0"/>
              <w:marRight w:val="0"/>
              <w:marTop w:val="0"/>
              <w:marBottom w:val="0"/>
              <w:divBdr>
                <w:top w:val="none" w:sz="0" w:space="0" w:color="auto"/>
                <w:left w:val="none" w:sz="0" w:space="0" w:color="auto"/>
                <w:bottom w:val="none" w:sz="0" w:space="0" w:color="auto"/>
                <w:right w:val="none" w:sz="0" w:space="0" w:color="auto"/>
              </w:divBdr>
              <w:divsChild>
                <w:div w:id="709837327">
                  <w:marLeft w:val="0"/>
                  <w:marRight w:val="0"/>
                  <w:marTop w:val="0"/>
                  <w:marBottom w:val="0"/>
                  <w:divBdr>
                    <w:top w:val="none" w:sz="0" w:space="0" w:color="auto"/>
                    <w:left w:val="none" w:sz="0" w:space="0" w:color="auto"/>
                    <w:bottom w:val="none" w:sz="0" w:space="0" w:color="auto"/>
                    <w:right w:val="none" w:sz="0" w:space="0" w:color="auto"/>
                  </w:divBdr>
                  <w:divsChild>
                    <w:div w:id="1994522935">
                      <w:marLeft w:val="0"/>
                      <w:marRight w:val="0"/>
                      <w:marTop w:val="0"/>
                      <w:marBottom w:val="0"/>
                      <w:divBdr>
                        <w:top w:val="none" w:sz="0" w:space="0" w:color="auto"/>
                        <w:left w:val="none" w:sz="0" w:space="0" w:color="auto"/>
                        <w:bottom w:val="none" w:sz="0" w:space="0" w:color="auto"/>
                        <w:right w:val="none" w:sz="0" w:space="0" w:color="auto"/>
                      </w:divBdr>
                      <w:divsChild>
                        <w:div w:id="1001158604">
                          <w:marLeft w:val="0"/>
                          <w:marRight w:val="0"/>
                          <w:marTop w:val="0"/>
                          <w:marBottom w:val="0"/>
                          <w:divBdr>
                            <w:top w:val="none" w:sz="0" w:space="0" w:color="auto"/>
                            <w:left w:val="none" w:sz="0" w:space="0" w:color="auto"/>
                            <w:bottom w:val="none" w:sz="0" w:space="0" w:color="auto"/>
                            <w:right w:val="none" w:sz="0" w:space="0" w:color="auto"/>
                          </w:divBdr>
                          <w:divsChild>
                            <w:div w:id="568417805">
                              <w:marLeft w:val="0"/>
                              <w:marRight w:val="0"/>
                              <w:marTop w:val="0"/>
                              <w:marBottom w:val="0"/>
                              <w:divBdr>
                                <w:top w:val="none" w:sz="0" w:space="0" w:color="auto"/>
                                <w:left w:val="none" w:sz="0" w:space="0" w:color="auto"/>
                                <w:bottom w:val="none" w:sz="0" w:space="0" w:color="auto"/>
                                <w:right w:val="none" w:sz="0" w:space="0" w:color="auto"/>
                              </w:divBdr>
                              <w:divsChild>
                                <w:div w:id="1000497870">
                                  <w:marLeft w:val="0"/>
                                  <w:marRight w:val="0"/>
                                  <w:marTop w:val="0"/>
                                  <w:marBottom w:val="0"/>
                                  <w:divBdr>
                                    <w:top w:val="none" w:sz="0" w:space="0" w:color="auto"/>
                                    <w:left w:val="none" w:sz="0" w:space="0" w:color="auto"/>
                                    <w:bottom w:val="none" w:sz="0" w:space="0" w:color="auto"/>
                                    <w:right w:val="none" w:sz="0" w:space="0" w:color="auto"/>
                                  </w:divBdr>
                                  <w:divsChild>
                                    <w:div w:id="162471906">
                                      <w:marLeft w:val="0"/>
                                      <w:marRight w:val="0"/>
                                      <w:marTop w:val="0"/>
                                      <w:marBottom w:val="0"/>
                                      <w:divBdr>
                                        <w:top w:val="none" w:sz="0" w:space="0" w:color="auto"/>
                                        <w:left w:val="none" w:sz="0" w:space="0" w:color="auto"/>
                                        <w:bottom w:val="none" w:sz="0" w:space="0" w:color="auto"/>
                                        <w:right w:val="none" w:sz="0" w:space="0" w:color="auto"/>
                                      </w:divBdr>
                                      <w:divsChild>
                                        <w:div w:id="454834904">
                                          <w:marLeft w:val="0"/>
                                          <w:marRight w:val="0"/>
                                          <w:marTop w:val="0"/>
                                          <w:marBottom w:val="0"/>
                                          <w:divBdr>
                                            <w:top w:val="none" w:sz="0" w:space="0" w:color="auto"/>
                                            <w:left w:val="none" w:sz="0" w:space="0" w:color="auto"/>
                                            <w:bottom w:val="none" w:sz="0" w:space="0" w:color="auto"/>
                                            <w:right w:val="none" w:sz="0" w:space="0" w:color="auto"/>
                                          </w:divBdr>
                                          <w:divsChild>
                                            <w:div w:id="878248297">
                                              <w:marLeft w:val="0"/>
                                              <w:marRight w:val="0"/>
                                              <w:marTop w:val="0"/>
                                              <w:marBottom w:val="0"/>
                                              <w:divBdr>
                                                <w:top w:val="none" w:sz="0" w:space="0" w:color="auto"/>
                                                <w:left w:val="none" w:sz="0" w:space="0" w:color="auto"/>
                                                <w:bottom w:val="none" w:sz="0" w:space="0" w:color="auto"/>
                                                <w:right w:val="none" w:sz="0" w:space="0" w:color="auto"/>
                                              </w:divBdr>
                                              <w:divsChild>
                                                <w:div w:id="1469712489">
                                                  <w:marLeft w:val="0"/>
                                                  <w:marRight w:val="0"/>
                                                  <w:marTop w:val="0"/>
                                                  <w:marBottom w:val="0"/>
                                                  <w:divBdr>
                                                    <w:top w:val="none" w:sz="0" w:space="0" w:color="auto"/>
                                                    <w:left w:val="none" w:sz="0" w:space="0" w:color="auto"/>
                                                    <w:bottom w:val="none" w:sz="0" w:space="0" w:color="auto"/>
                                                    <w:right w:val="none" w:sz="0" w:space="0" w:color="auto"/>
                                                  </w:divBdr>
                                                  <w:divsChild>
                                                    <w:div w:id="920026657">
                                                      <w:marLeft w:val="0"/>
                                                      <w:marRight w:val="0"/>
                                                      <w:marTop w:val="0"/>
                                                      <w:marBottom w:val="0"/>
                                                      <w:divBdr>
                                                        <w:top w:val="none" w:sz="0" w:space="0" w:color="auto"/>
                                                        <w:left w:val="none" w:sz="0" w:space="0" w:color="auto"/>
                                                        <w:bottom w:val="none" w:sz="0" w:space="0" w:color="auto"/>
                                                        <w:right w:val="none" w:sz="0" w:space="0" w:color="auto"/>
                                                      </w:divBdr>
                                                      <w:divsChild>
                                                        <w:div w:id="1164931522">
                                                          <w:marLeft w:val="0"/>
                                                          <w:marRight w:val="0"/>
                                                          <w:marTop w:val="0"/>
                                                          <w:marBottom w:val="0"/>
                                                          <w:divBdr>
                                                            <w:top w:val="none" w:sz="0" w:space="0" w:color="auto"/>
                                                            <w:left w:val="none" w:sz="0" w:space="0" w:color="auto"/>
                                                            <w:bottom w:val="none" w:sz="0" w:space="0" w:color="auto"/>
                                                            <w:right w:val="none" w:sz="0" w:space="0" w:color="auto"/>
                                                          </w:divBdr>
                                                          <w:divsChild>
                                                            <w:div w:id="2072579004">
                                                              <w:marLeft w:val="0"/>
                                                              <w:marRight w:val="0"/>
                                                              <w:marTop w:val="0"/>
                                                              <w:marBottom w:val="0"/>
                                                              <w:divBdr>
                                                                <w:top w:val="none" w:sz="0" w:space="0" w:color="auto"/>
                                                                <w:left w:val="none" w:sz="0" w:space="0" w:color="auto"/>
                                                                <w:bottom w:val="none" w:sz="0" w:space="0" w:color="auto"/>
                                                                <w:right w:val="none" w:sz="0" w:space="0" w:color="auto"/>
                                                              </w:divBdr>
                                                              <w:divsChild>
                                                                <w:div w:id="19520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0124709">
      <w:bodyDiv w:val="1"/>
      <w:marLeft w:val="0"/>
      <w:marRight w:val="0"/>
      <w:marTop w:val="0"/>
      <w:marBottom w:val="0"/>
      <w:divBdr>
        <w:top w:val="none" w:sz="0" w:space="0" w:color="auto"/>
        <w:left w:val="none" w:sz="0" w:space="0" w:color="auto"/>
        <w:bottom w:val="none" w:sz="0" w:space="0" w:color="auto"/>
        <w:right w:val="none" w:sz="0" w:space="0" w:color="auto"/>
      </w:divBdr>
    </w:div>
    <w:div w:id="2113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959353514526217" TargetMode="External"/><Relationship Id="rId18" Type="http://schemas.openxmlformats.org/officeDocument/2006/relationships/hyperlink" Target="https://doi.org/10.1177/00332941211002130" TargetMode="External"/><Relationship Id="rId26" Type="http://schemas.openxmlformats.org/officeDocument/2006/relationships/hyperlink" Target="https://doi.org/10.1016/j.neuropsychologia.2019.03.010" TargetMode="External"/><Relationship Id="rId39" Type="http://schemas.openxmlformats.org/officeDocument/2006/relationships/fontTable" Target="fontTable.xml"/><Relationship Id="rId21" Type="http://schemas.openxmlformats.org/officeDocument/2006/relationships/hyperlink" Target="https://doi.org/10.3390/ijerph19073849" TargetMode="External"/><Relationship Id="rId34" Type="http://schemas.openxmlformats.org/officeDocument/2006/relationships/hyperlink" Target="https://doi.org/10.1037/a0026990" TargetMode="External"/><Relationship Id="rId7" Type="http://schemas.openxmlformats.org/officeDocument/2006/relationships/endnotes" Target="endnotes.xml"/><Relationship Id="rId12" Type="http://schemas.openxmlformats.org/officeDocument/2006/relationships/hyperlink" Target="https://www.apa.org/practice/guidelines/transgender.pdf" TargetMode="External"/><Relationship Id="rId17" Type="http://schemas.openxmlformats.org/officeDocument/2006/relationships/hyperlink" Target="https://doi.org/10.1111/jasp.12942" TargetMode="External"/><Relationship Id="rId25" Type="http://schemas.openxmlformats.org/officeDocument/2006/relationships/hyperlink" Target="https://doi.org/10.1177/2378023118774111" TargetMode="External"/><Relationship Id="rId33" Type="http://schemas.openxmlformats.org/officeDocument/2006/relationships/hyperlink" Target="https://doi.org/10.1371/journal.pone.000575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93/cercor/bhp189" TargetMode="External"/><Relationship Id="rId20" Type="http://schemas.openxmlformats.org/officeDocument/2006/relationships/hyperlink" Target="https://doi.org/10.1037/0022-3514.88.5.770" TargetMode="External"/><Relationship Id="rId29" Type="http://schemas.openxmlformats.org/officeDocument/2006/relationships/hyperlink" Target="https://doi.org/10.1007/s12671-020-013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0ksohi@pbi.ac.in%20%20%20%20" TargetMode="External"/><Relationship Id="rId24" Type="http://schemas.openxmlformats.org/officeDocument/2006/relationships/hyperlink" Target="https://psycnet.apa.org/doi/10.1037/a0029597" TargetMode="External"/><Relationship Id="rId32" Type="http://schemas.openxmlformats.org/officeDocument/2006/relationships/hyperlink" Target="https://doi.org/10.1016/j.concog.2018.12.001" TargetMode="External"/><Relationship Id="rId37" Type="http://schemas.openxmlformats.org/officeDocument/2006/relationships/hyperlink" Target="https://www.who.int/publications/i/item/978924002590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1527-2001.2007.tb01090.x" TargetMode="External"/><Relationship Id="rId23" Type="http://schemas.openxmlformats.org/officeDocument/2006/relationships/hyperlink" Target="https://transequality.org/sites/default/files/docs/resources/NTDS_Report.pdf" TargetMode="External"/><Relationship Id="rId28" Type="http://schemas.openxmlformats.org/officeDocument/2006/relationships/hyperlink" Target="https://doi.org/10.1300/J082v42n01_05" TargetMode="External"/><Relationship Id="rId36" Type="http://schemas.openxmlformats.org/officeDocument/2006/relationships/hyperlink" Target="https://doi.org/10.1177/0891243287001002002" TargetMode="External"/><Relationship Id="rId10" Type="http://schemas.openxmlformats.org/officeDocument/2006/relationships/hyperlink" Target="mailto:3dr.dikshakapur@gmail.com" TargetMode="External"/><Relationship Id="rId19" Type="http://schemas.openxmlformats.org/officeDocument/2006/relationships/hyperlink" Target="https://doi.org/10.1080/00918369.2012.724944" TargetMode="External"/><Relationship Id="rId31" Type="http://schemas.openxmlformats.org/officeDocument/2006/relationships/hyperlink" Target="https://doi.org/10.1016/j.jesp.2010.11.003" TargetMode="External"/><Relationship Id="rId4" Type="http://schemas.openxmlformats.org/officeDocument/2006/relationships/settings" Target="settings.xml"/><Relationship Id="rId9" Type="http://schemas.openxmlformats.org/officeDocument/2006/relationships/hyperlink" Target="mailto:mandeepbrar980@gmail.com" TargetMode="External"/><Relationship Id="rId14" Type="http://schemas.openxmlformats.org/officeDocument/2006/relationships/hyperlink" Target="https://psycnet.apa.org/doi/10.1007/978-3-319-06787-2_4" TargetMode="External"/><Relationship Id="rId22" Type="http://schemas.openxmlformats.org/officeDocument/2006/relationships/hyperlink" Target="https://williamsinstitute.law.ucla.edu/publications/" TargetMode="External"/><Relationship Id="rId27" Type="http://schemas.openxmlformats.org/officeDocument/2006/relationships/hyperlink" Target="https://doi.org/10.1177/1059601109340382" TargetMode="External"/><Relationship Id="rId30" Type="http://schemas.openxmlformats.org/officeDocument/2006/relationships/hyperlink" Target="https://doi.org/10.1007/s11199-011-0110-6" TargetMode="External"/><Relationship Id="rId35" Type="http://schemas.openxmlformats.org/officeDocument/2006/relationships/hyperlink" Target="https://doi.org/10.1080/00918369.2020.1813510" TargetMode="External"/><Relationship Id="rId8" Type="http://schemas.openxmlformats.org/officeDocument/2006/relationships/hyperlink" Target="mailto:1ksohi@pbi.ac.i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4170-0BDA-45BD-B035-D0FACE25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31</Pages>
  <Words>9632</Words>
  <Characters>54904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Diksha Kapur</cp:lastModifiedBy>
  <cp:revision>34</cp:revision>
  <cp:lastPrinted>2025-04-23T04:52:00Z</cp:lastPrinted>
  <dcterms:created xsi:type="dcterms:W3CDTF">2025-04-23T04:49:00Z</dcterms:created>
  <dcterms:modified xsi:type="dcterms:W3CDTF">2026-04-06T10:21:00Z</dcterms:modified>
</cp:coreProperties>
</file>