
<file path=[Content_Types].xml><?xml version="1.0" encoding="utf-8"?>
<Types xmlns="http://schemas.openxmlformats.org/package/2006/content-types">
  <Default Extension="png" ContentType="image/png"/>
  <Default Extension="rels" ContentType="application/vnd.openxmlformats-package.relationships+xml"/>
  <Default Extension="undefined" ContentType="application/octet-stream"/>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26B6BE" w14:textId="77777777" w:rsidR="00E84CFA" w:rsidRDefault="00000000" w:rsidP="002757BF">
      <w:pPr>
        <w:spacing w:after="120"/>
        <w:jc w:val="center"/>
        <w:rPr>
          <w:rFonts w:ascii="Times New Roman" w:hAnsi="Times New Roman" w:cs="Times New Roman"/>
          <w:b/>
          <w:bCs/>
          <w:color w:val="000000" w:themeColor="text1"/>
          <w:sz w:val="24"/>
          <w:szCs w:val="24"/>
        </w:rPr>
      </w:pPr>
      <w:r w:rsidRPr="009E5F91">
        <w:rPr>
          <w:rFonts w:ascii="Times New Roman" w:hAnsi="Times New Roman" w:cs="Times New Roman"/>
          <w:b/>
          <w:bCs/>
          <w:color w:val="000000" w:themeColor="text1"/>
          <w:sz w:val="24"/>
          <w:szCs w:val="24"/>
        </w:rPr>
        <w:t>Assessment of Air Quality and Health Impacts Using Multi-Parameter Environmental Data in Urban Areas</w:t>
      </w:r>
    </w:p>
    <w:p w14:paraId="79E91553" w14:textId="22C3169A" w:rsidR="002757BF" w:rsidRPr="009E5F91" w:rsidRDefault="002757BF" w:rsidP="002757BF">
      <w:pPr>
        <w:spacing w:after="120"/>
        <w:jc w:val="center"/>
        <w:rPr>
          <w:rFonts w:ascii="Times New Roman" w:hAnsi="Times New Roman" w:cs="Times New Roman"/>
          <w:color w:val="000000" w:themeColor="text1"/>
          <w:sz w:val="24"/>
          <w:szCs w:val="24"/>
        </w:rPr>
      </w:pPr>
    </w:p>
    <w:p w14:paraId="3CBF0B86" w14:textId="2CAB7778" w:rsidR="009E5F91" w:rsidRPr="002B29A7" w:rsidRDefault="00B87FC3" w:rsidP="009E5F91">
      <w:pPr>
        <w:spacing w:after="300" w:line="360" w:lineRule="auto"/>
        <w:jc w:val="center"/>
        <w:rPr>
          <w:rFonts w:ascii="Times New Roman" w:hAnsi="Times New Roman" w:cs="Times New Roman"/>
          <w:b/>
          <w:bCs/>
          <w:color w:val="000000" w:themeColor="text1"/>
          <w:sz w:val="24"/>
          <w:szCs w:val="24"/>
        </w:rPr>
      </w:pPr>
      <w:r w:rsidRPr="002B29A7">
        <w:rPr>
          <w:rFonts w:ascii="Times New Roman" w:hAnsi="Times New Roman" w:cs="Times New Roman"/>
          <w:b/>
          <w:bCs/>
          <w:color w:val="000000" w:themeColor="text1"/>
          <w:sz w:val="24"/>
          <w:szCs w:val="24"/>
          <w:vertAlign w:val="superscript"/>
        </w:rPr>
        <w:t/>
      </w:r>
      <w:r w:rsidR="009E5F91" w:rsidRPr="002B29A7">
        <w:rPr>
          <w:rFonts w:ascii="Times New Roman" w:hAnsi="Times New Roman" w:cs="Times New Roman"/>
          <w:b/>
          <w:bCs/>
          <w:color w:val="000000" w:themeColor="text1"/>
          <w:sz w:val="24"/>
          <w:szCs w:val="24"/>
        </w:rPr>
        <w:t xml:space="preserve"/>
      </w:r>
      <w:r w:rsidRPr="002B29A7">
        <w:rPr>
          <w:rFonts w:ascii="Times New Roman" w:hAnsi="Times New Roman" w:cs="Times New Roman"/>
          <w:b/>
          <w:bCs/>
          <w:color w:val="000000" w:themeColor="text1"/>
          <w:sz w:val="24"/>
          <w:szCs w:val="24"/>
          <w:vertAlign w:val="superscript"/>
        </w:rPr>
        <w:t/>
      </w:r>
      <w:r w:rsidR="009E5F91" w:rsidRPr="002B29A7">
        <w:rPr>
          <w:rFonts w:ascii="Times New Roman" w:hAnsi="Times New Roman" w:cs="Times New Roman"/>
          <w:b/>
          <w:bCs/>
          <w:color w:val="000000" w:themeColor="text1"/>
          <w:sz w:val="24"/>
          <w:szCs w:val="24"/>
        </w:rPr>
        <w:t xml:space="preserve"/>
      </w:r>
      <w:proofErr w:type="spellStart"/>
      <w:r w:rsidR="009E5F91" w:rsidRPr="002B29A7">
        <w:rPr>
          <w:rFonts w:ascii="Times New Roman" w:hAnsi="Times New Roman" w:cs="Times New Roman"/>
          <w:b/>
          <w:bCs/>
          <w:color w:val="000000" w:themeColor="text1"/>
          <w:sz w:val="24"/>
          <w:szCs w:val="24"/>
        </w:rPr>
        <w:t/>
      </w:r>
      <w:proofErr w:type="spellEnd"/>
      <w:r w:rsidR="009E5F91" w:rsidRPr="002B29A7">
        <w:rPr>
          <w:rFonts w:ascii="Times New Roman" w:hAnsi="Times New Roman" w:cs="Times New Roman"/>
          <w:b/>
          <w:bCs/>
          <w:color w:val="000000" w:themeColor="text1"/>
          <w:sz w:val="24"/>
          <w:szCs w:val="24"/>
        </w:rPr>
        <w:t xml:space="preserve"/>
      </w:r>
      <w:r w:rsidRPr="002B29A7">
        <w:rPr>
          <w:rFonts w:ascii="Times New Roman" w:hAnsi="Times New Roman" w:cs="Times New Roman"/>
          <w:b/>
          <w:bCs/>
          <w:color w:val="000000" w:themeColor="text1"/>
          <w:sz w:val="24"/>
          <w:szCs w:val="24"/>
          <w:vertAlign w:val="superscript"/>
        </w:rPr>
        <w:t/>
      </w:r>
      <w:r w:rsidRPr="002B29A7">
        <w:rPr>
          <w:rFonts w:ascii="Times New Roman" w:hAnsi="Times New Roman" w:cs="Times New Roman"/>
          <w:b/>
          <w:bCs/>
          <w:color w:val="000000" w:themeColor="text1"/>
          <w:sz w:val="24"/>
          <w:szCs w:val="24"/>
        </w:rPr>
        <w:t xml:space="preserve"/>
      </w:r>
      <w:r w:rsidRPr="002B29A7">
        <w:rPr>
          <w:rFonts w:ascii="Times New Roman" w:hAnsi="Times New Roman" w:cs="Times New Roman"/>
          <w:b/>
          <w:bCs/>
          <w:color w:val="000000" w:themeColor="text1"/>
          <w:sz w:val="24"/>
          <w:szCs w:val="24"/>
          <w:vertAlign w:val="superscript"/>
        </w:rPr>
        <w:t/>
      </w:r>
      <w:r w:rsidR="002757BF">
        <w:rPr>
          <w:rFonts w:ascii="Times New Roman" w:hAnsi="Times New Roman" w:cs="Times New Roman"/>
          <w:b/>
          <w:bCs/>
          <w:color w:val="000000" w:themeColor="text1"/>
          <w:sz w:val="24"/>
          <w:szCs w:val="24"/>
        </w:rPr>
        <w:t xml:space="preserve"/>
      </w:r>
      <w:r w:rsidR="002757BF">
        <w:rPr>
          <w:rFonts w:ascii="Times New Roman" w:hAnsi="Times New Roman" w:cs="Times New Roman"/>
          <w:b/>
          <w:bCs/>
          <w:color w:val="000000" w:themeColor="text1"/>
          <w:sz w:val="24"/>
          <w:szCs w:val="24"/>
          <w:vertAlign w:val="superscript"/>
        </w:rPr>
        <w:t/>
      </w:r>
      <w:r w:rsidR="002757BF">
        <w:rPr>
          <w:rFonts w:ascii="Times New Roman" w:hAnsi="Times New Roman" w:cs="Times New Roman"/>
          <w:b/>
          <w:bCs/>
          <w:color w:val="000000" w:themeColor="text1"/>
          <w:sz w:val="24"/>
          <w:szCs w:val="24"/>
        </w:rPr>
        <w:t/>
      </w:r>
    </w:p>
    <w:p w14:paraId="183C2728" w14:textId="0FF44909" w:rsidR="00B87FC3" w:rsidRPr="004258E6" w:rsidRDefault="00B87FC3" w:rsidP="004258E6">
      <w:pPr>
        <w:contextualSpacing/>
        <w:jc w:val="center"/>
        <w:rPr>
          <w:rFonts w:ascii="Times New Roman" w:hAnsi="Times New Roman" w:cs="Times New Roman"/>
          <w:color w:val="000000" w:themeColor="text1"/>
          <w:sz w:val="24"/>
          <w:szCs w:val="24"/>
        </w:rPr>
      </w:pPr>
      <w:r w:rsidRPr="004258E6">
        <w:rPr>
          <w:rFonts w:ascii="Times New Roman" w:hAnsi="Times New Roman" w:cs="Times New Roman"/>
          <w:color w:val="000000" w:themeColor="text1"/>
          <w:sz w:val="24"/>
          <w:szCs w:val="24"/>
          <w:vertAlign w:val="superscript"/>
        </w:rPr>
        <w:t/>
      </w:r>
      <w:r w:rsidRPr="004258E6">
        <w:rPr>
          <w:rFonts w:ascii="Times New Roman" w:hAnsi="Times New Roman" w:cs="Times New Roman"/>
          <w:color w:val="000000" w:themeColor="text1"/>
          <w:sz w:val="24"/>
          <w:szCs w:val="24"/>
        </w:rPr>
        <w:t xml:space="preserve"/>
      </w:r>
      <w:proofErr w:type="spellStart"/>
      <w:r w:rsidRPr="004258E6">
        <w:rPr>
          <w:rFonts w:ascii="Times New Roman" w:hAnsi="Times New Roman" w:cs="Times New Roman"/>
          <w:color w:val="000000" w:themeColor="text1"/>
          <w:sz w:val="24"/>
          <w:szCs w:val="24"/>
        </w:rPr>
        <w:t/>
      </w:r>
      <w:proofErr w:type="spellEnd"/>
      <w:r w:rsidRPr="004258E6">
        <w:rPr>
          <w:rFonts w:ascii="Times New Roman" w:hAnsi="Times New Roman" w:cs="Times New Roman"/>
          <w:color w:val="000000" w:themeColor="text1"/>
          <w:sz w:val="24"/>
          <w:szCs w:val="24"/>
        </w:rPr>
        <w:t/>
      </w:r>
      <w:r w:rsidR="004258E6">
        <w:rPr>
          <w:rFonts w:ascii="Times New Roman" w:hAnsi="Times New Roman" w:cs="Times New Roman"/>
          <w:color w:val="000000" w:themeColor="text1"/>
          <w:sz w:val="24"/>
          <w:szCs w:val="24"/>
        </w:rPr>
        <w:br/>
      </w:r>
    </w:p>
    <w:p w14:paraId="14A41497" w14:textId="29A28F59" w:rsidR="00B87FC3" w:rsidRPr="004258E6" w:rsidRDefault="00B87FC3" w:rsidP="004258E6">
      <w:pPr>
        <w:contextualSpacing/>
        <w:jc w:val="center"/>
        <w:rPr>
          <w:rFonts w:ascii="Times New Roman" w:hAnsi="Times New Roman" w:cs="Times New Roman"/>
          <w:color w:val="000000" w:themeColor="text1"/>
          <w:sz w:val="24"/>
          <w:szCs w:val="24"/>
        </w:rPr>
      </w:pPr>
      <w:r w:rsidRPr="004258E6">
        <w:rPr>
          <w:rFonts w:ascii="Times New Roman" w:hAnsi="Times New Roman" w:cs="Times New Roman"/>
          <w:color w:val="000000" w:themeColor="text1"/>
          <w:sz w:val="24"/>
          <w:szCs w:val="24"/>
          <w:vertAlign w:val="superscript"/>
        </w:rPr>
        <w:t/>
      </w:r>
      <w:r w:rsidRPr="004258E6">
        <w:rPr>
          <w:rFonts w:ascii="Times New Roman" w:hAnsi="Times New Roman" w:cs="Times New Roman"/>
          <w:color w:val="000000" w:themeColor="text1"/>
          <w:sz w:val="24"/>
          <w:szCs w:val="24"/>
        </w:rPr>
        <w:t/>
      </w:r>
      <w:r w:rsidR="004258E6">
        <w:rPr>
          <w:rFonts w:ascii="Times New Roman" w:hAnsi="Times New Roman" w:cs="Times New Roman"/>
          <w:color w:val="000000" w:themeColor="text1"/>
          <w:sz w:val="24"/>
          <w:szCs w:val="24"/>
        </w:rPr>
        <w:br/>
      </w:r>
    </w:p>
    <w:p w14:paraId="7CF0112F" w14:textId="77777777" w:rsidR="002757BF" w:rsidRDefault="00B87FC3" w:rsidP="004258E6">
      <w:pPr>
        <w:contextualSpacing/>
        <w:jc w:val="center"/>
        <w:rPr>
          <w:rFonts w:ascii="Times New Roman" w:hAnsi="Times New Roman" w:cs="Times New Roman"/>
          <w:color w:val="000000" w:themeColor="text1"/>
          <w:sz w:val="24"/>
          <w:szCs w:val="24"/>
        </w:rPr>
      </w:pPr>
      <w:r w:rsidRPr="004258E6">
        <w:rPr>
          <w:rFonts w:ascii="Times New Roman" w:hAnsi="Times New Roman" w:cs="Times New Roman"/>
          <w:color w:val="000000" w:themeColor="text1"/>
          <w:sz w:val="24"/>
          <w:szCs w:val="24"/>
          <w:vertAlign w:val="superscript"/>
        </w:rPr>
        <w:t/>
      </w:r>
      <w:r w:rsidRPr="004258E6">
        <w:rPr>
          <w:rFonts w:ascii="Times New Roman" w:hAnsi="Times New Roman" w:cs="Times New Roman"/>
          <w:color w:val="000000" w:themeColor="text1"/>
          <w:sz w:val="24"/>
          <w:szCs w:val="24"/>
        </w:rPr>
        <w:t/>
      </w:r>
    </w:p>
    <w:p w14:paraId="407C0E5D" w14:textId="77777777" w:rsidR="002757BF" w:rsidRDefault="002757BF" w:rsidP="004258E6">
      <w:pPr>
        <w:contextualSpacing/>
        <w:jc w:val="center"/>
        <w:rPr>
          <w:rFonts w:ascii="Times New Roman" w:hAnsi="Times New Roman" w:cs="Times New Roman"/>
          <w:color w:val="000000" w:themeColor="text1"/>
          <w:sz w:val="24"/>
          <w:szCs w:val="24"/>
        </w:rPr>
      </w:pPr>
    </w:p>
    <w:p w14:paraId="481DAEA9" w14:textId="79E726DF" w:rsidR="002757BF" w:rsidRDefault="002757BF" w:rsidP="004258E6">
      <w:pPr>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vertAlign w:val="superscript"/>
        </w:rPr>
        <w:t/>
      </w:r>
      <w:r w:rsidRPr="004258E6">
        <w:rPr>
          <w:rFonts w:ascii="Times New Roman" w:hAnsi="Times New Roman" w:cs="Times New Roman"/>
          <w:color w:val="000000" w:themeColor="text1"/>
          <w:sz w:val="24"/>
          <w:szCs w:val="24"/>
        </w:rPr>
        <w:t xml:space="preserve"/>
      </w:r>
      <w:r>
        <w:rPr>
          <w:rFonts w:ascii="Times New Roman" w:hAnsi="Times New Roman" w:cs="Times New Roman"/>
          <w:color w:val="000000" w:themeColor="text1"/>
          <w:sz w:val="24"/>
          <w:szCs w:val="24"/>
        </w:rPr>
        <w:t/>
      </w:r>
      <w:r w:rsidRPr="004258E6">
        <w:rPr>
          <w:rFonts w:ascii="Times New Roman" w:hAnsi="Times New Roman" w:cs="Times New Roman"/>
          <w:color w:val="000000" w:themeColor="text1"/>
          <w:sz w:val="24"/>
          <w:szCs w:val="24"/>
        </w:rPr>
        <w:t xml:space="preserve"/>
      </w:r>
      <w:r>
        <w:rPr>
          <w:rFonts w:ascii="Times New Roman" w:hAnsi="Times New Roman" w:cs="Times New Roman"/>
          <w:color w:val="000000" w:themeColor="text1"/>
          <w:sz w:val="24"/>
          <w:szCs w:val="24"/>
        </w:rPr>
        <w:t/>
      </w:r>
      <w:r w:rsidRPr="004258E6">
        <w:rPr>
          <w:rFonts w:ascii="Times New Roman" w:hAnsi="Times New Roman" w:cs="Times New Roman"/>
          <w:color w:val="000000" w:themeColor="text1"/>
          <w:sz w:val="24"/>
          <w:szCs w:val="24"/>
        </w:rPr>
        <w:t xml:space="preserve"/>
      </w:r>
      <w:proofErr w:type="spellStart"/>
      <w:r w:rsidRPr="004258E6">
        <w:rPr>
          <w:rFonts w:ascii="Times New Roman" w:hAnsi="Times New Roman" w:cs="Times New Roman"/>
          <w:color w:val="000000" w:themeColor="text1"/>
          <w:sz w:val="24"/>
          <w:szCs w:val="24"/>
        </w:rPr>
        <w:t/>
      </w:r>
      <w:proofErr w:type="spellEnd"/>
      <w:r w:rsidRPr="004258E6">
        <w:rPr>
          <w:rFonts w:ascii="Times New Roman" w:hAnsi="Times New Roman" w:cs="Times New Roman"/>
          <w:color w:val="000000" w:themeColor="text1"/>
          <w:sz w:val="24"/>
          <w:szCs w:val="24"/>
        </w:rPr>
        <w:t/>
      </w:r>
    </w:p>
    <w:p w14:paraId="4031866E" w14:textId="77777777" w:rsidR="002757BF" w:rsidRDefault="002757BF" w:rsidP="004258E6">
      <w:pPr>
        <w:contextualSpacing/>
        <w:jc w:val="center"/>
        <w:rPr>
          <w:rFonts w:ascii="Times New Roman" w:hAnsi="Times New Roman" w:cs="Times New Roman"/>
          <w:color w:val="000000" w:themeColor="text1"/>
          <w:sz w:val="24"/>
          <w:szCs w:val="24"/>
        </w:rPr>
      </w:pPr>
    </w:p>
    <w:p w14:paraId="6EA0C720" w14:textId="3D957FED" w:rsidR="00B87FC3" w:rsidRPr="004258E6" w:rsidRDefault="002757BF" w:rsidP="004258E6">
      <w:pPr>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vertAlign w:val="superscript"/>
        </w:rPr>
        <w:t/>
      </w:r>
      <w:r w:rsidRPr="004258E6">
        <w:rPr>
          <w:rFonts w:ascii="Times New Roman" w:hAnsi="Times New Roman" w:cs="Times New Roman"/>
          <w:color w:val="000000" w:themeColor="text1"/>
          <w:sz w:val="24"/>
          <w:szCs w:val="24"/>
        </w:rPr>
        <w:t xml:space="preserve"/>
      </w:r>
      <w:proofErr w:type="spellStart"/>
      <w:r w:rsidRPr="004258E6">
        <w:rPr>
          <w:rFonts w:ascii="Times New Roman" w:hAnsi="Times New Roman" w:cs="Times New Roman"/>
          <w:color w:val="000000" w:themeColor="text1"/>
          <w:sz w:val="24"/>
          <w:szCs w:val="24"/>
        </w:rPr>
        <w:t/>
      </w:r>
      <w:proofErr w:type="spellEnd"/>
      <w:r w:rsidRPr="004258E6">
        <w:rPr>
          <w:rFonts w:ascii="Times New Roman" w:hAnsi="Times New Roman" w:cs="Times New Roman"/>
          <w:color w:val="000000" w:themeColor="text1"/>
          <w:sz w:val="24"/>
          <w:szCs w:val="24"/>
        </w:rPr>
        <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r>
      <w:r w:rsidR="004258E6">
        <w:rPr>
          <w:rFonts w:ascii="Times New Roman" w:hAnsi="Times New Roman" w:cs="Times New Roman"/>
          <w:color w:val="000000" w:themeColor="text1"/>
          <w:sz w:val="24"/>
          <w:szCs w:val="24"/>
        </w:rPr>
        <w:br/>
      </w:r>
    </w:p>
    <w:p w14:paraId="0829EE1F" w14:textId="77777777" w:rsidR="009E5F91" w:rsidRPr="009E5F91" w:rsidRDefault="009E5F91" w:rsidP="009E5F91">
      <w:pPr>
        <w:spacing w:after="300" w:line="360" w:lineRule="auto"/>
        <w:jc w:val="center"/>
        <w:rPr>
          <w:rFonts w:ascii="Times New Roman" w:hAnsi="Times New Roman" w:cs="Times New Roman"/>
          <w:color w:val="000000" w:themeColor="text1"/>
          <w:sz w:val="24"/>
          <w:szCs w:val="24"/>
        </w:rPr>
      </w:pPr>
      <w:r w:rsidRPr="009E5F91">
        <w:rPr>
          <w:rFonts w:ascii="Times New Roman" w:hAnsi="Times New Roman" w:cs="Times New Roman"/>
          <w:i/>
          <w:iCs/>
          <w:color w:val="000000" w:themeColor="text1"/>
          <w:sz w:val="24"/>
          <w:szCs w:val="24"/>
        </w:rPr>
        <w:t/>
      </w:r>
    </w:p>
    <w:p w14:paraId="478BCE0E" w14:textId="77777777" w:rsidR="00E84CFA" w:rsidRPr="009E5F91" w:rsidRDefault="00000000" w:rsidP="009E5F91">
      <w:pPr>
        <w:pStyle w:val="Heading2"/>
        <w:spacing w:before="260" w:after="140" w:line="360" w:lineRule="auto"/>
        <w:rPr>
          <w:rFonts w:ascii="Times New Roman" w:hAnsi="Times New Roman" w:cs="Times New Roman"/>
          <w:color w:val="000000" w:themeColor="text1"/>
          <w:sz w:val="24"/>
          <w:szCs w:val="24"/>
        </w:rPr>
      </w:pPr>
      <w:r w:rsidRPr="009E5F91">
        <w:rPr>
          <w:rFonts w:ascii="Times New Roman" w:hAnsi="Times New Roman" w:cs="Times New Roman"/>
          <w:b/>
          <w:bCs/>
          <w:color w:val="000000" w:themeColor="text1"/>
          <w:sz w:val="24"/>
          <w:szCs w:val="24"/>
        </w:rPr>
        <w:t>Abstract</w:t>
      </w:r>
    </w:p>
    <w:p w14:paraId="596CC15B" w14:textId="77777777" w:rsidR="00E84CFA" w:rsidRPr="009E5F91" w:rsidRDefault="00000000" w:rsidP="004258E6">
      <w:pPr>
        <w:spacing w:after="200"/>
        <w:jc w:val="both"/>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 xml:space="preserve">Urban air pollution remains one of the leading environmental risk factors for morbidity and mortality worldwide, yet single-pollutant assessments often understate the true public health burden because ambient exposure is inherently multi-dimensional. This study presents an integrated, multi-parameter framework for assessing urban air quality and its associated health impacts by jointly analysing criteria air pollutants (PM2.5, PM10, NO2, SO2, CO, O3), meteorological covariates (temperature, relative humidity, wind speed, atmospheric pressure, boundary-layer height), and health outcome indicators (respiratory and cardiovascular hospital admissions and emergency visits). A one-year continuous monitoring design across five representative urban microenvironments (traffic-dominated, industrial, residential, commercial, and background/control sites) was used to construct a composite Air Quality Index (AQI), characterise pollutant covariation and diurnal/seasonal dynamics, and quantify exposure-response relationships using generalised additive models (GAMs) with distributed-lag non-linear terms to account for delayed health effects. Across the illustrative dataset used to demonstrate the framework, particulate matter and NO2 showed the strongest and most temporally consistent associations with respiratory and cardiovascular outcomes, meteorological variables substantially modified pollutant dispersion and apparent health risk, and traffic-dominated sites consistently exceeded WHO Air Quality Guideline levels. The results underscore the value of multi-parameter, spatially resolved monitoring combined with time-series epidemiological modelling for evidence-based urban air quality management. </w:t>
      </w:r>
      <w:r w:rsidRPr="009E5F91">
        <w:rPr>
          <w:rFonts w:ascii="Times New Roman" w:hAnsi="Times New Roman" w:cs="Times New Roman"/>
          <w:color w:val="000000" w:themeColor="text1"/>
          <w:sz w:val="24"/>
          <w:szCs w:val="24"/>
        </w:rPr>
        <w:lastRenderedPageBreak/>
        <w:t>The proposed framework is generalisable to other cities and can support targeted interventions, early-warning systems, and health-protective urban planning.</w:t>
      </w:r>
    </w:p>
    <w:p w14:paraId="3C42AAD5" w14:textId="77777777" w:rsidR="00E84CFA" w:rsidRPr="009E5F91" w:rsidRDefault="00000000" w:rsidP="004258E6">
      <w:pPr>
        <w:spacing w:after="200"/>
        <w:jc w:val="both"/>
        <w:rPr>
          <w:rFonts w:ascii="Times New Roman" w:hAnsi="Times New Roman" w:cs="Times New Roman"/>
          <w:color w:val="000000" w:themeColor="text1"/>
          <w:sz w:val="24"/>
          <w:szCs w:val="24"/>
        </w:rPr>
      </w:pPr>
      <w:r w:rsidRPr="004258E6">
        <w:rPr>
          <w:rFonts w:ascii="Times New Roman" w:hAnsi="Times New Roman" w:cs="Times New Roman"/>
          <w:b/>
          <w:bCs/>
          <w:color w:val="000000" w:themeColor="text1"/>
          <w:sz w:val="24"/>
          <w:szCs w:val="24"/>
        </w:rPr>
        <w:t>Keywords:</w:t>
      </w:r>
      <w:r w:rsidRPr="009E5F91">
        <w:rPr>
          <w:rFonts w:ascii="Times New Roman" w:hAnsi="Times New Roman" w:cs="Times New Roman"/>
          <w:color w:val="000000" w:themeColor="text1"/>
          <w:sz w:val="24"/>
          <w:szCs w:val="24"/>
        </w:rPr>
        <w:t xml:space="preserve"> air quality index; particulate matter; urban air pollution; health impact assessment; multi-parameter monitoring; time-series epidemiology; environmental exposure</w:t>
      </w:r>
    </w:p>
    <w:p w14:paraId="64A080FF" w14:textId="77777777" w:rsidR="00E84CFA" w:rsidRPr="009E5F91" w:rsidRDefault="00000000" w:rsidP="009E5F91">
      <w:pPr>
        <w:pStyle w:val="Heading1"/>
        <w:spacing w:before="360" w:after="180" w:line="360" w:lineRule="auto"/>
        <w:rPr>
          <w:rFonts w:ascii="Times New Roman" w:hAnsi="Times New Roman" w:cs="Times New Roman"/>
          <w:color w:val="000000" w:themeColor="text1"/>
          <w:sz w:val="24"/>
          <w:szCs w:val="24"/>
        </w:rPr>
      </w:pPr>
      <w:r w:rsidRPr="009E5F91">
        <w:rPr>
          <w:rFonts w:ascii="Times New Roman" w:hAnsi="Times New Roman" w:cs="Times New Roman"/>
          <w:b/>
          <w:bCs/>
          <w:color w:val="000000" w:themeColor="text1"/>
          <w:sz w:val="24"/>
          <w:szCs w:val="24"/>
        </w:rPr>
        <w:t>1. Introduction</w:t>
      </w:r>
    </w:p>
    <w:p w14:paraId="7C81ABBF" w14:textId="77777777" w:rsidR="00E84CFA" w:rsidRPr="009E5F91" w:rsidRDefault="00000000" w:rsidP="009E5F91">
      <w:pPr>
        <w:spacing w:after="200" w:line="360" w:lineRule="auto"/>
        <w:jc w:val="both"/>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 xml:space="preserve">Air pollution is consistently ranked among the top modifiable environmental risk factors contributing to the global burden of disease. The World Health Organization (WHO) estimates that ambient air pollution is responsible for several million premature deaths annually, with cardiovascular disease, stroke, chronic obstructive pulmonary disease, lower respiratory infections, and lung cancer accounting for </w:t>
      </w:r>
      <w:proofErr w:type="gramStart"/>
      <w:r w:rsidRPr="009E5F91">
        <w:rPr>
          <w:rFonts w:ascii="Times New Roman" w:hAnsi="Times New Roman" w:cs="Times New Roman"/>
          <w:color w:val="000000" w:themeColor="text1"/>
          <w:sz w:val="24"/>
          <w:szCs w:val="24"/>
        </w:rPr>
        <w:t>the majority of</w:t>
      </w:r>
      <w:proofErr w:type="gramEnd"/>
      <w:r w:rsidRPr="009E5F91">
        <w:rPr>
          <w:rFonts w:ascii="Times New Roman" w:hAnsi="Times New Roman" w:cs="Times New Roman"/>
          <w:color w:val="000000" w:themeColor="text1"/>
          <w:sz w:val="24"/>
          <w:szCs w:val="24"/>
        </w:rPr>
        <w:t xml:space="preserve"> pollution-attributable mortality (WHO, 2021). Urban areas are disproportionately affected because of the spatial concentration of vehicular traffic, industrial activity, construction, and residential combustion sources within densely populated environments, producing complex mixtures of gaseous and particulate pollutants that vary sharply across space, time, and meteorological conditions.</w:t>
      </w:r>
    </w:p>
    <w:p w14:paraId="15A6BAEC" w14:textId="532D6865" w:rsidR="00E84CFA" w:rsidRPr="009E5F91" w:rsidRDefault="00000000" w:rsidP="009E5F91">
      <w:pPr>
        <w:spacing w:after="200" w:line="360" w:lineRule="auto"/>
        <w:jc w:val="both"/>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 xml:space="preserve">Historically, air quality assessment and epidemiological research have often relied on single-pollutant models, </w:t>
      </w:r>
      <w:r w:rsidR="009E5F91" w:rsidRPr="009E5F91">
        <w:rPr>
          <w:rFonts w:ascii="Times New Roman" w:hAnsi="Times New Roman" w:cs="Times New Roman"/>
          <w:color w:val="000000" w:themeColor="text1"/>
          <w:sz w:val="24"/>
          <w:szCs w:val="24"/>
        </w:rPr>
        <w:t>most focused</w:t>
      </w:r>
      <w:r w:rsidRPr="009E5F91">
        <w:rPr>
          <w:rFonts w:ascii="Times New Roman" w:hAnsi="Times New Roman" w:cs="Times New Roman"/>
          <w:color w:val="000000" w:themeColor="text1"/>
          <w:sz w:val="24"/>
          <w:szCs w:val="24"/>
        </w:rPr>
        <w:t xml:space="preserve"> on fine particulate matter (PM2.5) or nitrogen dioxide (NO2), estimated from sparse fixed monitoring networks. While such </w:t>
      </w:r>
      <w:r w:rsidR="009E5F91" w:rsidRPr="009E5F91">
        <w:rPr>
          <w:rFonts w:ascii="Times New Roman" w:hAnsi="Times New Roman" w:cs="Times New Roman"/>
          <w:color w:val="000000" w:themeColor="text1"/>
          <w:sz w:val="24"/>
          <w:szCs w:val="24"/>
        </w:rPr>
        <w:t>studies including</w:t>
      </w:r>
      <w:r w:rsidRPr="009E5F91">
        <w:rPr>
          <w:rFonts w:ascii="Times New Roman" w:hAnsi="Times New Roman" w:cs="Times New Roman"/>
          <w:color w:val="000000" w:themeColor="text1"/>
          <w:sz w:val="24"/>
          <w:szCs w:val="24"/>
        </w:rPr>
        <w:t xml:space="preserve"> the landmark Harvard Six Cities Study (Dockery et al., 1993) and the American Cancer Society cohort analyses (Pope et al., 2002)</w:t>
      </w:r>
      <w:r w:rsidR="009E5F91" w:rsidRPr="009E5F91">
        <w:rPr>
          <w:rFonts w:ascii="Times New Roman" w:hAnsi="Times New Roman" w:cs="Times New Roman"/>
          <w:color w:val="000000" w:themeColor="text1"/>
          <w:sz w:val="24"/>
          <w:szCs w:val="24"/>
        </w:rPr>
        <w:t xml:space="preserve">) </w:t>
      </w:r>
      <w:proofErr w:type="spellStart"/>
      <w:r w:rsidR="009E5F91" w:rsidRPr="009E5F91">
        <w:rPr>
          <w:rFonts w:ascii="Times New Roman" w:hAnsi="Times New Roman" w:cs="Times New Roman"/>
          <w:color w:val="000000" w:themeColor="text1"/>
          <w:sz w:val="24"/>
          <w:szCs w:val="24"/>
        </w:rPr>
        <w:t>established</w:t>
      </w:r>
      <w:r w:rsidRPr="009E5F91">
        <w:rPr>
          <w:rFonts w:ascii="Times New Roman" w:hAnsi="Times New Roman" w:cs="Times New Roman"/>
          <w:color w:val="000000" w:themeColor="text1"/>
          <w:sz w:val="24"/>
          <w:szCs w:val="24"/>
        </w:rPr>
        <w:t>the</w:t>
      </w:r>
      <w:proofErr w:type="spellEnd"/>
      <w:r w:rsidRPr="009E5F91">
        <w:rPr>
          <w:rFonts w:ascii="Times New Roman" w:hAnsi="Times New Roman" w:cs="Times New Roman"/>
          <w:color w:val="000000" w:themeColor="text1"/>
          <w:sz w:val="24"/>
          <w:szCs w:val="24"/>
        </w:rPr>
        <w:t xml:space="preserve"> causal plausibility of pollution-related mortality, a single-pollutant approach risks two important shortcomings. First, it can misattribute health effects when co-pollutants are highly correlated (e.g., PM2.5 and NO2 from shared combustion sources), leading to confounded or unstable risk estimates. Second, it does not adequately capture the modifying influence of meteorological </w:t>
      </w:r>
      <w:r w:rsidR="009E5F91" w:rsidRPr="009E5F91">
        <w:rPr>
          <w:rFonts w:ascii="Times New Roman" w:hAnsi="Times New Roman" w:cs="Times New Roman"/>
          <w:color w:val="000000" w:themeColor="text1"/>
          <w:sz w:val="24"/>
          <w:szCs w:val="24"/>
        </w:rPr>
        <w:t>variables temperature</w:t>
      </w:r>
      <w:r w:rsidRPr="009E5F91">
        <w:rPr>
          <w:rFonts w:ascii="Times New Roman" w:hAnsi="Times New Roman" w:cs="Times New Roman"/>
          <w:color w:val="000000" w:themeColor="text1"/>
          <w:sz w:val="24"/>
          <w:szCs w:val="24"/>
        </w:rPr>
        <w:t xml:space="preserve">, humidity, wind speed, and atmospheric </w:t>
      </w:r>
      <w:r w:rsidR="009E5F91" w:rsidRPr="009E5F91">
        <w:rPr>
          <w:rFonts w:ascii="Times New Roman" w:hAnsi="Times New Roman" w:cs="Times New Roman"/>
          <w:color w:val="000000" w:themeColor="text1"/>
          <w:sz w:val="24"/>
          <w:szCs w:val="24"/>
        </w:rPr>
        <w:t>stability which</w:t>
      </w:r>
      <w:r w:rsidRPr="009E5F91">
        <w:rPr>
          <w:rFonts w:ascii="Times New Roman" w:hAnsi="Times New Roman" w:cs="Times New Roman"/>
          <w:color w:val="000000" w:themeColor="text1"/>
          <w:sz w:val="24"/>
          <w:szCs w:val="24"/>
        </w:rPr>
        <w:t xml:space="preserve"> govern pollutant formation, transport, and removal, and which independently influence cardiovascular and respiratory physiology (Brook et al., 2010; </w:t>
      </w:r>
      <w:proofErr w:type="spellStart"/>
      <w:r w:rsidRPr="009E5F91">
        <w:rPr>
          <w:rFonts w:ascii="Times New Roman" w:hAnsi="Times New Roman" w:cs="Times New Roman"/>
          <w:color w:val="000000" w:themeColor="text1"/>
          <w:sz w:val="24"/>
          <w:szCs w:val="24"/>
        </w:rPr>
        <w:t>Analitis</w:t>
      </w:r>
      <w:proofErr w:type="spellEnd"/>
      <w:r w:rsidRPr="009E5F91">
        <w:rPr>
          <w:rFonts w:ascii="Times New Roman" w:hAnsi="Times New Roman" w:cs="Times New Roman"/>
          <w:color w:val="000000" w:themeColor="text1"/>
          <w:sz w:val="24"/>
          <w:szCs w:val="24"/>
        </w:rPr>
        <w:t xml:space="preserve"> et al., 2006).</w:t>
      </w:r>
    </w:p>
    <w:p w14:paraId="385D9F04" w14:textId="77777777" w:rsidR="00E84CFA" w:rsidRPr="009E5F91" w:rsidRDefault="00000000" w:rsidP="009E5F91">
      <w:pPr>
        <w:spacing w:after="200" w:line="360" w:lineRule="auto"/>
        <w:jc w:val="both"/>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A multi-parameter approach that jointly considers criteria pollutants, meteorological covariates, and health outcome data offers a more realistic representation of the exposure mixture experienced by urban populations and allows researchers to disentangle pollutant-specific effects from confounding and effect modification. Advances in low-cost sensor networks, satellite-derived aerosol products, and electronic health record linkage have made such integrated monitoring increasingly feasible, even for cities with limited regulatory-grade infrastructure (Rai et al., 2017; Cohen et al., 2017).</w:t>
      </w:r>
    </w:p>
    <w:p w14:paraId="0BA33EBB" w14:textId="3BC6C257" w:rsidR="009E5F91" w:rsidRPr="009E5F91" w:rsidRDefault="00000000" w:rsidP="009E5F91">
      <w:pPr>
        <w:spacing w:after="200" w:line="360" w:lineRule="auto"/>
        <w:jc w:val="both"/>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lastRenderedPageBreak/>
        <w:t>This study addresses three specific objectives: (</w:t>
      </w:r>
      <w:proofErr w:type="spellStart"/>
      <w:r w:rsidRPr="009E5F91">
        <w:rPr>
          <w:rFonts w:ascii="Times New Roman" w:hAnsi="Times New Roman" w:cs="Times New Roman"/>
          <w:color w:val="000000" w:themeColor="text1"/>
          <w:sz w:val="24"/>
          <w:szCs w:val="24"/>
        </w:rPr>
        <w:t>i</w:t>
      </w:r>
      <w:proofErr w:type="spellEnd"/>
      <w:r w:rsidRPr="009E5F91">
        <w:rPr>
          <w:rFonts w:ascii="Times New Roman" w:hAnsi="Times New Roman" w:cs="Times New Roman"/>
          <w:color w:val="000000" w:themeColor="text1"/>
          <w:sz w:val="24"/>
          <w:szCs w:val="24"/>
        </w:rPr>
        <w:t>) to characterise the spatial and temporal variability of multiple air pollutants and meteorological parameters across representative urban microenvironments; (ii) to construct and validate a composite Air Quality Index (AQI) that reflects combined pollutant load rather than a single dominant pollutant; and (iii) to quantify the association between short-term, multi-pollutant exposure and respiratory/cardiovascular health outcomes using lag-structured statistical models, while controlling for meteorological confounding and temporal trends. The resulting framework is intended to be directly transferable to other urban settings and to inform air-quality management, public-health early-warning systems, and health-sensitive urban planning.</w:t>
      </w:r>
    </w:p>
    <w:p w14:paraId="6CBB6665" w14:textId="77777777" w:rsidR="00E84CFA" w:rsidRPr="009E5F91" w:rsidRDefault="00000000" w:rsidP="009E5F91">
      <w:pPr>
        <w:pStyle w:val="Heading1"/>
        <w:spacing w:before="360" w:after="180" w:line="360" w:lineRule="auto"/>
        <w:rPr>
          <w:rFonts w:ascii="Times New Roman" w:hAnsi="Times New Roman" w:cs="Times New Roman"/>
          <w:color w:val="000000" w:themeColor="text1"/>
          <w:sz w:val="24"/>
          <w:szCs w:val="24"/>
        </w:rPr>
      </w:pPr>
      <w:r w:rsidRPr="009E5F91">
        <w:rPr>
          <w:rFonts w:ascii="Times New Roman" w:hAnsi="Times New Roman" w:cs="Times New Roman"/>
          <w:b/>
          <w:bCs/>
          <w:color w:val="000000" w:themeColor="text1"/>
          <w:sz w:val="24"/>
          <w:szCs w:val="24"/>
        </w:rPr>
        <w:t>2. Materials and Methods</w:t>
      </w:r>
    </w:p>
    <w:p w14:paraId="6C54105F" w14:textId="77777777" w:rsidR="00E84CFA" w:rsidRPr="009E5F91" w:rsidRDefault="00000000" w:rsidP="009E5F91">
      <w:pPr>
        <w:spacing w:after="200" w:line="360" w:lineRule="auto"/>
        <w:jc w:val="both"/>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Figure 1 summarises the overall analytical workflow, from multi-site data collection through quality assurance, index construction, statistical modelling, and policy translation; each stage is described in detail in the subsections below.</w:t>
      </w:r>
    </w:p>
    <w:p w14:paraId="70050B10" w14:textId="5AC963F6" w:rsidR="00E84CFA" w:rsidRPr="009E5F91" w:rsidRDefault="00E91CEA" w:rsidP="00E91CEA">
      <w:pPr>
        <w:spacing w:before="200" w:after="60" w:line="360" w:lineRule="auto"/>
        <w:jc w:val="center"/>
        <w:rPr>
          <w:rFonts w:ascii="Times New Roman" w:hAnsi="Times New Roman" w:cs="Times New Roman"/>
          <w:color w:val="000000" w:themeColor="text1"/>
          <w:sz w:val="24"/>
          <w:szCs w:val="24"/>
        </w:rPr>
      </w:pPr>
      <w:r w:rsidRPr="00E91CEA">
        <w:rPr>
          <w:rFonts w:ascii="Times New Roman" w:hAnsi="Times New Roman" w:cs="Times New Roman"/>
          <w:noProof/>
          <w:color w:val="000000" w:themeColor="text1"/>
          <w:sz w:val="24"/>
          <w:szCs w:val="24"/>
        </w:rPr>
        <w:drawing>
          <wp:inline distT="0" distB="0" distL="0" distR="0" wp14:anchorId="759BA35C" wp14:editId="551446B6">
            <wp:extent cx="4800000" cy="3600000"/>
            <wp:effectExtent l="0" t="0" r="635" b="635"/>
            <wp:docPr id="6758118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14:paraId="0C865D13" w14:textId="77777777" w:rsidR="00E84CFA" w:rsidRDefault="00000000" w:rsidP="009E5F91">
      <w:pPr>
        <w:spacing w:before="80" w:after="240" w:line="360" w:lineRule="auto"/>
        <w:jc w:val="center"/>
        <w:rPr>
          <w:rFonts w:ascii="Times New Roman" w:hAnsi="Times New Roman" w:cs="Times New Roman"/>
          <w:i/>
          <w:iCs/>
          <w:color w:val="000000" w:themeColor="text1"/>
          <w:sz w:val="24"/>
          <w:szCs w:val="24"/>
        </w:rPr>
      </w:pPr>
      <w:r w:rsidRPr="009E5F91">
        <w:rPr>
          <w:rFonts w:ascii="Times New Roman" w:hAnsi="Times New Roman" w:cs="Times New Roman"/>
          <w:b/>
          <w:bCs/>
          <w:i/>
          <w:iCs/>
          <w:color w:val="000000" w:themeColor="text1"/>
          <w:sz w:val="24"/>
          <w:szCs w:val="24"/>
        </w:rPr>
        <w:t>Figure 1. Methodological workflow for multi-parameter air quality and health impact assessment</w:t>
      </w:r>
      <w:r w:rsidRPr="009E5F91">
        <w:rPr>
          <w:rFonts w:ascii="Times New Roman" w:hAnsi="Times New Roman" w:cs="Times New Roman"/>
          <w:i/>
          <w:iCs/>
          <w:color w:val="000000" w:themeColor="text1"/>
          <w:sz w:val="24"/>
          <w:szCs w:val="24"/>
        </w:rPr>
        <w:t>.</w:t>
      </w:r>
    </w:p>
    <w:p w14:paraId="3EFEEE99" w14:textId="77777777" w:rsidR="00BD7671" w:rsidRPr="009E5F91" w:rsidRDefault="00BD7671" w:rsidP="009E5F91">
      <w:pPr>
        <w:spacing w:before="80" w:after="240" w:line="360" w:lineRule="auto"/>
        <w:jc w:val="center"/>
        <w:rPr>
          <w:rFonts w:ascii="Times New Roman" w:hAnsi="Times New Roman" w:cs="Times New Roman"/>
          <w:color w:val="000000" w:themeColor="text1"/>
          <w:sz w:val="24"/>
          <w:szCs w:val="24"/>
        </w:rPr>
      </w:pPr>
    </w:p>
    <w:p w14:paraId="19AD69E9" w14:textId="77777777" w:rsidR="00E84CFA" w:rsidRPr="009E5F91" w:rsidRDefault="00000000" w:rsidP="009E5F91">
      <w:pPr>
        <w:pStyle w:val="Heading2"/>
        <w:spacing w:before="260" w:after="140" w:line="360" w:lineRule="auto"/>
        <w:rPr>
          <w:rFonts w:ascii="Times New Roman" w:hAnsi="Times New Roman" w:cs="Times New Roman"/>
          <w:color w:val="000000" w:themeColor="text1"/>
          <w:sz w:val="24"/>
          <w:szCs w:val="24"/>
        </w:rPr>
      </w:pPr>
      <w:r w:rsidRPr="009E5F91">
        <w:rPr>
          <w:rFonts w:ascii="Times New Roman" w:hAnsi="Times New Roman" w:cs="Times New Roman"/>
          <w:b/>
          <w:bCs/>
          <w:color w:val="000000" w:themeColor="text1"/>
          <w:sz w:val="24"/>
          <w:szCs w:val="24"/>
        </w:rPr>
        <w:lastRenderedPageBreak/>
        <w:t>2.1 Study Area and Sampling Design</w:t>
      </w:r>
    </w:p>
    <w:p w14:paraId="2CC4D87A" w14:textId="77777777" w:rsidR="00E84CFA" w:rsidRPr="009E5F91" w:rsidRDefault="00000000" w:rsidP="009E5F91">
      <w:pPr>
        <w:spacing w:after="200" w:line="360" w:lineRule="auto"/>
        <w:jc w:val="both"/>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A one-year (12-month) monitoring campaign was designed across five representative urban microenvironments selected to capture the principal pollution source archetypes found in most mid- to large-sized cities: (1) a traffic-dominated roadside site adjacent to a major arterial road; (2) an industrial/mixed-use site downwind of manufacturing activity; (3) a commercial/central business district site; (4) a residential site representing background urban exposure with domestic combustion influence; and (5) a peri-urban background/control site with minimal direct source influence, used as a reference for regional (non-local) pollution contribution. This multi-site design allows spatial contrasts to be distinguished from purely temporal (city-wide) variation, which is essential for isolating local source contributions and for validating exposure assignment in the subsequent health-outcome analysis. Figure 2 shows the spatial arrangement of the five sites relative to the city centre and dominant emission sources, and Table 1 summarises the key physical and land-use characteristics of each site.</w:t>
      </w:r>
    </w:p>
    <w:p w14:paraId="5CC16EF4" w14:textId="270457BA" w:rsidR="004258E6" w:rsidRPr="004258E6" w:rsidRDefault="00E91CEA" w:rsidP="004258E6">
      <w:pPr>
        <w:spacing w:before="200" w:after="60" w:line="360" w:lineRule="auto"/>
        <w:jc w:val="center"/>
        <w:rPr>
          <w:rFonts w:ascii="Times New Roman" w:hAnsi="Times New Roman" w:cs="Times New Roman"/>
          <w:color w:val="000000" w:themeColor="text1"/>
          <w:sz w:val="24"/>
          <w:szCs w:val="24"/>
        </w:rPr>
      </w:pPr>
      <w:r w:rsidRPr="00E91CEA">
        <w:rPr>
          <w:rFonts w:ascii="Times New Roman" w:hAnsi="Times New Roman" w:cs="Times New Roman"/>
          <w:noProof/>
          <w:color w:val="000000" w:themeColor="text1"/>
          <w:sz w:val="24"/>
          <w:szCs w:val="24"/>
        </w:rPr>
        <w:drawing>
          <wp:inline distT="0" distB="0" distL="0" distR="0" wp14:anchorId="427637E9" wp14:editId="27F35D22">
            <wp:extent cx="4105275" cy="4105275"/>
            <wp:effectExtent l="0" t="0" r="9525" b="9525"/>
            <wp:docPr id="13476380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05364" cy="4105364"/>
                    </a:xfrm>
                    <a:prstGeom prst="rect">
                      <a:avLst/>
                    </a:prstGeom>
                    <a:noFill/>
                    <a:ln>
                      <a:noFill/>
                    </a:ln>
                  </pic:spPr>
                </pic:pic>
              </a:graphicData>
            </a:graphic>
          </wp:inline>
        </w:drawing>
      </w:r>
    </w:p>
    <w:p w14:paraId="155F413D" w14:textId="5C281150" w:rsidR="00E91CEA" w:rsidRDefault="00000000" w:rsidP="004258E6">
      <w:pPr>
        <w:spacing w:before="80" w:after="240" w:line="360" w:lineRule="auto"/>
        <w:jc w:val="center"/>
        <w:rPr>
          <w:rFonts w:ascii="Times New Roman" w:hAnsi="Times New Roman" w:cs="Times New Roman"/>
          <w:i/>
          <w:iCs/>
          <w:color w:val="000000" w:themeColor="text1"/>
          <w:sz w:val="24"/>
          <w:szCs w:val="24"/>
        </w:rPr>
      </w:pPr>
      <w:r w:rsidRPr="009E5F91">
        <w:rPr>
          <w:rFonts w:ascii="Times New Roman" w:hAnsi="Times New Roman" w:cs="Times New Roman"/>
          <w:i/>
          <w:iCs/>
          <w:color w:val="000000" w:themeColor="text1"/>
          <w:sz w:val="24"/>
          <w:szCs w:val="24"/>
        </w:rPr>
        <w:t>Figure 2. Schematic layout of the five urban air-quality and health monitoring sites relative to the city centre and dominant emission sources.</w:t>
      </w:r>
    </w:p>
    <w:p w14:paraId="5D347492" w14:textId="12E1E7EA" w:rsidR="00E91CEA" w:rsidRPr="00E91CEA" w:rsidRDefault="00E91CEA" w:rsidP="00E91CEA">
      <w:pPr>
        <w:spacing w:before="80" w:line="360" w:lineRule="auto"/>
        <w:contextualSpacing/>
        <w:jc w:val="center"/>
        <w:rPr>
          <w:rFonts w:ascii="Times New Roman" w:hAnsi="Times New Roman" w:cs="Times New Roman"/>
          <w:b/>
          <w:bCs/>
          <w:color w:val="000000" w:themeColor="text1"/>
          <w:sz w:val="24"/>
          <w:szCs w:val="24"/>
        </w:rPr>
      </w:pPr>
      <w:r w:rsidRPr="00E91CEA">
        <w:rPr>
          <w:rFonts w:ascii="Times New Roman" w:hAnsi="Times New Roman" w:cs="Times New Roman"/>
          <w:b/>
          <w:bCs/>
          <w:i/>
          <w:iCs/>
          <w:color w:val="000000" w:themeColor="text1"/>
          <w:sz w:val="24"/>
          <w:szCs w:val="24"/>
        </w:rPr>
        <w:lastRenderedPageBreak/>
        <w:t>Table 1. Physical and land-use characteristics of the five urban monitoring sites.</w:t>
      </w:r>
    </w:p>
    <w:tbl>
      <w:tblPr>
        <w:tblW w:w="7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45"/>
        <w:gridCol w:w="1902"/>
        <w:gridCol w:w="1584"/>
        <w:gridCol w:w="1678"/>
        <w:gridCol w:w="1684"/>
      </w:tblGrid>
      <w:tr w:rsidR="00E84CFA" w:rsidRPr="00E91CEA" w14:paraId="509E774E" w14:textId="77777777" w:rsidTr="00E91CEA">
        <w:trPr>
          <w:tblHeader/>
          <w:jc w:val="center"/>
        </w:trPr>
        <w:tc>
          <w:tcPr>
            <w:tcW w:w="645" w:type="dxa"/>
            <w:shd w:val="clear" w:color="auto" w:fill="A5C9EB" w:themeFill="text2" w:themeFillTint="40"/>
            <w:tcMar>
              <w:top w:w="80" w:type="dxa"/>
              <w:left w:w="100" w:type="dxa"/>
              <w:bottom w:w="80" w:type="dxa"/>
              <w:right w:w="100" w:type="dxa"/>
            </w:tcMar>
          </w:tcPr>
          <w:p w14:paraId="60F78CFE"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b/>
                <w:bCs/>
                <w:color w:val="000000" w:themeColor="text1"/>
                <w:sz w:val="20"/>
                <w:szCs w:val="20"/>
              </w:rPr>
              <w:t>Site Code</w:t>
            </w:r>
          </w:p>
        </w:tc>
        <w:tc>
          <w:tcPr>
            <w:tcW w:w="1902" w:type="dxa"/>
            <w:shd w:val="clear" w:color="auto" w:fill="A5C9EB" w:themeFill="text2" w:themeFillTint="40"/>
            <w:tcMar>
              <w:top w:w="80" w:type="dxa"/>
              <w:left w:w="100" w:type="dxa"/>
              <w:bottom w:w="80" w:type="dxa"/>
              <w:right w:w="100" w:type="dxa"/>
            </w:tcMar>
          </w:tcPr>
          <w:p w14:paraId="13E8D82C"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b/>
                <w:bCs/>
                <w:color w:val="000000" w:themeColor="text1"/>
                <w:sz w:val="20"/>
                <w:szCs w:val="20"/>
              </w:rPr>
              <w:t>Site Type / Description</w:t>
            </w:r>
          </w:p>
        </w:tc>
        <w:tc>
          <w:tcPr>
            <w:tcW w:w="1584" w:type="dxa"/>
            <w:shd w:val="clear" w:color="auto" w:fill="A5C9EB" w:themeFill="text2" w:themeFillTint="40"/>
            <w:tcMar>
              <w:top w:w="80" w:type="dxa"/>
              <w:left w:w="100" w:type="dxa"/>
              <w:bottom w:w="80" w:type="dxa"/>
              <w:right w:w="100" w:type="dxa"/>
            </w:tcMar>
          </w:tcPr>
          <w:p w14:paraId="66B9D90A"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b/>
                <w:bCs/>
                <w:color w:val="000000" w:themeColor="text1"/>
                <w:sz w:val="20"/>
                <w:szCs w:val="20"/>
              </w:rPr>
              <w:t>Distance to Nearest Major Road (m)</w:t>
            </w:r>
          </w:p>
        </w:tc>
        <w:tc>
          <w:tcPr>
            <w:tcW w:w="1678" w:type="dxa"/>
            <w:shd w:val="clear" w:color="auto" w:fill="A5C9EB" w:themeFill="text2" w:themeFillTint="40"/>
            <w:tcMar>
              <w:top w:w="80" w:type="dxa"/>
              <w:left w:w="100" w:type="dxa"/>
              <w:bottom w:w="80" w:type="dxa"/>
              <w:right w:w="100" w:type="dxa"/>
            </w:tcMar>
          </w:tcPr>
          <w:p w14:paraId="02C8324C"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b/>
                <w:bCs/>
                <w:color w:val="000000" w:themeColor="text1"/>
                <w:sz w:val="20"/>
                <w:szCs w:val="20"/>
              </w:rPr>
              <w:t>Traffic Count (</w:t>
            </w:r>
            <w:proofErr w:type="spellStart"/>
            <w:r w:rsidRPr="00E91CEA">
              <w:rPr>
                <w:rFonts w:ascii="Times New Roman" w:hAnsi="Times New Roman" w:cs="Times New Roman"/>
                <w:b/>
                <w:bCs/>
                <w:color w:val="000000" w:themeColor="text1"/>
                <w:sz w:val="20"/>
                <w:szCs w:val="20"/>
              </w:rPr>
              <w:t>veh</w:t>
            </w:r>
            <w:proofErr w:type="spellEnd"/>
            <w:r w:rsidRPr="00E91CEA">
              <w:rPr>
                <w:rFonts w:ascii="Times New Roman" w:hAnsi="Times New Roman" w:cs="Times New Roman"/>
                <w:b/>
                <w:bCs/>
                <w:color w:val="000000" w:themeColor="text1"/>
                <w:sz w:val="20"/>
                <w:szCs w:val="20"/>
              </w:rPr>
              <w:t>/h, peak)</w:t>
            </w:r>
          </w:p>
        </w:tc>
        <w:tc>
          <w:tcPr>
            <w:tcW w:w="1684" w:type="dxa"/>
            <w:shd w:val="clear" w:color="auto" w:fill="A5C9EB" w:themeFill="text2" w:themeFillTint="40"/>
            <w:tcMar>
              <w:top w:w="80" w:type="dxa"/>
              <w:left w:w="100" w:type="dxa"/>
              <w:bottom w:w="80" w:type="dxa"/>
              <w:right w:w="100" w:type="dxa"/>
            </w:tcMar>
          </w:tcPr>
          <w:p w14:paraId="553E4308"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b/>
                <w:bCs/>
                <w:color w:val="000000" w:themeColor="text1"/>
                <w:sz w:val="20"/>
                <w:szCs w:val="20"/>
              </w:rPr>
              <w:t>Industrial Land Fraction (%, 500 m buffer)</w:t>
            </w:r>
          </w:p>
        </w:tc>
      </w:tr>
      <w:tr w:rsidR="00E84CFA" w:rsidRPr="00E91CEA" w14:paraId="115DFA5D" w14:textId="77777777" w:rsidTr="00E91CEA">
        <w:trPr>
          <w:jc w:val="center"/>
        </w:trPr>
        <w:tc>
          <w:tcPr>
            <w:tcW w:w="645" w:type="dxa"/>
            <w:tcMar>
              <w:top w:w="80" w:type="dxa"/>
              <w:left w:w="100" w:type="dxa"/>
              <w:bottom w:w="80" w:type="dxa"/>
              <w:right w:w="100" w:type="dxa"/>
            </w:tcMar>
          </w:tcPr>
          <w:p w14:paraId="6A53BD4E" w14:textId="77777777" w:rsidR="00E84CFA" w:rsidRPr="00E91CEA" w:rsidRDefault="00000000" w:rsidP="00E91CEA">
            <w:pPr>
              <w:contextualSpacing/>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S1</w:t>
            </w:r>
          </w:p>
        </w:tc>
        <w:tc>
          <w:tcPr>
            <w:tcW w:w="1902" w:type="dxa"/>
            <w:tcMar>
              <w:top w:w="80" w:type="dxa"/>
              <w:left w:w="100" w:type="dxa"/>
              <w:bottom w:w="80" w:type="dxa"/>
              <w:right w:w="100" w:type="dxa"/>
            </w:tcMar>
          </w:tcPr>
          <w:p w14:paraId="29924E9A" w14:textId="77777777" w:rsidR="00E84CFA" w:rsidRPr="00E91CEA" w:rsidRDefault="00000000" w:rsidP="00E91CEA">
            <w:pPr>
              <w:contextualSpacing/>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Traffic-dominated roadside</w:t>
            </w:r>
          </w:p>
        </w:tc>
        <w:tc>
          <w:tcPr>
            <w:tcW w:w="1584" w:type="dxa"/>
            <w:tcMar>
              <w:top w:w="80" w:type="dxa"/>
              <w:left w:w="100" w:type="dxa"/>
              <w:bottom w:w="80" w:type="dxa"/>
              <w:right w:w="100" w:type="dxa"/>
            </w:tcMar>
          </w:tcPr>
          <w:p w14:paraId="6CDE27AF"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5–15</w:t>
            </w:r>
          </w:p>
        </w:tc>
        <w:tc>
          <w:tcPr>
            <w:tcW w:w="1678" w:type="dxa"/>
            <w:tcMar>
              <w:top w:w="80" w:type="dxa"/>
              <w:left w:w="100" w:type="dxa"/>
              <w:bottom w:w="80" w:type="dxa"/>
              <w:right w:w="100" w:type="dxa"/>
            </w:tcMar>
          </w:tcPr>
          <w:p w14:paraId="21A55831"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1,800–2,400</w:t>
            </w:r>
          </w:p>
        </w:tc>
        <w:tc>
          <w:tcPr>
            <w:tcW w:w="1684" w:type="dxa"/>
            <w:tcMar>
              <w:top w:w="80" w:type="dxa"/>
              <w:left w:w="100" w:type="dxa"/>
              <w:bottom w:w="80" w:type="dxa"/>
              <w:right w:w="100" w:type="dxa"/>
            </w:tcMar>
          </w:tcPr>
          <w:p w14:paraId="5F350DC4"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3–8</w:t>
            </w:r>
          </w:p>
        </w:tc>
      </w:tr>
      <w:tr w:rsidR="00E84CFA" w:rsidRPr="00E91CEA" w14:paraId="02A56D5D" w14:textId="77777777" w:rsidTr="00E91CEA">
        <w:trPr>
          <w:jc w:val="center"/>
        </w:trPr>
        <w:tc>
          <w:tcPr>
            <w:tcW w:w="645" w:type="dxa"/>
            <w:tcMar>
              <w:top w:w="80" w:type="dxa"/>
              <w:left w:w="100" w:type="dxa"/>
              <w:bottom w:w="80" w:type="dxa"/>
              <w:right w:w="100" w:type="dxa"/>
            </w:tcMar>
          </w:tcPr>
          <w:p w14:paraId="5D5A7350" w14:textId="77777777" w:rsidR="00E84CFA" w:rsidRPr="00E91CEA" w:rsidRDefault="00000000" w:rsidP="00E91CEA">
            <w:pPr>
              <w:contextualSpacing/>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S2</w:t>
            </w:r>
          </w:p>
        </w:tc>
        <w:tc>
          <w:tcPr>
            <w:tcW w:w="1902" w:type="dxa"/>
            <w:tcMar>
              <w:top w:w="80" w:type="dxa"/>
              <w:left w:w="100" w:type="dxa"/>
              <w:bottom w:w="80" w:type="dxa"/>
              <w:right w:w="100" w:type="dxa"/>
            </w:tcMar>
          </w:tcPr>
          <w:p w14:paraId="7206A05F" w14:textId="77777777" w:rsidR="00E84CFA" w:rsidRPr="00E91CEA" w:rsidRDefault="00000000" w:rsidP="00E91CEA">
            <w:pPr>
              <w:contextualSpacing/>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Industrial / mixed-use (downwind)</w:t>
            </w:r>
          </w:p>
        </w:tc>
        <w:tc>
          <w:tcPr>
            <w:tcW w:w="1584" w:type="dxa"/>
            <w:tcMar>
              <w:top w:w="80" w:type="dxa"/>
              <w:left w:w="100" w:type="dxa"/>
              <w:bottom w:w="80" w:type="dxa"/>
              <w:right w:w="100" w:type="dxa"/>
            </w:tcMar>
          </w:tcPr>
          <w:p w14:paraId="03435453"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150–300</w:t>
            </w:r>
          </w:p>
        </w:tc>
        <w:tc>
          <w:tcPr>
            <w:tcW w:w="1678" w:type="dxa"/>
            <w:tcMar>
              <w:top w:w="80" w:type="dxa"/>
              <w:left w:w="100" w:type="dxa"/>
              <w:bottom w:w="80" w:type="dxa"/>
              <w:right w:w="100" w:type="dxa"/>
            </w:tcMar>
          </w:tcPr>
          <w:p w14:paraId="4906B8B6"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300–600</w:t>
            </w:r>
          </w:p>
        </w:tc>
        <w:tc>
          <w:tcPr>
            <w:tcW w:w="1684" w:type="dxa"/>
            <w:tcMar>
              <w:top w:w="80" w:type="dxa"/>
              <w:left w:w="100" w:type="dxa"/>
              <w:bottom w:w="80" w:type="dxa"/>
              <w:right w:w="100" w:type="dxa"/>
            </w:tcMar>
          </w:tcPr>
          <w:p w14:paraId="21E8FFAE"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35–55</w:t>
            </w:r>
          </w:p>
        </w:tc>
      </w:tr>
      <w:tr w:rsidR="00E84CFA" w:rsidRPr="00E91CEA" w14:paraId="7FC6503F" w14:textId="77777777" w:rsidTr="00E91CEA">
        <w:trPr>
          <w:jc w:val="center"/>
        </w:trPr>
        <w:tc>
          <w:tcPr>
            <w:tcW w:w="645" w:type="dxa"/>
            <w:tcMar>
              <w:top w:w="80" w:type="dxa"/>
              <w:left w:w="100" w:type="dxa"/>
              <w:bottom w:w="80" w:type="dxa"/>
              <w:right w:w="100" w:type="dxa"/>
            </w:tcMar>
          </w:tcPr>
          <w:p w14:paraId="1F613046" w14:textId="77777777" w:rsidR="00E84CFA" w:rsidRPr="00E91CEA" w:rsidRDefault="00000000" w:rsidP="00E91CEA">
            <w:pPr>
              <w:contextualSpacing/>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S3</w:t>
            </w:r>
          </w:p>
        </w:tc>
        <w:tc>
          <w:tcPr>
            <w:tcW w:w="1902" w:type="dxa"/>
            <w:tcMar>
              <w:top w:w="80" w:type="dxa"/>
              <w:left w:w="100" w:type="dxa"/>
              <w:bottom w:w="80" w:type="dxa"/>
              <w:right w:w="100" w:type="dxa"/>
            </w:tcMar>
          </w:tcPr>
          <w:p w14:paraId="6E85BCB4" w14:textId="77777777" w:rsidR="00E84CFA" w:rsidRPr="00E91CEA" w:rsidRDefault="00000000" w:rsidP="00E91CEA">
            <w:pPr>
              <w:contextualSpacing/>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Commercial / CBD</w:t>
            </w:r>
          </w:p>
        </w:tc>
        <w:tc>
          <w:tcPr>
            <w:tcW w:w="1584" w:type="dxa"/>
            <w:tcMar>
              <w:top w:w="80" w:type="dxa"/>
              <w:left w:w="100" w:type="dxa"/>
              <w:bottom w:w="80" w:type="dxa"/>
              <w:right w:w="100" w:type="dxa"/>
            </w:tcMar>
          </w:tcPr>
          <w:p w14:paraId="1BA53CFB"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20–50</w:t>
            </w:r>
          </w:p>
        </w:tc>
        <w:tc>
          <w:tcPr>
            <w:tcW w:w="1678" w:type="dxa"/>
            <w:tcMar>
              <w:top w:w="80" w:type="dxa"/>
              <w:left w:w="100" w:type="dxa"/>
              <w:bottom w:w="80" w:type="dxa"/>
              <w:right w:w="100" w:type="dxa"/>
            </w:tcMar>
          </w:tcPr>
          <w:p w14:paraId="2D2118C4"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900–1,400</w:t>
            </w:r>
          </w:p>
        </w:tc>
        <w:tc>
          <w:tcPr>
            <w:tcW w:w="1684" w:type="dxa"/>
            <w:tcMar>
              <w:top w:w="80" w:type="dxa"/>
              <w:left w:w="100" w:type="dxa"/>
              <w:bottom w:w="80" w:type="dxa"/>
              <w:right w:w="100" w:type="dxa"/>
            </w:tcMar>
          </w:tcPr>
          <w:p w14:paraId="69BFD7CA"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5–12</w:t>
            </w:r>
          </w:p>
        </w:tc>
      </w:tr>
      <w:tr w:rsidR="00E84CFA" w:rsidRPr="00E91CEA" w14:paraId="3E3B056D" w14:textId="77777777" w:rsidTr="00E91CEA">
        <w:trPr>
          <w:jc w:val="center"/>
        </w:trPr>
        <w:tc>
          <w:tcPr>
            <w:tcW w:w="645" w:type="dxa"/>
            <w:tcMar>
              <w:top w:w="80" w:type="dxa"/>
              <w:left w:w="100" w:type="dxa"/>
              <w:bottom w:w="80" w:type="dxa"/>
              <w:right w:w="100" w:type="dxa"/>
            </w:tcMar>
          </w:tcPr>
          <w:p w14:paraId="7601885B" w14:textId="77777777" w:rsidR="00E84CFA" w:rsidRPr="00E91CEA" w:rsidRDefault="00000000" w:rsidP="00E91CEA">
            <w:pPr>
              <w:contextualSpacing/>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S4</w:t>
            </w:r>
          </w:p>
        </w:tc>
        <w:tc>
          <w:tcPr>
            <w:tcW w:w="1902" w:type="dxa"/>
            <w:tcMar>
              <w:top w:w="80" w:type="dxa"/>
              <w:left w:w="100" w:type="dxa"/>
              <w:bottom w:w="80" w:type="dxa"/>
              <w:right w:w="100" w:type="dxa"/>
            </w:tcMar>
          </w:tcPr>
          <w:p w14:paraId="33D8F47C" w14:textId="77777777" w:rsidR="00E84CFA" w:rsidRPr="00E91CEA" w:rsidRDefault="00000000" w:rsidP="00E91CEA">
            <w:pPr>
              <w:contextualSpacing/>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Residential</w:t>
            </w:r>
          </w:p>
        </w:tc>
        <w:tc>
          <w:tcPr>
            <w:tcW w:w="1584" w:type="dxa"/>
            <w:tcMar>
              <w:top w:w="80" w:type="dxa"/>
              <w:left w:w="100" w:type="dxa"/>
              <w:bottom w:w="80" w:type="dxa"/>
              <w:right w:w="100" w:type="dxa"/>
            </w:tcMar>
          </w:tcPr>
          <w:p w14:paraId="25280267"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80–150</w:t>
            </w:r>
          </w:p>
        </w:tc>
        <w:tc>
          <w:tcPr>
            <w:tcW w:w="1678" w:type="dxa"/>
            <w:tcMar>
              <w:top w:w="80" w:type="dxa"/>
              <w:left w:w="100" w:type="dxa"/>
              <w:bottom w:w="80" w:type="dxa"/>
              <w:right w:w="100" w:type="dxa"/>
            </w:tcMar>
          </w:tcPr>
          <w:p w14:paraId="0AF0FC98"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200–450</w:t>
            </w:r>
          </w:p>
        </w:tc>
        <w:tc>
          <w:tcPr>
            <w:tcW w:w="1684" w:type="dxa"/>
            <w:tcMar>
              <w:top w:w="80" w:type="dxa"/>
              <w:left w:w="100" w:type="dxa"/>
              <w:bottom w:w="80" w:type="dxa"/>
              <w:right w:w="100" w:type="dxa"/>
            </w:tcMar>
          </w:tcPr>
          <w:p w14:paraId="5A16F828"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2–6</w:t>
            </w:r>
          </w:p>
        </w:tc>
      </w:tr>
      <w:tr w:rsidR="00E84CFA" w:rsidRPr="00E91CEA" w14:paraId="46E2A739" w14:textId="77777777" w:rsidTr="00E91CEA">
        <w:trPr>
          <w:jc w:val="center"/>
        </w:trPr>
        <w:tc>
          <w:tcPr>
            <w:tcW w:w="645" w:type="dxa"/>
            <w:tcMar>
              <w:top w:w="80" w:type="dxa"/>
              <w:left w:w="100" w:type="dxa"/>
              <w:bottom w:w="80" w:type="dxa"/>
              <w:right w:w="100" w:type="dxa"/>
            </w:tcMar>
          </w:tcPr>
          <w:p w14:paraId="794BF9D7" w14:textId="77777777" w:rsidR="00E84CFA" w:rsidRPr="00E91CEA" w:rsidRDefault="00000000" w:rsidP="00E91CEA">
            <w:pPr>
              <w:contextualSpacing/>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S5</w:t>
            </w:r>
          </w:p>
        </w:tc>
        <w:tc>
          <w:tcPr>
            <w:tcW w:w="1902" w:type="dxa"/>
            <w:tcMar>
              <w:top w:w="80" w:type="dxa"/>
              <w:left w:w="100" w:type="dxa"/>
              <w:bottom w:w="80" w:type="dxa"/>
              <w:right w:w="100" w:type="dxa"/>
            </w:tcMar>
          </w:tcPr>
          <w:p w14:paraId="72BCA5BD" w14:textId="77777777" w:rsidR="00E84CFA" w:rsidRPr="00E91CEA" w:rsidRDefault="00000000" w:rsidP="00E91CEA">
            <w:pPr>
              <w:contextualSpacing/>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Background / control (peri-urban)</w:t>
            </w:r>
          </w:p>
        </w:tc>
        <w:tc>
          <w:tcPr>
            <w:tcW w:w="1584" w:type="dxa"/>
            <w:tcMar>
              <w:top w:w="80" w:type="dxa"/>
              <w:left w:w="100" w:type="dxa"/>
              <w:bottom w:w="80" w:type="dxa"/>
              <w:right w:w="100" w:type="dxa"/>
            </w:tcMar>
          </w:tcPr>
          <w:p w14:paraId="4A2F2E95"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&gt;1,000</w:t>
            </w:r>
          </w:p>
        </w:tc>
        <w:tc>
          <w:tcPr>
            <w:tcW w:w="1678" w:type="dxa"/>
            <w:tcMar>
              <w:top w:w="80" w:type="dxa"/>
              <w:left w:w="100" w:type="dxa"/>
              <w:bottom w:w="80" w:type="dxa"/>
              <w:right w:w="100" w:type="dxa"/>
            </w:tcMar>
          </w:tcPr>
          <w:p w14:paraId="0F1AEBC4"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&lt;100</w:t>
            </w:r>
          </w:p>
        </w:tc>
        <w:tc>
          <w:tcPr>
            <w:tcW w:w="1684" w:type="dxa"/>
            <w:tcMar>
              <w:top w:w="80" w:type="dxa"/>
              <w:left w:w="100" w:type="dxa"/>
              <w:bottom w:w="80" w:type="dxa"/>
              <w:right w:w="100" w:type="dxa"/>
            </w:tcMar>
          </w:tcPr>
          <w:p w14:paraId="16D36552"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0–2</w:t>
            </w:r>
          </w:p>
        </w:tc>
      </w:tr>
    </w:tbl>
    <w:p w14:paraId="3358B28B" w14:textId="77777777" w:rsidR="00E84CFA" w:rsidRPr="009E5F91" w:rsidRDefault="00000000" w:rsidP="009E5F91">
      <w:pPr>
        <w:pStyle w:val="Heading2"/>
        <w:spacing w:before="260" w:after="140" w:line="360" w:lineRule="auto"/>
        <w:rPr>
          <w:rFonts w:ascii="Times New Roman" w:hAnsi="Times New Roman" w:cs="Times New Roman"/>
          <w:color w:val="000000" w:themeColor="text1"/>
          <w:sz w:val="24"/>
          <w:szCs w:val="24"/>
        </w:rPr>
      </w:pPr>
      <w:r w:rsidRPr="009E5F91">
        <w:rPr>
          <w:rFonts w:ascii="Times New Roman" w:hAnsi="Times New Roman" w:cs="Times New Roman"/>
          <w:b/>
          <w:bCs/>
          <w:color w:val="000000" w:themeColor="text1"/>
          <w:sz w:val="24"/>
          <w:szCs w:val="24"/>
        </w:rPr>
        <w:t>2.2 Air Quality Parameters and Instrumentation</w:t>
      </w:r>
    </w:p>
    <w:p w14:paraId="6CC64FDE" w14:textId="77777777" w:rsidR="00E84CFA" w:rsidRPr="009E5F91" w:rsidRDefault="00000000" w:rsidP="009E5F91">
      <w:pPr>
        <w:spacing w:after="200" w:line="360" w:lineRule="auto"/>
        <w:jc w:val="both"/>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Continuous, hourly-resolution monitoring was conducted for six criteria pollutants using reference-equivalent or federal-equivalent-method (FEM) instrumentation: particulate matter with aerodynamic diameter &lt;2.5 µm (PM2.5) and &lt;10 µm (PM10) by beta-attenuation monitoring; nitrogen dioxide (NO2) and sulphur dioxide (SO2) by chemiluminescence and UV fluorescence, respectively; carbon monoxide (CO) by non-dispersive infrared absorption; and ozone (O3) by UV photometry. All instruments were calibrated according to manufacturer protocols at the start of the campaign and span-checked biweekly against certified reference gases; PM monitors were co-located with gravimetric filter samplers for periodic accuracy verification (target agreement within ±10%).</w:t>
      </w:r>
    </w:p>
    <w:p w14:paraId="0EF2E9EB" w14:textId="77777777" w:rsidR="00E84CFA" w:rsidRPr="009E5F91" w:rsidRDefault="00000000" w:rsidP="009E5F91">
      <w:pPr>
        <w:pStyle w:val="Heading2"/>
        <w:spacing w:before="260" w:after="140" w:line="360" w:lineRule="auto"/>
        <w:rPr>
          <w:rFonts w:ascii="Times New Roman" w:hAnsi="Times New Roman" w:cs="Times New Roman"/>
          <w:color w:val="000000" w:themeColor="text1"/>
          <w:sz w:val="24"/>
          <w:szCs w:val="24"/>
        </w:rPr>
      </w:pPr>
      <w:r w:rsidRPr="009E5F91">
        <w:rPr>
          <w:rFonts w:ascii="Times New Roman" w:hAnsi="Times New Roman" w:cs="Times New Roman"/>
          <w:b/>
          <w:bCs/>
          <w:color w:val="000000" w:themeColor="text1"/>
          <w:sz w:val="24"/>
          <w:szCs w:val="24"/>
        </w:rPr>
        <w:t>2.3 Meteorological and Auxiliary Data</w:t>
      </w:r>
    </w:p>
    <w:p w14:paraId="18049000" w14:textId="77777777" w:rsidR="00E84CFA" w:rsidRDefault="00000000" w:rsidP="009E5F91">
      <w:pPr>
        <w:spacing w:after="200" w:line="360" w:lineRule="auto"/>
        <w:jc w:val="both"/>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Co-located meteorological stations recorded hourly ambient temperature, relative humidity, wind speed and direction, barometric pressure, and precipitation. Planetary boundary-layer height was obtained from the nearest synoptic meteorological reanalysis product to characterise vertical dispersion potential. Traffic count data (vehicles per hour) were obtained from municipal traffic-monitoring cameras at the roadside site, and land-use characteristics within a 500 m buffer of each monitor (road density, industrial land fraction, green space fraction) were derived from municipal GIS layers to support land-use regression cross-validation of the fixed-site network.</w:t>
      </w:r>
    </w:p>
    <w:p w14:paraId="7712CF76" w14:textId="77777777" w:rsidR="00E91CEA" w:rsidRPr="009E5F91" w:rsidRDefault="00E91CEA" w:rsidP="009E5F91">
      <w:pPr>
        <w:spacing w:after="200" w:line="360" w:lineRule="auto"/>
        <w:jc w:val="both"/>
        <w:rPr>
          <w:rFonts w:ascii="Times New Roman" w:hAnsi="Times New Roman" w:cs="Times New Roman"/>
          <w:color w:val="000000" w:themeColor="text1"/>
          <w:sz w:val="24"/>
          <w:szCs w:val="24"/>
        </w:rPr>
      </w:pPr>
    </w:p>
    <w:p w14:paraId="02150940" w14:textId="77777777" w:rsidR="00E84CFA" w:rsidRPr="009E5F91" w:rsidRDefault="00000000" w:rsidP="009E5F91">
      <w:pPr>
        <w:pStyle w:val="Heading2"/>
        <w:spacing w:before="260" w:after="140" w:line="360" w:lineRule="auto"/>
        <w:rPr>
          <w:rFonts w:ascii="Times New Roman" w:hAnsi="Times New Roman" w:cs="Times New Roman"/>
          <w:color w:val="000000" w:themeColor="text1"/>
          <w:sz w:val="24"/>
          <w:szCs w:val="24"/>
        </w:rPr>
      </w:pPr>
      <w:r w:rsidRPr="009E5F91">
        <w:rPr>
          <w:rFonts w:ascii="Times New Roman" w:hAnsi="Times New Roman" w:cs="Times New Roman"/>
          <w:b/>
          <w:bCs/>
          <w:color w:val="000000" w:themeColor="text1"/>
          <w:sz w:val="24"/>
          <w:szCs w:val="24"/>
        </w:rPr>
        <w:lastRenderedPageBreak/>
        <w:t>2.4 Health Outcome Data</w:t>
      </w:r>
    </w:p>
    <w:p w14:paraId="7C108708" w14:textId="77777777" w:rsidR="00E84CFA" w:rsidRPr="009E5F91" w:rsidRDefault="00000000" w:rsidP="009E5F91">
      <w:pPr>
        <w:spacing w:after="200" w:line="360" w:lineRule="auto"/>
        <w:jc w:val="both"/>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Daily counts of emergency department visits and hospital admissions for respiratory causes (ICD-10 J00–J99) and cardiovascular causes (ICD-10 I00–I99) were obtained from participating municipal hospitals covering the study catchment area, aggregated to protect patient confidentiality and stratified by age group (&lt;15, 15–64, ≥65 years). Only aggregate, de-identified daily counts were used; the study protocol and data-sharing agreement were reviewed and approved by the relevant institutional ethics review board, consistent with observational ecological time-series designs that do not require individual informed consent.</w:t>
      </w:r>
    </w:p>
    <w:p w14:paraId="21193340" w14:textId="77777777" w:rsidR="00E84CFA" w:rsidRPr="009E5F91" w:rsidRDefault="00000000" w:rsidP="009E5F91">
      <w:pPr>
        <w:pStyle w:val="Heading2"/>
        <w:spacing w:before="260" w:after="140" w:line="360" w:lineRule="auto"/>
        <w:rPr>
          <w:rFonts w:ascii="Times New Roman" w:hAnsi="Times New Roman" w:cs="Times New Roman"/>
          <w:color w:val="000000" w:themeColor="text1"/>
          <w:sz w:val="24"/>
          <w:szCs w:val="24"/>
        </w:rPr>
      </w:pPr>
      <w:r w:rsidRPr="009E5F91">
        <w:rPr>
          <w:rFonts w:ascii="Times New Roman" w:hAnsi="Times New Roman" w:cs="Times New Roman"/>
          <w:b/>
          <w:bCs/>
          <w:color w:val="000000" w:themeColor="text1"/>
          <w:sz w:val="24"/>
          <w:szCs w:val="24"/>
        </w:rPr>
        <w:t>2.5 Composite Air Quality Index (AQI) Construction</w:t>
      </w:r>
    </w:p>
    <w:p w14:paraId="5ECFD3AC" w14:textId="77777777" w:rsidR="00E84CFA" w:rsidRPr="009E5F91" w:rsidRDefault="00000000" w:rsidP="009E5F91">
      <w:pPr>
        <w:spacing w:after="200" w:line="360" w:lineRule="auto"/>
        <w:jc w:val="both"/>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A composite AQI was calculated for each site and hour using the established sub-index approach, in which each pollutant concentration is linearly interpolated between fixed breakpoints corresponding to national/WHO guideline categories to yield a pollutant-specific sub-index (</w:t>
      </w:r>
      <w:proofErr w:type="spellStart"/>
      <w:r w:rsidRPr="009E5F91">
        <w:rPr>
          <w:rFonts w:ascii="Times New Roman" w:hAnsi="Times New Roman" w:cs="Times New Roman"/>
          <w:color w:val="000000" w:themeColor="text1"/>
          <w:sz w:val="24"/>
          <w:szCs w:val="24"/>
        </w:rPr>
        <w:t>Isub</w:t>
      </w:r>
      <w:proofErr w:type="spellEnd"/>
      <w:r w:rsidRPr="009E5F91">
        <w:rPr>
          <w:rFonts w:ascii="Times New Roman" w:hAnsi="Times New Roman" w:cs="Times New Roman"/>
          <w:color w:val="000000" w:themeColor="text1"/>
          <w:sz w:val="24"/>
          <w:szCs w:val="24"/>
        </w:rPr>
        <w:t xml:space="preserve">), where Cp is the measured concentration and </w:t>
      </w:r>
      <w:proofErr w:type="spellStart"/>
      <w:r w:rsidRPr="009E5F91">
        <w:rPr>
          <w:rFonts w:ascii="Times New Roman" w:hAnsi="Times New Roman" w:cs="Times New Roman"/>
          <w:color w:val="000000" w:themeColor="text1"/>
          <w:sz w:val="24"/>
          <w:szCs w:val="24"/>
        </w:rPr>
        <w:t>BPHi</w:t>
      </w:r>
      <w:proofErr w:type="spellEnd"/>
      <w:r w:rsidRPr="009E5F91">
        <w:rPr>
          <w:rFonts w:ascii="Times New Roman" w:hAnsi="Times New Roman" w:cs="Times New Roman"/>
          <w:color w:val="000000" w:themeColor="text1"/>
          <w:sz w:val="24"/>
          <w:szCs w:val="24"/>
        </w:rPr>
        <w:t>/</w:t>
      </w:r>
      <w:proofErr w:type="spellStart"/>
      <w:r w:rsidRPr="009E5F91">
        <w:rPr>
          <w:rFonts w:ascii="Times New Roman" w:hAnsi="Times New Roman" w:cs="Times New Roman"/>
          <w:color w:val="000000" w:themeColor="text1"/>
          <w:sz w:val="24"/>
          <w:szCs w:val="24"/>
        </w:rPr>
        <w:t>BPLo</w:t>
      </w:r>
      <w:proofErr w:type="spellEnd"/>
      <w:r w:rsidRPr="009E5F91">
        <w:rPr>
          <w:rFonts w:ascii="Times New Roman" w:hAnsi="Times New Roman" w:cs="Times New Roman"/>
          <w:color w:val="000000" w:themeColor="text1"/>
          <w:sz w:val="24"/>
          <w:szCs w:val="24"/>
        </w:rPr>
        <w:t xml:space="preserve"> and IHi/</w:t>
      </w:r>
      <w:proofErr w:type="spellStart"/>
      <w:r w:rsidRPr="009E5F91">
        <w:rPr>
          <w:rFonts w:ascii="Times New Roman" w:hAnsi="Times New Roman" w:cs="Times New Roman"/>
          <w:color w:val="000000" w:themeColor="text1"/>
          <w:sz w:val="24"/>
          <w:szCs w:val="24"/>
        </w:rPr>
        <w:t>ILo</w:t>
      </w:r>
      <w:proofErr w:type="spellEnd"/>
      <w:r w:rsidRPr="009E5F91">
        <w:rPr>
          <w:rFonts w:ascii="Times New Roman" w:hAnsi="Times New Roman" w:cs="Times New Roman"/>
          <w:color w:val="000000" w:themeColor="text1"/>
          <w:sz w:val="24"/>
          <w:szCs w:val="24"/>
        </w:rPr>
        <w:t xml:space="preserve"> are the upper and lower breakpoint concentrations and index values bounding Cp:</w:t>
      </w:r>
    </w:p>
    <w:p w14:paraId="03C34B13" w14:textId="34343D10" w:rsidR="00E84CFA" w:rsidRPr="009E5F91" w:rsidRDefault="00000000" w:rsidP="00E91CEA">
      <w:pPr>
        <w:spacing w:before="160" w:after="20" w:line="360" w:lineRule="auto"/>
        <w:jc w:val="center"/>
        <w:rPr>
          <w:rFonts w:ascii="Times New Roman" w:hAnsi="Times New Roman" w:cs="Times New Roman"/>
          <w:color w:val="000000" w:themeColor="text1"/>
          <w:sz w:val="24"/>
          <w:szCs w:val="24"/>
        </w:rPr>
      </w:pPr>
      <w:r w:rsidRPr="009E5F91">
        <w:rPr>
          <w:rFonts w:ascii="Times New Roman" w:hAnsi="Times New Roman" w:cs="Times New Roman"/>
          <w:noProof/>
          <w:color w:val="000000" w:themeColor="text1"/>
          <w:sz w:val="24"/>
          <w:szCs w:val="24"/>
        </w:rPr>
        <w:drawing>
          <wp:inline distT="0" distB="0" distL="0" distR="0" wp14:anchorId="2E83C362" wp14:editId="0FEB5CC6">
            <wp:extent cx="3657600" cy="571500"/>
            <wp:effectExtent l="0" t="0" r="0" b="0"/>
            <wp:docPr id="2044886746" name="Picture 2044886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3657600" cy="571500"/>
                    </a:xfrm>
                    <a:prstGeom prst="rect">
                      <a:avLst/>
                    </a:prstGeom>
                  </pic:spPr>
                </pic:pic>
              </a:graphicData>
            </a:graphic>
          </wp:inline>
        </w:drawing>
      </w:r>
      <w:r w:rsidRPr="009E5F91">
        <w:rPr>
          <w:rFonts w:ascii="Times New Roman" w:hAnsi="Times New Roman" w:cs="Times New Roman"/>
          <w:i/>
          <w:iCs/>
          <w:color w:val="000000" w:themeColor="text1"/>
          <w:sz w:val="24"/>
          <w:szCs w:val="24"/>
        </w:rPr>
        <w:t>(1)</w:t>
      </w:r>
    </w:p>
    <w:p w14:paraId="7623C980" w14:textId="77777777" w:rsidR="00E84CFA" w:rsidRPr="009E5F91" w:rsidRDefault="00000000" w:rsidP="009E5F91">
      <w:pPr>
        <w:spacing w:after="200" w:line="360" w:lineRule="auto"/>
        <w:jc w:val="both"/>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The overall AQI is then defined as the maximum sub-index across the six pollutants, following the convention used by the US EPA and most national reporting systems:</w:t>
      </w:r>
    </w:p>
    <w:p w14:paraId="629481D7" w14:textId="462929C5" w:rsidR="00E84CFA" w:rsidRPr="009E5F91" w:rsidRDefault="00000000" w:rsidP="00E91CEA">
      <w:pPr>
        <w:spacing w:before="160" w:after="20" w:line="360" w:lineRule="auto"/>
        <w:jc w:val="center"/>
        <w:rPr>
          <w:rFonts w:ascii="Times New Roman" w:hAnsi="Times New Roman" w:cs="Times New Roman"/>
          <w:color w:val="000000" w:themeColor="text1"/>
          <w:sz w:val="24"/>
          <w:szCs w:val="24"/>
        </w:rPr>
      </w:pPr>
      <w:r w:rsidRPr="009E5F91">
        <w:rPr>
          <w:rFonts w:ascii="Times New Roman" w:hAnsi="Times New Roman" w:cs="Times New Roman"/>
          <w:noProof/>
          <w:color w:val="000000" w:themeColor="text1"/>
          <w:sz w:val="24"/>
          <w:szCs w:val="24"/>
        </w:rPr>
        <w:drawing>
          <wp:inline distT="0" distB="0" distL="0" distR="0" wp14:anchorId="5352C70F" wp14:editId="29AB6DF5">
            <wp:extent cx="4752975" cy="371475"/>
            <wp:effectExtent l="0" t="0" r="0" b="0"/>
            <wp:docPr id="1881512409" name="Picture 188151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4752975" cy="371475"/>
                    </a:xfrm>
                    <a:prstGeom prst="rect">
                      <a:avLst/>
                    </a:prstGeom>
                  </pic:spPr>
                </pic:pic>
              </a:graphicData>
            </a:graphic>
          </wp:inline>
        </w:drawing>
      </w:r>
      <w:r w:rsidRPr="009E5F91">
        <w:rPr>
          <w:rFonts w:ascii="Times New Roman" w:hAnsi="Times New Roman" w:cs="Times New Roman"/>
          <w:i/>
          <w:iCs/>
          <w:color w:val="000000" w:themeColor="text1"/>
          <w:sz w:val="24"/>
          <w:szCs w:val="24"/>
        </w:rPr>
        <w:t>(2)</w:t>
      </w:r>
    </w:p>
    <w:p w14:paraId="7646074B" w14:textId="77777777" w:rsidR="00E84CFA" w:rsidRPr="009E5F91" w:rsidRDefault="00000000" w:rsidP="009E5F91">
      <w:pPr>
        <w:spacing w:after="200" w:line="360" w:lineRule="auto"/>
        <w:jc w:val="both"/>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 xml:space="preserve">In addition to the regulatory maximum-based AQI, a secondary cumulative pollution burden index (CPBI) was calculated as the sum of standardised z-scores across all six pollutants p, with mean </w:t>
      </w:r>
      <w:proofErr w:type="spellStart"/>
      <w:r w:rsidRPr="009E5F91">
        <w:rPr>
          <w:rFonts w:ascii="Times New Roman" w:hAnsi="Times New Roman" w:cs="Times New Roman"/>
          <w:color w:val="000000" w:themeColor="text1"/>
          <w:sz w:val="24"/>
          <w:szCs w:val="24"/>
        </w:rPr>
        <w:t>C̄p</w:t>
      </w:r>
      <w:proofErr w:type="spellEnd"/>
      <w:r w:rsidRPr="009E5F91">
        <w:rPr>
          <w:rFonts w:ascii="Times New Roman" w:hAnsi="Times New Roman" w:cs="Times New Roman"/>
          <w:color w:val="000000" w:themeColor="text1"/>
          <w:sz w:val="24"/>
          <w:szCs w:val="24"/>
        </w:rPr>
        <w:t xml:space="preserve"> and standard deviation </w:t>
      </w:r>
      <w:proofErr w:type="spellStart"/>
      <w:r w:rsidRPr="009E5F91">
        <w:rPr>
          <w:rFonts w:ascii="Times New Roman" w:hAnsi="Times New Roman" w:cs="Times New Roman"/>
          <w:color w:val="000000" w:themeColor="text1"/>
          <w:sz w:val="24"/>
          <w:szCs w:val="24"/>
        </w:rPr>
        <w:t>σp</w:t>
      </w:r>
      <w:proofErr w:type="spellEnd"/>
      <w:r w:rsidRPr="009E5F91">
        <w:rPr>
          <w:rFonts w:ascii="Times New Roman" w:hAnsi="Times New Roman" w:cs="Times New Roman"/>
          <w:color w:val="000000" w:themeColor="text1"/>
          <w:sz w:val="24"/>
          <w:szCs w:val="24"/>
        </w:rPr>
        <w:t>, to retain information on multi-pollutant co-exposure that the single-maximum AQI formulation discards:</w:t>
      </w:r>
    </w:p>
    <w:p w14:paraId="5418416C" w14:textId="20144F0B" w:rsidR="00E84CFA" w:rsidRPr="009E5F91" w:rsidRDefault="00000000" w:rsidP="00E91CEA">
      <w:pPr>
        <w:spacing w:before="160" w:after="20" w:line="360" w:lineRule="auto"/>
        <w:jc w:val="center"/>
        <w:rPr>
          <w:rFonts w:ascii="Times New Roman" w:hAnsi="Times New Roman" w:cs="Times New Roman"/>
          <w:color w:val="000000" w:themeColor="text1"/>
          <w:sz w:val="24"/>
          <w:szCs w:val="24"/>
        </w:rPr>
      </w:pPr>
      <w:r w:rsidRPr="009E5F91">
        <w:rPr>
          <w:rFonts w:ascii="Times New Roman" w:hAnsi="Times New Roman" w:cs="Times New Roman"/>
          <w:noProof/>
          <w:color w:val="000000" w:themeColor="text1"/>
          <w:sz w:val="24"/>
          <w:szCs w:val="24"/>
        </w:rPr>
        <w:drawing>
          <wp:inline distT="0" distB="0" distL="0" distR="0" wp14:anchorId="30A60BDF" wp14:editId="6D2248DE">
            <wp:extent cx="2381250" cy="809625"/>
            <wp:effectExtent l="0" t="0" r="0" b="0"/>
            <wp:docPr id="340943263" name="Picture 34094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2381250" cy="809625"/>
                    </a:xfrm>
                    <a:prstGeom prst="rect">
                      <a:avLst/>
                    </a:prstGeom>
                  </pic:spPr>
                </pic:pic>
              </a:graphicData>
            </a:graphic>
          </wp:inline>
        </w:drawing>
      </w:r>
      <w:r w:rsidRPr="009E5F91">
        <w:rPr>
          <w:rFonts w:ascii="Times New Roman" w:hAnsi="Times New Roman" w:cs="Times New Roman"/>
          <w:i/>
          <w:iCs/>
          <w:color w:val="000000" w:themeColor="text1"/>
          <w:sz w:val="24"/>
          <w:szCs w:val="24"/>
        </w:rPr>
        <w:t>(3)</w:t>
      </w:r>
    </w:p>
    <w:p w14:paraId="4192A82C" w14:textId="77777777" w:rsidR="00E84CFA" w:rsidRPr="009E5F91" w:rsidRDefault="00000000" w:rsidP="009E5F91">
      <w:pPr>
        <w:spacing w:after="200" w:line="360" w:lineRule="auto"/>
        <w:jc w:val="both"/>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lastRenderedPageBreak/>
        <w:t>This secondary index is retained because epidemiological evidence indicates that combined pollutant mixtures can exert greater-than-additive health effects even when no single pollutant exceeds its guideline threshold (Dominici et al., 2010).</w:t>
      </w:r>
    </w:p>
    <w:p w14:paraId="324A74F4" w14:textId="77777777" w:rsidR="00E84CFA" w:rsidRPr="009E5F91" w:rsidRDefault="00000000" w:rsidP="009E5F91">
      <w:pPr>
        <w:pStyle w:val="Heading2"/>
        <w:spacing w:before="260" w:after="140" w:line="360" w:lineRule="auto"/>
        <w:rPr>
          <w:rFonts w:ascii="Times New Roman" w:hAnsi="Times New Roman" w:cs="Times New Roman"/>
          <w:color w:val="000000" w:themeColor="text1"/>
          <w:sz w:val="24"/>
          <w:szCs w:val="24"/>
        </w:rPr>
      </w:pPr>
      <w:r w:rsidRPr="009E5F91">
        <w:rPr>
          <w:rFonts w:ascii="Times New Roman" w:hAnsi="Times New Roman" w:cs="Times New Roman"/>
          <w:b/>
          <w:bCs/>
          <w:color w:val="000000" w:themeColor="text1"/>
          <w:sz w:val="24"/>
          <w:szCs w:val="24"/>
        </w:rPr>
        <w:t>2.6 Statistical Analysis</w:t>
      </w:r>
    </w:p>
    <w:p w14:paraId="6D758DBA" w14:textId="77777777" w:rsidR="00E84CFA" w:rsidRPr="009E5F91" w:rsidRDefault="00000000" w:rsidP="009E5F91">
      <w:pPr>
        <w:spacing w:after="200" w:line="360" w:lineRule="auto"/>
        <w:jc w:val="both"/>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Descriptive statistics (mean, standard deviation, percentiles) were computed for all pollutants and meteorological variables by site and season. Spatial and temporal variability were assessed using one-way ANOVA (site comparisons) and the Mann-Kendall test (monotonic trend detection). Pollutant inter-correlation was examined using Spearman rank correlation to identify potential collinearity prior to multivariable modelling.</w:t>
      </w:r>
    </w:p>
    <w:p w14:paraId="51CB17A6" w14:textId="77777777" w:rsidR="00E84CFA" w:rsidRPr="009E5F91" w:rsidRDefault="00000000" w:rsidP="009E5F91">
      <w:pPr>
        <w:spacing w:after="200" w:line="360" w:lineRule="auto"/>
        <w:jc w:val="both"/>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 xml:space="preserve">The association between air pollutant concentrations and daily health outcome counts was modelled using generalised additive models (GAMs) with a quasi-Poisson distribution to account for overdispersion, of the general form, where </w:t>
      </w:r>
      <w:proofErr w:type="spellStart"/>
      <w:r w:rsidRPr="009E5F91">
        <w:rPr>
          <w:rFonts w:ascii="Times New Roman" w:hAnsi="Times New Roman" w:cs="Times New Roman"/>
          <w:color w:val="000000" w:themeColor="text1"/>
          <w:sz w:val="24"/>
          <w:szCs w:val="24"/>
        </w:rPr>
        <w:t>Yt</w:t>
      </w:r>
      <w:proofErr w:type="spellEnd"/>
      <w:r w:rsidRPr="009E5F91">
        <w:rPr>
          <w:rFonts w:ascii="Times New Roman" w:hAnsi="Times New Roman" w:cs="Times New Roman"/>
          <w:color w:val="000000" w:themeColor="text1"/>
          <w:sz w:val="24"/>
          <w:szCs w:val="24"/>
        </w:rPr>
        <w:t xml:space="preserve"> is the daily count of health events on day t, </w:t>
      </w:r>
      <w:proofErr w:type="spellStart"/>
      <w:r w:rsidRPr="009E5F91">
        <w:rPr>
          <w:rFonts w:ascii="Times New Roman" w:hAnsi="Times New Roman" w:cs="Times New Roman"/>
          <w:color w:val="000000" w:themeColor="text1"/>
          <w:sz w:val="24"/>
          <w:szCs w:val="24"/>
        </w:rPr>
        <w:t>Xt</w:t>
      </w:r>
      <w:proofErr w:type="spellEnd"/>
      <w:r w:rsidRPr="009E5F91">
        <w:rPr>
          <w:rFonts w:ascii="Times New Roman" w:hAnsi="Times New Roman" w:cs="Times New Roman"/>
          <w:color w:val="000000" w:themeColor="text1"/>
          <w:sz w:val="24"/>
          <w:szCs w:val="24"/>
        </w:rPr>
        <w:t>−l is pollutant concentration at lag l (0–5 days), s(·) denotes penalised smoothing splines for meteorological confounders and long-term/seasonal trend, and DOW and Holiday are indicator terms for day-of-week and public-holiday effects:</w:t>
      </w:r>
    </w:p>
    <w:p w14:paraId="632EF9F9" w14:textId="4DC1D4FA" w:rsidR="00E84CFA" w:rsidRPr="009E5F91" w:rsidRDefault="00000000" w:rsidP="00E91CEA">
      <w:pPr>
        <w:spacing w:before="160" w:after="20" w:line="360" w:lineRule="auto"/>
        <w:rPr>
          <w:rFonts w:ascii="Times New Roman" w:hAnsi="Times New Roman" w:cs="Times New Roman"/>
          <w:color w:val="000000" w:themeColor="text1"/>
          <w:sz w:val="24"/>
          <w:szCs w:val="24"/>
        </w:rPr>
      </w:pPr>
      <w:r w:rsidRPr="009E5F91">
        <w:rPr>
          <w:rFonts w:ascii="Times New Roman" w:hAnsi="Times New Roman" w:cs="Times New Roman"/>
          <w:noProof/>
          <w:color w:val="000000" w:themeColor="text1"/>
          <w:sz w:val="24"/>
          <w:szCs w:val="24"/>
        </w:rPr>
        <w:drawing>
          <wp:inline distT="0" distB="0" distL="0" distR="0" wp14:anchorId="57526B34" wp14:editId="0FE77BCA">
            <wp:extent cx="5305425" cy="514350"/>
            <wp:effectExtent l="0" t="0" r="0" b="0"/>
            <wp:docPr id="1235037240" name="Picture 1235037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5305425" cy="514350"/>
                    </a:xfrm>
                    <a:prstGeom prst="rect">
                      <a:avLst/>
                    </a:prstGeom>
                  </pic:spPr>
                </pic:pic>
              </a:graphicData>
            </a:graphic>
          </wp:inline>
        </w:drawing>
      </w:r>
      <w:r w:rsidRPr="009E5F91">
        <w:rPr>
          <w:rFonts w:ascii="Times New Roman" w:hAnsi="Times New Roman" w:cs="Times New Roman"/>
          <w:i/>
          <w:iCs/>
          <w:color w:val="000000" w:themeColor="text1"/>
          <w:sz w:val="24"/>
          <w:szCs w:val="24"/>
        </w:rPr>
        <w:t>(4)</w:t>
      </w:r>
    </w:p>
    <w:p w14:paraId="1C38B494" w14:textId="77777777" w:rsidR="00E84CFA" w:rsidRPr="009E5F91" w:rsidRDefault="00000000" w:rsidP="009E5F91">
      <w:pPr>
        <w:spacing w:after="200" w:line="360" w:lineRule="auto"/>
        <w:jc w:val="both"/>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Lag structure was modelled individually and cumulatively using a distributed-lag non-linear model (DLNM). Results are expressed as the percentage change in health-outcome risk per interquartile-range (IQR) increase in pollutant concentration, calculated from the estimated coefficient β as:</w:t>
      </w:r>
    </w:p>
    <w:p w14:paraId="77B6347E" w14:textId="02568F3D" w:rsidR="00E84CFA" w:rsidRPr="009E5F91" w:rsidRDefault="00000000" w:rsidP="00E91CEA">
      <w:pPr>
        <w:spacing w:before="160" w:after="20" w:line="360" w:lineRule="auto"/>
        <w:jc w:val="center"/>
        <w:rPr>
          <w:rFonts w:ascii="Times New Roman" w:hAnsi="Times New Roman" w:cs="Times New Roman"/>
          <w:color w:val="000000" w:themeColor="text1"/>
          <w:sz w:val="24"/>
          <w:szCs w:val="24"/>
        </w:rPr>
      </w:pPr>
      <w:r w:rsidRPr="009E5F91">
        <w:rPr>
          <w:rFonts w:ascii="Times New Roman" w:hAnsi="Times New Roman" w:cs="Times New Roman"/>
          <w:noProof/>
          <w:color w:val="000000" w:themeColor="text1"/>
          <w:sz w:val="24"/>
          <w:szCs w:val="24"/>
        </w:rPr>
        <w:drawing>
          <wp:inline distT="0" distB="0" distL="0" distR="0" wp14:anchorId="3E84BC50" wp14:editId="0539314B">
            <wp:extent cx="3105150" cy="352425"/>
            <wp:effectExtent l="0" t="0" r="0" b="0"/>
            <wp:docPr id="1415801932" name="Picture 141580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3105150" cy="352425"/>
                    </a:xfrm>
                    <a:prstGeom prst="rect">
                      <a:avLst/>
                    </a:prstGeom>
                  </pic:spPr>
                </pic:pic>
              </a:graphicData>
            </a:graphic>
          </wp:inline>
        </w:drawing>
      </w:r>
      <w:r w:rsidRPr="009E5F91">
        <w:rPr>
          <w:rFonts w:ascii="Times New Roman" w:hAnsi="Times New Roman" w:cs="Times New Roman"/>
          <w:i/>
          <w:iCs/>
          <w:color w:val="000000" w:themeColor="text1"/>
          <w:sz w:val="24"/>
          <w:szCs w:val="24"/>
        </w:rPr>
        <w:t>(5)</w:t>
      </w:r>
    </w:p>
    <w:p w14:paraId="2408B1AC" w14:textId="77777777" w:rsidR="00E84CFA" w:rsidRDefault="00000000" w:rsidP="009E5F91">
      <w:pPr>
        <w:spacing w:after="200" w:line="360" w:lineRule="auto"/>
        <w:jc w:val="both"/>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 xml:space="preserve">Two-pollutant models were fitted to assess robustness to co-pollutant confounding, and effect modification by season and age group was tested via interaction terms. All analyses were performed in R (v4.x) using the </w:t>
      </w:r>
      <w:proofErr w:type="spellStart"/>
      <w:r w:rsidRPr="009E5F91">
        <w:rPr>
          <w:rFonts w:ascii="Times New Roman" w:hAnsi="Times New Roman" w:cs="Times New Roman"/>
          <w:color w:val="000000" w:themeColor="text1"/>
          <w:sz w:val="24"/>
          <w:szCs w:val="24"/>
        </w:rPr>
        <w:t>mgcv</w:t>
      </w:r>
      <w:proofErr w:type="spellEnd"/>
      <w:r w:rsidRPr="009E5F91">
        <w:rPr>
          <w:rFonts w:ascii="Times New Roman" w:hAnsi="Times New Roman" w:cs="Times New Roman"/>
          <w:color w:val="000000" w:themeColor="text1"/>
          <w:sz w:val="24"/>
          <w:szCs w:val="24"/>
        </w:rPr>
        <w:t xml:space="preserve"> and </w:t>
      </w:r>
      <w:proofErr w:type="spellStart"/>
      <w:r w:rsidRPr="009E5F91">
        <w:rPr>
          <w:rFonts w:ascii="Times New Roman" w:hAnsi="Times New Roman" w:cs="Times New Roman"/>
          <w:color w:val="000000" w:themeColor="text1"/>
          <w:sz w:val="24"/>
          <w:szCs w:val="24"/>
        </w:rPr>
        <w:t>dlnm</w:t>
      </w:r>
      <w:proofErr w:type="spellEnd"/>
      <w:r w:rsidRPr="009E5F91">
        <w:rPr>
          <w:rFonts w:ascii="Times New Roman" w:hAnsi="Times New Roman" w:cs="Times New Roman"/>
          <w:color w:val="000000" w:themeColor="text1"/>
          <w:sz w:val="24"/>
          <w:szCs w:val="24"/>
        </w:rPr>
        <w:t xml:space="preserve"> packages, with statistical significance set at α = 0.05.</w:t>
      </w:r>
    </w:p>
    <w:p w14:paraId="4402813F" w14:textId="77777777" w:rsidR="00E91CEA" w:rsidRDefault="00E91CEA" w:rsidP="009E5F91">
      <w:pPr>
        <w:spacing w:after="200" w:line="360" w:lineRule="auto"/>
        <w:jc w:val="both"/>
        <w:rPr>
          <w:rFonts w:ascii="Times New Roman" w:hAnsi="Times New Roman" w:cs="Times New Roman"/>
          <w:color w:val="000000" w:themeColor="text1"/>
          <w:sz w:val="24"/>
          <w:szCs w:val="24"/>
        </w:rPr>
      </w:pPr>
    </w:p>
    <w:p w14:paraId="3DF38D71" w14:textId="77777777" w:rsidR="00E91CEA" w:rsidRPr="009E5F91" w:rsidRDefault="00E91CEA" w:rsidP="009E5F91">
      <w:pPr>
        <w:spacing w:after="200" w:line="360" w:lineRule="auto"/>
        <w:jc w:val="both"/>
        <w:rPr>
          <w:rFonts w:ascii="Times New Roman" w:hAnsi="Times New Roman" w:cs="Times New Roman"/>
          <w:color w:val="000000" w:themeColor="text1"/>
          <w:sz w:val="24"/>
          <w:szCs w:val="24"/>
        </w:rPr>
      </w:pPr>
    </w:p>
    <w:p w14:paraId="7C94DC89" w14:textId="77777777" w:rsidR="00E84CFA" w:rsidRPr="009E5F91" w:rsidRDefault="00000000" w:rsidP="009E5F91">
      <w:pPr>
        <w:pStyle w:val="Heading2"/>
        <w:spacing w:before="260" w:after="140" w:line="360" w:lineRule="auto"/>
        <w:rPr>
          <w:rFonts w:ascii="Times New Roman" w:hAnsi="Times New Roman" w:cs="Times New Roman"/>
          <w:color w:val="000000" w:themeColor="text1"/>
          <w:sz w:val="24"/>
          <w:szCs w:val="24"/>
        </w:rPr>
      </w:pPr>
      <w:r w:rsidRPr="009E5F91">
        <w:rPr>
          <w:rFonts w:ascii="Times New Roman" w:hAnsi="Times New Roman" w:cs="Times New Roman"/>
          <w:b/>
          <w:bCs/>
          <w:color w:val="000000" w:themeColor="text1"/>
          <w:sz w:val="24"/>
          <w:szCs w:val="24"/>
        </w:rPr>
        <w:lastRenderedPageBreak/>
        <w:t>2.7 Data Quality Assurance and Limitations of Design</w:t>
      </w:r>
    </w:p>
    <w:p w14:paraId="75DD77CA" w14:textId="77777777" w:rsidR="00E84CFA" w:rsidRPr="009E5F91" w:rsidRDefault="00000000" w:rsidP="009E5F91">
      <w:pPr>
        <w:spacing w:after="200" w:line="360" w:lineRule="auto"/>
        <w:jc w:val="both"/>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Data completeness thresholds (≥75% valid hourly data per day, ≥90% valid days per month) were applied before a site-day was included in analysis; days failing these criteria were flagged as missing rather than imputed, except for short (&lt;3-hour) gaps filled by linear interpolation. Instrument drift was monitored via control charts, and any exceedance of the ±10% verification tolerance triggered recalibration and data review for the affected period.</w:t>
      </w:r>
    </w:p>
    <w:p w14:paraId="4C4982AF" w14:textId="77777777" w:rsidR="00E84CFA" w:rsidRPr="009E5F91" w:rsidRDefault="00000000" w:rsidP="009E5F91">
      <w:pPr>
        <w:pStyle w:val="Heading1"/>
        <w:spacing w:before="360" w:after="180" w:line="360" w:lineRule="auto"/>
        <w:rPr>
          <w:rFonts w:ascii="Times New Roman" w:hAnsi="Times New Roman" w:cs="Times New Roman"/>
          <w:color w:val="000000" w:themeColor="text1"/>
          <w:sz w:val="24"/>
          <w:szCs w:val="24"/>
        </w:rPr>
      </w:pPr>
      <w:r w:rsidRPr="009E5F91">
        <w:rPr>
          <w:rFonts w:ascii="Times New Roman" w:hAnsi="Times New Roman" w:cs="Times New Roman"/>
          <w:b/>
          <w:bCs/>
          <w:color w:val="000000" w:themeColor="text1"/>
          <w:sz w:val="24"/>
          <w:szCs w:val="24"/>
        </w:rPr>
        <w:t>3. Results and Discussion</w:t>
      </w:r>
    </w:p>
    <w:p w14:paraId="3B27489E" w14:textId="77777777" w:rsidR="00E84CFA" w:rsidRPr="009E5F91" w:rsidRDefault="00000000" w:rsidP="009E5F91">
      <w:pPr>
        <w:spacing w:after="200" w:line="360" w:lineRule="auto"/>
        <w:jc w:val="both"/>
        <w:rPr>
          <w:rFonts w:ascii="Times New Roman" w:hAnsi="Times New Roman" w:cs="Times New Roman"/>
          <w:color w:val="000000" w:themeColor="text1"/>
          <w:sz w:val="24"/>
          <w:szCs w:val="24"/>
        </w:rPr>
      </w:pPr>
      <w:r w:rsidRPr="009E5F91">
        <w:rPr>
          <w:rFonts w:ascii="Times New Roman" w:hAnsi="Times New Roman" w:cs="Times New Roman"/>
          <w:i/>
          <w:iCs/>
          <w:color w:val="000000" w:themeColor="text1"/>
          <w:sz w:val="24"/>
          <w:szCs w:val="24"/>
        </w:rPr>
        <w:t>The following results are presented to illustrate the analytical framework described above using representative value ranges and simulated patterns consistent with those commonly reported in the urban air-quality and environmental epidemiology literature. When this framework is applied to a specific city, the illustrative figures and tables below should be replaced with the site's own measured data and model output.</w:t>
      </w:r>
    </w:p>
    <w:p w14:paraId="6D19B574" w14:textId="77777777" w:rsidR="00E84CFA" w:rsidRPr="009E5F91" w:rsidRDefault="00000000" w:rsidP="009E5F91">
      <w:pPr>
        <w:pStyle w:val="Heading2"/>
        <w:spacing w:before="260" w:after="140" w:line="360" w:lineRule="auto"/>
        <w:rPr>
          <w:rFonts w:ascii="Times New Roman" w:hAnsi="Times New Roman" w:cs="Times New Roman"/>
          <w:color w:val="000000" w:themeColor="text1"/>
          <w:sz w:val="24"/>
          <w:szCs w:val="24"/>
        </w:rPr>
      </w:pPr>
      <w:r w:rsidRPr="009E5F91">
        <w:rPr>
          <w:rFonts w:ascii="Times New Roman" w:hAnsi="Times New Roman" w:cs="Times New Roman"/>
          <w:b/>
          <w:bCs/>
          <w:color w:val="000000" w:themeColor="text1"/>
          <w:sz w:val="24"/>
          <w:szCs w:val="24"/>
        </w:rPr>
        <w:t>3.1 Spatial and Temporal Variation of Pollutant Concentrations</w:t>
      </w:r>
    </w:p>
    <w:p w14:paraId="0E531E1A" w14:textId="77777777" w:rsidR="00E84CFA" w:rsidRDefault="00000000" w:rsidP="009E5F91">
      <w:pPr>
        <w:spacing w:after="200" w:line="360" w:lineRule="auto"/>
        <w:jc w:val="both"/>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Consistent with the source archetypes represented by each site, the traffic-dominated location typically exhibits the highest annual mean concentrations of NO2, CO, and PM2.5, reflecting the dominant contribution of vehicular exhaust, while the industrial site tends to show elevated SO2 and PM10 associated with combustion and fugitive dust emissions. The background/control site generally records the lowest concentrations across all pollutants, providing a useful reference for estimating the local (source-attributable) increment at each impacted site. Table 2 summarises typical illustrative annual mean concentrations by site type, expressed relative to WHO (2021) Air Quality Guideline (AQG) levels.</w:t>
      </w:r>
    </w:p>
    <w:p w14:paraId="409CAF77" w14:textId="7E336984" w:rsidR="00E91CEA" w:rsidRPr="00E91CEA" w:rsidRDefault="00E91CEA" w:rsidP="00E91CEA">
      <w:pPr>
        <w:spacing w:before="80" w:after="240"/>
        <w:jc w:val="center"/>
        <w:rPr>
          <w:rFonts w:ascii="Times New Roman" w:hAnsi="Times New Roman" w:cs="Times New Roman"/>
          <w:b/>
          <w:bCs/>
          <w:color w:val="000000" w:themeColor="text1"/>
          <w:sz w:val="24"/>
          <w:szCs w:val="24"/>
        </w:rPr>
      </w:pPr>
      <w:r w:rsidRPr="00E91CEA">
        <w:rPr>
          <w:rFonts w:ascii="Times New Roman" w:hAnsi="Times New Roman" w:cs="Times New Roman"/>
          <w:b/>
          <w:bCs/>
          <w:i/>
          <w:iCs/>
          <w:color w:val="000000" w:themeColor="text1"/>
          <w:sz w:val="24"/>
          <w:szCs w:val="24"/>
        </w:rPr>
        <w:t>Table 2. Illustrative annual mean pollutant concentration ranges by urban site type, relative to WHO (2021) Air Quality Guideline values.</w:t>
      </w:r>
    </w:p>
    <w:tbl>
      <w:tblPr>
        <w:tblW w:w="9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22"/>
        <w:gridCol w:w="1400"/>
        <w:gridCol w:w="1400"/>
        <w:gridCol w:w="1400"/>
        <w:gridCol w:w="1400"/>
        <w:gridCol w:w="1400"/>
      </w:tblGrid>
      <w:tr w:rsidR="00E84CFA" w:rsidRPr="00E91CEA" w14:paraId="6775B329" w14:textId="77777777" w:rsidTr="00E91CEA">
        <w:trPr>
          <w:tblHeader/>
          <w:jc w:val="center"/>
        </w:trPr>
        <w:tc>
          <w:tcPr>
            <w:tcW w:w="2122" w:type="dxa"/>
            <w:shd w:val="clear" w:color="auto" w:fill="A5C9EB" w:themeFill="text2" w:themeFillTint="40"/>
            <w:tcMar>
              <w:top w:w="80" w:type="dxa"/>
              <w:left w:w="100" w:type="dxa"/>
              <w:bottom w:w="80" w:type="dxa"/>
              <w:right w:w="100" w:type="dxa"/>
            </w:tcMar>
          </w:tcPr>
          <w:p w14:paraId="25B681C5"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b/>
                <w:bCs/>
                <w:color w:val="000000" w:themeColor="text1"/>
                <w:sz w:val="20"/>
                <w:szCs w:val="20"/>
              </w:rPr>
              <w:t>Site Type</w:t>
            </w:r>
          </w:p>
        </w:tc>
        <w:tc>
          <w:tcPr>
            <w:tcW w:w="1400" w:type="dxa"/>
            <w:shd w:val="clear" w:color="auto" w:fill="A5C9EB" w:themeFill="text2" w:themeFillTint="40"/>
            <w:tcMar>
              <w:top w:w="80" w:type="dxa"/>
              <w:left w:w="100" w:type="dxa"/>
              <w:bottom w:w="80" w:type="dxa"/>
              <w:right w:w="100" w:type="dxa"/>
            </w:tcMar>
          </w:tcPr>
          <w:p w14:paraId="659D307D"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b/>
                <w:bCs/>
                <w:color w:val="000000" w:themeColor="text1"/>
                <w:sz w:val="20"/>
                <w:szCs w:val="20"/>
              </w:rPr>
              <w:t>PM2.5 (µg/m³)</w:t>
            </w:r>
          </w:p>
        </w:tc>
        <w:tc>
          <w:tcPr>
            <w:tcW w:w="1400" w:type="dxa"/>
            <w:shd w:val="clear" w:color="auto" w:fill="A5C9EB" w:themeFill="text2" w:themeFillTint="40"/>
            <w:tcMar>
              <w:top w:w="80" w:type="dxa"/>
              <w:left w:w="100" w:type="dxa"/>
              <w:bottom w:w="80" w:type="dxa"/>
              <w:right w:w="100" w:type="dxa"/>
            </w:tcMar>
          </w:tcPr>
          <w:p w14:paraId="5A5A2804"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b/>
                <w:bCs/>
                <w:color w:val="000000" w:themeColor="text1"/>
                <w:sz w:val="20"/>
                <w:szCs w:val="20"/>
              </w:rPr>
              <w:t>PM10 (µg/m³)</w:t>
            </w:r>
          </w:p>
        </w:tc>
        <w:tc>
          <w:tcPr>
            <w:tcW w:w="1400" w:type="dxa"/>
            <w:shd w:val="clear" w:color="auto" w:fill="A5C9EB" w:themeFill="text2" w:themeFillTint="40"/>
            <w:tcMar>
              <w:top w:w="80" w:type="dxa"/>
              <w:left w:w="100" w:type="dxa"/>
              <w:bottom w:w="80" w:type="dxa"/>
              <w:right w:w="100" w:type="dxa"/>
            </w:tcMar>
          </w:tcPr>
          <w:p w14:paraId="4FBDFDEA"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b/>
                <w:bCs/>
                <w:color w:val="000000" w:themeColor="text1"/>
                <w:sz w:val="20"/>
                <w:szCs w:val="20"/>
              </w:rPr>
              <w:t>NO2 (µg/m³)</w:t>
            </w:r>
          </w:p>
        </w:tc>
        <w:tc>
          <w:tcPr>
            <w:tcW w:w="1400" w:type="dxa"/>
            <w:shd w:val="clear" w:color="auto" w:fill="A5C9EB" w:themeFill="text2" w:themeFillTint="40"/>
            <w:tcMar>
              <w:top w:w="80" w:type="dxa"/>
              <w:left w:w="100" w:type="dxa"/>
              <w:bottom w:w="80" w:type="dxa"/>
              <w:right w:w="100" w:type="dxa"/>
            </w:tcMar>
          </w:tcPr>
          <w:p w14:paraId="46C2D964"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b/>
                <w:bCs/>
                <w:color w:val="000000" w:themeColor="text1"/>
                <w:sz w:val="20"/>
                <w:szCs w:val="20"/>
              </w:rPr>
              <w:t>SO2 (µg/m³)</w:t>
            </w:r>
          </w:p>
        </w:tc>
        <w:tc>
          <w:tcPr>
            <w:tcW w:w="1400" w:type="dxa"/>
            <w:shd w:val="clear" w:color="auto" w:fill="A5C9EB" w:themeFill="text2" w:themeFillTint="40"/>
            <w:tcMar>
              <w:top w:w="80" w:type="dxa"/>
              <w:left w:w="100" w:type="dxa"/>
              <w:bottom w:w="80" w:type="dxa"/>
              <w:right w:w="100" w:type="dxa"/>
            </w:tcMar>
          </w:tcPr>
          <w:p w14:paraId="3C1AB3EF"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b/>
                <w:bCs/>
                <w:color w:val="000000" w:themeColor="text1"/>
                <w:sz w:val="20"/>
                <w:szCs w:val="20"/>
              </w:rPr>
              <w:t>O3 (µg/m³)</w:t>
            </w:r>
          </w:p>
        </w:tc>
      </w:tr>
      <w:tr w:rsidR="00E84CFA" w:rsidRPr="00E91CEA" w14:paraId="02EE0294" w14:textId="77777777" w:rsidTr="00E91CEA">
        <w:trPr>
          <w:jc w:val="center"/>
        </w:trPr>
        <w:tc>
          <w:tcPr>
            <w:tcW w:w="2122" w:type="dxa"/>
            <w:tcMar>
              <w:top w:w="80" w:type="dxa"/>
              <w:left w:w="100" w:type="dxa"/>
              <w:bottom w:w="80" w:type="dxa"/>
              <w:right w:w="100" w:type="dxa"/>
            </w:tcMar>
          </w:tcPr>
          <w:p w14:paraId="296715D8" w14:textId="77777777" w:rsidR="00E84CFA" w:rsidRPr="00E91CEA" w:rsidRDefault="00000000" w:rsidP="00E91CEA">
            <w:pPr>
              <w:contextualSpacing/>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Traffic-dominated</w:t>
            </w:r>
          </w:p>
        </w:tc>
        <w:tc>
          <w:tcPr>
            <w:tcW w:w="1400" w:type="dxa"/>
            <w:tcMar>
              <w:top w:w="80" w:type="dxa"/>
              <w:left w:w="100" w:type="dxa"/>
              <w:bottom w:w="80" w:type="dxa"/>
              <w:right w:w="100" w:type="dxa"/>
            </w:tcMar>
          </w:tcPr>
          <w:p w14:paraId="72BDD329"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38–52</w:t>
            </w:r>
          </w:p>
        </w:tc>
        <w:tc>
          <w:tcPr>
            <w:tcW w:w="1400" w:type="dxa"/>
            <w:tcMar>
              <w:top w:w="80" w:type="dxa"/>
              <w:left w:w="100" w:type="dxa"/>
              <w:bottom w:w="80" w:type="dxa"/>
              <w:right w:w="100" w:type="dxa"/>
            </w:tcMar>
          </w:tcPr>
          <w:p w14:paraId="775AC7F9"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62–85</w:t>
            </w:r>
          </w:p>
        </w:tc>
        <w:tc>
          <w:tcPr>
            <w:tcW w:w="1400" w:type="dxa"/>
            <w:tcMar>
              <w:top w:w="80" w:type="dxa"/>
              <w:left w:w="100" w:type="dxa"/>
              <w:bottom w:w="80" w:type="dxa"/>
              <w:right w:w="100" w:type="dxa"/>
            </w:tcMar>
          </w:tcPr>
          <w:p w14:paraId="70B693DD"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48–65</w:t>
            </w:r>
          </w:p>
        </w:tc>
        <w:tc>
          <w:tcPr>
            <w:tcW w:w="1400" w:type="dxa"/>
            <w:tcMar>
              <w:top w:w="80" w:type="dxa"/>
              <w:left w:w="100" w:type="dxa"/>
              <w:bottom w:w="80" w:type="dxa"/>
              <w:right w:w="100" w:type="dxa"/>
            </w:tcMar>
          </w:tcPr>
          <w:p w14:paraId="27538198"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10–18</w:t>
            </w:r>
          </w:p>
        </w:tc>
        <w:tc>
          <w:tcPr>
            <w:tcW w:w="1400" w:type="dxa"/>
            <w:tcMar>
              <w:top w:w="80" w:type="dxa"/>
              <w:left w:w="100" w:type="dxa"/>
              <w:bottom w:w="80" w:type="dxa"/>
              <w:right w:w="100" w:type="dxa"/>
            </w:tcMar>
          </w:tcPr>
          <w:p w14:paraId="499F64E2"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35–48</w:t>
            </w:r>
          </w:p>
        </w:tc>
      </w:tr>
      <w:tr w:rsidR="00E84CFA" w:rsidRPr="00E91CEA" w14:paraId="7182356F" w14:textId="77777777" w:rsidTr="00E91CEA">
        <w:trPr>
          <w:jc w:val="center"/>
        </w:trPr>
        <w:tc>
          <w:tcPr>
            <w:tcW w:w="2122" w:type="dxa"/>
            <w:tcMar>
              <w:top w:w="80" w:type="dxa"/>
              <w:left w:w="100" w:type="dxa"/>
              <w:bottom w:w="80" w:type="dxa"/>
              <w:right w:w="100" w:type="dxa"/>
            </w:tcMar>
          </w:tcPr>
          <w:p w14:paraId="7FE59E63" w14:textId="77777777" w:rsidR="00E84CFA" w:rsidRPr="00E91CEA" w:rsidRDefault="00000000" w:rsidP="00E91CEA">
            <w:pPr>
              <w:contextualSpacing/>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Industrial</w:t>
            </w:r>
          </w:p>
        </w:tc>
        <w:tc>
          <w:tcPr>
            <w:tcW w:w="1400" w:type="dxa"/>
            <w:tcMar>
              <w:top w:w="80" w:type="dxa"/>
              <w:left w:w="100" w:type="dxa"/>
              <w:bottom w:w="80" w:type="dxa"/>
              <w:right w:w="100" w:type="dxa"/>
            </w:tcMar>
          </w:tcPr>
          <w:p w14:paraId="26FA25C5"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30–42</w:t>
            </w:r>
          </w:p>
        </w:tc>
        <w:tc>
          <w:tcPr>
            <w:tcW w:w="1400" w:type="dxa"/>
            <w:tcMar>
              <w:top w:w="80" w:type="dxa"/>
              <w:left w:w="100" w:type="dxa"/>
              <w:bottom w:w="80" w:type="dxa"/>
              <w:right w:w="100" w:type="dxa"/>
            </w:tcMar>
          </w:tcPr>
          <w:p w14:paraId="6587AD0A"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58–78</w:t>
            </w:r>
          </w:p>
        </w:tc>
        <w:tc>
          <w:tcPr>
            <w:tcW w:w="1400" w:type="dxa"/>
            <w:tcMar>
              <w:top w:w="80" w:type="dxa"/>
              <w:left w:w="100" w:type="dxa"/>
              <w:bottom w:w="80" w:type="dxa"/>
              <w:right w:w="100" w:type="dxa"/>
            </w:tcMar>
          </w:tcPr>
          <w:p w14:paraId="2106347F"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28–40</w:t>
            </w:r>
          </w:p>
        </w:tc>
        <w:tc>
          <w:tcPr>
            <w:tcW w:w="1400" w:type="dxa"/>
            <w:tcMar>
              <w:top w:w="80" w:type="dxa"/>
              <w:left w:w="100" w:type="dxa"/>
              <w:bottom w:w="80" w:type="dxa"/>
              <w:right w:w="100" w:type="dxa"/>
            </w:tcMar>
          </w:tcPr>
          <w:p w14:paraId="0618BA24"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18–28</w:t>
            </w:r>
          </w:p>
        </w:tc>
        <w:tc>
          <w:tcPr>
            <w:tcW w:w="1400" w:type="dxa"/>
            <w:tcMar>
              <w:top w:w="80" w:type="dxa"/>
              <w:left w:w="100" w:type="dxa"/>
              <w:bottom w:w="80" w:type="dxa"/>
              <w:right w:w="100" w:type="dxa"/>
            </w:tcMar>
          </w:tcPr>
          <w:p w14:paraId="7DA9ADEC"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38–50</w:t>
            </w:r>
          </w:p>
        </w:tc>
      </w:tr>
      <w:tr w:rsidR="00E84CFA" w:rsidRPr="00E91CEA" w14:paraId="151D8975" w14:textId="77777777" w:rsidTr="00E91CEA">
        <w:trPr>
          <w:jc w:val="center"/>
        </w:trPr>
        <w:tc>
          <w:tcPr>
            <w:tcW w:w="2122" w:type="dxa"/>
            <w:tcMar>
              <w:top w:w="80" w:type="dxa"/>
              <w:left w:w="100" w:type="dxa"/>
              <w:bottom w:w="80" w:type="dxa"/>
              <w:right w:w="100" w:type="dxa"/>
            </w:tcMar>
          </w:tcPr>
          <w:p w14:paraId="2B48E986" w14:textId="77777777" w:rsidR="00E84CFA" w:rsidRPr="00E91CEA" w:rsidRDefault="00000000" w:rsidP="00E91CEA">
            <w:pPr>
              <w:contextualSpacing/>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Commercial/CBD</w:t>
            </w:r>
          </w:p>
        </w:tc>
        <w:tc>
          <w:tcPr>
            <w:tcW w:w="1400" w:type="dxa"/>
            <w:tcMar>
              <w:top w:w="80" w:type="dxa"/>
              <w:left w:w="100" w:type="dxa"/>
              <w:bottom w:w="80" w:type="dxa"/>
              <w:right w:w="100" w:type="dxa"/>
            </w:tcMar>
          </w:tcPr>
          <w:p w14:paraId="27337972"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26–34</w:t>
            </w:r>
          </w:p>
        </w:tc>
        <w:tc>
          <w:tcPr>
            <w:tcW w:w="1400" w:type="dxa"/>
            <w:tcMar>
              <w:top w:w="80" w:type="dxa"/>
              <w:left w:w="100" w:type="dxa"/>
              <w:bottom w:w="80" w:type="dxa"/>
              <w:right w:w="100" w:type="dxa"/>
            </w:tcMar>
          </w:tcPr>
          <w:p w14:paraId="7CC6D3FE"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45–58</w:t>
            </w:r>
          </w:p>
        </w:tc>
        <w:tc>
          <w:tcPr>
            <w:tcW w:w="1400" w:type="dxa"/>
            <w:tcMar>
              <w:top w:w="80" w:type="dxa"/>
              <w:left w:w="100" w:type="dxa"/>
              <w:bottom w:w="80" w:type="dxa"/>
              <w:right w:w="100" w:type="dxa"/>
            </w:tcMar>
          </w:tcPr>
          <w:p w14:paraId="72BF9F59"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30–42</w:t>
            </w:r>
          </w:p>
        </w:tc>
        <w:tc>
          <w:tcPr>
            <w:tcW w:w="1400" w:type="dxa"/>
            <w:tcMar>
              <w:top w:w="80" w:type="dxa"/>
              <w:left w:w="100" w:type="dxa"/>
              <w:bottom w:w="80" w:type="dxa"/>
              <w:right w:w="100" w:type="dxa"/>
            </w:tcMar>
          </w:tcPr>
          <w:p w14:paraId="3C50FEB6"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8–14</w:t>
            </w:r>
          </w:p>
        </w:tc>
        <w:tc>
          <w:tcPr>
            <w:tcW w:w="1400" w:type="dxa"/>
            <w:tcMar>
              <w:top w:w="80" w:type="dxa"/>
              <w:left w:w="100" w:type="dxa"/>
              <w:bottom w:w="80" w:type="dxa"/>
              <w:right w:w="100" w:type="dxa"/>
            </w:tcMar>
          </w:tcPr>
          <w:p w14:paraId="0A485CD2"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40–55</w:t>
            </w:r>
          </w:p>
        </w:tc>
      </w:tr>
      <w:tr w:rsidR="00E84CFA" w:rsidRPr="00E91CEA" w14:paraId="7C81182B" w14:textId="77777777" w:rsidTr="00E91CEA">
        <w:trPr>
          <w:jc w:val="center"/>
        </w:trPr>
        <w:tc>
          <w:tcPr>
            <w:tcW w:w="2122" w:type="dxa"/>
            <w:tcMar>
              <w:top w:w="80" w:type="dxa"/>
              <w:left w:w="100" w:type="dxa"/>
              <w:bottom w:w="80" w:type="dxa"/>
              <w:right w:w="100" w:type="dxa"/>
            </w:tcMar>
          </w:tcPr>
          <w:p w14:paraId="292F0494" w14:textId="77777777" w:rsidR="00E84CFA" w:rsidRPr="00E91CEA" w:rsidRDefault="00000000" w:rsidP="00E91CEA">
            <w:pPr>
              <w:contextualSpacing/>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Residential</w:t>
            </w:r>
          </w:p>
        </w:tc>
        <w:tc>
          <w:tcPr>
            <w:tcW w:w="1400" w:type="dxa"/>
            <w:tcMar>
              <w:top w:w="80" w:type="dxa"/>
              <w:left w:w="100" w:type="dxa"/>
              <w:bottom w:w="80" w:type="dxa"/>
              <w:right w:w="100" w:type="dxa"/>
            </w:tcMar>
          </w:tcPr>
          <w:p w14:paraId="0BCF68A7"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20–28</w:t>
            </w:r>
          </w:p>
        </w:tc>
        <w:tc>
          <w:tcPr>
            <w:tcW w:w="1400" w:type="dxa"/>
            <w:tcMar>
              <w:top w:w="80" w:type="dxa"/>
              <w:left w:w="100" w:type="dxa"/>
              <w:bottom w:w="80" w:type="dxa"/>
              <w:right w:w="100" w:type="dxa"/>
            </w:tcMar>
          </w:tcPr>
          <w:p w14:paraId="2EEE7BB4"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38–50</w:t>
            </w:r>
          </w:p>
        </w:tc>
        <w:tc>
          <w:tcPr>
            <w:tcW w:w="1400" w:type="dxa"/>
            <w:tcMar>
              <w:top w:w="80" w:type="dxa"/>
              <w:left w:w="100" w:type="dxa"/>
              <w:bottom w:w="80" w:type="dxa"/>
              <w:right w:w="100" w:type="dxa"/>
            </w:tcMar>
          </w:tcPr>
          <w:p w14:paraId="0E0C623D"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18–26</w:t>
            </w:r>
          </w:p>
        </w:tc>
        <w:tc>
          <w:tcPr>
            <w:tcW w:w="1400" w:type="dxa"/>
            <w:tcMar>
              <w:top w:w="80" w:type="dxa"/>
              <w:left w:w="100" w:type="dxa"/>
              <w:bottom w:w="80" w:type="dxa"/>
              <w:right w:w="100" w:type="dxa"/>
            </w:tcMar>
          </w:tcPr>
          <w:p w14:paraId="0C217A55"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6–10</w:t>
            </w:r>
          </w:p>
        </w:tc>
        <w:tc>
          <w:tcPr>
            <w:tcW w:w="1400" w:type="dxa"/>
            <w:tcMar>
              <w:top w:w="80" w:type="dxa"/>
              <w:left w:w="100" w:type="dxa"/>
              <w:bottom w:w="80" w:type="dxa"/>
              <w:right w:w="100" w:type="dxa"/>
            </w:tcMar>
          </w:tcPr>
          <w:p w14:paraId="7B5EBCE2"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42–58</w:t>
            </w:r>
          </w:p>
        </w:tc>
      </w:tr>
      <w:tr w:rsidR="00E84CFA" w:rsidRPr="00E91CEA" w14:paraId="66E11AD7" w14:textId="77777777" w:rsidTr="00E91CEA">
        <w:trPr>
          <w:jc w:val="center"/>
        </w:trPr>
        <w:tc>
          <w:tcPr>
            <w:tcW w:w="2122" w:type="dxa"/>
            <w:tcMar>
              <w:top w:w="80" w:type="dxa"/>
              <w:left w:w="100" w:type="dxa"/>
              <w:bottom w:w="80" w:type="dxa"/>
              <w:right w:w="100" w:type="dxa"/>
            </w:tcMar>
          </w:tcPr>
          <w:p w14:paraId="7F892360" w14:textId="77777777" w:rsidR="00E84CFA" w:rsidRPr="00E91CEA" w:rsidRDefault="00000000" w:rsidP="00E91CEA">
            <w:pPr>
              <w:contextualSpacing/>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lastRenderedPageBreak/>
              <w:t>Background/control</w:t>
            </w:r>
          </w:p>
        </w:tc>
        <w:tc>
          <w:tcPr>
            <w:tcW w:w="1400" w:type="dxa"/>
            <w:tcMar>
              <w:top w:w="80" w:type="dxa"/>
              <w:left w:w="100" w:type="dxa"/>
              <w:bottom w:w="80" w:type="dxa"/>
              <w:right w:w="100" w:type="dxa"/>
            </w:tcMar>
          </w:tcPr>
          <w:p w14:paraId="4B1F2085"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12–18</w:t>
            </w:r>
          </w:p>
        </w:tc>
        <w:tc>
          <w:tcPr>
            <w:tcW w:w="1400" w:type="dxa"/>
            <w:tcMar>
              <w:top w:w="80" w:type="dxa"/>
              <w:left w:w="100" w:type="dxa"/>
              <w:bottom w:w="80" w:type="dxa"/>
              <w:right w:w="100" w:type="dxa"/>
            </w:tcMar>
          </w:tcPr>
          <w:p w14:paraId="042F77E5"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22–32</w:t>
            </w:r>
          </w:p>
        </w:tc>
        <w:tc>
          <w:tcPr>
            <w:tcW w:w="1400" w:type="dxa"/>
            <w:tcMar>
              <w:top w:w="80" w:type="dxa"/>
              <w:left w:w="100" w:type="dxa"/>
              <w:bottom w:w="80" w:type="dxa"/>
              <w:right w:w="100" w:type="dxa"/>
            </w:tcMar>
          </w:tcPr>
          <w:p w14:paraId="2C173D0C"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10–16</w:t>
            </w:r>
          </w:p>
        </w:tc>
        <w:tc>
          <w:tcPr>
            <w:tcW w:w="1400" w:type="dxa"/>
            <w:tcMar>
              <w:top w:w="80" w:type="dxa"/>
              <w:left w:w="100" w:type="dxa"/>
              <w:bottom w:w="80" w:type="dxa"/>
              <w:right w:w="100" w:type="dxa"/>
            </w:tcMar>
          </w:tcPr>
          <w:p w14:paraId="128DB953"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3–6</w:t>
            </w:r>
          </w:p>
        </w:tc>
        <w:tc>
          <w:tcPr>
            <w:tcW w:w="1400" w:type="dxa"/>
            <w:tcMar>
              <w:top w:w="80" w:type="dxa"/>
              <w:left w:w="100" w:type="dxa"/>
              <w:bottom w:w="80" w:type="dxa"/>
              <w:right w:w="100" w:type="dxa"/>
            </w:tcMar>
          </w:tcPr>
          <w:p w14:paraId="620B4EF6"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45–60</w:t>
            </w:r>
          </w:p>
        </w:tc>
      </w:tr>
      <w:tr w:rsidR="00E84CFA" w:rsidRPr="00E91CEA" w14:paraId="321E8DC2" w14:textId="77777777" w:rsidTr="00E91CEA">
        <w:trPr>
          <w:jc w:val="center"/>
        </w:trPr>
        <w:tc>
          <w:tcPr>
            <w:tcW w:w="2122" w:type="dxa"/>
            <w:tcMar>
              <w:top w:w="80" w:type="dxa"/>
              <w:left w:w="100" w:type="dxa"/>
              <w:bottom w:w="80" w:type="dxa"/>
              <w:right w:w="100" w:type="dxa"/>
            </w:tcMar>
          </w:tcPr>
          <w:p w14:paraId="64CFA463" w14:textId="77777777" w:rsidR="00E84CFA" w:rsidRPr="00E91CEA" w:rsidRDefault="00000000" w:rsidP="00E91CEA">
            <w:pPr>
              <w:contextualSpacing/>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WHO AQG (annual)</w:t>
            </w:r>
          </w:p>
        </w:tc>
        <w:tc>
          <w:tcPr>
            <w:tcW w:w="1400" w:type="dxa"/>
            <w:tcMar>
              <w:top w:w="80" w:type="dxa"/>
              <w:left w:w="100" w:type="dxa"/>
              <w:bottom w:w="80" w:type="dxa"/>
              <w:right w:w="100" w:type="dxa"/>
            </w:tcMar>
          </w:tcPr>
          <w:p w14:paraId="0CE25497"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5</w:t>
            </w:r>
          </w:p>
        </w:tc>
        <w:tc>
          <w:tcPr>
            <w:tcW w:w="1400" w:type="dxa"/>
            <w:tcMar>
              <w:top w:w="80" w:type="dxa"/>
              <w:left w:w="100" w:type="dxa"/>
              <w:bottom w:w="80" w:type="dxa"/>
              <w:right w:w="100" w:type="dxa"/>
            </w:tcMar>
          </w:tcPr>
          <w:p w14:paraId="61D3EA89"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15</w:t>
            </w:r>
          </w:p>
        </w:tc>
        <w:tc>
          <w:tcPr>
            <w:tcW w:w="1400" w:type="dxa"/>
            <w:tcMar>
              <w:top w:w="80" w:type="dxa"/>
              <w:left w:w="100" w:type="dxa"/>
              <w:bottom w:w="80" w:type="dxa"/>
              <w:right w:w="100" w:type="dxa"/>
            </w:tcMar>
          </w:tcPr>
          <w:p w14:paraId="19D98721"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10</w:t>
            </w:r>
          </w:p>
        </w:tc>
        <w:tc>
          <w:tcPr>
            <w:tcW w:w="1400" w:type="dxa"/>
            <w:tcMar>
              <w:top w:w="80" w:type="dxa"/>
              <w:left w:w="100" w:type="dxa"/>
              <w:bottom w:w="80" w:type="dxa"/>
              <w:right w:w="100" w:type="dxa"/>
            </w:tcMar>
          </w:tcPr>
          <w:p w14:paraId="4921AC0B"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40</w:t>
            </w:r>
          </w:p>
        </w:tc>
        <w:tc>
          <w:tcPr>
            <w:tcW w:w="1400" w:type="dxa"/>
            <w:tcMar>
              <w:top w:w="80" w:type="dxa"/>
              <w:left w:w="100" w:type="dxa"/>
              <w:bottom w:w="80" w:type="dxa"/>
              <w:right w:w="100" w:type="dxa"/>
            </w:tcMar>
          </w:tcPr>
          <w:p w14:paraId="2BD1FE89" w14:textId="77777777" w:rsidR="00E84CFA" w:rsidRPr="00E91CEA" w:rsidRDefault="00000000" w:rsidP="00E91CEA">
            <w:pPr>
              <w:contextualSpacing/>
              <w:jc w:val="center"/>
              <w:rPr>
                <w:rFonts w:ascii="Times New Roman" w:hAnsi="Times New Roman" w:cs="Times New Roman"/>
                <w:color w:val="000000" w:themeColor="text1"/>
                <w:sz w:val="20"/>
                <w:szCs w:val="20"/>
              </w:rPr>
            </w:pPr>
            <w:r w:rsidRPr="00E91CEA">
              <w:rPr>
                <w:rFonts w:ascii="Times New Roman" w:hAnsi="Times New Roman" w:cs="Times New Roman"/>
                <w:color w:val="000000" w:themeColor="text1"/>
                <w:sz w:val="20"/>
                <w:szCs w:val="20"/>
              </w:rPr>
              <w:t>60 (peak-season 8-h)</w:t>
            </w:r>
          </w:p>
        </w:tc>
      </w:tr>
    </w:tbl>
    <w:p w14:paraId="3468B678" w14:textId="77777777" w:rsidR="00E91CEA" w:rsidRDefault="00E91CEA" w:rsidP="009E5F91">
      <w:pPr>
        <w:spacing w:after="200" w:line="360" w:lineRule="auto"/>
        <w:jc w:val="both"/>
        <w:rPr>
          <w:rFonts w:ascii="Times New Roman" w:hAnsi="Times New Roman" w:cs="Times New Roman"/>
          <w:color w:val="000000" w:themeColor="text1"/>
          <w:sz w:val="24"/>
          <w:szCs w:val="24"/>
        </w:rPr>
      </w:pPr>
    </w:p>
    <w:p w14:paraId="4E239E14" w14:textId="1563E584" w:rsidR="00E84CFA" w:rsidRPr="009E5F91" w:rsidRDefault="00000000" w:rsidP="009E5F91">
      <w:pPr>
        <w:spacing w:after="200" w:line="360" w:lineRule="auto"/>
        <w:jc w:val="both"/>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These patterns are consistent with the well-documented decay gradient of traffic-related pollutants with distance from major roads (Karner et al., 2010) and confirm that annual mean PM2.5 at traffic and industrial sites would be expected to exceed the WHO AQG of 5 µg/m³ by a wide margin — a finding broadly consistent with monitoring data from most large cities globally, where fewer than 10% of urban populations reside in areas meeting the revised 2021 WHO guideline (WHO, 2021). Figure 3 illustrates the corresponding diurnal cycle at the traffic-dominated site, and Figure 4 shows the seasonal distribution of PM2.5 across all five site types.</w:t>
      </w:r>
    </w:p>
    <w:p w14:paraId="47744BB1" w14:textId="77777777" w:rsidR="00E84CFA" w:rsidRPr="009E5F91" w:rsidRDefault="00000000" w:rsidP="009E5F91">
      <w:pPr>
        <w:spacing w:before="200" w:after="60" w:line="360" w:lineRule="auto"/>
        <w:jc w:val="center"/>
        <w:rPr>
          <w:rFonts w:ascii="Times New Roman" w:hAnsi="Times New Roman" w:cs="Times New Roman"/>
          <w:color w:val="000000" w:themeColor="text1"/>
          <w:sz w:val="24"/>
          <w:szCs w:val="24"/>
        </w:rPr>
      </w:pPr>
      <w:r w:rsidRPr="009E5F91">
        <w:rPr>
          <w:rFonts w:ascii="Times New Roman" w:hAnsi="Times New Roman" w:cs="Times New Roman"/>
          <w:noProof/>
          <w:color w:val="000000" w:themeColor="text1"/>
          <w:sz w:val="24"/>
          <w:szCs w:val="24"/>
        </w:rPr>
        <w:drawing>
          <wp:inline distT="0" distB="0" distL="0" distR="0" wp14:anchorId="7E24B0C1" wp14:editId="609DEA40">
            <wp:extent cx="5486400" cy="3000375"/>
            <wp:effectExtent l="0" t="0" r="0" b="0"/>
            <wp:docPr id="2107081646" name="Picture 210708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5486400" cy="3000375"/>
                    </a:xfrm>
                    <a:prstGeom prst="rect">
                      <a:avLst/>
                    </a:prstGeom>
                  </pic:spPr>
                </pic:pic>
              </a:graphicData>
            </a:graphic>
          </wp:inline>
        </w:drawing>
      </w:r>
    </w:p>
    <w:p w14:paraId="5388AAC1" w14:textId="77777777" w:rsidR="00E84CFA" w:rsidRDefault="00000000" w:rsidP="009E5F91">
      <w:pPr>
        <w:spacing w:before="80" w:after="240" w:line="360" w:lineRule="auto"/>
        <w:jc w:val="center"/>
        <w:rPr>
          <w:rFonts w:ascii="Times New Roman" w:hAnsi="Times New Roman" w:cs="Times New Roman"/>
          <w:b/>
          <w:bCs/>
          <w:i/>
          <w:iCs/>
          <w:color w:val="000000" w:themeColor="text1"/>
          <w:sz w:val="24"/>
          <w:szCs w:val="24"/>
        </w:rPr>
      </w:pPr>
      <w:r w:rsidRPr="00E91CEA">
        <w:rPr>
          <w:rFonts w:ascii="Times New Roman" w:hAnsi="Times New Roman" w:cs="Times New Roman"/>
          <w:b/>
          <w:bCs/>
          <w:i/>
          <w:iCs/>
          <w:color w:val="000000" w:themeColor="text1"/>
          <w:sz w:val="24"/>
          <w:szCs w:val="24"/>
        </w:rPr>
        <w:t>Figure 3. Illustrative diurnal pollutant concentration profiles showing bimodal traffic-related peaks for PM2.5/NO2 and a single midday photochemical peak for O3 (traffic-dominated site, annual average).</w:t>
      </w:r>
    </w:p>
    <w:p w14:paraId="483E9297" w14:textId="77777777" w:rsidR="00E91CEA" w:rsidRDefault="00E91CEA" w:rsidP="009E5F91">
      <w:pPr>
        <w:spacing w:before="80" w:after="240" w:line="360" w:lineRule="auto"/>
        <w:jc w:val="center"/>
        <w:rPr>
          <w:rFonts w:ascii="Times New Roman" w:hAnsi="Times New Roman" w:cs="Times New Roman"/>
          <w:b/>
          <w:bCs/>
          <w:i/>
          <w:iCs/>
          <w:color w:val="000000" w:themeColor="text1"/>
          <w:sz w:val="24"/>
          <w:szCs w:val="24"/>
        </w:rPr>
      </w:pPr>
    </w:p>
    <w:p w14:paraId="141A11F3" w14:textId="77777777" w:rsidR="00E91CEA" w:rsidRPr="00E91CEA" w:rsidRDefault="00E91CEA" w:rsidP="009E5F91">
      <w:pPr>
        <w:spacing w:before="80" w:after="240" w:line="360" w:lineRule="auto"/>
        <w:jc w:val="center"/>
        <w:rPr>
          <w:rFonts w:ascii="Times New Roman" w:hAnsi="Times New Roman" w:cs="Times New Roman"/>
          <w:b/>
          <w:bCs/>
          <w:color w:val="000000" w:themeColor="text1"/>
          <w:sz w:val="24"/>
          <w:szCs w:val="24"/>
        </w:rPr>
      </w:pPr>
    </w:p>
    <w:p w14:paraId="3D0B85B4" w14:textId="77777777" w:rsidR="00E84CFA" w:rsidRPr="009E5F91" w:rsidRDefault="00000000" w:rsidP="009E5F91">
      <w:pPr>
        <w:pStyle w:val="Heading2"/>
        <w:spacing w:before="260" w:after="140" w:line="360" w:lineRule="auto"/>
        <w:rPr>
          <w:rFonts w:ascii="Times New Roman" w:hAnsi="Times New Roman" w:cs="Times New Roman"/>
          <w:color w:val="000000" w:themeColor="text1"/>
          <w:sz w:val="24"/>
          <w:szCs w:val="24"/>
        </w:rPr>
      </w:pPr>
      <w:r w:rsidRPr="009E5F91">
        <w:rPr>
          <w:rFonts w:ascii="Times New Roman" w:hAnsi="Times New Roman" w:cs="Times New Roman"/>
          <w:b/>
          <w:bCs/>
          <w:color w:val="000000" w:themeColor="text1"/>
          <w:sz w:val="24"/>
          <w:szCs w:val="24"/>
        </w:rPr>
        <w:lastRenderedPageBreak/>
        <w:t>3.2 Diurnal and Seasonal Dynamics</w:t>
      </w:r>
    </w:p>
    <w:p w14:paraId="7E153130" w14:textId="77777777" w:rsidR="00E84CFA" w:rsidRPr="009E5F91" w:rsidRDefault="00000000" w:rsidP="009E5F91">
      <w:pPr>
        <w:spacing w:after="200" w:line="360" w:lineRule="auto"/>
        <w:jc w:val="both"/>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Pollutant time series typically display characteristic bimodal diurnal peaks coinciding with morning and evening traffic rush hours for NO2 and CO, while PM2.5 shows a broader diurnal pattern influenced additionally by domestic heating/</w:t>
      </w:r>
      <w:proofErr w:type="spellStart"/>
      <w:r w:rsidRPr="009E5F91">
        <w:rPr>
          <w:rFonts w:ascii="Times New Roman" w:hAnsi="Times New Roman" w:cs="Times New Roman"/>
          <w:color w:val="000000" w:themeColor="text1"/>
          <w:sz w:val="24"/>
          <w:szCs w:val="24"/>
        </w:rPr>
        <w:t>cooking</w:t>
      </w:r>
      <w:proofErr w:type="spellEnd"/>
      <w:r w:rsidRPr="009E5F91">
        <w:rPr>
          <w:rFonts w:ascii="Times New Roman" w:hAnsi="Times New Roman" w:cs="Times New Roman"/>
          <w:color w:val="000000" w:themeColor="text1"/>
          <w:sz w:val="24"/>
          <w:szCs w:val="24"/>
        </w:rPr>
        <w:t xml:space="preserve"> emissions and nocturnal boundary-layer collapse, which traps pollutants near the surface. O3, being a secondary photochemical pollutant, peaks in the early-to-mid afternoon and is anti-correlated with NO2 due to titration chemistry near strong NOx sources (Figure 3). Seasonally, particulate matter and SO2 concentrations are generally highest during cooler months, associated with increased combustion for heating, greater atmospheric stability, and lower mixing-layer height, whereas O3 peaks during warmer, sunnier months when photochemical production is most active (Figure 4). These dynamics reinforce the importance of including smooth temporal terms and meteorological covariates in the health-effect models, since failure to adjust for shared seasonality between pollution and respiratory/cardiovascular admissions (e.g., winter respiratory infections) can otherwise produce spurious associations.</w:t>
      </w:r>
    </w:p>
    <w:p w14:paraId="0E0D06BC" w14:textId="77777777" w:rsidR="00E84CFA" w:rsidRPr="009E5F91" w:rsidRDefault="00000000" w:rsidP="009E5F91">
      <w:pPr>
        <w:spacing w:before="200" w:after="60" w:line="360" w:lineRule="auto"/>
        <w:jc w:val="center"/>
        <w:rPr>
          <w:rFonts w:ascii="Times New Roman" w:hAnsi="Times New Roman" w:cs="Times New Roman"/>
          <w:color w:val="000000" w:themeColor="text1"/>
          <w:sz w:val="24"/>
          <w:szCs w:val="24"/>
        </w:rPr>
      </w:pPr>
      <w:r w:rsidRPr="009E5F91">
        <w:rPr>
          <w:rFonts w:ascii="Times New Roman" w:hAnsi="Times New Roman" w:cs="Times New Roman"/>
          <w:noProof/>
          <w:color w:val="000000" w:themeColor="text1"/>
          <w:sz w:val="24"/>
          <w:szCs w:val="24"/>
        </w:rPr>
        <w:drawing>
          <wp:inline distT="0" distB="0" distL="0" distR="0" wp14:anchorId="2530891F" wp14:editId="52092501">
            <wp:extent cx="5486400" cy="3105150"/>
            <wp:effectExtent l="0" t="0" r="0" b="0"/>
            <wp:docPr id="823707818" name="Picture 823707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5486400" cy="3105150"/>
                    </a:xfrm>
                    <a:prstGeom prst="rect">
                      <a:avLst/>
                    </a:prstGeom>
                  </pic:spPr>
                </pic:pic>
              </a:graphicData>
            </a:graphic>
          </wp:inline>
        </w:drawing>
      </w:r>
    </w:p>
    <w:p w14:paraId="24C81D5C" w14:textId="77777777" w:rsidR="00E84CFA" w:rsidRDefault="00000000" w:rsidP="009E5F91">
      <w:pPr>
        <w:spacing w:before="80" w:after="240" w:line="360" w:lineRule="auto"/>
        <w:jc w:val="center"/>
        <w:rPr>
          <w:rFonts w:ascii="Times New Roman" w:hAnsi="Times New Roman" w:cs="Times New Roman"/>
          <w:b/>
          <w:bCs/>
          <w:i/>
          <w:iCs/>
          <w:color w:val="000000" w:themeColor="text1"/>
          <w:sz w:val="24"/>
          <w:szCs w:val="24"/>
        </w:rPr>
      </w:pPr>
      <w:r w:rsidRPr="00E91CEA">
        <w:rPr>
          <w:rFonts w:ascii="Times New Roman" w:hAnsi="Times New Roman" w:cs="Times New Roman"/>
          <w:b/>
          <w:bCs/>
          <w:i/>
          <w:iCs/>
          <w:color w:val="000000" w:themeColor="text1"/>
          <w:sz w:val="24"/>
          <w:szCs w:val="24"/>
        </w:rPr>
        <w:t>Figure 4. Illustrative seasonal distribution of daily mean PM2.5 concentrations across the five monitoring site types, referenced against WHO Air Quality Guideline levels.</w:t>
      </w:r>
    </w:p>
    <w:p w14:paraId="0027D3B0" w14:textId="77777777" w:rsidR="00E91CEA" w:rsidRDefault="00E91CEA" w:rsidP="009E5F91">
      <w:pPr>
        <w:spacing w:before="80" w:after="240" w:line="360" w:lineRule="auto"/>
        <w:jc w:val="center"/>
        <w:rPr>
          <w:rFonts w:ascii="Times New Roman" w:hAnsi="Times New Roman" w:cs="Times New Roman"/>
          <w:b/>
          <w:bCs/>
          <w:i/>
          <w:iCs/>
          <w:color w:val="000000" w:themeColor="text1"/>
          <w:sz w:val="24"/>
          <w:szCs w:val="24"/>
        </w:rPr>
      </w:pPr>
    </w:p>
    <w:p w14:paraId="3A3A4E84" w14:textId="77777777" w:rsidR="00E91CEA" w:rsidRPr="00E91CEA" w:rsidRDefault="00E91CEA" w:rsidP="009E5F91">
      <w:pPr>
        <w:spacing w:before="80" w:after="240" w:line="360" w:lineRule="auto"/>
        <w:jc w:val="center"/>
        <w:rPr>
          <w:rFonts w:ascii="Times New Roman" w:hAnsi="Times New Roman" w:cs="Times New Roman"/>
          <w:b/>
          <w:bCs/>
          <w:color w:val="000000" w:themeColor="text1"/>
          <w:sz w:val="24"/>
          <w:szCs w:val="24"/>
        </w:rPr>
      </w:pPr>
    </w:p>
    <w:p w14:paraId="2C1B1BB4" w14:textId="77777777" w:rsidR="00E84CFA" w:rsidRPr="009E5F91" w:rsidRDefault="00000000" w:rsidP="009E5F91">
      <w:pPr>
        <w:pStyle w:val="Heading2"/>
        <w:spacing w:before="260" w:after="140" w:line="360" w:lineRule="auto"/>
        <w:rPr>
          <w:rFonts w:ascii="Times New Roman" w:hAnsi="Times New Roman" w:cs="Times New Roman"/>
          <w:color w:val="000000" w:themeColor="text1"/>
          <w:sz w:val="24"/>
          <w:szCs w:val="24"/>
        </w:rPr>
      </w:pPr>
      <w:r w:rsidRPr="009E5F91">
        <w:rPr>
          <w:rFonts w:ascii="Times New Roman" w:hAnsi="Times New Roman" w:cs="Times New Roman"/>
          <w:b/>
          <w:bCs/>
          <w:color w:val="000000" w:themeColor="text1"/>
          <w:sz w:val="24"/>
          <w:szCs w:val="24"/>
        </w:rPr>
        <w:lastRenderedPageBreak/>
        <w:t>3.3 Composite Air Quality Index Patterns</w:t>
      </w:r>
    </w:p>
    <w:p w14:paraId="27029498" w14:textId="77777777" w:rsidR="00E84CFA" w:rsidRPr="009E5F91" w:rsidRDefault="00000000" w:rsidP="009E5F91">
      <w:pPr>
        <w:spacing w:after="200" w:line="360" w:lineRule="auto"/>
        <w:jc w:val="both"/>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Using the maximum sub-index formulation (Eq. 2), PM2.5 and NO2 are typically the dominant pollutants determining the overall AQI category at urban sites, consistent with global evidence that particulate matter is the principal driver of AQI exceedances in traffic-influenced environments (HEI, 2020). The secondary cumulative pollution burden index (Eq. 3) typically reveals a materially larger number of "elevated multi-pollutant burden" days than the number of single-pollutant AQI exceedance days alone, supporting the argument that regulatory reporting based on the single maximum sub-index may understate cumulative population exposure on days when several pollutants are simultaneously moderately elevated but none individually breaches its guideline threshold.</w:t>
      </w:r>
    </w:p>
    <w:p w14:paraId="290B5AA5" w14:textId="77777777" w:rsidR="00E84CFA" w:rsidRPr="009E5F91" w:rsidRDefault="00000000" w:rsidP="009E5F91">
      <w:pPr>
        <w:pStyle w:val="Heading2"/>
        <w:spacing w:before="260" w:after="140" w:line="360" w:lineRule="auto"/>
        <w:rPr>
          <w:rFonts w:ascii="Times New Roman" w:hAnsi="Times New Roman" w:cs="Times New Roman"/>
          <w:color w:val="000000" w:themeColor="text1"/>
          <w:sz w:val="24"/>
          <w:szCs w:val="24"/>
        </w:rPr>
      </w:pPr>
      <w:r w:rsidRPr="009E5F91">
        <w:rPr>
          <w:rFonts w:ascii="Times New Roman" w:hAnsi="Times New Roman" w:cs="Times New Roman"/>
          <w:b/>
          <w:bCs/>
          <w:color w:val="000000" w:themeColor="text1"/>
          <w:sz w:val="24"/>
          <w:szCs w:val="24"/>
        </w:rPr>
        <w:t>3.4 Meteorological Influences and Pollutant Covariation</w:t>
      </w:r>
    </w:p>
    <w:p w14:paraId="33A13419" w14:textId="77777777" w:rsidR="00E84CFA" w:rsidRPr="009E5F91" w:rsidRDefault="00000000" w:rsidP="009E5F91">
      <w:pPr>
        <w:spacing w:after="200" w:line="360" w:lineRule="auto"/>
        <w:jc w:val="both"/>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Wind speed is consistently the strongest meteorological determinant of pollutant dilution, with an inverse relationship typically observed between wind speed and PM2.5/NO2 concentrations, particularly at the traffic and industrial sites (Figure 5). Temperature inversions and low boundary-layer height are associated with the highest observed short-term pollutant peaks, especially during winter mornings. Relative humidity shows a more complex, pollutant-specific relationship: moderate humidity can promote secondary aerosol formation and hygroscopic growth of particulates, while very high humidity (associated with precipitation) is generally associated with a wash-out effect that lowers ambient particulate concentrations. Figure 5 also confirms strong positive covariation between PM2.5 and PM10 and between NO2 and CO, reflecting their shared combustion sources, which motivated the two-pollutant robustness checks described in Section 2.6. These findings reinforce that meteorology is not merely a nuisance confounder but an effect modifier that should be explicitly incorporated — rather than simply adjusted for — when interpreting air-quality trends and forecasting short-term pollution episodes (Zhang et al., 2015).</w:t>
      </w:r>
    </w:p>
    <w:p w14:paraId="4A5879D9" w14:textId="77777777" w:rsidR="00E84CFA" w:rsidRPr="009E5F91" w:rsidRDefault="00000000" w:rsidP="009E5F91">
      <w:pPr>
        <w:spacing w:before="200" w:after="60" w:line="360" w:lineRule="auto"/>
        <w:jc w:val="center"/>
        <w:rPr>
          <w:rFonts w:ascii="Times New Roman" w:hAnsi="Times New Roman" w:cs="Times New Roman"/>
          <w:color w:val="000000" w:themeColor="text1"/>
          <w:sz w:val="24"/>
          <w:szCs w:val="24"/>
        </w:rPr>
      </w:pPr>
      <w:r w:rsidRPr="009E5F91">
        <w:rPr>
          <w:rFonts w:ascii="Times New Roman" w:hAnsi="Times New Roman" w:cs="Times New Roman"/>
          <w:noProof/>
          <w:color w:val="000000" w:themeColor="text1"/>
          <w:sz w:val="24"/>
          <w:szCs w:val="24"/>
        </w:rPr>
        <w:lastRenderedPageBreak/>
        <w:drawing>
          <wp:inline distT="0" distB="0" distL="0" distR="0" wp14:anchorId="43DD80CA" wp14:editId="23A28EAA">
            <wp:extent cx="4210050" cy="3686175"/>
            <wp:effectExtent l="0" t="0" r="0" b="0"/>
            <wp:docPr id="322901444" name="Picture 32290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4210050" cy="3686175"/>
                    </a:xfrm>
                    <a:prstGeom prst="rect">
                      <a:avLst/>
                    </a:prstGeom>
                  </pic:spPr>
                </pic:pic>
              </a:graphicData>
            </a:graphic>
          </wp:inline>
        </w:drawing>
      </w:r>
    </w:p>
    <w:p w14:paraId="3F4760B5" w14:textId="77777777" w:rsidR="00E84CFA" w:rsidRDefault="00000000" w:rsidP="00E91CEA">
      <w:pPr>
        <w:spacing w:before="80" w:after="240"/>
        <w:jc w:val="center"/>
        <w:rPr>
          <w:rFonts w:ascii="Times New Roman" w:hAnsi="Times New Roman" w:cs="Times New Roman"/>
          <w:i/>
          <w:iCs/>
          <w:color w:val="000000" w:themeColor="text1"/>
          <w:sz w:val="24"/>
          <w:szCs w:val="24"/>
        </w:rPr>
      </w:pPr>
      <w:r w:rsidRPr="009E5F91">
        <w:rPr>
          <w:rFonts w:ascii="Times New Roman" w:hAnsi="Times New Roman" w:cs="Times New Roman"/>
          <w:i/>
          <w:iCs/>
          <w:color w:val="000000" w:themeColor="text1"/>
          <w:sz w:val="24"/>
          <w:szCs w:val="24"/>
        </w:rPr>
        <w:t>Figure 5. Illustrative Spearman correlation matrix among air pollutants and meteorological variables, showing strong PM2.5–PM10 and NO2–CO covariation and wind-driven dilution.</w:t>
      </w:r>
    </w:p>
    <w:p w14:paraId="419633FF" w14:textId="77777777" w:rsidR="00E91CEA" w:rsidRPr="009E5F91" w:rsidRDefault="00E91CEA" w:rsidP="00E91CEA">
      <w:pPr>
        <w:spacing w:before="80" w:after="240"/>
        <w:jc w:val="center"/>
        <w:rPr>
          <w:rFonts w:ascii="Times New Roman" w:hAnsi="Times New Roman" w:cs="Times New Roman"/>
          <w:color w:val="000000" w:themeColor="text1"/>
          <w:sz w:val="24"/>
          <w:szCs w:val="24"/>
        </w:rPr>
      </w:pPr>
    </w:p>
    <w:p w14:paraId="3055E8A8" w14:textId="77777777" w:rsidR="00E84CFA" w:rsidRPr="009E5F91" w:rsidRDefault="00000000" w:rsidP="009E5F91">
      <w:pPr>
        <w:pStyle w:val="Heading2"/>
        <w:spacing w:before="260" w:after="140" w:line="360" w:lineRule="auto"/>
        <w:rPr>
          <w:rFonts w:ascii="Times New Roman" w:hAnsi="Times New Roman" w:cs="Times New Roman"/>
          <w:color w:val="000000" w:themeColor="text1"/>
          <w:sz w:val="24"/>
          <w:szCs w:val="24"/>
        </w:rPr>
      </w:pPr>
      <w:r w:rsidRPr="009E5F91">
        <w:rPr>
          <w:rFonts w:ascii="Times New Roman" w:hAnsi="Times New Roman" w:cs="Times New Roman"/>
          <w:b/>
          <w:bCs/>
          <w:color w:val="000000" w:themeColor="text1"/>
          <w:sz w:val="24"/>
          <w:szCs w:val="24"/>
        </w:rPr>
        <w:t>3.5 Air Pollution–Health Outcome Associations</w:t>
      </w:r>
    </w:p>
    <w:p w14:paraId="6ACB33E5" w14:textId="77777777" w:rsidR="00E84CFA" w:rsidRDefault="00000000" w:rsidP="009E5F91">
      <w:pPr>
        <w:spacing w:after="200" w:line="360" w:lineRule="auto"/>
        <w:jc w:val="both"/>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Table 3 summarises the illustrative daily health-outcome counts used to demonstrate the exposure-response modelling, stratified by age group. Applying the DLNM/GAM framework described in Section 2.6 typically yields statistically significant, positive associations between short-term increases in PM2.5 and NO2 and both respiratory and cardiovascular hospital presentations, with effect estimates concentrated at lag 0–2 days for respiratory outcomes (consistent with acute airway irritation and exacerbation of asthma/COPD) and a somewhat longer, more distributed lag structure (0–5 days) for cardiovascular outcomes (consistent with mechanisms involving systemic inflammation, autonomic dysfunction, and thrombotic pathways) (Brook et al., 2010; Peng et al., 2009).</w:t>
      </w:r>
    </w:p>
    <w:p w14:paraId="65BAE3C6" w14:textId="77777777" w:rsidR="00E91CEA" w:rsidRDefault="00E91CEA" w:rsidP="00E91CEA">
      <w:pPr>
        <w:spacing w:before="80" w:after="240" w:line="360" w:lineRule="auto"/>
        <w:jc w:val="center"/>
        <w:rPr>
          <w:rFonts w:ascii="Times New Roman" w:hAnsi="Times New Roman" w:cs="Times New Roman"/>
          <w:i/>
          <w:iCs/>
          <w:color w:val="000000" w:themeColor="text1"/>
          <w:sz w:val="24"/>
          <w:szCs w:val="24"/>
        </w:rPr>
      </w:pPr>
    </w:p>
    <w:p w14:paraId="0109B398" w14:textId="77777777" w:rsidR="00E91CEA" w:rsidRDefault="00E91CEA" w:rsidP="00E91CEA">
      <w:pPr>
        <w:spacing w:before="80" w:after="240" w:line="360" w:lineRule="auto"/>
        <w:jc w:val="center"/>
        <w:rPr>
          <w:rFonts w:ascii="Times New Roman" w:hAnsi="Times New Roman" w:cs="Times New Roman"/>
          <w:i/>
          <w:iCs/>
          <w:color w:val="000000" w:themeColor="text1"/>
          <w:sz w:val="24"/>
          <w:szCs w:val="24"/>
        </w:rPr>
      </w:pPr>
    </w:p>
    <w:p w14:paraId="417F1DEB" w14:textId="6C3B8151" w:rsidR="00E91CEA" w:rsidRPr="00E91CEA" w:rsidRDefault="00E91CEA" w:rsidP="00E91CEA">
      <w:pPr>
        <w:spacing w:before="80" w:after="240"/>
        <w:jc w:val="center"/>
        <w:rPr>
          <w:rFonts w:ascii="Times New Roman" w:hAnsi="Times New Roman" w:cs="Times New Roman"/>
          <w:b/>
          <w:bCs/>
          <w:color w:val="000000" w:themeColor="text1"/>
          <w:sz w:val="24"/>
          <w:szCs w:val="24"/>
        </w:rPr>
      </w:pPr>
      <w:r w:rsidRPr="00E91CEA">
        <w:rPr>
          <w:rFonts w:ascii="Times New Roman" w:hAnsi="Times New Roman" w:cs="Times New Roman"/>
          <w:b/>
          <w:bCs/>
          <w:i/>
          <w:iCs/>
          <w:color w:val="000000" w:themeColor="text1"/>
          <w:sz w:val="24"/>
          <w:szCs w:val="24"/>
        </w:rPr>
        <w:lastRenderedPageBreak/>
        <w:t>Table 3. Illustrative summary of mean daily hospital admission counts (± SD) for respiratory and cardiovascular causes, by age group.</w:t>
      </w:r>
    </w:p>
    <w:tbl>
      <w:tblPr>
        <w:tblW w:w="7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80"/>
        <w:gridCol w:w="2000"/>
        <w:gridCol w:w="2000"/>
        <w:gridCol w:w="2000"/>
      </w:tblGrid>
      <w:tr w:rsidR="00E84CFA" w:rsidRPr="009E5F91" w14:paraId="7ADC478A" w14:textId="77777777" w:rsidTr="00E91CEA">
        <w:trPr>
          <w:tblHeader/>
          <w:jc w:val="center"/>
        </w:trPr>
        <w:tc>
          <w:tcPr>
            <w:tcW w:w="1980" w:type="dxa"/>
            <w:shd w:val="clear" w:color="auto" w:fill="A5C9EB" w:themeFill="text2" w:themeFillTint="40"/>
            <w:tcMar>
              <w:top w:w="80" w:type="dxa"/>
              <w:left w:w="100" w:type="dxa"/>
              <w:bottom w:w="80" w:type="dxa"/>
              <w:right w:w="100" w:type="dxa"/>
            </w:tcMar>
          </w:tcPr>
          <w:p w14:paraId="1092C13E" w14:textId="77777777" w:rsidR="00E84CFA" w:rsidRPr="009E5F91" w:rsidRDefault="00000000" w:rsidP="00E91CEA">
            <w:pPr>
              <w:contextualSpacing/>
              <w:jc w:val="center"/>
              <w:rPr>
                <w:rFonts w:ascii="Times New Roman" w:hAnsi="Times New Roman" w:cs="Times New Roman"/>
                <w:color w:val="000000" w:themeColor="text1"/>
                <w:sz w:val="24"/>
                <w:szCs w:val="24"/>
              </w:rPr>
            </w:pPr>
            <w:r w:rsidRPr="009E5F91">
              <w:rPr>
                <w:rFonts w:ascii="Times New Roman" w:hAnsi="Times New Roman" w:cs="Times New Roman"/>
                <w:b/>
                <w:bCs/>
                <w:color w:val="000000" w:themeColor="text1"/>
                <w:sz w:val="24"/>
                <w:szCs w:val="24"/>
              </w:rPr>
              <w:t>Age Group</w:t>
            </w:r>
          </w:p>
        </w:tc>
        <w:tc>
          <w:tcPr>
            <w:tcW w:w="2000" w:type="dxa"/>
            <w:shd w:val="clear" w:color="auto" w:fill="A5C9EB" w:themeFill="text2" w:themeFillTint="40"/>
            <w:tcMar>
              <w:top w:w="80" w:type="dxa"/>
              <w:left w:w="100" w:type="dxa"/>
              <w:bottom w:w="80" w:type="dxa"/>
              <w:right w:w="100" w:type="dxa"/>
            </w:tcMar>
          </w:tcPr>
          <w:p w14:paraId="690C3479" w14:textId="77777777" w:rsidR="00E84CFA" w:rsidRPr="009E5F91" w:rsidRDefault="00000000" w:rsidP="00E91CEA">
            <w:pPr>
              <w:contextualSpacing/>
              <w:jc w:val="center"/>
              <w:rPr>
                <w:rFonts w:ascii="Times New Roman" w:hAnsi="Times New Roman" w:cs="Times New Roman"/>
                <w:color w:val="000000" w:themeColor="text1"/>
                <w:sz w:val="24"/>
                <w:szCs w:val="24"/>
              </w:rPr>
            </w:pPr>
            <w:r w:rsidRPr="009E5F91">
              <w:rPr>
                <w:rFonts w:ascii="Times New Roman" w:hAnsi="Times New Roman" w:cs="Times New Roman"/>
                <w:b/>
                <w:bCs/>
                <w:color w:val="000000" w:themeColor="text1"/>
                <w:sz w:val="24"/>
                <w:szCs w:val="24"/>
              </w:rPr>
              <w:t>Mean Daily Respiratory Admissions</w:t>
            </w:r>
          </w:p>
        </w:tc>
        <w:tc>
          <w:tcPr>
            <w:tcW w:w="2000" w:type="dxa"/>
            <w:shd w:val="clear" w:color="auto" w:fill="A5C9EB" w:themeFill="text2" w:themeFillTint="40"/>
            <w:tcMar>
              <w:top w:w="80" w:type="dxa"/>
              <w:left w:w="100" w:type="dxa"/>
              <w:bottom w:w="80" w:type="dxa"/>
              <w:right w:w="100" w:type="dxa"/>
            </w:tcMar>
          </w:tcPr>
          <w:p w14:paraId="1445F4B4" w14:textId="77777777" w:rsidR="00E84CFA" w:rsidRPr="009E5F91" w:rsidRDefault="00000000" w:rsidP="00E91CEA">
            <w:pPr>
              <w:contextualSpacing/>
              <w:jc w:val="center"/>
              <w:rPr>
                <w:rFonts w:ascii="Times New Roman" w:hAnsi="Times New Roman" w:cs="Times New Roman"/>
                <w:color w:val="000000" w:themeColor="text1"/>
                <w:sz w:val="24"/>
                <w:szCs w:val="24"/>
              </w:rPr>
            </w:pPr>
            <w:r w:rsidRPr="009E5F91">
              <w:rPr>
                <w:rFonts w:ascii="Times New Roman" w:hAnsi="Times New Roman" w:cs="Times New Roman"/>
                <w:b/>
                <w:bCs/>
                <w:color w:val="000000" w:themeColor="text1"/>
                <w:sz w:val="24"/>
                <w:szCs w:val="24"/>
              </w:rPr>
              <w:t>Mean Daily Cardiovascular Admissions</w:t>
            </w:r>
          </w:p>
        </w:tc>
        <w:tc>
          <w:tcPr>
            <w:tcW w:w="2000" w:type="dxa"/>
            <w:shd w:val="clear" w:color="auto" w:fill="A5C9EB" w:themeFill="text2" w:themeFillTint="40"/>
            <w:tcMar>
              <w:top w:w="80" w:type="dxa"/>
              <w:left w:w="100" w:type="dxa"/>
              <w:bottom w:w="80" w:type="dxa"/>
              <w:right w:w="100" w:type="dxa"/>
            </w:tcMar>
          </w:tcPr>
          <w:p w14:paraId="5AC962B3" w14:textId="77777777" w:rsidR="00E84CFA" w:rsidRPr="009E5F91" w:rsidRDefault="00000000" w:rsidP="00E91CEA">
            <w:pPr>
              <w:contextualSpacing/>
              <w:jc w:val="center"/>
              <w:rPr>
                <w:rFonts w:ascii="Times New Roman" w:hAnsi="Times New Roman" w:cs="Times New Roman"/>
                <w:color w:val="000000" w:themeColor="text1"/>
                <w:sz w:val="24"/>
                <w:szCs w:val="24"/>
              </w:rPr>
            </w:pPr>
            <w:r w:rsidRPr="009E5F91">
              <w:rPr>
                <w:rFonts w:ascii="Times New Roman" w:hAnsi="Times New Roman" w:cs="Times New Roman"/>
                <w:b/>
                <w:bCs/>
                <w:color w:val="000000" w:themeColor="text1"/>
                <w:sz w:val="24"/>
                <w:szCs w:val="24"/>
              </w:rPr>
              <w:t>Population Share (%)</w:t>
            </w:r>
          </w:p>
        </w:tc>
      </w:tr>
      <w:tr w:rsidR="00E84CFA" w:rsidRPr="009E5F91" w14:paraId="6563C3C8" w14:textId="77777777" w:rsidTr="00E91CEA">
        <w:trPr>
          <w:jc w:val="center"/>
        </w:trPr>
        <w:tc>
          <w:tcPr>
            <w:tcW w:w="1980" w:type="dxa"/>
            <w:tcMar>
              <w:top w:w="80" w:type="dxa"/>
              <w:left w:w="100" w:type="dxa"/>
              <w:bottom w:w="80" w:type="dxa"/>
              <w:right w:w="100" w:type="dxa"/>
            </w:tcMar>
          </w:tcPr>
          <w:p w14:paraId="6FB16327" w14:textId="77777777" w:rsidR="00E84CFA" w:rsidRPr="009E5F91" w:rsidRDefault="00000000" w:rsidP="00E91CEA">
            <w:pPr>
              <w:contextualSpacing/>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&lt; 15 years</w:t>
            </w:r>
          </w:p>
        </w:tc>
        <w:tc>
          <w:tcPr>
            <w:tcW w:w="2000" w:type="dxa"/>
            <w:tcMar>
              <w:top w:w="80" w:type="dxa"/>
              <w:left w:w="100" w:type="dxa"/>
              <w:bottom w:w="80" w:type="dxa"/>
              <w:right w:w="100" w:type="dxa"/>
            </w:tcMar>
          </w:tcPr>
          <w:p w14:paraId="0335D046" w14:textId="77777777" w:rsidR="00E84CFA" w:rsidRPr="009E5F91" w:rsidRDefault="00000000" w:rsidP="00E91CEA">
            <w:pPr>
              <w:contextualSpacing/>
              <w:jc w:val="center"/>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8.4 ± 3.1</w:t>
            </w:r>
          </w:p>
        </w:tc>
        <w:tc>
          <w:tcPr>
            <w:tcW w:w="2000" w:type="dxa"/>
            <w:tcMar>
              <w:top w:w="80" w:type="dxa"/>
              <w:left w:w="100" w:type="dxa"/>
              <w:bottom w:w="80" w:type="dxa"/>
              <w:right w:w="100" w:type="dxa"/>
            </w:tcMar>
          </w:tcPr>
          <w:p w14:paraId="4283BFB5" w14:textId="77777777" w:rsidR="00E84CFA" w:rsidRPr="009E5F91" w:rsidRDefault="00000000" w:rsidP="00E91CEA">
            <w:pPr>
              <w:contextualSpacing/>
              <w:jc w:val="center"/>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1.2 ± 0.9</w:t>
            </w:r>
          </w:p>
        </w:tc>
        <w:tc>
          <w:tcPr>
            <w:tcW w:w="2000" w:type="dxa"/>
            <w:tcMar>
              <w:top w:w="80" w:type="dxa"/>
              <w:left w:w="100" w:type="dxa"/>
              <w:bottom w:w="80" w:type="dxa"/>
              <w:right w:w="100" w:type="dxa"/>
            </w:tcMar>
          </w:tcPr>
          <w:p w14:paraId="535E5806" w14:textId="77777777" w:rsidR="00E84CFA" w:rsidRPr="009E5F91" w:rsidRDefault="00000000" w:rsidP="00E91CEA">
            <w:pPr>
              <w:contextualSpacing/>
              <w:jc w:val="center"/>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22</w:t>
            </w:r>
          </w:p>
        </w:tc>
      </w:tr>
      <w:tr w:rsidR="00E84CFA" w:rsidRPr="009E5F91" w14:paraId="34EE05F2" w14:textId="77777777" w:rsidTr="00E91CEA">
        <w:trPr>
          <w:jc w:val="center"/>
        </w:trPr>
        <w:tc>
          <w:tcPr>
            <w:tcW w:w="1980" w:type="dxa"/>
            <w:tcMar>
              <w:top w:w="80" w:type="dxa"/>
              <w:left w:w="100" w:type="dxa"/>
              <w:bottom w:w="80" w:type="dxa"/>
              <w:right w:w="100" w:type="dxa"/>
            </w:tcMar>
          </w:tcPr>
          <w:p w14:paraId="3F5AB52F" w14:textId="77777777" w:rsidR="00E84CFA" w:rsidRPr="009E5F91" w:rsidRDefault="00000000" w:rsidP="00E91CEA">
            <w:pPr>
              <w:contextualSpacing/>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15–64 years</w:t>
            </w:r>
          </w:p>
        </w:tc>
        <w:tc>
          <w:tcPr>
            <w:tcW w:w="2000" w:type="dxa"/>
            <w:tcMar>
              <w:top w:w="80" w:type="dxa"/>
              <w:left w:w="100" w:type="dxa"/>
              <w:bottom w:w="80" w:type="dxa"/>
              <w:right w:w="100" w:type="dxa"/>
            </w:tcMar>
          </w:tcPr>
          <w:p w14:paraId="15E5AAA3" w14:textId="77777777" w:rsidR="00E84CFA" w:rsidRPr="009E5F91" w:rsidRDefault="00000000" w:rsidP="00E91CEA">
            <w:pPr>
              <w:contextualSpacing/>
              <w:jc w:val="center"/>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11.7 ± 4.0</w:t>
            </w:r>
          </w:p>
        </w:tc>
        <w:tc>
          <w:tcPr>
            <w:tcW w:w="2000" w:type="dxa"/>
            <w:tcMar>
              <w:top w:w="80" w:type="dxa"/>
              <w:left w:w="100" w:type="dxa"/>
              <w:bottom w:w="80" w:type="dxa"/>
              <w:right w:w="100" w:type="dxa"/>
            </w:tcMar>
          </w:tcPr>
          <w:p w14:paraId="26CFEB89" w14:textId="77777777" w:rsidR="00E84CFA" w:rsidRPr="009E5F91" w:rsidRDefault="00000000" w:rsidP="00E91CEA">
            <w:pPr>
              <w:contextualSpacing/>
              <w:jc w:val="center"/>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9.6 ± 3.5</w:t>
            </w:r>
          </w:p>
        </w:tc>
        <w:tc>
          <w:tcPr>
            <w:tcW w:w="2000" w:type="dxa"/>
            <w:tcMar>
              <w:top w:w="80" w:type="dxa"/>
              <w:left w:w="100" w:type="dxa"/>
              <w:bottom w:w="80" w:type="dxa"/>
              <w:right w:w="100" w:type="dxa"/>
            </w:tcMar>
          </w:tcPr>
          <w:p w14:paraId="118BA2B7" w14:textId="77777777" w:rsidR="00E84CFA" w:rsidRPr="009E5F91" w:rsidRDefault="00000000" w:rsidP="00E91CEA">
            <w:pPr>
              <w:contextualSpacing/>
              <w:jc w:val="center"/>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63</w:t>
            </w:r>
          </w:p>
        </w:tc>
      </w:tr>
      <w:tr w:rsidR="00E84CFA" w:rsidRPr="009E5F91" w14:paraId="7AAC19D9" w14:textId="77777777" w:rsidTr="00E91CEA">
        <w:trPr>
          <w:jc w:val="center"/>
        </w:trPr>
        <w:tc>
          <w:tcPr>
            <w:tcW w:w="1980" w:type="dxa"/>
            <w:tcMar>
              <w:top w:w="80" w:type="dxa"/>
              <w:left w:w="100" w:type="dxa"/>
              <w:bottom w:w="80" w:type="dxa"/>
              <w:right w:w="100" w:type="dxa"/>
            </w:tcMar>
          </w:tcPr>
          <w:p w14:paraId="2A66E8FC" w14:textId="77777777" w:rsidR="00E84CFA" w:rsidRPr="009E5F91" w:rsidRDefault="00000000" w:rsidP="00E91CEA">
            <w:pPr>
              <w:contextualSpacing/>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 65 years</w:t>
            </w:r>
          </w:p>
        </w:tc>
        <w:tc>
          <w:tcPr>
            <w:tcW w:w="2000" w:type="dxa"/>
            <w:tcMar>
              <w:top w:w="80" w:type="dxa"/>
              <w:left w:w="100" w:type="dxa"/>
              <w:bottom w:w="80" w:type="dxa"/>
              <w:right w:w="100" w:type="dxa"/>
            </w:tcMar>
          </w:tcPr>
          <w:p w14:paraId="4904DDBE" w14:textId="77777777" w:rsidR="00E84CFA" w:rsidRPr="009E5F91" w:rsidRDefault="00000000" w:rsidP="00E91CEA">
            <w:pPr>
              <w:contextualSpacing/>
              <w:jc w:val="center"/>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14.2 ± 4.8</w:t>
            </w:r>
          </w:p>
        </w:tc>
        <w:tc>
          <w:tcPr>
            <w:tcW w:w="2000" w:type="dxa"/>
            <w:tcMar>
              <w:top w:w="80" w:type="dxa"/>
              <w:left w:w="100" w:type="dxa"/>
              <w:bottom w:w="80" w:type="dxa"/>
              <w:right w:w="100" w:type="dxa"/>
            </w:tcMar>
          </w:tcPr>
          <w:p w14:paraId="5ABBA5D4" w14:textId="77777777" w:rsidR="00E84CFA" w:rsidRPr="009E5F91" w:rsidRDefault="00000000" w:rsidP="00E91CEA">
            <w:pPr>
              <w:contextualSpacing/>
              <w:jc w:val="center"/>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17.5 ± 5.9</w:t>
            </w:r>
          </w:p>
        </w:tc>
        <w:tc>
          <w:tcPr>
            <w:tcW w:w="2000" w:type="dxa"/>
            <w:tcMar>
              <w:top w:w="80" w:type="dxa"/>
              <w:left w:w="100" w:type="dxa"/>
              <w:bottom w:w="80" w:type="dxa"/>
              <w:right w:w="100" w:type="dxa"/>
            </w:tcMar>
          </w:tcPr>
          <w:p w14:paraId="6BD58DC1" w14:textId="77777777" w:rsidR="00E84CFA" w:rsidRPr="009E5F91" w:rsidRDefault="00000000" w:rsidP="00E91CEA">
            <w:pPr>
              <w:contextualSpacing/>
              <w:jc w:val="center"/>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15</w:t>
            </w:r>
          </w:p>
        </w:tc>
      </w:tr>
      <w:tr w:rsidR="00E84CFA" w:rsidRPr="009E5F91" w14:paraId="139FFF40" w14:textId="77777777" w:rsidTr="00E91CEA">
        <w:trPr>
          <w:jc w:val="center"/>
        </w:trPr>
        <w:tc>
          <w:tcPr>
            <w:tcW w:w="1980" w:type="dxa"/>
            <w:tcMar>
              <w:top w:w="80" w:type="dxa"/>
              <w:left w:w="100" w:type="dxa"/>
              <w:bottom w:w="80" w:type="dxa"/>
              <w:right w:w="100" w:type="dxa"/>
            </w:tcMar>
          </w:tcPr>
          <w:p w14:paraId="37689A09" w14:textId="77777777" w:rsidR="00E84CFA" w:rsidRPr="009E5F91" w:rsidRDefault="00000000" w:rsidP="00E91CEA">
            <w:pPr>
              <w:contextualSpacing/>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All ages (total)</w:t>
            </w:r>
          </w:p>
        </w:tc>
        <w:tc>
          <w:tcPr>
            <w:tcW w:w="2000" w:type="dxa"/>
            <w:tcMar>
              <w:top w:w="80" w:type="dxa"/>
              <w:left w:w="100" w:type="dxa"/>
              <w:bottom w:w="80" w:type="dxa"/>
              <w:right w:w="100" w:type="dxa"/>
            </w:tcMar>
          </w:tcPr>
          <w:p w14:paraId="42EA1D04" w14:textId="77777777" w:rsidR="00E84CFA" w:rsidRPr="009E5F91" w:rsidRDefault="00000000" w:rsidP="00E91CEA">
            <w:pPr>
              <w:contextualSpacing/>
              <w:jc w:val="center"/>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34.3 ± 7.9</w:t>
            </w:r>
          </w:p>
        </w:tc>
        <w:tc>
          <w:tcPr>
            <w:tcW w:w="2000" w:type="dxa"/>
            <w:tcMar>
              <w:top w:w="80" w:type="dxa"/>
              <w:left w:w="100" w:type="dxa"/>
              <w:bottom w:w="80" w:type="dxa"/>
              <w:right w:w="100" w:type="dxa"/>
            </w:tcMar>
          </w:tcPr>
          <w:p w14:paraId="2A6802D0" w14:textId="77777777" w:rsidR="00E84CFA" w:rsidRPr="009E5F91" w:rsidRDefault="00000000" w:rsidP="00E91CEA">
            <w:pPr>
              <w:contextualSpacing/>
              <w:jc w:val="center"/>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28.3 ± 7.1</w:t>
            </w:r>
          </w:p>
        </w:tc>
        <w:tc>
          <w:tcPr>
            <w:tcW w:w="2000" w:type="dxa"/>
            <w:tcMar>
              <w:top w:w="80" w:type="dxa"/>
              <w:left w:w="100" w:type="dxa"/>
              <w:bottom w:w="80" w:type="dxa"/>
              <w:right w:w="100" w:type="dxa"/>
            </w:tcMar>
          </w:tcPr>
          <w:p w14:paraId="7340AFAA" w14:textId="77777777" w:rsidR="00E84CFA" w:rsidRPr="009E5F91" w:rsidRDefault="00000000" w:rsidP="00E91CEA">
            <w:pPr>
              <w:contextualSpacing/>
              <w:jc w:val="center"/>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100</w:t>
            </w:r>
          </w:p>
        </w:tc>
      </w:tr>
    </w:tbl>
    <w:p w14:paraId="72697938" w14:textId="77777777" w:rsidR="00E91CEA" w:rsidRDefault="00E91CEA" w:rsidP="009E5F91">
      <w:pPr>
        <w:spacing w:after="200" w:line="360" w:lineRule="auto"/>
        <w:jc w:val="both"/>
        <w:rPr>
          <w:rFonts w:ascii="Times New Roman" w:hAnsi="Times New Roman" w:cs="Times New Roman"/>
          <w:color w:val="000000" w:themeColor="text1"/>
          <w:sz w:val="24"/>
          <w:szCs w:val="24"/>
        </w:rPr>
      </w:pPr>
    </w:p>
    <w:p w14:paraId="0D44A609" w14:textId="1C2FD776" w:rsidR="00E84CFA" w:rsidRDefault="00000000" w:rsidP="009E5F91">
      <w:pPr>
        <w:spacing w:after="200" w:line="360" w:lineRule="auto"/>
        <w:jc w:val="both"/>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Representative illustrative effect sizes drawn from the broader literature and consistent with the magnitude typically obtained from this type of design are summarised in Table 4, and the corresponding non-linear exposure-response relationship for PM2.5 and respiratory admissions is illustrated in Figure 6.</w:t>
      </w:r>
    </w:p>
    <w:p w14:paraId="04F7C569" w14:textId="7869C266" w:rsidR="00E91CEA" w:rsidRPr="009E5F91" w:rsidRDefault="00E91CEA" w:rsidP="00E91CEA">
      <w:pPr>
        <w:spacing w:before="80" w:after="240"/>
        <w:jc w:val="center"/>
        <w:rPr>
          <w:rFonts w:ascii="Times New Roman" w:hAnsi="Times New Roman" w:cs="Times New Roman"/>
          <w:color w:val="000000" w:themeColor="text1"/>
          <w:sz w:val="24"/>
          <w:szCs w:val="24"/>
        </w:rPr>
      </w:pPr>
      <w:r w:rsidRPr="00E91CEA">
        <w:rPr>
          <w:rFonts w:ascii="Times New Roman" w:hAnsi="Times New Roman" w:cs="Times New Roman"/>
          <w:b/>
          <w:bCs/>
          <w:i/>
          <w:iCs/>
          <w:color w:val="000000" w:themeColor="text1"/>
          <w:sz w:val="24"/>
          <w:szCs w:val="24"/>
        </w:rPr>
        <w:t>Table 4. Illustrative single-pollutant exposure-response effect estimates (percentage change in daily hospital admissions per interquartile-range increase in pollutant concentration, Eq. 5), representative of ranges reported in comparable urban time-series studies</w:t>
      </w:r>
      <w:r w:rsidRPr="009E5F91">
        <w:rPr>
          <w:rFonts w:ascii="Times New Roman" w:hAnsi="Times New Roman" w:cs="Times New Roman"/>
          <w:i/>
          <w:iCs/>
          <w:color w:val="000000" w:themeColor="text1"/>
          <w:sz w:val="24"/>
          <w:szCs w:val="24"/>
        </w:rPr>
        <w:t>.</w:t>
      </w:r>
    </w:p>
    <w:tbl>
      <w:tblPr>
        <w:tblW w:w="9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80"/>
        <w:gridCol w:w="2600"/>
        <w:gridCol w:w="2600"/>
        <w:gridCol w:w="2200"/>
      </w:tblGrid>
      <w:tr w:rsidR="00E84CFA" w:rsidRPr="009E5F91" w14:paraId="20211958" w14:textId="77777777" w:rsidTr="00E91CEA">
        <w:trPr>
          <w:tblHeader/>
          <w:jc w:val="center"/>
        </w:trPr>
        <w:tc>
          <w:tcPr>
            <w:tcW w:w="1980" w:type="dxa"/>
            <w:shd w:val="clear" w:color="auto" w:fill="A5C9EB" w:themeFill="text2" w:themeFillTint="40"/>
            <w:tcMar>
              <w:top w:w="80" w:type="dxa"/>
              <w:left w:w="100" w:type="dxa"/>
              <w:bottom w:w="80" w:type="dxa"/>
              <w:right w:w="100" w:type="dxa"/>
            </w:tcMar>
          </w:tcPr>
          <w:p w14:paraId="1DA25773" w14:textId="77777777" w:rsidR="00E84CFA" w:rsidRPr="009E5F91" w:rsidRDefault="00000000" w:rsidP="00E91CEA">
            <w:pPr>
              <w:contextualSpacing/>
              <w:jc w:val="center"/>
              <w:rPr>
                <w:rFonts w:ascii="Times New Roman" w:hAnsi="Times New Roman" w:cs="Times New Roman"/>
                <w:color w:val="000000" w:themeColor="text1"/>
                <w:sz w:val="24"/>
                <w:szCs w:val="24"/>
              </w:rPr>
            </w:pPr>
            <w:r w:rsidRPr="009E5F91">
              <w:rPr>
                <w:rFonts w:ascii="Times New Roman" w:hAnsi="Times New Roman" w:cs="Times New Roman"/>
                <w:b/>
                <w:bCs/>
                <w:color w:val="000000" w:themeColor="text1"/>
                <w:sz w:val="24"/>
                <w:szCs w:val="24"/>
              </w:rPr>
              <w:t>Pollutant (per IQR increase)</w:t>
            </w:r>
          </w:p>
        </w:tc>
        <w:tc>
          <w:tcPr>
            <w:tcW w:w="2600" w:type="dxa"/>
            <w:shd w:val="clear" w:color="auto" w:fill="A5C9EB" w:themeFill="text2" w:themeFillTint="40"/>
            <w:tcMar>
              <w:top w:w="80" w:type="dxa"/>
              <w:left w:w="100" w:type="dxa"/>
              <w:bottom w:w="80" w:type="dxa"/>
              <w:right w:w="100" w:type="dxa"/>
            </w:tcMar>
          </w:tcPr>
          <w:p w14:paraId="7801A8BF" w14:textId="77777777" w:rsidR="00E84CFA" w:rsidRPr="009E5F91" w:rsidRDefault="00000000" w:rsidP="00E91CEA">
            <w:pPr>
              <w:contextualSpacing/>
              <w:jc w:val="center"/>
              <w:rPr>
                <w:rFonts w:ascii="Times New Roman" w:hAnsi="Times New Roman" w:cs="Times New Roman"/>
                <w:color w:val="000000" w:themeColor="text1"/>
                <w:sz w:val="24"/>
                <w:szCs w:val="24"/>
              </w:rPr>
            </w:pPr>
            <w:r w:rsidRPr="009E5F91">
              <w:rPr>
                <w:rFonts w:ascii="Times New Roman" w:hAnsi="Times New Roman" w:cs="Times New Roman"/>
                <w:b/>
                <w:bCs/>
                <w:color w:val="000000" w:themeColor="text1"/>
                <w:sz w:val="24"/>
                <w:szCs w:val="24"/>
              </w:rPr>
              <w:t>Respiratory admissions, % change (95% CI)</w:t>
            </w:r>
          </w:p>
        </w:tc>
        <w:tc>
          <w:tcPr>
            <w:tcW w:w="2600" w:type="dxa"/>
            <w:shd w:val="clear" w:color="auto" w:fill="A5C9EB" w:themeFill="text2" w:themeFillTint="40"/>
            <w:tcMar>
              <w:top w:w="80" w:type="dxa"/>
              <w:left w:w="100" w:type="dxa"/>
              <w:bottom w:w="80" w:type="dxa"/>
              <w:right w:w="100" w:type="dxa"/>
            </w:tcMar>
          </w:tcPr>
          <w:p w14:paraId="72B39CA6" w14:textId="77777777" w:rsidR="00E84CFA" w:rsidRPr="009E5F91" w:rsidRDefault="00000000" w:rsidP="00E91CEA">
            <w:pPr>
              <w:contextualSpacing/>
              <w:jc w:val="center"/>
              <w:rPr>
                <w:rFonts w:ascii="Times New Roman" w:hAnsi="Times New Roman" w:cs="Times New Roman"/>
                <w:color w:val="000000" w:themeColor="text1"/>
                <w:sz w:val="24"/>
                <w:szCs w:val="24"/>
              </w:rPr>
            </w:pPr>
            <w:r w:rsidRPr="009E5F91">
              <w:rPr>
                <w:rFonts w:ascii="Times New Roman" w:hAnsi="Times New Roman" w:cs="Times New Roman"/>
                <w:b/>
                <w:bCs/>
                <w:color w:val="000000" w:themeColor="text1"/>
                <w:sz w:val="24"/>
                <w:szCs w:val="24"/>
              </w:rPr>
              <w:t>Cardiovascular admissions, % change (95% CI)</w:t>
            </w:r>
          </w:p>
        </w:tc>
        <w:tc>
          <w:tcPr>
            <w:tcW w:w="2200" w:type="dxa"/>
            <w:shd w:val="clear" w:color="auto" w:fill="A5C9EB" w:themeFill="text2" w:themeFillTint="40"/>
            <w:tcMar>
              <w:top w:w="80" w:type="dxa"/>
              <w:left w:w="100" w:type="dxa"/>
              <w:bottom w:w="80" w:type="dxa"/>
              <w:right w:w="100" w:type="dxa"/>
            </w:tcMar>
          </w:tcPr>
          <w:p w14:paraId="6F8D707B" w14:textId="77777777" w:rsidR="00E84CFA" w:rsidRPr="009E5F91" w:rsidRDefault="00000000" w:rsidP="00E91CEA">
            <w:pPr>
              <w:contextualSpacing/>
              <w:jc w:val="center"/>
              <w:rPr>
                <w:rFonts w:ascii="Times New Roman" w:hAnsi="Times New Roman" w:cs="Times New Roman"/>
                <w:color w:val="000000" w:themeColor="text1"/>
                <w:sz w:val="24"/>
                <w:szCs w:val="24"/>
              </w:rPr>
            </w:pPr>
            <w:r w:rsidRPr="009E5F91">
              <w:rPr>
                <w:rFonts w:ascii="Times New Roman" w:hAnsi="Times New Roman" w:cs="Times New Roman"/>
                <w:b/>
                <w:bCs/>
                <w:color w:val="000000" w:themeColor="text1"/>
                <w:sz w:val="24"/>
                <w:szCs w:val="24"/>
              </w:rPr>
              <w:t>Predominant lag (days)</w:t>
            </w:r>
          </w:p>
        </w:tc>
      </w:tr>
      <w:tr w:rsidR="00E84CFA" w:rsidRPr="009E5F91" w14:paraId="290FC173" w14:textId="77777777" w:rsidTr="00E91CEA">
        <w:trPr>
          <w:jc w:val="center"/>
        </w:trPr>
        <w:tc>
          <w:tcPr>
            <w:tcW w:w="1980" w:type="dxa"/>
            <w:tcMar>
              <w:top w:w="80" w:type="dxa"/>
              <w:left w:w="100" w:type="dxa"/>
              <w:bottom w:w="80" w:type="dxa"/>
              <w:right w:w="100" w:type="dxa"/>
            </w:tcMar>
          </w:tcPr>
          <w:p w14:paraId="30D605C8" w14:textId="77777777" w:rsidR="00E84CFA" w:rsidRPr="009E5F91" w:rsidRDefault="00000000" w:rsidP="00E91CEA">
            <w:pPr>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PM2.5</w:t>
            </w:r>
          </w:p>
        </w:tc>
        <w:tc>
          <w:tcPr>
            <w:tcW w:w="2600" w:type="dxa"/>
            <w:tcMar>
              <w:top w:w="80" w:type="dxa"/>
              <w:left w:w="100" w:type="dxa"/>
              <w:bottom w:w="80" w:type="dxa"/>
              <w:right w:w="100" w:type="dxa"/>
            </w:tcMar>
          </w:tcPr>
          <w:p w14:paraId="1DA8A811" w14:textId="77777777" w:rsidR="00E84CFA" w:rsidRPr="009E5F91" w:rsidRDefault="00000000" w:rsidP="00E91CEA">
            <w:pPr>
              <w:jc w:val="center"/>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2.1–3.4% (1.0–4.8)</w:t>
            </w:r>
          </w:p>
        </w:tc>
        <w:tc>
          <w:tcPr>
            <w:tcW w:w="2600" w:type="dxa"/>
            <w:tcMar>
              <w:top w:w="80" w:type="dxa"/>
              <w:left w:w="100" w:type="dxa"/>
              <w:bottom w:w="80" w:type="dxa"/>
              <w:right w:w="100" w:type="dxa"/>
            </w:tcMar>
          </w:tcPr>
          <w:p w14:paraId="6A4468EB" w14:textId="77777777" w:rsidR="00E84CFA" w:rsidRPr="009E5F91" w:rsidRDefault="00000000" w:rsidP="00E91CEA">
            <w:pPr>
              <w:jc w:val="center"/>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1.4–2.6% (0.4–3.9)</w:t>
            </w:r>
          </w:p>
        </w:tc>
        <w:tc>
          <w:tcPr>
            <w:tcW w:w="2200" w:type="dxa"/>
            <w:tcMar>
              <w:top w:w="80" w:type="dxa"/>
              <w:left w:w="100" w:type="dxa"/>
              <w:bottom w:w="80" w:type="dxa"/>
              <w:right w:w="100" w:type="dxa"/>
            </w:tcMar>
          </w:tcPr>
          <w:p w14:paraId="5D79E9EB" w14:textId="77777777" w:rsidR="00E84CFA" w:rsidRPr="009E5F91" w:rsidRDefault="00000000" w:rsidP="00E91CEA">
            <w:pPr>
              <w:jc w:val="center"/>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0–2 / 0–5</w:t>
            </w:r>
          </w:p>
        </w:tc>
      </w:tr>
      <w:tr w:rsidR="00E84CFA" w:rsidRPr="009E5F91" w14:paraId="655680F6" w14:textId="77777777" w:rsidTr="00E91CEA">
        <w:trPr>
          <w:jc w:val="center"/>
        </w:trPr>
        <w:tc>
          <w:tcPr>
            <w:tcW w:w="1980" w:type="dxa"/>
            <w:tcMar>
              <w:top w:w="80" w:type="dxa"/>
              <w:left w:w="100" w:type="dxa"/>
              <w:bottom w:w="80" w:type="dxa"/>
              <w:right w:w="100" w:type="dxa"/>
            </w:tcMar>
          </w:tcPr>
          <w:p w14:paraId="5C7D33E4" w14:textId="77777777" w:rsidR="00E84CFA" w:rsidRPr="009E5F91" w:rsidRDefault="00000000" w:rsidP="00E91CEA">
            <w:pPr>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PM10</w:t>
            </w:r>
          </w:p>
        </w:tc>
        <w:tc>
          <w:tcPr>
            <w:tcW w:w="2600" w:type="dxa"/>
            <w:tcMar>
              <w:top w:w="80" w:type="dxa"/>
              <w:left w:w="100" w:type="dxa"/>
              <w:bottom w:w="80" w:type="dxa"/>
              <w:right w:w="100" w:type="dxa"/>
            </w:tcMar>
          </w:tcPr>
          <w:p w14:paraId="4A3C86DF" w14:textId="77777777" w:rsidR="00E84CFA" w:rsidRPr="009E5F91" w:rsidRDefault="00000000" w:rsidP="00E91CEA">
            <w:pPr>
              <w:jc w:val="center"/>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1.6–2.8% (0.6–4.0)</w:t>
            </w:r>
          </w:p>
        </w:tc>
        <w:tc>
          <w:tcPr>
            <w:tcW w:w="2600" w:type="dxa"/>
            <w:tcMar>
              <w:top w:w="80" w:type="dxa"/>
              <w:left w:w="100" w:type="dxa"/>
              <w:bottom w:w="80" w:type="dxa"/>
              <w:right w:w="100" w:type="dxa"/>
            </w:tcMar>
          </w:tcPr>
          <w:p w14:paraId="0F0EF913" w14:textId="77777777" w:rsidR="00E84CFA" w:rsidRPr="009E5F91" w:rsidRDefault="00000000" w:rsidP="00E91CEA">
            <w:pPr>
              <w:jc w:val="center"/>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1.0–2.0% (0.1–3.2)</w:t>
            </w:r>
          </w:p>
        </w:tc>
        <w:tc>
          <w:tcPr>
            <w:tcW w:w="2200" w:type="dxa"/>
            <w:tcMar>
              <w:top w:w="80" w:type="dxa"/>
              <w:left w:w="100" w:type="dxa"/>
              <w:bottom w:w="80" w:type="dxa"/>
              <w:right w:w="100" w:type="dxa"/>
            </w:tcMar>
          </w:tcPr>
          <w:p w14:paraId="4C75FC22" w14:textId="77777777" w:rsidR="00E84CFA" w:rsidRPr="009E5F91" w:rsidRDefault="00000000" w:rsidP="00E91CEA">
            <w:pPr>
              <w:jc w:val="center"/>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0–2 / 0–4</w:t>
            </w:r>
          </w:p>
        </w:tc>
      </w:tr>
      <w:tr w:rsidR="00E84CFA" w:rsidRPr="009E5F91" w14:paraId="60306FE8" w14:textId="77777777" w:rsidTr="00E91CEA">
        <w:trPr>
          <w:jc w:val="center"/>
        </w:trPr>
        <w:tc>
          <w:tcPr>
            <w:tcW w:w="1980" w:type="dxa"/>
            <w:tcMar>
              <w:top w:w="80" w:type="dxa"/>
              <w:left w:w="100" w:type="dxa"/>
              <w:bottom w:w="80" w:type="dxa"/>
              <w:right w:w="100" w:type="dxa"/>
            </w:tcMar>
          </w:tcPr>
          <w:p w14:paraId="429E4AB0" w14:textId="77777777" w:rsidR="00E84CFA" w:rsidRPr="009E5F91" w:rsidRDefault="00000000" w:rsidP="00E91CEA">
            <w:pPr>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NO2</w:t>
            </w:r>
          </w:p>
        </w:tc>
        <w:tc>
          <w:tcPr>
            <w:tcW w:w="2600" w:type="dxa"/>
            <w:tcMar>
              <w:top w:w="80" w:type="dxa"/>
              <w:left w:w="100" w:type="dxa"/>
              <w:bottom w:w="80" w:type="dxa"/>
              <w:right w:w="100" w:type="dxa"/>
            </w:tcMar>
          </w:tcPr>
          <w:p w14:paraId="4DA41C4D" w14:textId="77777777" w:rsidR="00E84CFA" w:rsidRPr="009E5F91" w:rsidRDefault="00000000" w:rsidP="00E91CEA">
            <w:pPr>
              <w:jc w:val="center"/>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2.5–3.9% (1.2–5.3)</w:t>
            </w:r>
          </w:p>
        </w:tc>
        <w:tc>
          <w:tcPr>
            <w:tcW w:w="2600" w:type="dxa"/>
            <w:tcMar>
              <w:top w:w="80" w:type="dxa"/>
              <w:left w:w="100" w:type="dxa"/>
              <w:bottom w:w="80" w:type="dxa"/>
              <w:right w:w="100" w:type="dxa"/>
            </w:tcMar>
          </w:tcPr>
          <w:p w14:paraId="2BDE9210" w14:textId="77777777" w:rsidR="00E84CFA" w:rsidRPr="009E5F91" w:rsidRDefault="00000000" w:rsidP="00E91CEA">
            <w:pPr>
              <w:jc w:val="center"/>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1.8–3.0% (0.6–4.4)</w:t>
            </w:r>
          </w:p>
        </w:tc>
        <w:tc>
          <w:tcPr>
            <w:tcW w:w="2200" w:type="dxa"/>
            <w:tcMar>
              <w:top w:w="80" w:type="dxa"/>
              <w:left w:w="100" w:type="dxa"/>
              <w:bottom w:w="80" w:type="dxa"/>
              <w:right w:w="100" w:type="dxa"/>
            </w:tcMar>
          </w:tcPr>
          <w:p w14:paraId="14962C5C" w14:textId="77777777" w:rsidR="00E84CFA" w:rsidRPr="009E5F91" w:rsidRDefault="00000000" w:rsidP="00E91CEA">
            <w:pPr>
              <w:jc w:val="center"/>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0–1 / 0–3</w:t>
            </w:r>
          </w:p>
        </w:tc>
      </w:tr>
      <w:tr w:rsidR="00E84CFA" w:rsidRPr="009E5F91" w14:paraId="25696D3D" w14:textId="77777777" w:rsidTr="00E91CEA">
        <w:trPr>
          <w:jc w:val="center"/>
        </w:trPr>
        <w:tc>
          <w:tcPr>
            <w:tcW w:w="1980" w:type="dxa"/>
            <w:tcMar>
              <w:top w:w="80" w:type="dxa"/>
              <w:left w:w="100" w:type="dxa"/>
              <w:bottom w:w="80" w:type="dxa"/>
              <w:right w:w="100" w:type="dxa"/>
            </w:tcMar>
          </w:tcPr>
          <w:p w14:paraId="3D41F0BF" w14:textId="77777777" w:rsidR="00E84CFA" w:rsidRPr="009E5F91" w:rsidRDefault="00000000" w:rsidP="00E91CEA">
            <w:pPr>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SO2</w:t>
            </w:r>
          </w:p>
        </w:tc>
        <w:tc>
          <w:tcPr>
            <w:tcW w:w="2600" w:type="dxa"/>
            <w:tcMar>
              <w:top w:w="80" w:type="dxa"/>
              <w:left w:w="100" w:type="dxa"/>
              <w:bottom w:w="80" w:type="dxa"/>
              <w:right w:w="100" w:type="dxa"/>
            </w:tcMar>
          </w:tcPr>
          <w:p w14:paraId="25BDA495" w14:textId="77777777" w:rsidR="00E84CFA" w:rsidRPr="009E5F91" w:rsidRDefault="00000000" w:rsidP="00E91CEA">
            <w:pPr>
              <w:jc w:val="center"/>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1.0–2.2% (0.0–3.6)</w:t>
            </w:r>
          </w:p>
        </w:tc>
        <w:tc>
          <w:tcPr>
            <w:tcW w:w="2600" w:type="dxa"/>
            <w:tcMar>
              <w:top w:w="80" w:type="dxa"/>
              <w:left w:w="100" w:type="dxa"/>
              <w:bottom w:w="80" w:type="dxa"/>
              <w:right w:w="100" w:type="dxa"/>
            </w:tcMar>
          </w:tcPr>
          <w:p w14:paraId="775FAFC2" w14:textId="77777777" w:rsidR="00E84CFA" w:rsidRPr="009E5F91" w:rsidRDefault="00000000" w:rsidP="00E91CEA">
            <w:pPr>
              <w:jc w:val="center"/>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0.8–1.7% (−0.1–3.0)</w:t>
            </w:r>
          </w:p>
        </w:tc>
        <w:tc>
          <w:tcPr>
            <w:tcW w:w="2200" w:type="dxa"/>
            <w:tcMar>
              <w:top w:w="80" w:type="dxa"/>
              <w:left w:w="100" w:type="dxa"/>
              <w:bottom w:w="80" w:type="dxa"/>
              <w:right w:w="100" w:type="dxa"/>
            </w:tcMar>
          </w:tcPr>
          <w:p w14:paraId="2CE69831" w14:textId="77777777" w:rsidR="00E84CFA" w:rsidRPr="009E5F91" w:rsidRDefault="00000000" w:rsidP="00E91CEA">
            <w:pPr>
              <w:jc w:val="center"/>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0–2</w:t>
            </w:r>
          </w:p>
        </w:tc>
      </w:tr>
      <w:tr w:rsidR="00E84CFA" w:rsidRPr="009E5F91" w14:paraId="6E2BBD57" w14:textId="77777777" w:rsidTr="00E91CEA">
        <w:trPr>
          <w:jc w:val="center"/>
        </w:trPr>
        <w:tc>
          <w:tcPr>
            <w:tcW w:w="1980" w:type="dxa"/>
            <w:tcMar>
              <w:top w:w="80" w:type="dxa"/>
              <w:left w:w="100" w:type="dxa"/>
              <w:bottom w:w="80" w:type="dxa"/>
              <w:right w:w="100" w:type="dxa"/>
            </w:tcMar>
          </w:tcPr>
          <w:p w14:paraId="5890840B" w14:textId="77777777" w:rsidR="00E84CFA" w:rsidRPr="009E5F91" w:rsidRDefault="00000000" w:rsidP="00E91CEA">
            <w:pPr>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O3 (warm season)</w:t>
            </w:r>
          </w:p>
        </w:tc>
        <w:tc>
          <w:tcPr>
            <w:tcW w:w="2600" w:type="dxa"/>
            <w:tcMar>
              <w:top w:w="80" w:type="dxa"/>
              <w:left w:w="100" w:type="dxa"/>
              <w:bottom w:w="80" w:type="dxa"/>
              <w:right w:w="100" w:type="dxa"/>
            </w:tcMar>
          </w:tcPr>
          <w:p w14:paraId="3B266D64" w14:textId="77777777" w:rsidR="00E84CFA" w:rsidRPr="009E5F91" w:rsidRDefault="00000000" w:rsidP="00E91CEA">
            <w:pPr>
              <w:jc w:val="center"/>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1.2–2.4% (0.2–3.8)</w:t>
            </w:r>
          </w:p>
        </w:tc>
        <w:tc>
          <w:tcPr>
            <w:tcW w:w="2600" w:type="dxa"/>
            <w:tcMar>
              <w:top w:w="80" w:type="dxa"/>
              <w:left w:w="100" w:type="dxa"/>
              <w:bottom w:w="80" w:type="dxa"/>
              <w:right w:w="100" w:type="dxa"/>
            </w:tcMar>
          </w:tcPr>
          <w:p w14:paraId="4C3F7589" w14:textId="77777777" w:rsidR="00E84CFA" w:rsidRPr="009E5F91" w:rsidRDefault="00000000" w:rsidP="00E91CEA">
            <w:pPr>
              <w:jc w:val="center"/>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0.6–1.5% (−0.2–2.7)</w:t>
            </w:r>
          </w:p>
        </w:tc>
        <w:tc>
          <w:tcPr>
            <w:tcW w:w="2200" w:type="dxa"/>
            <w:tcMar>
              <w:top w:w="80" w:type="dxa"/>
              <w:left w:w="100" w:type="dxa"/>
              <w:bottom w:w="80" w:type="dxa"/>
              <w:right w:w="100" w:type="dxa"/>
            </w:tcMar>
          </w:tcPr>
          <w:p w14:paraId="398CEB4D" w14:textId="77777777" w:rsidR="00E84CFA" w:rsidRPr="009E5F91" w:rsidRDefault="00000000" w:rsidP="00E91CEA">
            <w:pPr>
              <w:jc w:val="center"/>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0–1</w:t>
            </w:r>
          </w:p>
        </w:tc>
      </w:tr>
    </w:tbl>
    <w:p w14:paraId="1C1FE03F" w14:textId="77777777" w:rsidR="00E84CFA" w:rsidRPr="009E5F91" w:rsidRDefault="00000000" w:rsidP="009E5F91">
      <w:pPr>
        <w:spacing w:before="200" w:after="60" w:line="360" w:lineRule="auto"/>
        <w:jc w:val="center"/>
        <w:rPr>
          <w:rFonts w:ascii="Times New Roman" w:hAnsi="Times New Roman" w:cs="Times New Roman"/>
          <w:color w:val="000000" w:themeColor="text1"/>
          <w:sz w:val="24"/>
          <w:szCs w:val="24"/>
        </w:rPr>
      </w:pPr>
      <w:r w:rsidRPr="009E5F91">
        <w:rPr>
          <w:rFonts w:ascii="Times New Roman" w:hAnsi="Times New Roman" w:cs="Times New Roman"/>
          <w:noProof/>
          <w:color w:val="000000" w:themeColor="text1"/>
          <w:sz w:val="24"/>
          <w:szCs w:val="24"/>
        </w:rPr>
        <w:lastRenderedPageBreak/>
        <w:drawing>
          <wp:inline distT="0" distB="0" distL="0" distR="0" wp14:anchorId="2E47DBF6" wp14:editId="15CE3BCB">
            <wp:extent cx="5124450" cy="3086100"/>
            <wp:effectExtent l="0" t="0" r="0" b="0"/>
            <wp:docPr id="100706796" name="Picture 100706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5124450" cy="3086100"/>
                    </a:xfrm>
                    <a:prstGeom prst="rect">
                      <a:avLst/>
                    </a:prstGeom>
                  </pic:spPr>
                </pic:pic>
              </a:graphicData>
            </a:graphic>
          </wp:inline>
        </w:drawing>
      </w:r>
    </w:p>
    <w:p w14:paraId="0DEA8ABC" w14:textId="77777777" w:rsidR="00E84CFA" w:rsidRDefault="00000000" w:rsidP="00E91CEA">
      <w:pPr>
        <w:spacing w:before="80" w:after="240"/>
        <w:jc w:val="center"/>
        <w:rPr>
          <w:rFonts w:ascii="Times New Roman" w:hAnsi="Times New Roman" w:cs="Times New Roman"/>
          <w:b/>
          <w:bCs/>
          <w:i/>
          <w:iCs/>
          <w:color w:val="000000" w:themeColor="text1"/>
          <w:sz w:val="24"/>
          <w:szCs w:val="24"/>
        </w:rPr>
      </w:pPr>
      <w:r w:rsidRPr="00E91CEA">
        <w:rPr>
          <w:rFonts w:ascii="Times New Roman" w:hAnsi="Times New Roman" w:cs="Times New Roman"/>
          <w:b/>
          <w:bCs/>
          <w:i/>
          <w:iCs/>
          <w:color w:val="000000" w:themeColor="text1"/>
          <w:sz w:val="24"/>
          <w:szCs w:val="24"/>
        </w:rPr>
        <w:t>Figure 6. Illustrative non-linear exposure–response relationship between PM2.5 concentration and relative risk of respiratory hospital admission, estimated via penalised GAM smooth (cumulative lag 0–2 days).</w:t>
      </w:r>
    </w:p>
    <w:p w14:paraId="04C1495D" w14:textId="77777777" w:rsidR="00E91CEA" w:rsidRPr="00E91CEA" w:rsidRDefault="00E91CEA" w:rsidP="00E91CEA">
      <w:pPr>
        <w:spacing w:before="80" w:after="240"/>
        <w:jc w:val="center"/>
        <w:rPr>
          <w:rFonts w:ascii="Times New Roman" w:hAnsi="Times New Roman" w:cs="Times New Roman"/>
          <w:b/>
          <w:bCs/>
          <w:color w:val="000000" w:themeColor="text1"/>
          <w:sz w:val="24"/>
          <w:szCs w:val="24"/>
        </w:rPr>
      </w:pPr>
    </w:p>
    <w:p w14:paraId="79D90A76" w14:textId="77777777" w:rsidR="00E84CFA" w:rsidRPr="009E5F91" w:rsidRDefault="00000000" w:rsidP="009E5F91">
      <w:pPr>
        <w:spacing w:after="200" w:line="360" w:lineRule="auto"/>
        <w:jc w:val="both"/>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Effect estimates for older adults (≥65 years) and children (&lt;15 years) are typically larger than for the working-age group, reflecting greater physiological susceptibility, higher baseline prevalence of chronic respiratory and cardiovascular disease among the elderly, and immature airway defences in children. Two-pollutant models generally show that the PM2.5 association is robust to adjustment for NO2, whereas the NO2 association attenuates somewhat when co-adjusted for PM2.5, suggesting that particulate matter and traffic-related co-pollutants jointly, rather than NO2 alone, are likely to be driving a substantial share of the observed respiratory and cardiovascular burden — a pattern consistent with multi-city findings from the APHEA and NMMAPS study collaborations (</w:t>
      </w:r>
      <w:proofErr w:type="spellStart"/>
      <w:r w:rsidRPr="009E5F91">
        <w:rPr>
          <w:rFonts w:ascii="Times New Roman" w:hAnsi="Times New Roman" w:cs="Times New Roman"/>
          <w:color w:val="000000" w:themeColor="text1"/>
          <w:sz w:val="24"/>
          <w:szCs w:val="24"/>
        </w:rPr>
        <w:t>Katsouyanni</w:t>
      </w:r>
      <w:proofErr w:type="spellEnd"/>
      <w:r w:rsidRPr="009E5F91">
        <w:rPr>
          <w:rFonts w:ascii="Times New Roman" w:hAnsi="Times New Roman" w:cs="Times New Roman"/>
          <w:color w:val="000000" w:themeColor="text1"/>
          <w:sz w:val="24"/>
          <w:szCs w:val="24"/>
        </w:rPr>
        <w:t xml:space="preserve"> et al., 2001; Samet et al., 2000).</w:t>
      </w:r>
    </w:p>
    <w:p w14:paraId="16734B9A" w14:textId="77777777" w:rsidR="00E84CFA" w:rsidRPr="009E5F91" w:rsidRDefault="00000000" w:rsidP="009E5F91">
      <w:pPr>
        <w:pStyle w:val="Heading2"/>
        <w:spacing w:before="260" w:after="140" w:line="360" w:lineRule="auto"/>
        <w:rPr>
          <w:rFonts w:ascii="Times New Roman" w:hAnsi="Times New Roman" w:cs="Times New Roman"/>
          <w:color w:val="000000" w:themeColor="text1"/>
          <w:sz w:val="24"/>
          <w:szCs w:val="24"/>
        </w:rPr>
      </w:pPr>
      <w:r w:rsidRPr="009E5F91">
        <w:rPr>
          <w:rFonts w:ascii="Times New Roman" w:hAnsi="Times New Roman" w:cs="Times New Roman"/>
          <w:b/>
          <w:bCs/>
          <w:color w:val="000000" w:themeColor="text1"/>
          <w:sz w:val="24"/>
          <w:szCs w:val="24"/>
        </w:rPr>
        <w:t>3.6 Comparison with the Literature and Policy Implications</w:t>
      </w:r>
    </w:p>
    <w:p w14:paraId="60281ACD" w14:textId="77777777" w:rsidR="00E84CFA" w:rsidRPr="009E5F91" w:rsidRDefault="00000000" w:rsidP="009E5F91">
      <w:pPr>
        <w:spacing w:after="200" w:line="360" w:lineRule="auto"/>
        <w:jc w:val="both"/>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 xml:space="preserve">The pattern of results generated by this framework — dominance of particulate matter and NO2 as health-relevant pollutants, strong meteorological modification of exposure, and consistently higher risk at traffic-proximate sites — aligns closely with findings from major international cohort and time-series studies, including the Global Burden of Disease air pollution analyses (Cohen et al., 2017) and the WHO systematic review underpinning the 2021 Air Quality Guidelines (WHO, 2021). This convergence </w:t>
      </w:r>
      <w:r w:rsidRPr="009E5F91">
        <w:rPr>
          <w:rFonts w:ascii="Times New Roman" w:hAnsi="Times New Roman" w:cs="Times New Roman"/>
          <w:color w:val="000000" w:themeColor="text1"/>
          <w:sz w:val="24"/>
          <w:szCs w:val="24"/>
        </w:rPr>
        <w:lastRenderedPageBreak/>
        <w:t>supports the validity of the multi-parameter, multi-site design as a transferable methodology. From a policy perspective, the results support three priority interventions: (</w:t>
      </w:r>
      <w:proofErr w:type="spellStart"/>
      <w:r w:rsidRPr="009E5F91">
        <w:rPr>
          <w:rFonts w:ascii="Times New Roman" w:hAnsi="Times New Roman" w:cs="Times New Roman"/>
          <w:color w:val="000000" w:themeColor="text1"/>
          <w:sz w:val="24"/>
          <w:szCs w:val="24"/>
        </w:rPr>
        <w:t>i</w:t>
      </w:r>
      <w:proofErr w:type="spellEnd"/>
      <w:r w:rsidRPr="009E5F91">
        <w:rPr>
          <w:rFonts w:ascii="Times New Roman" w:hAnsi="Times New Roman" w:cs="Times New Roman"/>
          <w:color w:val="000000" w:themeColor="text1"/>
          <w:sz w:val="24"/>
          <w:szCs w:val="24"/>
        </w:rPr>
        <w:t>) targeted traffic-emission reduction measures (low-emission zones, public transport investment) at high-exposure roadside corridors; (ii) integration of real-time multi-pollutant AQI reporting — rather than single-pollutant reporting — into public health-warning systems, particularly for at-risk groups during adverse meteorological (low-dispersion) episodes; and (iii) land-use planning measures that increase separation between major emission sources and sensitive receptors such as schools, hospitals, and residential areas for the elderly.</w:t>
      </w:r>
    </w:p>
    <w:p w14:paraId="7D990BBA" w14:textId="77777777" w:rsidR="00E84CFA" w:rsidRPr="009E5F91" w:rsidRDefault="00000000" w:rsidP="009E5F91">
      <w:pPr>
        <w:pStyle w:val="Heading1"/>
        <w:spacing w:before="360" w:after="180" w:line="360" w:lineRule="auto"/>
        <w:rPr>
          <w:rFonts w:ascii="Times New Roman" w:hAnsi="Times New Roman" w:cs="Times New Roman"/>
          <w:color w:val="000000" w:themeColor="text1"/>
          <w:sz w:val="24"/>
          <w:szCs w:val="24"/>
        </w:rPr>
      </w:pPr>
      <w:r w:rsidRPr="009E5F91">
        <w:rPr>
          <w:rFonts w:ascii="Times New Roman" w:hAnsi="Times New Roman" w:cs="Times New Roman"/>
          <w:b/>
          <w:bCs/>
          <w:color w:val="000000" w:themeColor="text1"/>
          <w:sz w:val="24"/>
          <w:szCs w:val="24"/>
        </w:rPr>
        <w:t>4. Conclusion</w:t>
      </w:r>
    </w:p>
    <w:p w14:paraId="7363D5EE" w14:textId="77777777" w:rsidR="00E84CFA" w:rsidRPr="009E5F91" w:rsidRDefault="00000000" w:rsidP="009E5F91">
      <w:pPr>
        <w:spacing w:after="200" w:line="360" w:lineRule="auto"/>
        <w:jc w:val="both"/>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This study demonstrates the value of an integrated, multi-parameter approach to urban air quality and health impact assessment that jointly characterises criteria pollutants, meteorological drivers, and health outcome data within a unified spatial and statistical framework. The composite AQI and cumulative pollution burden index together provide a more complete picture of population exposure than single-pollutant reporting alone, while distributed-lag generalised additive models allow health effects to be quantified with appropriate control for meteorological confounding, seasonality, and co-pollutant correlation. Particulate matter (PM2.5, PM10) and NO2 emerge as the pollutants most consistently and robustly associated with respiratory and cardiovascular hospital utilisation, with traffic-proximate urban microenvironments bearing a disproportionate exposure and health burden. The framework presented here is designed to be readily transferable to other urban settings with varying monitoring infrastructure and can directly inform air-quality management strategies, public health early-warning systems, and health-protective urban planning. Future work applying this framework to empirical, city-specific datasets — ideally incorporating individual-level exposure assessment, low-cost sensor densification, and long-term cohort follow-up — will further strengthen causal inference and support the design of targeted, cost-effective interventions to reduce the urban air pollution health burden.</w:t>
      </w:r>
    </w:p>
    <w:p w14:paraId="5812F2F0" w14:textId="77777777" w:rsidR="00E84CFA" w:rsidRPr="009E5F91" w:rsidRDefault="00000000" w:rsidP="009E5F91">
      <w:pPr>
        <w:pStyle w:val="Heading2"/>
        <w:spacing w:before="260" w:after="140" w:line="360" w:lineRule="auto"/>
        <w:rPr>
          <w:rFonts w:ascii="Times New Roman" w:hAnsi="Times New Roman" w:cs="Times New Roman"/>
          <w:color w:val="000000" w:themeColor="text1"/>
          <w:sz w:val="24"/>
          <w:szCs w:val="24"/>
        </w:rPr>
      </w:pPr>
      <w:r w:rsidRPr="009E5F91">
        <w:rPr>
          <w:rFonts w:ascii="Times New Roman" w:hAnsi="Times New Roman" w:cs="Times New Roman"/>
          <w:b/>
          <w:bCs/>
          <w:color w:val="000000" w:themeColor="text1"/>
          <w:sz w:val="24"/>
          <w:szCs w:val="24"/>
        </w:rPr>
        <w:t>Limitations</w:t>
      </w:r>
    </w:p>
    <w:p w14:paraId="69FEB52E" w14:textId="77777777" w:rsidR="00E84CFA" w:rsidRPr="009E5F91" w:rsidRDefault="00000000" w:rsidP="009E5F91">
      <w:pPr>
        <w:pStyle w:val="ListParagraph"/>
        <w:numPr>
          <w:ilvl w:val="0"/>
          <w:numId w:val="2"/>
        </w:numPr>
        <w:spacing w:after="100" w:line="360" w:lineRule="auto"/>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Ecological time-series designs are subject to residual confounding and cannot establish individual-level causality; results should be interpreted as population-level associations.</w:t>
      </w:r>
    </w:p>
    <w:p w14:paraId="6B79974D" w14:textId="77777777" w:rsidR="00E84CFA" w:rsidRPr="009E5F91" w:rsidRDefault="00000000" w:rsidP="009E5F91">
      <w:pPr>
        <w:pStyle w:val="ListParagraph"/>
        <w:numPr>
          <w:ilvl w:val="0"/>
          <w:numId w:val="2"/>
        </w:numPr>
        <w:spacing w:after="100" w:line="360" w:lineRule="auto"/>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Fixed-site monitors may not fully capture personal exposure heterogeneity, particularly for populations with high time-activity mobility.</w:t>
      </w:r>
    </w:p>
    <w:p w14:paraId="32AE4CE6" w14:textId="77777777" w:rsidR="00E84CFA" w:rsidRPr="009E5F91" w:rsidRDefault="00000000" w:rsidP="009E5F91">
      <w:pPr>
        <w:pStyle w:val="ListParagraph"/>
        <w:numPr>
          <w:ilvl w:val="0"/>
          <w:numId w:val="2"/>
        </w:numPr>
        <w:spacing w:after="100" w:line="360" w:lineRule="auto"/>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lastRenderedPageBreak/>
        <w:t>Health outcome data restricted to hospital presentations may underestimate the true burden, excluding milder cases managed in primary care or self-treated at home.</w:t>
      </w:r>
    </w:p>
    <w:p w14:paraId="63C8EAFF" w14:textId="77777777" w:rsidR="00E84CFA" w:rsidRPr="009E5F91" w:rsidRDefault="00000000" w:rsidP="009E5F91">
      <w:pPr>
        <w:pStyle w:val="ListParagraph"/>
        <w:numPr>
          <w:ilvl w:val="0"/>
          <w:numId w:val="2"/>
        </w:numPr>
        <w:spacing w:after="100" w:line="360" w:lineRule="auto"/>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Harvesting/mortality displacement and long-term cumulative exposure effects are not fully captured by short-term time-series designs and require complementary cohort-based analyses.</w:t>
      </w:r>
    </w:p>
    <w:p w14:paraId="3F45C016" w14:textId="77777777" w:rsidR="00E84CFA" w:rsidRPr="009E5F91" w:rsidRDefault="00000000" w:rsidP="009E5F91">
      <w:pPr>
        <w:pStyle w:val="Heading1"/>
        <w:spacing w:before="360" w:after="180" w:line="360" w:lineRule="auto"/>
        <w:rPr>
          <w:rFonts w:ascii="Times New Roman" w:hAnsi="Times New Roman" w:cs="Times New Roman"/>
          <w:color w:val="000000" w:themeColor="text1"/>
          <w:sz w:val="24"/>
          <w:szCs w:val="24"/>
        </w:rPr>
      </w:pPr>
      <w:r w:rsidRPr="009E5F91">
        <w:rPr>
          <w:rFonts w:ascii="Times New Roman" w:hAnsi="Times New Roman" w:cs="Times New Roman"/>
          <w:b/>
          <w:bCs/>
          <w:color w:val="000000" w:themeColor="text1"/>
          <w:sz w:val="24"/>
          <w:szCs w:val="24"/>
        </w:rPr>
        <w:t>5. References</w:t>
      </w:r>
    </w:p>
    <w:p w14:paraId="71E6D558" w14:textId="77777777" w:rsidR="00E84CFA" w:rsidRPr="009E5F91" w:rsidRDefault="00000000" w:rsidP="00E91CEA">
      <w:pPr>
        <w:spacing w:after="160"/>
        <w:ind w:left="360" w:hanging="360"/>
        <w:rPr>
          <w:rFonts w:ascii="Times New Roman" w:hAnsi="Times New Roman" w:cs="Times New Roman"/>
          <w:color w:val="000000" w:themeColor="text1"/>
          <w:sz w:val="24"/>
          <w:szCs w:val="24"/>
        </w:rPr>
      </w:pPr>
      <w:proofErr w:type="spellStart"/>
      <w:r w:rsidRPr="009E5F91">
        <w:rPr>
          <w:rFonts w:ascii="Times New Roman" w:hAnsi="Times New Roman" w:cs="Times New Roman"/>
          <w:color w:val="000000" w:themeColor="text1"/>
          <w:sz w:val="24"/>
          <w:szCs w:val="24"/>
        </w:rPr>
        <w:t>Analitis</w:t>
      </w:r>
      <w:proofErr w:type="spellEnd"/>
      <w:r w:rsidRPr="009E5F91">
        <w:rPr>
          <w:rFonts w:ascii="Times New Roman" w:hAnsi="Times New Roman" w:cs="Times New Roman"/>
          <w:color w:val="000000" w:themeColor="text1"/>
          <w:sz w:val="24"/>
          <w:szCs w:val="24"/>
        </w:rPr>
        <w:t xml:space="preserve">, A., </w:t>
      </w:r>
      <w:proofErr w:type="spellStart"/>
      <w:r w:rsidRPr="009E5F91">
        <w:rPr>
          <w:rFonts w:ascii="Times New Roman" w:hAnsi="Times New Roman" w:cs="Times New Roman"/>
          <w:color w:val="000000" w:themeColor="text1"/>
          <w:sz w:val="24"/>
          <w:szCs w:val="24"/>
        </w:rPr>
        <w:t>Katsouyanni</w:t>
      </w:r>
      <w:proofErr w:type="spellEnd"/>
      <w:r w:rsidRPr="009E5F91">
        <w:rPr>
          <w:rFonts w:ascii="Times New Roman" w:hAnsi="Times New Roman" w:cs="Times New Roman"/>
          <w:color w:val="000000" w:themeColor="text1"/>
          <w:sz w:val="24"/>
          <w:szCs w:val="24"/>
        </w:rPr>
        <w:t xml:space="preserve">, K., </w:t>
      </w:r>
      <w:proofErr w:type="spellStart"/>
      <w:r w:rsidRPr="009E5F91">
        <w:rPr>
          <w:rFonts w:ascii="Times New Roman" w:hAnsi="Times New Roman" w:cs="Times New Roman"/>
          <w:color w:val="000000" w:themeColor="text1"/>
          <w:sz w:val="24"/>
          <w:szCs w:val="24"/>
        </w:rPr>
        <w:t>Biggeri</w:t>
      </w:r>
      <w:proofErr w:type="spellEnd"/>
      <w:r w:rsidRPr="009E5F91">
        <w:rPr>
          <w:rFonts w:ascii="Times New Roman" w:hAnsi="Times New Roman" w:cs="Times New Roman"/>
          <w:color w:val="000000" w:themeColor="text1"/>
          <w:sz w:val="24"/>
          <w:szCs w:val="24"/>
        </w:rPr>
        <w:t xml:space="preserve">, A., Baccini, M., Forsberg, B., </w:t>
      </w:r>
      <w:proofErr w:type="spellStart"/>
      <w:r w:rsidRPr="009E5F91">
        <w:rPr>
          <w:rFonts w:ascii="Times New Roman" w:hAnsi="Times New Roman" w:cs="Times New Roman"/>
          <w:color w:val="000000" w:themeColor="text1"/>
          <w:sz w:val="24"/>
          <w:szCs w:val="24"/>
        </w:rPr>
        <w:t>Bisanti</w:t>
      </w:r>
      <w:proofErr w:type="spellEnd"/>
      <w:r w:rsidRPr="009E5F91">
        <w:rPr>
          <w:rFonts w:ascii="Times New Roman" w:hAnsi="Times New Roman" w:cs="Times New Roman"/>
          <w:color w:val="000000" w:themeColor="text1"/>
          <w:sz w:val="24"/>
          <w:szCs w:val="24"/>
        </w:rPr>
        <w:t xml:space="preserve">, L., ... &amp; </w:t>
      </w:r>
      <w:proofErr w:type="spellStart"/>
      <w:r w:rsidRPr="009E5F91">
        <w:rPr>
          <w:rFonts w:ascii="Times New Roman" w:hAnsi="Times New Roman" w:cs="Times New Roman"/>
          <w:color w:val="000000" w:themeColor="text1"/>
          <w:sz w:val="24"/>
          <w:szCs w:val="24"/>
        </w:rPr>
        <w:t>Michelozzi</w:t>
      </w:r>
      <w:proofErr w:type="spellEnd"/>
      <w:r w:rsidRPr="009E5F91">
        <w:rPr>
          <w:rFonts w:ascii="Times New Roman" w:hAnsi="Times New Roman" w:cs="Times New Roman"/>
          <w:color w:val="000000" w:themeColor="text1"/>
          <w:sz w:val="24"/>
          <w:szCs w:val="24"/>
        </w:rPr>
        <w:t>, P. (2006). Effects of cold weather on mortality: results from 15 European cities within the PHEWE project. American Journal of Epidemiology, 168(12), 1397–1408.</w:t>
      </w:r>
    </w:p>
    <w:p w14:paraId="3F938A81" w14:textId="77777777" w:rsidR="00E84CFA" w:rsidRPr="009E5F91" w:rsidRDefault="00000000" w:rsidP="00E91CEA">
      <w:pPr>
        <w:spacing w:after="160"/>
        <w:ind w:left="360" w:hanging="360"/>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Brook, R. D., Rajagopalan, S., Pope, C. A., Brook, J. R., Bhatnagar, A., Diez-Roux, A. V., ... &amp; Kaufman, J. D. (2010). Particulate matter air pollution and cardiovascular disease: an update to the scientific statement from the American Heart Association. Circulation, 121(21), 2331–2378.</w:t>
      </w:r>
    </w:p>
    <w:p w14:paraId="1A354252" w14:textId="77777777" w:rsidR="00E84CFA" w:rsidRPr="009E5F91" w:rsidRDefault="00000000" w:rsidP="00E91CEA">
      <w:pPr>
        <w:spacing w:after="160"/>
        <w:ind w:left="360" w:hanging="360"/>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 xml:space="preserve">Cohen, A. J., Brauer, M., Burnett, R., Anderson, H. R., Frostad, J., Estep, K., ... &amp; </w:t>
      </w:r>
      <w:proofErr w:type="spellStart"/>
      <w:r w:rsidRPr="009E5F91">
        <w:rPr>
          <w:rFonts w:ascii="Times New Roman" w:hAnsi="Times New Roman" w:cs="Times New Roman"/>
          <w:color w:val="000000" w:themeColor="text1"/>
          <w:sz w:val="24"/>
          <w:szCs w:val="24"/>
        </w:rPr>
        <w:t>Forouzanfar</w:t>
      </w:r>
      <w:proofErr w:type="spellEnd"/>
      <w:r w:rsidRPr="009E5F91">
        <w:rPr>
          <w:rFonts w:ascii="Times New Roman" w:hAnsi="Times New Roman" w:cs="Times New Roman"/>
          <w:color w:val="000000" w:themeColor="text1"/>
          <w:sz w:val="24"/>
          <w:szCs w:val="24"/>
        </w:rPr>
        <w:t>, M. H. (2017). Estimates and 25-year trends of the global burden of disease attributable to ambient air pollution: an analysis of data from the Global Burden of Diseases Study 2015. The Lancet, 389(10082), 1907–1918.</w:t>
      </w:r>
    </w:p>
    <w:p w14:paraId="083DF3E6" w14:textId="77777777" w:rsidR="00E84CFA" w:rsidRPr="009E5F91" w:rsidRDefault="00000000" w:rsidP="00E91CEA">
      <w:pPr>
        <w:spacing w:after="160"/>
        <w:ind w:left="360" w:hanging="360"/>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Dockery, D. W., Pope, C. A., Xu, X., Spengler, J. D., Ware, J. H., Fay, M. E., ... &amp; Speizer, F. E. (1993). An association between air pollution and mortality in six U.S. cities. New England Journal of Medicine, 329(24), 1753–1759.</w:t>
      </w:r>
    </w:p>
    <w:p w14:paraId="4BC26332" w14:textId="77777777" w:rsidR="00E84CFA" w:rsidRPr="009E5F91" w:rsidRDefault="00000000" w:rsidP="00E91CEA">
      <w:pPr>
        <w:spacing w:after="160"/>
        <w:ind w:left="360" w:hanging="360"/>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 xml:space="preserve">Dominici, F., Peng, R. D., Barr, C. D., &amp; Bell, M. L. (2010). Protecting human health from air pollution: shifting from a </w:t>
      </w:r>
      <w:proofErr w:type="gramStart"/>
      <w:r w:rsidRPr="009E5F91">
        <w:rPr>
          <w:rFonts w:ascii="Times New Roman" w:hAnsi="Times New Roman" w:cs="Times New Roman"/>
          <w:color w:val="000000" w:themeColor="text1"/>
          <w:sz w:val="24"/>
          <w:szCs w:val="24"/>
        </w:rPr>
        <w:t>single-pollutant</w:t>
      </w:r>
      <w:proofErr w:type="gramEnd"/>
      <w:r w:rsidRPr="009E5F91">
        <w:rPr>
          <w:rFonts w:ascii="Times New Roman" w:hAnsi="Times New Roman" w:cs="Times New Roman"/>
          <w:color w:val="000000" w:themeColor="text1"/>
          <w:sz w:val="24"/>
          <w:szCs w:val="24"/>
        </w:rPr>
        <w:t xml:space="preserve"> to a multi-pollutant approach. Epidemiology, 21(2), 187–194.</w:t>
      </w:r>
    </w:p>
    <w:p w14:paraId="7B64482E" w14:textId="77777777" w:rsidR="00E84CFA" w:rsidRPr="009E5F91" w:rsidRDefault="00000000" w:rsidP="00E91CEA">
      <w:pPr>
        <w:spacing w:after="160"/>
        <w:ind w:left="360" w:hanging="360"/>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Health Effects Institute (HEI). (2020). State of Global Air 2020. Boston, MA: Health Effects Institute.</w:t>
      </w:r>
    </w:p>
    <w:p w14:paraId="513216CE" w14:textId="77777777" w:rsidR="00E84CFA" w:rsidRPr="009E5F91" w:rsidRDefault="00000000" w:rsidP="00E91CEA">
      <w:pPr>
        <w:spacing w:after="160"/>
        <w:ind w:left="360" w:hanging="360"/>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Karner, A. A., Eisinger, D. S., &amp; Niemeier, D. A. (2010). Near-roadway air quality: synthesizing the findings from real-world data. Environmental Science &amp; Technology, 44(14), 5334–5344.</w:t>
      </w:r>
    </w:p>
    <w:p w14:paraId="09A1ADB0" w14:textId="77777777" w:rsidR="00E84CFA" w:rsidRPr="009E5F91" w:rsidRDefault="00000000" w:rsidP="00E91CEA">
      <w:pPr>
        <w:spacing w:after="160"/>
        <w:ind w:left="360" w:hanging="360"/>
        <w:rPr>
          <w:rFonts w:ascii="Times New Roman" w:hAnsi="Times New Roman" w:cs="Times New Roman"/>
          <w:color w:val="000000" w:themeColor="text1"/>
          <w:sz w:val="24"/>
          <w:szCs w:val="24"/>
        </w:rPr>
      </w:pPr>
      <w:proofErr w:type="spellStart"/>
      <w:r w:rsidRPr="009E5F91">
        <w:rPr>
          <w:rFonts w:ascii="Times New Roman" w:hAnsi="Times New Roman" w:cs="Times New Roman"/>
          <w:color w:val="000000" w:themeColor="text1"/>
          <w:sz w:val="24"/>
          <w:szCs w:val="24"/>
        </w:rPr>
        <w:t>Katsouyanni</w:t>
      </w:r>
      <w:proofErr w:type="spellEnd"/>
      <w:r w:rsidRPr="009E5F91">
        <w:rPr>
          <w:rFonts w:ascii="Times New Roman" w:hAnsi="Times New Roman" w:cs="Times New Roman"/>
          <w:color w:val="000000" w:themeColor="text1"/>
          <w:sz w:val="24"/>
          <w:szCs w:val="24"/>
        </w:rPr>
        <w:t xml:space="preserve">, K., Touloumi, G., </w:t>
      </w:r>
      <w:proofErr w:type="spellStart"/>
      <w:r w:rsidRPr="009E5F91">
        <w:rPr>
          <w:rFonts w:ascii="Times New Roman" w:hAnsi="Times New Roman" w:cs="Times New Roman"/>
          <w:color w:val="000000" w:themeColor="text1"/>
          <w:sz w:val="24"/>
          <w:szCs w:val="24"/>
        </w:rPr>
        <w:t>Samoli</w:t>
      </w:r>
      <w:proofErr w:type="spellEnd"/>
      <w:r w:rsidRPr="009E5F91">
        <w:rPr>
          <w:rFonts w:ascii="Times New Roman" w:hAnsi="Times New Roman" w:cs="Times New Roman"/>
          <w:color w:val="000000" w:themeColor="text1"/>
          <w:sz w:val="24"/>
          <w:szCs w:val="24"/>
        </w:rPr>
        <w:t xml:space="preserve">, E., </w:t>
      </w:r>
      <w:proofErr w:type="spellStart"/>
      <w:r w:rsidRPr="009E5F91">
        <w:rPr>
          <w:rFonts w:ascii="Times New Roman" w:hAnsi="Times New Roman" w:cs="Times New Roman"/>
          <w:color w:val="000000" w:themeColor="text1"/>
          <w:sz w:val="24"/>
          <w:szCs w:val="24"/>
        </w:rPr>
        <w:t>Gryparis</w:t>
      </w:r>
      <w:proofErr w:type="spellEnd"/>
      <w:r w:rsidRPr="009E5F91">
        <w:rPr>
          <w:rFonts w:ascii="Times New Roman" w:hAnsi="Times New Roman" w:cs="Times New Roman"/>
          <w:color w:val="000000" w:themeColor="text1"/>
          <w:sz w:val="24"/>
          <w:szCs w:val="24"/>
        </w:rPr>
        <w:t xml:space="preserve">, A., Le </w:t>
      </w:r>
      <w:proofErr w:type="spellStart"/>
      <w:r w:rsidRPr="009E5F91">
        <w:rPr>
          <w:rFonts w:ascii="Times New Roman" w:hAnsi="Times New Roman" w:cs="Times New Roman"/>
          <w:color w:val="000000" w:themeColor="text1"/>
          <w:sz w:val="24"/>
          <w:szCs w:val="24"/>
        </w:rPr>
        <w:t>Tertre</w:t>
      </w:r>
      <w:proofErr w:type="spellEnd"/>
      <w:r w:rsidRPr="009E5F91">
        <w:rPr>
          <w:rFonts w:ascii="Times New Roman" w:hAnsi="Times New Roman" w:cs="Times New Roman"/>
          <w:color w:val="000000" w:themeColor="text1"/>
          <w:sz w:val="24"/>
          <w:szCs w:val="24"/>
        </w:rPr>
        <w:t xml:space="preserve">, A., </w:t>
      </w:r>
      <w:proofErr w:type="spellStart"/>
      <w:r w:rsidRPr="009E5F91">
        <w:rPr>
          <w:rFonts w:ascii="Times New Roman" w:hAnsi="Times New Roman" w:cs="Times New Roman"/>
          <w:color w:val="000000" w:themeColor="text1"/>
          <w:sz w:val="24"/>
          <w:szCs w:val="24"/>
        </w:rPr>
        <w:t>Monopolis</w:t>
      </w:r>
      <w:proofErr w:type="spellEnd"/>
      <w:r w:rsidRPr="009E5F91">
        <w:rPr>
          <w:rFonts w:ascii="Times New Roman" w:hAnsi="Times New Roman" w:cs="Times New Roman"/>
          <w:color w:val="000000" w:themeColor="text1"/>
          <w:sz w:val="24"/>
          <w:szCs w:val="24"/>
        </w:rPr>
        <w:t>, Y., ... &amp; Schwartz, J. (2001). Confounding and effect modification in the short-term effects of ambient particles on total mortality: results from 29 European cities within the APHEA2 project. Epidemiology, 12(5), 521–531.</w:t>
      </w:r>
    </w:p>
    <w:p w14:paraId="1A90EC0B" w14:textId="77777777" w:rsidR="00E84CFA" w:rsidRPr="009E5F91" w:rsidRDefault="00000000" w:rsidP="00E91CEA">
      <w:pPr>
        <w:spacing w:after="160"/>
        <w:ind w:left="360" w:hanging="360"/>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 xml:space="preserve">Peng, R. D., Bell, M. L., </w:t>
      </w:r>
      <w:proofErr w:type="spellStart"/>
      <w:r w:rsidRPr="009E5F91">
        <w:rPr>
          <w:rFonts w:ascii="Times New Roman" w:hAnsi="Times New Roman" w:cs="Times New Roman"/>
          <w:color w:val="000000" w:themeColor="text1"/>
          <w:sz w:val="24"/>
          <w:szCs w:val="24"/>
        </w:rPr>
        <w:t>Geyh</w:t>
      </w:r>
      <w:proofErr w:type="spellEnd"/>
      <w:r w:rsidRPr="009E5F91">
        <w:rPr>
          <w:rFonts w:ascii="Times New Roman" w:hAnsi="Times New Roman" w:cs="Times New Roman"/>
          <w:color w:val="000000" w:themeColor="text1"/>
          <w:sz w:val="24"/>
          <w:szCs w:val="24"/>
        </w:rPr>
        <w:t>, A. S., McDermott, A., Zeger, S. L., Samet, J. M., &amp; Dominici, F. (2009). Emergency admissions for cardiovascular and respiratory diseases and the chemical composition of fine particle air pollution. Environmental Health Perspectives, 117(6), 957–963.</w:t>
      </w:r>
    </w:p>
    <w:p w14:paraId="44BC10D4" w14:textId="77777777" w:rsidR="00E84CFA" w:rsidRPr="009E5F91" w:rsidRDefault="00000000" w:rsidP="00E91CEA">
      <w:pPr>
        <w:spacing w:after="160"/>
        <w:ind w:left="360" w:hanging="360"/>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Pope, C. A., Burnett, R. T., Thun, M. J., Calle, E. E., Krewski, D., Ito, K., &amp; Thurston, G. D. (2002). Lung cancer, cardiopulmonary mortality, and long-term exposure to fine particulate air pollution. JAMA, 287(9), 1132–1141.</w:t>
      </w:r>
    </w:p>
    <w:p w14:paraId="7DDE5CA5" w14:textId="77777777" w:rsidR="00E84CFA" w:rsidRPr="009E5F91" w:rsidRDefault="00000000" w:rsidP="00E91CEA">
      <w:pPr>
        <w:spacing w:after="160"/>
        <w:ind w:left="360" w:hanging="360"/>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Rai, A. C., Kumar, P., Pilla, F., Skouloudis, A. N., Di Sabatino, S., Ratti, C., ... &amp; Rickerby, D. (2017). End-user perspective of low-cost sensors for outdoor air pollution monitoring. Science of the Total Environment, 607, 691–705.</w:t>
      </w:r>
    </w:p>
    <w:p w14:paraId="569518A8" w14:textId="77777777" w:rsidR="00E84CFA" w:rsidRPr="009E5F91" w:rsidRDefault="00000000" w:rsidP="00E91CEA">
      <w:pPr>
        <w:spacing w:after="160"/>
        <w:ind w:left="360" w:hanging="360"/>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lastRenderedPageBreak/>
        <w:t xml:space="preserve">Samet, J. M., Dominici, F., </w:t>
      </w:r>
      <w:proofErr w:type="spellStart"/>
      <w:r w:rsidRPr="009E5F91">
        <w:rPr>
          <w:rFonts w:ascii="Times New Roman" w:hAnsi="Times New Roman" w:cs="Times New Roman"/>
          <w:color w:val="000000" w:themeColor="text1"/>
          <w:sz w:val="24"/>
          <w:szCs w:val="24"/>
        </w:rPr>
        <w:t>Curriero</w:t>
      </w:r>
      <w:proofErr w:type="spellEnd"/>
      <w:r w:rsidRPr="009E5F91">
        <w:rPr>
          <w:rFonts w:ascii="Times New Roman" w:hAnsi="Times New Roman" w:cs="Times New Roman"/>
          <w:color w:val="000000" w:themeColor="text1"/>
          <w:sz w:val="24"/>
          <w:szCs w:val="24"/>
        </w:rPr>
        <w:t xml:space="preserve">, F. C., </w:t>
      </w:r>
      <w:proofErr w:type="spellStart"/>
      <w:r w:rsidRPr="009E5F91">
        <w:rPr>
          <w:rFonts w:ascii="Times New Roman" w:hAnsi="Times New Roman" w:cs="Times New Roman"/>
          <w:color w:val="000000" w:themeColor="text1"/>
          <w:sz w:val="24"/>
          <w:szCs w:val="24"/>
        </w:rPr>
        <w:t>Coursac</w:t>
      </w:r>
      <w:proofErr w:type="spellEnd"/>
      <w:r w:rsidRPr="009E5F91">
        <w:rPr>
          <w:rFonts w:ascii="Times New Roman" w:hAnsi="Times New Roman" w:cs="Times New Roman"/>
          <w:color w:val="000000" w:themeColor="text1"/>
          <w:sz w:val="24"/>
          <w:szCs w:val="24"/>
        </w:rPr>
        <w:t>, I., &amp; Zeger, S. L. (2000). Fine particulate air pollution and mortality in 20 U.S. cities, 1987–1994. New England Journal of Medicine, 343(24), 1742–1749.</w:t>
      </w:r>
    </w:p>
    <w:p w14:paraId="30DFC278" w14:textId="77777777" w:rsidR="00E84CFA" w:rsidRPr="009E5F91" w:rsidRDefault="00000000" w:rsidP="00E91CEA">
      <w:pPr>
        <w:spacing w:after="160"/>
        <w:ind w:left="360" w:hanging="360"/>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 xml:space="preserve">World Health Organization (WHO). (2021). WHO Global Air Quality Guidelines: Particulate Matter (PM2.5 and PM10), Ozone, Nitrogen Dioxide, </w:t>
      </w:r>
      <w:proofErr w:type="spellStart"/>
      <w:r w:rsidRPr="009E5F91">
        <w:rPr>
          <w:rFonts w:ascii="Times New Roman" w:hAnsi="Times New Roman" w:cs="Times New Roman"/>
          <w:color w:val="000000" w:themeColor="text1"/>
          <w:sz w:val="24"/>
          <w:szCs w:val="24"/>
        </w:rPr>
        <w:t>Sulfur</w:t>
      </w:r>
      <w:proofErr w:type="spellEnd"/>
      <w:r w:rsidRPr="009E5F91">
        <w:rPr>
          <w:rFonts w:ascii="Times New Roman" w:hAnsi="Times New Roman" w:cs="Times New Roman"/>
          <w:color w:val="000000" w:themeColor="text1"/>
          <w:sz w:val="24"/>
          <w:szCs w:val="24"/>
        </w:rPr>
        <w:t xml:space="preserve"> Dioxide and Carbon Monoxide. Geneva: World Health Organization.</w:t>
      </w:r>
    </w:p>
    <w:p w14:paraId="13343C7B" w14:textId="77777777" w:rsidR="00E84CFA" w:rsidRPr="009E5F91" w:rsidRDefault="00000000" w:rsidP="00E91CEA">
      <w:pPr>
        <w:spacing w:after="160"/>
        <w:ind w:left="360" w:hanging="360"/>
        <w:rPr>
          <w:rFonts w:ascii="Times New Roman" w:hAnsi="Times New Roman" w:cs="Times New Roman"/>
          <w:color w:val="000000" w:themeColor="text1"/>
          <w:sz w:val="24"/>
          <w:szCs w:val="24"/>
        </w:rPr>
      </w:pPr>
      <w:r w:rsidRPr="009E5F91">
        <w:rPr>
          <w:rFonts w:ascii="Times New Roman" w:hAnsi="Times New Roman" w:cs="Times New Roman"/>
          <w:color w:val="000000" w:themeColor="text1"/>
          <w:sz w:val="24"/>
          <w:szCs w:val="24"/>
        </w:rPr>
        <w:t xml:space="preserve">Zhang, Y., Bocquet, M., Mallet, V., </w:t>
      </w:r>
      <w:proofErr w:type="spellStart"/>
      <w:r w:rsidRPr="009E5F91">
        <w:rPr>
          <w:rFonts w:ascii="Times New Roman" w:hAnsi="Times New Roman" w:cs="Times New Roman"/>
          <w:color w:val="000000" w:themeColor="text1"/>
          <w:sz w:val="24"/>
          <w:szCs w:val="24"/>
        </w:rPr>
        <w:t>Seigneur</w:t>
      </w:r>
      <w:proofErr w:type="spellEnd"/>
      <w:r w:rsidRPr="009E5F91">
        <w:rPr>
          <w:rFonts w:ascii="Times New Roman" w:hAnsi="Times New Roman" w:cs="Times New Roman"/>
          <w:color w:val="000000" w:themeColor="text1"/>
          <w:sz w:val="24"/>
          <w:szCs w:val="24"/>
        </w:rPr>
        <w:t xml:space="preserve">, C., &amp; Baklanov, A. (2015). Real-time air quality forecasting, part I: History, techniques, and </w:t>
      </w:r>
      <w:proofErr w:type="gramStart"/>
      <w:r w:rsidRPr="009E5F91">
        <w:rPr>
          <w:rFonts w:ascii="Times New Roman" w:hAnsi="Times New Roman" w:cs="Times New Roman"/>
          <w:color w:val="000000" w:themeColor="text1"/>
          <w:sz w:val="24"/>
          <w:szCs w:val="24"/>
        </w:rPr>
        <w:t>current status</w:t>
      </w:r>
      <w:proofErr w:type="gramEnd"/>
      <w:r w:rsidRPr="009E5F91">
        <w:rPr>
          <w:rFonts w:ascii="Times New Roman" w:hAnsi="Times New Roman" w:cs="Times New Roman"/>
          <w:color w:val="000000" w:themeColor="text1"/>
          <w:sz w:val="24"/>
          <w:szCs w:val="24"/>
        </w:rPr>
        <w:t>. Atmospheric Environment, 60, 632–655.</w:t>
      </w:r>
    </w:p>
    <w:sectPr w:rsidR="00E84CFA" w:rsidRPr="009E5F91" w:rsidSect="009E5F91">
      <w:headerReference w:type="default" r:id="rId18"/>
      <w:footerReference w:type="default" r:id="rId19"/>
      <w:pgSz w:w="12240" w:h="15840"/>
      <w:pgMar w:top="1440" w:right="1080" w:bottom="1440" w:left="108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8821D" w14:textId="77777777" w:rsidR="00187D94" w:rsidRDefault="00187D94">
      <w:r>
        <w:separator/>
      </w:r>
    </w:p>
  </w:endnote>
  <w:endnote w:type="continuationSeparator" w:id="0">
    <w:p w14:paraId="58F7C459" w14:textId="77777777" w:rsidR="00187D94" w:rsidRDefault="00187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4B827" w14:textId="77777777" w:rsidR="00E84CFA" w:rsidRDefault="00000000">
    <w:pPr>
      <w:jc w:val="center"/>
    </w:pPr>
    <w:r>
      <w:rPr>
        <w:sz w:val="18"/>
        <w:szCs w:val="18"/>
      </w:rPr>
      <w:t xml:space="preserve">Page </w:t>
    </w:r>
    <w:r>
      <w:rPr>
        <w:sz w:val="18"/>
        <w:szCs w:val="18"/>
      </w:rPr>
      <w:fldChar w:fldCharType="begin"/>
    </w:r>
    <w:r>
      <w:rPr>
        <w:sz w:val="18"/>
        <w:szCs w:val="18"/>
      </w:rPr>
      <w:instrText>PAGE</w:instrText>
    </w:r>
    <w:r>
      <w:rPr>
        <w:sz w:val="18"/>
        <w:szCs w:val="18"/>
      </w:rPr>
      <w:fldChar w:fldCharType="separate"/>
    </w:r>
    <w:r w:rsidR="009E5F91">
      <w:rPr>
        <w:noProof/>
        <w:sz w:val="18"/>
        <w:szCs w:val="18"/>
      </w:rPr>
      <w:t>1</w:t>
    </w:r>
    <w:r>
      <w:rPr>
        <w:sz w:val="18"/>
        <w:szCs w:val="18"/>
      </w:rPr>
      <w:fldChar w:fldCharType="end"/>
    </w:r>
    <w:r>
      <w:rPr>
        <w:sz w:val="18"/>
        <w:szCs w:val="18"/>
      </w:rPr>
      <w:t xml:space="preserve"> of </w:t>
    </w:r>
    <w:r>
      <w:rPr>
        <w:sz w:val="18"/>
        <w:szCs w:val="18"/>
      </w:rPr>
      <w:fldChar w:fldCharType="begin"/>
    </w:r>
    <w:r>
      <w:rPr>
        <w:sz w:val="18"/>
        <w:szCs w:val="18"/>
      </w:rPr>
      <w:instrText>NUMPAGES</w:instrText>
    </w:r>
    <w:r>
      <w:rPr>
        <w:sz w:val="18"/>
        <w:szCs w:val="18"/>
      </w:rPr>
      <w:fldChar w:fldCharType="separate"/>
    </w:r>
    <w:r w:rsidR="009E5F91">
      <w:rPr>
        <w:noProof/>
        <w:sz w:val="18"/>
        <w:szCs w:val="18"/>
      </w:rPr>
      <w:t>2</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E5E15E" w14:textId="77777777" w:rsidR="00187D94" w:rsidRDefault="00187D94">
      <w:r>
        <w:separator/>
      </w:r>
    </w:p>
  </w:footnote>
  <w:footnote w:type="continuationSeparator" w:id="0">
    <w:p w14:paraId="30EDB923" w14:textId="77777777" w:rsidR="00187D94" w:rsidRDefault="00187D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911B8" w14:textId="1637A59C" w:rsidR="00E84CFA" w:rsidRDefault="00E84CFA">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4059B1"/>
    <w:multiLevelType w:val="hybridMultilevel"/>
    <w:tmpl w:val="4ADE7634"/>
    <w:lvl w:ilvl="0" w:tplc="180CD072">
      <w:start w:val="1"/>
      <w:numFmt w:val="bullet"/>
      <w:lvlText w:val="•"/>
      <w:lvlJc w:val="left"/>
      <w:pPr>
        <w:ind w:left="720" w:hanging="360"/>
      </w:pPr>
    </w:lvl>
    <w:lvl w:ilvl="1" w:tplc="2C065990">
      <w:numFmt w:val="decimal"/>
      <w:lvlText w:val=""/>
      <w:lvlJc w:val="left"/>
    </w:lvl>
    <w:lvl w:ilvl="2" w:tplc="3D26262A">
      <w:numFmt w:val="decimal"/>
      <w:lvlText w:val=""/>
      <w:lvlJc w:val="left"/>
    </w:lvl>
    <w:lvl w:ilvl="3" w:tplc="6BDA0FFA">
      <w:numFmt w:val="decimal"/>
      <w:lvlText w:val=""/>
      <w:lvlJc w:val="left"/>
    </w:lvl>
    <w:lvl w:ilvl="4" w:tplc="325EC49E">
      <w:numFmt w:val="decimal"/>
      <w:lvlText w:val=""/>
      <w:lvlJc w:val="left"/>
    </w:lvl>
    <w:lvl w:ilvl="5" w:tplc="9612CADE">
      <w:numFmt w:val="decimal"/>
      <w:lvlText w:val=""/>
      <w:lvlJc w:val="left"/>
    </w:lvl>
    <w:lvl w:ilvl="6" w:tplc="33ACB2A6">
      <w:numFmt w:val="decimal"/>
      <w:lvlText w:val=""/>
      <w:lvlJc w:val="left"/>
    </w:lvl>
    <w:lvl w:ilvl="7" w:tplc="33E0A45A">
      <w:numFmt w:val="decimal"/>
      <w:lvlText w:val=""/>
      <w:lvlJc w:val="left"/>
    </w:lvl>
    <w:lvl w:ilvl="8" w:tplc="C12C3574">
      <w:numFmt w:val="decimal"/>
      <w:lvlText w:val=""/>
      <w:lvlJc w:val="left"/>
    </w:lvl>
  </w:abstractNum>
  <w:abstractNum w:abstractNumId="1" w15:restartNumberingAfterBreak="0">
    <w:nsid w:val="67294B8A"/>
    <w:multiLevelType w:val="hybridMultilevel"/>
    <w:tmpl w:val="6AB65490"/>
    <w:lvl w:ilvl="0" w:tplc="A588D19A">
      <w:start w:val="1"/>
      <w:numFmt w:val="bullet"/>
      <w:lvlText w:val="●"/>
      <w:lvlJc w:val="left"/>
      <w:pPr>
        <w:ind w:left="720" w:hanging="360"/>
      </w:pPr>
    </w:lvl>
    <w:lvl w:ilvl="1" w:tplc="85465FE4">
      <w:start w:val="1"/>
      <w:numFmt w:val="bullet"/>
      <w:lvlText w:val="○"/>
      <w:lvlJc w:val="left"/>
      <w:pPr>
        <w:ind w:left="1440" w:hanging="360"/>
      </w:pPr>
    </w:lvl>
    <w:lvl w:ilvl="2" w:tplc="0D7A5542">
      <w:start w:val="1"/>
      <w:numFmt w:val="bullet"/>
      <w:lvlText w:val="■"/>
      <w:lvlJc w:val="left"/>
      <w:pPr>
        <w:ind w:left="2160" w:hanging="360"/>
      </w:pPr>
    </w:lvl>
    <w:lvl w:ilvl="3" w:tplc="58F07F72">
      <w:start w:val="1"/>
      <w:numFmt w:val="bullet"/>
      <w:lvlText w:val="●"/>
      <w:lvlJc w:val="left"/>
      <w:pPr>
        <w:ind w:left="2880" w:hanging="360"/>
      </w:pPr>
    </w:lvl>
    <w:lvl w:ilvl="4" w:tplc="D63A086E">
      <w:start w:val="1"/>
      <w:numFmt w:val="bullet"/>
      <w:lvlText w:val="○"/>
      <w:lvlJc w:val="left"/>
      <w:pPr>
        <w:ind w:left="3600" w:hanging="360"/>
      </w:pPr>
    </w:lvl>
    <w:lvl w:ilvl="5" w:tplc="BA1070DE">
      <w:start w:val="1"/>
      <w:numFmt w:val="bullet"/>
      <w:lvlText w:val="■"/>
      <w:lvlJc w:val="left"/>
      <w:pPr>
        <w:ind w:left="4320" w:hanging="360"/>
      </w:pPr>
    </w:lvl>
    <w:lvl w:ilvl="6" w:tplc="5EE84966">
      <w:start w:val="1"/>
      <w:numFmt w:val="bullet"/>
      <w:lvlText w:val="●"/>
      <w:lvlJc w:val="left"/>
      <w:pPr>
        <w:ind w:left="5040" w:hanging="360"/>
      </w:pPr>
    </w:lvl>
    <w:lvl w:ilvl="7" w:tplc="4CAE3C12">
      <w:start w:val="1"/>
      <w:numFmt w:val="bullet"/>
      <w:lvlText w:val="●"/>
      <w:lvlJc w:val="left"/>
      <w:pPr>
        <w:ind w:left="5760" w:hanging="360"/>
      </w:pPr>
    </w:lvl>
    <w:lvl w:ilvl="8" w:tplc="011A7F70">
      <w:start w:val="1"/>
      <w:numFmt w:val="bullet"/>
      <w:lvlText w:val="●"/>
      <w:lvlJc w:val="left"/>
      <w:pPr>
        <w:ind w:left="6480" w:hanging="360"/>
      </w:pPr>
    </w:lvl>
  </w:abstractNum>
  <w:num w:numId="1" w16cid:durableId="1829709502">
    <w:abstractNumId w:val="1"/>
    <w:lvlOverride w:ilvl="0">
      <w:startOverride w:val="1"/>
    </w:lvlOverride>
  </w:num>
  <w:num w:numId="2" w16cid:durableId="540557183">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CFA"/>
    <w:rsid w:val="00112A85"/>
    <w:rsid w:val="00187D94"/>
    <w:rsid w:val="002757BF"/>
    <w:rsid w:val="002B29A7"/>
    <w:rsid w:val="00367FD4"/>
    <w:rsid w:val="003D2A12"/>
    <w:rsid w:val="004258E6"/>
    <w:rsid w:val="00531F38"/>
    <w:rsid w:val="009065D3"/>
    <w:rsid w:val="009E5F91"/>
    <w:rsid w:val="00B87FC3"/>
    <w:rsid w:val="00BD7671"/>
    <w:rsid w:val="00E84CFA"/>
    <w:rsid w:val="00E91CEA"/>
    <w:rsid w:val="00ED7F7C"/>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92EE8"/>
  <w15:docId w15:val="{ACBEB2C6-007D-493A-95DA-F54B9CD8D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9E5F91"/>
    <w:pPr>
      <w:tabs>
        <w:tab w:val="center" w:pos="4513"/>
        <w:tab w:val="right" w:pos="9026"/>
      </w:tabs>
    </w:pPr>
  </w:style>
  <w:style w:type="character" w:customStyle="1" w:styleId="HeaderChar">
    <w:name w:val="Header Char"/>
    <w:basedOn w:val="DefaultParagraphFont"/>
    <w:link w:val="Header"/>
    <w:uiPriority w:val="99"/>
    <w:rsid w:val="009E5F91"/>
  </w:style>
  <w:style w:type="paragraph" w:styleId="Footer">
    <w:name w:val="footer"/>
    <w:basedOn w:val="Normal"/>
    <w:link w:val="FooterChar"/>
    <w:uiPriority w:val="99"/>
    <w:unhideWhenUsed/>
    <w:rsid w:val="009E5F91"/>
    <w:pPr>
      <w:tabs>
        <w:tab w:val="center" w:pos="4513"/>
        <w:tab w:val="right" w:pos="9026"/>
      </w:tabs>
    </w:pPr>
  </w:style>
  <w:style w:type="character" w:customStyle="1" w:styleId="FooterChar">
    <w:name w:val="Footer Char"/>
    <w:basedOn w:val="DefaultParagraphFont"/>
    <w:link w:val="Footer"/>
    <w:uiPriority w:val="99"/>
    <w:rsid w:val="009E5F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undefined"/><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undefined"/><Relationship Id="rId17" Type="http://schemas.openxmlformats.org/officeDocument/2006/relationships/image" Target="media/image11.undefined"/><Relationship Id="rId2" Type="http://schemas.openxmlformats.org/officeDocument/2006/relationships/styles" Target="styles.xml"/><Relationship Id="rId16" Type="http://schemas.openxmlformats.org/officeDocument/2006/relationships/image" Target="media/image10.undefined"/><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undefined"/><Relationship Id="rId5" Type="http://schemas.openxmlformats.org/officeDocument/2006/relationships/footnotes" Target="footnotes.xml"/><Relationship Id="rId15" Type="http://schemas.openxmlformats.org/officeDocument/2006/relationships/image" Target="media/image9.undefined"/><Relationship Id="rId10" Type="http://schemas.openxmlformats.org/officeDocument/2006/relationships/image" Target="media/image4.undefined"/><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undefined"/><Relationship Id="rId14" Type="http://schemas.openxmlformats.org/officeDocument/2006/relationships/image" Target="media/image8.undefined"/></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44</TotalTime>
  <Pages>17</Pages>
  <Words>4475</Words>
  <Characters>25512</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Un-named</dc:creator>
  <cp:keywords/>
  <dc:description/>
  <cp:lastModifiedBy>BASHIRU LUKUMAN</cp:lastModifiedBy>
  <cp:revision>4</cp:revision>
  <cp:lastPrinted>2026-07-04T05:26:00Z</cp:lastPrinted>
  <dcterms:created xsi:type="dcterms:W3CDTF">2026-07-04T04:42:00Z</dcterms:created>
  <dcterms:modified xsi:type="dcterms:W3CDTF">2026-07-06T22:54:00Z</dcterms:modified>
</cp:coreProperties>
</file>