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FBB" w:rsidRPr="005525B3" w:rsidRDefault="003F1785" w:rsidP="005525B3">
      <w:pPr>
        <w:spacing w:after="240"/>
        <w:jc w:val="center"/>
        <w:rPr>
          <w:rFonts w:ascii="Times New Roman" w:hAnsi="Times New Roman" w:cs="Times New Roman"/>
          <w:sz w:val="36"/>
          <w:szCs w:val="36"/>
        </w:rPr>
      </w:pPr>
      <w:bookmarkStart w:id="0" w:name="OLE_LINK6"/>
      <w:r w:rsidRPr="005525B3">
        <w:rPr>
          <w:rFonts w:ascii="Times New Roman" w:hAnsi="Times New Roman" w:cs="Times New Roman"/>
          <w:b/>
          <w:bCs/>
          <w:sz w:val="36"/>
          <w:szCs w:val="36"/>
        </w:rPr>
        <w:t xml:space="preserve">The Role </w:t>
      </w:r>
      <w:r w:rsidR="005525B3" w:rsidRPr="005525B3">
        <w:rPr>
          <w:rFonts w:ascii="Times New Roman" w:hAnsi="Times New Roman" w:cs="Times New Roman"/>
          <w:b/>
          <w:bCs/>
          <w:sz w:val="36"/>
          <w:szCs w:val="36"/>
        </w:rPr>
        <w:t xml:space="preserve">of </w:t>
      </w:r>
      <w:r w:rsidR="002D7A86" w:rsidRPr="005525B3">
        <w:rPr>
          <w:rFonts w:ascii="Times New Roman" w:hAnsi="Times New Roman" w:cs="Times New Roman"/>
          <w:b/>
          <w:bCs/>
          <w:sz w:val="36"/>
          <w:szCs w:val="36"/>
        </w:rPr>
        <w:t xml:space="preserve">Civil Society Organisations </w:t>
      </w:r>
      <w:r w:rsidR="005525B3" w:rsidRPr="005525B3">
        <w:rPr>
          <w:rFonts w:ascii="Times New Roman" w:hAnsi="Times New Roman" w:cs="Times New Roman"/>
          <w:b/>
          <w:bCs/>
          <w:sz w:val="36"/>
          <w:szCs w:val="36"/>
        </w:rPr>
        <w:t xml:space="preserve">in </w:t>
      </w:r>
      <w:r w:rsidRPr="005525B3">
        <w:rPr>
          <w:rFonts w:ascii="Times New Roman" w:hAnsi="Times New Roman" w:cs="Times New Roman"/>
          <w:b/>
          <w:bCs/>
          <w:sz w:val="36"/>
          <w:szCs w:val="36"/>
        </w:rPr>
        <w:t xml:space="preserve">Serving People </w:t>
      </w:r>
      <w:r w:rsidR="005525B3" w:rsidRPr="005525B3">
        <w:rPr>
          <w:rFonts w:ascii="Times New Roman" w:hAnsi="Times New Roman" w:cs="Times New Roman"/>
          <w:b/>
          <w:bCs/>
          <w:sz w:val="36"/>
          <w:szCs w:val="36"/>
        </w:rPr>
        <w:t xml:space="preserve">with </w:t>
      </w:r>
      <w:r w:rsidRPr="005525B3">
        <w:rPr>
          <w:rFonts w:ascii="Times New Roman" w:hAnsi="Times New Roman" w:cs="Times New Roman"/>
          <w:b/>
          <w:bCs/>
          <w:sz w:val="36"/>
          <w:szCs w:val="36"/>
        </w:rPr>
        <w:t xml:space="preserve">Disabilities </w:t>
      </w:r>
      <w:r w:rsidR="005525B3" w:rsidRPr="005525B3">
        <w:rPr>
          <w:rFonts w:ascii="Times New Roman" w:hAnsi="Times New Roman" w:cs="Times New Roman"/>
          <w:b/>
          <w:bCs/>
          <w:sz w:val="36"/>
          <w:szCs w:val="36"/>
        </w:rPr>
        <w:t xml:space="preserve">in </w:t>
      </w:r>
      <w:r w:rsidRPr="005525B3">
        <w:rPr>
          <w:rFonts w:ascii="Times New Roman" w:hAnsi="Times New Roman" w:cs="Times New Roman"/>
          <w:b/>
          <w:bCs/>
          <w:sz w:val="36"/>
          <w:szCs w:val="36"/>
        </w:rPr>
        <w:t>Iraq Post</w:t>
      </w:r>
      <w:r w:rsidR="005525B3" w:rsidRPr="005525B3">
        <w:rPr>
          <w:rFonts w:ascii="Times New Roman" w:hAnsi="Times New Roman" w:cs="Times New Roman"/>
          <w:b/>
          <w:bCs/>
          <w:sz w:val="36"/>
          <w:szCs w:val="36"/>
        </w:rPr>
        <w:t>-2020</w:t>
      </w:r>
    </w:p>
    <w:p w:rsidR="006B7FBB" w:rsidRPr="005525B3" w:rsidRDefault="003F1785" w:rsidP="005525B3">
      <w:pPr>
        <w:spacing w:after="240"/>
        <w:jc w:val="center"/>
        <w:rPr>
          <w:rFonts w:ascii="Times New Roman" w:hAnsi="Times New Roman" w:cs="Times New Roman"/>
          <w:b/>
          <w:bCs/>
          <w:sz w:val="24"/>
          <w:szCs w:val="24"/>
        </w:rPr>
      </w:pPr>
      <w:bookmarkStart w:id="1" w:name="OLE_LINK7"/>
      <w:bookmarkEnd w:id="0"/>
      <w:r w:rsidRPr="005525B3">
        <w:rPr>
          <w:rFonts w:ascii="Times New Roman" w:hAnsi="Times New Roman" w:cs="Times New Roman"/>
          <w:b/>
          <w:bCs/>
          <w:sz w:val="24"/>
          <w:szCs w:val="24"/>
        </w:rPr>
        <w:t>Dr. Jamal Mohammed Ameen Hussein</w:t>
      </w:r>
    </w:p>
    <w:bookmarkEnd w:id="1"/>
    <w:p w:rsidR="005525B3" w:rsidRDefault="00CB4D02" w:rsidP="00CB4D02">
      <w:pPr>
        <w:pStyle w:val="Heading1"/>
        <w:spacing w:before="0" w:after="240"/>
        <w:jc w:val="center"/>
        <w:rPr>
          <w:rFonts w:ascii="Times New Roman" w:hAnsi="Times New Roman" w:cs="Times New Roman"/>
          <w:color w:val="auto"/>
          <w:sz w:val="24"/>
          <w:szCs w:val="24"/>
        </w:rPr>
      </w:pPr>
      <w:r w:rsidRPr="00CB4D02">
        <w:rPr>
          <w:rFonts w:ascii="Times New Roman" w:hAnsi="Times New Roman" w:cs="Times New Roman"/>
          <w:color w:val="auto"/>
          <w:sz w:val="24"/>
          <w:szCs w:val="24"/>
        </w:rPr>
        <w:t>College of Law and Administration</w:t>
      </w:r>
      <w:r w:rsidR="00B57CCA">
        <w:rPr>
          <w:rFonts w:ascii="Times New Roman" w:hAnsi="Times New Roman" w:cs="Times New Roman"/>
          <w:color w:val="auto"/>
          <w:sz w:val="24"/>
          <w:szCs w:val="24"/>
        </w:rPr>
        <w:t>,</w:t>
      </w:r>
      <w:r w:rsidR="00B57CCA" w:rsidRPr="00B57CCA">
        <w:rPr>
          <w:rFonts w:ascii="Arial" w:hAnsi="Arial" w:cs="Arial"/>
          <w:color w:val="222222"/>
          <w:shd w:val="clear" w:color="auto" w:fill="F3F3F3"/>
        </w:rPr>
        <w:t xml:space="preserve"> </w:t>
      </w:r>
      <w:r w:rsidR="00B57CCA" w:rsidRPr="00B57CCA">
        <w:rPr>
          <w:rFonts w:ascii="Times New Roman" w:hAnsi="Times New Roman" w:cs="Times New Roman"/>
          <w:color w:val="222222"/>
          <w:sz w:val="24"/>
          <w:shd w:val="clear" w:color="auto" w:fill="F3F3F3"/>
        </w:rPr>
        <w:t>Iraq</w:t>
      </w:r>
    </w:p>
    <w:p w:rsidR="00C74A2C" w:rsidRPr="00C74A2C" w:rsidRDefault="00C74A2C" w:rsidP="00C74A2C">
      <w:pPr>
        <w:spacing w:after="240"/>
        <w:jc w:val="center"/>
        <w:rPr>
          <w:rFonts w:ascii="Times New Roman" w:hAnsi="Times New Roman" w:cs="Times New Roman"/>
          <w:sz w:val="24"/>
          <w:szCs w:val="24"/>
        </w:rPr>
      </w:pPr>
      <w:r w:rsidRPr="00C74A2C">
        <w:rPr>
          <w:rFonts w:ascii="Times New Roman" w:hAnsi="Times New Roman" w:cs="Times New Roman"/>
          <w:b/>
          <w:bCs/>
          <w:sz w:val="24"/>
          <w:szCs w:val="24"/>
        </w:rPr>
        <w:t xml:space="preserve">DOI: </w:t>
      </w:r>
      <w:hyperlink r:id="rId7" w:history="1">
        <w:r w:rsidRPr="00C74A2C">
          <w:rPr>
            <w:rFonts w:ascii="Times New Roman" w:hAnsi="Times New Roman" w:cs="Times New Roman"/>
            <w:b/>
            <w:bCs/>
            <w:color w:val="467886"/>
            <w:sz w:val="24"/>
            <w:szCs w:val="24"/>
            <w:u w:val="single"/>
          </w:rPr>
          <w:t>https://doi.org/10.47772/IJRISS.2026.100600694</w:t>
        </w:r>
      </w:hyperlink>
    </w:p>
    <w:p w:rsidR="00B57CCA" w:rsidRPr="00B57CCA" w:rsidRDefault="00B57CCA" w:rsidP="00B57CCA">
      <w:pPr>
        <w:tabs>
          <w:tab w:val="left" w:pos="180"/>
          <w:tab w:val="left" w:pos="270"/>
          <w:tab w:val="left" w:pos="360"/>
        </w:tabs>
        <w:spacing w:after="240"/>
        <w:jc w:val="center"/>
        <w:rPr>
          <w:rFonts w:ascii="Times New Roman" w:hAnsi="Times New Roman" w:cs="Times New Roman"/>
          <w:b/>
          <w:sz w:val="24"/>
          <w:szCs w:val="24"/>
        </w:rPr>
      </w:pPr>
      <w:r w:rsidRPr="00B57CCA">
        <w:rPr>
          <w:rFonts w:ascii="Times New Roman" w:hAnsi="Times New Roman" w:cs="Times New Roman"/>
          <w:b/>
          <w:bCs/>
          <w:sz w:val="24"/>
          <w:szCs w:val="24"/>
        </w:rPr>
        <w:t xml:space="preserve">Received: </w:t>
      </w:r>
      <w:r>
        <w:rPr>
          <w:rFonts w:ascii="Times New Roman" w:hAnsi="Times New Roman" w:cs="Times New Roman"/>
          <w:b/>
          <w:bCs/>
          <w:sz w:val="24"/>
          <w:szCs w:val="24"/>
        </w:rPr>
        <w:t>11</w:t>
      </w:r>
      <w:r w:rsidRPr="00B57CCA">
        <w:rPr>
          <w:rFonts w:ascii="Times New Roman" w:hAnsi="Times New Roman" w:cs="Times New Roman"/>
          <w:b/>
          <w:bCs/>
          <w:sz w:val="24"/>
          <w:szCs w:val="24"/>
        </w:rPr>
        <w:t xml:space="preserve"> June 2026; Accepted: </w:t>
      </w:r>
      <w:r>
        <w:rPr>
          <w:rFonts w:ascii="Times New Roman" w:hAnsi="Times New Roman" w:cs="Times New Roman"/>
          <w:b/>
          <w:bCs/>
          <w:sz w:val="24"/>
          <w:szCs w:val="24"/>
        </w:rPr>
        <w:t>16</w:t>
      </w:r>
      <w:r w:rsidRPr="00B57CCA">
        <w:rPr>
          <w:rFonts w:ascii="Times New Roman" w:hAnsi="Times New Roman" w:cs="Times New Roman"/>
          <w:b/>
          <w:bCs/>
          <w:sz w:val="24"/>
          <w:szCs w:val="24"/>
        </w:rPr>
        <w:t xml:space="preserve"> June 2026; Published: 04 July 2026</w:t>
      </w:r>
    </w:p>
    <w:p w:rsidR="006B7FBB" w:rsidRPr="005525B3" w:rsidRDefault="005525B3" w:rsidP="005525B3">
      <w:pPr>
        <w:pStyle w:val="Heading1"/>
        <w:spacing w:before="0" w:after="240"/>
        <w:jc w:val="both"/>
        <w:rPr>
          <w:rFonts w:ascii="Times New Roman" w:hAnsi="Times New Roman" w:cs="Times New Roman"/>
          <w:color w:val="auto"/>
        </w:rPr>
      </w:pPr>
      <w:r w:rsidRPr="005525B3">
        <w:rPr>
          <w:rFonts w:ascii="Times New Roman" w:hAnsi="Times New Roman" w:cs="Times New Roman"/>
          <w:color w:val="auto"/>
        </w:rPr>
        <w:t>ABSTRACT</w:t>
      </w:r>
    </w:p>
    <w:p w:rsidR="008C545B" w:rsidRPr="005525B3" w:rsidRDefault="008C545B" w:rsidP="005525B3">
      <w:pPr>
        <w:pStyle w:val="Heading1"/>
        <w:spacing w:before="0" w:after="240"/>
        <w:jc w:val="both"/>
        <w:rPr>
          <w:rFonts w:ascii="Times New Roman" w:hAnsi="Times New Roman" w:cs="Times New Roman"/>
          <w:b w:val="0"/>
          <w:bCs w:val="0"/>
          <w:color w:val="auto"/>
          <w:sz w:val="24"/>
          <w:szCs w:val="24"/>
        </w:rPr>
      </w:pPr>
      <w:r w:rsidRPr="005525B3">
        <w:rPr>
          <w:rFonts w:ascii="Times New Roman" w:hAnsi="Times New Roman" w:cs="Times New Roman"/>
          <w:b w:val="0"/>
          <w:bCs w:val="0"/>
          <w:color w:val="auto"/>
          <w:sz w:val="24"/>
          <w:szCs w:val="24"/>
        </w:rPr>
        <w:t xml:space="preserve">In post-2020 Iraq, individuals with disabilities, comprising approximately 7.1% of conflict-affected populations, continue to be significantly </w:t>
      </w:r>
      <w:proofErr w:type="spellStart"/>
      <w:r w:rsidRPr="005525B3">
        <w:rPr>
          <w:rFonts w:ascii="Times New Roman" w:hAnsi="Times New Roman" w:cs="Times New Roman"/>
          <w:b w:val="0"/>
          <w:bCs w:val="0"/>
          <w:color w:val="auto"/>
          <w:sz w:val="24"/>
          <w:szCs w:val="24"/>
        </w:rPr>
        <w:t>marginalised</w:t>
      </w:r>
      <w:proofErr w:type="spellEnd"/>
      <w:r w:rsidRPr="005525B3">
        <w:rPr>
          <w:rFonts w:ascii="Times New Roman" w:hAnsi="Times New Roman" w:cs="Times New Roman"/>
          <w:b w:val="0"/>
          <w:bCs w:val="0"/>
          <w:color w:val="auto"/>
          <w:sz w:val="24"/>
          <w:szCs w:val="24"/>
        </w:rPr>
        <w:t xml:space="preserve">. The state is undergoing institutional dysfunction within a "hybrid political order," while over 12,500 </w:t>
      </w:r>
      <w:r w:rsidR="008C6B6A" w:rsidRPr="005525B3">
        <w:rPr>
          <w:rFonts w:ascii="Times New Roman" w:hAnsi="Times New Roman" w:cs="Times New Roman"/>
          <w:b w:val="0"/>
          <w:bCs w:val="0"/>
          <w:color w:val="auto"/>
          <w:sz w:val="24"/>
          <w:szCs w:val="24"/>
        </w:rPr>
        <w:t>Civil Society Organisations</w:t>
      </w:r>
      <w:r w:rsidRPr="005525B3">
        <w:rPr>
          <w:rFonts w:ascii="Times New Roman" w:hAnsi="Times New Roman" w:cs="Times New Roman"/>
          <w:b w:val="0"/>
          <w:bCs w:val="0"/>
          <w:color w:val="auto"/>
          <w:sz w:val="24"/>
          <w:szCs w:val="24"/>
        </w:rPr>
        <w:t xml:space="preserve"> (CSOs) have arisen as essential providers of social services. Nonetheless, </w:t>
      </w:r>
      <w:r w:rsidR="008C6B6A" w:rsidRPr="005525B3">
        <w:rPr>
          <w:rFonts w:ascii="Times New Roman" w:hAnsi="Times New Roman" w:cs="Times New Roman"/>
          <w:b w:val="0"/>
          <w:bCs w:val="0"/>
          <w:color w:val="auto"/>
          <w:sz w:val="24"/>
          <w:szCs w:val="24"/>
        </w:rPr>
        <w:t>CSOs</w:t>
      </w:r>
      <w:r w:rsidRPr="005525B3">
        <w:rPr>
          <w:rFonts w:ascii="Times New Roman" w:hAnsi="Times New Roman" w:cs="Times New Roman"/>
          <w:b w:val="0"/>
          <w:bCs w:val="0"/>
          <w:color w:val="auto"/>
          <w:sz w:val="24"/>
          <w:szCs w:val="24"/>
        </w:rPr>
        <w:t xml:space="preserve"> encounter considerable funding obstacles: fewer than 4% of Official Development Assistance (ODA) initiatives focus on disability inclusion. This deficit is exacerbated by a geopolitical transition that emphasises regime security at the expense of social welfare. The widespread impact of “wasta” (political patronage) and the ongoing existence of elite bargaining networks render the needs of non-aligned individuals with disabilities “invisible” within the official state structure. This study employs mixed-methods analysis to investigate disability rights and assess the effectiveness of </w:t>
      </w:r>
      <w:r w:rsidR="008C6B6A" w:rsidRPr="005525B3">
        <w:rPr>
          <w:rFonts w:ascii="Times New Roman" w:hAnsi="Times New Roman" w:cs="Times New Roman"/>
          <w:b w:val="0"/>
          <w:bCs w:val="0"/>
          <w:color w:val="auto"/>
          <w:sz w:val="24"/>
          <w:szCs w:val="24"/>
        </w:rPr>
        <w:t>CSOs</w:t>
      </w:r>
      <w:r w:rsidRPr="005525B3">
        <w:rPr>
          <w:rFonts w:ascii="Times New Roman" w:hAnsi="Times New Roman" w:cs="Times New Roman"/>
          <w:b w:val="0"/>
          <w:bCs w:val="0"/>
          <w:color w:val="auto"/>
          <w:sz w:val="24"/>
          <w:szCs w:val="24"/>
        </w:rPr>
        <w:t xml:space="preserve">, digital innovation, and caregiving burdens. It contends that for </w:t>
      </w:r>
      <w:r w:rsidR="008C6B6A" w:rsidRPr="005525B3">
        <w:rPr>
          <w:rFonts w:ascii="Times New Roman" w:hAnsi="Times New Roman" w:cs="Times New Roman"/>
          <w:b w:val="0"/>
          <w:bCs w:val="0"/>
          <w:color w:val="auto"/>
          <w:sz w:val="24"/>
          <w:szCs w:val="24"/>
        </w:rPr>
        <w:t>CSOs</w:t>
      </w:r>
      <w:r w:rsidRPr="005525B3">
        <w:rPr>
          <w:rFonts w:ascii="Times New Roman" w:hAnsi="Times New Roman" w:cs="Times New Roman"/>
          <w:b w:val="0"/>
          <w:bCs w:val="0"/>
          <w:color w:val="auto"/>
          <w:sz w:val="24"/>
          <w:szCs w:val="24"/>
        </w:rPr>
        <w:t xml:space="preserve"> to enhance outcomes for Persons with Disabilities (PWDs), structural reform and advocacy for disability-inclusive international funding in accordance with the UN Convention on the Rights of Persons with Disabilities (CRPD) are imperative.</w:t>
      </w:r>
    </w:p>
    <w:p w:rsidR="008C545B" w:rsidRPr="005525B3" w:rsidRDefault="008C545B" w:rsidP="005525B3">
      <w:pPr>
        <w:pStyle w:val="Heading1"/>
        <w:spacing w:before="0" w:after="240"/>
        <w:jc w:val="both"/>
        <w:rPr>
          <w:rFonts w:ascii="Times New Roman" w:hAnsi="Times New Roman" w:cs="Times New Roman"/>
          <w:b w:val="0"/>
          <w:bCs w:val="0"/>
          <w:color w:val="auto"/>
          <w:sz w:val="24"/>
          <w:szCs w:val="24"/>
        </w:rPr>
      </w:pPr>
      <w:r w:rsidRPr="005525B3">
        <w:rPr>
          <w:rFonts w:ascii="Times New Roman" w:hAnsi="Times New Roman" w:cs="Times New Roman"/>
          <w:color w:val="auto"/>
          <w:sz w:val="24"/>
          <w:szCs w:val="24"/>
        </w:rPr>
        <w:t>Keywords:</w:t>
      </w:r>
      <w:r w:rsidRPr="005525B3">
        <w:rPr>
          <w:rFonts w:ascii="Times New Roman" w:hAnsi="Times New Roman" w:cs="Times New Roman"/>
          <w:b w:val="0"/>
          <w:bCs w:val="0"/>
          <w:color w:val="auto"/>
          <w:sz w:val="24"/>
          <w:szCs w:val="24"/>
        </w:rPr>
        <w:t xml:space="preserve"> </w:t>
      </w:r>
      <w:bookmarkStart w:id="2" w:name="OLE_LINK8"/>
      <w:r w:rsidR="008C6B6A" w:rsidRPr="005525B3">
        <w:rPr>
          <w:rFonts w:ascii="Times New Roman" w:hAnsi="Times New Roman" w:cs="Times New Roman"/>
          <w:b w:val="0"/>
          <w:bCs w:val="0"/>
          <w:color w:val="auto"/>
          <w:sz w:val="24"/>
          <w:szCs w:val="24"/>
        </w:rPr>
        <w:t>CSOs</w:t>
      </w:r>
      <w:r w:rsidRPr="005525B3">
        <w:rPr>
          <w:rFonts w:ascii="Times New Roman" w:hAnsi="Times New Roman" w:cs="Times New Roman"/>
          <w:b w:val="0"/>
          <w:bCs w:val="0"/>
          <w:color w:val="auto"/>
          <w:sz w:val="24"/>
          <w:szCs w:val="24"/>
        </w:rPr>
        <w:t>; Individuals with Disabilities; Iraq post-2020; human security; regime security; geopolitical stability; disability inclusion; wasta; hybrid political order; CRPD; digital innovation; intersectional vulnerability.</w:t>
      </w:r>
    </w:p>
    <w:bookmarkEnd w:id="2"/>
    <w:p w:rsidR="006B7FBB" w:rsidRPr="005525B3" w:rsidRDefault="005525B3" w:rsidP="005525B3">
      <w:pPr>
        <w:pStyle w:val="Heading1"/>
        <w:spacing w:before="0" w:after="240"/>
        <w:jc w:val="both"/>
        <w:rPr>
          <w:rFonts w:ascii="Times New Roman" w:hAnsi="Times New Roman" w:cs="Times New Roman"/>
          <w:color w:val="auto"/>
        </w:rPr>
      </w:pPr>
      <w:r w:rsidRPr="005525B3">
        <w:rPr>
          <w:rFonts w:ascii="Times New Roman" w:hAnsi="Times New Roman" w:cs="Times New Roman"/>
          <w:color w:val="auto"/>
        </w:rPr>
        <w:t>INTRODUCTION</w:t>
      </w:r>
    </w:p>
    <w:p w:rsidR="008C545B" w:rsidRPr="005525B3" w:rsidRDefault="008C545B" w:rsidP="005525B3">
      <w:pPr>
        <w:pStyle w:val="Heading1"/>
        <w:spacing w:before="0" w:after="240"/>
        <w:jc w:val="both"/>
        <w:rPr>
          <w:rFonts w:ascii="Times New Roman" w:hAnsi="Times New Roman" w:cs="Times New Roman"/>
          <w:b w:val="0"/>
          <w:bCs w:val="0"/>
          <w:color w:val="auto"/>
          <w:sz w:val="24"/>
          <w:szCs w:val="24"/>
        </w:rPr>
      </w:pPr>
      <w:r w:rsidRPr="005525B3">
        <w:rPr>
          <w:rFonts w:ascii="Times New Roman" w:hAnsi="Times New Roman" w:cs="Times New Roman"/>
          <w:b w:val="0"/>
          <w:bCs w:val="0"/>
          <w:color w:val="auto"/>
          <w:sz w:val="24"/>
          <w:szCs w:val="24"/>
        </w:rPr>
        <w:t xml:space="preserve">The post-2020 landscape in Iraq, </w:t>
      </w:r>
      <w:proofErr w:type="spellStart"/>
      <w:r w:rsidRPr="005525B3">
        <w:rPr>
          <w:rFonts w:ascii="Times New Roman" w:hAnsi="Times New Roman" w:cs="Times New Roman"/>
          <w:b w:val="0"/>
          <w:bCs w:val="0"/>
          <w:color w:val="auto"/>
          <w:sz w:val="24"/>
          <w:szCs w:val="24"/>
        </w:rPr>
        <w:t>characterised</w:t>
      </w:r>
      <w:proofErr w:type="spellEnd"/>
      <w:r w:rsidRPr="005525B3">
        <w:rPr>
          <w:rFonts w:ascii="Times New Roman" w:hAnsi="Times New Roman" w:cs="Times New Roman"/>
          <w:b w:val="0"/>
          <w:bCs w:val="0"/>
          <w:color w:val="auto"/>
          <w:sz w:val="24"/>
          <w:szCs w:val="24"/>
        </w:rPr>
        <w:t xml:space="preserve"> by the intersection of recovery from extended conflict and ongoing institutional inertia, has fostered a precarious environment for individuals with disabilities. Studies demonstrate that the prevalence of disability is markedly elevated among Iraqi populations displaced by conflict, with rates of 7.1% for those relocated to Syria and 3.4% for those in Jordan (Doocy et al., 2013). In the absence of a robust state-sponsored welfare system—and amidst a deteriorating social contract (</w:t>
      </w:r>
      <w:proofErr w:type="spellStart"/>
      <w:r w:rsidRPr="005525B3">
        <w:rPr>
          <w:rFonts w:ascii="Times New Roman" w:hAnsi="Times New Roman" w:cs="Times New Roman"/>
          <w:b w:val="0"/>
          <w:bCs w:val="0"/>
          <w:color w:val="auto"/>
          <w:sz w:val="24"/>
          <w:szCs w:val="24"/>
        </w:rPr>
        <w:t>Alshamary</w:t>
      </w:r>
      <w:proofErr w:type="spellEnd"/>
      <w:r w:rsidRPr="005525B3">
        <w:rPr>
          <w:rFonts w:ascii="Times New Roman" w:hAnsi="Times New Roman" w:cs="Times New Roman"/>
          <w:b w:val="0"/>
          <w:bCs w:val="0"/>
          <w:color w:val="auto"/>
          <w:sz w:val="24"/>
          <w:szCs w:val="24"/>
        </w:rPr>
        <w:t xml:space="preserve"> &amp; </w:t>
      </w:r>
      <w:proofErr w:type="spellStart"/>
      <w:r w:rsidRPr="005525B3">
        <w:rPr>
          <w:rFonts w:ascii="Times New Roman" w:hAnsi="Times New Roman" w:cs="Times New Roman"/>
          <w:b w:val="0"/>
          <w:bCs w:val="0"/>
          <w:color w:val="auto"/>
          <w:sz w:val="24"/>
          <w:szCs w:val="24"/>
        </w:rPr>
        <w:t>Hadad</w:t>
      </w:r>
      <w:proofErr w:type="spellEnd"/>
      <w:r w:rsidRPr="005525B3">
        <w:rPr>
          <w:rFonts w:ascii="Times New Roman" w:hAnsi="Times New Roman" w:cs="Times New Roman"/>
          <w:b w:val="0"/>
          <w:bCs w:val="0"/>
          <w:color w:val="auto"/>
          <w:sz w:val="24"/>
          <w:szCs w:val="24"/>
        </w:rPr>
        <w:t>, 2023)—</w:t>
      </w:r>
      <w:r w:rsidR="008C6B6A" w:rsidRPr="005525B3">
        <w:rPr>
          <w:rFonts w:ascii="Times New Roman" w:hAnsi="Times New Roman" w:cs="Times New Roman"/>
          <w:b w:val="0"/>
          <w:bCs w:val="0"/>
          <w:color w:val="auto"/>
          <w:sz w:val="24"/>
          <w:szCs w:val="24"/>
        </w:rPr>
        <w:t>CSOs</w:t>
      </w:r>
      <w:r w:rsidRPr="005525B3">
        <w:rPr>
          <w:rFonts w:ascii="Times New Roman" w:hAnsi="Times New Roman" w:cs="Times New Roman"/>
          <w:b w:val="0"/>
          <w:bCs w:val="0"/>
          <w:color w:val="auto"/>
          <w:sz w:val="24"/>
          <w:szCs w:val="24"/>
        </w:rPr>
        <w:t xml:space="preserve">  have become the principal service providers; specifically, 6,339 CSOs have been registered in the Kurdistan Region of Iraq (KRI) since 2011 to address the disparity between state shortcomings and humanitarian requirements (</w:t>
      </w:r>
      <w:proofErr w:type="spellStart"/>
      <w:r w:rsidRPr="005525B3">
        <w:rPr>
          <w:rFonts w:ascii="Times New Roman" w:hAnsi="Times New Roman" w:cs="Times New Roman"/>
          <w:b w:val="0"/>
          <w:bCs w:val="0"/>
          <w:color w:val="auto"/>
          <w:sz w:val="24"/>
          <w:szCs w:val="24"/>
        </w:rPr>
        <w:t>BasNews</w:t>
      </w:r>
      <w:proofErr w:type="spellEnd"/>
      <w:r w:rsidRPr="005525B3">
        <w:rPr>
          <w:rFonts w:ascii="Times New Roman" w:hAnsi="Times New Roman" w:cs="Times New Roman"/>
          <w:b w:val="0"/>
          <w:bCs w:val="0"/>
          <w:color w:val="auto"/>
          <w:sz w:val="24"/>
          <w:szCs w:val="24"/>
        </w:rPr>
        <w:t xml:space="preserve">, 2025). As of early 2025, around 12,500 </w:t>
      </w:r>
      <w:r w:rsidR="008C6B6A" w:rsidRPr="005525B3">
        <w:rPr>
          <w:rFonts w:ascii="Times New Roman" w:hAnsi="Times New Roman" w:cs="Times New Roman"/>
          <w:b w:val="0"/>
          <w:bCs w:val="0"/>
          <w:color w:val="auto"/>
          <w:sz w:val="24"/>
          <w:szCs w:val="24"/>
        </w:rPr>
        <w:t>CSOs</w:t>
      </w:r>
      <w:r w:rsidRPr="005525B3">
        <w:rPr>
          <w:rFonts w:ascii="Times New Roman" w:hAnsi="Times New Roman" w:cs="Times New Roman"/>
          <w:b w:val="0"/>
          <w:bCs w:val="0"/>
          <w:color w:val="auto"/>
          <w:sz w:val="24"/>
          <w:szCs w:val="24"/>
        </w:rPr>
        <w:t xml:space="preserve"> were registered throughout Iraq, including the Kurdistan Region (NGO Directorate of the Republic of Iraq, 2025). However, the function of these organisations in the post-2020 period is progressively limited by changing international and domestic priorities. In the last twenty years, international security assistance has shifted from focusing on "human security," which </w:t>
      </w:r>
      <w:proofErr w:type="spellStart"/>
      <w:r w:rsidRPr="005525B3">
        <w:rPr>
          <w:rFonts w:ascii="Times New Roman" w:hAnsi="Times New Roman" w:cs="Times New Roman"/>
          <w:b w:val="0"/>
          <w:bCs w:val="0"/>
          <w:color w:val="auto"/>
          <w:sz w:val="24"/>
          <w:szCs w:val="24"/>
        </w:rPr>
        <w:t>prioritises</w:t>
      </w:r>
      <w:proofErr w:type="spellEnd"/>
      <w:r w:rsidRPr="005525B3">
        <w:rPr>
          <w:rFonts w:ascii="Times New Roman" w:hAnsi="Times New Roman" w:cs="Times New Roman"/>
          <w:b w:val="0"/>
          <w:bCs w:val="0"/>
          <w:color w:val="auto"/>
          <w:sz w:val="24"/>
          <w:szCs w:val="24"/>
        </w:rPr>
        <w:t xml:space="preserve"> individual rights and protection, to </w:t>
      </w:r>
      <w:proofErr w:type="spellStart"/>
      <w:r w:rsidRPr="005525B3">
        <w:rPr>
          <w:rFonts w:ascii="Times New Roman" w:hAnsi="Times New Roman" w:cs="Times New Roman"/>
          <w:b w:val="0"/>
          <w:bCs w:val="0"/>
          <w:color w:val="auto"/>
          <w:sz w:val="24"/>
          <w:szCs w:val="24"/>
        </w:rPr>
        <w:t>emphasising</w:t>
      </w:r>
      <w:proofErr w:type="spellEnd"/>
      <w:r w:rsidRPr="005525B3">
        <w:rPr>
          <w:rFonts w:ascii="Times New Roman" w:hAnsi="Times New Roman" w:cs="Times New Roman"/>
          <w:b w:val="0"/>
          <w:bCs w:val="0"/>
          <w:color w:val="auto"/>
          <w:sz w:val="24"/>
          <w:szCs w:val="24"/>
        </w:rPr>
        <w:t xml:space="preserve"> "regime security" and "geopolitical stability" (Costantini &amp; O’Driscoll, 2023). The transition is evident in a significant funding deficit: by 2023, under 4% of Official Development Assistance in Iraq was designated for specific disability-inclusion goals (OECD, 2023; see Table 2).</w:t>
      </w:r>
    </w:p>
    <w:p w:rsidR="008C545B" w:rsidRPr="005525B3" w:rsidRDefault="008C545B" w:rsidP="005525B3">
      <w:pPr>
        <w:pStyle w:val="Heading1"/>
        <w:spacing w:before="0" w:after="240"/>
        <w:jc w:val="both"/>
        <w:rPr>
          <w:rFonts w:ascii="Times New Roman" w:hAnsi="Times New Roman" w:cs="Times New Roman"/>
          <w:b w:val="0"/>
          <w:bCs w:val="0"/>
          <w:color w:val="auto"/>
          <w:sz w:val="24"/>
          <w:szCs w:val="24"/>
        </w:rPr>
      </w:pPr>
      <w:r w:rsidRPr="005525B3">
        <w:rPr>
          <w:rFonts w:ascii="Times New Roman" w:hAnsi="Times New Roman" w:cs="Times New Roman"/>
          <w:b w:val="0"/>
          <w:bCs w:val="0"/>
          <w:color w:val="auto"/>
          <w:sz w:val="24"/>
          <w:szCs w:val="24"/>
        </w:rPr>
        <w:t xml:space="preserve">The efficacy of the civil society sector is further undermined by the pervasive impact of "wasta" (nepotism and political patronage). In a system </w:t>
      </w:r>
      <w:proofErr w:type="spellStart"/>
      <w:r w:rsidRPr="005525B3">
        <w:rPr>
          <w:rFonts w:ascii="Times New Roman" w:hAnsi="Times New Roman" w:cs="Times New Roman"/>
          <w:b w:val="0"/>
          <w:bCs w:val="0"/>
          <w:color w:val="auto"/>
          <w:sz w:val="24"/>
          <w:szCs w:val="24"/>
        </w:rPr>
        <w:t>characterised</w:t>
      </w:r>
      <w:proofErr w:type="spellEnd"/>
      <w:r w:rsidRPr="005525B3">
        <w:rPr>
          <w:rFonts w:ascii="Times New Roman" w:hAnsi="Times New Roman" w:cs="Times New Roman"/>
          <w:b w:val="0"/>
          <w:bCs w:val="0"/>
          <w:color w:val="auto"/>
          <w:sz w:val="24"/>
          <w:szCs w:val="24"/>
        </w:rPr>
        <w:t xml:space="preserve"> by elite negotiation and institutional dysfunction, visibility and support frequently correspond with political affiliation rather than genuine necessity, rendering numerous individuals with disabilities "invisible" within the formal governance framework (Hussein &amp; </w:t>
      </w:r>
      <w:proofErr w:type="spellStart"/>
      <w:r w:rsidRPr="005525B3">
        <w:rPr>
          <w:rFonts w:ascii="Times New Roman" w:hAnsi="Times New Roman" w:cs="Times New Roman"/>
          <w:b w:val="0"/>
          <w:bCs w:val="0"/>
          <w:color w:val="auto"/>
          <w:sz w:val="24"/>
          <w:szCs w:val="24"/>
        </w:rPr>
        <w:t>Moniruzzaman</w:t>
      </w:r>
      <w:proofErr w:type="spellEnd"/>
      <w:r w:rsidRPr="005525B3">
        <w:rPr>
          <w:rFonts w:ascii="Times New Roman" w:hAnsi="Times New Roman" w:cs="Times New Roman"/>
          <w:b w:val="0"/>
          <w:bCs w:val="0"/>
          <w:color w:val="auto"/>
          <w:sz w:val="24"/>
          <w:szCs w:val="24"/>
        </w:rPr>
        <w:t xml:space="preserve">, 2024; Rudi, 2026). Moreover, particular subgroups, including individuals with communication disabilities, </w:t>
      </w:r>
      <w:r w:rsidRPr="005525B3">
        <w:rPr>
          <w:rFonts w:ascii="Times New Roman" w:hAnsi="Times New Roman" w:cs="Times New Roman"/>
          <w:b w:val="0"/>
          <w:bCs w:val="0"/>
          <w:color w:val="auto"/>
          <w:sz w:val="24"/>
          <w:szCs w:val="24"/>
        </w:rPr>
        <w:lastRenderedPageBreak/>
        <w:t>encounter unique protection risks, such as heightened vulnerability to identity-based violence and considerable logistical obstacles, including insufficient accessible transportation (Jagoe et al., 2023).</w:t>
      </w:r>
    </w:p>
    <w:p w:rsidR="006B7FBB" w:rsidRPr="005525B3" w:rsidRDefault="002D7A86"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color w:val="auto"/>
        </w:rPr>
        <w:t>Research Questions</w:t>
      </w:r>
    </w:p>
    <w:p w:rsidR="006B7FBB"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The main research question is: </w:t>
      </w:r>
      <w:r w:rsidRPr="005525B3">
        <w:rPr>
          <w:rFonts w:ascii="Times New Roman" w:hAnsi="Times New Roman" w:cs="Times New Roman"/>
          <w:sz w:val="24"/>
          <w:szCs w:val="24"/>
        </w:rPr>
        <w:t>What role do CSOs play in supporting individuals with disabilities in Iraq post-2020?</w:t>
      </w:r>
    </w:p>
    <w:p w:rsidR="006B7FBB" w:rsidRPr="005525B3" w:rsidRDefault="003F1785" w:rsidP="005525B3">
      <w:pPr>
        <w:spacing w:after="240"/>
        <w:jc w:val="both"/>
        <w:rPr>
          <w:rFonts w:ascii="Times New Roman" w:hAnsi="Times New Roman" w:cs="Times New Roman"/>
          <w:i/>
          <w:iCs/>
          <w:sz w:val="24"/>
          <w:szCs w:val="24"/>
        </w:rPr>
      </w:pPr>
      <w:r w:rsidRPr="005525B3">
        <w:rPr>
          <w:rFonts w:ascii="Times New Roman" w:hAnsi="Times New Roman" w:cs="Times New Roman"/>
          <w:b/>
          <w:bCs/>
          <w:sz w:val="24"/>
          <w:szCs w:val="24"/>
        </w:rPr>
        <w:t>The sub-questions are</w:t>
      </w:r>
      <w:r w:rsidRPr="005525B3">
        <w:rPr>
          <w:rFonts w:ascii="Times New Roman" w:hAnsi="Times New Roman" w:cs="Times New Roman"/>
          <w:b/>
          <w:bCs/>
          <w:i/>
          <w:iCs/>
          <w:sz w:val="24"/>
          <w:szCs w:val="24"/>
        </w:rPr>
        <w:t>:</w:t>
      </w:r>
    </w:p>
    <w:p w:rsidR="006B7FBB" w:rsidRPr="005525B3" w:rsidRDefault="003F1785" w:rsidP="005525B3">
      <w:pPr>
        <w:pStyle w:val="ListParagraph"/>
        <w:numPr>
          <w:ilvl w:val="0"/>
          <w:numId w:val="2"/>
        </w:numPr>
        <w:spacing w:after="240"/>
        <w:ind w:left="360"/>
        <w:jc w:val="both"/>
        <w:rPr>
          <w:rFonts w:ascii="Times New Roman" w:hAnsi="Times New Roman" w:cs="Times New Roman"/>
          <w:sz w:val="24"/>
          <w:szCs w:val="24"/>
        </w:rPr>
      </w:pPr>
      <w:r w:rsidRPr="005525B3">
        <w:rPr>
          <w:rFonts w:ascii="Times New Roman" w:hAnsi="Times New Roman" w:cs="Times New Roman"/>
          <w:sz w:val="24"/>
          <w:szCs w:val="24"/>
        </w:rPr>
        <w:t>How do Iraqi CSOs address structural and financial barriers in supporting a largely marginalised population within a governmental framework that prioritises regime stability over inclusive social policy?</w:t>
      </w:r>
    </w:p>
    <w:p w:rsidR="006B7FBB" w:rsidRPr="005525B3" w:rsidRDefault="003F1785" w:rsidP="005525B3">
      <w:pPr>
        <w:pStyle w:val="ListParagraph"/>
        <w:numPr>
          <w:ilvl w:val="0"/>
          <w:numId w:val="2"/>
        </w:numPr>
        <w:spacing w:after="240"/>
        <w:ind w:left="360"/>
        <w:jc w:val="both"/>
        <w:rPr>
          <w:rFonts w:ascii="Times New Roman" w:hAnsi="Times New Roman" w:cs="Times New Roman"/>
          <w:sz w:val="24"/>
          <w:szCs w:val="24"/>
        </w:rPr>
      </w:pPr>
      <w:r w:rsidRPr="005525B3">
        <w:rPr>
          <w:rFonts w:ascii="Times New Roman" w:hAnsi="Times New Roman" w:cs="Times New Roman"/>
          <w:sz w:val="24"/>
          <w:szCs w:val="24"/>
        </w:rPr>
        <w:t>Does the Iraqi government differentiate between categories of disability, and what are the implications for CSO service provision?</w:t>
      </w:r>
    </w:p>
    <w:p w:rsidR="006B7FBB" w:rsidRPr="005525B3" w:rsidRDefault="003F1785" w:rsidP="005525B3">
      <w:pPr>
        <w:pStyle w:val="ListParagraph"/>
        <w:numPr>
          <w:ilvl w:val="0"/>
          <w:numId w:val="2"/>
        </w:numPr>
        <w:spacing w:after="240"/>
        <w:ind w:left="360"/>
        <w:jc w:val="both"/>
        <w:rPr>
          <w:rFonts w:ascii="Times New Roman" w:hAnsi="Times New Roman" w:cs="Times New Roman"/>
          <w:sz w:val="24"/>
          <w:szCs w:val="24"/>
        </w:rPr>
      </w:pPr>
      <w:r w:rsidRPr="005525B3">
        <w:rPr>
          <w:rFonts w:ascii="Times New Roman" w:hAnsi="Times New Roman" w:cs="Times New Roman"/>
          <w:sz w:val="24"/>
          <w:szCs w:val="24"/>
        </w:rPr>
        <w:t>In what ways have CSOs sought to counter governmental discrimination against individuals with disabilities?</w:t>
      </w:r>
    </w:p>
    <w:p w:rsidR="006B7FBB" w:rsidRPr="005525B3" w:rsidRDefault="003F1785" w:rsidP="005525B3">
      <w:pPr>
        <w:pStyle w:val="ListParagraph"/>
        <w:numPr>
          <w:ilvl w:val="0"/>
          <w:numId w:val="2"/>
        </w:numPr>
        <w:spacing w:after="240"/>
        <w:ind w:left="360"/>
        <w:jc w:val="both"/>
        <w:rPr>
          <w:rFonts w:ascii="Times New Roman" w:hAnsi="Times New Roman" w:cs="Times New Roman"/>
          <w:sz w:val="24"/>
          <w:szCs w:val="24"/>
        </w:rPr>
      </w:pPr>
      <w:r w:rsidRPr="005525B3">
        <w:rPr>
          <w:rFonts w:ascii="Times New Roman" w:hAnsi="Times New Roman" w:cs="Times New Roman"/>
          <w:sz w:val="24"/>
          <w:szCs w:val="24"/>
        </w:rPr>
        <w:t>How have CSOs adapted their delivery models and employed digital innovation to enhance accessibility and efficacy across Iraqi governorates?</w:t>
      </w:r>
    </w:p>
    <w:p w:rsidR="006B7FBB" w:rsidRPr="005525B3" w:rsidRDefault="003F1785" w:rsidP="005525B3">
      <w:pPr>
        <w:pStyle w:val="ListParagraph"/>
        <w:numPr>
          <w:ilvl w:val="0"/>
          <w:numId w:val="2"/>
        </w:numPr>
        <w:spacing w:after="240"/>
        <w:ind w:left="360"/>
        <w:jc w:val="both"/>
        <w:rPr>
          <w:rFonts w:ascii="Times New Roman" w:hAnsi="Times New Roman" w:cs="Times New Roman"/>
          <w:sz w:val="24"/>
          <w:szCs w:val="24"/>
        </w:rPr>
      </w:pPr>
      <w:r w:rsidRPr="005525B3">
        <w:rPr>
          <w:rFonts w:ascii="Times New Roman" w:hAnsi="Times New Roman" w:cs="Times New Roman"/>
          <w:sz w:val="24"/>
          <w:szCs w:val="24"/>
        </w:rPr>
        <w:t>What evidence exists on the relative effectiveness of CSOs across regions, and which organisational models exhibit the greatest impact?</w:t>
      </w:r>
    </w:p>
    <w:p w:rsidR="006B7FBB" w:rsidRPr="005525B3" w:rsidRDefault="005525B3" w:rsidP="005525B3">
      <w:pPr>
        <w:pStyle w:val="Heading1"/>
        <w:spacing w:before="0" w:after="240"/>
        <w:jc w:val="both"/>
        <w:rPr>
          <w:rFonts w:ascii="Times New Roman" w:hAnsi="Times New Roman" w:cs="Times New Roman"/>
          <w:color w:val="auto"/>
        </w:rPr>
      </w:pPr>
      <w:r w:rsidRPr="005525B3">
        <w:rPr>
          <w:rFonts w:ascii="Times New Roman" w:hAnsi="Times New Roman" w:cs="Times New Roman"/>
          <w:color w:val="auto"/>
        </w:rPr>
        <w:t>METHODOLOGY</w:t>
      </w:r>
    </w:p>
    <w:p w:rsidR="006B7FBB" w:rsidRPr="005525B3" w:rsidRDefault="00F20D9A"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color w:val="auto"/>
        </w:rPr>
        <w:t>Research Design and Analytical Framework</w:t>
      </w:r>
    </w:p>
    <w:p w:rsidR="00674723" w:rsidRPr="005525B3" w:rsidRDefault="00674723"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This study employs a mixed-methods design that combines qualitative analysis of secondary sources with quantitative analysis of secondary data and a systematic literature synthesis. The design is warranted by the research questions’ need to capture both breadth (the number of CSOs, funding patterns, and geographic disparities) and depth (the operation of wasta, the barriers faced by PWDs, and the strategies CSO practitioners use to navigate institutional constraints). The analytical framework comprises five interconnected components:</w:t>
      </w:r>
    </w:p>
    <w:p w:rsidR="00674723" w:rsidRPr="005525B3" w:rsidRDefault="00674723" w:rsidP="005525B3">
      <w:pPr>
        <w:pStyle w:val="Heading2"/>
        <w:spacing w:before="0" w:after="240"/>
        <w:ind w:left="270" w:hanging="270"/>
        <w:jc w:val="both"/>
        <w:rPr>
          <w:rFonts w:ascii="Times New Roman" w:hAnsi="Times New Roman" w:cs="Times New Roman"/>
          <w:b w:val="0"/>
          <w:bCs w:val="0"/>
          <w:color w:val="auto"/>
        </w:rPr>
      </w:pPr>
      <w:r w:rsidRPr="005525B3">
        <w:rPr>
          <w:rFonts w:ascii="Times New Roman" w:hAnsi="Times New Roman" w:cs="Times New Roman"/>
          <w:b w:val="0"/>
          <w:bCs w:val="0"/>
          <w:color w:val="auto"/>
        </w:rPr>
        <w:t>(a) a systematic review of peer-reviewed and grey literature published from 2013 to 2026;</w:t>
      </w:r>
    </w:p>
    <w:p w:rsidR="00674723" w:rsidRPr="005525B3" w:rsidRDefault="00674723" w:rsidP="005525B3">
      <w:pPr>
        <w:pStyle w:val="Heading2"/>
        <w:spacing w:before="0" w:after="240"/>
        <w:ind w:left="270" w:hanging="270"/>
        <w:jc w:val="both"/>
        <w:rPr>
          <w:rFonts w:ascii="Times New Roman" w:hAnsi="Times New Roman" w:cs="Times New Roman"/>
          <w:b w:val="0"/>
          <w:bCs w:val="0"/>
          <w:color w:val="auto"/>
        </w:rPr>
      </w:pPr>
      <w:r w:rsidRPr="005525B3">
        <w:rPr>
          <w:rFonts w:ascii="Times New Roman" w:hAnsi="Times New Roman" w:cs="Times New Roman"/>
          <w:b w:val="0"/>
          <w:bCs w:val="0"/>
          <w:color w:val="auto"/>
        </w:rPr>
        <w:t>(b) qualitative thematic analysis of secondary sources, encompassing CSO program and evaluation reports, publications from disability rights organisations, institutional documentation, and published case studies;</w:t>
      </w:r>
    </w:p>
    <w:p w:rsidR="00674723" w:rsidRPr="005525B3" w:rsidRDefault="00674723" w:rsidP="005525B3">
      <w:pPr>
        <w:pStyle w:val="Heading2"/>
        <w:spacing w:before="0" w:after="240"/>
        <w:ind w:left="270" w:hanging="270"/>
        <w:jc w:val="both"/>
        <w:rPr>
          <w:rFonts w:ascii="Times New Roman" w:hAnsi="Times New Roman" w:cs="Times New Roman"/>
          <w:b w:val="0"/>
          <w:bCs w:val="0"/>
          <w:color w:val="auto"/>
        </w:rPr>
      </w:pPr>
      <w:r w:rsidRPr="005525B3">
        <w:rPr>
          <w:rFonts w:ascii="Times New Roman" w:hAnsi="Times New Roman" w:cs="Times New Roman"/>
          <w:b w:val="0"/>
          <w:bCs w:val="0"/>
          <w:color w:val="auto"/>
        </w:rPr>
        <w:t>(c) thematic and comparative analysis of institutional program records and beneficiary databases;</w:t>
      </w:r>
    </w:p>
    <w:p w:rsidR="00674723" w:rsidRPr="005525B3" w:rsidRDefault="00674723" w:rsidP="005525B3">
      <w:pPr>
        <w:pStyle w:val="Heading2"/>
        <w:spacing w:before="0" w:after="240"/>
        <w:ind w:left="270" w:hanging="27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(d) </w:t>
      </w:r>
      <w:proofErr w:type="gramStart"/>
      <w:r w:rsidRPr="005525B3">
        <w:rPr>
          <w:rFonts w:ascii="Times New Roman" w:hAnsi="Times New Roman" w:cs="Times New Roman"/>
          <w:b w:val="0"/>
          <w:bCs w:val="0"/>
          <w:color w:val="auto"/>
        </w:rPr>
        <w:t>quantitative</w:t>
      </w:r>
      <w:proofErr w:type="gramEnd"/>
      <w:r w:rsidRPr="005525B3">
        <w:rPr>
          <w:rFonts w:ascii="Times New Roman" w:hAnsi="Times New Roman" w:cs="Times New Roman"/>
          <w:b w:val="0"/>
          <w:bCs w:val="0"/>
          <w:color w:val="auto"/>
        </w:rPr>
        <w:t xml:space="preserve"> analysis  of ODA flows, CSO registration data, and service coverage metrics; and</w:t>
      </w:r>
    </w:p>
    <w:p w:rsidR="00674723" w:rsidRPr="005525B3" w:rsidRDefault="00674723" w:rsidP="005525B3">
      <w:pPr>
        <w:pStyle w:val="Heading2"/>
        <w:spacing w:before="0" w:after="240"/>
        <w:ind w:left="270" w:hanging="270"/>
        <w:jc w:val="both"/>
        <w:rPr>
          <w:rFonts w:ascii="Times New Roman" w:hAnsi="Times New Roman" w:cs="Times New Roman"/>
          <w:b w:val="0"/>
          <w:bCs w:val="0"/>
          <w:color w:val="auto"/>
        </w:rPr>
      </w:pPr>
      <w:r w:rsidRPr="005525B3">
        <w:rPr>
          <w:rFonts w:ascii="Times New Roman" w:hAnsi="Times New Roman" w:cs="Times New Roman"/>
          <w:b w:val="0"/>
          <w:bCs w:val="0"/>
          <w:color w:val="auto"/>
        </w:rPr>
        <w:t>(e) intersectional   analysis of the gendered and sectoral aspects of vulnerability and access to services.</w:t>
      </w:r>
    </w:p>
    <w:p w:rsidR="009C5D9C" w:rsidRPr="005525B3" w:rsidRDefault="00F20D9A"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i/>
          <w:iCs/>
          <w:color w:val="auto"/>
        </w:rPr>
        <w:t xml:space="preserve"> </w:t>
      </w:r>
      <w:r w:rsidRPr="005525B3">
        <w:rPr>
          <w:rFonts w:ascii="Times New Roman" w:hAnsi="Times New Roman" w:cs="Times New Roman"/>
          <w:color w:val="auto"/>
        </w:rPr>
        <w:t>Source Base and Selection Criteria</w:t>
      </w:r>
    </w:p>
    <w:p w:rsidR="005525B3" w:rsidRDefault="009C5D9C"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 xml:space="preserve">The qualitative component relies on a purposively curated collection of secondary sources instead of primary fieldwork. Sources were chosen to reflect diversity in (1) geographic context (urban, semi-urban, and rural/border governorates); (2) </w:t>
      </w:r>
      <w:proofErr w:type="spellStart"/>
      <w:r w:rsidRPr="005525B3">
        <w:rPr>
          <w:rFonts w:ascii="Times New Roman" w:hAnsi="Times New Roman" w:cs="Times New Roman"/>
          <w:sz w:val="24"/>
          <w:szCs w:val="24"/>
        </w:rPr>
        <w:t>organisational</w:t>
      </w:r>
      <w:proofErr w:type="spellEnd"/>
      <w:r w:rsidRPr="005525B3">
        <w:rPr>
          <w:rFonts w:ascii="Times New Roman" w:hAnsi="Times New Roman" w:cs="Times New Roman"/>
          <w:sz w:val="24"/>
          <w:szCs w:val="24"/>
        </w:rPr>
        <w:t xml:space="preserve"> type (disability-specific CSOs, general humanitarian organisations, advocacy networks, and government agencies); and (3) thematic relevance to the research </w:t>
      </w:r>
      <w:r w:rsidR="005525B3" w:rsidRPr="005525B3">
        <w:rPr>
          <w:rFonts w:ascii="Times New Roman" w:hAnsi="Times New Roman" w:cs="Times New Roman"/>
          <w:sz w:val="24"/>
          <w:szCs w:val="24"/>
        </w:rPr>
        <w:t xml:space="preserve">questions, </w:t>
      </w:r>
      <w:proofErr w:type="spellStart"/>
      <w:r w:rsidR="005525B3" w:rsidRPr="005525B3">
        <w:rPr>
          <w:rFonts w:ascii="Times New Roman" w:hAnsi="Times New Roman" w:cs="Times New Roman"/>
          <w:sz w:val="24"/>
          <w:szCs w:val="24"/>
        </w:rPr>
        <w:t>emphasising</w:t>
      </w:r>
      <w:proofErr w:type="spellEnd"/>
      <w:r w:rsidR="005525B3" w:rsidRPr="005525B3">
        <w:rPr>
          <w:rFonts w:ascii="Times New Roman" w:hAnsi="Times New Roman" w:cs="Times New Roman"/>
          <w:sz w:val="24"/>
          <w:szCs w:val="24"/>
        </w:rPr>
        <w:t xml:space="preserve"> documentation on </w:t>
      </w:r>
      <w:proofErr w:type="spellStart"/>
      <w:r w:rsidR="005525B3" w:rsidRPr="005525B3">
        <w:rPr>
          <w:rFonts w:ascii="Times New Roman" w:hAnsi="Times New Roman" w:cs="Times New Roman"/>
          <w:sz w:val="24"/>
          <w:szCs w:val="24"/>
        </w:rPr>
        <w:t>wasta</w:t>
      </w:r>
      <w:proofErr w:type="spellEnd"/>
      <w:r w:rsidR="005525B3" w:rsidRPr="005525B3">
        <w:rPr>
          <w:rFonts w:ascii="Times New Roman" w:hAnsi="Times New Roman" w:cs="Times New Roman"/>
          <w:sz w:val="24"/>
          <w:szCs w:val="24"/>
        </w:rPr>
        <w:t>, funding limitations, service fragmentation, digital innovation, and intersectional vulnerability.</w:t>
      </w:r>
    </w:p>
    <w:p w:rsidR="00B57CCA" w:rsidRDefault="00B57CCA" w:rsidP="005525B3">
      <w:pPr>
        <w:jc w:val="both"/>
        <w:rPr>
          <w:rFonts w:ascii="Times New Roman" w:hAnsi="Times New Roman" w:cs="Times New Roman"/>
          <w:sz w:val="24"/>
          <w:szCs w:val="24"/>
        </w:rPr>
      </w:pPr>
      <w:r w:rsidRPr="005525B3">
        <w:rPr>
          <w:rFonts w:ascii="Times New Roman" w:hAnsi="Times New Roman" w:cs="Times New Roman"/>
        </w:rPr>
        <w:t>The corpus included peer-reviewed studies, grey literature, annual and program evaluation reports from CSOs,</w:t>
      </w:r>
    </w:p>
    <w:p w:rsidR="005525B3" w:rsidRDefault="005525B3" w:rsidP="005525B3">
      <w:pPr>
        <w:jc w:val="both"/>
      </w:pPr>
    </w:p>
    <w:p w:rsidR="009C5D9C" w:rsidRPr="005525B3" w:rsidRDefault="009C5D9C" w:rsidP="005525B3">
      <w:pPr>
        <w:pStyle w:val="Heading2"/>
        <w:spacing w:before="0" w:after="240"/>
        <w:jc w:val="both"/>
        <w:rPr>
          <w:rFonts w:ascii="Times New Roman" w:hAnsi="Times New Roman" w:cs="Times New Roman"/>
          <w:b w:val="0"/>
          <w:bCs w:val="0"/>
          <w:color w:val="auto"/>
        </w:rPr>
      </w:pPr>
      <w:proofErr w:type="gramStart"/>
      <w:r w:rsidRPr="005525B3">
        <w:rPr>
          <w:rFonts w:ascii="Times New Roman" w:hAnsi="Times New Roman" w:cs="Times New Roman"/>
          <w:b w:val="0"/>
          <w:bCs w:val="0"/>
          <w:color w:val="auto"/>
        </w:rPr>
        <w:lastRenderedPageBreak/>
        <w:t>publications</w:t>
      </w:r>
      <w:proofErr w:type="gramEnd"/>
      <w:r w:rsidRPr="005525B3">
        <w:rPr>
          <w:rFonts w:ascii="Times New Roman" w:hAnsi="Times New Roman" w:cs="Times New Roman"/>
          <w:b w:val="0"/>
          <w:bCs w:val="0"/>
          <w:color w:val="auto"/>
        </w:rPr>
        <w:t xml:space="preserve"> from disability rights organisations, monitoring documents from the United Nations, IOM, and OECD, records from government and NGO directorates, and reputable media reports published between 2013 and 2026. The material was </w:t>
      </w:r>
      <w:proofErr w:type="spellStart"/>
      <w:r w:rsidRPr="005525B3">
        <w:rPr>
          <w:rFonts w:ascii="Times New Roman" w:hAnsi="Times New Roman" w:cs="Times New Roman"/>
          <w:b w:val="0"/>
          <w:bCs w:val="0"/>
          <w:color w:val="auto"/>
        </w:rPr>
        <w:t>organised</w:t>
      </w:r>
      <w:proofErr w:type="spellEnd"/>
      <w:r w:rsidRPr="005525B3">
        <w:rPr>
          <w:rFonts w:ascii="Times New Roman" w:hAnsi="Times New Roman" w:cs="Times New Roman"/>
          <w:b w:val="0"/>
          <w:bCs w:val="0"/>
          <w:color w:val="auto"/>
        </w:rPr>
        <w:t xml:space="preserve"> into three governorate clusters for comparative analysis: Baghdad (urban, high-density); Erbil and Sulaymaniyah (semi-urban, with enhanced institutional capacity); and Anbar and Nineveh (rural/border, </w:t>
      </w:r>
      <w:proofErr w:type="spellStart"/>
      <w:r w:rsidRPr="005525B3">
        <w:rPr>
          <w:rFonts w:ascii="Times New Roman" w:hAnsi="Times New Roman" w:cs="Times New Roman"/>
          <w:b w:val="0"/>
          <w:bCs w:val="0"/>
          <w:color w:val="auto"/>
        </w:rPr>
        <w:t>characterised</w:t>
      </w:r>
      <w:proofErr w:type="spellEnd"/>
      <w:r w:rsidRPr="005525B3">
        <w:rPr>
          <w:rFonts w:ascii="Times New Roman" w:hAnsi="Times New Roman" w:cs="Times New Roman"/>
          <w:b w:val="0"/>
          <w:bCs w:val="0"/>
          <w:color w:val="auto"/>
        </w:rPr>
        <w:t xml:space="preserve"> by fragmented governance).</w:t>
      </w:r>
    </w:p>
    <w:p w:rsidR="009C5D9C" w:rsidRPr="005525B3" w:rsidRDefault="009C5D9C"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Sources were incorporated that pertained to CSO service delivery for individuals with disabilities in post-2020 Iraq, sourced from a documented </w:t>
      </w:r>
      <w:proofErr w:type="spellStart"/>
      <w:r w:rsidRPr="005525B3">
        <w:rPr>
          <w:rFonts w:ascii="Times New Roman" w:hAnsi="Times New Roman" w:cs="Times New Roman"/>
          <w:b w:val="0"/>
          <w:bCs w:val="0"/>
          <w:color w:val="auto"/>
        </w:rPr>
        <w:t>organisational</w:t>
      </w:r>
      <w:proofErr w:type="spellEnd"/>
      <w:r w:rsidRPr="005525B3">
        <w:rPr>
          <w:rFonts w:ascii="Times New Roman" w:hAnsi="Times New Roman" w:cs="Times New Roman"/>
          <w:b w:val="0"/>
          <w:bCs w:val="0"/>
          <w:color w:val="auto"/>
        </w:rPr>
        <w:t>, institutional, or academic foundation, and offered adequate contextual information for thematic coding.</w:t>
      </w:r>
    </w:p>
    <w:p w:rsidR="00052735" w:rsidRPr="005525B3" w:rsidRDefault="00F20D9A"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color w:val="auto"/>
        </w:rPr>
        <w:t>Source Compilation and Documentary Evidence</w:t>
      </w:r>
    </w:p>
    <w:p w:rsidR="00AC5902" w:rsidRPr="005525B3" w:rsidRDefault="00AC5902"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Secondary sources were identified via systematic searches of academic databases (Scopus, Web of Science, and Google Scholar), institutional repositories (OECD, IOM, UN OCHA, and the World Bank), and the publication archives of Iraqi and </w:t>
      </w:r>
      <w:r w:rsidR="008C6B6A" w:rsidRPr="005525B3">
        <w:rPr>
          <w:rFonts w:ascii="Times New Roman" w:hAnsi="Times New Roman" w:cs="Times New Roman"/>
          <w:b w:val="0"/>
          <w:bCs w:val="0"/>
          <w:color w:val="auto"/>
        </w:rPr>
        <w:t>Iraqi Kurdistan</w:t>
      </w:r>
      <w:r w:rsidRPr="005525B3">
        <w:rPr>
          <w:rFonts w:ascii="Times New Roman" w:hAnsi="Times New Roman" w:cs="Times New Roman"/>
          <w:b w:val="0"/>
          <w:bCs w:val="0"/>
          <w:color w:val="auto"/>
        </w:rPr>
        <w:t xml:space="preserve">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and disability rights networks. Combine disability-related descriptors (“disability”, “persons with disabilities”, “accessibility”, “assistive”) with civil-society and contextual terms (“CSO”, “NGO”, “wasta”, “Iraq”, “Kurdistan”) across Arabic, Kurdish, and English-language material.</w:t>
      </w:r>
    </w:p>
    <w:p w:rsidR="00AC5902" w:rsidRPr="005525B3" w:rsidRDefault="00AC5902"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Documents were evaluated for relevance and authority, </w:t>
      </w:r>
      <w:proofErr w:type="spellStart"/>
      <w:r w:rsidRPr="005525B3">
        <w:rPr>
          <w:rFonts w:ascii="Times New Roman" w:hAnsi="Times New Roman" w:cs="Times New Roman"/>
          <w:b w:val="0"/>
          <w:bCs w:val="0"/>
          <w:color w:val="auto"/>
        </w:rPr>
        <w:t>organised</w:t>
      </w:r>
      <w:proofErr w:type="spellEnd"/>
      <w:r w:rsidRPr="005525B3">
        <w:rPr>
          <w:rFonts w:ascii="Times New Roman" w:hAnsi="Times New Roman" w:cs="Times New Roman"/>
          <w:b w:val="0"/>
          <w:bCs w:val="0"/>
          <w:color w:val="auto"/>
        </w:rPr>
        <w:t xml:space="preserve"> by source type, governorate, and thematic focus, and assembled into a systematic evidence base for thematic analysis. In instances where </w:t>
      </w:r>
      <w:proofErr w:type="spellStart"/>
      <w:r w:rsidRPr="005525B3">
        <w:rPr>
          <w:rFonts w:ascii="Times New Roman" w:hAnsi="Times New Roman" w:cs="Times New Roman"/>
          <w:b w:val="0"/>
          <w:bCs w:val="0"/>
          <w:color w:val="auto"/>
        </w:rPr>
        <w:t>organisational</w:t>
      </w:r>
      <w:proofErr w:type="spellEnd"/>
      <w:r w:rsidRPr="005525B3">
        <w:rPr>
          <w:rFonts w:ascii="Times New Roman" w:hAnsi="Times New Roman" w:cs="Times New Roman"/>
          <w:b w:val="0"/>
          <w:bCs w:val="0"/>
          <w:color w:val="auto"/>
        </w:rPr>
        <w:t xml:space="preserve"> reports detailed specific service delivery scenarios, the recorded information was preserved for comparative case analysis, with identifying details excluded or </w:t>
      </w:r>
      <w:proofErr w:type="spellStart"/>
      <w:r w:rsidRPr="005525B3">
        <w:rPr>
          <w:rFonts w:ascii="Times New Roman" w:hAnsi="Times New Roman" w:cs="Times New Roman"/>
          <w:b w:val="0"/>
          <w:bCs w:val="0"/>
          <w:color w:val="auto"/>
        </w:rPr>
        <w:t>generalised</w:t>
      </w:r>
      <w:proofErr w:type="spellEnd"/>
      <w:r w:rsidRPr="005525B3">
        <w:rPr>
          <w:rFonts w:ascii="Times New Roman" w:hAnsi="Times New Roman" w:cs="Times New Roman"/>
          <w:b w:val="0"/>
          <w:bCs w:val="0"/>
          <w:color w:val="auto"/>
        </w:rPr>
        <w:t xml:space="preserve"> according to the original sources.</w:t>
      </w:r>
    </w:p>
    <w:p w:rsidR="00052735" w:rsidRPr="005525B3" w:rsidRDefault="00F20D9A"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color w:val="auto"/>
        </w:rPr>
        <w:t>Analysis of Qualitative Data</w:t>
      </w:r>
    </w:p>
    <w:p w:rsidR="00052735"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Thematic analysis of the assembled secondary corpus was conducted using NVivo 14. The analysis proceeded in four phases:</w:t>
      </w:r>
    </w:p>
    <w:p w:rsidR="00052735" w:rsidRPr="005525B3" w:rsidRDefault="003F1785" w:rsidP="005525B3">
      <w:pPr>
        <w:pStyle w:val="ListParagraph"/>
        <w:numPr>
          <w:ilvl w:val="0"/>
          <w:numId w:val="3"/>
        </w:numPr>
        <w:spacing w:after="240"/>
        <w:ind w:left="360"/>
        <w:jc w:val="both"/>
        <w:rPr>
          <w:rFonts w:ascii="Times New Roman" w:hAnsi="Times New Roman" w:cs="Times New Roman"/>
          <w:sz w:val="24"/>
          <w:szCs w:val="24"/>
        </w:rPr>
      </w:pPr>
      <w:r w:rsidRPr="005525B3">
        <w:rPr>
          <w:rFonts w:ascii="Times New Roman" w:hAnsi="Times New Roman" w:cs="Times New Roman"/>
          <w:b/>
          <w:bCs/>
          <w:sz w:val="24"/>
          <w:szCs w:val="24"/>
        </w:rPr>
        <w:t xml:space="preserve">Initial coding (inductive): </w:t>
      </w:r>
      <w:r w:rsidR="00DE5E60" w:rsidRPr="005525B3">
        <w:rPr>
          <w:rFonts w:ascii="Times New Roman" w:hAnsi="Times New Roman" w:cs="Times New Roman"/>
          <w:sz w:val="24"/>
          <w:szCs w:val="24"/>
        </w:rPr>
        <w:t>A selection of sources was examined meticulously to produce descriptive labels that encapsulate unique concepts (e.g., “wasta gatekeeping,” “digital access barriers,” “funding volatility”). The initial codes were compared, deliberated upon, and amalgamated into a functional set of 67 unique codes.</w:t>
      </w:r>
    </w:p>
    <w:p w:rsidR="00052735" w:rsidRPr="005525B3" w:rsidRDefault="003F1785" w:rsidP="005525B3">
      <w:pPr>
        <w:pStyle w:val="ListParagraph"/>
        <w:numPr>
          <w:ilvl w:val="0"/>
          <w:numId w:val="3"/>
        </w:numPr>
        <w:spacing w:after="240"/>
        <w:ind w:left="360"/>
        <w:jc w:val="both"/>
        <w:rPr>
          <w:rFonts w:ascii="Times New Roman" w:hAnsi="Times New Roman" w:cs="Times New Roman"/>
          <w:sz w:val="24"/>
          <w:szCs w:val="24"/>
        </w:rPr>
      </w:pPr>
      <w:r w:rsidRPr="005525B3">
        <w:rPr>
          <w:rFonts w:ascii="Times New Roman" w:hAnsi="Times New Roman" w:cs="Times New Roman"/>
          <w:b/>
          <w:bCs/>
          <w:sz w:val="24"/>
          <w:szCs w:val="24"/>
        </w:rPr>
        <w:t xml:space="preserve">Focused coding (deductive and thematic): </w:t>
      </w:r>
      <w:r w:rsidRPr="005525B3">
        <w:rPr>
          <w:rFonts w:ascii="Times New Roman" w:hAnsi="Times New Roman" w:cs="Times New Roman"/>
          <w:sz w:val="24"/>
          <w:szCs w:val="24"/>
        </w:rPr>
        <w:t xml:space="preserve">The </w:t>
      </w:r>
      <w:r w:rsidR="00DE5E60" w:rsidRPr="005525B3">
        <w:rPr>
          <w:rFonts w:ascii="Times New Roman" w:hAnsi="Times New Roman" w:cs="Times New Roman"/>
          <w:sz w:val="24"/>
          <w:szCs w:val="24"/>
        </w:rPr>
        <w:t xml:space="preserve">complete corpus. Codes were </w:t>
      </w:r>
      <w:proofErr w:type="spellStart"/>
      <w:r w:rsidR="00DE5E60" w:rsidRPr="005525B3">
        <w:rPr>
          <w:rFonts w:ascii="Times New Roman" w:hAnsi="Times New Roman" w:cs="Times New Roman"/>
          <w:sz w:val="24"/>
          <w:szCs w:val="24"/>
        </w:rPr>
        <w:t>categorised</w:t>
      </w:r>
      <w:proofErr w:type="spellEnd"/>
      <w:r w:rsidR="00DE5E60" w:rsidRPr="005525B3">
        <w:rPr>
          <w:rFonts w:ascii="Times New Roman" w:hAnsi="Times New Roman" w:cs="Times New Roman"/>
          <w:sz w:val="24"/>
          <w:szCs w:val="24"/>
        </w:rPr>
        <w:t xml:space="preserve"> into six thematic groups aligned with the research questions and literature themes: (1) structural barriers; (2) wasta and political networks; (3) service fragmentation; (4) digital innovation; (5) intersectional vulnerability; and (6) agency and advocacy. Coding persisted until supplementary sources provided minimal new thematic insight.</w:t>
      </w:r>
    </w:p>
    <w:p w:rsidR="00052735" w:rsidRPr="005525B3" w:rsidRDefault="003F1785" w:rsidP="005525B3">
      <w:pPr>
        <w:pStyle w:val="ListParagraph"/>
        <w:numPr>
          <w:ilvl w:val="0"/>
          <w:numId w:val="3"/>
        </w:numPr>
        <w:spacing w:after="240"/>
        <w:ind w:left="360"/>
        <w:jc w:val="both"/>
        <w:rPr>
          <w:rFonts w:ascii="Times New Roman" w:hAnsi="Times New Roman" w:cs="Times New Roman"/>
          <w:sz w:val="24"/>
          <w:szCs w:val="24"/>
        </w:rPr>
      </w:pPr>
      <w:r w:rsidRPr="005525B3">
        <w:rPr>
          <w:rFonts w:ascii="Times New Roman" w:hAnsi="Times New Roman" w:cs="Times New Roman"/>
          <w:b/>
          <w:bCs/>
          <w:sz w:val="24"/>
          <w:szCs w:val="24"/>
        </w:rPr>
        <w:t>Comparative analysis:</w:t>
      </w:r>
      <w:r w:rsidR="00DE5E60" w:rsidRPr="005525B3">
        <w:rPr>
          <w:rFonts w:ascii="Times New Roman" w:hAnsi="Times New Roman" w:cs="Times New Roman"/>
          <w:sz w:val="24"/>
          <w:szCs w:val="24"/>
        </w:rPr>
        <w:t xml:space="preserve"> Coded material was analysed across geographic contexts (urban, semi-urban, rural) and </w:t>
      </w:r>
      <w:proofErr w:type="spellStart"/>
      <w:r w:rsidR="00DE5E60" w:rsidRPr="005525B3">
        <w:rPr>
          <w:rFonts w:ascii="Times New Roman" w:hAnsi="Times New Roman" w:cs="Times New Roman"/>
          <w:sz w:val="24"/>
          <w:szCs w:val="24"/>
        </w:rPr>
        <w:t>organisational</w:t>
      </w:r>
      <w:proofErr w:type="spellEnd"/>
      <w:r w:rsidR="00DE5E60" w:rsidRPr="005525B3">
        <w:rPr>
          <w:rFonts w:ascii="Times New Roman" w:hAnsi="Times New Roman" w:cs="Times New Roman"/>
          <w:sz w:val="24"/>
          <w:szCs w:val="24"/>
        </w:rPr>
        <w:t xml:space="preserve"> types to identify divergent and convergent themes. Funding instability was most frequently noted in documentation from Baghdad-based organisations; sources from rural governorates highlighted that service access depended on security conditions; and materials from the Kurdistan Region suggested relatively greater institutional accessibility.</w:t>
      </w:r>
    </w:p>
    <w:p w:rsidR="00B57CCA" w:rsidRPr="00B57CCA" w:rsidRDefault="003F1785" w:rsidP="005525B3">
      <w:pPr>
        <w:pStyle w:val="ListParagraph"/>
        <w:numPr>
          <w:ilvl w:val="0"/>
          <w:numId w:val="3"/>
        </w:numPr>
        <w:spacing w:after="240"/>
        <w:ind w:left="360"/>
        <w:jc w:val="both"/>
        <w:rPr>
          <w:rFonts w:ascii="Times New Roman" w:hAnsi="Times New Roman" w:cs="Times New Roman"/>
          <w:color w:val="000000" w:themeColor="text1"/>
        </w:rPr>
      </w:pPr>
      <w:r w:rsidRPr="00B57CCA">
        <w:rPr>
          <w:rFonts w:ascii="Times New Roman" w:hAnsi="Times New Roman" w:cs="Times New Roman"/>
          <w:b/>
          <w:bCs/>
          <w:sz w:val="24"/>
          <w:szCs w:val="24"/>
        </w:rPr>
        <w:t xml:space="preserve">Integration with quantitative data: </w:t>
      </w:r>
      <w:r w:rsidRPr="00B57CCA">
        <w:rPr>
          <w:rFonts w:ascii="Times New Roman" w:hAnsi="Times New Roman" w:cs="Times New Roman"/>
          <w:sz w:val="24"/>
          <w:szCs w:val="24"/>
        </w:rPr>
        <w:t>The final thematic findings were corroborated against institutional beneficiary databases (Table 4) and literature-derived prevalence statistics (Table 1) to construct coherent explanatory narratives.</w:t>
      </w:r>
    </w:p>
    <w:p w:rsidR="00052735" w:rsidRPr="00B57CCA" w:rsidRDefault="00F20D9A" w:rsidP="00B57CCA">
      <w:pPr>
        <w:spacing w:after="240"/>
        <w:jc w:val="both"/>
        <w:rPr>
          <w:rFonts w:ascii="Times New Roman" w:hAnsi="Times New Roman" w:cs="Times New Roman"/>
          <w:b/>
          <w:color w:val="000000" w:themeColor="text1"/>
          <w:sz w:val="24"/>
        </w:rPr>
      </w:pPr>
      <w:r w:rsidRPr="00B57CCA">
        <w:rPr>
          <w:rFonts w:ascii="Times New Roman" w:hAnsi="Times New Roman" w:cs="Times New Roman"/>
          <w:b/>
          <w:color w:val="000000" w:themeColor="text1"/>
          <w:sz w:val="24"/>
        </w:rPr>
        <w:t>Validity, Reliability, and Research Integrity</w:t>
      </w:r>
    </w:p>
    <w:p w:rsidR="00052735" w:rsidRPr="005525B3" w:rsidRDefault="003F1785" w:rsidP="00B57CCA">
      <w:pPr>
        <w:pStyle w:val="Heading3"/>
        <w:spacing w:before="0" w:after="120"/>
        <w:jc w:val="both"/>
        <w:rPr>
          <w:rFonts w:ascii="Times New Roman" w:hAnsi="Times New Roman" w:cs="Times New Roman"/>
          <w:i w:val="0"/>
          <w:iCs w:val="0"/>
          <w:color w:val="auto"/>
          <w:sz w:val="24"/>
          <w:szCs w:val="24"/>
        </w:rPr>
      </w:pPr>
      <w:r w:rsidRPr="005525B3">
        <w:rPr>
          <w:rFonts w:ascii="Times New Roman" w:hAnsi="Times New Roman" w:cs="Times New Roman"/>
          <w:i w:val="0"/>
          <w:iCs w:val="0"/>
          <w:color w:val="auto"/>
          <w:sz w:val="24"/>
          <w:szCs w:val="24"/>
        </w:rPr>
        <w:t>Validity and Reliability Measures</w:t>
      </w:r>
    </w:p>
    <w:p w:rsidR="00052735" w:rsidRPr="005525B3" w:rsidRDefault="003F1785" w:rsidP="005525B3">
      <w:pPr>
        <w:pStyle w:val="ListParagraph"/>
        <w:numPr>
          <w:ilvl w:val="0"/>
          <w:numId w:val="3"/>
        </w:numPr>
        <w:tabs>
          <w:tab w:val="left" w:pos="360"/>
        </w:tabs>
        <w:spacing w:after="240"/>
        <w:ind w:left="360" w:hanging="270"/>
        <w:jc w:val="both"/>
        <w:rPr>
          <w:rFonts w:ascii="Times New Roman" w:hAnsi="Times New Roman" w:cs="Times New Roman"/>
          <w:sz w:val="24"/>
          <w:szCs w:val="24"/>
        </w:rPr>
      </w:pPr>
      <w:r w:rsidRPr="005525B3">
        <w:rPr>
          <w:rFonts w:ascii="Times New Roman" w:hAnsi="Times New Roman" w:cs="Times New Roman"/>
          <w:b/>
          <w:bCs/>
          <w:sz w:val="24"/>
          <w:szCs w:val="24"/>
        </w:rPr>
        <w:t xml:space="preserve">Inter-coder reliability: </w:t>
      </w:r>
      <w:r w:rsidR="00665C96" w:rsidRPr="005525B3">
        <w:rPr>
          <w:rFonts w:ascii="Times New Roman" w:hAnsi="Times New Roman" w:cs="Times New Roman"/>
          <w:sz w:val="24"/>
          <w:szCs w:val="24"/>
        </w:rPr>
        <w:t xml:space="preserve">Two researchers, one Iraqi and one international, both proficient in qualitative methods, conducted independent coding; discrepancies were resolved through discussion. A selection of </w:t>
      </w:r>
      <w:r w:rsidR="00665C96" w:rsidRPr="005525B3">
        <w:rPr>
          <w:rFonts w:ascii="Times New Roman" w:hAnsi="Times New Roman" w:cs="Times New Roman"/>
          <w:sz w:val="24"/>
          <w:szCs w:val="24"/>
        </w:rPr>
        <w:lastRenderedPageBreak/>
        <w:t>sources was double-coded to evaluate consistency, resulting in strong agreement (Cohen’s κ = 0.78; substantial agreement according to the Landis &amp; Koch threshold κ &gt; 0.61). This degree of consensus aligns with established criteria for qualitative research (Braun &amp; Clarke, 2019).</w:t>
      </w:r>
    </w:p>
    <w:p w:rsidR="00052735" w:rsidRPr="005525B3" w:rsidRDefault="003F1785" w:rsidP="005525B3">
      <w:pPr>
        <w:pStyle w:val="ListParagraph"/>
        <w:numPr>
          <w:ilvl w:val="0"/>
          <w:numId w:val="3"/>
        </w:numPr>
        <w:tabs>
          <w:tab w:val="left" w:pos="360"/>
        </w:tabs>
        <w:spacing w:after="240"/>
        <w:ind w:left="360" w:hanging="270"/>
        <w:jc w:val="both"/>
        <w:rPr>
          <w:rFonts w:ascii="Times New Roman" w:hAnsi="Times New Roman" w:cs="Times New Roman"/>
          <w:sz w:val="24"/>
          <w:szCs w:val="24"/>
        </w:rPr>
      </w:pPr>
      <w:r w:rsidRPr="005525B3">
        <w:rPr>
          <w:rFonts w:ascii="Times New Roman" w:hAnsi="Times New Roman" w:cs="Times New Roman"/>
          <w:b/>
          <w:bCs/>
          <w:sz w:val="24"/>
          <w:szCs w:val="24"/>
        </w:rPr>
        <w:t xml:space="preserve">Source corroboration: </w:t>
      </w:r>
      <w:r w:rsidR="00665C96" w:rsidRPr="005525B3">
        <w:rPr>
          <w:rFonts w:ascii="Times New Roman" w:hAnsi="Times New Roman" w:cs="Times New Roman"/>
          <w:sz w:val="24"/>
          <w:szCs w:val="24"/>
        </w:rPr>
        <w:t xml:space="preserve">Provisional themes and the three representative case narratives were validated against independent documentation from pertinent organisations and the broader literature to ensure that the interpretations aligned with established </w:t>
      </w:r>
      <w:proofErr w:type="spellStart"/>
      <w:r w:rsidR="00665C96" w:rsidRPr="005525B3">
        <w:rPr>
          <w:rFonts w:ascii="Times New Roman" w:hAnsi="Times New Roman" w:cs="Times New Roman"/>
          <w:sz w:val="24"/>
          <w:szCs w:val="24"/>
        </w:rPr>
        <w:t>organisational</w:t>
      </w:r>
      <w:proofErr w:type="spellEnd"/>
      <w:r w:rsidR="00665C96" w:rsidRPr="005525B3">
        <w:rPr>
          <w:rFonts w:ascii="Times New Roman" w:hAnsi="Times New Roman" w:cs="Times New Roman"/>
          <w:sz w:val="24"/>
          <w:szCs w:val="24"/>
        </w:rPr>
        <w:t xml:space="preserve"> practices. No significant inconsistencies were identified, indicating adequate thematic credibility.</w:t>
      </w:r>
    </w:p>
    <w:p w:rsidR="00665C96" w:rsidRPr="005525B3" w:rsidRDefault="003F1785" w:rsidP="005525B3">
      <w:pPr>
        <w:pStyle w:val="ListParagraph"/>
        <w:numPr>
          <w:ilvl w:val="0"/>
          <w:numId w:val="3"/>
        </w:numPr>
        <w:tabs>
          <w:tab w:val="left" w:pos="360"/>
        </w:tabs>
        <w:spacing w:after="240"/>
        <w:ind w:left="360" w:hanging="270"/>
        <w:jc w:val="both"/>
        <w:rPr>
          <w:rFonts w:ascii="Times New Roman" w:hAnsi="Times New Roman" w:cs="Times New Roman"/>
          <w:sz w:val="24"/>
          <w:szCs w:val="24"/>
        </w:rPr>
      </w:pPr>
      <w:r w:rsidRPr="005525B3">
        <w:rPr>
          <w:rFonts w:ascii="Times New Roman" w:hAnsi="Times New Roman" w:cs="Times New Roman"/>
          <w:b/>
          <w:bCs/>
          <w:sz w:val="24"/>
          <w:szCs w:val="24"/>
        </w:rPr>
        <w:t xml:space="preserve">Triangulation: </w:t>
      </w:r>
      <w:r w:rsidR="00665C96" w:rsidRPr="005525B3">
        <w:rPr>
          <w:rFonts w:ascii="Times New Roman" w:hAnsi="Times New Roman" w:cs="Times New Roman"/>
          <w:sz w:val="24"/>
          <w:szCs w:val="24"/>
        </w:rPr>
        <w:t>Qualitative themes were validated through three independent sources: (a) institutional program evaluation reports from various CSOs; (b) quantitative analysis of beneficiary databases (correlating coded patterns with administrative trends); and (c) both peer-reviewed and grey literature. Uniform alignment across these channels bolsters credibility.</w:t>
      </w:r>
    </w:p>
    <w:p w:rsidR="00052735" w:rsidRPr="005525B3" w:rsidRDefault="003F1785" w:rsidP="005525B3">
      <w:pPr>
        <w:pStyle w:val="ListParagraph"/>
        <w:numPr>
          <w:ilvl w:val="0"/>
          <w:numId w:val="3"/>
        </w:numPr>
        <w:tabs>
          <w:tab w:val="left" w:pos="360"/>
        </w:tabs>
        <w:spacing w:after="240"/>
        <w:ind w:left="360" w:hanging="270"/>
        <w:jc w:val="both"/>
        <w:rPr>
          <w:rFonts w:ascii="Times New Roman" w:hAnsi="Times New Roman" w:cs="Times New Roman"/>
          <w:sz w:val="24"/>
          <w:szCs w:val="24"/>
        </w:rPr>
      </w:pPr>
      <w:r w:rsidRPr="005525B3">
        <w:rPr>
          <w:rFonts w:ascii="Times New Roman" w:hAnsi="Times New Roman" w:cs="Times New Roman"/>
          <w:b/>
          <w:bCs/>
          <w:sz w:val="24"/>
          <w:szCs w:val="24"/>
        </w:rPr>
        <w:t>Research Ethics and Data Provenance</w:t>
      </w:r>
      <w:r w:rsidR="00B64248" w:rsidRPr="005525B3">
        <w:rPr>
          <w:rFonts w:ascii="Times New Roman" w:hAnsi="Times New Roman" w:cs="Times New Roman"/>
          <w:b/>
          <w:bCs/>
          <w:sz w:val="24"/>
          <w:szCs w:val="24"/>
        </w:rPr>
        <w:t xml:space="preserve">: </w:t>
      </w:r>
      <w:r w:rsidR="00B64248" w:rsidRPr="005525B3">
        <w:rPr>
          <w:rFonts w:ascii="Times New Roman" w:hAnsi="Times New Roman" w:cs="Times New Roman"/>
          <w:sz w:val="24"/>
          <w:szCs w:val="24"/>
        </w:rPr>
        <w:t xml:space="preserve">The study relies solely on secondary sources—published literature, institutional and </w:t>
      </w:r>
      <w:proofErr w:type="spellStart"/>
      <w:r w:rsidR="00B64248" w:rsidRPr="005525B3">
        <w:rPr>
          <w:rFonts w:ascii="Times New Roman" w:hAnsi="Times New Roman" w:cs="Times New Roman"/>
          <w:sz w:val="24"/>
          <w:szCs w:val="24"/>
        </w:rPr>
        <w:t>organisational</w:t>
      </w:r>
      <w:proofErr w:type="spellEnd"/>
      <w:r w:rsidR="00B64248" w:rsidRPr="005525B3">
        <w:rPr>
          <w:rFonts w:ascii="Times New Roman" w:hAnsi="Times New Roman" w:cs="Times New Roman"/>
          <w:sz w:val="24"/>
          <w:szCs w:val="24"/>
        </w:rPr>
        <w:t xml:space="preserve"> reports, and publicly accessible documentation—thus it did not entail primary data collection from human participants and consequently did not necessitate human-subjects ethics approval. The research adheres to established standards of scholarly integrity and complies with the UK Research and Innovation (UKRI) framework for research ethics and integrity. The observed key principles included:</w:t>
      </w:r>
    </w:p>
    <w:p w:rsidR="00D02427" w:rsidRPr="005525B3" w:rsidRDefault="00D02427" w:rsidP="005525B3">
      <w:pPr>
        <w:pStyle w:val="ListParagraph"/>
        <w:tabs>
          <w:tab w:val="left" w:pos="360"/>
        </w:tabs>
        <w:spacing w:after="240"/>
        <w:ind w:left="360" w:hanging="270"/>
        <w:jc w:val="both"/>
        <w:rPr>
          <w:rFonts w:ascii="Times New Roman" w:hAnsi="Times New Roman" w:cs="Times New Roman"/>
          <w:sz w:val="24"/>
          <w:szCs w:val="24"/>
        </w:rPr>
      </w:pPr>
      <w:r w:rsidRPr="005525B3">
        <w:rPr>
          <w:rFonts w:ascii="Times New Roman" w:hAnsi="Times New Roman" w:cs="Times New Roman"/>
          <w:b/>
          <w:bCs/>
          <w:sz w:val="24"/>
          <w:szCs w:val="24"/>
        </w:rPr>
        <w:t>• Accurate attribution:</w:t>
      </w:r>
      <w:r w:rsidRPr="005525B3">
        <w:rPr>
          <w:rFonts w:ascii="Times New Roman" w:hAnsi="Times New Roman" w:cs="Times New Roman"/>
          <w:sz w:val="24"/>
          <w:szCs w:val="24"/>
        </w:rPr>
        <w:t xml:space="preserve"> All secondary materials are referenced to their original sources, and no assertions are made beyond what the documentation substantiates.</w:t>
      </w:r>
    </w:p>
    <w:p w:rsidR="00D02427" w:rsidRPr="005525B3" w:rsidRDefault="00D02427" w:rsidP="005525B3">
      <w:pPr>
        <w:pStyle w:val="ListParagraph"/>
        <w:tabs>
          <w:tab w:val="left" w:pos="360"/>
        </w:tabs>
        <w:spacing w:after="240"/>
        <w:ind w:left="360" w:hanging="270"/>
        <w:jc w:val="both"/>
        <w:rPr>
          <w:rFonts w:ascii="Times New Roman" w:hAnsi="Times New Roman" w:cs="Times New Roman"/>
          <w:sz w:val="24"/>
          <w:szCs w:val="24"/>
        </w:rPr>
      </w:pPr>
      <w:r w:rsidRPr="005525B3">
        <w:rPr>
          <w:rFonts w:ascii="Times New Roman" w:hAnsi="Times New Roman" w:cs="Times New Roman"/>
          <w:b/>
          <w:bCs/>
          <w:sz w:val="24"/>
          <w:szCs w:val="24"/>
        </w:rPr>
        <w:t>• Third-party confidentiality:</w:t>
      </w:r>
      <w:r w:rsidRPr="005525B3">
        <w:rPr>
          <w:rFonts w:ascii="Times New Roman" w:hAnsi="Times New Roman" w:cs="Times New Roman"/>
          <w:sz w:val="24"/>
          <w:szCs w:val="24"/>
        </w:rPr>
        <w:t xml:space="preserve"> Where source documents described identifiable situations involving persons with disabilities, identifying particulars were omitted or </w:t>
      </w:r>
      <w:proofErr w:type="spellStart"/>
      <w:r w:rsidRPr="005525B3">
        <w:rPr>
          <w:rFonts w:ascii="Times New Roman" w:hAnsi="Times New Roman" w:cs="Times New Roman"/>
          <w:sz w:val="24"/>
          <w:szCs w:val="24"/>
        </w:rPr>
        <w:t>generalised</w:t>
      </w:r>
      <w:proofErr w:type="spellEnd"/>
      <w:r w:rsidRPr="005525B3">
        <w:rPr>
          <w:rFonts w:ascii="Times New Roman" w:hAnsi="Times New Roman" w:cs="Times New Roman"/>
          <w:sz w:val="24"/>
          <w:szCs w:val="24"/>
        </w:rPr>
        <w:t>, consistent with their treatment in the originating sources.</w:t>
      </w:r>
    </w:p>
    <w:p w:rsidR="00D02427" w:rsidRPr="005525B3" w:rsidRDefault="00D02427" w:rsidP="005525B3">
      <w:pPr>
        <w:pStyle w:val="ListParagraph"/>
        <w:tabs>
          <w:tab w:val="left" w:pos="360"/>
        </w:tabs>
        <w:spacing w:after="240"/>
        <w:ind w:left="360" w:hanging="270"/>
        <w:jc w:val="both"/>
        <w:rPr>
          <w:rFonts w:ascii="Times New Roman" w:hAnsi="Times New Roman" w:cs="Times New Roman"/>
          <w:sz w:val="24"/>
          <w:szCs w:val="24"/>
        </w:rPr>
      </w:pPr>
      <w:r w:rsidRPr="005525B3">
        <w:rPr>
          <w:rFonts w:ascii="Times New Roman" w:hAnsi="Times New Roman" w:cs="Times New Roman"/>
          <w:b/>
          <w:bCs/>
          <w:sz w:val="24"/>
          <w:szCs w:val="24"/>
        </w:rPr>
        <w:t>• Source transparency and provenance:</w:t>
      </w:r>
      <w:r w:rsidRPr="005525B3">
        <w:rPr>
          <w:rFonts w:ascii="Times New Roman" w:hAnsi="Times New Roman" w:cs="Times New Roman"/>
          <w:sz w:val="24"/>
          <w:szCs w:val="24"/>
        </w:rPr>
        <w:t xml:space="preserve"> Only sources with clear provenance and a documented </w:t>
      </w:r>
      <w:proofErr w:type="spellStart"/>
      <w:r w:rsidRPr="005525B3">
        <w:rPr>
          <w:rFonts w:ascii="Times New Roman" w:hAnsi="Times New Roman" w:cs="Times New Roman"/>
          <w:sz w:val="24"/>
          <w:szCs w:val="24"/>
        </w:rPr>
        <w:t>organisational</w:t>
      </w:r>
      <w:proofErr w:type="spellEnd"/>
      <w:r w:rsidRPr="005525B3">
        <w:rPr>
          <w:rFonts w:ascii="Times New Roman" w:hAnsi="Times New Roman" w:cs="Times New Roman"/>
          <w:sz w:val="24"/>
          <w:szCs w:val="24"/>
        </w:rPr>
        <w:t xml:space="preserve">, institutional, or scholarly foundation were </w:t>
      </w:r>
      <w:proofErr w:type="spellStart"/>
      <w:r w:rsidRPr="005525B3">
        <w:rPr>
          <w:rFonts w:ascii="Times New Roman" w:hAnsi="Times New Roman" w:cs="Times New Roman"/>
          <w:sz w:val="24"/>
          <w:szCs w:val="24"/>
        </w:rPr>
        <w:t>utilised</w:t>
      </w:r>
      <w:proofErr w:type="spellEnd"/>
      <w:r w:rsidRPr="005525B3">
        <w:rPr>
          <w:rFonts w:ascii="Times New Roman" w:hAnsi="Times New Roman" w:cs="Times New Roman"/>
          <w:sz w:val="24"/>
          <w:szCs w:val="24"/>
        </w:rPr>
        <w:t>.</w:t>
      </w:r>
    </w:p>
    <w:p w:rsidR="00D02427" w:rsidRPr="005525B3" w:rsidRDefault="00D02427" w:rsidP="005525B3">
      <w:pPr>
        <w:pStyle w:val="ListParagraph"/>
        <w:tabs>
          <w:tab w:val="left" w:pos="360"/>
        </w:tabs>
        <w:spacing w:after="240"/>
        <w:ind w:left="360" w:hanging="270"/>
        <w:jc w:val="both"/>
        <w:rPr>
          <w:rFonts w:ascii="Times New Roman" w:hAnsi="Times New Roman" w:cs="Times New Roman"/>
          <w:sz w:val="24"/>
          <w:szCs w:val="24"/>
        </w:rPr>
      </w:pPr>
      <w:r w:rsidRPr="005525B3">
        <w:rPr>
          <w:rFonts w:ascii="Times New Roman" w:hAnsi="Times New Roman" w:cs="Times New Roman"/>
          <w:b/>
          <w:bCs/>
          <w:sz w:val="24"/>
          <w:szCs w:val="24"/>
        </w:rPr>
        <w:t>• Sensitivity to vulnerable populations:</w:t>
      </w:r>
      <w:r w:rsidRPr="005525B3">
        <w:rPr>
          <w:rFonts w:ascii="Times New Roman" w:hAnsi="Times New Roman" w:cs="Times New Roman"/>
          <w:sz w:val="24"/>
          <w:szCs w:val="24"/>
        </w:rPr>
        <w:t xml:space="preserve"> In light of the susceptibility of the groups examined, the analysis was performed with a focus on preserving dignity and ensuring non-stigmatizing representation in the documentation of cases.</w:t>
      </w:r>
    </w:p>
    <w:p w:rsidR="006B7FBB" w:rsidRPr="005525B3" w:rsidRDefault="00F20D9A"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color w:val="auto"/>
        </w:rPr>
        <w:t>Quantitative Data Sources and Analysis</w:t>
      </w:r>
    </w:p>
    <w:p w:rsidR="00CB4D02" w:rsidRDefault="00D02427" w:rsidP="00CB4D02">
      <w:pPr>
        <w:jc w:val="both"/>
        <w:rPr>
          <w:rFonts w:ascii="Times New Roman" w:hAnsi="Times New Roman" w:cs="Times New Roman"/>
          <w:sz w:val="24"/>
          <w:szCs w:val="24"/>
        </w:rPr>
      </w:pPr>
      <w:r w:rsidRPr="00CB4D02">
        <w:rPr>
          <w:rFonts w:ascii="Times New Roman" w:hAnsi="Times New Roman" w:cs="Times New Roman"/>
          <w:sz w:val="24"/>
          <w:szCs w:val="24"/>
        </w:rPr>
        <w:t>Quantitative data were obtained from institutional administrative sources and secondary repositories. CSO registration data (n = 12,500 for Iraq; n = 6,339 for the KRI) were acquired from NGO Directorate databases (accessed in 2025) and validated by news reports (</w:t>
      </w:r>
      <w:proofErr w:type="spellStart"/>
      <w:r w:rsidRPr="00CB4D02">
        <w:rPr>
          <w:rFonts w:ascii="Times New Roman" w:hAnsi="Times New Roman" w:cs="Times New Roman"/>
          <w:sz w:val="24"/>
          <w:szCs w:val="24"/>
        </w:rPr>
        <w:t>BasNews</w:t>
      </w:r>
      <w:proofErr w:type="spellEnd"/>
      <w:r w:rsidRPr="00CB4D02">
        <w:rPr>
          <w:rFonts w:ascii="Times New Roman" w:hAnsi="Times New Roman" w:cs="Times New Roman"/>
          <w:sz w:val="24"/>
          <w:szCs w:val="24"/>
        </w:rPr>
        <w:t xml:space="preserve">, 2025). Data on disability prevalence (Table 1) consolidate estimates from peer-reviewed epidemiological studies (Doocy et al., 2013; </w:t>
      </w:r>
      <w:proofErr w:type="spellStart"/>
      <w:r w:rsidRPr="00CB4D02">
        <w:rPr>
          <w:rFonts w:ascii="Times New Roman" w:hAnsi="Times New Roman" w:cs="Times New Roman"/>
          <w:sz w:val="24"/>
          <w:szCs w:val="24"/>
        </w:rPr>
        <w:t>Lafta</w:t>
      </w:r>
      <w:proofErr w:type="spellEnd"/>
      <w:r w:rsidRPr="00CB4D02">
        <w:rPr>
          <w:rFonts w:ascii="Times New Roman" w:hAnsi="Times New Roman" w:cs="Times New Roman"/>
          <w:sz w:val="24"/>
          <w:szCs w:val="24"/>
        </w:rPr>
        <w:t xml:space="preserve"> et al., 2015; Jagoe et al., 2023) and institutional surveillance from IOM Iraq (2023) and the Ministry of Health (2023–2025). ODA allocations (Table 2) utilise data from the OECD Development Assistance Committee (DAC) Creditor Reporting </w:t>
      </w:r>
      <w:r w:rsidR="00CB4D02" w:rsidRPr="00CB4D02">
        <w:rPr>
          <w:rFonts w:ascii="Times New Roman" w:hAnsi="Times New Roman" w:cs="Times New Roman"/>
          <w:sz w:val="24"/>
          <w:szCs w:val="24"/>
        </w:rPr>
        <w:t>monitoring dashboards, and UN OCHA coordination data. Geographic disparities were represented as urban-to-rural ratios for essential metrics.</w:t>
      </w:r>
    </w:p>
    <w:p w:rsidR="00CB4D02" w:rsidRDefault="00CB4D02" w:rsidP="00CB4D02">
      <w:pPr>
        <w:jc w:val="both"/>
        <w:rPr>
          <w:rFonts w:ascii="Times New Roman" w:hAnsi="Times New Roman" w:cs="Times New Roman"/>
          <w:sz w:val="24"/>
          <w:szCs w:val="24"/>
        </w:rPr>
      </w:pPr>
    </w:p>
    <w:p w:rsidR="00CB4D02" w:rsidRPr="00CB4D02" w:rsidRDefault="00D02427" w:rsidP="00CB4D02">
      <w:pPr>
        <w:jc w:val="both"/>
        <w:rPr>
          <w:rFonts w:ascii="Times New Roman" w:hAnsi="Times New Roman" w:cs="Times New Roman"/>
          <w:sz w:val="24"/>
          <w:szCs w:val="24"/>
        </w:rPr>
      </w:pPr>
      <w:r w:rsidRPr="00CB4D02">
        <w:rPr>
          <w:rFonts w:ascii="Times New Roman" w:hAnsi="Times New Roman" w:cs="Times New Roman"/>
          <w:sz w:val="24"/>
          <w:szCs w:val="24"/>
        </w:rPr>
        <w:t>System for 2023, with disability-inclusion proportions estimated via keyword analysis of project descriptions (search terms: “accessibility”, “assistive”, “PWD”, “CRPD”, “inclusion”).</w:t>
      </w:r>
    </w:p>
    <w:p w:rsidR="00CB4D02" w:rsidRPr="00CB4D02" w:rsidRDefault="00CB4D02" w:rsidP="00CB4D02">
      <w:pPr>
        <w:jc w:val="both"/>
        <w:rPr>
          <w:rFonts w:ascii="Times New Roman" w:hAnsi="Times New Roman" w:cs="Times New Roman"/>
          <w:sz w:val="24"/>
          <w:szCs w:val="24"/>
        </w:rPr>
      </w:pPr>
    </w:p>
    <w:p w:rsidR="00CB4D02" w:rsidRPr="00CB4D02" w:rsidRDefault="00D02427" w:rsidP="00CB4D02">
      <w:pPr>
        <w:jc w:val="both"/>
        <w:rPr>
          <w:rFonts w:ascii="Times New Roman" w:hAnsi="Times New Roman" w:cs="Times New Roman"/>
          <w:sz w:val="24"/>
          <w:szCs w:val="24"/>
        </w:rPr>
      </w:pPr>
      <w:r w:rsidRPr="00CB4D02">
        <w:rPr>
          <w:rFonts w:ascii="Times New Roman" w:hAnsi="Times New Roman" w:cs="Times New Roman"/>
          <w:sz w:val="24"/>
          <w:szCs w:val="24"/>
        </w:rPr>
        <w:t xml:space="preserve">Metrics for CSO effectiveness (Table 4) were aggregated from program evaluation reports (2024–2026) encompassing 87 organisations across three governorate clusters, </w:t>
      </w:r>
      <w:proofErr w:type="spellStart"/>
      <w:r w:rsidRPr="00CB4D02">
        <w:rPr>
          <w:rFonts w:ascii="Times New Roman" w:hAnsi="Times New Roman" w:cs="Times New Roman"/>
          <w:sz w:val="24"/>
          <w:szCs w:val="24"/>
        </w:rPr>
        <w:t>synthesised</w:t>
      </w:r>
      <w:proofErr w:type="spellEnd"/>
      <w:r w:rsidRPr="00CB4D02">
        <w:rPr>
          <w:rFonts w:ascii="Times New Roman" w:hAnsi="Times New Roman" w:cs="Times New Roman"/>
          <w:sz w:val="24"/>
          <w:szCs w:val="24"/>
        </w:rPr>
        <w:t xml:space="preserve"> from CSO annual reports, IOM</w:t>
      </w:r>
    </w:p>
    <w:p w:rsidR="00CB4D02" w:rsidRDefault="00CB4D02" w:rsidP="00CB4D02">
      <w:pPr>
        <w:jc w:val="both"/>
        <w:rPr>
          <w:rFonts w:ascii="Times New Roman" w:hAnsi="Times New Roman" w:cs="Times New Roman"/>
        </w:rPr>
      </w:pPr>
    </w:p>
    <w:p w:rsidR="00CB4D02" w:rsidRDefault="00CB4D02" w:rsidP="00CB4D02">
      <w:pPr>
        <w:jc w:val="both"/>
        <w:rPr>
          <w:rFonts w:ascii="Times New Roman" w:hAnsi="Times New Roman" w:cs="Times New Roman"/>
          <w:b/>
          <w:bCs/>
          <w:sz w:val="28"/>
          <w:szCs w:val="28"/>
        </w:rPr>
      </w:pPr>
      <w:r w:rsidRPr="00CB4D02">
        <w:rPr>
          <w:rFonts w:ascii="Times New Roman" w:hAnsi="Times New Roman" w:cs="Times New Roman"/>
          <w:b/>
          <w:bCs/>
          <w:sz w:val="28"/>
          <w:szCs w:val="28"/>
        </w:rPr>
        <w:t>LITERATURE REVIEW AND THEORETICAL FRAMEWORKS</w:t>
      </w:r>
    </w:p>
    <w:p w:rsidR="00CB4D02" w:rsidRDefault="00CB4D02" w:rsidP="00CB4D02">
      <w:pPr>
        <w:jc w:val="both"/>
        <w:rPr>
          <w:rFonts w:ascii="Times New Roman" w:hAnsi="Times New Roman" w:cs="Times New Roman"/>
          <w:sz w:val="24"/>
          <w:szCs w:val="24"/>
        </w:rPr>
      </w:pPr>
    </w:p>
    <w:p w:rsidR="00CB4D02" w:rsidRDefault="006E2C99" w:rsidP="00CB4D02">
      <w:pPr>
        <w:jc w:val="both"/>
        <w:rPr>
          <w:rFonts w:ascii="Times New Roman" w:hAnsi="Times New Roman" w:cs="Times New Roman"/>
          <w:sz w:val="24"/>
          <w:szCs w:val="24"/>
        </w:rPr>
      </w:pPr>
      <w:r w:rsidRPr="005525B3">
        <w:rPr>
          <w:rFonts w:ascii="Times New Roman" w:hAnsi="Times New Roman" w:cs="Times New Roman"/>
          <w:sz w:val="24"/>
          <w:szCs w:val="24"/>
        </w:rPr>
        <w:t xml:space="preserve">This review consolidates contemporary research on the role of </w:t>
      </w:r>
      <w:r w:rsidR="008C6B6A" w:rsidRPr="005525B3">
        <w:rPr>
          <w:rFonts w:ascii="Times New Roman" w:hAnsi="Times New Roman" w:cs="Times New Roman"/>
          <w:sz w:val="24"/>
          <w:szCs w:val="24"/>
        </w:rPr>
        <w:t>CSOs</w:t>
      </w:r>
      <w:r w:rsidRPr="005525B3">
        <w:rPr>
          <w:rFonts w:ascii="Times New Roman" w:hAnsi="Times New Roman" w:cs="Times New Roman"/>
          <w:sz w:val="24"/>
          <w:szCs w:val="24"/>
        </w:rPr>
        <w:t xml:space="preserve"> in assisting individuals with disabilities in </w:t>
      </w:r>
    </w:p>
    <w:p w:rsidR="006B7FBB" w:rsidRPr="00B57CCA" w:rsidRDefault="006E2C99" w:rsidP="00B57CCA">
      <w:pPr>
        <w:jc w:val="both"/>
        <w:rPr>
          <w:rFonts w:ascii="Times New Roman" w:hAnsi="Times New Roman" w:cs="Times New Roman"/>
          <w:b/>
          <w:bCs/>
          <w:sz w:val="24"/>
          <w:szCs w:val="24"/>
        </w:rPr>
      </w:pPr>
      <w:proofErr w:type="gramStart"/>
      <w:r w:rsidRPr="005525B3">
        <w:rPr>
          <w:rFonts w:ascii="Times New Roman" w:hAnsi="Times New Roman" w:cs="Times New Roman"/>
          <w:sz w:val="24"/>
          <w:szCs w:val="24"/>
        </w:rPr>
        <w:lastRenderedPageBreak/>
        <w:t>Iraq, incorporating recent evidence and highlighting critical gaps.</w:t>
      </w:r>
      <w:proofErr w:type="gramEnd"/>
      <w:r w:rsidR="00B57CCA">
        <w:rPr>
          <w:rFonts w:ascii="Times New Roman" w:hAnsi="Times New Roman" w:cs="Times New Roman"/>
          <w:sz w:val="24"/>
          <w:szCs w:val="24"/>
        </w:rPr>
        <w:t xml:space="preserve"> </w:t>
      </w:r>
      <w:r w:rsidR="00F20D9A" w:rsidRPr="005525B3">
        <w:rPr>
          <w:rFonts w:ascii="Times New Roman" w:hAnsi="Times New Roman" w:cs="Times New Roman"/>
        </w:rPr>
        <w:t>The Shift in Security and Funding Paradigms</w:t>
      </w:r>
    </w:p>
    <w:p w:rsidR="005525B3" w:rsidRPr="005525B3" w:rsidRDefault="006E2C99" w:rsidP="005525B3">
      <w:pPr>
        <w:pStyle w:val="Heading2"/>
        <w:spacing w:before="0" w:after="240"/>
        <w:jc w:val="both"/>
        <w:rPr>
          <w:rFonts w:ascii="Times New Roman" w:hAnsi="Times New Roman" w:cs="Times New Roman"/>
          <w:b w:val="0"/>
          <w:bCs w:val="0"/>
          <w:color w:val="auto"/>
        </w:rPr>
      </w:pPr>
      <w:proofErr w:type="spellStart"/>
      <w:r w:rsidRPr="005525B3">
        <w:rPr>
          <w:rFonts w:ascii="Times New Roman" w:hAnsi="Times New Roman" w:cs="Times New Roman"/>
          <w:b w:val="0"/>
          <w:bCs w:val="0"/>
          <w:color w:val="auto"/>
        </w:rPr>
        <w:t>Costantini</w:t>
      </w:r>
      <w:proofErr w:type="spellEnd"/>
      <w:r w:rsidRPr="005525B3">
        <w:rPr>
          <w:rFonts w:ascii="Times New Roman" w:hAnsi="Times New Roman" w:cs="Times New Roman"/>
          <w:b w:val="0"/>
          <w:bCs w:val="0"/>
          <w:color w:val="auto"/>
        </w:rPr>
        <w:t xml:space="preserve"> and </w:t>
      </w:r>
      <w:proofErr w:type="spellStart"/>
      <w:r w:rsidRPr="005525B3">
        <w:rPr>
          <w:rFonts w:ascii="Times New Roman" w:hAnsi="Times New Roman" w:cs="Times New Roman"/>
          <w:b w:val="0"/>
          <w:bCs w:val="0"/>
          <w:color w:val="auto"/>
        </w:rPr>
        <w:t>O’Driscoll</w:t>
      </w:r>
      <w:proofErr w:type="spellEnd"/>
      <w:r w:rsidRPr="005525B3">
        <w:rPr>
          <w:rFonts w:ascii="Times New Roman" w:hAnsi="Times New Roman" w:cs="Times New Roman"/>
          <w:b w:val="0"/>
          <w:bCs w:val="0"/>
          <w:color w:val="auto"/>
        </w:rPr>
        <w:t xml:space="preserve"> (2023) contend that, following 2020, a notable transition has taken place from a "human security" framework, </w:t>
      </w:r>
      <w:proofErr w:type="spellStart"/>
      <w:r w:rsidRPr="005525B3">
        <w:rPr>
          <w:rFonts w:ascii="Times New Roman" w:hAnsi="Times New Roman" w:cs="Times New Roman"/>
          <w:b w:val="0"/>
          <w:bCs w:val="0"/>
          <w:color w:val="auto"/>
        </w:rPr>
        <w:t>emphasising</w:t>
      </w:r>
      <w:proofErr w:type="spellEnd"/>
      <w:r w:rsidRPr="005525B3">
        <w:rPr>
          <w:rFonts w:ascii="Times New Roman" w:hAnsi="Times New Roman" w:cs="Times New Roman"/>
          <w:b w:val="0"/>
          <w:bCs w:val="0"/>
          <w:color w:val="auto"/>
        </w:rPr>
        <w:t xml:space="preserve"> individual rights and vulnerable groups, to a "regime security" paradigm centred on state stability and geopolitical alignment. This transition has resulted in quantifiable effects on disability inclusion: by 2023, under 4% of Official Development Assistance (ODA) in Iraq included a specific objective for disability inclusion (OECD, 2023; see Table 2). Stel (2020) asserts that funding deficiencies compel </w:t>
      </w:r>
      <w:proofErr w:type="gramStart"/>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to</w:t>
      </w:r>
      <w:proofErr w:type="gramEnd"/>
      <w:r w:rsidRPr="005525B3">
        <w:rPr>
          <w:rFonts w:ascii="Times New Roman" w:hAnsi="Times New Roman" w:cs="Times New Roman"/>
          <w:b w:val="0"/>
          <w:bCs w:val="0"/>
          <w:color w:val="auto"/>
        </w:rPr>
        <w:t xml:space="preserve"> function within a "politics of uncertainty," wherein long-term sustainability is compromised for short-term, donor-oriented project cycles that do not achieve enduring structural change for individuals with disabilities.</w:t>
      </w:r>
    </w:p>
    <w:p w:rsidR="006B7FBB" w:rsidRPr="005525B3" w:rsidRDefault="00F20D9A"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color w:val="auto"/>
        </w:rPr>
        <w:t>The “</w:t>
      </w:r>
      <w:proofErr w:type="spellStart"/>
      <w:r w:rsidRPr="005525B3">
        <w:rPr>
          <w:rFonts w:ascii="Times New Roman" w:hAnsi="Times New Roman" w:cs="Times New Roman"/>
          <w:color w:val="auto"/>
        </w:rPr>
        <w:t>NGOisation</w:t>
      </w:r>
      <w:proofErr w:type="spellEnd"/>
      <w:r w:rsidRPr="005525B3">
        <w:rPr>
          <w:rFonts w:ascii="Times New Roman" w:hAnsi="Times New Roman" w:cs="Times New Roman"/>
          <w:color w:val="auto"/>
        </w:rPr>
        <w:t>” of Service Delivery</w:t>
      </w:r>
    </w:p>
    <w:p w:rsidR="00D677C5" w:rsidRPr="005525B3" w:rsidRDefault="00D677C5"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Jaber (2022) and Stel (2020</w:t>
      </w:r>
      <w:r w:rsidR="008C6B6A" w:rsidRPr="005525B3">
        <w:rPr>
          <w:rFonts w:ascii="Times New Roman" w:hAnsi="Times New Roman" w:cs="Times New Roman"/>
          <w:b w:val="0"/>
          <w:bCs w:val="0"/>
          <w:color w:val="auto"/>
        </w:rPr>
        <w:t>) describe</w:t>
      </w:r>
      <w:r w:rsidRPr="005525B3">
        <w:rPr>
          <w:rFonts w:ascii="Times New Roman" w:hAnsi="Times New Roman" w:cs="Times New Roman"/>
          <w:b w:val="0"/>
          <w:bCs w:val="0"/>
          <w:color w:val="auto"/>
        </w:rPr>
        <w:t xml:space="preserve">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as "intermediate sovereigns" that address the void created by the persistent absence of the state in urban slums and rural regions. Academics warn against the "</w:t>
      </w:r>
      <w:proofErr w:type="spellStart"/>
      <w:r w:rsidRPr="005525B3">
        <w:rPr>
          <w:rFonts w:ascii="Times New Roman" w:hAnsi="Times New Roman" w:cs="Times New Roman"/>
          <w:b w:val="0"/>
          <w:bCs w:val="0"/>
          <w:color w:val="auto"/>
        </w:rPr>
        <w:t>NGOisation</w:t>
      </w:r>
      <w:proofErr w:type="spellEnd"/>
      <w:r w:rsidRPr="005525B3">
        <w:rPr>
          <w:rFonts w:ascii="Times New Roman" w:hAnsi="Times New Roman" w:cs="Times New Roman"/>
          <w:b w:val="0"/>
          <w:bCs w:val="0"/>
          <w:color w:val="auto"/>
        </w:rPr>
        <w:t xml:space="preserve">" of the sector—a phenomenon wherein social movements are transformed into professional service-delivery organisations that may unintentionally reinforce the political status quo by absolving the state of its social responsibilities (Al </w:t>
      </w:r>
      <w:proofErr w:type="spellStart"/>
      <w:r w:rsidRPr="005525B3">
        <w:rPr>
          <w:rFonts w:ascii="Times New Roman" w:hAnsi="Times New Roman" w:cs="Times New Roman"/>
          <w:b w:val="0"/>
          <w:bCs w:val="0"/>
          <w:color w:val="auto"/>
        </w:rPr>
        <w:t>Jayousi</w:t>
      </w:r>
      <w:proofErr w:type="spellEnd"/>
      <w:r w:rsidRPr="005525B3">
        <w:rPr>
          <w:rFonts w:ascii="Times New Roman" w:hAnsi="Times New Roman" w:cs="Times New Roman"/>
          <w:b w:val="0"/>
          <w:bCs w:val="0"/>
          <w:color w:val="auto"/>
        </w:rPr>
        <w:t xml:space="preserve"> &amp; </w:t>
      </w:r>
      <w:proofErr w:type="spellStart"/>
      <w:r w:rsidRPr="005525B3">
        <w:rPr>
          <w:rFonts w:ascii="Times New Roman" w:hAnsi="Times New Roman" w:cs="Times New Roman"/>
          <w:b w:val="0"/>
          <w:bCs w:val="0"/>
          <w:color w:val="auto"/>
        </w:rPr>
        <w:t>Nishide</w:t>
      </w:r>
      <w:proofErr w:type="spellEnd"/>
      <w:r w:rsidRPr="005525B3">
        <w:rPr>
          <w:rFonts w:ascii="Times New Roman" w:hAnsi="Times New Roman" w:cs="Times New Roman"/>
          <w:b w:val="0"/>
          <w:bCs w:val="0"/>
          <w:color w:val="auto"/>
        </w:rPr>
        <w:t xml:space="preserve">, 2024; Walton &amp; Aslam, 2024). Al </w:t>
      </w:r>
      <w:proofErr w:type="spellStart"/>
      <w:r w:rsidRPr="005525B3">
        <w:rPr>
          <w:rFonts w:ascii="Times New Roman" w:hAnsi="Times New Roman" w:cs="Times New Roman"/>
          <w:b w:val="0"/>
          <w:bCs w:val="0"/>
          <w:color w:val="auto"/>
        </w:rPr>
        <w:t>Jayousi</w:t>
      </w:r>
      <w:proofErr w:type="spellEnd"/>
      <w:r w:rsidRPr="005525B3">
        <w:rPr>
          <w:rFonts w:ascii="Times New Roman" w:hAnsi="Times New Roman" w:cs="Times New Roman"/>
          <w:b w:val="0"/>
          <w:bCs w:val="0"/>
          <w:color w:val="auto"/>
        </w:rPr>
        <w:t xml:space="preserve"> and </w:t>
      </w:r>
      <w:proofErr w:type="spellStart"/>
      <w:r w:rsidRPr="005525B3">
        <w:rPr>
          <w:rFonts w:ascii="Times New Roman" w:hAnsi="Times New Roman" w:cs="Times New Roman"/>
          <w:b w:val="0"/>
          <w:bCs w:val="0"/>
          <w:color w:val="auto"/>
        </w:rPr>
        <w:t>Nishide</w:t>
      </w:r>
      <w:proofErr w:type="spellEnd"/>
      <w:r w:rsidRPr="005525B3">
        <w:rPr>
          <w:rFonts w:ascii="Times New Roman" w:hAnsi="Times New Roman" w:cs="Times New Roman"/>
          <w:b w:val="0"/>
          <w:bCs w:val="0"/>
          <w:color w:val="auto"/>
        </w:rPr>
        <w:t xml:space="preserve"> (2024)  indicate that this can produce “isolated pilots” of care that are not integrated into a unified national health or welfare policy, yielding fragmented rather than systemic change for individuals with disabilities.</w:t>
      </w:r>
    </w:p>
    <w:p w:rsidR="00D677C5" w:rsidRPr="005525B3" w:rsidRDefault="00D677C5"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Recent evidence from 2024 to 2026 indicates a critical turning point. Certain CSO networks have commenced transitioning from project-based to programme-based models, utilising multi-year funding agreements and integrated service frameworks among complementary organisations. Organisations like the Iraqi Disability Inclusion Alliance and the Kurdistan Accessibility Network have implemented integrated strategies that transcend traditional isolated services. These emerging models exhibit the ability for systemic advocacy while maintaining service delivery, challenging previous, more pessimistic assessments of inevitable </w:t>
      </w:r>
      <w:proofErr w:type="spellStart"/>
      <w:r w:rsidRPr="005525B3">
        <w:rPr>
          <w:rFonts w:ascii="Times New Roman" w:hAnsi="Times New Roman" w:cs="Times New Roman"/>
          <w:b w:val="0"/>
          <w:bCs w:val="0"/>
          <w:color w:val="auto"/>
        </w:rPr>
        <w:t>NGOisation</w:t>
      </w:r>
      <w:proofErr w:type="spellEnd"/>
      <w:r w:rsidRPr="005525B3">
        <w:rPr>
          <w:rFonts w:ascii="Times New Roman" w:hAnsi="Times New Roman" w:cs="Times New Roman"/>
          <w:b w:val="0"/>
          <w:bCs w:val="0"/>
          <w:color w:val="auto"/>
        </w:rPr>
        <w:t>.</w:t>
      </w:r>
    </w:p>
    <w:p w:rsidR="006B7FBB" w:rsidRPr="005525B3" w:rsidRDefault="00F20D9A"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color w:val="auto"/>
        </w:rPr>
        <w:t>“Wasta” and the Politics of Invisibility</w:t>
      </w:r>
    </w:p>
    <w:p w:rsidR="00D677C5" w:rsidRPr="005525B3" w:rsidRDefault="00D677C5"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Hussein and </w:t>
      </w:r>
      <w:proofErr w:type="spellStart"/>
      <w:r w:rsidRPr="005525B3">
        <w:rPr>
          <w:rFonts w:ascii="Times New Roman" w:hAnsi="Times New Roman" w:cs="Times New Roman"/>
          <w:b w:val="0"/>
          <w:bCs w:val="0"/>
          <w:color w:val="auto"/>
        </w:rPr>
        <w:t>Moniruzzaman</w:t>
      </w:r>
      <w:proofErr w:type="spellEnd"/>
      <w:r w:rsidRPr="005525B3">
        <w:rPr>
          <w:rFonts w:ascii="Times New Roman" w:hAnsi="Times New Roman" w:cs="Times New Roman"/>
          <w:b w:val="0"/>
          <w:bCs w:val="0"/>
          <w:color w:val="auto"/>
        </w:rPr>
        <w:t xml:space="preserve"> (2024) assert that, in Iraq's "pseudo-state" context, political or sectarian allegiance frequently dictates resource distribution within the welfare system. Rudi (2026) contends that individuals with disabilities possessing minimal social capital are rendered "invisible" to governmental entities and politically affiliated NGOs. This institutional invisibility is exacerbated in situations of multifaceted crisis and </w:t>
      </w:r>
      <w:proofErr w:type="spellStart"/>
      <w:r w:rsidRPr="005525B3">
        <w:rPr>
          <w:rFonts w:ascii="Times New Roman" w:hAnsi="Times New Roman" w:cs="Times New Roman"/>
          <w:b w:val="0"/>
          <w:bCs w:val="0"/>
          <w:color w:val="auto"/>
        </w:rPr>
        <w:t>disablism</w:t>
      </w:r>
      <w:proofErr w:type="spellEnd"/>
      <w:r w:rsidRPr="005525B3">
        <w:rPr>
          <w:rFonts w:ascii="Times New Roman" w:hAnsi="Times New Roman" w:cs="Times New Roman"/>
          <w:b w:val="0"/>
          <w:bCs w:val="0"/>
          <w:color w:val="auto"/>
        </w:rPr>
        <w:t xml:space="preserve"> (</w:t>
      </w:r>
      <w:proofErr w:type="spellStart"/>
      <w:r w:rsidRPr="005525B3">
        <w:rPr>
          <w:rFonts w:ascii="Times New Roman" w:hAnsi="Times New Roman" w:cs="Times New Roman"/>
          <w:b w:val="0"/>
          <w:bCs w:val="0"/>
          <w:color w:val="auto"/>
        </w:rPr>
        <w:t>Khawam</w:t>
      </w:r>
      <w:proofErr w:type="spellEnd"/>
      <w:r w:rsidRPr="005525B3">
        <w:rPr>
          <w:rFonts w:ascii="Times New Roman" w:hAnsi="Times New Roman" w:cs="Times New Roman"/>
          <w:b w:val="0"/>
          <w:bCs w:val="0"/>
          <w:color w:val="auto"/>
        </w:rPr>
        <w:t xml:space="preserve"> &amp; </w:t>
      </w:r>
      <w:proofErr w:type="spellStart"/>
      <w:r w:rsidRPr="005525B3">
        <w:rPr>
          <w:rFonts w:ascii="Times New Roman" w:hAnsi="Times New Roman" w:cs="Times New Roman"/>
          <w:b w:val="0"/>
          <w:bCs w:val="0"/>
          <w:color w:val="auto"/>
        </w:rPr>
        <w:t>Akerkar</w:t>
      </w:r>
      <w:proofErr w:type="spellEnd"/>
      <w:r w:rsidRPr="005525B3">
        <w:rPr>
          <w:rFonts w:ascii="Times New Roman" w:hAnsi="Times New Roman" w:cs="Times New Roman"/>
          <w:b w:val="0"/>
          <w:bCs w:val="0"/>
          <w:color w:val="auto"/>
        </w:rPr>
        <w:t>, 2023) and further intensified by the absence of accessible transport, the primary logistical barrier hindering individuals with disabilities from accessing the limited services offered by CSOs (Dehghani et al., 2024; Jagoe et al., 2023).</w:t>
      </w:r>
    </w:p>
    <w:p w:rsidR="006B7FBB" w:rsidRPr="005525B3" w:rsidRDefault="00F20D9A"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color w:val="auto"/>
        </w:rPr>
        <w:t>Intersectional Vulnerabilities and Protection Risks</w:t>
      </w:r>
    </w:p>
    <w:p w:rsidR="00053774" w:rsidRPr="005525B3" w:rsidRDefault="00053774"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Recent studies increasingly utilise an intersectional framework to analyse the unique risks encountered by disability subgroups in Iraq. Jagoe et al. (2023) discovered that individuals with speech and language impairments face markedly elevated risks of identity-based violence and have limited means of reporting abuse to governmental authorities. Their research, anchored in SDG 16 (peace, justice, and strong institutions) and SDG 5 (gender equality), underscores the intersection of disability and gender vulnerability in conflict-affected contexts (United Nations, 2015).</w:t>
      </w:r>
    </w:p>
    <w:p w:rsidR="00053774" w:rsidRPr="005525B3" w:rsidRDefault="00053774"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Analysis for 2025–2026 reveals that gender intersectionality includes not only women with disabilities but also male carers and individuals in non-traditional gender roles. The qualitative research conducted by the Sulaymaniyah Disability Rights Forum revealed that male carers of disabled relatives face social stigma and institutional barriers in accessing support, a topic insufficiently addressed in the disability literature (King et al., 2020; Rose &amp; Usman, 2023). Individuals identifying as LGBTQ+ with disabilities in Iraq experience compounded </w:t>
      </w:r>
      <w:proofErr w:type="spellStart"/>
      <w:r w:rsidRPr="005525B3">
        <w:rPr>
          <w:rFonts w:ascii="Times New Roman" w:hAnsi="Times New Roman" w:cs="Times New Roman"/>
          <w:b w:val="0"/>
          <w:bCs w:val="0"/>
          <w:color w:val="auto"/>
        </w:rPr>
        <w:t>marginalisation</w:t>
      </w:r>
      <w:proofErr w:type="spellEnd"/>
      <w:r w:rsidRPr="005525B3">
        <w:rPr>
          <w:rFonts w:ascii="Times New Roman" w:hAnsi="Times New Roman" w:cs="Times New Roman"/>
          <w:b w:val="0"/>
          <w:bCs w:val="0"/>
          <w:color w:val="auto"/>
        </w:rPr>
        <w:t>; however, this intersectional demographic is among the least researched.</w:t>
      </w:r>
    </w:p>
    <w:p w:rsidR="00053774" w:rsidRPr="005525B3" w:rsidRDefault="00053774"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Radhi et al. (2023) note that in provinces like Babylon, the socio-economic burden of disability disproportionately impacts the spouses of disabled individuals, who bear the psychological and economic costs </w:t>
      </w:r>
      <w:r w:rsidRPr="005525B3">
        <w:rPr>
          <w:rFonts w:ascii="Times New Roman" w:hAnsi="Times New Roman" w:cs="Times New Roman"/>
          <w:b w:val="0"/>
          <w:bCs w:val="0"/>
          <w:color w:val="auto"/>
        </w:rPr>
        <w:lastRenderedPageBreak/>
        <w:t xml:space="preserve">of caregiving with minimal institutional support from both the private and public sectors. The gendered aspect of disability care is a crucial yet systematically overlooked domain for </w:t>
      </w:r>
      <w:r w:rsidR="008C6B6A" w:rsidRPr="005525B3">
        <w:rPr>
          <w:rFonts w:ascii="Times New Roman" w:hAnsi="Times New Roman" w:cs="Times New Roman"/>
          <w:b w:val="0"/>
          <w:bCs w:val="0"/>
          <w:color w:val="auto"/>
        </w:rPr>
        <w:t>CSO intervention</w:t>
      </w:r>
      <w:r w:rsidRPr="005525B3">
        <w:rPr>
          <w:rFonts w:ascii="Times New Roman" w:hAnsi="Times New Roman" w:cs="Times New Roman"/>
          <w:b w:val="0"/>
          <w:bCs w:val="0"/>
          <w:color w:val="auto"/>
        </w:rPr>
        <w:t>.</w:t>
      </w:r>
    </w:p>
    <w:p w:rsidR="006B7FBB" w:rsidRPr="005525B3" w:rsidRDefault="00F20D9A"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color w:val="auto"/>
        </w:rPr>
        <w:t>Disability Prevalence and Epidemiology</w:t>
      </w:r>
    </w:p>
    <w:p w:rsidR="006B7FBB" w:rsidRPr="005525B3" w:rsidRDefault="00053774"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Epidemiological data from 2021 to 2026 indicate intricate patterns of disability prevalence, distribution, and causation throughout Iraq. Table 1 aggregates recent institutional data, survey findings, and prevalence studies, establishing a foundation for comprehending CSO targeting and service deficiencies. Environmental factors contributing to congenital disabilities, particularly heavy-metal pollution in proximity to former conflict zones, represent an additional, frequently neglected cause (Al-</w:t>
      </w:r>
      <w:proofErr w:type="spellStart"/>
      <w:r w:rsidRPr="005525B3">
        <w:rPr>
          <w:rFonts w:ascii="Times New Roman" w:hAnsi="Times New Roman" w:cs="Times New Roman"/>
          <w:sz w:val="24"/>
          <w:szCs w:val="24"/>
        </w:rPr>
        <w:t>Sabbak</w:t>
      </w:r>
      <w:proofErr w:type="spellEnd"/>
      <w:r w:rsidRPr="005525B3">
        <w:rPr>
          <w:rFonts w:ascii="Times New Roman" w:hAnsi="Times New Roman" w:cs="Times New Roman"/>
          <w:sz w:val="24"/>
          <w:szCs w:val="24"/>
        </w:rPr>
        <w:t xml:space="preserve"> et al., 2012; </w:t>
      </w:r>
      <w:proofErr w:type="spellStart"/>
      <w:r w:rsidRPr="005525B3">
        <w:rPr>
          <w:rFonts w:ascii="Times New Roman" w:hAnsi="Times New Roman" w:cs="Times New Roman"/>
          <w:sz w:val="24"/>
          <w:szCs w:val="24"/>
        </w:rPr>
        <w:t>Savabieasfahani</w:t>
      </w:r>
      <w:proofErr w:type="spellEnd"/>
      <w:r w:rsidRPr="005525B3">
        <w:rPr>
          <w:rFonts w:ascii="Times New Roman" w:hAnsi="Times New Roman" w:cs="Times New Roman"/>
          <w:sz w:val="24"/>
          <w:szCs w:val="24"/>
        </w:rPr>
        <w:t xml:space="preserve"> et al., 2024).</w:t>
      </w:r>
    </w:p>
    <w:tbl>
      <w:tblPr>
        <w:tblStyle w:val="TableGrid"/>
        <w:tblW w:w="10705" w:type="dxa"/>
        <w:tblLook w:val="04A0"/>
      </w:tblPr>
      <w:tblGrid>
        <w:gridCol w:w="2488"/>
        <w:gridCol w:w="1255"/>
        <w:gridCol w:w="1922"/>
        <w:gridCol w:w="1469"/>
        <w:gridCol w:w="2229"/>
        <w:gridCol w:w="1342"/>
      </w:tblGrid>
      <w:tr w:rsidR="006B7FBB" w:rsidRPr="005525B3" w:rsidTr="005525B3">
        <w:tc>
          <w:tcPr>
            <w:tcW w:w="2488"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b/>
                <w:bCs/>
              </w:rPr>
              <w:t>Disability Category</w:t>
            </w:r>
          </w:p>
        </w:tc>
        <w:tc>
          <w:tcPr>
            <w:tcW w:w="1255"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b/>
                <w:bCs/>
              </w:rPr>
              <w:t>Prevalence / Proportion (%)</w:t>
            </w:r>
          </w:p>
        </w:tc>
        <w:tc>
          <w:tcPr>
            <w:tcW w:w="192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b/>
                <w:bCs/>
              </w:rPr>
              <w:t>Affected Population</w:t>
            </w:r>
          </w:p>
        </w:tc>
        <w:tc>
          <w:tcPr>
            <w:tcW w:w="146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b/>
                <w:bCs/>
              </w:rPr>
              <w:t>Primary Cause</w:t>
            </w:r>
          </w:p>
        </w:tc>
        <w:tc>
          <w:tcPr>
            <w:tcW w:w="222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b/>
                <w:bCs/>
              </w:rPr>
              <w:t>Geographic Concentration</w:t>
            </w:r>
          </w:p>
        </w:tc>
        <w:tc>
          <w:tcPr>
            <w:tcW w:w="134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b/>
                <w:bCs/>
              </w:rPr>
              <w:t>CSO Coverage (%)</w:t>
            </w:r>
          </w:p>
        </w:tc>
      </w:tr>
      <w:tr w:rsidR="006B7FBB" w:rsidRPr="005525B3" w:rsidTr="005525B3">
        <w:tc>
          <w:tcPr>
            <w:tcW w:w="2488"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Overall (conflict-displaced)</w:t>
            </w:r>
          </w:p>
        </w:tc>
        <w:tc>
          <w:tcPr>
            <w:tcW w:w="1255"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7.1%</w:t>
            </w:r>
          </w:p>
        </w:tc>
        <w:tc>
          <w:tcPr>
            <w:tcW w:w="192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~847,000</w:t>
            </w:r>
          </w:p>
        </w:tc>
        <w:tc>
          <w:tcPr>
            <w:tcW w:w="146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Conflict legacy</w:t>
            </w:r>
          </w:p>
        </w:tc>
        <w:tc>
          <w:tcPr>
            <w:tcW w:w="222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Urban centres, camps</w:t>
            </w:r>
          </w:p>
        </w:tc>
        <w:tc>
          <w:tcPr>
            <w:tcW w:w="134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18–22%</w:t>
            </w:r>
          </w:p>
        </w:tc>
      </w:tr>
      <w:tr w:rsidR="006B7FBB" w:rsidRPr="005525B3" w:rsidTr="005525B3">
        <w:tc>
          <w:tcPr>
            <w:tcW w:w="2488"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Mobility / physical</w:t>
            </w:r>
          </w:p>
        </w:tc>
        <w:tc>
          <w:tcPr>
            <w:tcW w:w="1255"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79.4%</w:t>
            </w:r>
          </w:p>
        </w:tc>
        <w:tc>
          <w:tcPr>
            <w:tcW w:w="192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~673,000</w:t>
            </w:r>
          </w:p>
        </w:tc>
        <w:tc>
          <w:tcPr>
            <w:tcW w:w="146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Blasts, RTAs, wounds</w:t>
            </w:r>
          </w:p>
        </w:tc>
        <w:tc>
          <w:tcPr>
            <w:tcW w:w="222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Baghdad, Mosul, Anbar</w:t>
            </w:r>
          </w:p>
        </w:tc>
        <w:tc>
          <w:tcPr>
            <w:tcW w:w="134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25–31%</w:t>
            </w:r>
          </w:p>
        </w:tc>
      </w:tr>
      <w:tr w:rsidR="006B7FBB" w:rsidRPr="005525B3" w:rsidTr="005525B3">
        <w:tc>
          <w:tcPr>
            <w:tcW w:w="2488"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Visual impairment</w:t>
            </w:r>
          </w:p>
        </w:tc>
        <w:tc>
          <w:tcPr>
            <w:tcW w:w="1255"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48.5%</w:t>
            </w:r>
          </w:p>
        </w:tc>
        <w:tc>
          <w:tcPr>
            <w:tcW w:w="192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~411,000</w:t>
            </w:r>
          </w:p>
        </w:tc>
        <w:tc>
          <w:tcPr>
            <w:tcW w:w="146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Conflict, congenital</w:t>
            </w:r>
          </w:p>
        </w:tc>
        <w:tc>
          <w:tcPr>
            <w:tcW w:w="222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Basrah, Baghdad</w:t>
            </w:r>
          </w:p>
        </w:tc>
        <w:tc>
          <w:tcPr>
            <w:tcW w:w="134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12–18%</w:t>
            </w:r>
          </w:p>
        </w:tc>
      </w:tr>
      <w:tr w:rsidR="006B7FBB" w:rsidRPr="005525B3" w:rsidTr="005525B3">
        <w:tc>
          <w:tcPr>
            <w:tcW w:w="2488"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Auditory impairment</w:t>
            </w:r>
          </w:p>
        </w:tc>
        <w:tc>
          <w:tcPr>
            <w:tcW w:w="1255"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7.1–13.3%</w:t>
            </w:r>
          </w:p>
        </w:tc>
        <w:tc>
          <w:tcPr>
            <w:tcW w:w="192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~60,000–113,000</w:t>
            </w:r>
          </w:p>
        </w:tc>
        <w:tc>
          <w:tcPr>
            <w:tcW w:w="146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Blast exposure</w:t>
            </w:r>
          </w:p>
        </w:tc>
        <w:tc>
          <w:tcPr>
            <w:tcW w:w="222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All regions</w:t>
            </w:r>
          </w:p>
        </w:tc>
        <w:tc>
          <w:tcPr>
            <w:tcW w:w="134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8–14%</w:t>
            </w:r>
          </w:p>
        </w:tc>
      </w:tr>
      <w:tr w:rsidR="006B7FBB" w:rsidRPr="005525B3" w:rsidTr="005525B3">
        <w:tc>
          <w:tcPr>
            <w:tcW w:w="2488"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Communication disability</w:t>
            </w:r>
          </w:p>
        </w:tc>
        <w:tc>
          <w:tcPr>
            <w:tcW w:w="1255"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8–12%</w:t>
            </w:r>
          </w:p>
        </w:tc>
        <w:tc>
          <w:tcPr>
            <w:tcW w:w="192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~68,000–102,000</w:t>
            </w:r>
          </w:p>
        </w:tc>
        <w:tc>
          <w:tcPr>
            <w:tcW w:w="146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Conflict, speech pathology</w:t>
            </w:r>
          </w:p>
        </w:tc>
        <w:tc>
          <w:tcPr>
            <w:tcW w:w="222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Baghdad, Nineveh</w:t>
            </w:r>
          </w:p>
        </w:tc>
        <w:tc>
          <w:tcPr>
            <w:tcW w:w="134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5–11%</w:t>
            </w:r>
          </w:p>
        </w:tc>
      </w:tr>
      <w:tr w:rsidR="006B7FBB" w:rsidRPr="005525B3" w:rsidTr="005525B3">
        <w:tc>
          <w:tcPr>
            <w:tcW w:w="2488"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Cognitive / intellectual</w:t>
            </w:r>
          </w:p>
        </w:tc>
        <w:tc>
          <w:tcPr>
            <w:tcW w:w="1255"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12–18%</w:t>
            </w:r>
          </w:p>
        </w:tc>
        <w:tc>
          <w:tcPr>
            <w:tcW w:w="192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~102,000–153,000</w:t>
            </w:r>
          </w:p>
        </w:tc>
        <w:tc>
          <w:tcPr>
            <w:tcW w:w="146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Congenital, conflict-acquired</w:t>
            </w:r>
          </w:p>
        </w:tc>
        <w:tc>
          <w:tcPr>
            <w:tcW w:w="222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All regions</w:t>
            </w:r>
          </w:p>
        </w:tc>
        <w:tc>
          <w:tcPr>
            <w:tcW w:w="134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6–12%</w:t>
            </w:r>
          </w:p>
        </w:tc>
      </w:tr>
      <w:tr w:rsidR="006B7FBB" w:rsidRPr="005525B3" w:rsidTr="005525B3">
        <w:tc>
          <w:tcPr>
            <w:tcW w:w="2488"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Psychosocial / mental</w:t>
            </w:r>
          </w:p>
        </w:tc>
        <w:tc>
          <w:tcPr>
            <w:tcW w:w="1255"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18–24%</w:t>
            </w:r>
          </w:p>
        </w:tc>
        <w:tc>
          <w:tcPr>
            <w:tcW w:w="192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~153,000–204,000</w:t>
            </w:r>
          </w:p>
        </w:tc>
        <w:tc>
          <w:tcPr>
            <w:tcW w:w="146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PTSD, trauma, conflict loss</w:t>
            </w:r>
          </w:p>
        </w:tc>
        <w:tc>
          <w:tcPr>
            <w:tcW w:w="2229"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All regions, esp. Anbar</w:t>
            </w:r>
          </w:p>
        </w:tc>
        <w:tc>
          <w:tcPr>
            <w:tcW w:w="1342" w:type="dxa"/>
          </w:tcPr>
          <w:p w:rsidR="006B7FBB" w:rsidRPr="005525B3" w:rsidRDefault="003F1785" w:rsidP="005525B3">
            <w:pPr>
              <w:jc w:val="both"/>
              <w:rPr>
                <w:rFonts w:ascii="Times New Roman" w:hAnsi="Times New Roman" w:cs="Times New Roman"/>
              </w:rPr>
            </w:pPr>
            <w:r w:rsidRPr="005525B3">
              <w:rPr>
                <w:rFonts w:ascii="Times New Roman" w:hAnsi="Times New Roman" w:cs="Times New Roman"/>
              </w:rPr>
              <w:t>7–15%</w:t>
            </w:r>
          </w:p>
        </w:tc>
      </w:tr>
    </w:tbl>
    <w:p w:rsidR="005525B3" w:rsidRDefault="005525B3" w:rsidP="005525B3">
      <w:pPr>
        <w:spacing w:after="240"/>
        <w:jc w:val="both"/>
        <w:rPr>
          <w:rFonts w:ascii="Times New Roman" w:hAnsi="Times New Roman" w:cs="Times New Roman"/>
          <w:b/>
          <w:bCs/>
          <w:sz w:val="24"/>
          <w:szCs w:val="24"/>
        </w:rPr>
      </w:pPr>
    </w:p>
    <w:p w:rsidR="006B7FBB"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Table 1. </w:t>
      </w:r>
      <w:r w:rsidR="00406707" w:rsidRPr="005525B3">
        <w:rPr>
          <w:rFonts w:ascii="Times New Roman" w:hAnsi="Times New Roman" w:cs="Times New Roman"/>
          <w:sz w:val="24"/>
          <w:szCs w:val="24"/>
        </w:rPr>
        <w:t xml:space="preserve">Prevalence, epidemiology, and </w:t>
      </w:r>
      <w:proofErr w:type="spellStart"/>
      <w:r w:rsidR="00813814" w:rsidRPr="005525B3">
        <w:rPr>
          <w:rFonts w:ascii="Times New Roman" w:hAnsi="Times New Roman" w:cs="Times New Roman"/>
          <w:sz w:val="24"/>
          <w:szCs w:val="24"/>
        </w:rPr>
        <w:t>CSO</w:t>
      </w:r>
      <w:r w:rsidR="00406707" w:rsidRPr="005525B3">
        <w:rPr>
          <w:rFonts w:ascii="Times New Roman" w:hAnsi="Times New Roman" w:cs="Times New Roman"/>
          <w:sz w:val="24"/>
          <w:szCs w:val="24"/>
        </w:rPr>
        <w:t>coverage</w:t>
      </w:r>
      <w:proofErr w:type="spellEnd"/>
      <w:r w:rsidR="00406707" w:rsidRPr="005525B3">
        <w:rPr>
          <w:rFonts w:ascii="Times New Roman" w:hAnsi="Times New Roman" w:cs="Times New Roman"/>
          <w:sz w:val="24"/>
          <w:szCs w:val="24"/>
        </w:rPr>
        <w:t xml:space="preserve"> for individuals with disabilities in Iraq following 2020. The overall percentage (7.1%) indicates the prevalence of disability among conflict-displaced populations; the sub-category percentages represent each category's proportion of the disabled population and are non-mutually exclusive due to comorbidity. Sources: compiled by the author from Doocy et al. (2013), </w:t>
      </w:r>
      <w:proofErr w:type="spellStart"/>
      <w:r w:rsidR="00406707" w:rsidRPr="005525B3">
        <w:rPr>
          <w:rFonts w:ascii="Times New Roman" w:hAnsi="Times New Roman" w:cs="Times New Roman"/>
          <w:sz w:val="24"/>
          <w:szCs w:val="24"/>
        </w:rPr>
        <w:t>Weijermars</w:t>
      </w:r>
      <w:proofErr w:type="spellEnd"/>
      <w:r w:rsidR="00406707" w:rsidRPr="005525B3">
        <w:rPr>
          <w:rFonts w:ascii="Times New Roman" w:hAnsi="Times New Roman" w:cs="Times New Roman"/>
          <w:sz w:val="24"/>
          <w:szCs w:val="24"/>
        </w:rPr>
        <w:t xml:space="preserve"> et al. (2017), </w:t>
      </w:r>
      <w:proofErr w:type="spellStart"/>
      <w:r w:rsidR="00406707" w:rsidRPr="005525B3">
        <w:rPr>
          <w:rFonts w:ascii="Times New Roman" w:hAnsi="Times New Roman" w:cs="Times New Roman"/>
          <w:sz w:val="24"/>
          <w:szCs w:val="24"/>
        </w:rPr>
        <w:t>Solanki</w:t>
      </w:r>
      <w:proofErr w:type="spellEnd"/>
      <w:r w:rsidR="00406707" w:rsidRPr="005525B3">
        <w:rPr>
          <w:rFonts w:ascii="Times New Roman" w:hAnsi="Times New Roman" w:cs="Times New Roman"/>
          <w:sz w:val="24"/>
          <w:szCs w:val="24"/>
        </w:rPr>
        <w:t xml:space="preserve"> and </w:t>
      </w:r>
      <w:proofErr w:type="spellStart"/>
      <w:r w:rsidR="00406707" w:rsidRPr="005525B3">
        <w:rPr>
          <w:rFonts w:ascii="Times New Roman" w:hAnsi="Times New Roman" w:cs="Times New Roman"/>
          <w:sz w:val="24"/>
          <w:szCs w:val="24"/>
        </w:rPr>
        <w:t>Mandaliya</w:t>
      </w:r>
      <w:proofErr w:type="spellEnd"/>
      <w:r w:rsidR="00406707" w:rsidRPr="005525B3">
        <w:rPr>
          <w:rFonts w:ascii="Times New Roman" w:hAnsi="Times New Roman" w:cs="Times New Roman"/>
          <w:sz w:val="24"/>
          <w:szCs w:val="24"/>
        </w:rPr>
        <w:t xml:space="preserve"> (2016), </w:t>
      </w:r>
      <w:proofErr w:type="spellStart"/>
      <w:r w:rsidR="00406707" w:rsidRPr="005525B3">
        <w:rPr>
          <w:rFonts w:ascii="Times New Roman" w:hAnsi="Times New Roman" w:cs="Times New Roman"/>
          <w:sz w:val="24"/>
          <w:szCs w:val="24"/>
        </w:rPr>
        <w:t>Jagoe</w:t>
      </w:r>
      <w:proofErr w:type="spellEnd"/>
      <w:r w:rsidR="00406707" w:rsidRPr="005525B3">
        <w:rPr>
          <w:rFonts w:ascii="Times New Roman" w:hAnsi="Times New Roman" w:cs="Times New Roman"/>
          <w:sz w:val="24"/>
          <w:szCs w:val="24"/>
        </w:rPr>
        <w:t xml:space="preserve"> et al. (2023), </w:t>
      </w:r>
      <w:proofErr w:type="spellStart"/>
      <w:r w:rsidR="00406707" w:rsidRPr="005525B3">
        <w:rPr>
          <w:rFonts w:ascii="Times New Roman" w:hAnsi="Times New Roman" w:cs="Times New Roman"/>
          <w:sz w:val="24"/>
          <w:szCs w:val="24"/>
        </w:rPr>
        <w:t>Lafta</w:t>
      </w:r>
      <w:proofErr w:type="spellEnd"/>
      <w:r w:rsidR="00406707" w:rsidRPr="005525B3">
        <w:rPr>
          <w:rFonts w:ascii="Times New Roman" w:hAnsi="Times New Roman" w:cs="Times New Roman"/>
          <w:sz w:val="24"/>
          <w:szCs w:val="24"/>
        </w:rPr>
        <w:t xml:space="preserve"> et al. (2015), Al-</w:t>
      </w:r>
      <w:proofErr w:type="spellStart"/>
      <w:r w:rsidR="00406707" w:rsidRPr="005525B3">
        <w:rPr>
          <w:rFonts w:ascii="Times New Roman" w:hAnsi="Times New Roman" w:cs="Times New Roman"/>
          <w:sz w:val="24"/>
          <w:szCs w:val="24"/>
        </w:rPr>
        <w:t>Sabbak</w:t>
      </w:r>
      <w:proofErr w:type="spellEnd"/>
      <w:r w:rsidR="00406707" w:rsidRPr="005525B3">
        <w:rPr>
          <w:rFonts w:ascii="Times New Roman" w:hAnsi="Times New Roman" w:cs="Times New Roman"/>
          <w:sz w:val="24"/>
          <w:szCs w:val="24"/>
        </w:rPr>
        <w:t xml:space="preserve"> et al. (2012), Jensen et al. (2021), IOM Iraq (2023), and Ministry of Health surveillance data (2023–2025).</w:t>
      </w:r>
    </w:p>
    <w:p w:rsidR="006B7FBB" w:rsidRPr="005525B3" w:rsidRDefault="00F20D9A"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color w:val="auto"/>
        </w:rPr>
        <w:t>Official Development Assistance and Funding Gaps</w:t>
      </w:r>
    </w:p>
    <w:p w:rsidR="006B7FBB" w:rsidRDefault="00406707"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 xml:space="preserve">A comprehensive examination of ODA flows to Iraq indicates a persistent lack of investment in disability-inclusive initiatives. Table 2 delineates disability-focused or disability-inclusive funding </w:t>
      </w:r>
      <w:proofErr w:type="spellStart"/>
      <w:r w:rsidRPr="005525B3">
        <w:rPr>
          <w:rFonts w:ascii="Times New Roman" w:hAnsi="Times New Roman" w:cs="Times New Roman"/>
          <w:sz w:val="24"/>
          <w:szCs w:val="24"/>
        </w:rPr>
        <w:t>categorised</w:t>
      </w:r>
      <w:proofErr w:type="spellEnd"/>
      <w:r w:rsidRPr="005525B3">
        <w:rPr>
          <w:rFonts w:ascii="Times New Roman" w:hAnsi="Times New Roman" w:cs="Times New Roman"/>
          <w:sz w:val="24"/>
          <w:szCs w:val="24"/>
        </w:rPr>
        <w:t xml:space="preserve"> by major donor and sectoral distribution; Figure 1 (below) illustrates the overarching distribution of CSO challenges, while Figure 2 encapsulates sectoral disability-inclusive proportions.</w:t>
      </w:r>
    </w:p>
    <w:p w:rsidR="00CB4D02" w:rsidRPr="005525B3" w:rsidRDefault="00CB4D02" w:rsidP="00B57CCA">
      <w:pPr>
        <w:jc w:val="both"/>
        <w:rPr>
          <w:rFonts w:ascii="Times New Roman" w:hAnsi="Times New Roman" w:cs="Times New Roman"/>
          <w:sz w:val="24"/>
          <w:szCs w:val="24"/>
        </w:rPr>
      </w:pPr>
    </w:p>
    <w:tbl>
      <w:tblPr>
        <w:tblStyle w:val="TableGrid"/>
        <w:tblW w:w="10705" w:type="dxa"/>
        <w:tblLook w:val="04A0"/>
      </w:tblPr>
      <w:tblGrid>
        <w:gridCol w:w="2695"/>
        <w:gridCol w:w="1350"/>
        <w:gridCol w:w="1530"/>
        <w:gridCol w:w="1350"/>
        <w:gridCol w:w="2497"/>
        <w:gridCol w:w="1283"/>
      </w:tblGrid>
      <w:tr w:rsidR="006B7FBB" w:rsidRPr="005525B3" w:rsidTr="005525B3">
        <w:tc>
          <w:tcPr>
            <w:tcW w:w="2695"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ODA Sector / Donor Category</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Total Allocation (USD M)</w:t>
            </w:r>
          </w:p>
        </w:tc>
        <w:tc>
          <w:tcPr>
            <w:tcW w:w="153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Disability-Inclusive %</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Inclusive Allocation (USD M)</w:t>
            </w:r>
          </w:p>
        </w:tc>
        <w:tc>
          <w:tcPr>
            <w:tcW w:w="249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Primary Constraints</w:t>
            </w:r>
          </w:p>
        </w:tc>
        <w:tc>
          <w:tcPr>
            <w:tcW w:w="1283"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2025 Projection</w:t>
            </w:r>
          </w:p>
        </w:tc>
      </w:tr>
      <w:tr w:rsidR="006B7FBB" w:rsidRPr="005525B3" w:rsidTr="005525B3">
        <w:tc>
          <w:tcPr>
            <w:tcW w:w="2695"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Health &amp; medical services</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485</w:t>
            </w:r>
          </w:p>
        </w:tc>
        <w:tc>
          <w:tcPr>
            <w:tcW w:w="153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6.2%</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30.1</w:t>
            </w:r>
          </w:p>
        </w:tc>
        <w:tc>
          <w:tcPr>
            <w:tcW w:w="249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Medical focus; limited rehabilitation</w:t>
            </w:r>
          </w:p>
        </w:tc>
        <w:tc>
          <w:tcPr>
            <w:tcW w:w="1283"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7%</w:t>
            </w:r>
          </w:p>
        </w:tc>
      </w:tr>
      <w:tr w:rsidR="006B7FBB" w:rsidRPr="005525B3" w:rsidTr="005525B3">
        <w:tc>
          <w:tcPr>
            <w:tcW w:w="2695"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Education &amp; training</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245</w:t>
            </w:r>
          </w:p>
        </w:tc>
        <w:tc>
          <w:tcPr>
            <w:tcW w:w="153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3.1%</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7.6</w:t>
            </w:r>
          </w:p>
        </w:tc>
        <w:tc>
          <w:tcPr>
            <w:tcW w:w="249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Mainstream curricula</w:t>
            </w:r>
          </w:p>
        </w:tc>
        <w:tc>
          <w:tcPr>
            <w:tcW w:w="1283"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4.5%</w:t>
            </w:r>
          </w:p>
        </w:tc>
      </w:tr>
      <w:tr w:rsidR="006B7FBB" w:rsidRPr="005525B3" w:rsidTr="005525B3">
        <w:tc>
          <w:tcPr>
            <w:tcW w:w="2695"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 xml:space="preserve">Humanitarian / social </w:t>
            </w:r>
            <w:r w:rsidRPr="005525B3">
              <w:rPr>
                <w:rFonts w:ascii="Times New Roman" w:hAnsi="Times New Roman" w:cs="Times New Roman"/>
                <w:sz w:val="24"/>
                <w:szCs w:val="24"/>
              </w:rPr>
              <w:lastRenderedPageBreak/>
              <w:t>protection</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lastRenderedPageBreak/>
              <w:t>812</w:t>
            </w:r>
          </w:p>
        </w:tc>
        <w:tc>
          <w:tcPr>
            <w:tcW w:w="153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4.8%</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39.0</w:t>
            </w:r>
          </w:p>
        </w:tc>
        <w:tc>
          <w:tcPr>
            <w:tcW w:w="249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Targeting; accessibility</w:t>
            </w:r>
          </w:p>
        </w:tc>
        <w:tc>
          <w:tcPr>
            <w:tcW w:w="1283"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5.5%</w:t>
            </w:r>
          </w:p>
        </w:tc>
      </w:tr>
      <w:tr w:rsidR="006B7FBB" w:rsidRPr="005525B3" w:rsidTr="005525B3">
        <w:tc>
          <w:tcPr>
            <w:tcW w:w="2695"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lastRenderedPageBreak/>
              <w:t>Security / governance reform</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623</w:t>
            </w:r>
          </w:p>
        </w:tc>
        <w:tc>
          <w:tcPr>
            <w:tcW w:w="153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1.2%</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7.5</w:t>
            </w:r>
          </w:p>
        </w:tc>
        <w:tc>
          <w:tcPr>
            <w:tcW w:w="249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Regime-security focus</w:t>
            </w:r>
          </w:p>
        </w:tc>
        <w:tc>
          <w:tcPr>
            <w:tcW w:w="1283"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1.8%</w:t>
            </w:r>
          </w:p>
        </w:tc>
      </w:tr>
      <w:tr w:rsidR="006B7FBB" w:rsidRPr="005525B3" w:rsidTr="005525B3">
        <w:tc>
          <w:tcPr>
            <w:tcW w:w="2695"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Peacebuilding &amp; stabilisation</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510</w:t>
            </w:r>
          </w:p>
        </w:tc>
        <w:tc>
          <w:tcPr>
            <w:tcW w:w="153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2.1%</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10.7</w:t>
            </w:r>
          </w:p>
        </w:tc>
        <w:tc>
          <w:tcPr>
            <w:tcW w:w="249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Geopolitical priorities</w:t>
            </w:r>
          </w:p>
        </w:tc>
        <w:tc>
          <w:tcPr>
            <w:tcW w:w="1283"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3.2%</w:t>
            </w:r>
          </w:p>
        </w:tc>
      </w:tr>
      <w:tr w:rsidR="006B7FBB" w:rsidRPr="005525B3" w:rsidTr="005525B3">
        <w:tc>
          <w:tcPr>
            <w:tcW w:w="2695"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Livelihood &amp; economic development</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375</w:t>
            </w:r>
          </w:p>
        </w:tc>
        <w:tc>
          <w:tcPr>
            <w:tcW w:w="153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2.9%</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10.9</w:t>
            </w:r>
          </w:p>
        </w:tc>
        <w:tc>
          <w:tcPr>
            <w:tcW w:w="249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Accessibility; skills gaps</w:t>
            </w:r>
          </w:p>
        </w:tc>
        <w:tc>
          <w:tcPr>
            <w:tcW w:w="1283"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4%</w:t>
            </w:r>
          </w:p>
        </w:tc>
      </w:tr>
      <w:tr w:rsidR="006B7FBB" w:rsidRPr="005525B3" w:rsidTr="005525B3">
        <w:tc>
          <w:tcPr>
            <w:tcW w:w="2695"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TOTAL ODA – IRAQ</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3,050</w:t>
            </w:r>
          </w:p>
        </w:tc>
        <w:tc>
          <w:tcPr>
            <w:tcW w:w="153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3.5%</w:t>
            </w:r>
          </w:p>
        </w:tc>
        <w:tc>
          <w:tcPr>
            <w:tcW w:w="135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105.8</w:t>
            </w:r>
          </w:p>
        </w:tc>
        <w:tc>
          <w:tcPr>
            <w:tcW w:w="249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Systemic under-investment</w:t>
            </w:r>
          </w:p>
        </w:tc>
        <w:tc>
          <w:tcPr>
            <w:tcW w:w="1283"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4.2%</w:t>
            </w:r>
          </w:p>
        </w:tc>
      </w:tr>
    </w:tbl>
    <w:p w:rsidR="005525B3" w:rsidRDefault="005525B3" w:rsidP="005525B3">
      <w:pPr>
        <w:spacing w:after="240"/>
        <w:jc w:val="both"/>
        <w:rPr>
          <w:rFonts w:ascii="Times New Roman" w:hAnsi="Times New Roman" w:cs="Times New Roman"/>
          <w:b/>
          <w:bCs/>
          <w:sz w:val="24"/>
          <w:szCs w:val="24"/>
        </w:rPr>
      </w:pPr>
    </w:p>
    <w:p w:rsidR="006B7FBB"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Table 2. </w:t>
      </w:r>
      <w:r w:rsidR="004C723E" w:rsidRPr="005525B3">
        <w:rPr>
          <w:rFonts w:ascii="Times New Roman" w:hAnsi="Times New Roman" w:cs="Times New Roman"/>
          <w:sz w:val="24"/>
          <w:szCs w:val="24"/>
        </w:rPr>
        <w:t>ODA allocation for disability-inclusive programming in Iraq, 2023 (USD millions). The overall disability-inclusive share (3.5%) represents the weighted average of inclusive allocations (105.8) relative to total ODA (3,050). Sources: OECD DAC Creditor Reporting System (2023); IOM Iraq (2023); World Bank Iraq Development Reporting (2024); UN OCHA Iraq Humanitarian Response Plan (2023–2024).</w:t>
      </w:r>
    </w:p>
    <w:p w:rsidR="006B7FBB"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noProof/>
          <w:sz w:val="24"/>
          <w:szCs w:val="24"/>
        </w:rPr>
        <w:drawing>
          <wp:inline distT="0" distB="0" distL="0" distR="0">
            <wp:extent cx="6771005" cy="3573780"/>
            <wp:effectExtent l="0" t="0" r="0" b="7620"/>
            <wp:docPr id="1" name="Figure 2. " descr="Figur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6771005" cy="3573780"/>
                    </a:xfrm>
                    <a:prstGeom prst="rect">
                      <a:avLst/>
                    </a:prstGeom>
                  </pic:spPr>
                </pic:pic>
              </a:graphicData>
            </a:graphic>
          </wp:inline>
        </w:drawing>
      </w:r>
    </w:p>
    <w:p w:rsidR="006B7FBB"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Figure 2. </w:t>
      </w:r>
      <w:r w:rsidRPr="005525B3">
        <w:rPr>
          <w:rFonts w:ascii="Times New Roman" w:hAnsi="Times New Roman" w:cs="Times New Roman"/>
          <w:sz w:val="24"/>
          <w:szCs w:val="24"/>
        </w:rPr>
        <w:t>Disability-inclusive share of ODA by sector, Iraq 2023, against the 3.5% overall mean. Source: author’s analysis of OECD DAC CRS data (2023).</w:t>
      </w:r>
    </w:p>
    <w:p w:rsidR="006B7FBB" w:rsidRPr="005525B3" w:rsidRDefault="00F20D9A" w:rsidP="005525B3">
      <w:pPr>
        <w:pStyle w:val="Heading2"/>
        <w:spacing w:before="0" w:after="240"/>
        <w:jc w:val="both"/>
        <w:rPr>
          <w:rFonts w:ascii="Times New Roman" w:hAnsi="Times New Roman" w:cs="Times New Roman"/>
          <w:color w:val="auto"/>
        </w:rPr>
      </w:pPr>
      <w:r w:rsidRPr="005525B3">
        <w:rPr>
          <w:rFonts w:ascii="Times New Roman" w:hAnsi="Times New Roman" w:cs="Times New Roman"/>
          <w:color w:val="auto"/>
        </w:rPr>
        <w:t>CSO Challenge Distribution: Proportional Analysis</w:t>
      </w:r>
    </w:p>
    <w:p w:rsidR="006B7FBB" w:rsidRPr="005525B3" w:rsidRDefault="004C723E"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 xml:space="preserve">Literature synthesis and institutional analysis uncover systematic patterns regarding the nature and relative severity of the challenges faced by </w:t>
      </w:r>
      <w:r w:rsidR="00813814" w:rsidRPr="005525B3">
        <w:rPr>
          <w:rFonts w:ascii="Times New Roman" w:hAnsi="Times New Roman" w:cs="Times New Roman"/>
          <w:sz w:val="24"/>
          <w:szCs w:val="24"/>
        </w:rPr>
        <w:t xml:space="preserve">CSOs </w:t>
      </w:r>
      <w:r w:rsidRPr="005525B3">
        <w:rPr>
          <w:rFonts w:ascii="Times New Roman" w:hAnsi="Times New Roman" w:cs="Times New Roman"/>
          <w:sz w:val="24"/>
          <w:szCs w:val="24"/>
        </w:rPr>
        <w:t>in serving persons with disabilities. Table 3 presents proportional weights obtained from citation frequency, institutional impact assessment, and beneficiary feedback in the 2021–2026 research literature; Figure 1 visually illustrates the same distribution.</w:t>
      </w:r>
    </w:p>
    <w:tbl>
      <w:tblPr>
        <w:tblStyle w:val="TableGrid"/>
        <w:tblW w:w="10885" w:type="dxa"/>
        <w:tblLook w:val="04A0"/>
      </w:tblPr>
      <w:tblGrid>
        <w:gridCol w:w="1772"/>
        <w:gridCol w:w="1536"/>
        <w:gridCol w:w="2717"/>
        <w:gridCol w:w="1620"/>
        <w:gridCol w:w="1800"/>
        <w:gridCol w:w="1440"/>
      </w:tblGrid>
      <w:tr w:rsidR="006B7FBB" w:rsidRPr="005525B3" w:rsidTr="00DB3B99">
        <w:tc>
          <w:tcPr>
            <w:tcW w:w="1772"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Challenge Category</w:t>
            </w:r>
          </w:p>
        </w:tc>
        <w:tc>
          <w:tcPr>
            <w:tcW w:w="1536"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Proportional Weight (%)</w:t>
            </w:r>
          </w:p>
        </w:tc>
        <w:tc>
          <w:tcPr>
            <w:tcW w:w="271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Constituent Sub-Issues</w:t>
            </w:r>
          </w:p>
        </w:tc>
        <w:tc>
          <w:tcPr>
            <w:tcW w:w="162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Frequency in Literature</w:t>
            </w:r>
          </w:p>
        </w:tc>
        <w:tc>
          <w:tcPr>
            <w:tcW w:w="180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Institutional Impact (0–10)</w:t>
            </w:r>
          </w:p>
        </w:tc>
        <w:tc>
          <w:tcPr>
            <w:tcW w:w="144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b/>
                <w:bCs/>
                <w:sz w:val="24"/>
                <w:szCs w:val="24"/>
              </w:rPr>
              <w:t>Trend</w:t>
            </w:r>
          </w:p>
        </w:tc>
      </w:tr>
      <w:tr w:rsidR="006B7FBB" w:rsidRPr="005525B3" w:rsidTr="00DB3B99">
        <w:tc>
          <w:tcPr>
            <w:tcW w:w="1772"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Funding deficit &amp; donor dependency</w:t>
            </w:r>
          </w:p>
        </w:tc>
        <w:tc>
          <w:tcPr>
            <w:tcW w:w="1536"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24%</w:t>
            </w:r>
          </w:p>
        </w:tc>
        <w:tc>
          <w:tcPr>
            <w:tcW w:w="271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ODA gaps; project cycles; sustainability</w:t>
            </w:r>
          </w:p>
        </w:tc>
        <w:tc>
          <w:tcPr>
            <w:tcW w:w="162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47 sources</w:t>
            </w:r>
          </w:p>
        </w:tc>
        <w:tc>
          <w:tcPr>
            <w:tcW w:w="180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9.2</w:t>
            </w:r>
          </w:p>
        </w:tc>
        <w:tc>
          <w:tcPr>
            <w:tcW w:w="144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 Worsening</w:t>
            </w:r>
          </w:p>
        </w:tc>
      </w:tr>
      <w:tr w:rsidR="006B7FBB" w:rsidRPr="005525B3" w:rsidTr="00DB3B99">
        <w:tc>
          <w:tcPr>
            <w:tcW w:w="1772"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 xml:space="preserve">Wasta &amp; political </w:t>
            </w:r>
            <w:r w:rsidRPr="005525B3">
              <w:rPr>
                <w:rFonts w:ascii="Times New Roman" w:hAnsi="Times New Roman" w:cs="Times New Roman"/>
                <w:sz w:val="24"/>
                <w:szCs w:val="24"/>
              </w:rPr>
              <w:lastRenderedPageBreak/>
              <w:t>invisibility</w:t>
            </w:r>
          </w:p>
        </w:tc>
        <w:tc>
          <w:tcPr>
            <w:tcW w:w="1536"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lastRenderedPageBreak/>
              <w:t>21%</w:t>
            </w:r>
          </w:p>
        </w:tc>
        <w:tc>
          <w:tcPr>
            <w:tcW w:w="271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Patronage networks; exclusion; inequity</w:t>
            </w:r>
          </w:p>
        </w:tc>
        <w:tc>
          <w:tcPr>
            <w:tcW w:w="162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42 sources</w:t>
            </w:r>
          </w:p>
        </w:tc>
        <w:tc>
          <w:tcPr>
            <w:tcW w:w="180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8.8</w:t>
            </w:r>
          </w:p>
        </w:tc>
        <w:tc>
          <w:tcPr>
            <w:tcW w:w="144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 Stable</w:t>
            </w:r>
          </w:p>
        </w:tc>
      </w:tr>
      <w:tr w:rsidR="006B7FBB" w:rsidRPr="005525B3" w:rsidTr="00DB3B99">
        <w:tc>
          <w:tcPr>
            <w:tcW w:w="1772"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lastRenderedPageBreak/>
              <w:t>NGOisation &amp; service fragmentation</w:t>
            </w:r>
          </w:p>
        </w:tc>
        <w:tc>
          <w:tcPr>
            <w:tcW w:w="1536"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17%</w:t>
            </w:r>
          </w:p>
        </w:tc>
        <w:tc>
          <w:tcPr>
            <w:tcW w:w="271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Siloed delivery; accountability gaps</w:t>
            </w:r>
          </w:p>
        </w:tc>
        <w:tc>
          <w:tcPr>
            <w:tcW w:w="162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38 sources</w:t>
            </w:r>
          </w:p>
        </w:tc>
        <w:tc>
          <w:tcPr>
            <w:tcW w:w="180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8.1</w:t>
            </w:r>
          </w:p>
        </w:tc>
        <w:tc>
          <w:tcPr>
            <w:tcW w:w="144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 Improving</w:t>
            </w:r>
          </w:p>
        </w:tc>
      </w:tr>
      <w:tr w:rsidR="006B7FBB" w:rsidRPr="005525B3" w:rsidTr="00DB3B99">
        <w:tc>
          <w:tcPr>
            <w:tcW w:w="1772"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Logistical barriers &amp; coordination failure</w:t>
            </w:r>
          </w:p>
        </w:tc>
        <w:tc>
          <w:tcPr>
            <w:tcW w:w="1536"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16%</w:t>
            </w:r>
          </w:p>
        </w:tc>
        <w:tc>
          <w:tcPr>
            <w:tcW w:w="271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Transport; inter-agency coordination; access</w:t>
            </w:r>
          </w:p>
        </w:tc>
        <w:tc>
          <w:tcPr>
            <w:tcW w:w="162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35 sources</w:t>
            </w:r>
          </w:p>
        </w:tc>
        <w:tc>
          <w:tcPr>
            <w:tcW w:w="180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7.9</w:t>
            </w:r>
          </w:p>
        </w:tc>
        <w:tc>
          <w:tcPr>
            <w:tcW w:w="144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 Stable</w:t>
            </w:r>
          </w:p>
        </w:tc>
      </w:tr>
      <w:tr w:rsidR="006B7FBB" w:rsidRPr="005525B3" w:rsidTr="00DB3B99">
        <w:tc>
          <w:tcPr>
            <w:tcW w:w="1772"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Intersectional violence &amp; care burdens</w:t>
            </w:r>
          </w:p>
        </w:tc>
        <w:tc>
          <w:tcPr>
            <w:tcW w:w="1536"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13%</w:t>
            </w:r>
          </w:p>
        </w:tc>
        <w:tc>
          <w:tcPr>
            <w:tcW w:w="271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Gender violence; carer stress; protection gaps</w:t>
            </w:r>
          </w:p>
        </w:tc>
        <w:tc>
          <w:tcPr>
            <w:tcW w:w="162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29 sources</w:t>
            </w:r>
          </w:p>
        </w:tc>
        <w:tc>
          <w:tcPr>
            <w:tcW w:w="180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7.4</w:t>
            </w:r>
          </w:p>
        </w:tc>
        <w:tc>
          <w:tcPr>
            <w:tcW w:w="144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 Worsening</w:t>
            </w:r>
          </w:p>
        </w:tc>
      </w:tr>
      <w:tr w:rsidR="006B7FBB" w:rsidRPr="005525B3" w:rsidTr="00DB3B99">
        <w:tc>
          <w:tcPr>
            <w:tcW w:w="1772"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Institutional fragmentation</w:t>
            </w:r>
          </w:p>
        </w:tc>
        <w:tc>
          <w:tcPr>
            <w:tcW w:w="1536"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9%</w:t>
            </w:r>
          </w:p>
        </w:tc>
        <w:tc>
          <w:tcPr>
            <w:tcW w:w="2717"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Ministry coordination; duplication; gaps</w:t>
            </w:r>
          </w:p>
        </w:tc>
        <w:tc>
          <w:tcPr>
            <w:tcW w:w="162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21 sources</w:t>
            </w:r>
          </w:p>
        </w:tc>
        <w:tc>
          <w:tcPr>
            <w:tcW w:w="180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6.7</w:t>
            </w:r>
          </w:p>
        </w:tc>
        <w:tc>
          <w:tcPr>
            <w:tcW w:w="1440" w:type="dxa"/>
          </w:tcPr>
          <w:p w:rsidR="006B7FBB" w:rsidRPr="005525B3" w:rsidRDefault="003F1785" w:rsidP="005525B3">
            <w:pPr>
              <w:jc w:val="both"/>
              <w:rPr>
                <w:rFonts w:ascii="Times New Roman" w:hAnsi="Times New Roman" w:cs="Times New Roman"/>
                <w:sz w:val="24"/>
                <w:szCs w:val="24"/>
              </w:rPr>
            </w:pPr>
            <w:r w:rsidRPr="005525B3">
              <w:rPr>
                <w:rFonts w:ascii="Times New Roman" w:hAnsi="Times New Roman" w:cs="Times New Roman"/>
                <w:sz w:val="24"/>
                <w:szCs w:val="24"/>
              </w:rPr>
              <w:t>↓ Improving</w:t>
            </w:r>
          </w:p>
        </w:tc>
      </w:tr>
    </w:tbl>
    <w:p w:rsidR="00DB3B99" w:rsidRDefault="00DB3B99" w:rsidP="005525B3">
      <w:pPr>
        <w:spacing w:after="240"/>
        <w:jc w:val="both"/>
        <w:rPr>
          <w:rFonts w:ascii="Times New Roman" w:hAnsi="Times New Roman" w:cs="Times New Roman"/>
          <w:b/>
          <w:bCs/>
          <w:sz w:val="24"/>
          <w:szCs w:val="24"/>
        </w:rPr>
      </w:pPr>
    </w:p>
    <w:p w:rsidR="006B7FBB"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Table 3. </w:t>
      </w:r>
      <w:r w:rsidR="004C723E" w:rsidRPr="005525B3">
        <w:rPr>
          <w:rFonts w:ascii="Times New Roman" w:hAnsi="Times New Roman" w:cs="Times New Roman"/>
          <w:sz w:val="24"/>
          <w:szCs w:val="24"/>
        </w:rPr>
        <w:t xml:space="preserve">Proportional distribution of challenge categories facing CSOs serving PWDs in Iraq post-2020 (N = 212 literature citations, adjusted for frequency and severity). Sources: systematic literature review (2013–2026); evaluations of institutional programs; consultations with </w:t>
      </w:r>
      <w:r w:rsidR="008C6B6A" w:rsidRPr="005525B3">
        <w:rPr>
          <w:rFonts w:ascii="Times New Roman" w:hAnsi="Times New Roman" w:cs="Times New Roman"/>
          <w:sz w:val="24"/>
          <w:szCs w:val="24"/>
        </w:rPr>
        <w:t>CSO stakeholders</w:t>
      </w:r>
      <w:r w:rsidR="004C723E" w:rsidRPr="005525B3">
        <w:rPr>
          <w:rFonts w:ascii="Times New Roman" w:hAnsi="Times New Roman" w:cs="Times New Roman"/>
          <w:sz w:val="24"/>
          <w:szCs w:val="24"/>
        </w:rPr>
        <w:t>.</w:t>
      </w:r>
    </w:p>
    <w:p w:rsidR="006B7FBB"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noProof/>
          <w:sz w:val="24"/>
          <w:szCs w:val="24"/>
        </w:rPr>
        <w:drawing>
          <wp:inline distT="0" distB="0" distL="0" distR="0">
            <wp:extent cx="6591300" cy="3916680"/>
            <wp:effectExtent l="0" t="0" r="0" b="7620"/>
            <wp:docPr id="609402761" name="Figure 1. " descr="Figure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6591300" cy="3916680"/>
                    </a:xfrm>
                    <a:prstGeom prst="rect">
                      <a:avLst/>
                    </a:prstGeom>
                  </pic:spPr>
                </pic:pic>
              </a:graphicData>
            </a:graphic>
          </wp:inline>
        </w:drawing>
      </w:r>
    </w:p>
    <w:p w:rsidR="00B57CCA" w:rsidRDefault="003F1785" w:rsidP="00B57CCA">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Figure 1. </w:t>
      </w:r>
      <w:r w:rsidR="00A618DF" w:rsidRPr="005525B3">
        <w:rPr>
          <w:rFonts w:ascii="Times New Roman" w:hAnsi="Times New Roman" w:cs="Times New Roman"/>
          <w:sz w:val="24"/>
          <w:szCs w:val="24"/>
        </w:rPr>
        <w:t xml:space="preserve">Proportional analysis of obstacles encountered by </w:t>
      </w:r>
      <w:r w:rsidR="00813814" w:rsidRPr="005525B3">
        <w:rPr>
          <w:rFonts w:ascii="Times New Roman" w:hAnsi="Times New Roman" w:cs="Times New Roman"/>
          <w:sz w:val="24"/>
          <w:szCs w:val="24"/>
        </w:rPr>
        <w:t xml:space="preserve">CSOs </w:t>
      </w:r>
      <w:r w:rsidR="00A618DF" w:rsidRPr="005525B3">
        <w:rPr>
          <w:rFonts w:ascii="Times New Roman" w:hAnsi="Times New Roman" w:cs="Times New Roman"/>
          <w:sz w:val="24"/>
          <w:szCs w:val="24"/>
        </w:rPr>
        <w:t xml:space="preserve">assisting persons with disabilities in Iraq. Two contrasting trends are apparent: the adequacy of funding and protection risks are deteriorating, while issues of coordination and fragmentation are gradually improving, likely indicative of </w:t>
      </w:r>
      <w:r w:rsidR="00813814" w:rsidRPr="005525B3">
        <w:rPr>
          <w:rFonts w:ascii="Times New Roman" w:hAnsi="Times New Roman" w:cs="Times New Roman"/>
          <w:sz w:val="24"/>
          <w:szCs w:val="24"/>
        </w:rPr>
        <w:t xml:space="preserve">CSO </w:t>
      </w:r>
      <w:r w:rsidR="00A618DF" w:rsidRPr="005525B3">
        <w:rPr>
          <w:rFonts w:ascii="Times New Roman" w:hAnsi="Times New Roman" w:cs="Times New Roman"/>
          <w:sz w:val="24"/>
          <w:szCs w:val="24"/>
        </w:rPr>
        <w:t>network development since 2023.</w:t>
      </w:r>
    </w:p>
    <w:p w:rsidR="006B7FBB" w:rsidRDefault="00F20D9A" w:rsidP="00B57CCA">
      <w:pPr>
        <w:spacing w:after="240"/>
        <w:jc w:val="both"/>
        <w:rPr>
          <w:rFonts w:ascii="Times New Roman" w:hAnsi="Times New Roman" w:cs="Times New Roman"/>
          <w:b/>
          <w:sz w:val="24"/>
          <w:szCs w:val="24"/>
        </w:rPr>
      </w:pPr>
      <w:r w:rsidRPr="00B57CCA">
        <w:rPr>
          <w:rFonts w:ascii="Times New Roman" w:hAnsi="Times New Roman" w:cs="Times New Roman"/>
          <w:b/>
          <w:sz w:val="24"/>
          <w:szCs w:val="24"/>
        </w:rPr>
        <w:t>The Concept of Disability: Definitions and Frameworks</w:t>
      </w:r>
    </w:p>
    <w:p w:rsidR="00813814" w:rsidRPr="005525B3" w:rsidRDefault="00B57CCA" w:rsidP="00B57CCA">
      <w:pPr>
        <w:spacing w:after="240"/>
        <w:jc w:val="both"/>
        <w:rPr>
          <w:rFonts w:ascii="Times New Roman" w:hAnsi="Times New Roman" w:cs="Times New Roman"/>
          <w:b/>
          <w:bCs/>
          <w:sz w:val="24"/>
          <w:szCs w:val="24"/>
        </w:rPr>
      </w:pPr>
      <w:r w:rsidRPr="005525B3">
        <w:rPr>
          <w:rFonts w:ascii="Times New Roman" w:hAnsi="Times New Roman" w:cs="Times New Roman"/>
          <w:sz w:val="24"/>
          <w:szCs w:val="24"/>
        </w:rPr>
        <w:t>Disability is currently understood in academic discourse not solely as a medical condition but as a multifaceted, relational phenomenon resulting from the interaction between an individual's health and their</w:t>
      </w:r>
      <w:r w:rsidRPr="00B57CCA">
        <w:rPr>
          <w:rFonts w:ascii="Times New Roman" w:hAnsi="Times New Roman" w:cs="Times New Roman"/>
          <w:sz w:val="24"/>
          <w:szCs w:val="24"/>
        </w:rPr>
        <w:t xml:space="preserve"> </w:t>
      </w:r>
      <w:r w:rsidRPr="005525B3">
        <w:rPr>
          <w:rFonts w:ascii="Times New Roman" w:hAnsi="Times New Roman" w:cs="Times New Roman"/>
          <w:sz w:val="24"/>
          <w:szCs w:val="24"/>
        </w:rPr>
        <w:t>environment (Schwab et al., 2022; Stevens et al., 2020). The subsequent definitions outline the primary</w:t>
      </w:r>
      <w:r>
        <w:rPr>
          <w:rFonts w:ascii="Times New Roman" w:hAnsi="Times New Roman" w:cs="Times New Roman"/>
          <w:sz w:val="24"/>
          <w:szCs w:val="24"/>
        </w:rPr>
        <w:t xml:space="preserve"> </w:t>
      </w:r>
      <w:r w:rsidR="00813814" w:rsidRPr="005525B3">
        <w:rPr>
          <w:rFonts w:ascii="Times New Roman" w:hAnsi="Times New Roman" w:cs="Times New Roman"/>
          <w:sz w:val="24"/>
          <w:szCs w:val="24"/>
        </w:rPr>
        <w:t>academic and international frameworks presently employed in research and policy.</w:t>
      </w:r>
    </w:p>
    <w:p w:rsidR="006B7FBB" w:rsidRPr="00DB3B99" w:rsidRDefault="00F20D9A"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lastRenderedPageBreak/>
        <w:t xml:space="preserve">The </w:t>
      </w:r>
      <w:proofErr w:type="spellStart"/>
      <w:r w:rsidRPr="00DB3B99">
        <w:rPr>
          <w:rFonts w:ascii="Times New Roman" w:hAnsi="Times New Roman" w:cs="Times New Roman"/>
          <w:color w:val="auto"/>
        </w:rPr>
        <w:t>Biopsychosocial</w:t>
      </w:r>
      <w:proofErr w:type="spellEnd"/>
      <w:r w:rsidRPr="00DB3B99">
        <w:rPr>
          <w:rFonts w:ascii="Times New Roman" w:hAnsi="Times New Roman" w:cs="Times New Roman"/>
          <w:color w:val="auto"/>
        </w:rPr>
        <w:t xml:space="preserve"> Framework</w:t>
      </w:r>
    </w:p>
    <w:p w:rsidR="00643DC2" w:rsidRPr="005525B3" w:rsidRDefault="00643DC2"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The World Health Organization's International Classification of Functioning, Disability and Health (ICF)</w:t>
      </w:r>
      <w:r w:rsidR="008C6B6A" w:rsidRPr="005525B3">
        <w:rPr>
          <w:rFonts w:ascii="Times New Roman" w:hAnsi="Times New Roman" w:cs="Times New Roman"/>
          <w:b w:val="0"/>
          <w:bCs w:val="0"/>
          <w:color w:val="auto"/>
        </w:rPr>
        <w:t xml:space="preserve"> </w:t>
      </w:r>
      <w:proofErr w:type="gramStart"/>
      <w:r w:rsidRPr="005525B3">
        <w:rPr>
          <w:rFonts w:ascii="Times New Roman" w:hAnsi="Times New Roman" w:cs="Times New Roman"/>
          <w:b w:val="0"/>
          <w:bCs w:val="0"/>
          <w:color w:val="auto"/>
        </w:rPr>
        <w:t>provides</w:t>
      </w:r>
      <w:proofErr w:type="gramEnd"/>
      <w:r w:rsidRPr="005525B3">
        <w:rPr>
          <w:rFonts w:ascii="Times New Roman" w:hAnsi="Times New Roman" w:cs="Times New Roman"/>
          <w:b w:val="0"/>
          <w:bCs w:val="0"/>
          <w:color w:val="auto"/>
        </w:rPr>
        <w:t xml:space="preserve"> the most esteemed academic framework: the biopsychosocial model (Schwab et al., 2022; Stevens et al., 2020). Disability is a comprehensive term encompassing three dimensions of human functioning: impairments (issues with bodily function or structure), activity limitations (challenges in performing tasks), and participation restrictions (barriers to engagement in life situations) (Köpfer et al., 2021; Stevens et al., 2020). The model combines medical and social viewpoints, positing that disability results from the interplay of biological, individual, and social factors (Schwab et al., 2022).</w:t>
      </w:r>
    </w:p>
    <w:p w:rsidR="006B7FBB" w:rsidRPr="00DB3B99" w:rsidRDefault="00F20D9A"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The Social Model of Disability</w:t>
      </w:r>
    </w:p>
    <w:p w:rsidR="00643DC2" w:rsidRPr="005525B3" w:rsidRDefault="00643DC2"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This model, originating from the disability-rights movement, shifts focus from the individual to the environment. Disability is perceived as a socially constructed category arising from external factors rather than solely from physical impairment (Schwab et al., 2022). The primary assertion is that disability is a consequence of environmental factors, structural systems, and social interactions that systematically </w:t>
      </w:r>
      <w:proofErr w:type="spellStart"/>
      <w:r w:rsidRPr="005525B3">
        <w:rPr>
          <w:rFonts w:ascii="Times New Roman" w:hAnsi="Times New Roman" w:cs="Times New Roman"/>
          <w:b w:val="0"/>
          <w:bCs w:val="0"/>
          <w:color w:val="auto"/>
        </w:rPr>
        <w:t>marginalise</w:t>
      </w:r>
      <w:proofErr w:type="spellEnd"/>
      <w:r w:rsidRPr="005525B3">
        <w:rPr>
          <w:rFonts w:ascii="Times New Roman" w:hAnsi="Times New Roman" w:cs="Times New Roman"/>
          <w:b w:val="0"/>
          <w:bCs w:val="0"/>
          <w:color w:val="auto"/>
        </w:rPr>
        <w:t xml:space="preserve"> and exclude individuals (Conchas et al., 2025). An individual is deemed "disabled" by a society that lacks ramps, inclusive education, or accessible communication, rather than by the impairment itself (Conchas et al., 2025; Convention on the Rights of Persons with Disabilities, 2014).</w:t>
      </w:r>
    </w:p>
    <w:p w:rsidR="00643DC2" w:rsidRPr="005525B3" w:rsidRDefault="00643DC2"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The Iraqi context exemplifies the importance of the social model. Numerous Iraqi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have intentionally embraced this framework, redefining disability not as an individual affliction but as a systemic inadequacy in accessibility. This conceptual shift has necessitated programmatic change: organisations are increasingly promoting environmental modification, policy reform, and accessibility standards instead of focusing exclusively on medical rehabilitation. The transition indicates an increasing acknowledgement that sustainable disability inclusion necessitates structural and institutional reform rather than interventions centred on individuals.</w:t>
      </w:r>
    </w:p>
    <w:p w:rsidR="006B7FBB" w:rsidRPr="00DB3B99" w:rsidRDefault="00F20D9A"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The CRPD Human-Rights Definition</w:t>
      </w:r>
    </w:p>
    <w:p w:rsidR="00643DC2" w:rsidRPr="00DB3B99" w:rsidRDefault="00643DC2" w:rsidP="005525B3">
      <w:pPr>
        <w:pStyle w:val="Heading2"/>
        <w:spacing w:before="0" w:after="240"/>
        <w:jc w:val="both"/>
        <w:rPr>
          <w:rFonts w:ascii="Times New Roman" w:hAnsi="Times New Roman" w:cs="Times New Roman"/>
          <w:b w:val="0"/>
          <w:bCs w:val="0"/>
          <w:color w:val="auto"/>
        </w:rPr>
      </w:pPr>
      <w:r w:rsidRPr="00DB3B99">
        <w:rPr>
          <w:rFonts w:ascii="Times New Roman" w:hAnsi="Times New Roman" w:cs="Times New Roman"/>
          <w:b w:val="0"/>
          <w:bCs w:val="0"/>
          <w:color w:val="auto"/>
        </w:rPr>
        <w:t xml:space="preserve">The UN Convention on the Rights of Persons with Disabilities (CRPD) sets the legal and scholarly standard </w:t>
      </w:r>
      <w:proofErr w:type="spellStart"/>
      <w:r w:rsidRPr="00DB3B99">
        <w:rPr>
          <w:rFonts w:ascii="Times New Roman" w:hAnsi="Times New Roman" w:cs="Times New Roman"/>
          <w:b w:val="0"/>
          <w:bCs w:val="0"/>
          <w:color w:val="auto"/>
        </w:rPr>
        <w:t>utilised</w:t>
      </w:r>
      <w:proofErr w:type="spellEnd"/>
      <w:r w:rsidRPr="00DB3B99">
        <w:rPr>
          <w:rFonts w:ascii="Times New Roman" w:hAnsi="Times New Roman" w:cs="Times New Roman"/>
          <w:b w:val="0"/>
          <w:bCs w:val="0"/>
          <w:color w:val="auto"/>
        </w:rPr>
        <w:t xml:space="preserve"> by over 180 nations, including Iraq. Disability is </w:t>
      </w:r>
      <w:proofErr w:type="spellStart"/>
      <w:r w:rsidRPr="00DB3B99">
        <w:rPr>
          <w:rFonts w:ascii="Times New Roman" w:hAnsi="Times New Roman" w:cs="Times New Roman"/>
          <w:b w:val="0"/>
          <w:bCs w:val="0"/>
          <w:color w:val="auto"/>
        </w:rPr>
        <w:t>characterised</w:t>
      </w:r>
      <w:proofErr w:type="spellEnd"/>
      <w:r w:rsidRPr="00DB3B99">
        <w:rPr>
          <w:rFonts w:ascii="Times New Roman" w:hAnsi="Times New Roman" w:cs="Times New Roman"/>
          <w:b w:val="0"/>
          <w:bCs w:val="0"/>
          <w:color w:val="auto"/>
        </w:rPr>
        <w:t xml:space="preserve"> as a “evolving concept” resulting from the “interaction between individuals with impairments and attitudinal and environmental barriers” that obstruct full and equal societal participation (</w:t>
      </w:r>
      <w:proofErr w:type="spellStart"/>
      <w:r w:rsidRPr="00DB3B99">
        <w:rPr>
          <w:rFonts w:ascii="Times New Roman" w:hAnsi="Times New Roman" w:cs="Times New Roman"/>
          <w:b w:val="0"/>
          <w:bCs w:val="0"/>
          <w:color w:val="auto"/>
        </w:rPr>
        <w:t>Adibayev</w:t>
      </w:r>
      <w:proofErr w:type="spellEnd"/>
      <w:r w:rsidRPr="00DB3B99">
        <w:rPr>
          <w:rFonts w:ascii="Times New Roman" w:hAnsi="Times New Roman" w:cs="Times New Roman"/>
          <w:b w:val="0"/>
          <w:bCs w:val="0"/>
          <w:color w:val="auto"/>
        </w:rPr>
        <w:t xml:space="preserve"> &amp; Susi, 2023; Convention on the Rights of Persons with Disabilities, 2014). The CRPD defines individuals with disabilities as those possessing enduring physical, mental, intellectual, or sensory impairments.</w:t>
      </w:r>
    </w:p>
    <w:p w:rsidR="006B7FBB" w:rsidRPr="00DB3B99" w:rsidRDefault="00825259" w:rsidP="005525B3">
      <w:pPr>
        <w:pStyle w:val="Heading1"/>
        <w:spacing w:before="0" w:after="240"/>
        <w:jc w:val="both"/>
        <w:rPr>
          <w:rFonts w:ascii="Times New Roman" w:hAnsi="Times New Roman" w:cs="Times New Roman"/>
          <w:color w:val="auto"/>
          <w:sz w:val="24"/>
          <w:szCs w:val="24"/>
        </w:rPr>
      </w:pPr>
      <w:r w:rsidRPr="00DB3B99">
        <w:rPr>
          <w:rFonts w:ascii="Times New Roman" w:hAnsi="Times New Roman" w:cs="Times New Roman"/>
          <w:color w:val="auto"/>
          <w:sz w:val="24"/>
          <w:szCs w:val="24"/>
        </w:rPr>
        <w:t>The</w:t>
      </w:r>
      <w:r w:rsidR="00F20D9A" w:rsidRPr="00DB3B99">
        <w:rPr>
          <w:rFonts w:ascii="Times New Roman" w:hAnsi="Times New Roman" w:cs="Times New Roman"/>
          <w:color w:val="auto"/>
          <w:sz w:val="24"/>
          <w:szCs w:val="24"/>
        </w:rPr>
        <w:t xml:space="preserve"> Iraqi Government Differentiates Between Disabilities</w:t>
      </w:r>
    </w:p>
    <w:p w:rsidR="009042FC" w:rsidRPr="00DB3B99" w:rsidRDefault="009042FC" w:rsidP="005525B3">
      <w:pPr>
        <w:pStyle w:val="Heading2"/>
        <w:spacing w:before="0" w:after="240"/>
        <w:jc w:val="both"/>
        <w:rPr>
          <w:rFonts w:ascii="Times New Roman" w:hAnsi="Times New Roman" w:cs="Times New Roman"/>
          <w:b w:val="0"/>
          <w:bCs w:val="0"/>
          <w:color w:val="auto"/>
        </w:rPr>
      </w:pPr>
      <w:r w:rsidRPr="00DB3B99">
        <w:rPr>
          <w:rFonts w:ascii="Times New Roman" w:hAnsi="Times New Roman" w:cs="Times New Roman"/>
          <w:b w:val="0"/>
          <w:bCs w:val="0"/>
          <w:color w:val="auto"/>
        </w:rPr>
        <w:t xml:space="preserve">The Iraqi government </w:t>
      </w:r>
      <w:proofErr w:type="spellStart"/>
      <w:r w:rsidRPr="00DB3B99">
        <w:rPr>
          <w:rFonts w:ascii="Times New Roman" w:hAnsi="Times New Roman" w:cs="Times New Roman"/>
          <w:b w:val="0"/>
          <w:bCs w:val="0"/>
          <w:color w:val="auto"/>
        </w:rPr>
        <w:t>categorises</w:t>
      </w:r>
      <w:proofErr w:type="spellEnd"/>
      <w:r w:rsidRPr="00DB3B99">
        <w:rPr>
          <w:rFonts w:ascii="Times New Roman" w:hAnsi="Times New Roman" w:cs="Times New Roman"/>
          <w:b w:val="0"/>
          <w:bCs w:val="0"/>
          <w:color w:val="auto"/>
        </w:rPr>
        <w:t xml:space="preserve"> disability through a combination of legal frameworks, administrative classifications, and socio-political hierarchies. The primary instruments are Law No. 38 of 2013 concerning the Care of Persons with Disabilities and Special Needs and the 2005 Iraqi Constitution (Awadh, 2025; Rutherford &amp; Hinton, 2015).</w:t>
      </w:r>
    </w:p>
    <w:p w:rsidR="006B7FBB"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Categorical Differentiation (Clinical / Functional)</w:t>
      </w:r>
    </w:p>
    <w:p w:rsidR="009042FC" w:rsidRPr="005525B3" w:rsidRDefault="009042FC" w:rsidP="005525B3">
      <w:pPr>
        <w:pStyle w:val="Heading2"/>
        <w:spacing w:before="0" w:after="240"/>
        <w:jc w:val="both"/>
        <w:rPr>
          <w:rFonts w:ascii="Times New Roman" w:hAnsi="Times New Roman" w:cs="Times New Roman"/>
          <w:b w:val="0"/>
          <w:bCs w:val="0"/>
          <w:color w:val="auto"/>
        </w:rPr>
      </w:pPr>
      <w:r w:rsidRPr="00DB3B99">
        <w:rPr>
          <w:rFonts w:ascii="Times New Roman" w:hAnsi="Times New Roman" w:cs="Times New Roman"/>
          <w:b w:val="0"/>
          <w:bCs w:val="0"/>
          <w:color w:val="auto"/>
        </w:rPr>
        <w:t>Physical and mobility disabilities garner the most institutional</w:t>
      </w:r>
      <w:r w:rsidRPr="005525B3">
        <w:rPr>
          <w:rFonts w:ascii="Times New Roman" w:hAnsi="Times New Roman" w:cs="Times New Roman"/>
          <w:b w:val="0"/>
          <w:bCs w:val="0"/>
          <w:color w:val="auto"/>
        </w:rPr>
        <w:t xml:space="preserve"> focus and resources, with the health system's infrastructure primarily catering to individuals requiring prosthetics, wheelchairs, crutches, and physical therapy. Sensory, intellectual, and psychosocial disabilities are often </w:t>
      </w:r>
      <w:proofErr w:type="spellStart"/>
      <w:r w:rsidRPr="005525B3">
        <w:rPr>
          <w:rFonts w:ascii="Times New Roman" w:hAnsi="Times New Roman" w:cs="Times New Roman"/>
          <w:b w:val="0"/>
          <w:bCs w:val="0"/>
          <w:color w:val="auto"/>
        </w:rPr>
        <w:t>marginalised</w:t>
      </w:r>
      <w:proofErr w:type="spellEnd"/>
      <w:r w:rsidRPr="005525B3">
        <w:rPr>
          <w:rFonts w:ascii="Times New Roman" w:hAnsi="Times New Roman" w:cs="Times New Roman"/>
          <w:b w:val="0"/>
          <w:bCs w:val="0"/>
          <w:color w:val="auto"/>
        </w:rPr>
        <w:t xml:space="preserve"> in the provision of services. There exists a documented inadequacy in procedural accommodations within judicial systems and a lack of healthcare resources for individuals with sensory (blindness/deafness), psychosocial, or intellectual disabilities. Children are frequently classified as “physically handicapped” or “intellectually disabled” for educational and welfare objectives—terminology that indicates an ongoing dependence on a medical rather than a rights-based framework (Rutherford &amp; Hinton, 2015; Convention on the Rights of Persons with Disabilities, 2014).</w:t>
      </w:r>
    </w:p>
    <w:p w:rsidR="006B7FBB"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lastRenderedPageBreak/>
        <w:t>Differentiation by Cause: The “Warfare Regime”</w:t>
      </w:r>
    </w:p>
    <w:p w:rsidR="00AC1B0F" w:rsidRPr="005525B3" w:rsidRDefault="00AC1B0F" w:rsidP="005525B3">
      <w:pPr>
        <w:pStyle w:val="Heading1"/>
        <w:spacing w:before="0" w:after="240"/>
        <w:jc w:val="both"/>
        <w:rPr>
          <w:rFonts w:ascii="Times New Roman" w:hAnsi="Times New Roman" w:cs="Times New Roman"/>
          <w:b w:val="0"/>
          <w:bCs w:val="0"/>
          <w:color w:val="auto"/>
          <w:sz w:val="24"/>
          <w:szCs w:val="24"/>
        </w:rPr>
      </w:pPr>
      <w:r w:rsidRPr="005525B3">
        <w:rPr>
          <w:rFonts w:ascii="Times New Roman" w:hAnsi="Times New Roman" w:cs="Times New Roman"/>
          <w:b w:val="0"/>
          <w:bCs w:val="0"/>
          <w:color w:val="auto"/>
          <w:sz w:val="24"/>
          <w:szCs w:val="24"/>
        </w:rPr>
        <w:t>A critical distinction exists within the Iraqi “warfare regime” between individuals who acquired disabilities during military service and those classified as “civilian disabled” (Cerami, 2018).</w:t>
      </w:r>
    </w:p>
    <w:p w:rsidR="00AC1B0F" w:rsidRPr="005525B3" w:rsidRDefault="00AC1B0F" w:rsidP="005525B3">
      <w:pPr>
        <w:pStyle w:val="Heading1"/>
        <w:spacing w:before="0" w:after="240"/>
        <w:jc w:val="both"/>
        <w:rPr>
          <w:rFonts w:ascii="Times New Roman" w:hAnsi="Times New Roman" w:cs="Times New Roman"/>
          <w:b w:val="0"/>
          <w:bCs w:val="0"/>
          <w:color w:val="auto"/>
          <w:sz w:val="24"/>
          <w:szCs w:val="24"/>
        </w:rPr>
      </w:pPr>
      <w:r w:rsidRPr="005525B3">
        <w:rPr>
          <w:rFonts w:ascii="Times New Roman" w:hAnsi="Times New Roman" w:cs="Times New Roman"/>
          <w:b w:val="0"/>
          <w:bCs w:val="0"/>
          <w:color w:val="auto"/>
          <w:sz w:val="24"/>
          <w:szCs w:val="24"/>
        </w:rPr>
        <w:t xml:space="preserve"> Individuals at the pinnacle of the hierarchy—primarily disabled veterans and formal-sector employees—often obtain superior compensation and social insurance benefits compared to the wider disabled demographic (Mor, 2006). Administrative systems categorise individuals injured by "blasts and explosions," the primary cause of permanent disability in Baghdad, distinctly from those injured in unintentional incidents such as falls or road traffic accidents (Jensen et al., 2021; </w:t>
      </w:r>
      <w:proofErr w:type="spellStart"/>
      <w:r w:rsidRPr="005525B3">
        <w:rPr>
          <w:rFonts w:ascii="Times New Roman" w:hAnsi="Times New Roman" w:cs="Times New Roman"/>
          <w:b w:val="0"/>
          <w:bCs w:val="0"/>
          <w:color w:val="auto"/>
          <w:sz w:val="24"/>
          <w:szCs w:val="24"/>
        </w:rPr>
        <w:t>Lafta</w:t>
      </w:r>
      <w:proofErr w:type="spellEnd"/>
      <w:r w:rsidRPr="005525B3">
        <w:rPr>
          <w:rFonts w:ascii="Times New Roman" w:hAnsi="Times New Roman" w:cs="Times New Roman"/>
          <w:b w:val="0"/>
          <w:bCs w:val="0"/>
          <w:color w:val="auto"/>
          <w:sz w:val="24"/>
          <w:szCs w:val="24"/>
        </w:rPr>
        <w:t xml:space="preserve"> et al., 2015).</w:t>
      </w:r>
    </w:p>
    <w:p w:rsidR="00AC1B0F" w:rsidRPr="005525B3" w:rsidRDefault="00AC1B0F" w:rsidP="005525B3">
      <w:pPr>
        <w:pStyle w:val="Heading1"/>
        <w:spacing w:before="0" w:after="240"/>
        <w:jc w:val="both"/>
        <w:rPr>
          <w:rFonts w:ascii="Times New Roman" w:hAnsi="Times New Roman" w:cs="Times New Roman"/>
          <w:b w:val="0"/>
          <w:bCs w:val="0"/>
          <w:color w:val="auto"/>
          <w:sz w:val="24"/>
          <w:szCs w:val="24"/>
        </w:rPr>
      </w:pPr>
      <w:r w:rsidRPr="005525B3">
        <w:rPr>
          <w:rFonts w:ascii="Times New Roman" w:hAnsi="Times New Roman" w:cs="Times New Roman"/>
          <w:b w:val="0"/>
          <w:bCs w:val="0"/>
          <w:color w:val="auto"/>
          <w:sz w:val="24"/>
          <w:szCs w:val="24"/>
        </w:rPr>
        <w:t xml:space="preserve">This categorical distinction has considerable ramifications for CSO targeting. Organisations aiding conflict-injured civilians often face institutional barriers when attempting to access resources within the public health system, as these resources may be designated for security-sector compensation programs. Consequently, </w:t>
      </w:r>
      <w:r w:rsidR="008C6B6A" w:rsidRPr="005525B3">
        <w:rPr>
          <w:rFonts w:ascii="Times New Roman" w:hAnsi="Times New Roman" w:cs="Times New Roman"/>
          <w:b w:val="0"/>
          <w:bCs w:val="0"/>
          <w:color w:val="auto"/>
          <w:sz w:val="24"/>
          <w:szCs w:val="24"/>
        </w:rPr>
        <w:t>CSOs</w:t>
      </w:r>
      <w:r w:rsidRPr="005525B3">
        <w:rPr>
          <w:rFonts w:ascii="Times New Roman" w:hAnsi="Times New Roman" w:cs="Times New Roman"/>
          <w:b w:val="0"/>
          <w:bCs w:val="0"/>
          <w:color w:val="auto"/>
          <w:sz w:val="24"/>
          <w:szCs w:val="24"/>
        </w:rPr>
        <w:t xml:space="preserve"> often undertake the provision of alternative healthcare and rehabilitation for civilians injured in conflict, effectively shifting state responsibilities to the voluntary sector—this represents a reallocation of social welfare duties from the state to society, with unsustainable long-term ramifications for </w:t>
      </w:r>
      <w:proofErr w:type="spellStart"/>
      <w:r w:rsidRPr="005525B3">
        <w:rPr>
          <w:rFonts w:ascii="Times New Roman" w:hAnsi="Times New Roman" w:cs="Times New Roman"/>
          <w:b w:val="0"/>
          <w:bCs w:val="0"/>
          <w:color w:val="auto"/>
          <w:sz w:val="24"/>
          <w:szCs w:val="24"/>
        </w:rPr>
        <w:t>organisational</w:t>
      </w:r>
      <w:proofErr w:type="spellEnd"/>
      <w:r w:rsidRPr="005525B3">
        <w:rPr>
          <w:rFonts w:ascii="Times New Roman" w:hAnsi="Times New Roman" w:cs="Times New Roman"/>
          <w:b w:val="0"/>
          <w:bCs w:val="0"/>
          <w:color w:val="auto"/>
          <w:sz w:val="24"/>
          <w:szCs w:val="24"/>
        </w:rPr>
        <w:t xml:space="preserve"> capacity.</w:t>
      </w:r>
    </w:p>
    <w:p w:rsidR="00AC1B0F" w:rsidRPr="005525B3" w:rsidRDefault="003F1785" w:rsidP="00DB3B99">
      <w:pPr>
        <w:pStyle w:val="Heading1"/>
        <w:spacing w:before="0" w:after="240"/>
        <w:jc w:val="both"/>
        <w:rPr>
          <w:rFonts w:ascii="Times New Roman" w:hAnsi="Times New Roman" w:cs="Times New Roman"/>
          <w:color w:val="auto"/>
          <w:sz w:val="24"/>
          <w:szCs w:val="24"/>
        </w:rPr>
      </w:pPr>
      <w:r w:rsidRPr="005525B3">
        <w:rPr>
          <w:rFonts w:ascii="Times New Roman" w:hAnsi="Times New Roman" w:cs="Times New Roman"/>
          <w:color w:val="auto"/>
          <w:sz w:val="24"/>
          <w:szCs w:val="24"/>
        </w:rPr>
        <w:t>Digital Innovation and Technological Adaptation in CSO Service Delivery</w:t>
      </w:r>
    </w:p>
    <w:p w:rsidR="00AC1B0F" w:rsidRPr="005525B3" w:rsidRDefault="00AC1B0F" w:rsidP="005525B3">
      <w:pPr>
        <w:pStyle w:val="Heading1"/>
        <w:spacing w:before="0" w:after="240"/>
        <w:jc w:val="both"/>
        <w:rPr>
          <w:rFonts w:ascii="Times New Roman" w:hAnsi="Times New Roman" w:cs="Times New Roman"/>
          <w:b w:val="0"/>
          <w:bCs w:val="0"/>
          <w:color w:val="auto"/>
          <w:sz w:val="24"/>
          <w:szCs w:val="24"/>
        </w:rPr>
      </w:pPr>
      <w:r w:rsidRPr="005525B3">
        <w:rPr>
          <w:rFonts w:ascii="Times New Roman" w:hAnsi="Times New Roman" w:cs="Times New Roman"/>
          <w:b w:val="0"/>
          <w:bCs w:val="0"/>
          <w:color w:val="auto"/>
          <w:sz w:val="24"/>
          <w:szCs w:val="24"/>
        </w:rPr>
        <w:t>Analysis since 2020 indicates a notable transformation in the utilisation of digital technologies by CSOs to enhance accessibility, expand outreach, and record impact. This section consolidates emerging evidence regarding digital adoption, technological impediments, and promising innovations.</w:t>
      </w:r>
    </w:p>
    <w:p w:rsidR="006B7FBB"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Digital Accessibility and Communication</w:t>
      </w:r>
    </w:p>
    <w:p w:rsidR="00AC1B0F" w:rsidRPr="005525B3" w:rsidRDefault="00AC1B0F"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Notable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in Baghdad and Erbil have spearheaded digital accessibility initiatives, encompassing screen-reader-compatible websites, Arabic-captioned video content, and SMS-based information systems for individuals with limited digital literacy. In 2024, the Iraqi Disability Rights Forum inaugurated the inaugural Arabic-language digital resource portal focused on disability matters, offering </w:t>
      </w:r>
      <w:proofErr w:type="spellStart"/>
      <w:r w:rsidRPr="005525B3">
        <w:rPr>
          <w:rFonts w:ascii="Times New Roman" w:hAnsi="Times New Roman" w:cs="Times New Roman"/>
          <w:b w:val="0"/>
          <w:bCs w:val="0"/>
          <w:color w:val="auto"/>
        </w:rPr>
        <w:t>centralised</w:t>
      </w:r>
      <w:proofErr w:type="spellEnd"/>
      <w:r w:rsidRPr="005525B3">
        <w:rPr>
          <w:rFonts w:ascii="Times New Roman" w:hAnsi="Times New Roman" w:cs="Times New Roman"/>
          <w:b w:val="0"/>
          <w:bCs w:val="0"/>
          <w:color w:val="auto"/>
        </w:rPr>
        <w:t xml:space="preserve"> information on services, legal rights, and advocacy. As of June 2026, the portal documented over 8,200 distinct monthly users, with significant participation from younger individuals with disabilities (ages 18–35) and family members in search of information.</w:t>
      </w:r>
    </w:p>
    <w:p w:rsidR="00AC1B0F" w:rsidRPr="005525B3" w:rsidRDefault="00AC1B0F"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Significant impediments persist. Internet connectivity is erratic in rural and conflict-affected regions, constraining the accessibility of digital services. The mobile-first strategy has achieved partial success: the WhatsApp-based information system operated by the Sulaymaniyah CSO Consortium assists approximately 4,150 individuals with disabilities in the Kurdistan Region, offering information on prosthetic availability, rehabilitation timelines, and advocacy updates. Digital divides reflect and reinforce existing inequalities: individuals with visual impairments, intellectual disabilities, and elderly persons with disabilities exhibit lower rates of digital adoption, thereby risking further </w:t>
      </w:r>
      <w:proofErr w:type="spellStart"/>
      <w:r w:rsidRPr="005525B3">
        <w:rPr>
          <w:rFonts w:ascii="Times New Roman" w:hAnsi="Times New Roman" w:cs="Times New Roman"/>
          <w:b w:val="0"/>
          <w:bCs w:val="0"/>
          <w:color w:val="auto"/>
        </w:rPr>
        <w:t>marginalisation</w:t>
      </w:r>
      <w:proofErr w:type="spellEnd"/>
      <w:r w:rsidRPr="005525B3">
        <w:rPr>
          <w:rFonts w:ascii="Times New Roman" w:hAnsi="Times New Roman" w:cs="Times New Roman"/>
          <w:b w:val="0"/>
          <w:bCs w:val="0"/>
          <w:color w:val="auto"/>
        </w:rPr>
        <w:t xml:space="preserve"> in digitally orientated service systems.</w:t>
      </w:r>
    </w:p>
    <w:p w:rsidR="006B7FBB"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Systems and Evidence Documentation</w:t>
      </w:r>
    </w:p>
    <w:p w:rsidR="003F6CA3" w:rsidRPr="005525B3" w:rsidRDefault="003F6CA3"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Prominent international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(IOM, IRC, AISPO) have implemented digital beneficiary-management systems, including </w:t>
      </w:r>
      <w:proofErr w:type="spellStart"/>
      <w:r w:rsidRPr="005525B3">
        <w:rPr>
          <w:rFonts w:ascii="Times New Roman" w:hAnsi="Times New Roman" w:cs="Times New Roman"/>
          <w:b w:val="0"/>
          <w:bCs w:val="0"/>
          <w:color w:val="auto"/>
        </w:rPr>
        <w:t>KoBoToolbox</w:t>
      </w:r>
      <w:proofErr w:type="spellEnd"/>
      <w:r w:rsidRPr="005525B3">
        <w:rPr>
          <w:rFonts w:ascii="Times New Roman" w:hAnsi="Times New Roman" w:cs="Times New Roman"/>
          <w:b w:val="0"/>
          <w:bCs w:val="0"/>
          <w:color w:val="auto"/>
        </w:rPr>
        <w:t xml:space="preserve"> and similar mobile data-collection platforms, to monitor persons with disabilities (PWDs) served, document outcomes, and produce real-time program analytics. This signifies considerable advancement: formerly, numerous CSO programs functioned with inadequate quantitative documentation, hindering impact evaluation and the production of advocacy evidence. Contemporary systems enable organisations to disaggregate data by disability type, geographic location, age, gender, and intersectional characteristics (e.g., refugee status in conjunction with disability).</w:t>
      </w:r>
    </w:p>
    <w:p w:rsidR="003F6CA3" w:rsidRPr="005525B3" w:rsidRDefault="003F6CA3"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According to institutional data from IOM Iraq (2023), 68% of significant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in Iraq have implemented some form of digital beneficiary tracking, although the quality and completeness of the data exhibit considerable variability. An additional 42% indicate utilising digital systems to track accessibility barriers, </w:t>
      </w:r>
      <w:r w:rsidRPr="005525B3">
        <w:rPr>
          <w:rFonts w:ascii="Times New Roman" w:hAnsi="Times New Roman" w:cs="Times New Roman"/>
          <w:b w:val="0"/>
          <w:bCs w:val="0"/>
          <w:color w:val="auto"/>
        </w:rPr>
        <w:lastRenderedPageBreak/>
        <w:t>program outcomes, and service deficiencies—an indispensable function for advocacy. These systems have facilitated the initial thorough mapping of CSO service coverage throughout Iraqi governorates, revealing systematic geographic disparities: urban centers (Baghdad, Basrah, Mosul) exhibit 3.2–4.8 times higher CSO service density compared to rural areas, with significant deficiencies in the border regions (Nineveh, Anbar, Salah ad-Din).</w:t>
      </w:r>
    </w:p>
    <w:p w:rsidR="006B7FBB" w:rsidRPr="005525B3" w:rsidRDefault="003F1785" w:rsidP="00DB3B99">
      <w:pPr>
        <w:pStyle w:val="Heading1"/>
        <w:spacing w:before="0" w:after="240"/>
        <w:jc w:val="both"/>
        <w:rPr>
          <w:rFonts w:ascii="Times New Roman" w:hAnsi="Times New Roman" w:cs="Times New Roman"/>
          <w:color w:val="auto"/>
          <w:sz w:val="24"/>
          <w:szCs w:val="24"/>
        </w:rPr>
      </w:pPr>
      <w:r w:rsidRPr="005525B3">
        <w:rPr>
          <w:rFonts w:ascii="Times New Roman" w:hAnsi="Times New Roman" w:cs="Times New Roman"/>
          <w:color w:val="auto"/>
          <w:sz w:val="24"/>
          <w:szCs w:val="24"/>
        </w:rPr>
        <w:t>Comparative Effectiveness of CSOs Across Iraqi Governorates</w:t>
      </w:r>
    </w:p>
    <w:p w:rsidR="006B7FBB" w:rsidRPr="005525B3" w:rsidRDefault="003F6CA3"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 xml:space="preserve">Comparative program evaluations performed from 2024 to 2026 facilitate the analysis of </w:t>
      </w:r>
      <w:proofErr w:type="gramStart"/>
      <w:r w:rsidR="008C6B6A" w:rsidRPr="005525B3">
        <w:rPr>
          <w:rFonts w:ascii="Times New Roman" w:hAnsi="Times New Roman" w:cs="Times New Roman"/>
          <w:sz w:val="24"/>
          <w:szCs w:val="24"/>
        </w:rPr>
        <w:t>CSO</w:t>
      </w:r>
      <w:r w:rsidRPr="005525B3">
        <w:rPr>
          <w:rFonts w:ascii="Times New Roman" w:hAnsi="Times New Roman" w:cs="Times New Roman"/>
          <w:sz w:val="24"/>
          <w:szCs w:val="24"/>
        </w:rPr>
        <w:t xml:space="preserve">  effectiveness</w:t>
      </w:r>
      <w:proofErr w:type="gramEnd"/>
      <w:r w:rsidRPr="005525B3">
        <w:rPr>
          <w:rFonts w:ascii="Times New Roman" w:hAnsi="Times New Roman" w:cs="Times New Roman"/>
          <w:sz w:val="24"/>
          <w:szCs w:val="24"/>
        </w:rPr>
        <w:t xml:space="preserve"> across various geographic and institutional contexts. This section synthesises findings from three representative contexts: urban high-density (Baghdad), semi-urban (Erbil/Sulaymaniyah), and rural/border (Anbar, Nineveh).</w:t>
      </w:r>
    </w:p>
    <w:tbl>
      <w:tblPr>
        <w:tblStyle w:val="TableGrid"/>
        <w:tblW w:w="10890" w:type="dxa"/>
        <w:tblInd w:w="-5" w:type="dxa"/>
        <w:tblLook w:val="04A0"/>
      </w:tblPr>
      <w:tblGrid>
        <w:gridCol w:w="3567"/>
        <w:gridCol w:w="1297"/>
        <w:gridCol w:w="2444"/>
        <w:gridCol w:w="1620"/>
        <w:gridCol w:w="1962"/>
      </w:tblGrid>
      <w:tr w:rsidR="006B7FBB" w:rsidRPr="005525B3" w:rsidTr="00DB3B99">
        <w:tc>
          <w:tcPr>
            <w:tcW w:w="356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b/>
                <w:bCs/>
                <w:sz w:val="24"/>
                <w:szCs w:val="24"/>
              </w:rPr>
              <w:t>Effectiveness Metric</w:t>
            </w:r>
          </w:p>
        </w:tc>
        <w:tc>
          <w:tcPr>
            <w:tcW w:w="129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b/>
                <w:bCs/>
                <w:sz w:val="24"/>
                <w:szCs w:val="24"/>
              </w:rPr>
              <w:t>Urban (Baghdad)</w:t>
            </w:r>
          </w:p>
        </w:tc>
        <w:tc>
          <w:tcPr>
            <w:tcW w:w="2444"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b/>
                <w:bCs/>
                <w:sz w:val="24"/>
                <w:szCs w:val="24"/>
              </w:rPr>
              <w:t>Semi-Urban (Erbil/Sulaymaniyah)</w:t>
            </w:r>
          </w:p>
        </w:tc>
        <w:tc>
          <w:tcPr>
            <w:tcW w:w="1620"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b/>
                <w:bCs/>
                <w:sz w:val="24"/>
                <w:szCs w:val="24"/>
              </w:rPr>
              <w:t>Rural/Border (Anbar, Nineveh)</w:t>
            </w:r>
          </w:p>
        </w:tc>
        <w:tc>
          <w:tcPr>
            <w:tcW w:w="1962"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b/>
                <w:bCs/>
                <w:sz w:val="24"/>
                <w:szCs w:val="24"/>
              </w:rPr>
              <w:t>Diff. (Urban vs Rural)</w:t>
            </w:r>
          </w:p>
        </w:tc>
      </w:tr>
      <w:tr w:rsidR="006B7FBB" w:rsidRPr="005525B3" w:rsidTr="00DB3B99">
        <w:tc>
          <w:tcPr>
            <w:tcW w:w="356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Avg. beneficiaries per CSO/year</w:t>
            </w:r>
          </w:p>
        </w:tc>
        <w:tc>
          <w:tcPr>
            <w:tcW w:w="129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287</w:t>
            </w:r>
          </w:p>
        </w:tc>
        <w:tc>
          <w:tcPr>
            <w:tcW w:w="2444"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154</w:t>
            </w:r>
          </w:p>
        </w:tc>
        <w:tc>
          <w:tcPr>
            <w:tcW w:w="1620"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68</w:t>
            </w:r>
          </w:p>
        </w:tc>
        <w:tc>
          <w:tcPr>
            <w:tcW w:w="1962"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4.2×</w:t>
            </w:r>
          </w:p>
        </w:tc>
      </w:tr>
      <w:tr w:rsidR="006B7FBB" w:rsidRPr="005525B3" w:rsidTr="00DB3B99">
        <w:tc>
          <w:tcPr>
            <w:tcW w:w="356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Average programme duration (months)</w:t>
            </w:r>
          </w:p>
        </w:tc>
        <w:tc>
          <w:tcPr>
            <w:tcW w:w="129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22</w:t>
            </w:r>
          </w:p>
        </w:tc>
        <w:tc>
          <w:tcPr>
            <w:tcW w:w="2444"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18</w:t>
            </w:r>
          </w:p>
        </w:tc>
        <w:tc>
          <w:tcPr>
            <w:tcW w:w="1620"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11</w:t>
            </w:r>
          </w:p>
        </w:tc>
        <w:tc>
          <w:tcPr>
            <w:tcW w:w="1962"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2.0×</w:t>
            </w:r>
          </w:p>
        </w:tc>
      </w:tr>
      <w:tr w:rsidR="006B7FBB" w:rsidRPr="005525B3" w:rsidTr="00DB3B99">
        <w:tc>
          <w:tcPr>
            <w:tcW w:w="356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Reported service accessibility (%)</w:t>
            </w:r>
          </w:p>
        </w:tc>
        <w:tc>
          <w:tcPr>
            <w:tcW w:w="129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68%</w:t>
            </w:r>
          </w:p>
        </w:tc>
        <w:tc>
          <w:tcPr>
            <w:tcW w:w="2444"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52%</w:t>
            </w:r>
          </w:p>
        </w:tc>
        <w:tc>
          <w:tcPr>
            <w:tcW w:w="1620"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31%</w:t>
            </w:r>
          </w:p>
        </w:tc>
        <w:tc>
          <w:tcPr>
            <w:tcW w:w="1962"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2.2×</w:t>
            </w:r>
          </w:p>
        </w:tc>
      </w:tr>
      <w:tr w:rsidR="006B7FBB" w:rsidRPr="005525B3" w:rsidTr="00DB3B99">
        <w:tc>
          <w:tcPr>
            <w:tcW w:w="356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Coordination with gov. agencies (%)</w:t>
            </w:r>
          </w:p>
        </w:tc>
        <w:tc>
          <w:tcPr>
            <w:tcW w:w="129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54%</w:t>
            </w:r>
          </w:p>
        </w:tc>
        <w:tc>
          <w:tcPr>
            <w:tcW w:w="2444"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61%</w:t>
            </w:r>
          </w:p>
        </w:tc>
        <w:tc>
          <w:tcPr>
            <w:tcW w:w="1620"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21%</w:t>
            </w:r>
          </w:p>
        </w:tc>
        <w:tc>
          <w:tcPr>
            <w:tcW w:w="1962"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2.6×</w:t>
            </w:r>
          </w:p>
        </w:tc>
      </w:tr>
      <w:tr w:rsidR="006B7FBB" w:rsidRPr="005525B3" w:rsidTr="00DB3B99">
        <w:tc>
          <w:tcPr>
            <w:tcW w:w="356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PWD leadership / governance (%)</w:t>
            </w:r>
          </w:p>
        </w:tc>
        <w:tc>
          <w:tcPr>
            <w:tcW w:w="129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38%</w:t>
            </w:r>
          </w:p>
        </w:tc>
        <w:tc>
          <w:tcPr>
            <w:tcW w:w="2444"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45%</w:t>
            </w:r>
          </w:p>
        </w:tc>
        <w:tc>
          <w:tcPr>
            <w:tcW w:w="1620"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16%</w:t>
            </w:r>
          </w:p>
        </w:tc>
        <w:tc>
          <w:tcPr>
            <w:tcW w:w="1962"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2.4×</w:t>
            </w:r>
          </w:p>
        </w:tc>
      </w:tr>
      <w:tr w:rsidR="006B7FBB" w:rsidRPr="005525B3" w:rsidTr="00DB3B99">
        <w:tc>
          <w:tcPr>
            <w:tcW w:w="356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Advocacy : service ratio (0–100)</w:t>
            </w:r>
          </w:p>
        </w:tc>
        <w:tc>
          <w:tcPr>
            <w:tcW w:w="129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35 : 65</w:t>
            </w:r>
          </w:p>
        </w:tc>
        <w:tc>
          <w:tcPr>
            <w:tcW w:w="2444"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42 : 58</w:t>
            </w:r>
          </w:p>
        </w:tc>
        <w:tc>
          <w:tcPr>
            <w:tcW w:w="1620"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18 : 82</w:t>
            </w:r>
          </w:p>
        </w:tc>
        <w:tc>
          <w:tcPr>
            <w:tcW w:w="1962"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w:t>
            </w:r>
          </w:p>
        </w:tc>
      </w:tr>
      <w:tr w:rsidR="006B7FBB" w:rsidRPr="005525B3" w:rsidTr="00DB3B99">
        <w:tc>
          <w:tcPr>
            <w:tcW w:w="356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Staff-retention rate (%)</w:t>
            </w:r>
          </w:p>
        </w:tc>
        <w:tc>
          <w:tcPr>
            <w:tcW w:w="1297"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72%</w:t>
            </w:r>
          </w:p>
        </w:tc>
        <w:tc>
          <w:tcPr>
            <w:tcW w:w="2444"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68%</w:t>
            </w:r>
          </w:p>
        </w:tc>
        <w:tc>
          <w:tcPr>
            <w:tcW w:w="1620"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52%</w:t>
            </w:r>
          </w:p>
        </w:tc>
        <w:tc>
          <w:tcPr>
            <w:tcW w:w="1962" w:type="dxa"/>
          </w:tcPr>
          <w:p w:rsidR="006B7FBB"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1.4×</w:t>
            </w:r>
          </w:p>
        </w:tc>
      </w:tr>
    </w:tbl>
    <w:p w:rsidR="00DB3B99" w:rsidRDefault="00DB3B99" w:rsidP="005525B3">
      <w:pPr>
        <w:spacing w:after="240"/>
        <w:jc w:val="both"/>
        <w:rPr>
          <w:rFonts w:ascii="Times New Roman" w:hAnsi="Times New Roman" w:cs="Times New Roman"/>
          <w:b/>
          <w:bCs/>
          <w:sz w:val="24"/>
          <w:szCs w:val="24"/>
        </w:rPr>
      </w:pPr>
    </w:p>
    <w:p w:rsidR="006B7FBB"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Table </w:t>
      </w:r>
      <w:r w:rsidR="003F6CA3" w:rsidRPr="005525B3">
        <w:rPr>
          <w:rFonts w:ascii="Times New Roman" w:hAnsi="Times New Roman" w:cs="Times New Roman"/>
          <w:b/>
          <w:bCs/>
          <w:sz w:val="24"/>
          <w:szCs w:val="24"/>
        </w:rPr>
        <w:t xml:space="preserve">4: </w:t>
      </w:r>
      <w:r w:rsidR="003F6CA3" w:rsidRPr="005525B3">
        <w:rPr>
          <w:rFonts w:ascii="Times New Roman" w:hAnsi="Times New Roman" w:cs="Times New Roman"/>
          <w:sz w:val="24"/>
          <w:szCs w:val="24"/>
        </w:rPr>
        <w:t>Comparative metrics of CSO effectiveness across various geographic contexts in Iraq. Sources: Evaluations of the CSO programme for 2024–2026 (N = 87 organisations); IOM Iraq monitoring data; UN OCHA coordination forums.</w:t>
      </w:r>
    </w:p>
    <w:p w:rsidR="006B7FBB" w:rsidRPr="005525B3" w:rsidRDefault="00D4707E"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 xml:space="preserve">The data reveal significant urban-rural disparities. Urban </w:t>
      </w:r>
      <w:r w:rsidR="008C6B6A" w:rsidRPr="005525B3">
        <w:rPr>
          <w:rFonts w:ascii="Times New Roman" w:hAnsi="Times New Roman" w:cs="Times New Roman"/>
          <w:sz w:val="24"/>
          <w:szCs w:val="24"/>
        </w:rPr>
        <w:t>CSOs</w:t>
      </w:r>
      <w:r w:rsidRPr="005525B3">
        <w:rPr>
          <w:rFonts w:ascii="Times New Roman" w:hAnsi="Times New Roman" w:cs="Times New Roman"/>
          <w:sz w:val="24"/>
          <w:szCs w:val="24"/>
        </w:rPr>
        <w:t xml:space="preserve"> exhibit significantly enhanced capabilities for ongoing programming, collaboration with governmental entities, and engagement with leaders in the disability sector. Rural </w:t>
      </w:r>
      <w:r w:rsidR="008C6B6A" w:rsidRPr="005525B3">
        <w:rPr>
          <w:rFonts w:ascii="Times New Roman" w:hAnsi="Times New Roman" w:cs="Times New Roman"/>
          <w:sz w:val="24"/>
          <w:szCs w:val="24"/>
        </w:rPr>
        <w:t>CSOs</w:t>
      </w:r>
      <w:r w:rsidRPr="005525B3">
        <w:rPr>
          <w:rFonts w:ascii="Times New Roman" w:hAnsi="Times New Roman" w:cs="Times New Roman"/>
          <w:sz w:val="24"/>
          <w:szCs w:val="24"/>
        </w:rPr>
        <w:t xml:space="preserve"> encounter considerable logistical obstacles (transportation, communication infrastructure, security),</w:t>
      </w:r>
      <w:r w:rsidR="00D37A35" w:rsidRPr="005525B3">
        <w:rPr>
          <w:rFonts w:ascii="Times New Roman" w:hAnsi="Times New Roman" w:cs="Times New Roman"/>
          <w:sz w:val="24"/>
          <w:szCs w:val="24"/>
        </w:rPr>
        <w:t xml:space="preserve"> </w:t>
      </w:r>
      <w:r w:rsidRPr="005525B3">
        <w:rPr>
          <w:rFonts w:ascii="Times New Roman" w:hAnsi="Times New Roman" w:cs="Times New Roman"/>
          <w:sz w:val="24"/>
          <w:szCs w:val="24"/>
        </w:rPr>
        <w:t>resulting in shorter programmes with narrower scope and reach. Rural CSOs also disproportionately allocate resources to direct service delivery (82% versus 65% in urban areas)</w:t>
      </w:r>
      <w:r w:rsidR="00D37A35" w:rsidRPr="005525B3">
        <w:rPr>
          <w:rFonts w:ascii="Times New Roman" w:hAnsi="Times New Roman" w:cs="Times New Roman"/>
          <w:sz w:val="24"/>
          <w:szCs w:val="24"/>
        </w:rPr>
        <w:t>,</w:t>
      </w:r>
      <w:r w:rsidRPr="005525B3">
        <w:rPr>
          <w:rFonts w:ascii="Times New Roman" w:hAnsi="Times New Roman" w:cs="Times New Roman"/>
          <w:sz w:val="24"/>
          <w:szCs w:val="24"/>
        </w:rPr>
        <w:t xml:space="preserve"> resulting in constrained capacity for advocacy or systemic change—an institutional limitation that sustains a cycle of crisis-responsive humanitarian aid devoid of rights-based transformation.</w:t>
      </w:r>
    </w:p>
    <w:p w:rsidR="006B7FBB" w:rsidRPr="005525B3" w:rsidRDefault="003F1785" w:rsidP="00DB3B99">
      <w:pPr>
        <w:pStyle w:val="Heading1"/>
        <w:spacing w:before="0" w:after="240"/>
        <w:jc w:val="both"/>
        <w:rPr>
          <w:rFonts w:ascii="Times New Roman" w:hAnsi="Times New Roman" w:cs="Times New Roman"/>
          <w:color w:val="auto"/>
          <w:sz w:val="24"/>
          <w:szCs w:val="24"/>
        </w:rPr>
      </w:pPr>
      <w:r w:rsidRPr="005525B3">
        <w:rPr>
          <w:rFonts w:ascii="Times New Roman" w:hAnsi="Times New Roman" w:cs="Times New Roman"/>
          <w:color w:val="auto"/>
          <w:sz w:val="24"/>
          <w:szCs w:val="24"/>
        </w:rPr>
        <w:t>Case Studies: CSO Service Delivery Across Three Geographic Contexts</w:t>
      </w:r>
    </w:p>
    <w:p w:rsidR="00D4707E" w:rsidRPr="005525B3" w:rsidRDefault="00D4707E"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This section analyses three representative contexts that exemplify the primary differences in </w:t>
      </w:r>
      <w:r w:rsidR="008C6B6A" w:rsidRPr="005525B3">
        <w:rPr>
          <w:rFonts w:ascii="Times New Roman" w:hAnsi="Times New Roman" w:cs="Times New Roman"/>
          <w:b w:val="0"/>
          <w:bCs w:val="0"/>
          <w:color w:val="auto"/>
        </w:rPr>
        <w:t>CSO</w:t>
      </w:r>
      <w:r w:rsidRPr="005525B3">
        <w:rPr>
          <w:rFonts w:ascii="Times New Roman" w:hAnsi="Times New Roman" w:cs="Times New Roman"/>
          <w:b w:val="0"/>
          <w:bCs w:val="0"/>
          <w:color w:val="auto"/>
        </w:rPr>
        <w:t xml:space="preserve"> (CSO) operations in Iraq: an urban high-density environment (Baghdad), a semi-urban consortium model (Erbil/Sulaymaniyah), and a rural/border crisis scenario (Anbar, Nineveh). The accounts </w:t>
      </w:r>
      <w:proofErr w:type="spellStart"/>
      <w:r w:rsidRPr="005525B3">
        <w:rPr>
          <w:rFonts w:ascii="Times New Roman" w:hAnsi="Times New Roman" w:cs="Times New Roman"/>
          <w:b w:val="0"/>
          <w:bCs w:val="0"/>
          <w:color w:val="auto"/>
        </w:rPr>
        <w:t>utilise</w:t>
      </w:r>
      <w:proofErr w:type="spellEnd"/>
      <w:r w:rsidRPr="005525B3">
        <w:rPr>
          <w:rFonts w:ascii="Times New Roman" w:hAnsi="Times New Roman" w:cs="Times New Roman"/>
          <w:b w:val="0"/>
          <w:bCs w:val="0"/>
          <w:color w:val="auto"/>
        </w:rPr>
        <w:t xml:space="preserve"> </w:t>
      </w:r>
      <w:proofErr w:type="spellStart"/>
      <w:r w:rsidRPr="005525B3">
        <w:rPr>
          <w:rFonts w:ascii="Times New Roman" w:hAnsi="Times New Roman" w:cs="Times New Roman"/>
          <w:b w:val="0"/>
          <w:bCs w:val="0"/>
          <w:color w:val="auto"/>
        </w:rPr>
        <w:t>organisational</w:t>
      </w:r>
      <w:proofErr w:type="spellEnd"/>
      <w:r w:rsidRPr="005525B3">
        <w:rPr>
          <w:rFonts w:ascii="Times New Roman" w:hAnsi="Times New Roman" w:cs="Times New Roman"/>
          <w:b w:val="0"/>
          <w:bCs w:val="0"/>
          <w:color w:val="auto"/>
        </w:rPr>
        <w:t xml:space="preserve"> and program documentation, evaluation reports, and published case materials; identifying details of individuals referenced in these sources have been </w:t>
      </w:r>
      <w:proofErr w:type="spellStart"/>
      <w:r w:rsidRPr="005525B3">
        <w:rPr>
          <w:rFonts w:ascii="Times New Roman" w:hAnsi="Times New Roman" w:cs="Times New Roman"/>
          <w:b w:val="0"/>
          <w:bCs w:val="0"/>
          <w:color w:val="auto"/>
        </w:rPr>
        <w:t>generalised</w:t>
      </w:r>
      <w:proofErr w:type="spellEnd"/>
      <w:r w:rsidRPr="005525B3">
        <w:rPr>
          <w:rFonts w:ascii="Times New Roman" w:hAnsi="Times New Roman" w:cs="Times New Roman"/>
          <w:b w:val="0"/>
          <w:bCs w:val="0"/>
          <w:color w:val="auto"/>
        </w:rPr>
        <w:t xml:space="preserve"> to safeguard confidentiality.</w:t>
      </w:r>
    </w:p>
    <w:p w:rsidR="006B7FBB"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Urban Context: Navigating Patronage Networks in Baghdad</w:t>
      </w:r>
    </w:p>
    <w:p w:rsidR="00CF783D" w:rsidRPr="005525B3" w:rsidRDefault="00CF783D"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 xml:space="preserve">By mid-2025, Baghdad had approximately 347 registered </w:t>
      </w:r>
      <w:r w:rsidR="008C6B6A" w:rsidRPr="005525B3">
        <w:rPr>
          <w:rFonts w:ascii="Times New Roman" w:hAnsi="Times New Roman" w:cs="Times New Roman"/>
          <w:sz w:val="24"/>
          <w:szCs w:val="24"/>
        </w:rPr>
        <w:t>CSOs</w:t>
      </w:r>
      <w:r w:rsidRPr="005525B3">
        <w:rPr>
          <w:rFonts w:ascii="Times New Roman" w:hAnsi="Times New Roman" w:cs="Times New Roman"/>
          <w:sz w:val="24"/>
          <w:szCs w:val="24"/>
        </w:rPr>
        <w:t xml:space="preserve"> catering to individuals with disabilities, establishing it as the most comprehensive civil society ecosystem in Iraq. Service provision is significantly disproportionate throughout the city: central districts like Mansour, Karrada, and Jadida host the majority of </w:t>
      </w:r>
      <w:proofErr w:type="spellStart"/>
      <w:r w:rsidRPr="005525B3">
        <w:rPr>
          <w:rFonts w:ascii="Times New Roman" w:hAnsi="Times New Roman" w:cs="Times New Roman"/>
          <w:sz w:val="24"/>
          <w:szCs w:val="24"/>
        </w:rPr>
        <w:t>specialised</w:t>
      </w:r>
      <w:proofErr w:type="spellEnd"/>
      <w:r w:rsidRPr="005525B3">
        <w:rPr>
          <w:rFonts w:ascii="Times New Roman" w:hAnsi="Times New Roman" w:cs="Times New Roman"/>
          <w:sz w:val="24"/>
          <w:szCs w:val="24"/>
        </w:rPr>
        <w:t xml:space="preserve"> services, whereas peripheral districts such as Abu </w:t>
      </w:r>
      <w:proofErr w:type="spellStart"/>
      <w:r w:rsidRPr="005525B3">
        <w:rPr>
          <w:rFonts w:ascii="Times New Roman" w:hAnsi="Times New Roman" w:cs="Times New Roman"/>
          <w:sz w:val="24"/>
          <w:szCs w:val="24"/>
        </w:rPr>
        <w:t>Ghraib</w:t>
      </w:r>
      <w:proofErr w:type="spellEnd"/>
      <w:r w:rsidRPr="005525B3">
        <w:rPr>
          <w:rFonts w:ascii="Times New Roman" w:hAnsi="Times New Roman" w:cs="Times New Roman"/>
          <w:sz w:val="24"/>
          <w:szCs w:val="24"/>
        </w:rPr>
        <w:t xml:space="preserve"> and </w:t>
      </w:r>
      <w:proofErr w:type="spellStart"/>
      <w:r w:rsidRPr="005525B3">
        <w:rPr>
          <w:rFonts w:ascii="Times New Roman" w:hAnsi="Times New Roman" w:cs="Times New Roman"/>
          <w:sz w:val="24"/>
          <w:szCs w:val="24"/>
        </w:rPr>
        <w:t>Mahmudiya</w:t>
      </w:r>
      <w:proofErr w:type="spellEnd"/>
      <w:r w:rsidRPr="005525B3">
        <w:rPr>
          <w:rFonts w:ascii="Times New Roman" w:hAnsi="Times New Roman" w:cs="Times New Roman"/>
          <w:sz w:val="24"/>
          <w:szCs w:val="24"/>
        </w:rPr>
        <w:t xml:space="preserve"> are relatively underserved despite having considerable resident populations. This pattern illustrates the spatial dynamics of donor presence—international agency offices are concentrated in central Baghdad—along with the benefits of </w:t>
      </w:r>
      <w:r w:rsidRPr="005525B3">
        <w:rPr>
          <w:rFonts w:ascii="Times New Roman" w:hAnsi="Times New Roman" w:cs="Times New Roman"/>
          <w:sz w:val="24"/>
          <w:szCs w:val="24"/>
        </w:rPr>
        <w:lastRenderedPageBreak/>
        <w:t>proximity in informal networks: CSO leaders position themselves near the Ministry of Health headquarters and donor-coordination forums to sustain the relational access on which service provision depends within a wasta-mediated system.</w:t>
      </w:r>
    </w:p>
    <w:p w:rsidR="00E03E79" w:rsidRPr="00DB3B99" w:rsidRDefault="003F1785" w:rsidP="00DB3B99">
      <w:pPr>
        <w:pStyle w:val="ListParagraph"/>
        <w:spacing w:after="240"/>
        <w:jc w:val="both"/>
        <w:rPr>
          <w:rFonts w:ascii="Times New Roman" w:hAnsi="Times New Roman" w:cs="Times New Roman"/>
          <w:sz w:val="24"/>
          <w:szCs w:val="24"/>
        </w:rPr>
      </w:pPr>
      <w:r w:rsidRPr="00DB3B99">
        <w:rPr>
          <w:rFonts w:ascii="Times New Roman" w:hAnsi="Times New Roman" w:cs="Times New Roman"/>
          <w:b/>
          <w:bCs/>
          <w:sz w:val="24"/>
          <w:szCs w:val="24"/>
        </w:rPr>
        <w:t>Wasta in service access.</w:t>
      </w:r>
      <w:r w:rsidR="00CF783D" w:rsidRPr="00DB3B99">
        <w:rPr>
          <w:rFonts w:ascii="Times New Roman" w:hAnsi="Times New Roman" w:cs="Times New Roman"/>
          <w:sz w:val="24"/>
          <w:szCs w:val="24"/>
        </w:rPr>
        <w:t xml:space="preserve"> </w:t>
      </w:r>
    </w:p>
    <w:p w:rsidR="006B7FBB" w:rsidRPr="00DB3B99" w:rsidRDefault="00CF783D" w:rsidP="005525B3">
      <w:pPr>
        <w:spacing w:after="240"/>
        <w:jc w:val="both"/>
        <w:rPr>
          <w:rFonts w:ascii="Times New Roman" w:hAnsi="Times New Roman" w:cs="Times New Roman"/>
          <w:sz w:val="24"/>
          <w:szCs w:val="24"/>
        </w:rPr>
      </w:pPr>
      <w:r w:rsidRPr="00DB3B99">
        <w:rPr>
          <w:rFonts w:ascii="Times New Roman" w:hAnsi="Times New Roman" w:cs="Times New Roman"/>
          <w:sz w:val="24"/>
          <w:szCs w:val="24"/>
        </w:rPr>
        <w:t xml:space="preserve">The experience of a beneficiary—a 34-year-old wheelchair user from Karrada who incurred injuries in a 2016 explosion—demonstrates how patronage gatekeeping shapes access. Upon seeking rehabilitation at a state clinic in Mansour in early 2024, the official Ministry of Health registration system assigned her to a waiting list spanning several months. She ultimately obtained an appointment much sooner solely due to a CSO worker at a disability rights organization having a personal connection to a ministry official. The case material indicates that her injury remained constant regardless of the connection; the connection merely influenced the duration of her potential deterioration during the waiting period. Her account delineates two aspects of wasta-driven gatekeeping: formal registration protocols are in place, yet actual access is informally restricted through relational connections, leaving individuals with disabilities who lack such networks effectively </w:t>
      </w:r>
      <w:proofErr w:type="spellStart"/>
      <w:r w:rsidRPr="00DB3B99">
        <w:rPr>
          <w:rFonts w:ascii="Times New Roman" w:hAnsi="Times New Roman" w:cs="Times New Roman"/>
          <w:sz w:val="24"/>
          <w:szCs w:val="24"/>
        </w:rPr>
        <w:t>marginalised</w:t>
      </w:r>
      <w:proofErr w:type="spellEnd"/>
      <w:r w:rsidRPr="00DB3B99">
        <w:rPr>
          <w:rFonts w:ascii="Times New Roman" w:hAnsi="Times New Roman" w:cs="Times New Roman"/>
          <w:sz w:val="24"/>
          <w:szCs w:val="24"/>
        </w:rPr>
        <w:t xml:space="preserve"> from state services, despite their legal eligibility. CSO workers, situated concurrently in humanitarian and administrative domains, often serve as the intermediaries that provide the essential link. </w:t>
      </w:r>
    </w:p>
    <w:p w:rsidR="00A36D6C" w:rsidRPr="00DB3B99" w:rsidRDefault="003F1785" w:rsidP="00DB3B99">
      <w:pPr>
        <w:pStyle w:val="ListParagraph"/>
        <w:spacing w:after="240"/>
        <w:jc w:val="both"/>
        <w:rPr>
          <w:rFonts w:ascii="Times New Roman" w:hAnsi="Times New Roman" w:cs="Times New Roman"/>
          <w:sz w:val="24"/>
          <w:szCs w:val="24"/>
        </w:rPr>
      </w:pPr>
      <w:r w:rsidRPr="00DB3B99">
        <w:rPr>
          <w:rFonts w:ascii="Times New Roman" w:hAnsi="Times New Roman" w:cs="Times New Roman"/>
          <w:b/>
          <w:bCs/>
          <w:sz w:val="24"/>
          <w:szCs w:val="24"/>
        </w:rPr>
        <w:t>Funding concentration and digital innovation.</w:t>
      </w:r>
      <w:r w:rsidR="00CF783D" w:rsidRPr="00DB3B99">
        <w:rPr>
          <w:rFonts w:ascii="Times New Roman" w:hAnsi="Times New Roman" w:cs="Times New Roman"/>
          <w:sz w:val="24"/>
          <w:szCs w:val="24"/>
        </w:rPr>
        <w:t xml:space="preserve"> </w:t>
      </w:r>
    </w:p>
    <w:p w:rsidR="006B7FBB" w:rsidRPr="00DB3B99" w:rsidRDefault="00CF783D" w:rsidP="005525B3">
      <w:pPr>
        <w:spacing w:after="240"/>
        <w:jc w:val="both"/>
        <w:rPr>
          <w:rFonts w:ascii="Times New Roman" w:hAnsi="Times New Roman" w:cs="Times New Roman"/>
          <w:sz w:val="24"/>
          <w:szCs w:val="24"/>
        </w:rPr>
      </w:pPr>
      <w:r w:rsidRPr="00DB3B99">
        <w:rPr>
          <w:rFonts w:ascii="Times New Roman" w:hAnsi="Times New Roman" w:cs="Times New Roman"/>
          <w:sz w:val="24"/>
          <w:szCs w:val="24"/>
        </w:rPr>
        <w:t xml:space="preserve">Baghdad's </w:t>
      </w:r>
      <w:r w:rsidR="008C6B6A" w:rsidRPr="00DB3B99">
        <w:rPr>
          <w:rFonts w:ascii="Times New Roman" w:hAnsi="Times New Roman" w:cs="Times New Roman"/>
          <w:sz w:val="24"/>
          <w:szCs w:val="24"/>
        </w:rPr>
        <w:t>CSOs</w:t>
      </w:r>
      <w:r w:rsidRPr="00DB3B99">
        <w:rPr>
          <w:rFonts w:ascii="Times New Roman" w:hAnsi="Times New Roman" w:cs="Times New Roman"/>
          <w:sz w:val="24"/>
          <w:szCs w:val="24"/>
        </w:rPr>
        <w:t xml:space="preserve"> rely significantly on international donors, with funding allocated unevenly between central and peripheral districts, thereby perpetuating the aforementioned geographic disparities. In 2024, the Iraqi Disability Rights Forum initiated an Arabic-language digital portal to mitigate access barriers, providing </w:t>
      </w:r>
      <w:proofErr w:type="spellStart"/>
      <w:r w:rsidRPr="00DB3B99">
        <w:rPr>
          <w:rFonts w:ascii="Times New Roman" w:hAnsi="Times New Roman" w:cs="Times New Roman"/>
          <w:sz w:val="24"/>
          <w:szCs w:val="24"/>
        </w:rPr>
        <w:t>centralised</w:t>
      </w:r>
      <w:proofErr w:type="spellEnd"/>
      <w:r w:rsidRPr="00DB3B99">
        <w:rPr>
          <w:rFonts w:ascii="Times New Roman" w:hAnsi="Times New Roman" w:cs="Times New Roman"/>
          <w:sz w:val="24"/>
          <w:szCs w:val="24"/>
        </w:rPr>
        <w:t xml:space="preserve"> information on rehabilitation, prosthetics, </w:t>
      </w:r>
      <w:r w:rsidR="008C6B6A" w:rsidRPr="00DB3B99">
        <w:rPr>
          <w:rFonts w:ascii="Times New Roman" w:hAnsi="Times New Roman" w:cs="Times New Roman"/>
          <w:sz w:val="24"/>
          <w:szCs w:val="24"/>
        </w:rPr>
        <w:t>CSO</w:t>
      </w:r>
      <w:r w:rsidRPr="00DB3B99">
        <w:rPr>
          <w:rFonts w:ascii="Times New Roman" w:hAnsi="Times New Roman" w:cs="Times New Roman"/>
          <w:sz w:val="24"/>
          <w:szCs w:val="24"/>
        </w:rPr>
        <w:t xml:space="preserve"> services, and legal entitlements. By mid-2026, the portal had over 8,200 unique monthly users, with significant engagement from younger individuals with disabilities and their families. Digital access, however, continues to be limited by barriers related to connectivity, literacy, language, and accessibility</w:t>
      </w:r>
      <w:r w:rsidRPr="00DB3B99">
        <w:rPr>
          <w:rFonts w:ascii="Times New Roman" w:hAnsi="Times New Roman" w:cs="Times New Roman"/>
          <w:b/>
          <w:bCs/>
          <w:sz w:val="24"/>
          <w:szCs w:val="24"/>
        </w:rPr>
        <w:t xml:space="preserve">. </w:t>
      </w:r>
    </w:p>
    <w:p w:rsidR="006B7FBB"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Semi-Urban Context: Consortium-Based Coordination in the Kurdistan Region</w:t>
      </w:r>
    </w:p>
    <w:p w:rsidR="00743A18" w:rsidRPr="00DB3B99" w:rsidRDefault="00743A18" w:rsidP="005525B3">
      <w:pPr>
        <w:spacing w:after="240"/>
        <w:jc w:val="both"/>
        <w:rPr>
          <w:rFonts w:ascii="Times New Roman" w:hAnsi="Times New Roman" w:cs="Times New Roman"/>
          <w:sz w:val="24"/>
          <w:szCs w:val="24"/>
        </w:rPr>
      </w:pPr>
      <w:r w:rsidRPr="00DB3B99">
        <w:rPr>
          <w:rFonts w:ascii="Times New Roman" w:hAnsi="Times New Roman" w:cs="Times New Roman"/>
          <w:sz w:val="24"/>
          <w:szCs w:val="24"/>
        </w:rPr>
        <w:t xml:space="preserve">The Kurdistan Regional Government (KRG) demonstrates superior institutional capacity and adherence to the rule of law compared to federal Iraq, facilitating unique forms of coordination between </w:t>
      </w:r>
      <w:r w:rsidR="008C6B6A" w:rsidRPr="00DB3B99">
        <w:rPr>
          <w:rFonts w:ascii="Times New Roman" w:hAnsi="Times New Roman" w:cs="Times New Roman"/>
          <w:sz w:val="24"/>
          <w:szCs w:val="24"/>
        </w:rPr>
        <w:t>CSOs</w:t>
      </w:r>
      <w:r w:rsidRPr="00DB3B99">
        <w:rPr>
          <w:rFonts w:ascii="Times New Roman" w:hAnsi="Times New Roman" w:cs="Times New Roman"/>
          <w:sz w:val="24"/>
          <w:szCs w:val="24"/>
        </w:rPr>
        <w:t xml:space="preserve"> and the government. </w:t>
      </w:r>
      <w:r w:rsidR="008C6B6A" w:rsidRPr="00DB3B99">
        <w:rPr>
          <w:rFonts w:ascii="Times New Roman" w:hAnsi="Times New Roman" w:cs="Times New Roman"/>
          <w:sz w:val="24"/>
          <w:szCs w:val="24"/>
        </w:rPr>
        <w:t>CSOs</w:t>
      </w:r>
      <w:r w:rsidRPr="00DB3B99">
        <w:rPr>
          <w:rFonts w:ascii="Times New Roman" w:hAnsi="Times New Roman" w:cs="Times New Roman"/>
          <w:sz w:val="24"/>
          <w:szCs w:val="24"/>
        </w:rPr>
        <w:t xml:space="preserve"> in Erbil and Sulaymaniyah have increasingly embraced consortium-based coordination frameworks. The Erbil Integrated Disability Services Consortium, established in 2019 with 23 member organisations, exemplifies this institutional innovation: rather than delivering services in isolation, member organisations coordinate planning, conduct joint advocacy, and refer clients across </w:t>
      </w:r>
      <w:proofErr w:type="spellStart"/>
      <w:r w:rsidRPr="00DB3B99">
        <w:rPr>
          <w:rFonts w:ascii="Times New Roman" w:hAnsi="Times New Roman" w:cs="Times New Roman"/>
          <w:sz w:val="24"/>
          <w:szCs w:val="24"/>
        </w:rPr>
        <w:t>specialisations</w:t>
      </w:r>
      <w:proofErr w:type="spellEnd"/>
      <w:r w:rsidRPr="00DB3B99">
        <w:rPr>
          <w:rFonts w:ascii="Times New Roman" w:hAnsi="Times New Roman" w:cs="Times New Roman"/>
          <w:sz w:val="24"/>
          <w:szCs w:val="24"/>
        </w:rPr>
        <w:t>.</w:t>
      </w:r>
    </w:p>
    <w:p w:rsidR="00A36D6C" w:rsidRPr="00DB3B99" w:rsidRDefault="00A36D6C" w:rsidP="005525B3">
      <w:pPr>
        <w:spacing w:after="240"/>
        <w:jc w:val="both"/>
        <w:rPr>
          <w:rFonts w:ascii="Times New Roman" w:hAnsi="Times New Roman" w:cs="Times New Roman"/>
          <w:sz w:val="24"/>
          <w:szCs w:val="24"/>
        </w:rPr>
      </w:pPr>
      <w:r w:rsidRPr="00DB3B99">
        <w:rPr>
          <w:rFonts w:ascii="Times New Roman" w:hAnsi="Times New Roman" w:cs="Times New Roman"/>
          <w:b/>
          <w:bCs/>
          <w:sz w:val="24"/>
          <w:szCs w:val="24"/>
        </w:rPr>
        <w:t>Participatory governance.</w:t>
      </w:r>
      <w:r w:rsidR="00743A18" w:rsidRPr="00DB3B99">
        <w:rPr>
          <w:rFonts w:ascii="Times New Roman" w:hAnsi="Times New Roman" w:cs="Times New Roman"/>
          <w:sz w:val="24"/>
          <w:szCs w:val="24"/>
        </w:rPr>
        <w:t xml:space="preserve"> </w:t>
      </w:r>
    </w:p>
    <w:p w:rsidR="006B7FBB" w:rsidRPr="005525B3" w:rsidRDefault="00743A18"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 xml:space="preserve">A distinguishing characteristic of the semi-urban model is the relatively higher involvement of individuals with disabilities in </w:t>
      </w:r>
      <w:r w:rsidR="008C6B6A" w:rsidRPr="005525B3">
        <w:rPr>
          <w:rFonts w:ascii="Times New Roman" w:hAnsi="Times New Roman" w:cs="Times New Roman"/>
          <w:sz w:val="24"/>
          <w:szCs w:val="24"/>
        </w:rPr>
        <w:t>CSO</w:t>
      </w:r>
      <w:r w:rsidRPr="005525B3">
        <w:rPr>
          <w:rFonts w:ascii="Times New Roman" w:hAnsi="Times New Roman" w:cs="Times New Roman"/>
          <w:sz w:val="24"/>
          <w:szCs w:val="24"/>
        </w:rPr>
        <w:t xml:space="preserve"> governance. Organisational governance reports delineate a purposeful shift from boards exclusively comprising non-disabled directors and benefactors to frameworks in which individuals with disabilities hold formal decision-making positions. According to consortium governance documentation, the organization had previously made decisions regarding disability services without consulting individuals with disabilities; including these individuals extended meetings but resulted in genuinely beneficial programs. This transition implements the CRPD principle of "nothing about us without us" at the </w:t>
      </w:r>
      <w:proofErr w:type="spellStart"/>
      <w:r w:rsidRPr="005525B3">
        <w:rPr>
          <w:rFonts w:ascii="Times New Roman" w:hAnsi="Times New Roman" w:cs="Times New Roman"/>
          <w:sz w:val="24"/>
          <w:szCs w:val="24"/>
        </w:rPr>
        <w:t>organisational</w:t>
      </w:r>
      <w:proofErr w:type="spellEnd"/>
      <w:r w:rsidRPr="005525B3">
        <w:rPr>
          <w:rFonts w:ascii="Times New Roman" w:hAnsi="Times New Roman" w:cs="Times New Roman"/>
          <w:sz w:val="24"/>
          <w:szCs w:val="24"/>
        </w:rPr>
        <w:t xml:space="preserve"> level.</w:t>
      </w:r>
    </w:p>
    <w:p w:rsidR="00A36D6C" w:rsidRPr="00DB3B99" w:rsidRDefault="00A36D6C" w:rsidP="005525B3">
      <w:pPr>
        <w:spacing w:after="240"/>
        <w:jc w:val="both"/>
        <w:rPr>
          <w:rFonts w:ascii="Times New Roman" w:hAnsi="Times New Roman" w:cs="Times New Roman"/>
          <w:b/>
          <w:bCs/>
          <w:sz w:val="24"/>
          <w:szCs w:val="24"/>
        </w:rPr>
      </w:pPr>
      <w:r w:rsidRPr="00DB3B99">
        <w:rPr>
          <w:rFonts w:ascii="Times New Roman" w:hAnsi="Times New Roman" w:cs="Times New Roman"/>
          <w:b/>
          <w:bCs/>
          <w:sz w:val="24"/>
          <w:szCs w:val="24"/>
        </w:rPr>
        <w:t>Coordination mechanisms and outcomes.</w:t>
      </w:r>
    </w:p>
    <w:p w:rsidR="006B7FBB" w:rsidRPr="00DB3B99"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 </w:t>
      </w:r>
      <w:r w:rsidR="00743A18" w:rsidRPr="005525B3">
        <w:rPr>
          <w:rFonts w:ascii="Times New Roman" w:hAnsi="Times New Roman" w:cs="Times New Roman"/>
          <w:sz w:val="24"/>
          <w:szCs w:val="24"/>
        </w:rPr>
        <w:t xml:space="preserve">The consortium upholds a collaborative referral system facilitated by a real-time messaging group, allowing for swift inter-organizational referrals. Records from the consortium programme detail a specific instance in which a woman with a spinal cord injury sought assistance from a partner organization </w:t>
      </w:r>
      <w:proofErr w:type="spellStart"/>
      <w:r w:rsidR="00743A18" w:rsidRPr="005525B3">
        <w:rPr>
          <w:rFonts w:ascii="Times New Roman" w:hAnsi="Times New Roman" w:cs="Times New Roman"/>
          <w:sz w:val="24"/>
          <w:szCs w:val="24"/>
        </w:rPr>
        <w:t>specialising</w:t>
      </w:r>
      <w:proofErr w:type="spellEnd"/>
      <w:r w:rsidR="00743A18" w:rsidRPr="005525B3">
        <w:rPr>
          <w:rFonts w:ascii="Times New Roman" w:hAnsi="Times New Roman" w:cs="Times New Roman"/>
          <w:sz w:val="24"/>
          <w:szCs w:val="24"/>
        </w:rPr>
        <w:t xml:space="preserve"> in visual impairment. Under the prior disjointed model, she would have been dismissed; however, the referral process </w:t>
      </w:r>
      <w:r w:rsidR="00743A18" w:rsidRPr="00DB3B99">
        <w:rPr>
          <w:rFonts w:ascii="Times New Roman" w:hAnsi="Times New Roman" w:cs="Times New Roman"/>
          <w:sz w:val="24"/>
          <w:szCs w:val="24"/>
        </w:rPr>
        <w:t xml:space="preserve">enabled her to connect with a suitable provider on the same day, resulting in her receiving a prosthesis within two weeks. Comparative analysis indicates that consortium membership correlates with an expanded </w:t>
      </w:r>
      <w:r w:rsidR="00743A18" w:rsidRPr="00DB3B99">
        <w:rPr>
          <w:rFonts w:ascii="Times New Roman" w:hAnsi="Times New Roman" w:cs="Times New Roman"/>
          <w:sz w:val="24"/>
          <w:szCs w:val="24"/>
        </w:rPr>
        <w:lastRenderedPageBreak/>
        <w:t>beneficiary reach, enhanced program stability, and increased advocacy capacity compared to non-member organisations; however, thorough controlled evaluations of these effects are necessary for future research.</w:t>
      </w:r>
    </w:p>
    <w:p w:rsidR="006B7FBB"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Rural and Border Context: Crisis Response and Amplified Wasta in Anbar and Nineveh</w:t>
      </w:r>
    </w:p>
    <w:p w:rsidR="003054A9" w:rsidRPr="00DB3B99" w:rsidRDefault="003054A9" w:rsidP="005525B3">
      <w:pPr>
        <w:spacing w:after="240"/>
        <w:jc w:val="both"/>
        <w:rPr>
          <w:rFonts w:ascii="Times New Roman" w:hAnsi="Times New Roman" w:cs="Times New Roman"/>
          <w:sz w:val="24"/>
          <w:szCs w:val="24"/>
        </w:rPr>
      </w:pPr>
      <w:r w:rsidRPr="00DB3B99">
        <w:rPr>
          <w:rFonts w:ascii="Times New Roman" w:hAnsi="Times New Roman" w:cs="Times New Roman"/>
          <w:sz w:val="24"/>
          <w:szCs w:val="24"/>
        </w:rPr>
        <w:t>Rural and border governorates like Anbar and Nineveh offer a distinctly different operational environment. There are relatively few disability-focused organisations registered in these regions, and the majority are micro-organisations employing fewer than ten staff, primarily volunteers. The state’s institutional capacity is limited, coordination between federal and local entities is disjointed, and security conditions are precarious, influenced by displacement and the aftermath of conflict.</w:t>
      </w:r>
    </w:p>
    <w:p w:rsidR="006B7FBB" w:rsidRPr="00DB3B99" w:rsidRDefault="00A36D6C" w:rsidP="005525B3">
      <w:pPr>
        <w:spacing w:after="240"/>
        <w:jc w:val="both"/>
        <w:rPr>
          <w:rFonts w:ascii="Times New Roman" w:hAnsi="Times New Roman" w:cs="Times New Roman"/>
          <w:sz w:val="24"/>
          <w:szCs w:val="24"/>
        </w:rPr>
      </w:pPr>
      <w:r w:rsidRPr="00DB3B99">
        <w:rPr>
          <w:rFonts w:ascii="Times New Roman" w:hAnsi="Times New Roman" w:cs="Times New Roman"/>
          <w:b/>
          <w:bCs/>
          <w:sz w:val="24"/>
          <w:szCs w:val="24"/>
        </w:rPr>
        <w:t xml:space="preserve">Survival-focused delivery. </w:t>
      </w:r>
      <w:r w:rsidR="003054A9" w:rsidRPr="00DB3B99">
        <w:rPr>
          <w:rFonts w:ascii="Times New Roman" w:hAnsi="Times New Roman" w:cs="Times New Roman"/>
          <w:sz w:val="24"/>
          <w:szCs w:val="24"/>
        </w:rPr>
        <w:t xml:space="preserve">In these contexts, numerous registered </w:t>
      </w:r>
      <w:r w:rsidR="008C6B6A" w:rsidRPr="00DB3B99">
        <w:rPr>
          <w:rFonts w:ascii="Times New Roman" w:hAnsi="Times New Roman" w:cs="Times New Roman"/>
          <w:sz w:val="24"/>
          <w:szCs w:val="24"/>
        </w:rPr>
        <w:t>CSOs</w:t>
      </w:r>
      <w:r w:rsidR="003054A9" w:rsidRPr="00DB3B99">
        <w:rPr>
          <w:rFonts w:ascii="Times New Roman" w:hAnsi="Times New Roman" w:cs="Times New Roman"/>
          <w:sz w:val="24"/>
          <w:szCs w:val="24"/>
        </w:rPr>
        <w:t xml:space="preserve"> do not offer </w:t>
      </w:r>
      <w:proofErr w:type="spellStart"/>
      <w:r w:rsidR="003054A9" w:rsidRPr="00DB3B99">
        <w:rPr>
          <w:rFonts w:ascii="Times New Roman" w:hAnsi="Times New Roman" w:cs="Times New Roman"/>
          <w:sz w:val="24"/>
          <w:szCs w:val="24"/>
        </w:rPr>
        <w:t>specialised</w:t>
      </w:r>
      <w:proofErr w:type="spellEnd"/>
      <w:r w:rsidR="003054A9" w:rsidRPr="00DB3B99">
        <w:rPr>
          <w:rFonts w:ascii="Times New Roman" w:hAnsi="Times New Roman" w:cs="Times New Roman"/>
          <w:sz w:val="24"/>
          <w:szCs w:val="24"/>
        </w:rPr>
        <w:t xml:space="preserve"> services for individuals with disabilities; rather, they integrate persons with disabilities into general humanitarian responses, such as food, shelter, and medical triage. Reports from Anbar indicate that while the organization aimed to provide rehabilitation and skills training, the necessity of maintaining emergency-response readiness prioritised survival needs, rendering </w:t>
      </w:r>
      <w:proofErr w:type="spellStart"/>
      <w:r w:rsidR="003054A9" w:rsidRPr="00DB3B99">
        <w:rPr>
          <w:rFonts w:ascii="Times New Roman" w:hAnsi="Times New Roman" w:cs="Times New Roman"/>
          <w:sz w:val="24"/>
          <w:szCs w:val="24"/>
        </w:rPr>
        <w:t>specialised</w:t>
      </w:r>
      <w:proofErr w:type="spellEnd"/>
      <w:r w:rsidR="003054A9" w:rsidRPr="00DB3B99">
        <w:rPr>
          <w:rFonts w:ascii="Times New Roman" w:hAnsi="Times New Roman" w:cs="Times New Roman"/>
          <w:sz w:val="24"/>
          <w:szCs w:val="24"/>
        </w:rPr>
        <w:t xml:space="preserve"> rehabilitation effectively accessible only in Erbil or Baghdad. This indicates a structural limitation rather than a lack of determination: in disaster- and conflict-affected environments, delivering equitable health services to individuals with disabilities during mass displacements and emergencies presents unique logistical challenges that under-resourced organisations struggle to </w:t>
      </w:r>
      <w:r w:rsidR="008C6B6A" w:rsidRPr="00DB3B99">
        <w:rPr>
          <w:rFonts w:ascii="Times New Roman" w:hAnsi="Times New Roman" w:cs="Times New Roman"/>
          <w:sz w:val="24"/>
          <w:szCs w:val="24"/>
        </w:rPr>
        <w:t>meet (</w:t>
      </w:r>
      <w:r w:rsidR="003054A9" w:rsidRPr="00DB3B99">
        <w:rPr>
          <w:rFonts w:ascii="Times New Roman" w:hAnsi="Times New Roman" w:cs="Times New Roman"/>
          <w:sz w:val="24"/>
          <w:szCs w:val="24"/>
        </w:rPr>
        <w:t>Dehghani et al., 2024).</w:t>
      </w:r>
    </w:p>
    <w:p w:rsidR="006B7FBB" w:rsidRPr="00DB3B99" w:rsidRDefault="00A36D6C" w:rsidP="005525B3">
      <w:pPr>
        <w:spacing w:after="240"/>
        <w:jc w:val="both"/>
        <w:rPr>
          <w:rFonts w:ascii="Times New Roman" w:hAnsi="Times New Roman" w:cs="Times New Roman"/>
          <w:sz w:val="24"/>
          <w:szCs w:val="24"/>
        </w:rPr>
      </w:pPr>
      <w:r w:rsidRPr="00DB3B99">
        <w:rPr>
          <w:rFonts w:ascii="Times New Roman" w:hAnsi="Times New Roman" w:cs="Times New Roman"/>
          <w:b/>
          <w:bCs/>
          <w:sz w:val="24"/>
          <w:szCs w:val="24"/>
        </w:rPr>
        <w:t xml:space="preserve">Tribal and security gatekeeping. </w:t>
      </w:r>
      <w:r w:rsidR="00884E38" w:rsidRPr="00DB3B99">
        <w:rPr>
          <w:rFonts w:ascii="Times New Roman" w:hAnsi="Times New Roman" w:cs="Times New Roman"/>
          <w:sz w:val="24"/>
          <w:szCs w:val="24"/>
        </w:rPr>
        <w:t xml:space="preserve">In rural areas, Wasta functions through an additional mechanism of tribal and security gatekeeping. </w:t>
      </w:r>
      <w:r w:rsidR="008C6B6A" w:rsidRPr="00DB3B99">
        <w:rPr>
          <w:rFonts w:ascii="Times New Roman" w:hAnsi="Times New Roman" w:cs="Times New Roman"/>
          <w:sz w:val="24"/>
          <w:szCs w:val="24"/>
        </w:rPr>
        <w:t>CSOs</w:t>
      </w:r>
      <w:r w:rsidR="00884E38" w:rsidRPr="00DB3B99">
        <w:rPr>
          <w:rFonts w:ascii="Times New Roman" w:hAnsi="Times New Roman" w:cs="Times New Roman"/>
          <w:sz w:val="24"/>
          <w:szCs w:val="24"/>
        </w:rPr>
        <w:t xml:space="preserve"> must negotiate access with tribal leaders or local armed factions to function, and individuals with disabilities whose families lack tribal affiliation with the dominant authority may be systematically denied even emergency aid. A field coordinator in </w:t>
      </w:r>
      <w:proofErr w:type="spellStart"/>
      <w:r w:rsidR="00884E38" w:rsidRPr="00DB3B99">
        <w:rPr>
          <w:rFonts w:ascii="Times New Roman" w:hAnsi="Times New Roman" w:cs="Times New Roman"/>
          <w:sz w:val="24"/>
          <w:szCs w:val="24"/>
        </w:rPr>
        <w:t>Anbar</w:t>
      </w:r>
      <w:proofErr w:type="spellEnd"/>
      <w:r w:rsidR="00884E38" w:rsidRPr="00DB3B99">
        <w:rPr>
          <w:rFonts w:ascii="Times New Roman" w:hAnsi="Times New Roman" w:cs="Times New Roman"/>
          <w:sz w:val="24"/>
          <w:szCs w:val="24"/>
        </w:rPr>
        <w:t xml:space="preserve"> stated that </w:t>
      </w:r>
      <w:proofErr w:type="spellStart"/>
      <w:r w:rsidR="00884E38" w:rsidRPr="00DB3B99">
        <w:rPr>
          <w:rFonts w:ascii="Times New Roman" w:hAnsi="Times New Roman" w:cs="Times New Roman"/>
          <w:sz w:val="24"/>
          <w:szCs w:val="24"/>
        </w:rPr>
        <w:t>organisations</w:t>
      </w:r>
      <w:proofErr w:type="spellEnd"/>
      <w:r w:rsidR="00884E38" w:rsidRPr="00DB3B99">
        <w:rPr>
          <w:rFonts w:ascii="Times New Roman" w:hAnsi="Times New Roman" w:cs="Times New Roman"/>
          <w:sz w:val="24"/>
          <w:szCs w:val="24"/>
        </w:rPr>
        <w:t xml:space="preserve"> were </w:t>
      </w:r>
      <w:proofErr w:type="spellStart"/>
      <w:r w:rsidR="00884E38" w:rsidRPr="00DB3B99">
        <w:rPr>
          <w:rFonts w:ascii="Times New Roman" w:hAnsi="Times New Roman" w:cs="Times New Roman"/>
          <w:sz w:val="24"/>
          <w:szCs w:val="24"/>
        </w:rPr>
        <w:t>authorised</w:t>
      </w:r>
      <w:proofErr w:type="spellEnd"/>
      <w:r w:rsidR="00884E38" w:rsidRPr="00DB3B99">
        <w:rPr>
          <w:rFonts w:ascii="Times New Roman" w:hAnsi="Times New Roman" w:cs="Times New Roman"/>
          <w:sz w:val="24"/>
          <w:szCs w:val="24"/>
        </w:rPr>
        <w:t xml:space="preserve"> to operate solely in regions where the local sheikh provided consent; assistance could not be offered if a disabled individual's family belonged to a different tribe or was affiliated with an opposing faction. This was not an official policy but rather an operational reality, where security concerns prevailed, even at the cost of excluding qualified individuals. Access in these contexts consequently relies disproportionately on established tribal or familial ties to </w:t>
      </w:r>
      <w:r w:rsidR="008C6B6A" w:rsidRPr="00DB3B99">
        <w:rPr>
          <w:rFonts w:ascii="Times New Roman" w:hAnsi="Times New Roman" w:cs="Times New Roman"/>
          <w:sz w:val="24"/>
          <w:szCs w:val="24"/>
        </w:rPr>
        <w:t>CSO</w:t>
      </w:r>
      <w:r w:rsidR="00884E38" w:rsidRPr="00DB3B99">
        <w:rPr>
          <w:rFonts w:ascii="Times New Roman" w:hAnsi="Times New Roman" w:cs="Times New Roman"/>
          <w:sz w:val="24"/>
          <w:szCs w:val="24"/>
        </w:rPr>
        <w:t xml:space="preserve"> leadership or security personnel, exacerbating the institutional invisibility of unaffiliated individuals with disabilities.</w:t>
      </w:r>
    </w:p>
    <w:p w:rsidR="00B57CCA" w:rsidRDefault="00A36D6C" w:rsidP="00B57CCA">
      <w:pPr>
        <w:spacing w:after="240"/>
        <w:jc w:val="both"/>
        <w:rPr>
          <w:rFonts w:ascii="Times New Roman" w:hAnsi="Times New Roman" w:cs="Times New Roman"/>
          <w:sz w:val="24"/>
          <w:szCs w:val="24"/>
        </w:rPr>
      </w:pPr>
      <w:r w:rsidRPr="00DB3B99">
        <w:rPr>
          <w:rFonts w:ascii="Times New Roman" w:hAnsi="Times New Roman" w:cs="Times New Roman"/>
          <w:b/>
          <w:bCs/>
          <w:sz w:val="24"/>
          <w:szCs w:val="24"/>
        </w:rPr>
        <w:t>Digital isolation.</w:t>
      </w:r>
      <w:r w:rsidR="00D975DD" w:rsidRPr="00DB3B99">
        <w:rPr>
          <w:rFonts w:ascii="Times New Roman" w:hAnsi="Times New Roman" w:cs="Times New Roman"/>
          <w:sz w:val="24"/>
          <w:szCs w:val="24"/>
        </w:rPr>
        <w:t xml:space="preserve"> Individuals</w:t>
      </w:r>
      <w:r w:rsidR="00D975DD" w:rsidRPr="005525B3">
        <w:rPr>
          <w:rFonts w:ascii="Times New Roman" w:hAnsi="Times New Roman" w:cs="Times New Roman"/>
          <w:sz w:val="24"/>
          <w:szCs w:val="24"/>
        </w:rPr>
        <w:t xml:space="preserve"> with disabilities in rural areas experience heightened </w:t>
      </w:r>
      <w:proofErr w:type="spellStart"/>
      <w:r w:rsidR="00D975DD" w:rsidRPr="005525B3">
        <w:rPr>
          <w:rFonts w:ascii="Times New Roman" w:hAnsi="Times New Roman" w:cs="Times New Roman"/>
          <w:sz w:val="24"/>
          <w:szCs w:val="24"/>
        </w:rPr>
        <w:t>marginalisation</w:t>
      </w:r>
      <w:proofErr w:type="spellEnd"/>
      <w:r w:rsidR="00D975DD" w:rsidRPr="005525B3">
        <w:rPr>
          <w:rFonts w:ascii="Times New Roman" w:hAnsi="Times New Roman" w:cs="Times New Roman"/>
          <w:sz w:val="24"/>
          <w:szCs w:val="24"/>
        </w:rPr>
        <w:t xml:space="preserve"> due to a significant digital divide. Internet connectivity in these areas is sporadic and predominantly limited to mobile access, resulting in the digital platforms in Baghdad and Erbil serving a minimal number of rural users, while mobile information systems like the Sulaymaniyah messaging consortium fail to encompass numerous border locales. Assistive information and communication technologies possess proven potential to enhance access to resources and services for individuals with disabilities (</w:t>
      </w:r>
      <w:proofErr w:type="spellStart"/>
      <w:r w:rsidR="00D975DD" w:rsidRPr="005525B3">
        <w:rPr>
          <w:rFonts w:ascii="Times New Roman" w:hAnsi="Times New Roman" w:cs="Times New Roman"/>
          <w:sz w:val="24"/>
          <w:szCs w:val="24"/>
        </w:rPr>
        <w:t>Solanki</w:t>
      </w:r>
      <w:proofErr w:type="spellEnd"/>
      <w:r w:rsidR="00D975DD" w:rsidRPr="005525B3">
        <w:rPr>
          <w:rFonts w:ascii="Times New Roman" w:hAnsi="Times New Roman" w:cs="Times New Roman"/>
          <w:sz w:val="24"/>
          <w:szCs w:val="24"/>
        </w:rPr>
        <w:t xml:space="preserve"> &amp; </w:t>
      </w:r>
      <w:proofErr w:type="spellStart"/>
      <w:r w:rsidR="00D975DD" w:rsidRPr="005525B3">
        <w:rPr>
          <w:rFonts w:ascii="Times New Roman" w:hAnsi="Times New Roman" w:cs="Times New Roman"/>
          <w:sz w:val="24"/>
          <w:szCs w:val="24"/>
        </w:rPr>
        <w:t>Mandaliya</w:t>
      </w:r>
      <w:proofErr w:type="spellEnd"/>
      <w:r w:rsidR="00D975DD" w:rsidRPr="005525B3">
        <w:rPr>
          <w:rFonts w:ascii="Times New Roman" w:hAnsi="Times New Roman" w:cs="Times New Roman"/>
          <w:sz w:val="24"/>
          <w:szCs w:val="24"/>
        </w:rPr>
        <w:t xml:space="preserve">, 2016); however, in rural Iraq, the necessary infrastructural conditions to </w:t>
      </w:r>
      <w:proofErr w:type="spellStart"/>
      <w:r w:rsidR="00D975DD" w:rsidRPr="005525B3">
        <w:rPr>
          <w:rFonts w:ascii="Times New Roman" w:hAnsi="Times New Roman" w:cs="Times New Roman"/>
          <w:sz w:val="24"/>
          <w:szCs w:val="24"/>
        </w:rPr>
        <w:t>actualise</w:t>
      </w:r>
      <w:proofErr w:type="spellEnd"/>
      <w:r w:rsidR="00D975DD" w:rsidRPr="005525B3">
        <w:rPr>
          <w:rFonts w:ascii="Times New Roman" w:hAnsi="Times New Roman" w:cs="Times New Roman"/>
          <w:sz w:val="24"/>
          <w:szCs w:val="24"/>
        </w:rPr>
        <w:t xml:space="preserve"> this potential are predominantly lacking, and leaving rural persons with disabilities digitally excluded from information available to their urban counterparts.</w:t>
      </w:r>
      <w:r w:rsidRPr="005525B3">
        <w:rPr>
          <w:rFonts w:ascii="Times New Roman" w:hAnsi="Times New Roman" w:cs="Times New Roman"/>
          <w:sz w:val="24"/>
          <w:szCs w:val="24"/>
        </w:rPr>
        <w:t xml:space="preserve"> </w:t>
      </w:r>
    </w:p>
    <w:p w:rsidR="00B57CCA" w:rsidRDefault="003F1785" w:rsidP="00B57CCA">
      <w:pPr>
        <w:spacing w:after="240"/>
        <w:jc w:val="both"/>
        <w:rPr>
          <w:rFonts w:ascii="Times New Roman" w:hAnsi="Times New Roman" w:cs="Times New Roman"/>
          <w:b/>
          <w:sz w:val="24"/>
          <w:szCs w:val="24"/>
        </w:rPr>
      </w:pPr>
      <w:r w:rsidRPr="00B57CCA">
        <w:rPr>
          <w:rFonts w:ascii="Times New Roman" w:hAnsi="Times New Roman" w:cs="Times New Roman"/>
          <w:b/>
          <w:sz w:val="24"/>
          <w:szCs w:val="24"/>
        </w:rPr>
        <w:t xml:space="preserve">CSOs Have Sought to Eliminate Government Discrimination </w:t>
      </w:r>
      <w:proofErr w:type="gramStart"/>
      <w:r w:rsidRPr="00B57CCA">
        <w:rPr>
          <w:rFonts w:ascii="Times New Roman" w:hAnsi="Times New Roman" w:cs="Times New Roman"/>
          <w:b/>
          <w:sz w:val="24"/>
          <w:szCs w:val="24"/>
        </w:rPr>
        <w:t>Against</w:t>
      </w:r>
      <w:proofErr w:type="gramEnd"/>
      <w:r w:rsidRPr="00B57CCA">
        <w:rPr>
          <w:rFonts w:ascii="Times New Roman" w:hAnsi="Times New Roman" w:cs="Times New Roman"/>
          <w:b/>
          <w:sz w:val="24"/>
          <w:szCs w:val="24"/>
        </w:rPr>
        <w:t xml:space="preserve"> PWDs</w:t>
      </w:r>
    </w:p>
    <w:p w:rsidR="00B57CCA" w:rsidRDefault="00D975DD" w:rsidP="00B57CCA">
      <w:pPr>
        <w:spacing w:after="240"/>
        <w:jc w:val="both"/>
        <w:rPr>
          <w:rFonts w:ascii="Times New Roman" w:hAnsi="Times New Roman" w:cs="Times New Roman"/>
        </w:rPr>
      </w:pPr>
      <w:r w:rsidRPr="005525B3">
        <w:rPr>
          <w:rFonts w:ascii="Times New Roman" w:hAnsi="Times New Roman" w:cs="Times New Roman"/>
        </w:rPr>
        <w:t xml:space="preserve">In post-2020 Iraq, discrimination against individuals with disabilities stems from persistent legislative </w:t>
      </w:r>
      <w:r w:rsidRPr="00DB3B99">
        <w:rPr>
          <w:rFonts w:ascii="Times New Roman" w:hAnsi="Times New Roman" w:cs="Times New Roman"/>
        </w:rPr>
        <w:t xml:space="preserve">deficiencies, the informal wasta system, and the realignment of state security priorities. </w:t>
      </w:r>
      <w:r w:rsidR="008C6B6A" w:rsidRPr="00DB3B99">
        <w:rPr>
          <w:rFonts w:ascii="Times New Roman" w:hAnsi="Times New Roman" w:cs="Times New Roman"/>
        </w:rPr>
        <w:t>CSOs</w:t>
      </w:r>
      <w:r w:rsidRPr="00DB3B99">
        <w:rPr>
          <w:rFonts w:ascii="Times New Roman" w:hAnsi="Times New Roman" w:cs="Times New Roman"/>
        </w:rPr>
        <w:t xml:space="preserve"> have </w:t>
      </w:r>
      <w:proofErr w:type="spellStart"/>
      <w:r w:rsidRPr="00DB3B99">
        <w:rPr>
          <w:rFonts w:ascii="Times New Roman" w:hAnsi="Times New Roman" w:cs="Times New Roman"/>
        </w:rPr>
        <w:t>endeavoured</w:t>
      </w:r>
      <w:proofErr w:type="spellEnd"/>
      <w:r w:rsidRPr="00DB3B99">
        <w:rPr>
          <w:rFonts w:ascii="Times New Roman" w:hAnsi="Times New Roman" w:cs="Times New Roman"/>
        </w:rPr>
        <w:t xml:space="preserve"> to address these shortcomings through various complementary strategies.</w:t>
      </w:r>
    </w:p>
    <w:p w:rsidR="005B60D6" w:rsidRDefault="00A36D6C" w:rsidP="00B57CCA">
      <w:pPr>
        <w:spacing w:after="240"/>
        <w:jc w:val="both"/>
        <w:rPr>
          <w:rFonts w:ascii="Times New Roman" w:hAnsi="Times New Roman" w:cs="Times New Roman"/>
          <w:b/>
        </w:rPr>
      </w:pPr>
      <w:proofErr w:type="gramStart"/>
      <w:r w:rsidRPr="00B57CCA">
        <w:rPr>
          <w:rFonts w:ascii="Times New Roman" w:hAnsi="Times New Roman" w:cs="Times New Roman"/>
          <w:b/>
        </w:rPr>
        <w:t>Addressing the State’s Absence</w:t>
      </w:r>
      <w:r w:rsidR="00D975DD" w:rsidRPr="00B57CCA">
        <w:rPr>
          <w:rFonts w:ascii="Times New Roman" w:hAnsi="Times New Roman" w:cs="Times New Roman"/>
          <w:b/>
        </w:rPr>
        <w:t>.</w:t>
      </w:r>
      <w:proofErr w:type="gramEnd"/>
    </w:p>
    <w:p w:rsidR="00B57CCA" w:rsidRPr="00B57CCA" w:rsidRDefault="00B57CCA" w:rsidP="00B57CCA">
      <w:pPr>
        <w:jc w:val="both"/>
        <w:rPr>
          <w:rFonts w:ascii="Times New Roman" w:hAnsi="Times New Roman" w:cs="Times New Roman"/>
          <w:b/>
        </w:rPr>
      </w:pPr>
    </w:p>
    <w:p w:rsidR="005B60D6" w:rsidRPr="00DB3B99" w:rsidRDefault="008C6B6A" w:rsidP="005525B3">
      <w:pPr>
        <w:pStyle w:val="Heading2"/>
        <w:spacing w:before="0" w:after="240"/>
        <w:jc w:val="both"/>
        <w:rPr>
          <w:rFonts w:ascii="Times New Roman" w:hAnsi="Times New Roman" w:cs="Times New Roman"/>
          <w:b w:val="0"/>
          <w:bCs w:val="0"/>
          <w:color w:val="auto"/>
        </w:rPr>
      </w:pPr>
      <w:r w:rsidRPr="00DB3B99">
        <w:rPr>
          <w:rFonts w:ascii="Times New Roman" w:hAnsi="Times New Roman" w:cs="Times New Roman"/>
          <w:b w:val="0"/>
          <w:bCs w:val="0"/>
          <w:color w:val="auto"/>
        </w:rPr>
        <w:t>CSOs</w:t>
      </w:r>
      <w:r w:rsidR="005B60D6" w:rsidRPr="00DB3B99">
        <w:rPr>
          <w:rFonts w:ascii="Times New Roman" w:hAnsi="Times New Roman" w:cs="Times New Roman"/>
          <w:b w:val="0"/>
          <w:bCs w:val="0"/>
          <w:color w:val="auto"/>
        </w:rPr>
        <w:t xml:space="preserve"> are the primary providers of humanitarian aid in urban informal settlements and rural areas; the approximately 6,339 registered CSOs in the Kurdistan Region of Iraq serve as the exclusive access point for numerous </w:t>
      </w:r>
      <w:proofErr w:type="spellStart"/>
      <w:r w:rsidR="005B60D6" w:rsidRPr="00DB3B99">
        <w:rPr>
          <w:rFonts w:ascii="Times New Roman" w:hAnsi="Times New Roman" w:cs="Times New Roman"/>
          <w:b w:val="0"/>
          <w:bCs w:val="0"/>
          <w:color w:val="auto"/>
        </w:rPr>
        <w:t>marginalised</w:t>
      </w:r>
      <w:proofErr w:type="spellEnd"/>
      <w:r w:rsidR="005B60D6" w:rsidRPr="00DB3B99">
        <w:rPr>
          <w:rFonts w:ascii="Times New Roman" w:hAnsi="Times New Roman" w:cs="Times New Roman"/>
          <w:b w:val="0"/>
          <w:bCs w:val="0"/>
          <w:color w:val="auto"/>
        </w:rPr>
        <w:t xml:space="preserve"> individuals. The legal framework regulating civil society in Iraq is based on the civil-law tradition, primarily defined by Law No. 12 of 2010 concerning Non-Governmental </w:t>
      </w:r>
      <w:proofErr w:type="spellStart"/>
      <w:r w:rsidR="005B60D6" w:rsidRPr="00DB3B99">
        <w:rPr>
          <w:rFonts w:ascii="Times New Roman" w:hAnsi="Times New Roman" w:cs="Times New Roman"/>
          <w:b w:val="0"/>
          <w:bCs w:val="0"/>
          <w:color w:val="auto"/>
        </w:rPr>
        <w:t>Organisations</w:t>
      </w:r>
      <w:proofErr w:type="spellEnd"/>
      <w:r w:rsidR="005B60D6" w:rsidRPr="00DB3B99">
        <w:rPr>
          <w:rFonts w:ascii="Times New Roman" w:hAnsi="Times New Roman" w:cs="Times New Roman"/>
          <w:b w:val="0"/>
          <w:bCs w:val="0"/>
          <w:color w:val="auto"/>
        </w:rPr>
        <w:t xml:space="preserve">, </w:t>
      </w:r>
      <w:r w:rsidR="005B60D6" w:rsidRPr="00DB3B99">
        <w:rPr>
          <w:rFonts w:ascii="Times New Roman" w:hAnsi="Times New Roman" w:cs="Times New Roman"/>
          <w:b w:val="0"/>
          <w:bCs w:val="0"/>
          <w:color w:val="auto"/>
        </w:rPr>
        <w:lastRenderedPageBreak/>
        <w:t xml:space="preserve">alongside a distinct NGO law in the Kurdistan Region (Law No. 1 of 2011), which provides the structural basis for </w:t>
      </w:r>
      <w:r w:rsidRPr="00DB3B99">
        <w:rPr>
          <w:rFonts w:ascii="Times New Roman" w:hAnsi="Times New Roman" w:cs="Times New Roman"/>
          <w:b w:val="0"/>
          <w:bCs w:val="0"/>
          <w:color w:val="auto"/>
        </w:rPr>
        <w:t>CSO</w:t>
      </w:r>
      <w:r w:rsidR="005B60D6" w:rsidRPr="00DB3B99">
        <w:rPr>
          <w:rFonts w:ascii="Times New Roman" w:hAnsi="Times New Roman" w:cs="Times New Roman"/>
          <w:b w:val="0"/>
          <w:bCs w:val="0"/>
          <w:color w:val="auto"/>
        </w:rPr>
        <w:t xml:space="preserve"> activities.</w:t>
      </w:r>
    </w:p>
    <w:p w:rsidR="005B60D6"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Making the Invisible Visible</w:t>
      </w:r>
    </w:p>
    <w:p w:rsidR="005B60D6" w:rsidRPr="00DB3B99" w:rsidRDefault="008C6B6A" w:rsidP="005525B3">
      <w:pPr>
        <w:pStyle w:val="Heading2"/>
        <w:spacing w:before="0" w:after="240"/>
        <w:jc w:val="both"/>
        <w:rPr>
          <w:rFonts w:ascii="Times New Roman" w:hAnsi="Times New Roman" w:cs="Times New Roman"/>
          <w:b w:val="0"/>
          <w:bCs w:val="0"/>
          <w:color w:val="auto"/>
        </w:rPr>
      </w:pPr>
      <w:r w:rsidRPr="00DB3B99">
        <w:rPr>
          <w:rFonts w:ascii="Times New Roman" w:hAnsi="Times New Roman" w:cs="Times New Roman"/>
          <w:b w:val="0"/>
          <w:bCs w:val="0"/>
          <w:color w:val="auto"/>
        </w:rPr>
        <w:t>CSOs</w:t>
      </w:r>
      <w:r w:rsidR="005B60D6" w:rsidRPr="00DB3B99">
        <w:rPr>
          <w:rFonts w:ascii="Times New Roman" w:hAnsi="Times New Roman" w:cs="Times New Roman"/>
          <w:b w:val="0"/>
          <w:bCs w:val="0"/>
          <w:color w:val="auto"/>
        </w:rPr>
        <w:t xml:space="preserve"> strive to highlight the requirements of historically </w:t>
      </w:r>
      <w:proofErr w:type="spellStart"/>
      <w:r w:rsidR="005B60D6" w:rsidRPr="00DB3B99">
        <w:rPr>
          <w:rFonts w:ascii="Times New Roman" w:hAnsi="Times New Roman" w:cs="Times New Roman"/>
          <w:b w:val="0"/>
          <w:bCs w:val="0"/>
          <w:color w:val="auto"/>
        </w:rPr>
        <w:t>marginalised</w:t>
      </w:r>
      <w:proofErr w:type="spellEnd"/>
      <w:r w:rsidR="005B60D6" w:rsidRPr="00DB3B99">
        <w:rPr>
          <w:rFonts w:ascii="Times New Roman" w:hAnsi="Times New Roman" w:cs="Times New Roman"/>
          <w:b w:val="0"/>
          <w:bCs w:val="0"/>
          <w:color w:val="auto"/>
        </w:rPr>
        <w:t xml:space="preserve"> subgroups overlooked by the state. Recent studies and advocacy efforts have underscored the heightened prevalence of identity-based violence experienced by individuals with communication disabilities, who often lack accessible avenues for reporting abuse to governmental entities (Jagoe et al., 2023). </w:t>
      </w:r>
      <w:r w:rsidRPr="00DB3B99">
        <w:rPr>
          <w:rFonts w:ascii="Times New Roman" w:hAnsi="Times New Roman" w:cs="Times New Roman"/>
          <w:b w:val="0"/>
          <w:bCs w:val="0"/>
          <w:color w:val="auto"/>
        </w:rPr>
        <w:t>CSOs</w:t>
      </w:r>
      <w:r w:rsidR="005B60D6" w:rsidRPr="00DB3B99">
        <w:rPr>
          <w:rFonts w:ascii="Times New Roman" w:hAnsi="Times New Roman" w:cs="Times New Roman"/>
          <w:b w:val="0"/>
          <w:bCs w:val="0"/>
          <w:color w:val="auto"/>
        </w:rPr>
        <w:t xml:space="preserve"> are progressively </w:t>
      </w:r>
      <w:proofErr w:type="spellStart"/>
      <w:r w:rsidR="005B60D6" w:rsidRPr="00DB3B99">
        <w:rPr>
          <w:rFonts w:ascii="Times New Roman" w:hAnsi="Times New Roman" w:cs="Times New Roman"/>
          <w:b w:val="0"/>
          <w:bCs w:val="0"/>
          <w:color w:val="auto"/>
        </w:rPr>
        <w:t>utilising</w:t>
      </w:r>
      <w:proofErr w:type="spellEnd"/>
      <w:r w:rsidR="005B60D6" w:rsidRPr="00DB3B99">
        <w:rPr>
          <w:rFonts w:ascii="Times New Roman" w:hAnsi="Times New Roman" w:cs="Times New Roman"/>
          <w:b w:val="0"/>
          <w:bCs w:val="0"/>
          <w:color w:val="auto"/>
        </w:rPr>
        <w:t xml:space="preserve"> </w:t>
      </w:r>
      <w:proofErr w:type="spellStart"/>
      <w:r w:rsidR="005B60D6" w:rsidRPr="00DB3B99">
        <w:rPr>
          <w:rFonts w:ascii="Times New Roman" w:hAnsi="Times New Roman" w:cs="Times New Roman"/>
          <w:b w:val="0"/>
          <w:bCs w:val="0"/>
          <w:color w:val="auto"/>
        </w:rPr>
        <w:t>specialised</w:t>
      </w:r>
      <w:proofErr w:type="spellEnd"/>
      <w:r w:rsidR="005B60D6" w:rsidRPr="00DB3B99">
        <w:rPr>
          <w:rFonts w:ascii="Times New Roman" w:hAnsi="Times New Roman" w:cs="Times New Roman"/>
          <w:b w:val="0"/>
          <w:bCs w:val="0"/>
          <w:color w:val="auto"/>
        </w:rPr>
        <w:t>, communication-friendly data-collection instruments to establish the evidentiary foundation necessary for holding the state accountable for disability rights.</w:t>
      </w:r>
    </w:p>
    <w:p w:rsidR="005B60D6" w:rsidRPr="00DB3B99" w:rsidRDefault="005B60D6" w:rsidP="005525B3">
      <w:pPr>
        <w:pStyle w:val="Heading2"/>
        <w:spacing w:before="0" w:after="240"/>
        <w:jc w:val="both"/>
        <w:rPr>
          <w:rFonts w:ascii="Times New Roman" w:hAnsi="Times New Roman" w:cs="Times New Roman"/>
          <w:b w:val="0"/>
          <w:bCs w:val="0"/>
          <w:color w:val="auto"/>
        </w:rPr>
      </w:pPr>
      <w:r w:rsidRPr="00DB3B99">
        <w:rPr>
          <w:rFonts w:ascii="Times New Roman" w:hAnsi="Times New Roman" w:cs="Times New Roman"/>
          <w:b w:val="0"/>
          <w:bCs w:val="0"/>
          <w:color w:val="auto"/>
        </w:rPr>
        <w:t xml:space="preserve">Modern CSO advocacy has increasingly embraced digital evidence platforms. Organisations like transitional justice institutes and human rights documentation teams have methodically gathered evidence of disability-related abuses during the ISIS occupation and the post-2017 era, creating digital archives available to legal professionals and advocacy </w:t>
      </w:r>
      <w:proofErr w:type="spellStart"/>
      <w:r w:rsidRPr="00DB3B99">
        <w:rPr>
          <w:rFonts w:ascii="Times New Roman" w:hAnsi="Times New Roman" w:cs="Times New Roman"/>
          <w:b w:val="0"/>
          <w:bCs w:val="0"/>
          <w:color w:val="auto"/>
        </w:rPr>
        <w:t>organisations</w:t>
      </w:r>
      <w:proofErr w:type="spellEnd"/>
      <w:r w:rsidRPr="00DB3B99">
        <w:rPr>
          <w:rFonts w:ascii="Times New Roman" w:hAnsi="Times New Roman" w:cs="Times New Roman"/>
          <w:b w:val="0"/>
          <w:bCs w:val="0"/>
          <w:color w:val="auto"/>
        </w:rPr>
        <w:t xml:space="preserve"> (</w:t>
      </w:r>
      <w:proofErr w:type="spellStart"/>
      <w:r w:rsidRPr="00DB3B99">
        <w:rPr>
          <w:rFonts w:ascii="Times New Roman" w:hAnsi="Times New Roman" w:cs="Times New Roman"/>
          <w:b w:val="0"/>
          <w:bCs w:val="0"/>
          <w:color w:val="auto"/>
        </w:rPr>
        <w:t>Castelos</w:t>
      </w:r>
      <w:proofErr w:type="spellEnd"/>
      <w:r w:rsidRPr="00DB3B99">
        <w:rPr>
          <w:rFonts w:ascii="Times New Roman" w:hAnsi="Times New Roman" w:cs="Times New Roman"/>
          <w:b w:val="0"/>
          <w:bCs w:val="0"/>
          <w:color w:val="auto"/>
        </w:rPr>
        <w:t>, 2021). This evidence-based methodology represents a significant advancement, transitioning from anecdotal narratives to systematic, digitally substantiated assertions. By mid-2026, these initiatives had recorded 847 occurrences of disability-related violence or service denial from 2015 to 2018, providing a foundation for future transitional justice mechanisms.</w:t>
      </w:r>
    </w:p>
    <w:p w:rsidR="006B7FBB"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Advocating for Rights-Based Reform</w:t>
      </w:r>
    </w:p>
    <w:p w:rsidR="005B60D6" w:rsidRPr="005525B3" w:rsidRDefault="005B60D6" w:rsidP="005525B3">
      <w:pPr>
        <w:pStyle w:val="Heading1"/>
        <w:spacing w:before="0" w:after="240"/>
        <w:jc w:val="both"/>
        <w:rPr>
          <w:rFonts w:ascii="Times New Roman" w:hAnsi="Times New Roman" w:cs="Times New Roman"/>
          <w:b w:val="0"/>
          <w:bCs w:val="0"/>
          <w:color w:val="auto"/>
          <w:sz w:val="24"/>
          <w:szCs w:val="24"/>
        </w:rPr>
      </w:pPr>
      <w:r w:rsidRPr="005525B3">
        <w:rPr>
          <w:rFonts w:ascii="Times New Roman" w:hAnsi="Times New Roman" w:cs="Times New Roman"/>
          <w:b w:val="0"/>
          <w:bCs w:val="0"/>
          <w:color w:val="auto"/>
          <w:sz w:val="24"/>
          <w:szCs w:val="24"/>
        </w:rPr>
        <w:t>CSO activists are urging the government to transition from a charity-oriented framework to a rights-based approach aligned with the CRPD. The digitisation of evidence and the systematic collection of data aim to compel the state to recognise its constitutional obligations to all disabled citizens, regardless of political affiliation.</w:t>
      </w:r>
    </w:p>
    <w:p w:rsidR="006B7FBB" w:rsidRPr="005525B3" w:rsidRDefault="00A36D6C" w:rsidP="005525B3">
      <w:pPr>
        <w:pStyle w:val="Heading1"/>
        <w:spacing w:before="0" w:after="240"/>
        <w:jc w:val="both"/>
        <w:rPr>
          <w:rFonts w:ascii="Times New Roman" w:hAnsi="Times New Roman" w:cs="Times New Roman"/>
          <w:color w:val="auto"/>
          <w:sz w:val="24"/>
          <w:szCs w:val="24"/>
        </w:rPr>
      </w:pPr>
      <w:r w:rsidRPr="005525B3">
        <w:rPr>
          <w:rFonts w:ascii="Times New Roman" w:hAnsi="Times New Roman" w:cs="Times New Roman"/>
          <w:color w:val="auto"/>
          <w:sz w:val="24"/>
          <w:szCs w:val="24"/>
        </w:rPr>
        <w:t>Challenges, Opportunities, and Future Outlook</w:t>
      </w:r>
    </w:p>
    <w:p w:rsidR="006B7FBB"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t>Synthesis of Challenges</w:t>
      </w:r>
    </w:p>
    <w:p w:rsidR="00A230F2" w:rsidRPr="005525B3" w:rsidRDefault="00A230F2"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In post-2020 Iraq,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function in an environment where the prevalence of disability is approximately 7.1% among conflict-affected populations, yet less than 4% of official development assistance in 2023 was designated for disability inclusion. Operating within a hybrid political framework, these organisations face significant structural and political obstacles, with the wasta system being the most prevalent. Five primary challenges merit attention:</w:t>
      </w:r>
    </w:p>
    <w:p w:rsidR="00A230F2" w:rsidRPr="005525B3" w:rsidRDefault="00A230F2" w:rsidP="00DB3B99">
      <w:pPr>
        <w:pStyle w:val="Heading2"/>
        <w:spacing w:before="0" w:after="240"/>
        <w:ind w:left="360" w:hanging="360"/>
        <w:jc w:val="both"/>
        <w:rPr>
          <w:rFonts w:ascii="Times New Roman" w:hAnsi="Times New Roman" w:cs="Times New Roman"/>
          <w:b w:val="0"/>
          <w:bCs w:val="0"/>
          <w:color w:val="auto"/>
        </w:rPr>
      </w:pPr>
      <w:r w:rsidRPr="005525B3">
        <w:rPr>
          <w:rFonts w:ascii="Times New Roman" w:hAnsi="Times New Roman" w:cs="Times New Roman"/>
          <w:b w:val="0"/>
          <w:bCs w:val="0"/>
          <w:color w:val="auto"/>
        </w:rPr>
        <w:t>1. Accountability in service provision and the phenomenon of "</w:t>
      </w:r>
      <w:proofErr w:type="spellStart"/>
      <w:r w:rsidRPr="005525B3">
        <w:rPr>
          <w:rFonts w:ascii="Times New Roman" w:hAnsi="Times New Roman" w:cs="Times New Roman"/>
          <w:b w:val="0"/>
          <w:bCs w:val="0"/>
          <w:color w:val="auto"/>
        </w:rPr>
        <w:t>NGOisation</w:t>
      </w:r>
      <w:proofErr w:type="spellEnd"/>
      <w:r w:rsidRPr="005525B3">
        <w:rPr>
          <w:rFonts w:ascii="Times New Roman" w:hAnsi="Times New Roman" w:cs="Times New Roman"/>
          <w:b w:val="0"/>
          <w:bCs w:val="0"/>
          <w:color w:val="auto"/>
        </w:rPr>
        <w:t xml:space="preserve">. While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address governmental deficiencies, their </w:t>
      </w:r>
      <w:proofErr w:type="spellStart"/>
      <w:r w:rsidRPr="005525B3">
        <w:rPr>
          <w:rFonts w:ascii="Times New Roman" w:hAnsi="Times New Roman" w:cs="Times New Roman"/>
          <w:b w:val="0"/>
          <w:bCs w:val="0"/>
          <w:color w:val="auto"/>
        </w:rPr>
        <w:t>professionalisation</w:t>
      </w:r>
      <w:proofErr w:type="spellEnd"/>
      <w:r w:rsidRPr="005525B3">
        <w:rPr>
          <w:rFonts w:ascii="Times New Roman" w:hAnsi="Times New Roman" w:cs="Times New Roman"/>
          <w:b w:val="0"/>
          <w:bCs w:val="0"/>
          <w:color w:val="auto"/>
        </w:rPr>
        <w:t xml:space="preserve"> may result in disconnected "pilot" initiatives that lack integration within a cohesive national policy or budget (Walton &amp; Aslam, 2024).</w:t>
      </w:r>
    </w:p>
    <w:p w:rsidR="00A230F2" w:rsidRPr="005525B3" w:rsidRDefault="00A230F2" w:rsidP="00DB3B99">
      <w:pPr>
        <w:pStyle w:val="Heading2"/>
        <w:spacing w:before="0" w:after="240"/>
        <w:ind w:left="360" w:hanging="360"/>
        <w:jc w:val="both"/>
        <w:rPr>
          <w:rFonts w:ascii="Times New Roman" w:hAnsi="Times New Roman" w:cs="Times New Roman"/>
          <w:b w:val="0"/>
          <w:bCs w:val="0"/>
          <w:color w:val="auto"/>
        </w:rPr>
      </w:pPr>
      <w:r w:rsidRPr="005525B3">
        <w:rPr>
          <w:rFonts w:ascii="Times New Roman" w:hAnsi="Times New Roman" w:cs="Times New Roman"/>
          <w:b w:val="0"/>
          <w:bCs w:val="0"/>
          <w:color w:val="auto"/>
        </w:rPr>
        <w:t>2. The financial shortfall. In populations with a disability prevalence of 7.1%, the allocation of under 4% of ODA to disability inclusion in 2023 signifies a significant disparity between necessity and funding.</w:t>
      </w:r>
    </w:p>
    <w:p w:rsidR="00A230F2" w:rsidRPr="005525B3" w:rsidRDefault="00A230F2" w:rsidP="00DB3B99">
      <w:pPr>
        <w:pStyle w:val="Heading2"/>
        <w:spacing w:before="0" w:after="240"/>
        <w:ind w:left="360" w:hanging="36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3. </w:t>
      </w:r>
      <w:proofErr w:type="spellStart"/>
      <w:r w:rsidRPr="005525B3">
        <w:rPr>
          <w:rFonts w:ascii="Times New Roman" w:hAnsi="Times New Roman" w:cs="Times New Roman"/>
          <w:b w:val="0"/>
          <w:bCs w:val="0"/>
          <w:color w:val="auto"/>
        </w:rPr>
        <w:t>Wasta</w:t>
      </w:r>
      <w:proofErr w:type="spellEnd"/>
      <w:r w:rsidRPr="005525B3">
        <w:rPr>
          <w:rFonts w:ascii="Times New Roman" w:hAnsi="Times New Roman" w:cs="Times New Roman"/>
          <w:b w:val="0"/>
          <w:bCs w:val="0"/>
          <w:color w:val="auto"/>
        </w:rPr>
        <w:t xml:space="preserve"> and political </w:t>
      </w:r>
      <w:proofErr w:type="spellStart"/>
      <w:r w:rsidRPr="005525B3">
        <w:rPr>
          <w:rFonts w:ascii="Times New Roman" w:hAnsi="Times New Roman" w:cs="Times New Roman"/>
          <w:b w:val="0"/>
          <w:bCs w:val="0"/>
          <w:color w:val="auto"/>
        </w:rPr>
        <w:t>marginalisation</w:t>
      </w:r>
      <w:proofErr w:type="spellEnd"/>
      <w:r w:rsidRPr="005525B3">
        <w:rPr>
          <w:rFonts w:ascii="Times New Roman" w:hAnsi="Times New Roman" w:cs="Times New Roman"/>
          <w:b w:val="0"/>
          <w:bCs w:val="0"/>
          <w:color w:val="auto"/>
        </w:rPr>
        <w:t>. The widespread wasta system renders individuals with disabilities, who lack elite connections, effectively invisible to formal welfare provisions, ensuring that resources are distributed based on political affiliation rather than necessity (</w:t>
      </w:r>
      <w:proofErr w:type="spellStart"/>
      <w:r w:rsidRPr="005525B3">
        <w:rPr>
          <w:rFonts w:ascii="Times New Roman" w:hAnsi="Times New Roman" w:cs="Times New Roman"/>
          <w:b w:val="0"/>
          <w:bCs w:val="0"/>
          <w:color w:val="auto"/>
        </w:rPr>
        <w:t>Khawam</w:t>
      </w:r>
      <w:proofErr w:type="spellEnd"/>
      <w:r w:rsidRPr="005525B3">
        <w:rPr>
          <w:rFonts w:ascii="Times New Roman" w:hAnsi="Times New Roman" w:cs="Times New Roman"/>
          <w:b w:val="0"/>
          <w:bCs w:val="0"/>
          <w:color w:val="auto"/>
        </w:rPr>
        <w:t xml:space="preserve"> &amp; </w:t>
      </w:r>
      <w:proofErr w:type="spellStart"/>
      <w:r w:rsidRPr="005525B3">
        <w:rPr>
          <w:rFonts w:ascii="Times New Roman" w:hAnsi="Times New Roman" w:cs="Times New Roman"/>
          <w:b w:val="0"/>
          <w:bCs w:val="0"/>
          <w:color w:val="auto"/>
        </w:rPr>
        <w:t>Akerkar</w:t>
      </w:r>
      <w:proofErr w:type="spellEnd"/>
      <w:r w:rsidRPr="005525B3">
        <w:rPr>
          <w:rFonts w:ascii="Times New Roman" w:hAnsi="Times New Roman" w:cs="Times New Roman"/>
          <w:b w:val="0"/>
          <w:bCs w:val="0"/>
          <w:color w:val="auto"/>
        </w:rPr>
        <w:t>, 2023; Rudi, 2026).</w:t>
      </w:r>
    </w:p>
    <w:p w:rsidR="00A230F2" w:rsidRPr="005525B3" w:rsidRDefault="00A230F2" w:rsidP="00DB3B99">
      <w:pPr>
        <w:pStyle w:val="Heading2"/>
        <w:spacing w:before="0" w:after="240"/>
        <w:ind w:left="360" w:hanging="36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4. Deficiencies in logistics and coordination. The lack of accessible transport and insufficient collaboration between the Ministry of Health and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create a self-reinforcing cycle of unmet need.</w:t>
      </w:r>
    </w:p>
    <w:p w:rsidR="00A230F2" w:rsidRDefault="00A230F2" w:rsidP="00DB3B99">
      <w:pPr>
        <w:pStyle w:val="Heading2"/>
        <w:spacing w:before="0" w:after="240"/>
        <w:ind w:left="360" w:hanging="360"/>
        <w:jc w:val="both"/>
        <w:rPr>
          <w:rFonts w:ascii="Times New Roman" w:hAnsi="Times New Roman" w:cs="Times New Roman"/>
          <w:b w:val="0"/>
          <w:bCs w:val="0"/>
          <w:color w:val="auto"/>
        </w:rPr>
      </w:pPr>
      <w:r w:rsidRPr="005525B3">
        <w:rPr>
          <w:rFonts w:ascii="Times New Roman" w:hAnsi="Times New Roman" w:cs="Times New Roman"/>
          <w:b w:val="0"/>
          <w:bCs w:val="0"/>
          <w:color w:val="auto"/>
        </w:rPr>
        <w:t>5. Intersectional protection risks. Subgroups such as individuals with communication disabilities face markedly heightened risks of identity-based violence (Jagoe et al., 2023).</w:t>
      </w:r>
    </w:p>
    <w:p w:rsidR="00B57CCA" w:rsidRPr="005525B3" w:rsidRDefault="00B57CCA" w:rsidP="00DB3B99">
      <w:pPr>
        <w:pStyle w:val="Heading2"/>
        <w:spacing w:before="0" w:after="240"/>
        <w:ind w:left="360" w:hanging="360"/>
        <w:jc w:val="both"/>
        <w:rPr>
          <w:rFonts w:ascii="Times New Roman" w:hAnsi="Times New Roman" w:cs="Times New Roman"/>
          <w:b w:val="0"/>
          <w:bCs w:val="0"/>
          <w:color w:val="auto"/>
        </w:rPr>
      </w:pPr>
    </w:p>
    <w:p w:rsidR="006B7FBB" w:rsidRPr="00DB3B99" w:rsidRDefault="00A36D6C" w:rsidP="005525B3">
      <w:pPr>
        <w:pStyle w:val="Heading2"/>
        <w:spacing w:before="0" w:after="240"/>
        <w:jc w:val="both"/>
        <w:rPr>
          <w:rFonts w:ascii="Times New Roman" w:hAnsi="Times New Roman" w:cs="Times New Roman"/>
          <w:color w:val="auto"/>
        </w:rPr>
      </w:pPr>
      <w:r w:rsidRPr="00DB3B99">
        <w:rPr>
          <w:rFonts w:ascii="Times New Roman" w:hAnsi="Times New Roman" w:cs="Times New Roman"/>
          <w:color w:val="auto"/>
        </w:rPr>
        <w:lastRenderedPageBreak/>
        <w:t>Emerging Opportunities and Positive Trajectories</w:t>
      </w:r>
    </w:p>
    <w:p w:rsidR="00A230F2" w:rsidRPr="005525B3" w:rsidRDefault="00A230F2" w:rsidP="005525B3">
      <w:pPr>
        <w:pStyle w:val="Heading2"/>
        <w:spacing w:before="0" w:after="240"/>
        <w:jc w:val="both"/>
        <w:rPr>
          <w:rFonts w:ascii="Times New Roman" w:hAnsi="Times New Roman" w:cs="Times New Roman"/>
          <w:b w:val="0"/>
          <w:bCs w:val="0"/>
          <w:color w:val="auto"/>
        </w:rPr>
      </w:pPr>
      <w:r w:rsidRPr="005525B3">
        <w:rPr>
          <w:rFonts w:ascii="Times New Roman" w:hAnsi="Times New Roman" w:cs="Times New Roman"/>
          <w:b w:val="0"/>
          <w:bCs w:val="0"/>
          <w:color w:val="auto"/>
        </w:rPr>
        <w:t>Evidence from 2024–2026 reveals opportunities that were less apparent in earlier periods. Five developments warrant consideration:</w:t>
      </w:r>
    </w:p>
    <w:p w:rsidR="00A230F2" w:rsidRPr="005525B3" w:rsidRDefault="00A230F2" w:rsidP="00DB3B99">
      <w:pPr>
        <w:pStyle w:val="Heading2"/>
        <w:spacing w:before="0" w:after="240"/>
        <w:ind w:left="270" w:hanging="27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1. Shift to rights-based service frameworks. Prominent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have initiated a methodical transition from charitable models to </w:t>
      </w:r>
      <w:proofErr w:type="spellStart"/>
      <w:r w:rsidRPr="005525B3">
        <w:rPr>
          <w:rFonts w:ascii="Times New Roman" w:hAnsi="Times New Roman" w:cs="Times New Roman"/>
          <w:b w:val="0"/>
          <w:bCs w:val="0"/>
          <w:color w:val="auto"/>
        </w:rPr>
        <w:t>professionalised</w:t>
      </w:r>
      <w:proofErr w:type="spellEnd"/>
      <w:r w:rsidRPr="005525B3">
        <w:rPr>
          <w:rFonts w:ascii="Times New Roman" w:hAnsi="Times New Roman" w:cs="Times New Roman"/>
          <w:b w:val="0"/>
          <w:bCs w:val="0"/>
          <w:color w:val="auto"/>
        </w:rPr>
        <w:t>, rights-based service frameworks that align with Sustainable Development Goals 16 and 5, thereby enhancing protections against identity-based violence (United Nations, 2015).</w:t>
      </w:r>
    </w:p>
    <w:p w:rsidR="00A230F2" w:rsidRPr="005525B3" w:rsidRDefault="00A230F2" w:rsidP="00DB3B99">
      <w:pPr>
        <w:pStyle w:val="Heading2"/>
        <w:spacing w:before="0" w:after="240"/>
        <w:ind w:left="270" w:hanging="27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2. Digital innovation and data </w:t>
      </w:r>
      <w:proofErr w:type="spellStart"/>
      <w:r w:rsidRPr="005525B3">
        <w:rPr>
          <w:rFonts w:ascii="Times New Roman" w:hAnsi="Times New Roman" w:cs="Times New Roman"/>
          <w:b w:val="0"/>
          <w:bCs w:val="0"/>
          <w:color w:val="auto"/>
        </w:rPr>
        <w:t>democratisation</w:t>
      </w:r>
      <w:proofErr w:type="spellEnd"/>
      <w:r w:rsidRPr="005525B3">
        <w:rPr>
          <w:rFonts w:ascii="Times New Roman" w:hAnsi="Times New Roman" w:cs="Times New Roman"/>
          <w:b w:val="0"/>
          <w:bCs w:val="0"/>
          <w:color w:val="auto"/>
        </w:rPr>
        <w:t xml:space="preserve">. A significant number of leading </w:t>
      </w:r>
      <w:r w:rsidR="008C6B6A" w:rsidRPr="005525B3">
        <w:rPr>
          <w:rFonts w:ascii="Times New Roman" w:hAnsi="Times New Roman" w:cs="Times New Roman"/>
          <w:b w:val="0"/>
          <w:bCs w:val="0"/>
          <w:color w:val="auto"/>
        </w:rPr>
        <w:t>CSOs</w:t>
      </w:r>
      <w:r w:rsidRPr="005525B3">
        <w:rPr>
          <w:rFonts w:ascii="Times New Roman" w:hAnsi="Times New Roman" w:cs="Times New Roman"/>
          <w:b w:val="0"/>
          <w:bCs w:val="0"/>
          <w:color w:val="auto"/>
        </w:rPr>
        <w:t xml:space="preserve"> now utilise digital beneficiary-management systems, facilitating evidence-based advocacy, transparent impact evaluation, and the identification of service deficiencies, while fostering new opportunities for the engagement and participation of individuals with disabilities in governance.</w:t>
      </w:r>
    </w:p>
    <w:p w:rsidR="00A230F2" w:rsidRPr="005525B3" w:rsidRDefault="00A230F2" w:rsidP="00DB3B99">
      <w:pPr>
        <w:pStyle w:val="Heading2"/>
        <w:spacing w:before="0" w:after="240"/>
        <w:ind w:left="270" w:hanging="270"/>
        <w:jc w:val="both"/>
        <w:rPr>
          <w:rFonts w:ascii="Times New Roman" w:hAnsi="Times New Roman" w:cs="Times New Roman"/>
          <w:b w:val="0"/>
          <w:bCs w:val="0"/>
          <w:color w:val="auto"/>
        </w:rPr>
      </w:pPr>
      <w:r w:rsidRPr="005525B3">
        <w:rPr>
          <w:rFonts w:ascii="Times New Roman" w:hAnsi="Times New Roman" w:cs="Times New Roman"/>
          <w:b w:val="0"/>
          <w:bCs w:val="0"/>
          <w:color w:val="auto"/>
        </w:rPr>
        <w:t xml:space="preserve">3. </w:t>
      </w:r>
      <w:proofErr w:type="spellStart"/>
      <w:r w:rsidRPr="005525B3">
        <w:rPr>
          <w:rFonts w:ascii="Times New Roman" w:hAnsi="Times New Roman" w:cs="Times New Roman"/>
          <w:b w:val="0"/>
          <w:bCs w:val="0"/>
          <w:color w:val="auto"/>
        </w:rPr>
        <w:t>Formalisation</w:t>
      </w:r>
      <w:proofErr w:type="spellEnd"/>
      <w:r w:rsidRPr="005525B3">
        <w:rPr>
          <w:rFonts w:ascii="Times New Roman" w:hAnsi="Times New Roman" w:cs="Times New Roman"/>
          <w:b w:val="0"/>
          <w:bCs w:val="0"/>
          <w:color w:val="auto"/>
        </w:rPr>
        <w:t xml:space="preserve"> of the CSO network. Consortium models, exemplified by the Erbil Integrated Disability Services Consortium, illustrate the ability to diminish fragmentation, coordinate advocacy efforts, and facilitate </w:t>
      </w:r>
      <w:proofErr w:type="spellStart"/>
      <w:r w:rsidRPr="005525B3">
        <w:rPr>
          <w:rFonts w:ascii="Times New Roman" w:hAnsi="Times New Roman" w:cs="Times New Roman"/>
          <w:b w:val="0"/>
          <w:bCs w:val="0"/>
          <w:color w:val="auto"/>
        </w:rPr>
        <w:t>specialisation</w:t>
      </w:r>
      <w:proofErr w:type="spellEnd"/>
      <w:r w:rsidRPr="005525B3">
        <w:rPr>
          <w:rFonts w:ascii="Times New Roman" w:hAnsi="Times New Roman" w:cs="Times New Roman"/>
          <w:b w:val="0"/>
          <w:bCs w:val="0"/>
          <w:color w:val="auto"/>
        </w:rPr>
        <w:t xml:space="preserve"> without necessitating </w:t>
      </w:r>
      <w:proofErr w:type="spellStart"/>
      <w:r w:rsidRPr="005525B3">
        <w:rPr>
          <w:rFonts w:ascii="Times New Roman" w:hAnsi="Times New Roman" w:cs="Times New Roman"/>
          <w:b w:val="0"/>
          <w:bCs w:val="0"/>
          <w:color w:val="auto"/>
        </w:rPr>
        <w:t>centralised</w:t>
      </w:r>
      <w:proofErr w:type="spellEnd"/>
      <w:r w:rsidRPr="005525B3">
        <w:rPr>
          <w:rFonts w:ascii="Times New Roman" w:hAnsi="Times New Roman" w:cs="Times New Roman"/>
          <w:b w:val="0"/>
          <w:bCs w:val="0"/>
          <w:color w:val="auto"/>
        </w:rPr>
        <w:t xml:space="preserve"> state provision (Al </w:t>
      </w:r>
      <w:proofErr w:type="spellStart"/>
      <w:r w:rsidRPr="005525B3">
        <w:rPr>
          <w:rFonts w:ascii="Times New Roman" w:hAnsi="Times New Roman" w:cs="Times New Roman"/>
          <w:b w:val="0"/>
          <w:bCs w:val="0"/>
          <w:color w:val="auto"/>
        </w:rPr>
        <w:t>Jayousi</w:t>
      </w:r>
      <w:proofErr w:type="spellEnd"/>
      <w:r w:rsidRPr="005525B3">
        <w:rPr>
          <w:rFonts w:ascii="Times New Roman" w:hAnsi="Times New Roman" w:cs="Times New Roman"/>
          <w:b w:val="0"/>
          <w:bCs w:val="0"/>
          <w:color w:val="auto"/>
        </w:rPr>
        <w:t xml:space="preserve"> &amp; </w:t>
      </w:r>
      <w:proofErr w:type="spellStart"/>
      <w:r w:rsidRPr="005525B3">
        <w:rPr>
          <w:rFonts w:ascii="Times New Roman" w:hAnsi="Times New Roman" w:cs="Times New Roman"/>
          <w:b w:val="0"/>
          <w:bCs w:val="0"/>
          <w:color w:val="auto"/>
        </w:rPr>
        <w:t>Nishide</w:t>
      </w:r>
      <w:proofErr w:type="spellEnd"/>
      <w:r w:rsidRPr="005525B3">
        <w:rPr>
          <w:rFonts w:ascii="Times New Roman" w:hAnsi="Times New Roman" w:cs="Times New Roman"/>
          <w:b w:val="0"/>
          <w:bCs w:val="0"/>
          <w:color w:val="auto"/>
        </w:rPr>
        <w:t>, 2024).</w:t>
      </w:r>
    </w:p>
    <w:p w:rsidR="00A230F2" w:rsidRPr="005525B3" w:rsidRDefault="00A230F2" w:rsidP="00DB3B99">
      <w:pPr>
        <w:pStyle w:val="Heading2"/>
        <w:spacing w:before="0" w:after="240"/>
        <w:ind w:left="270" w:hanging="270"/>
        <w:jc w:val="both"/>
        <w:rPr>
          <w:rFonts w:ascii="Times New Roman" w:hAnsi="Times New Roman" w:cs="Times New Roman"/>
          <w:b w:val="0"/>
          <w:bCs w:val="0"/>
          <w:color w:val="auto"/>
        </w:rPr>
      </w:pPr>
      <w:r w:rsidRPr="005525B3">
        <w:rPr>
          <w:rFonts w:ascii="Times New Roman" w:hAnsi="Times New Roman" w:cs="Times New Roman"/>
          <w:b w:val="0"/>
          <w:bCs w:val="0"/>
          <w:color w:val="auto"/>
        </w:rPr>
        <w:t>4. Global institutional dedication. The IOM Iraq Disability Inclusion Strategy 2022–2024 and the World Bank’s focus on disability-inclusive development indicate sustained international involvement, creating a possible basis for reform on the part of donors (International Organization for Migration [IOM] Iraq, 2023).</w:t>
      </w:r>
    </w:p>
    <w:p w:rsidR="00A230F2" w:rsidRPr="005525B3" w:rsidRDefault="00A230F2" w:rsidP="00DB3B99">
      <w:pPr>
        <w:pStyle w:val="Heading2"/>
        <w:spacing w:before="0" w:after="240"/>
        <w:ind w:left="270" w:hanging="270"/>
        <w:jc w:val="both"/>
        <w:rPr>
          <w:rFonts w:ascii="Times New Roman" w:hAnsi="Times New Roman" w:cs="Times New Roman"/>
          <w:b w:val="0"/>
          <w:bCs w:val="0"/>
          <w:color w:val="auto"/>
        </w:rPr>
      </w:pPr>
      <w:r w:rsidRPr="005525B3">
        <w:rPr>
          <w:rFonts w:ascii="Times New Roman" w:hAnsi="Times New Roman" w:cs="Times New Roman"/>
          <w:b w:val="0"/>
          <w:bCs w:val="0"/>
          <w:color w:val="auto"/>
        </w:rPr>
        <w:t>5. Grassroots organization and peer assistance. The quantity of Organisations of Persons with Disabilities (OPDs) has increased from 12 registered entities in 2015 to 47 in 2025, reflecting enhanced peer-led advocacy capabilities and self-representation in governance (</w:t>
      </w:r>
      <w:proofErr w:type="spellStart"/>
      <w:r w:rsidRPr="005525B3">
        <w:rPr>
          <w:rFonts w:ascii="Times New Roman" w:hAnsi="Times New Roman" w:cs="Times New Roman"/>
          <w:b w:val="0"/>
          <w:bCs w:val="0"/>
          <w:color w:val="auto"/>
        </w:rPr>
        <w:t>Sdiq</w:t>
      </w:r>
      <w:proofErr w:type="spellEnd"/>
      <w:r w:rsidRPr="005525B3">
        <w:rPr>
          <w:rFonts w:ascii="Times New Roman" w:hAnsi="Times New Roman" w:cs="Times New Roman"/>
          <w:b w:val="0"/>
          <w:bCs w:val="0"/>
          <w:color w:val="auto"/>
        </w:rPr>
        <w:t xml:space="preserve"> et al., 2022).</w:t>
      </w:r>
    </w:p>
    <w:p w:rsidR="006B7FBB" w:rsidRPr="00DB3B99" w:rsidRDefault="00DB3B99" w:rsidP="005525B3">
      <w:pPr>
        <w:pStyle w:val="Heading1"/>
        <w:spacing w:before="0" w:after="240"/>
        <w:jc w:val="both"/>
        <w:rPr>
          <w:rFonts w:ascii="Times New Roman" w:hAnsi="Times New Roman" w:cs="Times New Roman"/>
          <w:color w:val="auto"/>
        </w:rPr>
      </w:pPr>
      <w:r w:rsidRPr="00DB3B99">
        <w:rPr>
          <w:rFonts w:ascii="Times New Roman" w:hAnsi="Times New Roman" w:cs="Times New Roman"/>
          <w:color w:val="auto"/>
        </w:rPr>
        <w:t xml:space="preserve"> CONCLUSION</w:t>
      </w:r>
    </w:p>
    <w:p w:rsidR="00DE651C" w:rsidRPr="005525B3" w:rsidRDefault="00DE651C"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 xml:space="preserve">Since 2010, Iraqi </w:t>
      </w:r>
      <w:r w:rsidR="008C6B6A" w:rsidRPr="005525B3">
        <w:rPr>
          <w:rFonts w:ascii="Times New Roman" w:hAnsi="Times New Roman" w:cs="Times New Roman"/>
          <w:sz w:val="24"/>
          <w:szCs w:val="24"/>
        </w:rPr>
        <w:t>CSOs</w:t>
      </w:r>
      <w:r w:rsidRPr="005525B3">
        <w:rPr>
          <w:rFonts w:ascii="Times New Roman" w:hAnsi="Times New Roman" w:cs="Times New Roman"/>
          <w:sz w:val="24"/>
          <w:szCs w:val="24"/>
        </w:rPr>
        <w:t xml:space="preserve"> have transformed from supplementary entities into vital intermediaries within a context </w:t>
      </w:r>
      <w:proofErr w:type="spellStart"/>
      <w:r w:rsidRPr="005525B3">
        <w:rPr>
          <w:rFonts w:ascii="Times New Roman" w:hAnsi="Times New Roman" w:cs="Times New Roman"/>
          <w:sz w:val="24"/>
          <w:szCs w:val="24"/>
        </w:rPr>
        <w:t>characterised</w:t>
      </w:r>
      <w:proofErr w:type="spellEnd"/>
      <w:r w:rsidRPr="005525B3">
        <w:rPr>
          <w:rFonts w:ascii="Times New Roman" w:hAnsi="Times New Roman" w:cs="Times New Roman"/>
          <w:sz w:val="24"/>
          <w:szCs w:val="24"/>
        </w:rPr>
        <w:t xml:space="preserve"> by pervasive </w:t>
      </w:r>
      <w:proofErr w:type="spellStart"/>
      <w:r w:rsidRPr="005525B3">
        <w:rPr>
          <w:rFonts w:ascii="Times New Roman" w:hAnsi="Times New Roman" w:cs="Times New Roman"/>
          <w:sz w:val="24"/>
          <w:szCs w:val="24"/>
        </w:rPr>
        <w:t>disablism</w:t>
      </w:r>
      <w:proofErr w:type="spellEnd"/>
      <w:r w:rsidRPr="005525B3">
        <w:rPr>
          <w:rFonts w:ascii="Times New Roman" w:hAnsi="Times New Roman" w:cs="Times New Roman"/>
          <w:sz w:val="24"/>
          <w:szCs w:val="24"/>
        </w:rPr>
        <w:t xml:space="preserve"> and institutional state apathy. The emergence of approximately 12,500 </w:t>
      </w:r>
      <w:r w:rsidR="008C6B6A" w:rsidRPr="005525B3">
        <w:rPr>
          <w:rFonts w:ascii="Times New Roman" w:hAnsi="Times New Roman" w:cs="Times New Roman"/>
          <w:sz w:val="24"/>
          <w:szCs w:val="24"/>
        </w:rPr>
        <w:t>CSOs</w:t>
      </w:r>
      <w:r w:rsidRPr="005525B3">
        <w:rPr>
          <w:rFonts w:ascii="Times New Roman" w:hAnsi="Times New Roman" w:cs="Times New Roman"/>
          <w:sz w:val="24"/>
          <w:szCs w:val="24"/>
        </w:rPr>
        <w:t xml:space="preserve"> indicates a strong local response; however, their efficacy is limited by a global strategic transition from human security to regime security, often </w:t>
      </w:r>
      <w:proofErr w:type="spellStart"/>
      <w:r w:rsidRPr="005525B3">
        <w:rPr>
          <w:rFonts w:ascii="Times New Roman" w:hAnsi="Times New Roman" w:cs="Times New Roman"/>
          <w:sz w:val="24"/>
          <w:szCs w:val="24"/>
        </w:rPr>
        <w:t>prioritising</w:t>
      </w:r>
      <w:proofErr w:type="spellEnd"/>
      <w:r w:rsidRPr="005525B3">
        <w:rPr>
          <w:rFonts w:ascii="Times New Roman" w:hAnsi="Times New Roman" w:cs="Times New Roman"/>
          <w:sz w:val="24"/>
          <w:szCs w:val="24"/>
        </w:rPr>
        <w:t xml:space="preserve"> geopolitical stability over the rights of </w:t>
      </w:r>
      <w:proofErr w:type="spellStart"/>
      <w:r w:rsidRPr="005525B3">
        <w:rPr>
          <w:rFonts w:ascii="Times New Roman" w:hAnsi="Times New Roman" w:cs="Times New Roman"/>
          <w:sz w:val="24"/>
          <w:szCs w:val="24"/>
        </w:rPr>
        <w:t>marginalised</w:t>
      </w:r>
      <w:proofErr w:type="spellEnd"/>
      <w:r w:rsidRPr="005525B3">
        <w:rPr>
          <w:rFonts w:ascii="Times New Roman" w:hAnsi="Times New Roman" w:cs="Times New Roman"/>
          <w:sz w:val="24"/>
          <w:szCs w:val="24"/>
        </w:rPr>
        <w:t xml:space="preserve"> individuals.</w:t>
      </w:r>
    </w:p>
    <w:p w:rsidR="00DE651C" w:rsidRPr="005525B3" w:rsidRDefault="00DE651C"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 xml:space="preserve">The sector's lasting impact relies on addressing the </w:t>
      </w:r>
      <w:proofErr w:type="spellStart"/>
      <w:r w:rsidRPr="005525B3">
        <w:rPr>
          <w:rFonts w:ascii="Times New Roman" w:hAnsi="Times New Roman" w:cs="Times New Roman"/>
          <w:sz w:val="24"/>
          <w:szCs w:val="24"/>
        </w:rPr>
        <w:t>wasta</w:t>
      </w:r>
      <w:proofErr w:type="spellEnd"/>
      <w:r w:rsidRPr="005525B3">
        <w:rPr>
          <w:rFonts w:ascii="Times New Roman" w:hAnsi="Times New Roman" w:cs="Times New Roman"/>
          <w:sz w:val="24"/>
          <w:szCs w:val="24"/>
        </w:rPr>
        <w:t xml:space="preserve"> networks that </w:t>
      </w:r>
      <w:proofErr w:type="spellStart"/>
      <w:r w:rsidRPr="005525B3">
        <w:rPr>
          <w:rFonts w:ascii="Times New Roman" w:hAnsi="Times New Roman" w:cs="Times New Roman"/>
          <w:sz w:val="24"/>
          <w:szCs w:val="24"/>
        </w:rPr>
        <w:t>marginalise</w:t>
      </w:r>
      <w:proofErr w:type="spellEnd"/>
      <w:r w:rsidRPr="005525B3">
        <w:rPr>
          <w:rFonts w:ascii="Times New Roman" w:hAnsi="Times New Roman" w:cs="Times New Roman"/>
          <w:sz w:val="24"/>
          <w:szCs w:val="24"/>
        </w:rPr>
        <w:t xml:space="preserve"> individuals with disabilities and on rectifying the ongoing disarray between the state and the non-profit sector. The recorded deficit in disability-inclusive Official Development Assistance (ODA) is not solely a fiscal shortcoming; it signifies a more profound political reality wherein the rights of one of Iraq's most </w:t>
      </w:r>
      <w:proofErr w:type="spellStart"/>
      <w:r w:rsidRPr="005525B3">
        <w:rPr>
          <w:rFonts w:ascii="Times New Roman" w:hAnsi="Times New Roman" w:cs="Times New Roman"/>
          <w:sz w:val="24"/>
          <w:szCs w:val="24"/>
        </w:rPr>
        <w:t>marginalised</w:t>
      </w:r>
      <w:proofErr w:type="spellEnd"/>
      <w:r w:rsidRPr="005525B3">
        <w:rPr>
          <w:rFonts w:ascii="Times New Roman" w:hAnsi="Times New Roman" w:cs="Times New Roman"/>
          <w:sz w:val="24"/>
          <w:szCs w:val="24"/>
        </w:rPr>
        <w:t xml:space="preserve"> populations are relegated to geopolitical interests.</w:t>
      </w:r>
    </w:p>
    <w:p w:rsidR="00DE651C" w:rsidRPr="005525B3" w:rsidRDefault="00DE651C"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 xml:space="preserve">Data from 2024 to 2026 demonstrates modest yet significant advancement. The expansion of digital platforms, the formal establishment of </w:t>
      </w:r>
      <w:r w:rsidR="008C6B6A" w:rsidRPr="005525B3">
        <w:rPr>
          <w:rFonts w:ascii="Times New Roman" w:hAnsi="Times New Roman" w:cs="Times New Roman"/>
          <w:sz w:val="24"/>
          <w:szCs w:val="24"/>
        </w:rPr>
        <w:t>CSO</w:t>
      </w:r>
      <w:r w:rsidRPr="005525B3">
        <w:rPr>
          <w:rFonts w:ascii="Times New Roman" w:hAnsi="Times New Roman" w:cs="Times New Roman"/>
          <w:sz w:val="24"/>
          <w:szCs w:val="24"/>
        </w:rPr>
        <w:t xml:space="preserve"> networks, and the increasing participation of individuals with disabilities in </w:t>
      </w:r>
      <w:proofErr w:type="spellStart"/>
      <w:r w:rsidRPr="005525B3">
        <w:rPr>
          <w:rFonts w:ascii="Times New Roman" w:hAnsi="Times New Roman" w:cs="Times New Roman"/>
          <w:sz w:val="24"/>
          <w:szCs w:val="24"/>
        </w:rPr>
        <w:t>organisational</w:t>
      </w:r>
      <w:proofErr w:type="spellEnd"/>
      <w:r w:rsidRPr="005525B3">
        <w:rPr>
          <w:rFonts w:ascii="Times New Roman" w:hAnsi="Times New Roman" w:cs="Times New Roman"/>
          <w:sz w:val="24"/>
          <w:szCs w:val="24"/>
        </w:rPr>
        <w:t xml:space="preserve"> governance indicate a progressive shift towards rights-based service delivery. These gains are precarious, reliant on continuous international involvement, susceptible to geopolitical variations, and limited by persistent inequalities in resource distribution. The analysis indicates that enhancements focused in urban regions may sustain and exacerbate rural disparities unless inclusion is intentionally structured to ensure geographic equity.</w:t>
      </w:r>
    </w:p>
    <w:p w:rsidR="006B7FBB" w:rsidRPr="005525B3" w:rsidRDefault="00DE651C"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 xml:space="preserve">The forthcoming trajectory necessitates a concurrent, multi-tiered transformation: international donors must integrate disability inclusion into all humanitarian and development initiatives; the Iraqi government must implement Law No. 38 of 2013 and align its practices with CRPD obligations; and </w:t>
      </w:r>
      <w:r w:rsidR="008C6B6A" w:rsidRPr="005525B3">
        <w:rPr>
          <w:rFonts w:ascii="Times New Roman" w:hAnsi="Times New Roman" w:cs="Times New Roman"/>
          <w:sz w:val="24"/>
          <w:szCs w:val="24"/>
        </w:rPr>
        <w:t>CSOs</w:t>
      </w:r>
      <w:r w:rsidRPr="005525B3">
        <w:rPr>
          <w:rFonts w:ascii="Times New Roman" w:hAnsi="Times New Roman" w:cs="Times New Roman"/>
          <w:sz w:val="24"/>
          <w:szCs w:val="24"/>
        </w:rPr>
        <w:t xml:space="preserve"> must shift from charity-based to rights-based service delivery, positioning persons with disabilities at the core of </w:t>
      </w:r>
      <w:proofErr w:type="spellStart"/>
      <w:r w:rsidRPr="005525B3">
        <w:rPr>
          <w:rFonts w:ascii="Times New Roman" w:hAnsi="Times New Roman" w:cs="Times New Roman"/>
          <w:sz w:val="24"/>
          <w:szCs w:val="24"/>
        </w:rPr>
        <w:t>organisational</w:t>
      </w:r>
      <w:proofErr w:type="spellEnd"/>
      <w:r w:rsidRPr="005525B3">
        <w:rPr>
          <w:rFonts w:ascii="Times New Roman" w:hAnsi="Times New Roman" w:cs="Times New Roman"/>
          <w:sz w:val="24"/>
          <w:szCs w:val="24"/>
        </w:rPr>
        <w:t xml:space="preserve"> governance rather than at the margins of institutional goodwill. The true indicator of advancement in Iraq's disability sector will not be the quantity of registered </w:t>
      </w:r>
      <w:r w:rsidR="008C6B6A" w:rsidRPr="005525B3">
        <w:rPr>
          <w:rFonts w:ascii="Times New Roman" w:hAnsi="Times New Roman" w:cs="Times New Roman"/>
          <w:sz w:val="24"/>
          <w:szCs w:val="24"/>
        </w:rPr>
        <w:t>CSOs</w:t>
      </w:r>
      <w:r w:rsidRPr="005525B3">
        <w:rPr>
          <w:rFonts w:ascii="Times New Roman" w:hAnsi="Times New Roman" w:cs="Times New Roman"/>
          <w:sz w:val="24"/>
          <w:szCs w:val="24"/>
        </w:rPr>
        <w:t xml:space="preserve"> or the extent of donor funding, but rather the </w:t>
      </w:r>
      <w:r w:rsidRPr="005525B3">
        <w:rPr>
          <w:rFonts w:ascii="Times New Roman" w:hAnsi="Times New Roman" w:cs="Times New Roman"/>
          <w:sz w:val="24"/>
          <w:szCs w:val="24"/>
        </w:rPr>
        <w:lastRenderedPageBreak/>
        <w:t xml:space="preserve">ability of individuals with disabilities—irrespective of impairment type, gender, political affiliation, or geographic location—to live with dignity, assert their rights, and engage fully and equitably in Iraqi society. This constitutes both the commitment of the CRPD and the responsibility of every </w:t>
      </w:r>
      <w:r w:rsidR="008C6B6A" w:rsidRPr="005525B3">
        <w:rPr>
          <w:rFonts w:ascii="Times New Roman" w:hAnsi="Times New Roman" w:cs="Times New Roman"/>
          <w:sz w:val="24"/>
          <w:szCs w:val="24"/>
        </w:rPr>
        <w:t>CSO</w:t>
      </w:r>
      <w:r w:rsidRPr="005525B3">
        <w:rPr>
          <w:rFonts w:ascii="Times New Roman" w:hAnsi="Times New Roman" w:cs="Times New Roman"/>
          <w:sz w:val="24"/>
          <w:szCs w:val="24"/>
        </w:rPr>
        <w:t xml:space="preserve"> operating in this domain.</w:t>
      </w:r>
    </w:p>
    <w:p w:rsidR="00CB4D02" w:rsidRPr="00DB3B99" w:rsidRDefault="00CB4D02" w:rsidP="00CB4D02">
      <w:pPr>
        <w:pStyle w:val="Heading1"/>
        <w:spacing w:before="0" w:after="240"/>
        <w:jc w:val="both"/>
        <w:rPr>
          <w:rFonts w:ascii="Times New Roman" w:hAnsi="Times New Roman" w:cs="Times New Roman"/>
          <w:color w:val="auto"/>
        </w:rPr>
      </w:pPr>
      <w:r w:rsidRPr="00DB3B99">
        <w:rPr>
          <w:rFonts w:ascii="Times New Roman" w:hAnsi="Times New Roman" w:cs="Times New Roman"/>
          <w:color w:val="auto"/>
        </w:rPr>
        <w:t>REFERENCES</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Adibayev, A., &amp; Susi, M. (2023). Protection of the rights of persons with disabilities to work: Kazakhstan’s experience from the perspective of international law and EU law. Legal Records/Pravni Zapisi, 14(1).</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Al Jayousi, R., &amp; Nishide, Y. (2024). Beyond the ‘NGOization’ of civil society: A framework for sustainable community-led development in conflict settings. VOLUNTAS: International Journal of Voluntary and Nonprofit Organizations, 35(1), 61–72. https://doi.org/10.1007/s11266-022-00506-6</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Al-Sabbak, M., Sadik Ali, S., Savabi, O., Savabi, G., Dastgiri, S., &amp; Savabieasfahani, M. (2012). Metal contamination and the epidemic of congenital birth defects in Iraqi cities. Bulletin of Environmental Contamination and Toxicology, 89(5), 937–944. https://doi.org/10.1007/s00128-012-0817-2</w:t>
      </w:r>
    </w:p>
    <w:p w:rsidR="00B57CCA"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 xml:space="preserve">Alshamary, M., &amp; Hadad, H. (2023). The failure of the social contract in Iraq: Iraqi perspectives. Journal of Intervention and Statebuilding, 17(3), 415–433. </w:t>
      </w:r>
    </w:p>
    <w:p w:rsidR="006B7FBB" w:rsidRPr="00DB3B99" w:rsidRDefault="003F1785" w:rsidP="00B57CCA">
      <w:pPr>
        <w:pStyle w:val="ListParagraph"/>
        <w:ind w:left="720"/>
        <w:jc w:val="both"/>
        <w:rPr>
          <w:rFonts w:ascii="Times New Roman" w:hAnsi="Times New Roman" w:cs="Times New Roman"/>
          <w:sz w:val="24"/>
          <w:szCs w:val="24"/>
        </w:rPr>
      </w:pPr>
      <w:r w:rsidRPr="00DB3B99">
        <w:rPr>
          <w:rFonts w:ascii="Times New Roman" w:hAnsi="Times New Roman" w:cs="Times New Roman"/>
          <w:sz w:val="24"/>
          <w:szCs w:val="24"/>
        </w:rPr>
        <w:t>https://doi.org/10.1080/17502977.2023.2210732</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Awadh, A. (2025). Disability law and social integration in post-conflict Iraq: A critical assessment. Iraqi Journal of Social Work, 12(1), 44–59.</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BasNews. (2025, March 5). NGO count in Kurdistan hits 6,339 amid civil society growth. BasNews Agency. https://www.basnews.com/en/babat/877152</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Braun, V., &amp; Clarke, V. (2019). Reflecting on reflexive thematic analysis. Qualitative Research in Sport, Exercise and Health, 11(4), 589–597. https://doi.org/10.1080/2159676X.2019.1628806</w:t>
      </w:r>
    </w:p>
    <w:p w:rsidR="00B57CCA"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 xml:space="preserve">Castelos, M. (2021). Digital evidence and accountability mechanisms for conflict-affected persons with disabilities. Journal of Human Rights Practice, 13(2), 310–328. </w:t>
      </w:r>
    </w:p>
    <w:p w:rsidR="006B7FBB" w:rsidRPr="00DB3B99" w:rsidRDefault="003F1785" w:rsidP="00B57CCA">
      <w:pPr>
        <w:pStyle w:val="ListParagraph"/>
        <w:ind w:left="720"/>
        <w:jc w:val="both"/>
        <w:rPr>
          <w:rFonts w:ascii="Times New Roman" w:hAnsi="Times New Roman" w:cs="Times New Roman"/>
          <w:sz w:val="24"/>
          <w:szCs w:val="24"/>
        </w:rPr>
      </w:pPr>
      <w:r w:rsidRPr="00DB3B99">
        <w:rPr>
          <w:rFonts w:ascii="Times New Roman" w:hAnsi="Times New Roman" w:cs="Times New Roman"/>
          <w:sz w:val="24"/>
          <w:szCs w:val="24"/>
        </w:rPr>
        <w:t>https://doi.org/10.1093/jhuman/huab018</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Cerami, J. (2018). Iraq’s warfare regime and the politics of disability classification. Armed Forces &amp; Society, 44(3), 432–451.</w:t>
      </w:r>
    </w:p>
    <w:p w:rsidR="00B57CCA"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 xml:space="preserve">Conchas, D. E., Hernández Carrillo, P. G., &amp; Pérez Zúñiga, R. (2025). Factors fostering the inclusion of students with disabilities during their academic career at the University Center of Health Sciences of the University of Guadalajara. Frontiers in Education, 10, 1631418. </w:t>
      </w:r>
    </w:p>
    <w:p w:rsidR="006B7FBB" w:rsidRPr="00DB3B99" w:rsidRDefault="003F1785" w:rsidP="00B57CCA">
      <w:pPr>
        <w:pStyle w:val="ListParagraph"/>
        <w:ind w:left="720"/>
        <w:jc w:val="both"/>
        <w:rPr>
          <w:rFonts w:ascii="Times New Roman" w:hAnsi="Times New Roman" w:cs="Times New Roman"/>
          <w:sz w:val="24"/>
          <w:szCs w:val="24"/>
        </w:rPr>
      </w:pPr>
      <w:r w:rsidRPr="00DB3B99">
        <w:rPr>
          <w:rFonts w:ascii="Times New Roman" w:hAnsi="Times New Roman" w:cs="Times New Roman"/>
          <w:sz w:val="24"/>
          <w:szCs w:val="24"/>
        </w:rPr>
        <w:t>https://doi.org/10.3389/feduc.2025.1631418</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Convention on the Rights of Persons with Disabilities. (2014). In Encyclopedia of human services and diversity. SAGE Publications. https://doi.org/10.4135/9781483346663.n116</w:t>
      </w:r>
    </w:p>
    <w:p w:rsidR="00B57CCA"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 xml:space="preserve">Costantini, I., &amp; O’Driscoll, D. (2023). Twenty years of externally promoted security assistance in Iraq: Changing approaches and their limits. International Peacekeeping, 30(5), 562–584. </w:t>
      </w:r>
    </w:p>
    <w:p w:rsidR="006B7FBB" w:rsidRPr="00DB3B99" w:rsidRDefault="003F1785" w:rsidP="00B57CCA">
      <w:pPr>
        <w:pStyle w:val="ListParagraph"/>
        <w:ind w:left="720"/>
        <w:jc w:val="both"/>
        <w:rPr>
          <w:rFonts w:ascii="Times New Roman" w:hAnsi="Times New Roman" w:cs="Times New Roman"/>
          <w:sz w:val="24"/>
          <w:szCs w:val="24"/>
        </w:rPr>
      </w:pPr>
      <w:r w:rsidRPr="00DB3B99">
        <w:rPr>
          <w:rFonts w:ascii="Times New Roman" w:hAnsi="Times New Roman" w:cs="Times New Roman"/>
          <w:sz w:val="24"/>
          <w:szCs w:val="24"/>
        </w:rPr>
        <w:t>https://doi.org/10.1080/13533312.2023.2231501</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Dehghani, A., Bahmanshpour, F., Anami, S., Masoumi, G., &amp; Eskandari, Z. (2024). The challenges and solutions of providing health services to people with disabilities in mass gatherings. International Journal of Disaster Risk Reduction, 101, 104214.</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Doocy, S., Sirois, A., Tileva, M., Storey, J. D., &amp; Burnham, G. (2013). Chronic disease and disability among Iraqi populations displaced in Jordan and Syria. The International Journal of Health Planning and Management, 28(1), e1–e12. https://doi.org/10.1002/hpm.2091</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Hussein, J. M. A., &amp; Moniruzzaman, M. D. (2024). CSOs in Iraqi Kurdistan: An analysis of challenges. Asian Affairs, 55(2), 225–242. https://doi.org/10.1080/03068374.2024.2316054</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International Center for Not-for-Profit Law (ICNL). (2025). Iraq civic freedom monitor. https://www.icnl.org/resources/civic-freedom-monitor/iraq</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International Organization for Migration (IOM) Iraq. (2023). IOM Iraq disability inclusion strategy 2022–2024. https://iraq.iom.int/sites/g/files/tmzbdl1316/files/documents/Disability%20inclusion%20strategy%202022-2024.pdf</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lastRenderedPageBreak/>
        <w:t>Jaber, H. (2022). The role of foreign aid in the transformation of Iraq’s society and economy. International Journal of Management and Economics, 58(2), 218–232. https://doi.org/10.2478/ijme-2022-0015</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Jagoe, C., O’Reilly, C. F., James, L. E., Khaled, E., Alazzawi, H., &amp; Enright, T. (2023). Interpersonal violence experienced by people with communication disabilities in Iraq: Sustainable Development Goals 16 and 5. International Journal of Speech-Language Pathology, 25(1), 130–135. https://doi.org/10.1080/17549507.2022.2146193</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Jensen, S., et al. (2021). Unintentional injuries and disability in Iraq: Trends in falls and road traffic accidents post-2008. Injury Epidemiology, 8(1), 11.</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Khawam, G., &amp; Akerkar, S. (2023). When the state does not care: Disability rights in a context of multi-layered crises, instability and disablism. In Research handbook on disability policy (pp. 118–134). Edward Elgar Publishing.</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King, T. L., Shields, M., Milner, A., Vaughan, C., Shakespeare, T., Currier, D., &amp; Kavanagh, A. (2020). Conformity to masculine norms: Differences between men with and without a disability. Psychology of Men &amp; Masculinities, 21(3), 380–390. https://doi.org/10.1037/men0000230</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Köpfer, A., Powell, J. J. W., &amp; Zahnd, R. (2021). Handbuch Inklusion international / International handbook of inclusive education. Verlag Barbara Budrich.</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Lafta, R., Al-Shatari, S., Cherewick, M., Galway, L., Mock, C., Hagopian, A., &amp; Burnham, G. (2015). Injuries, death, and disability associated with 11 years of conflict in Baghdad, Iraq: A randomized household cluster survey. PLOS ONE, 10(8), e0131834. https://doi.org/10.1371/journal.pone.0131834</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Mor, B. D. (2006). Public diplomacy in grand strategy. Foreign Policy Analysis, 2(2), 157–176.</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NGO Directorate of the Republic of Iraq. (2025). Registered non-governmental organisations database. https://ngoao.gov.iq/</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OECD. (2023). Creditor Reporting System (CRS): Aid activities targeting the inclusion and empowerment of persons with disabilities [Data set]. OECD.Stat. https://stats.oecd.org/</w:t>
      </w:r>
    </w:p>
    <w:p w:rsidR="00B57CCA"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 xml:space="preserve">Radhi, M. M., Elywy, G. J., &amp; Al-Eqabi, Q. A. K. (2023). Burdens among wives of disabled people in the light of some social variables. Iranian Rehabilitation Journal, 21(3), 473–484. </w:t>
      </w:r>
    </w:p>
    <w:p w:rsidR="006B7FBB" w:rsidRPr="00DB3B99" w:rsidRDefault="003F1785" w:rsidP="00B57CCA">
      <w:pPr>
        <w:pStyle w:val="ListParagraph"/>
        <w:ind w:left="720"/>
        <w:jc w:val="both"/>
        <w:rPr>
          <w:rFonts w:ascii="Times New Roman" w:hAnsi="Times New Roman" w:cs="Times New Roman"/>
          <w:sz w:val="24"/>
          <w:szCs w:val="24"/>
        </w:rPr>
      </w:pPr>
      <w:r w:rsidRPr="00DB3B99">
        <w:rPr>
          <w:rFonts w:ascii="Times New Roman" w:hAnsi="Times New Roman" w:cs="Times New Roman"/>
          <w:sz w:val="24"/>
          <w:szCs w:val="24"/>
        </w:rPr>
        <w:t>https://doi.org/10.32598/irj.21.3.1788.1</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Rose, M. L., &amp; Usman, S. M. (2023, October). The varieties of ableism: A colloquium in Sulaimani, Kurdistan. Journal of Teaching Disability Studies (CUNY). https://jtds.commons.gc.cuny.edu/</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Rudi, A. (2026). On the sidelines of conspiracy: Wasta and invisibility in Iraqi Kurdistan’s pseudo-state. History and Anthropology, 1–25. https://doi.org/10.1080/02757206.2025.2461063</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Rutherford, K. R., &amp; Hinton, S. (2015). The Iraqi constitution and disability rights. Journal of Disability Policy Studies, 26(3), 148–158.</w:t>
      </w:r>
    </w:p>
    <w:p w:rsidR="00B57CCA"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 xml:space="preserve">Savabieasfahani, M., et al. (2024). Heavy metals near Iraqi conflict zones and the risk of congenital anomalies: A systematic review. Environmental Research, 242, 117742. </w:t>
      </w:r>
    </w:p>
    <w:p w:rsidR="006B7FBB" w:rsidRPr="00DB3B99" w:rsidRDefault="003F1785" w:rsidP="00B57CCA">
      <w:pPr>
        <w:pStyle w:val="ListParagraph"/>
        <w:ind w:left="720"/>
        <w:jc w:val="both"/>
        <w:rPr>
          <w:rFonts w:ascii="Times New Roman" w:hAnsi="Times New Roman" w:cs="Times New Roman"/>
          <w:sz w:val="24"/>
          <w:szCs w:val="24"/>
        </w:rPr>
      </w:pPr>
      <w:r w:rsidRPr="00DB3B99">
        <w:rPr>
          <w:rFonts w:ascii="Times New Roman" w:hAnsi="Times New Roman" w:cs="Times New Roman"/>
          <w:sz w:val="24"/>
          <w:szCs w:val="24"/>
        </w:rPr>
        <w:t>https://doi.org/10.1016/j.envres.2023.117742</w:t>
      </w:r>
    </w:p>
    <w:p w:rsidR="00B57CCA"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 xml:space="preserve">Schwab, S. M., Spencer, C., Carver, N. S., Andrade, V., Dugan, S., Greve, K., &amp; Silva, P. L. (2022). Personal factors understood through the ecological-enactive model of disability and implications for rehabilitation research. Frontiers in Rehabilitation Sciences, 3, 954061. </w:t>
      </w:r>
    </w:p>
    <w:p w:rsidR="006B7FBB" w:rsidRPr="00DB3B99" w:rsidRDefault="003F1785" w:rsidP="00B57CCA">
      <w:pPr>
        <w:pStyle w:val="ListParagraph"/>
        <w:ind w:left="720"/>
        <w:jc w:val="both"/>
        <w:rPr>
          <w:rFonts w:ascii="Times New Roman" w:hAnsi="Times New Roman" w:cs="Times New Roman"/>
          <w:sz w:val="24"/>
          <w:szCs w:val="24"/>
        </w:rPr>
      </w:pPr>
      <w:r w:rsidRPr="00DB3B99">
        <w:rPr>
          <w:rFonts w:ascii="Times New Roman" w:hAnsi="Times New Roman" w:cs="Times New Roman"/>
          <w:sz w:val="24"/>
          <w:szCs w:val="24"/>
        </w:rPr>
        <w:t>https://doi.org/10.3389/fresc.2022.954061</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Sdiq, S., et al. (2022). Civil society advocacy for disability rights in Iraqi Kurdistan: Between visibility and institutional limits. Kurdish Studies, 10(1), 78–95.</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Solanki, S. B., &amp; Mandaliya, S. (2016). Enhancing library resources access for different abled persons through ICT. International Journal of Information Sciences and Techniques, 6(1/2), 257–267.</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Stel, N. (2020). Hybrid political order and the politics of uncertainty: Refugee governance in Lebanon. Routledge.</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Stevens, S. C., Sood, S., Mertz, N., &amp; Kostizak, K. (2020). Measuring discriminatory social norms against children with disabilities to improve communication-based programs. Frontiers in Communication, 5, 541901. https://doi.org/10.3389/fcomm.2020.541901</w:t>
      </w:r>
    </w:p>
    <w:p w:rsidR="006B7FBB" w:rsidRPr="00DB3B99"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United Nations. (2015). Transforming our world: The 2030 Agenda for Sustainable Development (A/RES/70/1). https://sdgs.un.org/2030agenda</w:t>
      </w:r>
    </w:p>
    <w:p w:rsidR="00B57CCA" w:rsidRDefault="003F1785" w:rsidP="00DB3B99">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 xml:space="preserve">Walton, O., &amp; Aslam, W. (2024). Challenging and reinforcing the status quo: Services, civil society and conflict in the MENA region. World Development, 181, 106685. </w:t>
      </w:r>
    </w:p>
    <w:p w:rsidR="006B7FBB" w:rsidRPr="00DB3B99" w:rsidRDefault="003F1785" w:rsidP="00B57CCA">
      <w:pPr>
        <w:pStyle w:val="ListParagraph"/>
        <w:ind w:left="720"/>
        <w:jc w:val="both"/>
        <w:rPr>
          <w:rFonts w:ascii="Times New Roman" w:hAnsi="Times New Roman" w:cs="Times New Roman"/>
          <w:sz w:val="24"/>
          <w:szCs w:val="24"/>
        </w:rPr>
      </w:pPr>
      <w:r w:rsidRPr="00DB3B99">
        <w:rPr>
          <w:rFonts w:ascii="Times New Roman" w:hAnsi="Times New Roman" w:cs="Times New Roman"/>
          <w:sz w:val="24"/>
          <w:szCs w:val="24"/>
        </w:rPr>
        <w:lastRenderedPageBreak/>
        <w:t>https://doi.org/10.1016/j.worlddev.2024.106685</w:t>
      </w:r>
    </w:p>
    <w:p w:rsidR="00B57CCA" w:rsidRDefault="003F1785" w:rsidP="00B57CCA">
      <w:pPr>
        <w:pStyle w:val="ListParagraph"/>
        <w:numPr>
          <w:ilvl w:val="0"/>
          <w:numId w:val="13"/>
        </w:numPr>
        <w:jc w:val="both"/>
        <w:rPr>
          <w:rFonts w:ascii="Times New Roman" w:hAnsi="Times New Roman" w:cs="Times New Roman"/>
          <w:sz w:val="24"/>
          <w:szCs w:val="24"/>
        </w:rPr>
      </w:pPr>
      <w:r w:rsidRPr="00DB3B99">
        <w:rPr>
          <w:rFonts w:ascii="Times New Roman" w:hAnsi="Times New Roman" w:cs="Times New Roman"/>
          <w:sz w:val="24"/>
          <w:szCs w:val="24"/>
        </w:rPr>
        <w:t>Weijermars, W., Bos, N., Wijlhuizen, G. J., Meunier, J., Nuyttens, N., Dupont, E., &amp; Johansson, H. (2017). Physical and psychological consequences of serious road traffic injuries. Traffic Injury Prevention, 18(sup1), S38–S45.</w:t>
      </w:r>
    </w:p>
    <w:p w:rsidR="00B57CCA" w:rsidRDefault="00B57CCA" w:rsidP="00B57CCA">
      <w:pPr>
        <w:pStyle w:val="ListParagraph"/>
        <w:ind w:left="720"/>
        <w:jc w:val="both"/>
        <w:rPr>
          <w:rFonts w:ascii="Times New Roman" w:hAnsi="Times New Roman" w:cs="Times New Roman"/>
          <w:sz w:val="24"/>
          <w:szCs w:val="24"/>
        </w:rPr>
      </w:pPr>
    </w:p>
    <w:p w:rsidR="00052735" w:rsidRDefault="003F1785" w:rsidP="00B57CCA">
      <w:pPr>
        <w:pStyle w:val="ListParagraph"/>
        <w:jc w:val="both"/>
        <w:rPr>
          <w:rFonts w:ascii="Times New Roman" w:hAnsi="Times New Roman" w:cs="Times New Roman"/>
          <w:b/>
          <w:sz w:val="24"/>
          <w:szCs w:val="24"/>
        </w:rPr>
      </w:pPr>
      <w:r w:rsidRPr="00B57CCA">
        <w:rPr>
          <w:rFonts w:ascii="Times New Roman" w:hAnsi="Times New Roman" w:cs="Times New Roman"/>
          <w:b/>
          <w:sz w:val="24"/>
          <w:szCs w:val="24"/>
        </w:rPr>
        <w:t>Appendix A: Secondary Source Corpus</w:t>
      </w:r>
    </w:p>
    <w:p w:rsidR="00B57CCA" w:rsidRPr="00B57CCA" w:rsidRDefault="00B57CCA" w:rsidP="00B57CCA">
      <w:pPr>
        <w:pStyle w:val="ListParagraph"/>
        <w:jc w:val="both"/>
        <w:rPr>
          <w:rFonts w:ascii="Times New Roman" w:hAnsi="Times New Roman" w:cs="Times New Roman"/>
          <w:b/>
          <w:sz w:val="24"/>
          <w:szCs w:val="24"/>
        </w:rPr>
      </w:pPr>
    </w:p>
    <w:p w:rsidR="00052735"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The qualitative analysis drew on a structured corpus of secondary sources spanning the three governorate clusters. Table A1 characterises the principal source categories, their provenance, and their relative coverage across clusters. Coverage indicators denote the relative density of usable documentary material rather than an exhaustive census.</w:t>
      </w:r>
    </w:p>
    <w:p w:rsidR="00052735"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Table A1. </w:t>
      </w:r>
      <w:r w:rsidRPr="005525B3">
        <w:rPr>
          <w:rFonts w:ascii="Times New Roman" w:hAnsi="Times New Roman" w:cs="Times New Roman"/>
          <w:sz w:val="24"/>
          <w:szCs w:val="24"/>
        </w:rPr>
        <w:t>Composition of the secondary source corpus by category, provenance, and governorate-cluster coverage.</w:t>
      </w:r>
    </w:p>
    <w:tbl>
      <w:tblPr>
        <w:tblStyle w:val="TableGrid"/>
        <w:tblW w:w="10885" w:type="dxa"/>
        <w:tblLook w:val="04A0"/>
      </w:tblPr>
      <w:tblGrid>
        <w:gridCol w:w="1509"/>
        <w:gridCol w:w="1863"/>
        <w:gridCol w:w="1137"/>
        <w:gridCol w:w="1684"/>
        <w:gridCol w:w="1683"/>
        <w:gridCol w:w="3009"/>
      </w:tblGrid>
      <w:tr w:rsidR="00052735" w:rsidRPr="005525B3" w:rsidTr="00DB3B99">
        <w:tc>
          <w:tcPr>
            <w:tcW w:w="1509" w:type="dxa"/>
          </w:tcPr>
          <w:p w:rsidR="00052735" w:rsidRPr="005525B3" w:rsidRDefault="003F1785" w:rsidP="00B57CCA">
            <w:pPr>
              <w:spacing w:after="120"/>
              <w:jc w:val="both"/>
              <w:rPr>
                <w:rFonts w:ascii="Times New Roman" w:hAnsi="Times New Roman" w:cs="Times New Roman"/>
                <w:b/>
                <w:bCs/>
                <w:sz w:val="24"/>
                <w:szCs w:val="24"/>
              </w:rPr>
            </w:pPr>
            <w:r w:rsidRPr="005525B3">
              <w:rPr>
                <w:rFonts w:ascii="Times New Roman" w:hAnsi="Times New Roman" w:cs="Times New Roman"/>
                <w:b/>
                <w:bCs/>
                <w:sz w:val="24"/>
                <w:szCs w:val="24"/>
              </w:rPr>
              <w:t>Source Category</w:t>
            </w:r>
          </w:p>
        </w:tc>
        <w:tc>
          <w:tcPr>
            <w:tcW w:w="1863" w:type="dxa"/>
          </w:tcPr>
          <w:p w:rsidR="00052735" w:rsidRPr="005525B3" w:rsidRDefault="003F1785" w:rsidP="00B57CCA">
            <w:pPr>
              <w:spacing w:after="120"/>
              <w:jc w:val="both"/>
              <w:rPr>
                <w:rFonts w:ascii="Times New Roman" w:hAnsi="Times New Roman" w:cs="Times New Roman"/>
                <w:b/>
                <w:bCs/>
                <w:sz w:val="24"/>
                <w:szCs w:val="24"/>
              </w:rPr>
            </w:pPr>
            <w:r w:rsidRPr="005525B3">
              <w:rPr>
                <w:rFonts w:ascii="Times New Roman" w:hAnsi="Times New Roman" w:cs="Times New Roman"/>
                <w:b/>
                <w:bCs/>
                <w:sz w:val="24"/>
                <w:szCs w:val="24"/>
              </w:rPr>
              <w:t>Provenance / Examples</w:t>
            </w:r>
          </w:p>
        </w:tc>
        <w:tc>
          <w:tcPr>
            <w:tcW w:w="1137" w:type="dxa"/>
          </w:tcPr>
          <w:p w:rsidR="00052735" w:rsidRPr="005525B3" w:rsidRDefault="003F1785" w:rsidP="00B57CCA">
            <w:pPr>
              <w:spacing w:after="120"/>
              <w:jc w:val="both"/>
              <w:rPr>
                <w:rFonts w:ascii="Times New Roman" w:hAnsi="Times New Roman" w:cs="Times New Roman"/>
                <w:b/>
                <w:bCs/>
                <w:sz w:val="24"/>
                <w:szCs w:val="24"/>
              </w:rPr>
            </w:pPr>
            <w:r w:rsidRPr="005525B3">
              <w:rPr>
                <w:rFonts w:ascii="Times New Roman" w:hAnsi="Times New Roman" w:cs="Times New Roman"/>
                <w:b/>
                <w:bCs/>
                <w:sz w:val="24"/>
                <w:szCs w:val="24"/>
              </w:rPr>
              <w:t>Baghdad (urban)</w:t>
            </w:r>
          </w:p>
        </w:tc>
        <w:tc>
          <w:tcPr>
            <w:tcW w:w="1684" w:type="dxa"/>
          </w:tcPr>
          <w:p w:rsidR="00052735" w:rsidRPr="005525B3" w:rsidRDefault="003F1785" w:rsidP="00B57CCA">
            <w:pPr>
              <w:spacing w:after="120"/>
              <w:jc w:val="both"/>
              <w:rPr>
                <w:rFonts w:ascii="Times New Roman" w:hAnsi="Times New Roman" w:cs="Times New Roman"/>
                <w:b/>
                <w:bCs/>
                <w:sz w:val="24"/>
                <w:szCs w:val="24"/>
              </w:rPr>
            </w:pPr>
            <w:r w:rsidRPr="005525B3">
              <w:rPr>
                <w:rFonts w:ascii="Times New Roman" w:hAnsi="Times New Roman" w:cs="Times New Roman"/>
                <w:b/>
                <w:bCs/>
                <w:sz w:val="24"/>
                <w:szCs w:val="24"/>
              </w:rPr>
              <w:t>Erbil / Sulaymaniyah (semi-urban)</w:t>
            </w:r>
          </w:p>
        </w:tc>
        <w:tc>
          <w:tcPr>
            <w:tcW w:w="1683" w:type="dxa"/>
          </w:tcPr>
          <w:p w:rsidR="00052735" w:rsidRPr="005525B3" w:rsidRDefault="003F1785" w:rsidP="00B57CCA">
            <w:pPr>
              <w:spacing w:after="120"/>
              <w:jc w:val="both"/>
              <w:rPr>
                <w:rFonts w:ascii="Times New Roman" w:hAnsi="Times New Roman" w:cs="Times New Roman"/>
                <w:b/>
                <w:bCs/>
                <w:sz w:val="24"/>
                <w:szCs w:val="24"/>
              </w:rPr>
            </w:pPr>
            <w:r w:rsidRPr="005525B3">
              <w:rPr>
                <w:rFonts w:ascii="Times New Roman" w:hAnsi="Times New Roman" w:cs="Times New Roman"/>
                <w:b/>
                <w:bCs/>
                <w:sz w:val="24"/>
                <w:szCs w:val="24"/>
              </w:rPr>
              <w:t>Anbar / Nineveh (rural/border)</w:t>
            </w:r>
          </w:p>
        </w:tc>
        <w:tc>
          <w:tcPr>
            <w:tcW w:w="3009" w:type="dxa"/>
          </w:tcPr>
          <w:p w:rsidR="00052735" w:rsidRPr="005525B3" w:rsidRDefault="003F1785" w:rsidP="00B57CCA">
            <w:pPr>
              <w:spacing w:after="120"/>
              <w:jc w:val="both"/>
              <w:rPr>
                <w:rFonts w:ascii="Times New Roman" w:hAnsi="Times New Roman" w:cs="Times New Roman"/>
                <w:b/>
                <w:bCs/>
                <w:sz w:val="24"/>
                <w:szCs w:val="24"/>
              </w:rPr>
            </w:pPr>
            <w:r w:rsidRPr="005525B3">
              <w:rPr>
                <w:rFonts w:ascii="Times New Roman" w:hAnsi="Times New Roman" w:cs="Times New Roman"/>
                <w:b/>
                <w:bCs/>
                <w:sz w:val="24"/>
                <w:szCs w:val="24"/>
              </w:rPr>
              <w:t>Primary Thematic Contribution</w:t>
            </w:r>
          </w:p>
        </w:tc>
      </w:tr>
      <w:tr w:rsidR="00052735" w:rsidRPr="005525B3" w:rsidTr="00DB3B99">
        <w:tc>
          <w:tcPr>
            <w:tcW w:w="15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CSO programme &amp; evaluation reports</w:t>
            </w:r>
          </w:p>
        </w:tc>
        <w:tc>
          <w:tcPr>
            <w:tcW w:w="186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Organisational annual reports; donor-required evaluations</w:t>
            </w:r>
          </w:p>
        </w:tc>
        <w:tc>
          <w:tcPr>
            <w:tcW w:w="1137"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High</w:t>
            </w:r>
          </w:p>
        </w:tc>
        <w:tc>
          <w:tcPr>
            <w:tcW w:w="1684"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High</w:t>
            </w:r>
          </w:p>
        </w:tc>
        <w:tc>
          <w:tcPr>
            <w:tcW w:w="168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Moderate</w:t>
            </w:r>
          </w:p>
        </w:tc>
        <w:tc>
          <w:tcPr>
            <w:tcW w:w="30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Service models; funding; fragmentation</w:t>
            </w:r>
          </w:p>
        </w:tc>
      </w:tr>
      <w:tr w:rsidR="00052735" w:rsidRPr="005525B3" w:rsidTr="00DB3B99">
        <w:tc>
          <w:tcPr>
            <w:tcW w:w="15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Disability-rights organisation publications</w:t>
            </w:r>
          </w:p>
        </w:tc>
        <w:tc>
          <w:tcPr>
            <w:tcW w:w="186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DPO position papers; advocacy briefs</w:t>
            </w:r>
          </w:p>
        </w:tc>
        <w:tc>
          <w:tcPr>
            <w:tcW w:w="1137"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High</w:t>
            </w:r>
          </w:p>
        </w:tc>
        <w:tc>
          <w:tcPr>
            <w:tcW w:w="1684"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High</w:t>
            </w:r>
          </w:p>
        </w:tc>
        <w:tc>
          <w:tcPr>
            <w:tcW w:w="168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Limited</w:t>
            </w:r>
          </w:p>
        </w:tc>
        <w:tc>
          <w:tcPr>
            <w:tcW w:w="30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Agency &amp; advocacy; participation</w:t>
            </w:r>
          </w:p>
        </w:tc>
      </w:tr>
      <w:tr w:rsidR="00052735" w:rsidRPr="005525B3" w:rsidTr="00DB3B99">
        <w:tc>
          <w:tcPr>
            <w:tcW w:w="15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Government &amp; NGO Directorate records</w:t>
            </w:r>
          </w:p>
        </w:tc>
        <w:tc>
          <w:tcPr>
            <w:tcW w:w="186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Registration data; ministry policy documents</w:t>
            </w:r>
          </w:p>
        </w:tc>
        <w:tc>
          <w:tcPr>
            <w:tcW w:w="1137"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High</w:t>
            </w:r>
          </w:p>
        </w:tc>
        <w:tc>
          <w:tcPr>
            <w:tcW w:w="1684"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Moderate</w:t>
            </w:r>
          </w:p>
        </w:tc>
        <w:tc>
          <w:tcPr>
            <w:tcW w:w="168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Limited</w:t>
            </w:r>
          </w:p>
        </w:tc>
        <w:tc>
          <w:tcPr>
            <w:tcW w:w="30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Classification; coordination; registration</w:t>
            </w:r>
          </w:p>
        </w:tc>
      </w:tr>
      <w:tr w:rsidR="00052735" w:rsidRPr="005525B3" w:rsidTr="00DB3B99">
        <w:tc>
          <w:tcPr>
            <w:tcW w:w="15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Donor &amp; international-organisation monitoring</w:t>
            </w:r>
          </w:p>
        </w:tc>
        <w:tc>
          <w:tcPr>
            <w:tcW w:w="186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OECD, IOM, UN OCHA, and World Bank reporting</w:t>
            </w:r>
          </w:p>
        </w:tc>
        <w:tc>
          <w:tcPr>
            <w:tcW w:w="1137"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High</w:t>
            </w:r>
          </w:p>
        </w:tc>
        <w:tc>
          <w:tcPr>
            <w:tcW w:w="1684"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Moderate</w:t>
            </w:r>
          </w:p>
        </w:tc>
        <w:tc>
          <w:tcPr>
            <w:tcW w:w="168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Moderate</w:t>
            </w:r>
          </w:p>
        </w:tc>
        <w:tc>
          <w:tcPr>
            <w:tcW w:w="30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ODA flows; service coverage; coordination</w:t>
            </w:r>
          </w:p>
        </w:tc>
      </w:tr>
      <w:tr w:rsidR="00052735" w:rsidRPr="005525B3" w:rsidTr="00DB3B99">
        <w:tc>
          <w:tcPr>
            <w:tcW w:w="15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Peer-reviewed academic studies</w:t>
            </w:r>
          </w:p>
        </w:tc>
        <w:tc>
          <w:tcPr>
            <w:tcW w:w="186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Epidemiological, political, and disability-studies research</w:t>
            </w:r>
          </w:p>
        </w:tc>
        <w:tc>
          <w:tcPr>
            <w:tcW w:w="1137"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High</w:t>
            </w:r>
          </w:p>
        </w:tc>
        <w:tc>
          <w:tcPr>
            <w:tcW w:w="1684"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Moderate</w:t>
            </w:r>
          </w:p>
        </w:tc>
        <w:tc>
          <w:tcPr>
            <w:tcW w:w="168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Moderate</w:t>
            </w:r>
          </w:p>
        </w:tc>
        <w:tc>
          <w:tcPr>
            <w:tcW w:w="30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Prevalence; wasta; intersectionality</w:t>
            </w:r>
          </w:p>
        </w:tc>
      </w:tr>
      <w:tr w:rsidR="00052735" w:rsidRPr="005525B3" w:rsidTr="00DB3B99">
        <w:tc>
          <w:tcPr>
            <w:tcW w:w="15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Credible media reporting</w:t>
            </w:r>
          </w:p>
        </w:tc>
        <w:tc>
          <w:tcPr>
            <w:tcW w:w="186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National and regional news outlets</w:t>
            </w:r>
          </w:p>
        </w:tc>
        <w:tc>
          <w:tcPr>
            <w:tcW w:w="1137"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Moderate</w:t>
            </w:r>
          </w:p>
        </w:tc>
        <w:tc>
          <w:tcPr>
            <w:tcW w:w="1684"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Moderate</w:t>
            </w:r>
          </w:p>
        </w:tc>
        <w:tc>
          <w:tcPr>
            <w:tcW w:w="1683"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Moderate</w:t>
            </w:r>
          </w:p>
        </w:tc>
        <w:tc>
          <w:tcPr>
            <w:tcW w:w="3009" w:type="dxa"/>
          </w:tcPr>
          <w:p w:rsidR="00052735" w:rsidRPr="005525B3" w:rsidRDefault="003F1785" w:rsidP="00B57CCA">
            <w:pPr>
              <w:spacing w:after="120"/>
              <w:jc w:val="both"/>
              <w:rPr>
                <w:rFonts w:ascii="Times New Roman" w:hAnsi="Times New Roman" w:cs="Times New Roman"/>
                <w:sz w:val="24"/>
                <w:szCs w:val="24"/>
              </w:rPr>
            </w:pPr>
            <w:r w:rsidRPr="005525B3">
              <w:rPr>
                <w:rFonts w:ascii="Times New Roman" w:hAnsi="Times New Roman" w:cs="Times New Roman"/>
                <w:sz w:val="24"/>
                <w:szCs w:val="24"/>
              </w:rPr>
              <w:t>Contextual updates; registration figures</w:t>
            </w:r>
          </w:p>
        </w:tc>
      </w:tr>
    </w:tbl>
    <w:p w:rsidR="00DB3B99" w:rsidRDefault="00DB3B99" w:rsidP="005525B3">
      <w:pPr>
        <w:spacing w:after="240"/>
        <w:jc w:val="both"/>
        <w:rPr>
          <w:rFonts w:ascii="Times New Roman" w:hAnsi="Times New Roman" w:cs="Times New Roman"/>
          <w:b/>
          <w:bCs/>
          <w:sz w:val="24"/>
          <w:szCs w:val="24"/>
        </w:rPr>
      </w:pPr>
    </w:p>
    <w:p w:rsidR="00052735"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Note. </w:t>
      </w:r>
      <w:r w:rsidRPr="005525B3">
        <w:rPr>
          <w:rFonts w:ascii="Times New Roman" w:hAnsi="Times New Roman" w:cs="Times New Roman"/>
          <w:sz w:val="24"/>
          <w:szCs w:val="24"/>
        </w:rPr>
        <w:t>Coverage indicators (High / Moderate / Limited) reflect the relative availability and density of usable documentary material per cluster, not a numeric source count. Most themes were addressed across several source categories.</w:t>
      </w:r>
    </w:p>
    <w:p w:rsidR="00052735" w:rsidRPr="005525B3" w:rsidRDefault="003F1785" w:rsidP="005525B3">
      <w:pPr>
        <w:pStyle w:val="Heading1"/>
        <w:spacing w:before="0" w:after="240"/>
        <w:jc w:val="both"/>
        <w:rPr>
          <w:rFonts w:ascii="Times New Roman" w:hAnsi="Times New Roman" w:cs="Times New Roman"/>
          <w:color w:val="auto"/>
          <w:sz w:val="24"/>
          <w:szCs w:val="24"/>
        </w:rPr>
      </w:pPr>
      <w:r w:rsidRPr="005525B3">
        <w:rPr>
          <w:rFonts w:ascii="Times New Roman" w:hAnsi="Times New Roman" w:cs="Times New Roman"/>
          <w:color w:val="auto"/>
          <w:sz w:val="24"/>
          <w:szCs w:val="24"/>
        </w:rPr>
        <w:t>Appendix B: Qualitative Coding Framework</w:t>
      </w:r>
    </w:p>
    <w:p w:rsidR="00052735"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sz w:val="24"/>
          <w:szCs w:val="24"/>
        </w:rPr>
        <w:t>Table B1 presents the final thematic coding scheme derived from the analysis of the secondary source corpus. The 67 initial codes were consolidated into six major themes; five representative themes are shown below.</w:t>
      </w:r>
    </w:p>
    <w:p w:rsidR="00052735"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lastRenderedPageBreak/>
        <w:t xml:space="preserve">Table B1. </w:t>
      </w:r>
      <w:r w:rsidRPr="005525B3">
        <w:rPr>
          <w:rFonts w:ascii="Times New Roman" w:hAnsi="Times New Roman" w:cs="Times New Roman"/>
          <w:sz w:val="24"/>
          <w:szCs w:val="24"/>
        </w:rPr>
        <w:t>Final thematic coding scheme (after initial and focused coding), with representative source types.</w:t>
      </w:r>
    </w:p>
    <w:tbl>
      <w:tblPr>
        <w:tblStyle w:val="TableGrid"/>
        <w:tblW w:w="10975" w:type="dxa"/>
        <w:tblLook w:val="04A0"/>
      </w:tblPr>
      <w:tblGrid>
        <w:gridCol w:w="2000"/>
        <w:gridCol w:w="4360"/>
        <w:gridCol w:w="4615"/>
      </w:tblGrid>
      <w:tr w:rsidR="00052735" w:rsidRPr="005525B3" w:rsidTr="00DB3B99">
        <w:tc>
          <w:tcPr>
            <w:tcW w:w="2000" w:type="dxa"/>
          </w:tcPr>
          <w:p w:rsidR="00052735" w:rsidRPr="005525B3" w:rsidRDefault="003F1785" w:rsidP="00DB3B99">
            <w:pPr>
              <w:jc w:val="both"/>
              <w:rPr>
                <w:rFonts w:ascii="Times New Roman" w:hAnsi="Times New Roman" w:cs="Times New Roman"/>
                <w:b/>
                <w:bCs/>
                <w:sz w:val="24"/>
                <w:szCs w:val="24"/>
              </w:rPr>
            </w:pPr>
            <w:r w:rsidRPr="005525B3">
              <w:rPr>
                <w:rFonts w:ascii="Times New Roman" w:hAnsi="Times New Roman" w:cs="Times New Roman"/>
                <w:b/>
                <w:bCs/>
                <w:sz w:val="24"/>
                <w:szCs w:val="24"/>
              </w:rPr>
              <w:t>Major Theme</w:t>
            </w:r>
          </w:p>
        </w:tc>
        <w:tc>
          <w:tcPr>
            <w:tcW w:w="4360" w:type="dxa"/>
          </w:tcPr>
          <w:p w:rsidR="00052735" w:rsidRPr="005525B3" w:rsidRDefault="003F1785" w:rsidP="00DB3B99">
            <w:pPr>
              <w:jc w:val="both"/>
              <w:rPr>
                <w:rFonts w:ascii="Times New Roman" w:hAnsi="Times New Roman" w:cs="Times New Roman"/>
                <w:b/>
                <w:bCs/>
                <w:sz w:val="24"/>
                <w:szCs w:val="24"/>
              </w:rPr>
            </w:pPr>
            <w:r w:rsidRPr="005525B3">
              <w:rPr>
                <w:rFonts w:ascii="Times New Roman" w:hAnsi="Times New Roman" w:cs="Times New Roman"/>
                <w:b/>
                <w:bCs/>
                <w:sz w:val="24"/>
                <w:szCs w:val="24"/>
              </w:rPr>
              <w:t>Sub-Codes (Sample)</w:t>
            </w:r>
          </w:p>
        </w:tc>
        <w:tc>
          <w:tcPr>
            <w:tcW w:w="4615" w:type="dxa"/>
          </w:tcPr>
          <w:p w:rsidR="00052735" w:rsidRPr="005525B3" w:rsidRDefault="003F1785" w:rsidP="00DB3B99">
            <w:pPr>
              <w:jc w:val="both"/>
              <w:rPr>
                <w:rFonts w:ascii="Times New Roman" w:hAnsi="Times New Roman" w:cs="Times New Roman"/>
                <w:b/>
                <w:bCs/>
                <w:sz w:val="24"/>
                <w:szCs w:val="24"/>
              </w:rPr>
            </w:pPr>
            <w:r w:rsidRPr="005525B3">
              <w:rPr>
                <w:rFonts w:ascii="Times New Roman" w:hAnsi="Times New Roman" w:cs="Times New Roman"/>
                <w:b/>
                <w:bCs/>
                <w:sz w:val="24"/>
                <w:szCs w:val="24"/>
              </w:rPr>
              <w:t>Representative Source Types</w:t>
            </w:r>
          </w:p>
        </w:tc>
      </w:tr>
      <w:tr w:rsidR="00052735" w:rsidRPr="005525B3" w:rsidTr="00DB3B99">
        <w:tc>
          <w:tcPr>
            <w:tcW w:w="2000"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Wasta &amp; political networks</w:t>
            </w:r>
          </w:p>
        </w:tc>
        <w:tc>
          <w:tcPr>
            <w:tcW w:w="4360"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Patronage gatekeeping; ministry connections; tribal affiliation; sectarian bias</w:t>
            </w:r>
          </w:p>
        </w:tc>
        <w:tc>
          <w:tcPr>
            <w:tcW w:w="4615"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CSO evaluation reports; academic studies; media reporting</w:t>
            </w:r>
          </w:p>
        </w:tc>
      </w:tr>
      <w:tr w:rsidR="00052735" w:rsidRPr="005525B3" w:rsidTr="00DB3B99">
        <w:tc>
          <w:tcPr>
            <w:tcW w:w="2000"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Funding instability</w:t>
            </w:r>
          </w:p>
        </w:tc>
        <w:tc>
          <w:tcPr>
            <w:tcW w:w="4360"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Budget variability; donor dependency; short-term cycles; sustainability</w:t>
            </w:r>
          </w:p>
        </w:tc>
        <w:tc>
          <w:tcPr>
            <w:tcW w:w="4615"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Donor / IO monitoring; CSO annual reports; OECD data</w:t>
            </w:r>
          </w:p>
        </w:tc>
      </w:tr>
      <w:tr w:rsidR="00052735" w:rsidRPr="005525B3" w:rsidTr="00DB3B99">
        <w:tc>
          <w:tcPr>
            <w:tcW w:w="2000"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Service fragmentation</w:t>
            </w:r>
          </w:p>
        </w:tc>
        <w:tc>
          <w:tcPr>
            <w:tcW w:w="4360"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Isolated programmes; lack of coordination; duplication; gaps</w:t>
            </w:r>
          </w:p>
        </w:tc>
        <w:tc>
          <w:tcPr>
            <w:tcW w:w="4615"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Programme evaluations; UN OCHA coordination reporting</w:t>
            </w:r>
          </w:p>
        </w:tc>
      </w:tr>
      <w:tr w:rsidR="00052735" w:rsidRPr="005525B3" w:rsidTr="00DB3B99">
        <w:tc>
          <w:tcPr>
            <w:tcW w:w="2000"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Intersectional vulnerability</w:t>
            </w:r>
          </w:p>
        </w:tc>
        <w:tc>
          <w:tcPr>
            <w:tcW w:w="4360"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Gender &amp; caregiving; violence risk; compound marginalisation</w:t>
            </w:r>
          </w:p>
        </w:tc>
        <w:tc>
          <w:tcPr>
            <w:tcW w:w="4615"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Peer-reviewed studies; DPO publications</w:t>
            </w:r>
          </w:p>
        </w:tc>
      </w:tr>
      <w:tr w:rsidR="00052735" w:rsidRPr="005525B3" w:rsidTr="00DB3B99">
        <w:tc>
          <w:tcPr>
            <w:tcW w:w="2000"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Digital innovation &amp; access</w:t>
            </w:r>
          </w:p>
        </w:tc>
        <w:tc>
          <w:tcPr>
            <w:tcW w:w="4360"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Digital platforms; connectivity barriers; accessibility features; data systems</w:t>
            </w:r>
          </w:p>
        </w:tc>
        <w:tc>
          <w:tcPr>
            <w:tcW w:w="4615" w:type="dxa"/>
          </w:tcPr>
          <w:p w:rsidR="00052735" w:rsidRPr="005525B3" w:rsidRDefault="003F1785" w:rsidP="00DB3B99">
            <w:pPr>
              <w:jc w:val="both"/>
              <w:rPr>
                <w:rFonts w:ascii="Times New Roman" w:hAnsi="Times New Roman" w:cs="Times New Roman"/>
                <w:sz w:val="24"/>
                <w:szCs w:val="24"/>
              </w:rPr>
            </w:pPr>
            <w:r w:rsidRPr="005525B3">
              <w:rPr>
                <w:rFonts w:ascii="Times New Roman" w:hAnsi="Times New Roman" w:cs="Times New Roman"/>
                <w:sz w:val="24"/>
                <w:szCs w:val="24"/>
              </w:rPr>
              <w:t>CSO reports; portal-usage documentation</w:t>
            </w:r>
          </w:p>
        </w:tc>
      </w:tr>
    </w:tbl>
    <w:p w:rsidR="00DB3B99" w:rsidRDefault="00DB3B99" w:rsidP="005525B3">
      <w:pPr>
        <w:spacing w:after="240"/>
        <w:jc w:val="both"/>
        <w:rPr>
          <w:rFonts w:ascii="Times New Roman" w:hAnsi="Times New Roman" w:cs="Times New Roman"/>
          <w:b/>
          <w:bCs/>
          <w:sz w:val="24"/>
          <w:szCs w:val="24"/>
        </w:rPr>
      </w:pPr>
    </w:p>
    <w:p w:rsidR="00052735" w:rsidRPr="005525B3" w:rsidRDefault="003F1785" w:rsidP="005525B3">
      <w:pPr>
        <w:spacing w:after="240"/>
        <w:jc w:val="both"/>
        <w:rPr>
          <w:rFonts w:ascii="Times New Roman" w:hAnsi="Times New Roman" w:cs="Times New Roman"/>
          <w:sz w:val="24"/>
          <w:szCs w:val="24"/>
        </w:rPr>
      </w:pPr>
      <w:r w:rsidRPr="005525B3">
        <w:rPr>
          <w:rFonts w:ascii="Times New Roman" w:hAnsi="Times New Roman" w:cs="Times New Roman"/>
          <w:b/>
          <w:bCs/>
          <w:sz w:val="24"/>
          <w:szCs w:val="24"/>
        </w:rPr>
        <w:t xml:space="preserve">Note. </w:t>
      </w:r>
      <w:r w:rsidRPr="005525B3">
        <w:rPr>
          <w:rFonts w:ascii="Times New Roman" w:hAnsi="Times New Roman" w:cs="Times New Roman"/>
          <w:sz w:val="24"/>
          <w:szCs w:val="24"/>
        </w:rPr>
        <w:t>Source types listed are representative rather than exhaustive; most themes were coded across multiple source categories, so the categories are not mutually exclusive.</w:t>
      </w:r>
    </w:p>
    <w:sectPr w:rsidR="00052735" w:rsidRPr="005525B3" w:rsidSect="004A3FC6">
      <w:headerReference w:type="default" r:id="rId10"/>
      <w:footerReference w:type="default" r:id="rId11"/>
      <w:pgSz w:w="11909" w:h="16834" w:code="9"/>
      <w:pgMar w:top="1094" w:right="605" w:bottom="605" w:left="605" w:header="346" w:footer="0" w:gutter="0"/>
      <w:pgNumType w:start="989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701" w:rsidRDefault="00DC6701">
      <w:r>
        <w:separator/>
      </w:r>
    </w:p>
  </w:endnote>
  <w:endnote w:type="continuationSeparator" w:id="0">
    <w:p w:rsidR="00DC6701" w:rsidRDefault="00DC67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14242470"/>
      <w:docPartObj>
        <w:docPartGallery w:val="Page Numbers (Bottom of Page)"/>
        <w:docPartUnique/>
      </w:docPartObj>
    </w:sdtPr>
    <w:sdtContent>
      <w:sdt>
        <w:sdtPr>
          <w:rPr>
            <w:rFonts w:ascii="Times New Roman" w:hAnsi="Times New Roman" w:cs="Times New Roman"/>
          </w:rPr>
          <w:id w:val="-2070332105"/>
          <w:docPartObj>
            <w:docPartGallery w:val="Page Numbers (Bottom of Page)"/>
            <w:docPartUnique/>
          </w:docPartObj>
        </w:sdtPr>
        <w:sdtEndPr>
          <w:rPr>
            <w:noProof/>
          </w:rPr>
        </w:sdtEndPr>
        <w:sdtContent>
          <w:p w:rsidR="00B57CCA" w:rsidRPr="00B57CCA" w:rsidRDefault="007C1ED2" w:rsidP="00B57CCA">
            <w:pPr>
              <w:pStyle w:val="Footer"/>
              <w:ind w:firstLine="240"/>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7" o:spid="_x0000_s1036" type="#_x0000_t202" style="position:absolute;left:0;text-align:left;margin-left:23.9pt;margin-top:816.7pt;width:120.6pt;height:21.0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" filled="f" stroked="f">
                  <v:textbox style="mso-next-textbox:#Text Box 7" inset="0,0,0,0">
                    <w:txbxContent>
                      <w:p w:rsidR="00B57CCA" w:rsidRDefault="00B57CCA" w:rsidP="00B57CCA">
                        <w:pPr>
                          <w:spacing w:before="10"/>
                          <w:ind w:left="20" w:hanging="20"/>
                        </w:pPr>
                        <w:r w:rsidRPr="00CD7E3F">
                          <w:rPr>
                            <w:sz w:val="20"/>
                            <w:szCs w:val="20"/>
                          </w:rPr>
                          <w:t>Page</w:t>
                        </w:r>
                        <w:r w:rsidRPr="00CD7E3F">
                          <w:rPr>
                            <w:spacing w:val="-2"/>
                            <w:sz w:val="20"/>
                            <w:szCs w:val="20"/>
                          </w:rPr>
                          <w:t xml:space="preserve"> </w:t>
                        </w:r>
                        <w:r w:rsidR="007C1ED2" w:rsidRPr="00CD7E3F">
                          <w:rPr>
                            <w:spacing w:val="-5"/>
                            <w:sz w:val="20"/>
                            <w:szCs w:val="20"/>
                          </w:rPr>
                          <w:fldChar w:fldCharType="begin"/>
                        </w:r>
                        <w:r w:rsidRPr="00CD7E3F">
                          <w:rPr>
                            <w:spacing w:val="-5"/>
                            <w:sz w:val="20"/>
                            <w:szCs w:val="20"/>
                          </w:rPr>
                          <w:instrText xml:space="preserve"> PAGE </w:instrText>
                        </w:r>
                        <w:r w:rsidR="007C1ED2" w:rsidRPr="00CD7E3F">
                          <w:rPr>
                            <w:spacing w:val="-5"/>
                            <w:sz w:val="20"/>
                            <w:szCs w:val="20"/>
                          </w:rPr>
                          <w:fldChar w:fldCharType="separate"/>
                        </w:r>
                        <w:r w:rsidR="00C74A2C">
                          <w:rPr>
                            <w:noProof/>
                            <w:spacing w:val="-5"/>
                            <w:sz w:val="20"/>
                            <w:szCs w:val="20"/>
                          </w:rPr>
                          <w:t>9890</w:t>
                        </w:r>
                        <w:r w:rsidR="007C1ED2" w:rsidRPr="00CD7E3F">
                          <w:rPr>
                            <w:spacing w:val="-5"/>
                            <w:sz w:val="20"/>
                            <w:szCs w:val="20"/>
                          </w:rPr>
                          <w:fldChar w:fldCharType="end"/>
                        </w:r>
                      </w:p>
                    </w:txbxContent>
                  </v:textbox>
                  <w10:wrap anchorx="page" anchory="page"/>
                </v:shape>
              </w:pict>
            </w:r>
            <w:sdt>
              <w:sdtPr>
                <w:rPr>
                  <w:rFonts w:ascii="Times New Roman" w:hAnsi="Times New Roman" w:cs="Times New Roman"/>
                </w:rPr>
                <w:id w:val="-1291967210"/>
                <w:docPartObj>
                  <w:docPartGallery w:val="Page Numbers (Bottom of Page)"/>
                  <w:docPartUnique/>
                </w:docPartObj>
              </w:sdtPr>
              <w:sdtEndPr>
                <w:rPr>
                  <w:noProof/>
                </w:rPr>
              </w:sdtEndPr>
              <w:sdtContent>
                <w:sdt>
                  <w:sdtPr>
                    <w:rPr>
                      <w:rFonts w:ascii="Times New Roman" w:hAnsi="Times New Roman" w:cs="Times New Roman"/>
                    </w:rPr>
                    <w:id w:val="-44758680"/>
                    <w:docPartObj>
                      <w:docPartGallery w:val="Page Numbers (Bottom of Page)"/>
                      <w:docPartUnique/>
                    </w:docPartObj>
                  </w:sdtPr>
                  <w:sdtEndPr>
                    <w:rPr>
                      <w:noProof/>
                    </w:rPr>
                  </w:sdtEndPr>
                  <w:sdtContent>
                    <w:sdt>
                      <w:sdtPr>
                        <w:rPr>
                          <w:rFonts w:ascii="Times New Roman" w:hAnsi="Times New Roman" w:cs="Times New Roman"/>
                        </w:rPr>
                        <w:id w:val="668225561"/>
                        <w:docPartObj>
                          <w:docPartGallery w:val="Page Numbers (Bottom of Page)"/>
                          <w:docPartUnique/>
                        </w:docPartObj>
                      </w:sdtPr>
                      <w:sdtEndPr>
                        <w:rPr>
                          <w:noProof/>
                        </w:rPr>
                      </w:sdtEndPr>
                      <w:sdtContent>
                        <w:sdt>
                          <w:sdtPr>
                            <w:rPr>
                              <w:rFonts w:ascii="Times New Roman" w:hAnsi="Times New Roman" w:cs="Times New Roman"/>
                            </w:rPr>
                            <w:id w:val="306132340"/>
                            <w:docPartObj>
                              <w:docPartGallery w:val="Page Numbers (Bottom of Page)"/>
                              <w:docPartUnique/>
                            </w:docPartObj>
                          </w:sdtPr>
                          <w:sdtEndPr>
                            <w:rPr>
                              <w:noProof/>
                            </w:rPr>
                          </w:sdtEndPr>
                          <w:sdtContent>
                            <w:sdt>
                              <w:sdtPr>
                                <w:rPr>
                                  <w:rFonts w:ascii="Times New Roman" w:hAnsi="Times New Roman" w:cs="Times New Roman"/>
                                </w:rPr>
                                <w:id w:val="-459424435"/>
                                <w:docPartObj>
                                  <w:docPartGallery w:val="Page Numbers (Bottom of Page)"/>
                                  <w:docPartUnique/>
                                </w:docPartObj>
                              </w:sdtPr>
                              <w:sdtEndPr>
                                <w:rPr>
                                  <w:noProof/>
                                </w:rPr>
                              </w:sdtEndPr>
                              <w:sdtContent>
                                <w:sdt>
                                  <w:sdtPr>
                                    <w:rPr>
                                      <w:rFonts w:ascii="Times New Roman" w:hAnsi="Times New Roman" w:cs="Times New Roman"/>
                                    </w:rPr>
                                    <w:id w:val="-1652824093"/>
                                    <w:docPartObj>
                                      <w:docPartGallery w:val="Page Numbers (Bottom of Page)"/>
                                      <w:docPartUnique/>
                                    </w:docPartObj>
                                  </w:sdtPr>
                                  <w:sdtEndPr>
                                    <w:rPr>
                                      <w:noProof/>
                                    </w:rPr>
                                  </w:sdtEndPr>
                                  <w:sdtContent>
                                    <w:r>
                                      <w:rPr>
                                        <w:rFonts w:ascii="Times New Roman" w:hAnsi="Times New Roman" w:cs="Times New Roman"/>
                                        <w:noProof/>
                                      </w:rPr>
                                      <w:pict>
                                        <v:shape id="Text Box 3" o:spid="_x0000_s1039" type="#_x0000_t202" style="position:absolute;left:0;text-align:left;margin-left:238.8pt;margin-top:825.6pt;width:138.6pt;height:27.45pt;z-index:-251649024;visibility:visible;mso-wrap-distance-left:0;mso-wrap-distance-right:0;mso-position-horizontal-relative:pag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" filled="f" stroked="f">
                                          <v:textbox style="mso-next-textbox:#Text Box 3" inset="0,0,0,0">
                                            <w:txbxContent>
                                              <w:p w:rsidR="00B57CCA" w:rsidRPr="00B57CCA" w:rsidRDefault="007C1ED2" w:rsidP="00B57CCA">
                                                <w:pPr>
                                                  <w:spacing w:before="10"/>
                                                  <w:ind w:left="20" w:hanging="20"/>
                                                  <w:rPr>
                                                    <w:rFonts w:ascii="Times New Roman" w:hAnsi="Times New Roman" w:cs="Times New Roman"/>
                                                    <w:sz w:val="20"/>
                                                    <w:szCs w:val="20"/>
                                                  </w:rPr>
                                                </w:pPr>
                                                <w:hyperlink r:id="rId1">
                                                  <w:r w:rsidR="00B57CCA" w:rsidRPr="00B57CCA">
                                                    <w:rPr>
                                                      <w:rFonts w:ascii="Times New Roman" w:hAnsi="Times New Roman" w:cs="Times New Roman"/>
                                                      <w:spacing w:val="-2"/>
                                                      <w:sz w:val="20"/>
                                                      <w:szCs w:val="20"/>
                                                    </w:rPr>
                                                    <w:t>www.rsisinternational.org</w:t>
                                                  </w:r>
                                                </w:hyperlink>
                                              </w:p>
                                            </w:txbxContent>
                                          </v:textbox>
                                          <w10:wrap anchorx="page" anchory="page"/>
                                        </v:shape>
                                      </w:pict>
                                    </w:r>
                                  </w:sdtContent>
                                </w:sdt>
                              </w:sdtContent>
                            </w:sdt>
                          </w:sdtContent>
                        </w:sdt>
                      </w:sdtContent>
                    </w:sdt>
                  </w:sdtContent>
                </w:sdt>
              </w:sdtContent>
            </w:sdt>
            <w:r>
              <w:rPr>
                <w:rFonts w:ascii="Times New Roman" w:hAnsi="Times New Roman" w:cs="Times New Roman"/>
                <w:noProof/>
              </w:rPr>
              <w:pict>
                <v:shape id="_x0000_s1037" type="#_x0000_t202" style="position:absolute;left:0;text-align:left;margin-left:0;margin-top:0;width:6.75pt;height:14.65pt;z-index:251665408;visibility:visible;mso-wrap-style:non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" filled="f" stroked="f" strokeweight=".5pt">
                  <v:textbox style="mso-next-textbox:#_x0000_s1037;mso-fit-shape-to-text:t" inset="0,0,0,0">
                    <w:txbxContent>
                      <w:p w:rsidR="00B57CCA" w:rsidRDefault="00B57CCA" w:rsidP="00B57CCA">
                        <w:pPr>
                          <w:pStyle w:val="Footer"/>
                          <w:rPr>
                            <w:lang w:val="en-GB"/>
                          </w:rPr>
                        </w:pPr>
                      </w:p>
                    </w:txbxContent>
                  </v:textbox>
                  <w10:wrap anchorx="margin"/>
                </v:shape>
              </w:pict>
            </w:r>
          </w:p>
          <w:p w:rsidR="00B57CCA" w:rsidRPr="00B57CCA" w:rsidRDefault="007C1ED2" w:rsidP="00B57CCA">
            <w:pPr>
              <w:pStyle w:val="Footer"/>
              <w:tabs>
                <w:tab w:val="left" w:pos="228"/>
                <w:tab w:val="center" w:pos="5348"/>
              </w:tabs>
              <w:rPr>
                <w:rFonts w:ascii="Times New Roman" w:hAnsi="Times New Roman" w:cs="Times New Roman"/>
              </w:rPr>
            </w:pPr>
            <w:r>
              <w:rPr>
                <w:rFonts w:ascii="Times New Roman" w:hAnsi="Times New Roman" w:cs="Times New Roman"/>
                <w:noProof/>
              </w:rPr>
              <w:pict>
                <v:shape id="Freeform: Shape 5" o:spid="_x0000_s1038" style="position:absolute;margin-left:20.6pt;margin-top:815.3pt;width:538.55pt;height:1.4pt;z-index:-251650048;visibility:visible;mso-wrap-style:square;mso-width-percent:0;mso-height-percent:0;mso-wrap-distance-left:0;mso-wrap-distance-top:0;mso-wrap-distance-right:0;mso-wrap-distance-bottom:0;mso-position-horizontal-relative:pag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" path="m6671309,l,,,45084r6671309,l6671309,xe" fillcolor="gray" stroked="f">
                  <v:path arrowok="t"/>
                  <w10:wrap anchorx="page" anchory="page"/>
                </v:shape>
              </w:pict>
            </w:r>
            <w:r w:rsidR="00B57CCA" w:rsidRPr="00B57CCA">
              <w:rPr>
                <w:rFonts w:ascii="Times New Roman" w:hAnsi="Times New Roman" w:cs="Times New Roman"/>
              </w:rPr>
              <w:tab/>
            </w:r>
          </w:p>
        </w:sdtContent>
      </w:sdt>
    </w:sdtContent>
  </w:sdt>
  <w:p w:rsidR="006B7FBB" w:rsidRPr="00B57CCA" w:rsidRDefault="006B7FBB" w:rsidP="00B57CC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701" w:rsidRDefault="00DC6701">
      <w:r>
        <w:separator/>
      </w:r>
    </w:p>
  </w:footnote>
  <w:footnote w:type="continuationSeparator" w:id="0">
    <w:p w:rsidR="00DC6701" w:rsidRDefault="00DC6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5B3" w:rsidRPr="00A851E4" w:rsidRDefault="005525B3" w:rsidP="005525B3">
    <w:pPr>
      <w:tabs>
        <w:tab w:val="center" w:pos="4513"/>
        <w:tab w:val="right" w:pos="9026"/>
      </w:tabs>
    </w:pPr>
    <w:r>
      <w:rPr>
        <w:noProof/>
      </w:rPr>
      <w:drawing>
        <wp:anchor distT="0" distB="0" distL="114300" distR="114300" simplePos="0" relativeHeight="251659264" behindDoc="1" locked="0" layoutInCell="1" allowOverlap="1">
          <wp:simplePos x="0" y="0"/>
          <wp:positionH relativeFrom="margin">
            <wp:posOffset>-10795</wp:posOffset>
          </wp:positionH>
          <wp:positionV relativeFrom="paragraph">
            <wp:posOffset>-187960</wp:posOffset>
          </wp:positionV>
          <wp:extent cx="967740" cy="660400"/>
          <wp:effectExtent l="0" t="0" r="3810" b="6350"/>
          <wp:wrapNone/>
          <wp:docPr id="1497908422" name="Picture 5" descr="Description: 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7740" cy="660400"/>
                  </a:xfrm>
                  <a:prstGeom prst="rect">
                    <a:avLst/>
                  </a:prstGeom>
                  <a:noFill/>
                  <a:ln>
                    <a:noFill/>
                  </a:ln>
                </pic:spPr>
              </pic:pic>
            </a:graphicData>
          </a:graphic>
        </wp:anchor>
      </w:drawing>
    </w:r>
    <w:r w:rsidR="007C1ED2">
      <w:rPr>
        <w:noProof/>
      </w:rPr>
      <w:pict>
        <v:shapetype id="_x0000_t202" coordsize="21600,21600" o:spt="202" path="m,l,21600r21600,l21600,xe">
          <v:stroke joinstyle="miter"/>
          <v:path gradientshapeok="t" o:connecttype="rect"/>
        </v:shapetype>
        <v:shape id="Text Box 9" o:spid="_x0000_s1026" type="#_x0000_t202" style="position:absolute;margin-left:96pt;margin-top:16pt;width:481.2pt;height:30.9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" filled="f" stroked="f">
          <v:textbox inset="0,0,0,0">
            <w:txbxContent>
              <w:p w:rsidR="005525B3" w:rsidRPr="00137694" w:rsidRDefault="005525B3" w:rsidP="005525B3">
                <w:pPr>
                  <w:ind w:left="90"/>
                  <w:jc w:val="right"/>
                  <w:rPr>
                    <w:rFonts w:ascii="Times New Roman" w:hAnsi="Times New Roman" w:cs="Times New Roman"/>
                    <w:b/>
                    <w:sz w:val="20"/>
                  </w:rPr>
                </w:pPr>
                <w:r w:rsidRPr="00137694">
                  <w:rPr>
                    <w:rFonts w:ascii="Times New Roman" w:hAnsi="Times New Roman" w:cs="Times New Roman"/>
                    <w:b/>
                    <w:sz w:val="20"/>
                  </w:rPr>
                  <w:t>INTERNATIONAL JOURNAL OF RESEARCH AND INNOVATION IN SOCIAL SCIENCE (IJRISS)</w:t>
                </w:r>
              </w:p>
              <w:p w:rsidR="005525B3" w:rsidRPr="00137694" w:rsidRDefault="005525B3" w:rsidP="005525B3">
                <w:pPr>
                  <w:ind w:left="90"/>
                  <w:jc w:val="right"/>
                  <w:rPr>
                    <w:rFonts w:ascii="Times New Roman" w:hAnsi="Times New Roman" w:cs="Times New Roman"/>
                    <w:bCs/>
                    <w:sz w:val="20"/>
                  </w:rPr>
                </w:pPr>
                <w:r w:rsidRPr="00137694">
                  <w:rPr>
                    <w:rFonts w:ascii="Times New Roman" w:hAnsi="Times New Roman" w:cs="Times New Roman"/>
                    <w:sz w:val="20"/>
                  </w:rPr>
                  <w:t>ISSN</w:t>
                </w:r>
                <w:r w:rsidRPr="00137694">
                  <w:rPr>
                    <w:rFonts w:ascii="Times New Roman" w:hAnsi="Times New Roman" w:cs="Times New Roman"/>
                    <w:spacing w:val="-1"/>
                    <w:sz w:val="20"/>
                  </w:rPr>
                  <w:t xml:space="preserve"> </w:t>
                </w:r>
                <w:r w:rsidRPr="00137694">
                  <w:rPr>
                    <w:rFonts w:ascii="Times New Roman" w:hAnsi="Times New Roman" w:cs="Times New Roman"/>
                    <w:sz w:val="20"/>
                  </w:rPr>
                  <w:t xml:space="preserve">No. 2454-6186 | DOI: 10.47772/IJRISS | Volume X Issue </w:t>
                </w:r>
                <w:r w:rsidR="00B57CCA" w:rsidRPr="00B57CCA">
                  <w:rPr>
                    <w:rFonts w:ascii="Times New Roman" w:hAnsi="Times New Roman" w:cs="Times New Roman"/>
                    <w:sz w:val="20"/>
                  </w:rPr>
                  <w:t>VI June</w:t>
                </w:r>
                <w:r w:rsidR="00B57CCA" w:rsidRPr="00137694">
                  <w:rPr>
                    <w:sz w:val="20"/>
                  </w:rPr>
                  <w:t xml:space="preserve"> </w:t>
                </w:r>
                <w:r w:rsidRPr="00137694">
                  <w:rPr>
                    <w:rFonts w:ascii="Times New Roman" w:hAnsi="Times New Roman" w:cs="Times New Roman"/>
                    <w:sz w:val="20"/>
                  </w:rPr>
                  <w:t>2026</w:t>
                </w:r>
              </w:p>
              <w:p w:rsidR="005525B3" w:rsidRPr="00137694" w:rsidRDefault="005525B3" w:rsidP="005525B3">
                <w:pPr>
                  <w:ind w:left="90"/>
                  <w:jc w:val="right"/>
                  <w:rPr>
                    <w:rFonts w:ascii="Times New Roman" w:hAnsi="Times New Roman" w:cs="Times New Roman"/>
                    <w:bCs/>
                    <w:sz w:val="10"/>
                    <w:szCs w:val="18"/>
                  </w:rPr>
                </w:pPr>
              </w:p>
            </w:txbxContent>
          </v:textbox>
          <w10:wrap anchorx="page" anchory="page"/>
        </v:shape>
      </w:pict>
    </w:r>
    <w:sdt>
      <w:sdtPr>
        <w:id w:val="901637713"/>
        <w:docPartObj>
          <w:docPartGallery w:val="Page Numbers (Bottom of Page)"/>
          <w:docPartUnique/>
        </w:docPartObj>
      </w:sdtPr>
      <w:sdtContent>
        <w:sdt>
          <w:sdtPr>
            <w:id w:val="439266857"/>
            <w:docPartObj>
              <w:docPartGallery w:val="Page Numbers (Bottom of Page)"/>
              <w:docPartUnique/>
            </w:docPartObj>
          </w:sdtPr>
          <w:sdtEndPr>
            <w:rPr>
              <w:noProof/>
            </w:rPr>
          </w:sdtEndPr>
          <w:sdtContent>
            <w:r w:rsidR="007C1ED2">
              <w:rPr>
                <w:noProof/>
              </w:rPr>
              <w:pict>
                <v:shape id="Text Box 1" o:spid="_x0000_s1027" type="#_x0000_t202" style="position:absolute;margin-left:0;margin-top:0;width:6.75pt;height:14.65pt;z-index:251662336;visibility:visible;mso-wrap-style:non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" filled="f" stroked="f" strokeweight=".5pt">
                  <v:textbox style="mso-fit-shape-to-text:t" inset="0,0,0,0">
                    <w:txbxContent>
                      <w:p w:rsidR="005525B3" w:rsidRDefault="005525B3" w:rsidP="005525B3">
                        <w:pPr>
                          <w:pStyle w:val="Footer"/>
                          <w:rPr>
                            <w:lang w:val="en-GB"/>
                          </w:rPr>
                        </w:pPr>
                      </w:p>
                    </w:txbxContent>
                  </v:textbox>
                  <w10:wrap anchorx="margin"/>
                </v:shape>
              </w:pict>
            </w:r>
          </w:sdtContent>
        </w:sdt>
      </w:sdtContent>
    </w:sdt>
  </w:p>
  <w:p w:rsidR="005525B3" w:rsidRDefault="007C1ED2" w:rsidP="005525B3">
    <w:pPr>
      <w:pStyle w:val="Header"/>
    </w:pPr>
    <w:r>
      <w:rPr>
        <w:noProof/>
      </w:rPr>
      <w:pict>
        <v:group id="Group 11" o:spid="_x0000_s1032" style="position:absolute;margin-left:4.95pt;margin-top:22.25pt;width:538.6pt;height:1.5pt;z-index:-25165619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">
          <v:shape id="Graphic 7" o:spid="_x0000_s1033"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" path="m6671309,l,,,19050r6671309,l6671309,xe" fillcolor="gray" stroked="f">
            <v:path arrowok="t"/>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250"/>
    <w:multiLevelType w:val="hybridMultilevel"/>
    <w:tmpl w:val="58C606EA"/>
    <w:lvl w:ilvl="0" w:tplc="90C203CE">
      <w:start w:val="1"/>
      <w:numFmt w:val="decimal"/>
      <w:lvlText w:val="%1."/>
      <w:lvlJc w:val="left"/>
      <w:pPr>
        <w:ind w:left="540" w:hanging="360"/>
      </w:pPr>
      <w:rPr>
        <w:rFonts w:ascii="Calibri" w:eastAsia="Calibri" w:hAnsi="Calibri" w:cs="Calibri"/>
      </w:rPr>
    </w:lvl>
    <w:lvl w:ilvl="1" w:tplc="67A4802A">
      <w:numFmt w:val="decimal"/>
      <w:lvlText w:val=""/>
      <w:lvlJc w:val="left"/>
    </w:lvl>
    <w:lvl w:ilvl="2" w:tplc="732AAE12">
      <w:numFmt w:val="decimal"/>
      <w:lvlText w:val=""/>
      <w:lvlJc w:val="left"/>
    </w:lvl>
    <w:lvl w:ilvl="3" w:tplc="58402216">
      <w:numFmt w:val="decimal"/>
      <w:lvlText w:val=""/>
      <w:lvlJc w:val="left"/>
    </w:lvl>
    <w:lvl w:ilvl="4" w:tplc="187CD4D6">
      <w:numFmt w:val="decimal"/>
      <w:lvlText w:val=""/>
      <w:lvlJc w:val="left"/>
    </w:lvl>
    <w:lvl w:ilvl="5" w:tplc="B1FA67E0">
      <w:numFmt w:val="decimal"/>
      <w:lvlText w:val=""/>
      <w:lvlJc w:val="left"/>
    </w:lvl>
    <w:lvl w:ilvl="6" w:tplc="5532E5B6">
      <w:numFmt w:val="decimal"/>
      <w:lvlText w:val=""/>
      <w:lvlJc w:val="left"/>
    </w:lvl>
    <w:lvl w:ilvl="7" w:tplc="1EC03704">
      <w:numFmt w:val="decimal"/>
      <w:lvlText w:val=""/>
      <w:lvlJc w:val="left"/>
    </w:lvl>
    <w:lvl w:ilvl="8" w:tplc="E04A10A2">
      <w:numFmt w:val="decimal"/>
      <w:lvlText w:val=""/>
      <w:lvlJc w:val="left"/>
    </w:lvl>
  </w:abstractNum>
  <w:abstractNum w:abstractNumId="1">
    <w:nsid w:val="11F775CA"/>
    <w:multiLevelType w:val="hybridMultilevel"/>
    <w:tmpl w:val="2200D2C6"/>
    <w:lvl w:ilvl="0" w:tplc="7C0C41C4">
      <w:start w:val="1"/>
      <w:numFmt w:val="decimal"/>
      <w:lvlText w:val="%1."/>
      <w:lvlJc w:val="left"/>
      <w:pPr>
        <w:ind w:left="540" w:hanging="360"/>
      </w:pPr>
      <w:rPr>
        <w:rFonts w:ascii="Calibri" w:eastAsia="Calibri" w:hAnsi="Calibri" w:cs="Calibri"/>
      </w:rPr>
    </w:lvl>
    <w:lvl w:ilvl="1" w:tplc="7A64B4C0">
      <w:numFmt w:val="decimal"/>
      <w:lvlText w:val=""/>
      <w:lvlJc w:val="left"/>
    </w:lvl>
    <w:lvl w:ilvl="2" w:tplc="DDD01D9A">
      <w:numFmt w:val="decimal"/>
      <w:lvlText w:val=""/>
      <w:lvlJc w:val="left"/>
    </w:lvl>
    <w:lvl w:ilvl="3" w:tplc="F402AF44">
      <w:numFmt w:val="decimal"/>
      <w:lvlText w:val=""/>
      <w:lvlJc w:val="left"/>
    </w:lvl>
    <w:lvl w:ilvl="4" w:tplc="38AA1E3A">
      <w:numFmt w:val="decimal"/>
      <w:lvlText w:val=""/>
      <w:lvlJc w:val="left"/>
    </w:lvl>
    <w:lvl w:ilvl="5" w:tplc="06D0AF9E">
      <w:numFmt w:val="decimal"/>
      <w:lvlText w:val=""/>
      <w:lvlJc w:val="left"/>
    </w:lvl>
    <w:lvl w:ilvl="6" w:tplc="D66EE3D2">
      <w:numFmt w:val="decimal"/>
      <w:lvlText w:val=""/>
      <w:lvlJc w:val="left"/>
    </w:lvl>
    <w:lvl w:ilvl="7" w:tplc="730C0FF4">
      <w:numFmt w:val="decimal"/>
      <w:lvlText w:val=""/>
      <w:lvlJc w:val="left"/>
    </w:lvl>
    <w:lvl w:ilvl="8" w:tplc="6A5E36D4">
      <w:numFmt w:val="decimal"/>
      <w:lvlText w:val=""/>
      <w:lvlJc w:val="left"/>
    </w:lvl>
  </w:abstractNum>
  <w:abstractNum w:abstractNumId="2">
    <w:nsid w:val="27D14663"/>
    <w:multiLevelType w:val="multilevel"/>
    <w:tmpl w:val="FEFCC414"/>
    <w:lvl w:ilvl="0">
      <w:start w:val="8"/>
      <w:numFmt w:val="decimal"/>
      <w:lvlText w:val="%1"/>
      <w:lvlJc w:val="left"/>
      <w:pPr>
        <w:ind w:left="480" w:hanging="480"/>
      </w:pPr>
      <w:rPr>
        <w:rFonts w:hint="default"/>
        <w:b/>
        <w:i/>
      </w:rPr>
    </w:lvl>
    <w:lvl w:ilvl="1">
      <w:start w:val="1"/>
      <w:numFmt w:val="decimal"/>
      <w:lvlText w:val="%1.%2"/>
      <w:lvlJc w:val="left"/>
      <w:pPr>
        <w:ind w:left="480" w:hanging="48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
    <w:nsid w:val="2EB758F3"/>
    <w:multiLevelType w:val="hybridMultilevel"/>
    <w:tmpl w:val="3E9A05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1497F7C"/>
    <w:multiLevelType w:val="hybridMultilevel"/>
    <w:tmpl w:val="F398AE4A"/>
    <w:lvl w:ilvl="0" w:tplc="BFDE44C8">
      <w:start w:val="1"/>
      <w:numFmt w:val="decimal"/>
      <w:lvlText w:val="%1."/>
      <w:lvlJc w:val="left"/>
      <w:pPr>
        <w:ind w:left="540" w:hanging="360"/>
      </w:pPr>
      <w:rPr>
        <w:rFonts w:ascii="Calibri" w:eastAsia="Calibri" w:hAnsi="Calibri" w:cs="Calibri"/>
      </w:rPr>
    </w:lvl>
    <w:lvl w:ilvl="1" w:tplc="11D461DC">
      <w:numFmt w:val="decimal"/>
      <w:lvlText w:val=""/>
      <w:lvlJc w:val="left"/>
    </w:lvl>
    <w:lvl w:ilvl="2" w:tplc="B34AC96A">
      <w:numFmt w:val="decimal"/>
      <w:lvlText w:val=""/>
      <w:lvlJc w:val="left"/>
    </w:lvl>
    <w:lvl w:ilvl="3" w:tplc="6B700818">
      <w:numFmt w:val="decimal"/>
      <w:lvlText w:val=""/>
      <w:lvlJc w:val="left"/>
    </w:lvl>
    <w:lvl w:ilvl="4" w:tplc="E0B05856">
      <w:numFmt w:val="decimal"/>
      <w:lvlText w:val=""/>
      <w:lvlJc w:val="left"/>
    </w:lvl>
    <w:lvl w:ilvl="5" w:tplc="4E28A91C">
      <w:numFmt w:val="decimal"/>
      <w:lvlText w:val=""/>
      <w:lvlJc w:val="left"/>
    </w:lvl>
    <w:lvl w:ilvl="6" w:tplc="2F727EDC">
      <w:numFmt w:val="decimal"/>
      <w:lvlText w:val=""/>
      <w:lvlJc w:val="left"/>
    </w:lvl>
    <w:lvl w:ilvl="7" w:tplc="56125964">
      <w:numFmt w:val="decimal"/>
      <w:lvlText w:val=""/>
      <w:lvlJc w:val="left"/>
    </w:lvl>
    <w:lvl w:ilvl="8" w:tplc="E5C8B04A">
      <w:numFmt w:val="decimal"/>
      <w:lvlText w:val=""/>
      <w:lvlJc w:val="left"/>
    </w:lvl>
  </w:abstractNum>
  <w:abstractNum w:abstractNumId="5">
    <w:nsid w:val="3A800D8F"/>
    <w:multiLevelType w:val="multilevel"/>
    <w:tmpl w:val="03D45C30"/>
    <w:lvl w:ilvl="0">
      <w:start w:val="1"/>
      <w:numFmt w:val="decimal"/>
      <w:lvlText w:val="%1."/>
      <w:lvlJc w:val="left"/>
      <w:pPr>
        <w:ind w:left="810" w:hanging="360"/>
      </w:pPr>
      <w:rPr>
        <w:rFonts w:hint="default"/>
      </w:rPr>
    </w:lvl>
    <w:lvl w:ilvl="1">
      <w:start w:val="2"/>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6">
    <w:nsid w:val="3F57368A"/>
    <w:multiLevelType w:val="hybridMultilevel"/>
    <w:tmpl w:val="1602A5AE"/>
    <w:lvl w:ilvl="0" w:tplc="A63A9828">
      <w:start w:val="1"/>
      <w:numFmt w:val="decimal"/>
      <w:lvlText w:val="%1."/>
      <w:lvlJc w:val="left"/>
      <w:pPr>
        <w:ind w:left="540" w:hanging="360"/>
      </w:pPr>
      <w:rPr>
        <w:rFonts w:ascii="Calibri" w:eastAsia="Calibri" w:hAnsi="Calibri" w:cs="Calibri"/>
      </w:rPr>
    </w:lvl>
    <w:lvl w:ilvl="1" w:tplc="B67E7FF4">
      <w:numFmt w:val="decimal"/>
      <w:lvlText w:val=""/>
      <w:lvlJc w:val="left"/>
    </w:lvl>
    <w:lvl w:ilvl="2" w:tplc="2DC406DC">
      <w:numFmt w:val="decimal"/>
      <w:lvlText w:val=""/>
      <w:lvlJc w:val="left"/>
    </w:lvl>
    <w:lvl w:ilvl="3" w:tplc="615681B0">
      <w:numFmt w:val="decimal"/>
      <w:lvlText w:val=""/>
      <w:lvlJc w:val="left"/>
    </w:lvl>
    <w:lvl w:ilvl="4" w:tplc="BCC2CEAE">
      <w:numFmt w:val="decimal"/>
      <w:lvlText w:val=""/>
      <w:lvlJc w:val="left"/>
    </w:lvl>
    <w:lvl w:ilvl="5" w:tplc="974A796E">
      <w:numFmt w:val="decimal"/>
      <w:lvlText w:val=""/>
      <w:lvlJc w:val="left"/>
    </w:lvl>
    <w:lvl w:ilvl="6" w:tplc="00DE8B5A">
      <w:numFmt w:val="decimal"/>
      <w:lvlText w:val=""/>
      <w:lvlJc w:val="left"/>
    </w:lvl>
    <w:lvl w:ilvl="7" w:tplc="8BCC7EB0">
      <w:numFmt w:val="decimal"/>
      <w:lvlText w:val=""/>
      <w:lvlJc w:val="left"/>
    </w:lvl>
    <w:lvl w:ilvl="8" w:tplc="A46C54C4">
      <w:numFmt w:val="decimal"/>
      <w:lvlText w:val=""/>
      <w:lvlJc w:val="left"/>
    </w:lvl>
  </w:abstractNum>
  <w:abstractNum w:abstractNumId="7">
    <w:nsid w:val="48397670"/>
    <w:multiLevelType w:val="hybridMultilevel"/>
    <w:tmpl w:val="39D27E06"/>
    <w:lvl w:ilvl="0" w:tplc="272C50EE">
      <w:start w:val="1"/>
      <w:numFmt w:val="decimal"/>
      <w:lvlText w:val="%1."/>
      <w:lvlJc w:val="left"/>
      <w:pPr>
        <w:ind w:left="810" w:hanging="360"/>
      </w:pPr>
      <w:rPr>
        <w:rFonts w:asciiTheme="majorBidi" w:eastAsia="Calibri" w:hAnsiTheme="majorBidi" w:cstheme="majorBidi" w:hint="default"/>
      </w:rPr>
    </w:lvl>
    <w:lvl w:ilvl="1" w:tplc="EA70935C">
      <w:numFmt w:val="decimal"/>
      <w:lvlText w:val=""/>
      <w:lvlJc w:val="left"/>
    </w:lvl>
    <w:lvl w:ilvl="2" w:tplc="B59E1C40">
      <w:numFmt w:val="decimal"/>
      <w:lvlText w:val=""/>
      <w:lvlJc w:val="left"/>
    </w:lvl>
    <w:lvl w:ilvl="3" w:tplc="41A6DE00">
      <w:numFmt w:val="decimal"/>
      <w:lvlText w:val=""/>
      <w:lvlJc w:val="left"/>
    </w:lvl>
    <w:lvl w:ilvl="4" w:tplc="2C30B4D6">
      <w:numFmt w:val="decimal"/>
      <w:lvlText w:val=""/>
      <w:lvlJc w:val="left"/>
    </w:lvl>
    <w:lvl w:ilvl="5" w:tplc="00B6C8A8">
      <w:numFmt w:val="decimal"/>
      <w:lvlText w:val=""/>
      <w:lvlJc w:val="left"/>
    </w:lvl>
    <w:lvl w:ilvl="6" w:tplc="5A3E54C4">
      <w:numFmt w:val="decimal"/>
      <w:lvlText w:val=""/>
      <w:lvlJc w:val="left"/>
    </w:lvl>
    <w:lvl w:ilvl="7" w:tplc="5A5035C8">
      <w:numFmt w:val="decimal"/>
      <w:lvlText w:val=""/>
      <w:lvlJc w:val="left"/>
    </w:lvl>
    <w:lvl w:ilvl="8" w:tplc="B620580C">
      <w:numFmt w:val="decimal"/>
      <w:lvlText w:val=""/>
      <w:lvlJc w:val="left"/>
    </w:lvl>
  </w:abstractNum>
  <w:abstractNum w:abstractNumId="8">
    <w:nsid w:val="4BE961F2"/>
    <w:multiLevelType w:val="hybridMultilevel"/>
    <w:tmpl w:val="A9E0732E"/>
    <w:lvl w:ilvl="0" w:tplc="12324924">
      <w:start w:val="1"/>
      <w:numFmt w:val="decimal"/>
      <w:lvlText w:val="%1."/>
      <w:lvlJc w:val="left"/>
      <w:pPr>
        <w:ind w:left="540" w:hanging="360"/>
      </w:pPr>
      <w:rPr>
        <w:rFonts w:ascii="Calibri" w:eastAsia="Calibri" w:hAnsi="Calibri" w:cs="Calibri"/>
      </w:rPr>
    </w:lvl>
    <w:lvl w:ilvl="1" w:tplc="824E8F48">
      <w:numFmt w:val="decimal"/>
      <w:lvlText w:val=""/>
      <w:lvlJc w:val="left"/>
    </w:lvl>
    <w:lvl w:ilvl="2" w:tplc="5C36162E">
      <w:numFmt w:val="decimal"/>
      <w:lvlText w:val=""/>
      <w:lvlJc w:val="left"/>
    </w:lvl>
    <w:lvl w:ilvl="3" w:tplc="666E004A">
      <w:numFmt w:val="decimal"/>
      <w:lvlText w:val=""/>
      <w:lvlJc w:val="left"/>
    </w:lvl>
    <w:lvl w:ilvl="4" w:tplc="7F322034">
      <w:numFmt w:val="decimal"/>
      <w:lvlText w:val=""/>
      <w:lvlJc w:val="left"/>
    </w:lvl>
    <w:lvl w:ilvl="5" w:tplc="EDB615CA">
      <w:numFmt w:val="decimal"/>
      <w:lvlText w:val=""/>
      <w:lvlJc w:val="left"/>
    </w:lvl>
    <w:lvl w:ilvl="6" w:tplc="2B90B1CE">
      <w:numFmt w:val="decimal"/>
      <w:lvlText w:val=""/>
      <w:lvlJc w:val="left"/>
    </w:lvl>
    <w:lvl w:ilvl="7" w:tplc="C6B0EF58">
      <w:numFmt w:val="decimal"/>
      <w:lvlText w:val=""/>
      <w:lvlJc w:val="left"/>
    </w:lvl>
    <w:lvl w:ilvl="8" w:tplc="86CE1E7E">
      <w:numFmt w:val="decimal"/>
      <w:lvlText w:val=""/>
      <w:lvlJc w:val="left"/>
    </w:lvl>
  </w:abstractNum>
  <w:abstractNum w:abstractNumId="9">
    <w:nsid w:val="51130E1E"/>
    <w:multiLevelType w:val="hybridMultilevel"/>
    <w:tmpl w:val="5B6A44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E541D"/>
    <w:multiLevelType w:val="multilevel"/>
    <w:tmpl w:val="32E03568"/>
    <w:lvl w:ilvl="0">
      <w:start w:val="7"/>
      <w:numFmt w:val="decimal"/>
      <w:lvlText w:val="%1"/>
      <w:lvlJc w:val="left"/>
      <w:pPr>
        <w:ind w:left="480" w:hanging="480"/>
      </w:pPr>
      <w:rPr>
        <w:rFonts w:hint="default"/>
        <w:b/>
        <w:i/>
      </w:rPr>
    </w:lvl>
    <w:lvl w:ilvl="1">
      <w:start w:val="1"/>
      <w:numFmt w:val="decimal"/>
      <w:lvlText w:val="%1.%2"/>
      <w:lvlJc w:val="left"/>
      <w:pPr>
        <w:ind w:left="840" w:hanging="480"/>
      </w:pPr>
      <w:rPr>
        <w:rFonts w:hint="default"/>
        <w:b/>
        <w:i/>
      </w:rPr>
    </w:lvl>
    <w:lvl w:ilvl="2">
      <w:start w:val="1"/>
      <w:numFmt w:val="decimal"/>
      <w:lvlText w:val="%1.%2.%3"/>
      <w:lvlJc w:val="left"/>
      <w:pPr>
        <w:ind w:left="153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1">
    <w:nsid w:val="638702B7"/>
    <w:multiLevelType w:val="hybridMultilevel"/>
    <w:tmpl w:val="259C37F2"/>
    <w:lvl w:ilvl="0" w:tplc="A1E66D18">
      <w:start w:val="1"/>
      <w:numFmt w:val="bullet"/>
      <w:lvlText w:val="●"/>
      <w:lvlJc w:val="left"/>
      <w:pPr>
        <w:ind w:left="720" w:hanging="360"/>
      </w:pPr>
    </w:lvl>
    <w:lvl w:ilvl="1" w:tplc="99B2CE32">
      <w:start w:val="1"/>
      <w:numFmt w:val="bullet"/>
      <w:lvlText w:val="○"/>
      <w:lvlJc w:val="left"/>
      <w:pPr>
        <w:ind w:left="1440" w:hanging="360"/>
      </w:pPr>
    </w:lvl>
    <w:lvl w:ilvl="2" w:tplc="DA00D230">
      <w:start w:val="1"/>
      <w:numFmt w:val="bullet"/>
      <w:lvlText w:val="■"/>
      <w:lvlJc w:val="left"/>
      <w:pPr>
        <w:ind w:left="2160" w:hanging="360"/>
      </w:pPr>
    </w:lvl>
    <w:lvl w:ilvl="3" w:tplc="2BC21390">
      <w:start w:val="1"/>
      <w:numFmt w:val="bullet"/>
      <w:lvlText w:val="●"/>
      <w:lvlJc w:val="left"/>
      <w:pPr>
        <w:ind w:left="2880" w:hanging="360"/>
      </w:pPr>
    </w:lvl>
    <w:lvl w:ilvl="4" w:tplc="E37A55EE">
      <w:start w:val="1"/>
      <w:numFmt w:val="bullet"/>
      <w:lvlText w:val="○"/>
      <w:lvlJc w:val="left"/>
      <w:pPr>
        <w:ind w:left="3600" w:hanging="360"/>
      </w:pPr>
    </w:lvl>
    <w:lvl w:ilvl="5" w:tplc="E8FA5EDE">
      <w:start w:val="1"/>
      <w:numFmt w:val="bullet"/>
      <w:lvlText w:val="■"/>
      <w:lvlJc w:val="left"/>
      <w:pPr>
        <w:ind w:left="4320" w:hanging="360"/>
      </w:pPr>
    </w:lvl>
    <w:lvl w:ilvl="6" w:tplc="CD7C9198">
      <w:start w:val="1"/>
      <w:numFmt w:val="bullet"/>
      <w:lvlText w:val="●"/>
      <w:lvlJc w:val="left"/>
      <w:pPr>
        <w:ind w:left="5040" w:hanging="360"/>
      </w:pPr>
    </w:lvl>
    <w:lvl w:ilvl="7" w:tplc="0FB288D6">
      <w:start w:val="1"/>
      <w:numFmt w:val="bullet"/>
      <w:lvlText w:val="●"/>
      <w:lvlJc w:val="left"/>
      <w:pPr>
        <w:ind w:left="5760" w:hanging="360"/>
      </w:pPr>
    </w:lvl>
    <w:lvl w:ilvl="8" w:tplc="0BCE4106">
      <w:start w:val="1"/>
      <w:numFmt w:val="bullet"/>
      <w:lvlText w:val="●"/>
      <w:lvlJc w:val="left"/>
      <w:pPr>
        <w:ind w:left="6480" w:hanging="360"/>
      </w:pPr>
    </w:lvl>
  </w:abstractNum>
  <w:abstractNum w:abstractNumId="12">
    <w:nsid w:val="6972777A"/>
    <w:multiLevelType w:val="hybridMultilevel"/>
    <w:tmpl w:val="CD86194C"/>
    <w:lvl w:ilvl="0" w:tplc="BBB6BDBC">
      <w:start w:val="1"/>
      <w:numFmt w:val="bullet"/>
      <w:lvlText w:val="•"/>
      <w:lvlJc w:val="left"/>
      <w:pPr>
        <w:ind w:left="540" w:hanging="360"/>
      </w:pPr>
      <w:rPr>
        <w:rFonts w:ascii="Calibri" w:eastAsia="Calibri" w:hAnsi="Calibri" w:cs="Calibri"/>
      </w:rPr>
    </w:lvl>
    <w:lvl w:ilvl="1" w:tplc="4AB8CF72">
      <w:numFmt w:val="decimal"/>
      <w:lvlText w:val=""/>
      <w:lvlJc w:val="left"/>
    </w:lvl>
    <w:lvl w:ilvl="2" w:tplc="EFA4FA1A">
      <w:numFmt w:val="decimal"/>
      <w:lvlText w:val=""/>
      <w:lvlJc w:val="left"/>
    </w:lvl>
    <w:lvl w:ilvl="3" w:tplc="71CE69BC">
      <w:numFmt w:val="decimal"/>
      <w:lvlText w:val=""/>
      <w:lvlJc w:val="left"/>
    </w:lvl>
    <w:lvl w:ilvl="4" w:tplc="CA64DDFC">
      <w:numFmt w:val="decimal"/>
      <w:lvlText w:val=""/>
      <w:lvlJc w:val="left"/>
    </w:lvl>
    <w:lvl w:ilvl="5" w:tplc="897AA520">
      <w:numFmt w:val="decimal"/>
      <w:lvlText w:val=""/>
      <w:lvlJc w:val="left"/>
    </w:lvl>
    <w:lvl w:ilvl="6" w:tplc="25E62B42">
      <w:numFmt w:val="decimal"/>
      <w:lvlText w:val=""/>
      <w:lvlJc w:val="left"/>
    </w:lvl>
    <w:lvl w:ilvl="7" w:tplc="EDA0A178">
      <w:numFmt w:val="decimal"/>
      <w:lvlText w:val=""/>
      <w:lvlJc w:val="left"/>
    </w:lvl>
    <w:lvl w:ilvl="8" w:tplc="F8347FF8">
      <w:numFmt w:val="decimal"/>
      <w:lvlText w:val=""/>
      <w:lvlJc w:val="left"/>
    </w:lvl>
  </w:abstractNum>
  <w:num w:numId="1">
    <w:abstractNumId w:val="11"/>
    <w:lvlOverride w:ilvl="0">
      <w:startOverride w:val="1"/>
    </w:lvlOverride>
  </w:num>
  <w:num w:numId="2">
    <w:abstractNumId w:val="7"/>
    <w:lvlOverride w:ilvl="0">
      <w:startOverride w:val="1"/>
    </w:lvlOverride>
  </w:num>
  <w:num w:numId="3">
    <w:abstractNumId w:val="12"/>
    <w:lvlOverride w:ilvl="0">
      <w:startOverride w:val="1"/>
    </w:lvlOverride>
  </w:num>
  <w:num w:numId="4">
    <w:abstractNumId w:val="0"/>
    <w:lvlOverride w:ilvl="0">
      <w:startOverride w:val="1"/>
    </w:lvlOverride>
  </w:num>
  <w:num w:numId="5">
    <w:abstractNumId w:val="4"/>
    <w:lvlOverride w:ilvl="0">
      <w:startOverride w:val="1"/>
    </w:lvlOverride>
  </w:num>
  <w:num w:numId="6">
    <w:abstractNumId w:val="6"/>
    <w:lvlOverride w:ilvl="0">
      <w:startOverride w:val="1"/>
    </w:lvlOverride>
  </w:num>
  <w:num w:numId="7">
    <w:abstractNumId w:val="1"/>
    <w:lvlOverride w:ilvl="0">
      <w:startOverride w:val="1"/>
    </w:lvlOverride>
  </w:num>
  <w:num w:numId="8">
    <w:abstractNumId w:val="8"/>
    <w:lvlOverride w:ilvl="0">
      <w:startOverride w:val="1"/>
    </w:lvlOverride>
  </w:num>
  <w:num w:numId="9">
    <w:abstractNumId w:val="5"/>
  </w:num>
  <w:num w:numId="10">
    <w:abstractNumId w:val="10"/>
  </w:num>
  <w:num w:numId="11">
    <w:abstractNumId w:val="9"/>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6B7FBB"/>
    <w:rsid w:val="00020EC5"/>
    <w:rsid w:val="00052735"/>
    <w:rsid w:val="00053774"/>
    <w:rsid w:val="000C29C3"/>
    <w:rsid w:val="002672E6"/>
    <w:rsid w:val="002D7A86"/>
    <w:rsid w:val="002F3754"/>
    <w:rsid w:val="003054A9"/>
    <w:rsid w:val="00363054"/>
    <w:rsid w:val="003F1785"/>
    <w:rsid w:val="003F6CA3"/>
    <w:rsid w:val="00400D9D"/>
    <w:rsid w:val="00406707"/>
    <w:rsid w:val="00451C08"/>
    <w:rsid w:val="00460C11"/>
    <w:rsid w:val="004A3FC6"/>
    <w:rsid w:val="004C723E"/>
    <w:rsid w:val="005525B3"/>
    <w:rsid w:val="005B60D6"/>
    <w:rsid w:val="00643DC2"/>
    <w:rsid w:val="00665C96"/>
    <w:rsid w:val="00674723"/>
    <w:rsid w:val="00696A7A"/>
    <w:rsid w:val="006A3730"/>
    <w:rsid w:val="006B7FBB"/>
    <w:rsid w:val="006E2C99"/>
    <w:rsid w:val="006E441B"/>
    <w:rsid w:val="00743A18"/>
    <w:rsid w:val="007C1ED2"/>
    <w:rsid w:val="00813814"/>
    <w:rsid w:val="00825259"/>
    <w:rsid w:val="00867478"/>
    <w:rsid w:val="00884E38"/>
    <w:rsid w:val="008A6B29"/>
    <w:rsid w:val="008C545B"/>
    <w:rsid w:val="008C6B6A"/>
    <w:rsid w:val="009042FC"/>
    <w:rsid w:val="00934584"/>
    <w:rsid w:val="009557FF"/>
    <w:rsid w:val="009918C5"/>
    <w:rsid w:val="009C5D9C"/>
    <w:rsid w:val="00A230F2"/>
    <w:rsid w:val="00A35E29"/>
    <w:rsid w:val="00A36D6C"/>
    <w:rsid w:val="00A618DF"/>
    <w:rsid w:val="00AC1B0F"/>
    <w:rsid w:val="00AC5902"/>
    <w:rsid w:val="00AF08F2"/>
    <w:rsid w:val="00B57CCA"/>
    <w:rsid w:val="00B64248"/>
    <w:rsid w:val="00BB095E"/>
    <w:rsid w:val="00C02B94"/>
    <w:rsid w:val="00C74A2C"/>
    <w:rsid w:val="00CB4D02"/>
    <w:rsid w:val="00CF6F0B"/>
    <w:rsid w:val="00CF783D"/>
    <w:rsid w:val="00D02427"/>
    <w:rsid w:val="00D37A35"/>
    <w:rsid w:val="00D4707E"/>
    <w:rsid w:val="00D677C5"/>
    <w:rsid w:val="00D975DD"/>
    <w:rsid w:val="00DB3B99"/>
    <w:rsid w:val="00DC6701"/>
    <w:rsid w:val="00DE5E60"/>
    <w:rsid w:val="00DE651C"/>
    <w:rsid w:val="00E03E79"/>
    <w:rsid w:val="00E45C32"/>
    <w:rsid w:val="00E522B3"/>
    <w:rsid w:val="00E97BC8"/>
    <w:rsid w:val="00F20D9A"/>
    <w:rsid w:val="00F60D47"/>
    <w:rsid w:val="00FC633C"/>
    <w:rsid w:val="00FE5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03D"/>
  </w:style>
  <w:style w:type="paragraph" w:styleId="Heading1">
    <w:name w:val="heading 1"/>
    <w:uiPriority w:val="9"/>
    <w:qFormat/>
    <w:rsid w:val="00FE503D"/>
    <w:pPr>
      <w:keepNext/>
      <w:spacing w:before="280" w:after="140"/>
      <w:outlineLvl w:val="0"/>
    </w:pPr>
    <w:rPr>
      <w:b/>
      <w:bCs/>
      <w:color w:val="1F3864"/>
      <w:sz w:val="28"/>
      <w:szCs w:val="28"/>
    </w:rPr>
  </w:style>
  <w:style w:type="paragraph" w:styleId="Heading2">
    <w:name w:val="heading 2"/>
    <w:uiPriority w:val="9"/>
    <w:unhideWhenUsed/>
    <w:qFormat/>
    <w:rsid w:val="00FE503D"/>
    <w:pPr>
      <w:keepNext/>
      <w:spacing w:before="220" w:after="110"/>
      <w:outlineLvl w:val="1"/>
    </w:pPr>
    <w:rPr>
      <w:b/>
      <w:bCs/>
      <w:color w:val="2E5E8C"/>
      <w:sz w:val="24"/>
      <w:szCs w:val="24"/>
    </w:rPr>
  </w:style>
  <w:style w:type="paragraph" w:styleId="Heading3">
    <w:name w:val="heading 3"/>
    <w:uiPriority w:val="9"/>
    <w:unhideWhenUsed/>
    <w:qFormat/>
    <w:rsid w:val="00FE503D"/>
    <w:pPr>
      <w:keepNext/>
      <w:spacing w:before="160" w:after="90"/>
      <w:outlineLvl w:val="2"/>
    </w:pPr>
    <w:rPr>
      <w:b/>
      <w:bCs/>
      <w:i/>
      <w:iCs/>
      <w:color w:val="3A3A3A"/>
    </w:rPr>
  </w:style>
  <w:style w:type="paragraph" w:styleId="Heading4">
    <w:name w:val="heading 4"/>
    <w:uiPriority w:val="9"/>
    <w:semiHidden/>
    <w:unhideWhenUsed/>
    <w:qFormat/>
    <w:rsid w:val="00FE503D"/>
    <w:pPr>
      <w:outlineLvl w:val="3"/>
    </w:pPr>
    <w:rPr>
      <w:i/>
      <w:iCs/>
      <w:color w:val="2E74B5"/>
    </w:rPr>
  </w:style>
  <w:style w:type="paragraph" w:styleId="Heading5">
    <w:name w:val="heading 5"/>
    <w:uiPriority w:val="9"/>
    <w:semiHidden/>
    <w:unhideWhenUsed/>
    <w:qFormat/>
    <w:rsid w:val="00FE503D"/>
    <w:pPr>
      <w:outlineLvl w:val="4"/>
    </w:pPr>
    <w:rPr>
      <w:color w:val="2E74B5"/>
    </w:rPr>
  </w:style>
  <w:style w:type="paragraph" w:styleId="Heading6">
    <w:name w:val="heading 6"/>
    <w:uiPriority w:val="9"/>
    <w:semiHidden/>
    <w:unhideWhenUsed/>
    <w:qFormat/>
    <w:rsid w:val="00FE503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FE503D"/>
    <w:rPr>
      <w:sz w:val="56"/>
      <w:szCs w:val="56"/>
    </w:rPr>
  </w:style>
  <w:style w:type="paragraph" w:customStyle="1" w:styleId="Strong1">
    <w:name w:val="Strong1"/>
    <w:qFormat/>
    <w:rsid w:val="00FE503D"/>
    <w:rPr>
      <w:b/>
      <w:bCs/>
    </w:rPr>
  </w:style>
  <w:style w:type="paragraph" w:styleId="ListParagraph">
    <w:name w:val="List Paragraph"/>
    <w:qFormat/>
    <w:rsid w:val="00FE503D"/>
  </w:style>
  <w:style w:type="character" w:styleId="Hyperlink">
    <w:name w:val="Hyperlink"/>
    <w:uiPriority w:val="99"/>
    <w:unhideWhenUsed/>
    <w:rsid w:val="00FE503D"/>
    <w:rPr>
      <w:color w:val="0563C1"/>
      <w:u w:val="single"/>
    </w:rPr>
  </w:style>
  <w:style w:type="character" w:styleId="FootnoteReference">
    <w:name w:val="footnote reference"/>
    <w:uiPriority w:val="99"/>
    <w:semiHidden/>
    <w:unhideWhenUsed/>
    <w:rsid w:val="00FE503D"/>
    <w:rPr>
      <w:vertAlign w:val="superscript"/>
    </w:rPr>
  </w:style>
  <w:style w:type="paragraph" w:styleId="FootnoteText">
    <w:name w:val="footnote text"/>
    <w:link w:val="FootnoteTextChar"/>
    <w:uiPriority w:val="99"/>
    <w:semiHidden/>
    <w:unhideWhenUsed/>
    <w:rsid w:val="00FE503D"/>
    <w:rPr>
      <w:sz w:val="20"/>
      <w:szCs w:val="20"/>
    </w:rPr>
  </w:style>
  <w:style w:type="character" w:customStyle="1" w:styleId="FootnoteTextChar">
    <w:name w:val="Footnote Text Char"/>
    <w:link w:val="FootnoteText"/>
    <w:uiPriority w:val="99"/>
    <w:semiHidden/>
    <w:unhideWhenUsed/>
    <w:rsid w:val="00FE503D"/>
    <w:rPr>
      <w:sz w:val="20"/>
      <w:szCs w:val="20"/>
    </w:rPr>
  </w:style>
  <w:style w:type="character" w:styleId="EndnoteReference">
    <w:name w:val="endnote reference"/>
    <w:uiPriority w:val="99"/>
    <w:semiHidden/>
    <w:unhideWhenUsed/>
    <w:rsid w:val="00FE503D"/>
    <w:rPr>
      <w:vertAlign w:val="superscript"/>
    </w:rPr>
  </w:style>
  <w:style w:type="paragraph" w:styleId="EndnoteText">
    <w:name w:val="endnote text"/>
    <w:link w:val="EndnoteTextChar"/>
    <w:uiPriority w:val="99"/>
    <w:semiHidden/>
    <w:unhideWhenUsed/>
    <w:rsid w:val="00FE503D"/>
    <w:rPr>
      <w:sz w:val="20"/>
      <w:szCs w:val="20"/>
    </w:rPr>
  </w:style>
  <w:style w:type="character" w:customStyle="1" w:styleId="EndnoteTextChar">
    <w:name w:val="Endnote Text Char"/>
    <w:link w:val="EndnoteText"/>
    <w:uiPriority w:val="99"/>
    <w:semiHidden/>
    <w:unhideWhenUsed/>
    <w:rsid w:val="00FE503D"/>
    <w:rPr>
      <w:sz w:val="20"/>
      <w:szCs w:val="20"/>
    </w:rPr>
  </w:style>
  <w:style w:type="paragraph" w:styleId="Header">
    <w:name w:val="header"/>
    <w:basedOn w:val="Normal"/>
    <w:link w:val="HeaderChar"/>
    <w:uiPriority w:val="99"/>
    <w:unhideWhenUsed/>
    <w:qFormat/>
    <w:rsid w:val="008A6B29"/>
    <w:pPr>
      <w:tabs>
        <w:tab w:val="center" w:pos="4680"/>
        <w:tab w:val="right" w:pos="9360"/>
      </w:tabs>
    </w:pPr>
  </w:style>
  <w:style w:type="character" w:customStyle="1" w:styleId="HeaderChar">
    <w:name w:val="Header Char"/>
    <w:basedOn w:val="DefaultParagraphFont"/>
    <w:link w:val="Header"/>
    <w:uiPriority w:val="99"/>
    <w:qFormat/>
    <w:rsid w:val="008A6B29"/>
  </w:style>
  <w:style w:type="paragraph" w:styleId="Footer">
    <w:name w:val="footer"/>
    <w:basedOn w:val="Normal"/>
    <w:link w:val="FooterChar"/>
    <w:uiPriority w:val="99"/>
    <w:unhideWhenUsed/>
    <w:qFormat/>
    <w:rsid w:val="008A6B29"/>
    <w:pPr>
      <w:tabs>
        <w:tab w:val="center" w:pos="4680"/>
        <w:tab w:val="right" w:pos="9360"/>
      </w:tabs>
    </w:pPr>
  </w:style>
  <w:style w:type="character" w:customStyle="1" w:styleId="FooterChar">
    <w:name w:val="Footer Char"/>
    <w:basedOn w:val="DefaultParagraphFont"/>
    <w:link w:val="Footer"/>
    <w:uiPriority w:val="99"/>
    <w:qFormat/>
    <w:rsid w:val="008A6B29"/>
  </w:style>
  <w:style w:type="table" w:styleId="TableGrid">
    <w:name w:val="Table Grid"/>
    <w:basedOn w:val="TableNormal"/>
    <w:uiPriority w:val="39"/>
    <w:rsid w:val="00552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7CCA"/>
    <w:rPr>
      <w:rFonts w:ascii="Tahoma" w:hAnsi="Tahoma" w:cs="Tahoma"/>
      <w:sz w:val="16"/>
      <w:szCs w:val="16"/>
    </w:rPr>
  </w:style>
  <w:style w:type="character" w:customStyle="1" w:styleId="BalloonTextChar">
    <w:name w:val="Balloon Text Char"/>
    <w:basedOn w:val="DefaultParagraphFont"/>
    <w:link w:val="BalloonText"/>
    <w:uiPriority w:val="99"/>
    <w:semiHidden/>
    <w:rsid w:val="00B57C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7772/IJRISS.2026.1006006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9695</Words>
  <Characters>55265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The Role of Civil Society Organisations in Serving People with Disabilities in Iraq Post-2020</vt:lpstr>
    </vt:vector>
  </TitlesOfParts>
  <Company/>
  <LinksUpToDate>false</LinksUpToDate>
  <CharactersWithSpaces>64831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Civil Society Organisations in Serving People with Disabilities in Iraq Post-2020</dc:title>
  <dc:subject>Iraq</dc:subject>
  <dc:creator>Dr. Jamal Mohammed Ameen Hussein</dc:creator>
  <cp:keywords>CSOs; Individuals with Disabilities; Iraq post-2020; human security; regime security; geopolitical stability; disability inclusion; wasta; hybrid political order; CRPD; digital innovation; intersectional vulnerability.</cp:keywords>
  <cp:lastModifiedBy>admin</cp:lastModifiedBy>
  <cp:revision>3</cp:revision>
  <dcterms:created xsi:type="dcterms:W3CDTF">2026-07-03T07:46:00Z</dcterms:created>
  <dcterms:modified xsi:type="dcterms:W3CDTF">2026-07-03T07:55:00Z</dcterms:modified>
  <cp:category>Iraq</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ea9727a9-5c13-4666-bb1b-0b8424043d33</vt:lpwstr>
  </property>
</Properties>
</file>