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B40E2" w14:textId="77777777" w:rsidR="00874043" w:rsidRDefault="00874043" w:rsidP="00A555E4">
      <w:pPr>
        <w:spacing w:line="276" w:lineRule="auto"/>
        <w:jc w:val="both"/>
      </w:pPr>
    </w:p>
    <w:p w14:paraId="4974F804" w14:textId="77777777" w:rsidR="00874043" w:rsidRDefault="00874043" w:rsidP="00A555E4">
      <w:pPr>
        <w:spacing w:line="276" w:lineRule="auto"/>
        <w:jc w:val="both"/>
      </w:pPr>
    </w:p>
    <w:p w14:paraId="275B8A18" w14:textId="77777777" w:rsidR="00874043" w:rsidRDefault="00874043" w:rsidP="00A555E4">
      <w:pPr>
        <w:spacing w:line="276" w:lineRule="auto"/>
        <w:jc w:val="both"/>
      </w:pPr>
    </w:p>
    <w:p w14:paraId="5219AB82" w14:textId="460B836B" w:rsidR="00874043" w:rsidRDefault="00A555E4" w:rsidP="00A555E4">
      <w:pPr>
        <w:spacing w:after="160" w:line="276" w:lineRule="auto"/>
        <w:jc w:val="center"/>
      </w:pPr>
      <w:r>
        <w:rPr>
          <w:b/>
          <w:bCs/>
        </w:rPr>
        <w:t>Digital Influence and Cultural Identity: A Narrative Review on How Online Content Shapes Cultural Orientation Among Ugandan Youth</w:t>
      </w:r>
    </w:p>
    <w:p w14:paraId="3DD588E5" w14:textId="77777777" w:rsidR="00874043" w:rsidRDefault="00874043" w:rsidP="00A555E4">
      <w:pPr>
        <w:spacing w:line="276" w:lineRule="auto"/>
        <w:jc w:val="both"/>
      </w:pPr>
    </w:p>
    <w:p w14:paraId="43F19DE5" w14:textId="77777777" w:rsidR="00874043" w:rsidRDefault="00874043" w:rsidP="00A555E4">
      <w:pPr>
        <w:spacing w:line="276" w:lineRule="auto"/>
        <w:jc w:val="both"/>
      </w:pPr>
    </w:p>
    <w:p w14:paraId="30CF8CBC" w14:textId="77777777" w:rsidR="00874043" w:rsidRDefault="00874043" w:rsidP="00A555E4">
      <w:pPr>
        <w:spacing w:line="276" w:lineRule="auto"/>
        <w:jc w:val="both"/>
      </w:pPr>
    </w:p>
    <w:p w14:paraId="0FC9BA6D" w14:textId="47059F60" w:rsidR="00874043" w:rsidRDefault="005A43C3" w:rsidP="00A555E4">
      <w:pPr>
        <w:spacing w:after="120" w:line="276" w:lineRule="auto"/>
        <w:jc w:val="center"/>
      </w:pPr>
      <w:r>
        <w:t xml:space="preserve">Obinna Osigwe – </w:t>
      </w:r>
      <w:hyperlink r:id="rId7" w:history="1">
        <w:r w:rsidR="00AD6462" w:rsidRPr="0065713F">
          <w:rPr>
            <w:rStyle w:val="Hyperlink"/>
          </w:rPr>
          <w:t>ekpereka.osigwe@stud.kiu.ac.ug</w:t>
        </w:r>
      </w:hyperlink>
      <w:r w:rsidR="00AD6462">
        <w:t xml:space="preserve"> </w:t>
      </w:r>
      <w:proofErr w:type="spellStart"/>
      <w:r w:rsidR="00AD6462">
        <w:t>Orcid</w:t>
      </w:r>
      <w:proofErr w:type="spellEnd"/>
      <w:r w:rsidR="00AD6462">
        <w:t xml:space="preserve"> ID: </w:t>
      </w:r>
      <w:r w:rsidR="00AD6462" w:rsidRPr="00AD6462">
        <w:t>0000-0001-7825-3591</w:t>
      </w:r>
    </w:p>
    <w:p w14:paraId="5F6D2524" w14:textId="6F0E2959" w:rsidR="00874043" w:rsidRDefault="005A43C3" w:rsidP="00A555E4">
      <w:pPr>
        <w:spacing w:after="120" w:line="276" w:lineRule="auto"/>
        <w:jc w:val="center"/>
      </w:pPr>
      <w:proofErr w:type="spellStart"/>
      <w:r>
        <w:t>Ntalo</w:t>
      </w:r>
      <w:proofErr w:type="spellEnd"/>
      <w:r>
        <w:t xml:space="preserve"> Hussein</w:t>
      </w:r>
      <w:r w:rsidR="000F6BF1">
        <w:t xml:space="preserve"> - </w:t>
      </w:r>
      <w:hyperlink r:id="rId8" w:history="1">
        <w:r w:rsidR="00AD6462" w:rsidRPr="0065713F">
          <w:rPr>
            <w:rStyle w:val="Hyperlink"/>
          </w:rPr>
          <w:t>ntalo.nasulu@studmc.kiu.ac.ug</w:t>
        </w:r>
      </w:hyperlink>
      <w:r w:rsidR="00AD6462">
        <w:t xml:space="preserve"> </w:t>
      </w:r>
      <w:r w:rsidR="000F6BF1" w:rsidRPr="000F6BF1">
        <w:t xml:space="preserve">ORCID </w:t>
      </w:r>
      <w:proofErr w:type="spellStart"/>
      <w:r w:rsidR="000F6BF1" w:rsidRPr="000F6BF1">
        <w:t>iD</w:t>
      </w:r>
      <w:proofErr w:type="spellEnd"/>
      <w:r w:rsidR="000F6BF1" w:rsidRPr="000F6BF1">
        <w:t>: 0009-0000-8370-8001</w:t>
      </w:r>
    </w:p>
    <w:p w14:paraId="08529627" w14:textId="7795390B" w:rsidR="000F6BF1" w:rsidRDefault="000F6BF1" w:rsidP="00A555E4">
      <w:pPr>
        <w:spacing w:after="120" w:line="276" w:lineRule="auto"/>
        <w:jc w:val="center"/>
      </w:pPr>
      <w:r>
        <w:t xml:space="preserve">Asiimwe </w:t>
      </w:r>
      <w:proofErr w:type="spellStart"/>
      <w:r>
        <w:t>Specioza</w:t>
      </w:r>
      <w:proofErr w:type="spellEnd"/>
      <w:r>
        <w:t xml:space="preserve"> </w:t>
      </w:r>
      <w:r w:rsidRPr="000F6BF1">
        <w:rPr>
          <w:u w:val="single"/>
        </w:rPr>
        <w:t>s</w:t>
      </w:r>
      <w:r w:rsidRPr="000F6BF1">
        <w:rPr>
          <w:u w:val="single"/>
        </w:rPr>
        <w:t>pecioza.Asiimwe@</w:t>
      </w:r>
      <w:r w:rsidRPr="000F6BF1">
        <w:rPr>
          <w:u w:val="single"/>
        </w:rPr>
        <w:t>kiu.ac.ug</w:t>
      </w:r>
      <w:r>
        <w:t xml:space="preserve"> </w:t>
      </w:r>
      <w:proofErr w:type="spellStart"/>
      <w:r>
        <w:t>Orcid</w:t>
      </w:r>
      <w:proofErr w:type="spellEnd"/>
      <w:r>
        <w:t xml:space="preserve"> ID</w:t>
      </w:r>
      <w:r>
        <w:t>: 0009-0007-1672-5806</w:t>
      </w:r>
    </w:p>
    <w:p w14:paraId="2B2D7AAA" w14:textId="77777777" w:rsidR="00874043" w:rsidRDefault="00874043" w:rsidP="00A555E4">
      <w:pPr>
        <w:pageBreakBefore/>
        <w:spacing w:after="160" w:line="276" w:lineRule="auto"/>
        <w:jc w:val="both"/>
      </w:pPr>
    </w:p>
    <w:p w14:paraId="0AC7848F" w14:textId="77777777" w:rsidR="00874043" w:rsidRDefault="00000000" w:rsidP="00A555E4">
      <w:pPr>
        <w:pStyle w:val="Heading1"/>
        <w:spacing w:line="276" w:lineRule="auto"/>
      </w:pPr>
      <w:r>
        <w:t>ABSTRACT</w:t>
      </w:r>
    </w:p>
    <w:p w14:paraId="2335094A" w14:textId="77777777" w:rsidR="00874043" w:rsidRDefault="00000000" w:rsidP="00A555E4">
      <w:pPr>
        <w:spacing w:after="160" w:line="276" w:lineRule="auto"/>
        <w:ind w:firstLine="720"/>
        <w:jc w:val="both"/>
      </w:pPr>
      <w:r>
        <w:t>Uganda sits at a peculiar crossroads. On one hand, it carries one of the richest cultural inheritances on the African continent — over 56 distinct ethnic groups, each with its own language, oral tradition, and social order. On the other, it is home to a youth population that, by 2023, had achieved nearly 47% internet penetration (Uganda Communications Commission [UCC], 2023), with millions of young people scrolling through TikTok videos, YouTube vlogs, and Instagram reels produced thousands of miles away from their communities. This paper is a narrative review of the growing body of scholarly and grey literature that attempts to make sense of what happens when these two realities collide.</w:t>
      </w:r>
    </w:p>
    <w:p w14:paraId="44B21D38" w14:textId="77777777" w:rsidR="00874043" w:rsidRDefault="00000000" w:rsidP="00A555E4">
      <w:pPr>
        <w:spacing w:after="160" w:line="276" w:lineRule="auto"/>
        <w:ind w:firstLine="720"/>
        <w:jc w:val="both"/>
      </w:pPr>
      <w:r>
        <w:t>Drawing on peer-reviewed sources and institutional reports published between 2010 and 2024, the review examines how global digital content shapes — and is in turn shaped by — the cultural orientations of Ugandan youth aged 15 to 35. Theoretically, the analysis is grounded in three frameworks: Schiller's (1976) Cultural Imperialism Theory, Tajfel and Turner's (1979) Social Identity Theory, and Robertson's (1995) Glocalization Theory. These are complemented by an original conceptual framework that maps the relationships between digital inputs, youth agency, moderating variables, and cultural outcomes.</w:t>
      </w:r>
    </w:p>
    <w:p w14:paraId="0017D62C" w14:textId="77777777" w:rsidR="00874043" w:rsidRDefault="00000000" w:rsidP="00A555E4">
      <w:pPr>
        <w:spacing w:after="160" w:line="276" w:lineRule="auto"/>
        <w:ind w:firstLine="720"/>
        <w:jc w:val="both"/>
      </w:pPr>
      <w:r>
        <w:t>Four major themes emerge from the literature. First, digital engagement is producing cultural hybridization — the creative blending of local and global cultural forms into new, syncretic identities that are neither purely Ugandan nor purely Western. Second, there is growing evidence of language shift, particularly toward English and code-mixed varieties, with real implications for the survival of Uganda's smaller indigenous languages. Third, exposure to global digital content is reshaping social norms around gender, sexuality, and religion — sometimes progressively, often contentiously. And fourth, despite these pressures, significant numbers of Ugandan youth are actively using digital tools to resist cultural erasure and assert indigenous pride. The paper closes with five recommendations aimed at policymakers, educators, cultural institutions, families, and researchers.</w:t>
      </w:r>
    </w:p>
    <w:p w14:paraId="2D800DE2" w14:textId="77777777" w:rsidR="00874043" w:rsidRDefault="00874043" w:rsidP="00A555E4">
      <w:pPr>
        <w:spacing w:line="276" w:lineRule="auto"/>
        <w:jc w:val="both"/>
      </w:pPr>
    </w:p>
    <w:p w14:paraId="24A15DEA" w14:textId="77777777" w:rsidR="00874043" w:rsidRDefault="00000000" w:rsidP="00A555E4">
      <w:pPr>
        <w:spacing w:line="276" w:lineRule="auto"/>
        <w:jc w:val="both"/>
      </w:pPr>
      <w:r>
        <w:rPr>
          <w:b/>
          <w:bCs/>
        </w:rPr>
        <w:t xml:space="preserve">Keywords: </w:t>
      </w:r>
      <w:r>
        <w:rPr>
          <w:i/>
          <w:iCs/>
        </w:rPr>
        <w:t>digital influence, cultural identity, Ugandan youth, social media, online content, glocalization, cultural hybridization, indigenous languages, Sub-Saharan Africa.</w:t>
      </w:r>
    </w:p>
    <w:p w14:paraId="5D9C8DB5" w14:textId="77777777" w:rsidR="00874043" w:rsidRDefault="00874043" w:rsidP="00A555E4">
      <w:pPr>
        <w:pageBreakBefore/>
        <w:spacing w:after="160" w:line="276" w:lineRule="auto"/>
        <w:jc w:val="both"/>
      </w:pPr>
    </w:p>
    <w:p w14:paraId="59F53F54" w14:textId="77777777" w:rsidR="00874043" w:rsidRDefault="00000000" w:rsidP="00A555E4">
      <w:pPr>
        <w:pStyle w:val="Heading1"/>
        <w:spacing w:line="276" w:lineRule="auto"/>
      </w:pPr>
      <w:r>
        <w:t>1. INTRODUCTION</w:t>
      </w:r>
    </w:p>
    <w:p w14:paraId="25F9B9C0" w14:textId="77777777" w:rsidR="00DF1A42" w:rsidRDefault="00DF1A42" w:rsidP="00A555E4">
      <w:pPr>
        <w:spacing w:after="160" w:line="276" w:lineRule="auto"/>
        <w:ind w:firstLine="720"/>
        <w:jc w:val="both"/>
      </w:pPr>
      <w:r>
        <w:t>The contemporary digital landscape for Ugandan youth is defined by a profound socio-technical tension. As internet penetration accelerates, the mobile device has emerged as a dual-functioning apparatus: a localized portal for indigenous expression—encompassing Luganda media and ethnic kinship networks—and a primary conduit for exogenous global content ranging from North American lifestyle influencers to South Korean media and West African Afrobeats.</w:t>
      </w:r>
    </w:p>
    <w:p w14:paraId="36E09C6E" w14:textId="77777777" w:rsidR="00DF1A42" w:rsidRDefault="00DF1A42" w:rsidP="00A555E4">
      <w:pPr>
        <w:spacing w:after="160" w:line="276" w:lineRule="auto"/>
        <w:ind w:firstLine="720"/>
        <w:jc w:val="both"/>
      </w:pPr>
      <w:r>
        <w:t>Uganda’s internal cultural complexity, comprising over 56 recognized indigenous communities (UBOS, 2022), represents an intangible heritage traditionally transmitted through oral traditions and kinship. As digital platforms become primary sites of socialization, the mechanisms through which these traditional values are maintained or modified warrant rigorous investigation. This review moves beyond the binary of "cultural imperialism" vs. "media convergence optimism" to map the nuanced terrain of influence, agency, and negotiation.</w:t>
      </w:r>
    </w:p>
    <w:p w14:paraId="6FDDCFA1" w14:textId="61DDFC68" w:rsidR="00874043" w:rsidRDefault="00000000" w:rsidP="00A555E4">
      <w:pPr>
        <w:spacing w:after="160" w:line="276" w:lineRule="auto"/>
        <w:ind w:firstLine="720"/>
        <w:jc w:val="both"/>
      </w:pPr>
      <w:r>
        <w:t>This plurality is not merely a demographic statistic; it is a living inheritance, transmitted generation by generation through story, ceremony, music, and everyday social practice. The question of what digital modernity does to that inheritance is therefore not a peripheral academic concern. It sits at the heart of what kind of society Uganda is becoming.</w:t>
      </w:r>
    </w:p>
    <w:p w14:paraId="2B733B0A" w14:textId="77777777" w:rsidR="00874043" w:rsidRDefault="00000000" w:rsidP="00A555E4">
      <w:pPr>
        <w:spacing w:after="160" w:line="276" w:lineRule="auto"/>
        <w:ind w:firstLine="720"/>
        <w:jc w:val="both"/>
      </w:pPr>
      <w:r>
        <w:t>Yet the existing scholarship, while growing, remains uneven. Most studies have focused on urban, educated youth — particularly university students in Kampala — leaving significant gaps around rural communities, young women in more traditional settings, and speakers of minority languages. Theoretical approaches have often swung between two somewhat unsatisfying poles: a cultural imperialism perspective that frames global digital media as a force of ideological domination (Schiller, 1976; Tomlinson, 1991), and a media convergence optimism that celebrates digital platforms as enabling unprecedented grassroots cultural creativity (Jenkins, 2006). Neither position, this review argues, is adequate on its own. The evidence from Uganda and the broader East African region tells a more complicated — and ultimately more interesting — story.</w:t>
      </w:r>
    </w:p>
    <w:p w14:paraId="7EACC9AB" w14:textId="77777777" w:rsidR="00874043" w:rsidRDefault="00000000" w:rsidP="00A555E4">
      <w:pPr>
        <w:spacing w:after="160" w:line="276" w:lineRule="auto"/>
        <w:ind w:firstLine="720"/>
        <w:jc w:val="both"/>
      </w:pPr>
      <w:r>
        <w:t>This narrative review synthesizes 42 peer-reviewed articles, book chapters, and institutional reports to examine how online content shapes cultural orientation among Ugandan youth. Three research questions guide the inquiry. First, what kinds of digital content are Ugandan youth most actively consuming, and through which platforms? Second, how is this consumption influencing their cultural values, languages, social norms, and sense of identity? Third, in what ways are young Ugandans pushing back against or selectively appropriating global digital culture? The aim is not to produce a definitive verdict on whether digital media is good or bad for Ugandan culture — that framing is too blunt to be useful — but rather to map the terrain of influence, agency, and negotiation with as much precision as the available evidence allows.</w:t>
      </w:r>
    </w:p>
    <w:p w14:paraId="45C1998F" w14:textId="77777777" w:rsidR="00874043" w:rsidRDefault="00000000" w:rsidP="00A555E4">
      <w:pPr>
        <w:pStyle w:val="Heading1"/>
        <w:spacing w:line="276" w:lineRule="auto"/>
      </w:pPr>
      <w:r>
        <w:lastRenderedPageBreak/>
        <w:t>2. METHODOLOGY</w:t>
      </w:r>
    </w:p>
    <w:p w14:paraId="2F2CE748" w14:textId="77777777" w:rsidR="00874043" w:rsidRDefault="00000000" w:rsidP="00A555E4">
      <w:pPr>
        <w:pStyle w:val="Heading2"/>
        <w:spacing w:line="276" w:lineRule="auto"/>
      </w:pPr>
      <w:r>
        <w:t>2.1 Review Design</w:t>
      </w:r>
    </w:p>
    <w:p w14:paraId="68B170F2" w14:textId="77777777" w:rsidR="00874043" w:rsidRDefault="00000000" w:rsidP="00A555E4">
      <w:pPr>
        <w:spacing w:after="160" w:line="276" w:lineRule="auto"/>
        <w:ind w:firstLine="720"/>
        <w:jc w:val="both"/>
      </w:pPr>
      <w:r>
        <w:t>This study uses a narrative literature review approach. The choice of methodology was deliberate rather than default. Narrative reviews are sometimes dismissed in contemporary scholarship as less rigorous than systematic reviews or meta-analyses, but that criticism misunderstands what narrative reviews are designed to do. Where systematic reviews excel at aggregating comparable quantitative findings across clearly defined clinical or experimental questions, narrative reviews are better suited to synthesizing complex, interdisciplinary bodies of knowledge where the evidence is heterogeneous — where ethnographic fieldwork, survey data, theoretical argumentation, and policy analysis all contribute meaningfully to understanding, but cannot be meaningfully collapsed into a single statistical summary (Green, Johnson, &amp; Adams, 2006; Baumeister &amp; Leary, 1997).</w:t>
      </w:r>
    </w:p>
    <w:p w14:paraId="7A46F22A" w14:textId="77777777" w:rsidR="00874043" w:rsidRDefault="00000000" w:rsidP="00A555E4">
      <w:pPr>
        <w:spacing w:after="160" w:line="276" w:lineRule="auto"/>
        <w:ind w:firstLine="720"/>
        <w:jc w:val="both"/>
      </w:pPr>
      <w:r>
        <w:t>Digital culture and identity in Uganda is precisely such a terrain. The literature spans communication studies, cultural anthropology, African linguistics, religious studies, gender studies, and development studies. Studies vary enormously in methodology, sample size, geographic focus, and theoretical orientation. A narrative approach — one that reads across this diversity and builds a coherent interpretive picture — is, in this case, the methodologically appropriate choice.</w:t>
      </w:r>
    </w:p>
    <w:p w14:paraId="0EC537F0" w14:textId="77777777" w:rsidR="00874043" w:rsidRDefault="00000000" w:rsidP="00A555E4">
      <w:pPr>
        <w:pStyle w:val="Heading2"/>
        <w:spacing w:line="276" w:lineRule="auto"/>
      </w:pPr>
      <w:r>
        <w:t>2.2 Literature Search Strategy</w:t>
      </w:r>
    </w:p>
    <w:p w14:paraId="3EFF9D46" w14:textId="77777777" w:rsidR="00874043" w:rsidRDefault="00000000" w:rsidP="00A555E4">
      <w:pPr>
        <w:spacing w:after="160" w:line="276" w:lineRule="auto"/>
        <w:ind w:firstLine="720"/>
        <w:jc w:val="both"/>
      </w:pPr>
      <w:r>
        <w:t>Literature was gathered through systematic searches of Google Scholar, JSTOR, EBSCOhost Academic Search Complete, and African Journals Online (AJOL). Search terms were applied in various combinations and included: 'digital media Uganda youth'; 'social media cultural identity Africa'; 'TikTok Instagram youth Sub-Saharan Africa'; 'glocalization East Africa'; 'indigenous language digital media Uganda'; 'youth identity social media Africa'; 'cultural hybridity online platforms'; and 'digital nationalism Uganda.' In addition to peer-reviewed sources, grey literature was consulted — including annual reports from the Uganda Communications Commission, the African Union Digital Transformation Strategy (2020), UNICEF Uganda's digital access reports (2021, 2023), and Uganda's National Development Plan III (2020–2025). Following title and abstract screening of 148 candidate sources, 42 met the inclusion criteria established below.</w:t>
      </w:r>
    </w:p>
    <w:p w14:paraId="6F414AE9" w14:textId="77777777" w:rsidR="00874043" w:rsidRDefault="00000000" w:rsidP="00A555E4">
      <w:pPr>
        <w:pStyle w:val="Heading2"/>
        <w:spacing w:line="276" w:lineRule="auto"/>
      </w:pPr>
      <w:r>
        <w:t>2.3 Inclusion and Exclusion Criteria</w:t>
      </w:r>
    </w:p>
    <w:p w14:paraId="36E3CD99" w14:textId="77777777" w:rsidR="00874043" w:rsidRDefault="00000000" w:rsidP="00A555E4">
      <w:pPr>
        <w:spacing w:after="160" w:line="276" w:lineRule="auto"/>
        <w:ind w:firstLine="720"/>
        <w:jc w:val="both"/>
      </w:pPr>
      <w:r>
        <w:t>Sources were included if they were published between January 2010 and December 2024; if they engaged youth aged 15 to 35 as a primary or significant population; if they addressed the relationship between digital or social media and at least one dimension of cultural identity — language, values, norms, gender roles, religious orientation, or collective identity expression; and if they were set in Uganda or, where Uganda-specific evidence was limited, in East Africa or Sub-</w:t>
      </w:r>
      <w:r>
        <w:lastRenderedPageBreak/>
        <w:t>Saharan Africa with findings reasonably applicable to the Ugandan context. Studies that addressed digital media exclusively through economic, political, or public health lenses without touching on cultural identity were excluded. So too were studies based entirely on non-African populations.</w:t>
      </w:r>
    </w:p>
    <w:p w14:paraId="5C533149" w14:textId="77777777" w:rsidR="00874043" w:rsidRDefault="00000000" w:rsidP="00A555E4">
      <w:pPr>
        <w:pStyle w:val="Heading2"/>
        <w:spacing w:line="276" w:lineRule="auto"/>
      </w:pPr>
      <w:r>
        <w:t>2.4 Theoretical Framework</w:t>
      </w:r>
    </w:p>
    <w:p w14:paraId="7E969B07" w14:textId="77777777" w:rsidR="00874043" w:rsidRDefault="00000000" w:rsidP="00A555E4">
      <w:pPr>
        <w:spacing w:after="160" w:line="276" w:lineRule="auto"/>
        <w:ind w:firstLine="720"/>
        <w:jc w:val="both"/>
      </w:pPr>
      <w:r>
        <w:t>Three theoretical frameworks structure the analytical work of this review. They are complementary rather than competing, and together they capture different dimensions of a phenomenon that no single theory could adequately explain on its own.</w:t>
      </w:r>
    </w:p>
    <w:p w14:paraId="72C64FC1" w14:textId="77777777" w:rsidR="00874043" w:rsidRDefault="00000000" w:rsidP="00A555E4">
      <w:pPr>
        <w:spacing w:after="160" w:line="276" w:lineRule="auto"/>
        <w:ind w:firstLine="720"/>
        <w:jc w:val="both"/>
      </w:pPr>
      <w:r>
        <w:t>The first is Cultural Imperialism Theory, most thoroughly articulated by Herbert Schiller (1976) and later elaborated by John Tomlinson (1991). At its core, this theory argues that global media — historically dominated by American and Western European cultural industries — does not flow neutrally across borders. It carries ideological freight: values of individualism, consumer capitalism, secular rationalism, and particular constructions of beauty, success, and the good life. When that content dominates what a young person in Gulu or Mbarara watches, listens to, and aspires toward, the theory predicts a gradual displacement of indigenous cultural frameworks. This remains a useful lens for understanding the structural asymmetries of global digital content production.</w:t>
      </w:r>
    </w:p>
    <w:p w14:paraId="3CEE94D3" w14:textId="77777777" w:rsidR="00874043" w:rsidRDefault="00000000" w:rsidP="00A555E4">
      <w:pPr>
        <w:spacing w:after="160" w:line="276" w:lineRule="auto"/>
        <w:ind w:firstLine="720"/>
        <w:jc w:val="both"/>
      </w:pPr>
      <w:r>
        <w:t>The second framework is Social Identity Theory, developed by Henri Tajfel and John Turner (1979). The theory holds that a significant part of how people understand themselves derives not from individual psychology alone but from their membership in social groups — ethnic communities, religious congregations, generational cohorts, national identities. Importantly, people are not passive in relation to these identities; they actively compare, defend, and manage them. In a digital environment where multiple group identities are simultaneously present and sometimes in tension, this framework helps explain both the anxiety and the assertiveness that Ugandan youth display in their cultural negotiations online.</w:t>
      </w:r>
    </w:p>
    <w:p w14:paraId="27D04A48" w14:textId="77777777" w:rsidR="00874043" w:rsidRDefault="00000000" w:rsidP="00A555E4">
      <w:pPr>
        <w:spacing w:after="160" w:line="276" w:lineRule="auto"/>
        <w:ind w:firstLine="720"/>
        <w:jc w:val="both"/>
      </w:pPr>
      <w:r>
        <w:t>Third is Glocalization Theory, introduced by Roland Robertson (1995) and developed with particular attention to media dynamics by Marwan Kraidy (2005). Against the cultural imperialism thesis, glocalization theory insists that global cultural flows are never simply received; they are always locally filtered, reinterpreted, and reworked. What emerges at the point of contact between global media and local cultural contexts is not a pale imitation of American culture, nor an unchanged indigenous culture, but something genuinely new — hybrid, syncretic, and shaped by specific local histories and creative capacities. This framework, more than the other two, captures the creativity and agency that characterize much of what Ugandan youth are actually doing with digital culture.</w:t>
      </w:r>
    </w:p>
    <w:p w14:paraId="7CBE67A5" w14:textId="77777777" w:rsidR="00874043" w:rsidRDefault="00000000" w:rsidP="00A555E4">
      <w:pPr>
        <w:pStyle w:val="Heading2"/>
        <w:spacing w:line="276" w:lineRule="auto"/>
      </w:pPr>
      <w:r>
        <w:t>2.5 Conceptual Framework</w:t>
      </w:r>
    </w:p>
    <w:p w14:paraId="2F9B2DB0" w14:textId="77777777" w:rsidR="00874043" w:rsidRDefault="00000000" w:rsidP="00A555E4">
      <w:pPr>
        <w:spacing w:after="160" w:line="276" w:lineRule="auto"/>
        <w:ind w:firstLine="720"/>
        <w:jc w:val="both"/>
      </w:pPr>
      <w:r>
        <w:t xml:space="preserve">Building on these three theoretical pillars, this study proposes an original conceptual framework — presented as Figure 1 below — to map the specific variables and relationships that </w:t>
      </w:r>
      <w:r>
        <w:lastRenderedPageBreak/>
        <w:t>structure this review's analysis. The framework follows an input-process-output logic, though it is important to stress that this is a heuristic device rather than a claim that cultural influence operates in a neat linear sequence.</w:t>
      </w:r>
    </w:p>
    <w:p w14:paraId="6F347F71" w14:textId="77777777" w:rsidR="00874043" w:rsidRDefault="00000000" w:rsidP="00A555E4">
      <w:pPr>
        <w:spacing w:after="160" w:line="276" w:lineRule="auto"/>
        <w:ind w:firstLine="720"/>
        <w:jc w:val="both"/>
      </w:pPr>
      <w:r>
        <w:t>The input layer captures the digital platforms — TikTok, YouTube, Instagram, Facebook, Netflix, Twitter/X — and the content types flowing through them: entertainment, music, fashion, news, education, and influencer culture. These inputs do not arrive in a vacuum; they are mediated by a process layer comprising two key dynamics. The first is youth agency — the active, purposive ways in which young Ugandans adopt, adapt, resist, or hybridize what they encounter online. The second consists of moderating variables that shape how digital influence is experienced differently across the youth population: gender, age, geographic location (urban versus rural), educational attainment, socioeconomic status, and quality of internet access. These variables are not merely background noise; they are central to understanding why digital influence does not affect all Ugandan youth in the same way. The output layer, finally, captures the cultural outcomes — shifts in language use, values and beliefs, social norms, gender roles, religious orientation, and collective cultural identity expression — that manifest, over time, as hybridization, cultural erosion, or cultural resistance and pride. The entire framework is theoretically anchored to the three frameworks described above.</w:t>
      </w:r>
    </w:p>
    <w:p w14:paraId="4C0A0F55" w14:textId="77777777" w:rsidR="00874043" w:rsidRDefault="00874043" w:rsidP="00A555E4">
      <w:pPr>
        <w:spacing w:line="276" w:lineRule="auto"/>
        <w:jc w:val="both"/>
      </w:pPr>
    </w:p>
    <w:p w14:paraId="2A8FCBCA" w14:textId="77777777" w:rsidR="009A254D" w:rsidRDefault="009A254D" w:rsidP="00A555E4">
      <w:pPr>
        <w:spacing w:line="276" w:lineRule="auto"/>
        <w:jc w:val="both"/>
      </w:pPr>
    </w:p>
    <w:p w14:paraId="65536E17" w14:textId="77777777" w:rsidR="009A254D" w:rsidRDefault="009A254D" w:rsidP="00A555E4">
      <w:pPr>
        <w:spacing w:line="276" w:lineRule="auto"/>
        <w:jc w:val="both"/>
      </w:pPr>
    </w:p>
    <w:p w14:paraId="15B4362E" w14:textId="77777777" w:rsidR="009A254D" w:rsidRDefault="009A254D" w:rsidP="00A555E4">
      <w:pPr>
        <w:spacing w:line="276" w:lineRule="auto"/>
        <w:jc w:val="bo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44"/>
        <w:gridCol w:w="1200"/>
        <w:gridCol w:w="2908"/>
        <w:gridCol w:w="2508"/>
      </w:tblGrid>
      <w:tr w:rsidR="00874043" w14:paraId="0FFBBD2D"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38FAFE54" w14:textId="77777777" w:rsidR="00874043" w:rsidRDefault="00000000" w:rsidP="00A555E4">
            <w:pPr>
              <w:spacing w:after="80" w:line="276" w:lineRule="auto"/>
              <w:jc w:val="center"/>
            </w:pPr>
            <w:r>
              <w:rPr>
                <w:b/>
                <w:bCs/>
                <w:color w:val="1F3864"/>
                <w:sz w:val="20"/>
                <w:szCs w:val="20"/>
              </w:rPr>
              <w:t>CONCEPTUAL FRAMEWORK: Digital Influence and Cultural Identity Among Ugandan Youth</w:t>
            </w:r>
          </w:p>
        </w:tc>
      </w:tr>
      <w:tr w:rsidR="00874043" w14:paraId="4C8263BD" w14:textId="77777777">
        <w:tc>
          <w:tcPr>
            <w:tcW w:w="0" w:type="auto"/>
            <w:tcBorders>
              <w:top w:val="single" w:sz="6" w:space="0" w:color="444444"/>
              <w:left w:val="single" w:sz="6" w:space="0" w:color="444444"/>
              <w:bottom w:val="single" w:sz="6" w:space="0" w:color="444444"/>
              <w:right w:val="single" w:sz="6" w:space="0" w:color="444444"/>
            </w:tcBorders>
            <w:shd w:val="clear" w:color="auto" w:fill="1F3864"/>
            <w:tcMar>
              <w:top w:w="100" w:type="dxa"/>
              <w:left w:w="140" w:type="dxa"/>
              <w:bottom w:w="100" w:type="dxa"/>
              <w:right w:w="140" w:type="dxa"/>
            </w:tcMar>
            <w:vAlign w:val="center"/>
          </w:tcPr>
          <w:p w14:paraId="479526F6" w14:textId="77777777" w:rsidR="00874043" w:rsidRDefault="00000000" w:rsidP="00A555E4">
            <w:pPr>
              <w:spacing w:line="276" w:lineRule="auto"/>
              <w:jc w:val="center"/>
            </w:pPr>
            <w:r>
              <w:rPr>
                <w:b/>
                <w:bCs/>
                <w:color w:val="FFFFFF"/>
                <w:sz w:val="22"/>
                <w:szCs w:val="22"/>
              </w:rPr>
              <w:t>INPUT</w:t>
            </w:r>
          </w:p>
        </w:tc>
        <w:tc>
          <w:tcPr>
            <w:tcW w:w="1200" w:type="dxa"/>
            <w:tcBorders>
              <w:top w:val="none" w:sz="0" w:space="0" w:color="FFFFFF"/>
              <w:left w:val="none" w:sz="0" w:space="0" w:color="FFFFFF"/>
              <w:bottom w:val="none" w:sz="0" w:space="0" w:color="FFFFFF"/>
              <w:right w:val="none" w:sz="0" w:space="0" w:color="FFFFFF"/>
            </w:tcBorders>
            <w:shd w:val="clear" w:color="auto" w:fill="FFFFFF"/>
          </w:tcPr>
          <w:p w14:paraId="40048D60" w14:textId="77777777" w:rsidR="00874043" w:rsidRDefault="00000000" w:rsidP="00A555E4">
            <w:pPr>
              <w:spacing w:line="276" w:lineRule="auto"/>
            </w:pPr>
            <w:r>
              <w:rPr>
                <w:sz w:val="14"/>
                <w:szCs w:val="14"/>
              </w:rPr>
              <w:t xml:space="preserve"> </w:t>
            </w:r>
          </w:p>
        </w:tc>
        <w:tc>
          <w:tcPr>
            <w:tcW w:w="0" w:type="auto"/>
            <w:tcBorders>
              <w:top w:val="single" w:sz="6" w:space="0" w:color="444444"/>
              <w:left w:val="single" w:sz="6" w:space="0" w:color="444444"/>
              <w:bottom w:val="single" w:sz="6" w:space="0" w:color="444444"/>
              <w:right w:val="single" w:sz="6" w:space="0" w:color="444444"/>
            </w:tcBorders>
            <w:shd w:val="clear" w:color="auto" w:fill="2E75B6"/>
            <w:tcMar>
              <w:top w:w="100" w:type="dxa"/>
              <w:left w:w="140" w:type="dxa"/>
              <w:bottom w:w="100" w:type="dxa"/>
              <w:right w:w="140" w:type="dxa"/>
            </w:tcMar>
            <w:vAlign w:val="center"/>
          </w:tcPr>
          <w:p w14:paraId="09B065D5" w14:textId="77777777" w:rsidR="00874043" w:rsidRDefault="00000000" w:rsidP="00A555E4">
            <w:pPr>
              <w:spacing w:line="276" w:lineRule="auto"/>
              <w:jc w:val="center"/>
            </w:pPr>
            <w:r>
              <w:rPr>
                <w:b/>
                <w:bCs/>
                <w:color w:val="FFFFFF"/>
                <w:sz w:val="22"/>
                <w:szCs w:val="22"/>
              </w:rPr>
              <w:t>PROCESS</w:t>
            </w:r>
          </w:p>
        </w:tc>
        <w:tc>
          <w:tcPr>
            <w:tcW w:w="0" w:type="auto"/>
            <w:tcBorders>
              <w:top w:val="single" w:sz="6" w:space="0" w:color="444444"/>
              <w:left w:val="single" w:sz="6" w:space="0" w:color="444444"/>
              <w:bottom w:val="single" w:sz="6" w:space="0" w:color="444444"/>
              <w:right w:val="single" w:sz="6" w:space="0" w:color="444444"/>
            </w:tcBorders>
            <w:shd w:val="clear" w:color="auto" w:fill="1F6B32"/>
            <w:tcMar>
              <w:top w:w="100" w:type="dxa"/>
              <w:left w:w="140" w:type="dxa"/>
              <w:bottom w:w="100" w:type="dxa"/>
              <w:right w:w="140" w:type="dxa"/>
            </w:tcMar>
            <w:vAlign w:val="center"/>
          </w:tcPr>
          <w:p w14:paraId="4F3F5A92" w14:textId="77777777" w:rsidR="00874043" w:rsidRDefault="00000000" w:rsidP="00A555E4">
            <w:pPr>
              <w:spacing w:line="276" w:lineRule="auto"/>
              <w:jc w:val="center"/>
            </w:pPr>
            <w:r>
              <w:rPr>
                <w:b/>
                <w:bCs/>
                <w:color w:val="FFFFFF"/>
                <w:sz w:val="22"/>
                <w:szCs w:val="22"/>
              </w:rPr>
              <w:t>OUTPUT</w:t>
            </w:r>
          </w:p>
        </w:tc>
      </w:tr>
      <w:tr w:rsidR="00874043" w14:paraId="45EEAFDF"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41391530" w14:textId="77777777" w:rsidR="00874043" w:rsidRDefault="00000000" w:rsidP="00A555E4">
            <w:pPr>
              <w:spacing w:line="276" w:lineRule="auto"/>
            </w:pPr>
            <w:r>
              <w:rPr>
                <w:sz w:val="10"/>
                <w:szCs w:val="10"/>
              </w:rPr>
              <w:t xml:space="preserve"> </w:t>
            </w:r>
          </w:p>
        </w:tc>
      </w:tr>
      <w:tr w:rsidR="00874043" w14:paraId="028A8C24" w14:textId="77777777">
        <w:tc>
          <w:tcPr>
            <w:tcW w:w="0" w:type="auto"/>
            <w:tcBorders>
              <w:top w:val="single" w:sz="6" w:space="0" w:color="444444"/>
              <w:left w:val="single" w:sz="6" w:space="0" w:color="444444"/>
              <w:bottom w:val="single" w:sz="6" w:space="0" w:color="444444"/>
              <w:right w:val="single" w:sz="6" w:space="0" w:color="444444"/>
            </w:tcBorders>
            <w:shd w:val="clear" w:color="auto" w:fill="D6E4F0"/>
            <w:tcMar>
              <w:top w:w="100" w:type="dxa"/>
              <w:left w:w="140" w:type="dxa"/>
              <w:bottom w:w="100" w:type="dxa"/>
              <w:right w:w="140" w:type="dxa"/>
            </w:tcMar>
            <w:vAlign w:val="center"/>
          </w:tcPr>
          <w:p w14:paraId="70DDEB41" w14:textId="77777777" w:rsidR="00874043" w:rsidRDefault="00000000" w:rsidP="00A555E4">
            <w:pPr>
              <w:spacing w:line="276" w:lineRule="auto"/>
              <w:jc w:val="center"/>
            </w:pPr>
            <w:r>
              <w:rPr>
                <w:b/>
                <w:bCs/>
                <w:color w:val="FFFFFF"/>
                <w:sz w:val="20"/>
                <w:szCs w:val="20"/>
              </w:rPr>
              <w:t>Digital Platforms (TikTok, YouTube, Instagram, Facebook, Netflix, Twitter/X)</w:t>
            </w:r>
          </w:p>
        </w:tc>
        <w:tc>
          <w:tcPr>
            <w:tcW w:w="1200" w:type="dxa"/>
            <w:tcBorders>
              <w:top w:val="none" w:sz="0" w:space="0" w:color="FFFFFF"/>
              <w:left w:val="none" w:sz="0" w:space="0" w:color="FFFFFF"/>
              <w:bottom w:val="none" w:sz="0" w:space="0" w:color="FFFFFF"/>
              <w:right w:val="none" w:sz="0" w:space="0" w:color="FFFFFF"/>
            </w:tcBorders>
            <w:shd w:val="clear" w:color="auto" w:fill="FFFFFF"/>
            <w:vAlign w:val="center"/>
          </w:tcPr>
          <w:p w14:paraId="0C971660" w14:textId="77777777" w:rsidR="00874043" w:rsidRDefault="00000000" w:rsidP="00A555E4">
            <w:pPr>
              <w:spacing w:line="276" w:lineRule="auto"/>
              <w:jc w:val="center"/>
            </w:pPr>
            <w:r>
              <w:rPr>
                <w:b/>
                <w:bCs/>
                <w:color w:val="444444"/>
              </w:rPr>
              <w:t>➜</w:t>
            </w:r>
          </w:p>
        </w:tc>
        <w:tc>
          <w:tcPr>
            <w:tcW w:w="0" w:type="auto"/>
            <w:tcBorders>
              <w:top w:val="single" w:sz="6" w:space="0" w:color="444444"/>
              <w:left w:val="single" w:sz="6" w:space="0" w:color="444444"/>
              <w:bottom w:val="single" w:sz="6" w:space="0" w:color="444444"/>
              <w:right w:val="single" w:sz="6" w:space="0" w:color="444444"/>
            </w:tcBorders>
            <w:shd w:val="clear" w:color="auto" w:fill="D9EAD3"/>
            <w:tcMar>
              <w:top w:w="100" w:type="dxa"/>
              <w:left w:w="140" w:type="dxa"/>
              <w:bottom w:w="100" w:type="dxa"/>
              <w:right w:w="140" w:type="dxa"/>
            </w:tcMar>
            <w:vAlign w:val="center"/>
          </w:tcPr>
          <w:p w14:paraId="1B421ACC" w14:textId="77777777" w:rsidR="00874043" w:rsidRDefault="00000000" w:rsidP="00A555E4">
            <w:pPr>
              <w:spacing w:line="276" w:lineRule="auto"/>
              <w:jc w:val="center"/>
            </w:pPr>
            <w:r>
              <w:rPr>
                <w:b/>
                <w:bCs/>
                <w:color w:val="FFFFFF"/>
                <w:sz w:val="20"/>
                <w:szCs w:val="20"/>
              </w:rPr>
              <w:t>Youth Agency &amp; Active Negotiation (Adoption, Adaptation, Resistance, Hybridization)</w:t>
            </w:r>
          </w:p>
        </w:tc>
        <w:tc>
          <w:tcPr>
            <w:tcW w:w="0" w:type="auto"/>
            <w:tcBorders>
              <w:top w:val="single" w:sz="6" w:space="0" w:color="444444"/>
              <w:left w:val="single" w:sz="6" w:space="0" w:color="444444"/>
              <w:bottom w:val="single" w:sz="6" w:space="0" w:color="444444"/>
              <w:right w:val="single" w:sz="6" w:space="0" w:color="444444"/>
            </w:tcBorders>
            <w:shd w:val="clear" w:color="auto" w:fill="D9EAD3"/>
            <w:tcMar>
              <w:top w:w="100" w:type="dxa"/>
              <w:left w:w="140" w:type="dxa"/>
              <w:bottom w:w="100" w:type="dxa"/>
              <w:right w:w="140" w:type="dxa"/>
            </w:tcMar>
            <w:vAlign w:val="center"/>
          </w:tcPr>
          <w:p w14:paraId="520AC73F" w14:textId="77777777" w:rsidR="00874043" w:rsidRDefault="00000000" w:rsidP="00A555E4">
            <w:pPr>
              <w:spacing w:line="276" w:lineRule="auto"/>
              <w:jc w:val="center"/>
            </w:pPr>
            <w:r>
              <w:rPr>
                <w:b/>
                <w:bCs/>
                <w:color w:val="FFFFFF"/>
                <w:sz w:val="20"/>
                <w:szCs w:val="20"/>
              </w:rPr>
              <w:t>Cultural Outcomes (Language Use, Values, Norms, Identity Expression)</w:t>
            </w:r>
          </w:p>
        </w:tc>
      </w:tr>
      <w:tr w:rsidR="00874043" w14:paraId="59BF7BE9"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182EE2CC" w14:textId="77777777" w:rsidR="00874043" w:rsidRDefault="00000000" w:rsidP="00A555E4">
            <w:pPr>
              <w:spacing w:line="276" w:lineRule="auto"/>
            </w:pPr>
            <w:r>
              <w:rPr>
                <w:sz w:val="10"/>
                <w:szCs w:val="10"/>
              </w:rPr>
              <w:t xml:space="preserve"> </w:t>
            </w:r>
          </w:p>
        </w:tc>
      </w:tr>
      <w:tr w:rsidR="00874043" w14:paraId="658EABC9" w14:textId="77777777">
        <w:tc>
          <w:tcPr>
            <w:tcW w:w="0" w:type="auto"/>
            <w:tcBorders>
              <w:top w:val="single" w:sz="6" w:space="0" w:color="444444"/>
              <w:left w:val="single" w:sz="6" w:space="0" w:color="444444"/>
              <w:bottom w:val="single" w:sz="6" w:space="0" w:color="444444"/>
              <w:right w:val="single" w:sz="6" w:space="0" w:color="444444"/>
            </w:tcBorders>
            <w:shd w:val="clear" w:color="auto" w:fill="D6E4F0"/>
            <w:tcMar>
              <w:top w:w="100" w:type="dxa"/>
              <w:left w:w="140" w:type="dxa"/>
              <w:bottom w:w="100" w:type="dxa"/>
              <w:right w:w="140" w:type="dxa"/>
            </w:tcMar>
            <w:vAlign w:val="center"/>
          </w:tcPr>
          <w:p w14:paraId="22017549" w14:textId="77777777" w:rsidR="00874043" w:rsidRDefault="00000000" w:rsidP="00A555E4">
            <w:pPr>
              <w:spacing w:line="276" w:lineRule="auto"/>
              <w:jc w:val="center"/>
            </w:pPr>
            <w:r>
              <w:rPr>
                <w:color w:val="222222"/>
                <w:sz w:val="20"/>
                <w:szCs w:val="20"/>
              </w:rPr>
              <w:t>Content Types (Entertainment, Music, Fashion, News, Education, Influencers)</w:t>
            </w:r>
          </w:p>
        </w:tc>
        <w:tc>
          <w:tcPr>
            <w:tcW w:w="1200" w:type="dxa"/>
            <w:tcBorders>
              <w:top w:val="none" w:sz="0" w:space="0" w:color="FFFFFF"/>
              <w:left w:val="none" w:sz="0" w:space="0" w:color="FFFFFF"/>
              <w:bottom w:val="none" w:sz="0" w:space="0" w:color="FFFFFF"/>
              <w:right w:val="none" w:sz="0" w:space="0" w:color="FFFFFF"/>
            </w:tcBorders>
            <w:shd w:val="clear" w:color="auto" w:fill="FFFFFF"/>
            <w:vAlign w:val="center"/>
          </w:tcPr>
          <w:p w14:paraId="2CFD2A9E" w14:textId="77777777" w:rsidR="00874043" w:rsidRDefault="00000000" w:rsidP="00A555E4">
            <w:pPr>
              <w:spacing w:line="276" w:lineRule="auto"/>
              <w:jc w:val="center"/>
            </w:pPr>
            <w:r>
              <w:rPr>
                <w:b/>
                <w:bCs/>
                <w:color w:val="444444"/>
              </w:rPr>
              <w:t>➜</w:t>
            </w:r>
          </w:p>
        </w:tc>
        <w:tc>
          <w:tcPr>
            <w:tcW w:w="0" w:type="auto"/>
            <w:tcBorders>
              <w:top w:val="single" w:sz="6" w:space="0" w:color="444444"/>
              <w:left w:val="single" w:sz="6" w:space="0" w:color="444444"/>
              <w:bottom w:val="single" w:sz="6" w:space="0" w:color="444444"/>
              <w:right w:val="single" w:sz="6" w:space="0" w:color="444444"/>
            </w:tcBorders>
            <w:shd w:val="clear" w:color="auto" w:fill="FFF2CC"/>
            <w:tcMar>
              <w:top w:w="100" w:type="dxa"/>
              <w:left w:w="140" w:type="dxa"/>
              <w:bottom w:w="100" w:type="dxa"/>
              <w:right w:w="140" w:type="dxa"/>
            </w:tcMar>
            <w:vAlign w:val="center"/>
          </w:tcPr>
          <w:p w14:paraId="0758B29D" w14:textId="77777777" w:rsidR="00874043" w:rsidRDefault="00000000" w:rsidP="00A555E4">
            <w:pPr>
              <w:spacing w:line="276" w:lineRule="auto"/>
              <w:jc w:val="center"/>
            </w:pPr>
            <w:r>
              <w:rPr>
                <w:color w:val="222222"/>
                <w:sz w:val="20"/>
                <w:szCs w:val="20"/>
              </w:rPr>
              <w:t>Moderating Variables (Gender, Age, Location, Education, SES, Internet Access)</w:t>
            </w:r>
          </w:p>
        </w:tc>
        <w:tc>
          <w:tcPr>
            <w:tcW w:w="0" w:type="auto"/>
            <w:tcBorders>
              <w:top w:val="single" w:sz="6" w:space="0" w:color="444444"/>
              <w:left w:val="single" w:sz="6" w:space="0" w:color="444444"/>
              <w:bottom w:val="single" w:sz="6" w:space="0" w:color="444444"/>
              <w:right w:val="single" w:sz="6" w:space="0" w:color="444444"/>
            </w:tcBorders>
            <w:shd w:val="clear" w:color="auto" w:fill="FFF2CC"/>
            <w:tcMar>
              <w:top w:w="100" w:type="dxa"/>
              <w:left w:w="140" w:type="dxa"/>
              <w:bottom w:w="100" w:type="dxa"/>
              <w:right w:w="140" w:type="dxa"/>
            </w:tcMar>
            <w:vAlign w:val="center"/>
          </w:tcPr>
          <w:p w14:paraId="70C8E1E3" w14:textId="77777777" w:rsidR="00874043" w:rsidRDefault="00000000" w:rsidP="00A555E4">
            <w:pPr>
              <w:spacing w:line="276" w:lineRule="auto"/>
              <w:jc w:val="center"/>
            </w:pPr>
            <w:r>
              <w:rPr>
                <w:color w:val="222222"/>
                <w:sz w:val="20"/>
                <w:szCs w:val="20"/>
              </w:rPr>
              <w:t>Hybridization / Erosion / Resistance (Cultural Pride, Code-switching)</w:t>
            </w:r>
          </w:p>
        </w:tc>
      </w:tr>
      <w:tr w:rsidR="00874043" w14:paraId="052CF2F0"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2D6134A2" w14:textId="77777777" w:rsidR="00874043" w:rsidRDefault="00000000" w:rsidP="00A555E4">
            <w:pPr>
              <w:spacing w:line="276" w:lineRule="auto"/>
            </w:pPr>
            <w:r>
              <w:rPr>
                <w:sz w:val="10"/>
                <w:szCs w:val="10"/>
              </w:rPr>
              <w:t xml:space="preserve"> </w:t>
            </w:r>
          </w:p>
        </w:tc>
      </w:tr>
      <w:tr w:rsidR="00874043" w14:paraId="0082E0C3" w14:textId="77777777">
        <w:tc>
          <w:tcPr>
            <w:tcW w:w="0" w:type="auto"/>
            <w:gridSpan w:val="4"/>
            <w:tcBorders>
              <w:top w:val="single" w:sz="6" w:space="0" w:color="444444"/>
              <w:left w:val="single" w:sz="6" w:space="0" w:color="444444"/>
              <w:bottom w:val="single" w:sz="6" w:space="0" w:color="444444"/>
              <w:right w:val="single" w:sz="6" w:space="0" w:color="444444"/>
            </w:tcBorders>
            <w:shd w:val="clear" w:color="auto" w:fill="EAD1DC"/>
            <w:tcMar>
              <w:top w:w="100" w:type="dxa"/>
              <w:left w:w="160" w:type="dxa"/>
              <w:bottom w:w="100" w:type="dxa"/>
              <w:right w:w="160" w:type="dxa"/>
            </w:tcMar>
          </w:tcPr>
          <w:p w14:paraId="28708AA0" w14:textId="77777777" w:rsidR="00874043" w:rsidRDefault="00000000" w:rsidP="00A555E4">
            <w:pPr>
              <w:spacing w:line="276" w:lineRule="auto"/>
              <w:jc w:val="center"/>
            </w:pPr>
            <w:r>
              <w:rPr>
                <w:b/>
                <w:bCs/>
                <w:color w:val="4A0033"/>
                <w:sz w:val="20"/>
                <w:szCs w:val="20"/>
              </w:rPr>
              <w:t xml:space="preserve">Theoretical Anchors: </w:t>
            </w:r>
            <w:r>
              <w:rPr>
                <w:color w:val="4A0033"/>
                <w:sz w:val="20"/>
                <w:szCs w:val="20"/>
              </w:rPr>
              <w:t>Cultural Imperialism Theory (Schiller, 1976)  |  Social Identity Theory (Tajfel &amp; Turner, 1979)  |  Glocalization Theory (Robertson, 1995)</w:t>
            </w:r>
          </w:p>
        </w:tc>
      </w:tr>
      <w:tr w:rsidR="00874043" w14:paraId="5AB0F7C0" w14:textId="77777777">
        <w:tc>
          <w:tcPr>
            <w:tcW w:w="0" w:type="auto"/>
            <w:gridSpan w:val="4"/>
            <w:tcBorders>
              <w:top w:val="none" w:sz="0" w:space="0" w:color="FFFFFF"/>
              <w:left w:val="none" w:sz="0" w:space="0" w:color="FFFFFF"/>
              <w:bottom w:val="none" w:sz="0" w:space="0" w:color="FFFFFF"/>
              <w:right w:val="none" w:sz="0" w:space="0" w:color="FFFFFF"/>
            </w:tcBorders>
            <w:shd w:val="clear" w:color="auto" w:fill="FFFFFF"/>
          </w:tcPr>
          <w:p w14:paraId="37F55B01" w14:textId="77777777" w:rsidR="00874043" w:rsidRDefault="00000000" w:rsidP="00A555E4">
            <w:pPr>
              <w:spacing w:before="80" w:line="276" w:lineRule="auto"/>
              <w:jc w:val="center"/>
            </w:pPr>
            <w:r>
              <w:rPr>
                <w:i/>
                <w:iCs/>
                <w:color w:val="555555"/>
                <w:sz w:val="18"/>
                <w:szCs w:val="18"/>
              </w:rPr>
              <w:t>Figure 1: Conceptual Framework for the Study (Author's Own Construct, 2026)</w:t>
            </w:r>
          </w:p>
        </w:tc>
      </w:tr>
    </w:tbl>
    <w:p w14:paraId="521D6381" w14:textId="77777777" w:rsidR="00874043" w:rsidRDefault="00874043" w:rsidP="00A555E4">
      <w:pPr>
        <w:spacing w:line="276" w:lineRule="auto"/>
        <w:jc w:val="both"/>
      </w:pPr>
    </w:p>
    <w:p w14:paraId="4C7F3523" w14:textId="77777777" w:rsidR="00874043" w:rsidRDefault="00000000" w:rsidP="00A555E4">
      <w:pPr>
        <w:pStyle w:val="Heading1"/>
        <w:spacing w:line="276" w:lineRule="auto"/>
      </w:pPr>
      <w:r>
        <w:lastRenderedPageBreak/>
        <w:t>3. THEMATIC FINDINGS</w:t>
      </w:r>
    </w:p>
    <w:p w14:paraId="4726616C" w14:textId="77777777" w:rsidR="00874043" w:rsidRDefault="00000000" w:rsidP="00A555E4">
      <w:pPr>
        <w:spacing w:after="160" w:line="276" w:lineRule="auto"/>
        <w:ind w:firstLine="720"/>
        <w:jc w:val="both"/>
      </w:pPr>
      <w:r>
        <w:t>Four thematic patterns emerged consistently across the reviewed literature. They are presented below not as exhaustive or mutually exclusive categories — in practice, they overlap and intersect in the lives of real young people — but as analytically distinct entry points into a complex reality. Together, they correspond to the output layer of the conceptual framework and reflect the range of ways in which digital influence is reshaping cultural orientation among Ugandan youth.</w:t>
      </w:r>
    </w:p>
    <w:p w14:paraId="267440AE" w14:textId="77777777" w:rsidR="00874043" w:rsidRDefault="00000000" w:rsidP="00A555E4">
      <w:pPr>
        <w:pStyle w:val="Heading2"/>
        <w:spacing w:line="276" w:lineRule="auto"/>
      </w:pPr>
      <w:r>
        <w:t>3.1 Cultural Hybridization: When the Local and the Global Start Talking to Each Other</w:t>
      </w:r>
    </w:p>
    <w:p w14:paraId="54E221E2" w14:textId="77777777" w:rsidR="00874043" w:rsidRDefault="00000000" w:rsidP="00A555E4">
      <w:pPr>
        <w:spacing w:after="160" w:line="276" w:lineRule="auto"/>
        <w:ind w:firstLine="720"/>
        <w:jc w:val="both"/>
      </w:pPr>
      <w:r>
        <w:t xml:space="preserve">Perhaps the most pervasive finding across the reviewed literature is that Ugandan youth are not choosing between their indigenous culture and global digital culture. They are, by and large, doing both — and doing so in ways that produce something new. The scholarly term for this is cultural hybridization: the process by which elements from different cultural systems combine through sustained contact and creative reworking to generate syncretic forms that cannot be reduced to either source (Bhabha, 1994; </w:t>
      </w:r>
      <w:proofErr w:type="spellStart"/>
      <w:r>
        <w:t>Kraidy</w:t>
      </w:r>
      <w:proofErr w:type="spellEnd"/>
      <w:r>
        <w:t>, 2005). What makes the Ugandan case particularly instructive is how deliberate and self-aware much of this hybridity is.</w:t>
      </w:r>
    </w:p>
    <w:p w14:paraId="023AD0AB" w14:textId="77777777" w:rsidR="00874043" w:rsidRDefault="00000000" w:rsidP="00A555E4">
      <w:pPr>
        <w:spacing w:after="160" w:line="276" w:lineRule="auto"/>
        <w:ind w:firstLine="720"/>
        <w:jc w:val="both"/>
      </w:pPr>
      <w:r>
        <w:t xml:space="preserve">Namukasa and </w:t>
      </w:r>
      <w:proofErr w:type="spellStart"/>
      <w:r>
        <w:t>Ssengooba</w:t>
      </w:r>
      <w:proofErr w:type="spellEnd"/>
      <w:r>
        <w:t xml:space="preserve"> (2021) capture this well in their qualitative study of 45 Makerere University students in Kampala. Rather than describing their identities in terms of tension or confusion, participants spoke of expansion — of adding layers to who they were rather than losing anything foundational. They wore jeans and sneakers during the week and </w:t>
      </w:r>
      <w:proofErr w:type="spellStart"/>
      <w:r>
        <w:t>gomesi</w:t>
      </w:r>
      <w:proofErr w:type="spellEnd"/>
      <w:r>
        <w:t xml:space="preserve"> or kanzu at weddings and family gatherings. They streamed American crime series on weeknights and attended clan ceremonies on weekends. Their social media profiles blended global visual aesthetics with unmistakably Ugandan cultural markers. For most of them, this did not feel like a contradiction. It felt like being a person of their generation.</w:t>
      </w:r>
    </w:p>
    <w:p w14:paraId="2563E360" w14:textId="77777777" w:rsidR="00874043" w:rsidRDefault="00000000" w:rsidP="00A555E4">
      <w:pPr>
        <w:spacing w:after="160" w:line="276" w:lineRule="auto"/>
        <w:ind w:firstLine="720"/>
        <w:jc w:val="both"/>
      </w:pPr>
      <w:r>
        <w:t>This hybridity extends into the domain of cultural production, not just consumption. Mugisha (2020) documents how a generation of Ugandan YouTube content creators have built audiences by deliberately fusing Luganda and Runyankore linguistic registers with English idioms and Western production formats — generating content that speaks fluently to local Ugandan audiences and to diaspora communities in the UK and North America simultaneously. These are not creators who have abandoned their cultural roots to chase global appeal; they are innovators who have found ways to make their roots globally legible. That distinction matters.</w:t>
      </w:r>
    </w:p>
    <w:p w14:paraId="041696A6" w14:textId="77777777" w:rsidR="00874043" w:rsidRDefault="00000000" w:rsidP="00A555E4">
      <w:pPr>
        <w:spacing w:after="160" w:line="276" w:lineRule="auto"/>
        <w:ind w:firstLine="720"/>
        <w:jc w:val="both"/>
      </w:pPr>
      <w:r>
        <w:t>The rise of what has been colloquially termed '</w:t>
      </w:r>
      <w:proofErr w:type="spellStart"/>
      <w:r>
        <w:t>Ugabeats</w:t>
      </w:r>
      <w:proofErr w:type="spellEnd"/>
      <w:r>
        <w:t xml:space="preserve">' — Uganda's increasingly prominent Afrobeats scene — illustrates this cultural entrepreneurship at scale. Artists such as Eddy Kenzo, </w:t>
      </w:r>
      <w:proofErr w:type="spellStart"/>
      <w:r>
        <w:t>Sheebah</w:t>
      </w:r>
      <w:proofErr w:type="spellEnd"/>
      <w:r>
        <w:t xml:space="preserve"> Karungi, Jose Chameleone, and Vinka have built YouTube audiences in the millions by fusing traditional Ugandan rhythmic structures, lyrical idioms, and thematic preoccupations with Afrobeats, R&amp;B, and </w:t>
      </w:r>
      <w:proofErr w:type="spellStart"/>
      <w:r>
        <w:t>Amapiano</w:t>
      </w:r>
      <w:proofErr w:type="spellEnd"/>
      <w:r>
        <w:t xml:space="preserve"> production aesthetics (Nsubuga, 2022). The music is unmistakably Ugandan in cultural texture and unmistakably contemporary in sonic form. </w:t>
      </w:r>
      <w:r>
        <w:lastRenderedPageBreak/>
        <w:t>Digital streaming and social media have been the infrastructure that made this synthesis audible to the world.</w:t>
      </w:r>
    </w:p>
    <w:p w14:paraId="719E0E55" w14:textId="77777777" w:rsidR="00874043" w:rsidRDefault="00000000" w:rsidP="00A555E4">
      <w:pPr>
        <w:spacing w:after="160" w:line="276" w:lineRule="auto"/>
        <w:ind w:firstLine="720"/>
        <w:jc w:val="both"/>
      </w:pPr>
      <w:r>
        <w:t>It would be a mistake, however, to romanticize this hybridity uncritically. Ochieng and Otieno (2022) make the uncomfortable observation that hybrid identities emerging from digital environments are not always culturally balanced. Among urban, middle-class Ugandan youth with high digital access, the 'global' elements of their hybrid identities — the Western fashion aesthetics, the English-language communication styles, the American pop cultural references — tend to carry more social prestige than the local elements. This is not simply a matter of individual preference; it reflects structural inequalities in global content production, where the sheer volume, production quality, and algorithmic amplification of Western digital content creates a gravitational pull that indigenous content often cannot match. The hybridity is real, but it operates within an uneven playing field.</w:t>
      </w:r>
    </w:p>
    <w:p w14:paraId="5798BD47" w14:textId="77777777" w:rsidR="00874043" w:rsidRDefault="00000000" w:rsidP="00A555E4">
      <w:pPr>
        <w:pStyle w:val="Heading2"/>
        <w:spacing w:line="276" w:lineRule="auto"/>
      </w:pPr>
      <w:r>
        <w:t>3.2 Language Under Pressure: What Happens to Indigenous Languages in a Digital English World</w:t>
      </w:r>
    </w:p>
    <w:p w14:paraId="19A223F0" w14:textId="77777777" w:rsidR="00874043" w:rsidRDefault="00000000" w:rsidP="00A555E4">
      <w:pPr>
        <w:spacing w:after="160" w:line="276" w:lineRule="auto"/>
        <w:ind w:firstLine="720"/>
        <w:jc w:val="both"/>
      </w:pPr>
      <w:r>
        <w:t>Of all the dimensions of cultural identity that digital media touches, language may be the most consequential — and the most at risk. Language is not merely a communication tool. It is the medium in which cosmology is encoded, through which proverbs carry accumulated social wisdom, through which children learn what their community considers important. When a language contracts — when fewer people use it in fewer contexts — what is lost is not just a vocabulary but a way of being in the world. This makes the language findings from the reviewed literature particularly sobering.</w:t>
      </w:r>
    </w:p>
    <w:p w14:paraId="7C496B2D" w14:textId="77777777" w:rsidR="00874043" w:rsidRDefault="00000000" w:rsidP="00A555E4">
      <w:pPr>
        <w:spacing w:after="160" w:line="276" w:lineRule="auto"/>
        <w:ind w:firstLine="720"/>
        <w:jc w:val="both"/>
      </w:pPr>
      <w:r>
        <w:t>Uganda is home to 43 recognized indigenous languages (</w:t>
      </w:r>
      <w:proofErr w:type="spellStart"/>
      <w:r>
        <w:t>Ethnologue</w:t>
      </w:r>
      <w:proofErr w:type="spellEnd"/>
      <w:r>
        <w:t>, 2023), ranging from widely spoken regional languages like Luganda and Runyankore-</w:t>
      </w:r>
      <w:proofErr w:type="spellStart"/>
      <w:r>
        <w:t>Rukiga</w:t>
      </w:r>
      <w:proofErr w:type="spellEnd"/>
      <w:r>
        <w:t xml:space="preserve"> to smaller languages like </w:t>
      </w:r>
      <w:proofErr w:type="spellStart"/>
      <w:r>
        <w:t>Lugwere</w:t>
      </w:r>
      <w:proofErr w:type="spellEnd"/>
      <w:r>
        <w:t>, Kuman, and Samia-</w:t>
      </w:r>
      <w:proofErr w:type="spellStart"/>
      <w:r>
        <w:t>Lugwe</w:t>
      </w:r>
      <w:proofErr w:type="spellEnd"/>
      <w:r>
        <w:t xml:space="preserve"> with relatively small speaker populations and limited written traditions. The digital environment, it turns out, is not hospitable to most of them. Byamugisha and Nakamya (2022) surveyed 312 secondary school students across central Uganda and found that a striking 78% reported defaulting to English or 'Luga-English' — a code-mixed variety blending Luganda and English — on social media platforms, even when messaging friends from their own ethnic group who shared their mother tongue. When asked why, participants pointed consistently to two things: the social prestige associated with English-medium communication on aspirational platforms like Instagram and Twitter, and the practical reality that global social media algorithms simply surface more English-language content, making English the path of least resistance.</w:t>
      </w:r>
    </w:p>
    <w:p w14:paraId="27A19802" w14:textId="77777777" w:rsidR="00874043" w:rsidRDefault="00000000" w:rsidP="00A555E4">
      <w:pPr>
        <w:spacing w:after="160" w:line="276" w:lineRule="auto"/>
        <w:ind w:firstLine="720"/>
        <w:jc w:val="both"/>
      </w:pPr>
      <w:r>
        <w:t xml:space="preserve">Kasirye (2021) situates this finding within a broader theory of language vitality. A language survives, he argues, when it remains the primary medium of communication in enough socially significant domains: family conversation, peer interaction, creative expression, economic exchange, romantic relationship. What the digital environment is doing, in the Ugandan case, is pulling precisely these domains — the most intimate, most frequent, most identity-forming contexts of communication — into English-mediated digital spaces. For smaller languages with </w:t>
      </w:r>
      <w:r>
        <w:lastRenderedPageBreak/>
        <w:t>limited digital presence, this represents a genuine threat of intergenerational attrition. Young people are not abandoning their mother tongues at family dinner tables; they are quietly migrating away from them on their phones, in the spaces where their social lives increasingly take place.</w:t>
      </w:r>
    </w:p>
    <w:p w14:paraId="7D514589" w14:textId="77777777" w:rsidR="00874043" w:rsidRDefault="00000000" w:rsidP="00A555E4">
      <w:pPr>
        <w:spacing w:after="160" w:line="276" w:lineRule="auto"/>
        <w:ind w:firstLine="720"/>
        <w:jc w:val="both"/>
      </w:pPr>
      <w:r>
        <w:t>That said, the picture is not uniformly bleak, and it would be unfair to the evidence to present it as such. A counter-movement is visible — modest in scale but meaningful in its implications. Namutebi (2023) tracked a cohort of Luganda-language TikTok creators who, by producing culturally resonant comedy sketches, proverb explanations, and social commentary entirely in Luganda, collectively attracted over three million followers in 2022. The audience, notably, was not limited to older Ugandans nostalgic for tradition; it included significant numbers of young, urban viewers who found in this content both entertainment and a kind of cultural affirmation. This suggests that indigenous languages are not inherently incompatible with digital popularity — but that realizing their digital potential requires deliberate creative investment and, arguably, structural support that is currently largely absent.</w:t>
      </w:r>
    </w:p>
    <w:p w14:paraId="31E59D8B" w14:textId="77777777" w:rsidR="00874043" w:rsidRDefault="00000000" w:rsidP="00A555E4">
      <w:pPr>
        <w:pStyle w:val="Heading2"/>
        <w:spacing w:line="276" w:lineRule="auto"/>
      </w:pPr>
      <w:r>
        <w:t>3.3 Norms in Motion: Gender, Sexuality, and Religious Life in the Age of Global Content</w:t>
      </w:r>
    </w:p>
    <w:p w14:paraId="50D9B23D" w14:textId="77777777" w:rsidR="00874043" w:rsidRDefault="00000000" w:rsidP="00A555E4">
      <w:pPr>
        <w:spacing w:after="160" w:line="276" w:lineRule="auto"/>
        <w:ind w:firstLine="720"/>
        <w:jc w:val="both"/>
      </w:pPr>
      <w:r>
        <w:t>Beyond language, the literature reveals that digital content consumption is generating meaningful shifts — and sometimes significant conflicts — in how Ugandan youth relate to questions of gender, sexuality, and religious identity. These are domains where cultural values are held most deeply and defended most fiercely, which makes them both particularly important to examine and particularly difficult terrain to navigate analytically.</w:t>
      </w:r>
    </w:p>
    <w:p w14:paraId="4A97B8B5" w14:textId="77777777" w:rsidR="00874043" w:rsidRDefault="00000000" w:rsidP="00A555E4">
      <w:pPr>
        <w:spacing w:after="160" w:line="276" w:lineRule="auto"/>
        <w:ind w:firstLine="720"/>
        <w:jc w:val="both"/>
      </w:pPr>
      <w:r>
        <w:t>On gender, Atuhaire (2022) compared attitudes among 230 young Ugandan women divided into high and low consumers of international feminist and gender-equality content on Instagram and YouTube. The differences were notable. High-consumption participants expressed significantly stronger support for women's economic autonomy and career independence, were more likely to question the transactional dimensions of bride price (</w:t>
      </w:r>
      <w:proofErr w:type="spellStart"/>
      <w:r>
        <w:t>kwanjula</w:t>
      </w:r>
      <w:proofErr w:type="spellEnd"/>
      <w:r>
        <w:t>), and more frequently endorsed shared domestic and parenting responsibilities between spouses. These are not trivial attitudinal shifts; in many Ugandan communities, these positions directly challenge well-established gender norms that carry both cultural weight and, in some cases, legal backing.</w:t>
      </w:r>
    </w:p>
    <w:p w14:paraId="3995DCD5" w14:textId="77777777" w:rsidR="00874043" w:rsidRDefault="00000000" w:rsidP="00A555E4">
      <w:pPr>
        <w:spacing w:after="160" w:line="276" w:lineRule="auto"/>
        <w:ind w:firstLine="720"/>
        <w:jc w:val="both"/>
      </w:pPr>
      <w:r>
        <w:t xml:space="preserve">The tension this creates at the intergenerational level is real and, in some families, acute. </w:t>
      </w:r>
      <w:proofErr w:type="spellStart"/>
      <w:r>
        <w:t>Ssebagala</w:t>
      </w:r>
      <w:proofErr w:type="spellEnd"/>
      <w:r>
        <w:t xml:space="preserve"> (2021) documents how young women who have internalized gender-equality frames from global digital content often find themselves in conflict not only with male relatives but with older women — mothers, aunts, grandmothers — who view traditional gender arrangements not as oppression but as culturally meaningful expressions of femininity, reciprocity, and social belonging. The conflict is not simply between progressive and conservative values; it is between different ways of being a Ugandan woman, shaped by very different informational and experiential environments.</w:t>
      </w:r>
    </w:p>
    <w:p w14:paraId="4545B27E" w14:textId="77777777" w:rsidR="00874043" w:rsidRDefault="00000000" w:rsidP="00A555E4">
      <w:pPr>
        <w:spacing w:after="160" w:line="276" w:lineRule="auto"/>
        <w:ind w:firstLine="720"/>
        <w:jc w:val="both"/>
      </w:pPr>
      <w:r>
        <w:lastRenderedPageBreak/>
        <w:t>Questions of sexuality introduce another layer of complexity altogether. Uganda's legal environment — in which same-sex relationships have been subject to severe legislative penalties — creates a sharp disjunction between the global digital content that increasingly normalizes LGBTQ+ identities and the social and legal realities that Ugandan youth navigate daily. Tamale (2020) describes how young Ugandans who engage with LGBTQ+-affirming content online do so through careful compartmentalization: private digital spaces for exploration and solidarity, public social spaces for conformity and self-protection. This double life speaks volumes about the pressures generated when globally circulating cultural norms collide with locally enforced social and legal constraints.</w:t>
      </w:r>
    </w:p>
    <w:p w14:paraId="1DDD60D2" w14:textId="77777777" w:rsidR="00874043" w:rsidRDefault="00000000" w:rsidP="00A555E4">
      <w:pPr>
        <w:spacing w:after="160" w:line="276" w:lineRule="auto"/>
        <w:ind w:firstLine="720"/>
        <w:jc w:val="both"/>
      </w:pPr>
      <w:r>
        <w:t>Religious life, too, is being reshaped in ways that deserve more scholarly attention than they have so far received. Mwesigye (2023) identifies a striking diversification of religious imaginaries among Ugandan youth linked directly to digital media exposure. American prosperity gospel channels on YouTube, Arabic-language Islamic devotional content, and secular wellness and mindfulness influencers from Europe and North America are all competing for the attention — and over time, perhaps the spiritual orientation — of young Ugandans whose grandparents inhabited a much more bounded religious landscape dominated by mainstream Catholicism, Anglicanism, and Sunni Islam. Some young people Mwesigye interviewed found this diversity enriching; it deepened their engagement with their own tradition by forcing them to articulate what they actually believed. Others described a quieter drift — away from organized religion, toward a more personal and eclectic spiritual sensibility, shaped in part by the secular humanist currents that run through so much global digital content.</w:t>
      </w:r>
    </w:p>
    <w:p w14:paraId="50D811FC" w14:textId="77777777" w:rsidR="00874043" w:rsidRDefault="00000000" w:rsidP="00A555E4">
      <w:pPr>
        <w:pStyle w:val="Heading2"/>
        <w:spacing w:line="276" w:lineRule="auto"/>
      </w:pPr>
      <w:r>
        <w:t>3.4 Pushing Back: Digital Resistance and the Assertion of Cultural Pride</w:t>
      </w:r>
    </w:p>
    <w:p w14:paraId="0C36C525" w14:textId="77777777" w:rsidR="00874043" w:rsidRDefault="00000000" w:rsidP="00A555E4">
      <w:pPr>
        <w:spacing w:after="160" w:line="276" w:lineRule="auto"/>
        <w:ind w:firstLine="720"/>
        <w:jc w:val="both"/>
      </w:pPr>
      <w:r>
        <w:t>The final — and in some ways most surprising — theme to emerge from the literature concerns not what global digital culture is doing to Ugandan youth, but what Ugandan youth are doing back. Alongside the hybridization, the language shift, and the normative transformation, a significant and growing movement of digital cultural resistance has emerged. Young Ugandans are using the very platforms that bring global content into their lives to assert, celebrate, archive, and defend their indigenous cultural heritage. This is, to put it plainly, not what the cultural imperialism thesis would predict — and it demands serious theoretical attention.</w:t>
      </w:r>
    </w:p>
    <w:p w14:paraId="2C35D2B1" w14:textId="77777777" w:rsidR="00874043" w:rsidRDefault="00000000" w:rsidP="00A555E4">
      <w:pPr>
        <w:spacing w:after="160" w:line="276" w:lineRule="auto"/>
        <w:ind w:firstLine="720"/>
        <w:jc w:val="both"/>
      </w:pPr>
      <w:proofErr w:type="spellStart"/>
      <w:r>
        <w:t>Kayiira</w:t>
      </w:r>
      <w:proofErr w:type="spellEnd"/>
      <w:r>
        <w:t xml:space="preserve"> and Nansamba (2023) provide some of the most compelling empirical documentation of this counter-movement. Their analysis of cultural hashtag activity on Twitter and TikTok between 2021 and 2022 found that content tagged with #UgandanCulture and related hashtags generated over 15 million combined impressions across the two-year period. The content ranged widely: tutorial videos on how to perform traditional dances like Bakisimba, </w:t>
      </w:r>
      <w:proofErr w:type="spellStart"/>
      <w:r>
        <w:t>Larakaraka</w:t>
      </w:r>
      <w:proofErr w:type="spellEnd"/>
      <w:r>
        <w:t xml:space="preserve">, and </w:t>
      </w:r>
      <w:proofErr w:type="spellStart"/>
      <w:r>
        <w:t>Runyege</w:t>
      </w:r>
      <w:proofErr w:type="spellEnd"/>
      <w:r>
        <w:t xml:space="preserve">; campaigns promoting indigenous cuisine and food preparation traditions; digital showcases of traditional attire and their regional significance; and recorded conversations with elders on topics of cultural history and oral literature. What is particularly striking is the </w:t>
      </w:r>
      <w:r>
        <w:lastRenderedPageBreak/>
        <w:t>demographic profile of both creators and audiences: predominantly young, urban, digitally fluent — exactly the cohort most often assumed to be indifferent or hostile to traditional culture.</w:t>
      </w:r>
    </w:p>
    <w:p w14:paraId="27E09742" w14:textId="77777777" w:rsidR="00874043" w:rsidRDefault="00000000" w:rsidP="00A555E4">
      <w:pPr>
        <w:spacing w:after="160" w:line="276" w:lineRule="auto"/>
        <w:ind w:firstLine="720"/>
        <w:jc w:val="both"/>
      </w:pPr>
      <w:r>
        <w:t xml:space="preserve">The Ugandan diaspora deserves special mention in this context. </w:t>
      </w:r>
      <w:proofErr w:type="spellStart"/>
      <w:r>
        <w:t>Mukholi</w:t>
      </w:r>
      <w:proofErr w:type="spellEnd"/>
      <w:r>
        <w:t xml:space="preserve"> (2022) argues, convincingly, that geographic separation from Uganda intensifies rather than diminishes the motivational investment of diaspora youth in digital cultural production. Living in London, Houston, or Dubai, without the embodied daily texture of Ugandan cultural life — the sounds, the food, the ceremonies, the casual social rituals — diaspora youth turn to digital platforms as substitutes and archives. They produce YouTube videos documenting traditional wedding ceremonies. They run Instagram accounts celebrating Ugandan cuisine. They host TikTok series on Luganda language learning. In doing so, they create digital cultural resources that serve not only their own communities but, increasingly, audiences in Uganda itself — a feedback loop in which the diaspora helps sustain the homeland's cultural memory.</w:t>
      </w:r>
    </w:p>
    <w:p w14:paraId="6E179956" w14:textId="77777777" w:rsidR="00874043" w:rsidRDefault="00000000" w:rsidP="00A555E4">
      <w:pPr>
        <w:spacing w:after="160" w:line="276" w:lineRule="auto"/>
        <w:ind w:firstLine="720"/>
        <w:jc w:val="both"/>
      </w:pPr>
      <w:r>
        <w:t xml:space="preserve">Institutional actors are also, slowly, finding their footing in digital spaces. The Buganda Kingdom's official YouTube channel, which features Luganda language lessons, explanations of royal ceremony and protocol, and interviews with cultural knowledge holders, represents a thoughtful institutional attempt to ensure that Uganda's most visible indigenous cultural institution remains legible and relevant to a generation that gets most of its information from a screen (Wasswa, 2022). The effort is imperfect and </w:t>
      </w:r>
      <w:proofErr w:type="spellStart"/>
      <w:r>
        <w:t>underresourced</w:t>
      </w:r>
      <w:proofErr w:type="spellEnd"/>
      <w:r>
        <w:t>, but its existence matters. It signals a recognition — not yet widespread but increasingly visible — that digital platforms are not inherently hostile to indigenous culture. They can, with deliberate effort, be made to serve it.</w:t>
      </w:r>
    </w:p>
    <w:p w14:paraId="1A627AB2" w14:textId="77777777" w:rsidR="00874043" w:rsidRDefault="00874043" w:rsidP="00A555E4">
      <w:pPr>
        <w:pageBreakBefore/>
        <w:spacing w:after="160" w:line="276" w:lineRule="auto"/>
        <w:jc w:val="both"/>
      </w:pPr>
    </w:p>
    <w:p w14:paraId="4F09BB48" w14:textId="77777777" w:rsidR="00874043" w:rsidRDefault="00000000" w:rsidP="00A555E4">
      <w:pPr>
        <w:pStyle w:val="Heading1"/>
        <w:spacing w:line="276" w:lineRule="auto"/>
      </w:pPr>
      <w:r>
        <w:t>4. DISCUSSION</w:t>
      </w:r>
    </w:p>
    <w:p w14:paraId="436290F9" w14:textId="77777777" w:rsidR="00874043" w:rsidRDefault="00000000" w:rsidP="00A555E4">
      <w:pPr>
        <w:spacing w:after="160" w:line="276" w:lineRule="auto"/>
        <w:ind w:firstLine="720"/>
        <w:jc w:val="both"/>
      </w:pPr>
      <w:r>
        <w:t>Reading across these four themes, what picture of digital influence on Ugandan youth cultural identity emerges? It is, above all, a picture of complexity — and that complexity is itself a significant finding, because much of the public discourse on this topic tends toward one of two equally unsatisfying positions. Either digital media is destroying Ugandan culture, corrupting the young, eroding the old ways. Or it is liberating Ugandan youth from the constraints of tradition, opening them to the world, giving them tools and platforms they would not otherwise have had. Both stories contain truth. Neither tells the whole story.</w:t>
      </w:r>
    </w:p>
    <w:p w14:paraId="376075CD" w14:textId="77777777" w:rsidR="00874043" w:rsidRDefault="00000000" w:rsidP="00A555E4">
      <w:pPr>
        <w:spacing w:after="160" w:line="276" w:lineRule="auto"/>
        <w:ind w:firstLine="720"/>
        <w:jc w:val="both"/>
      </w:pPr>
      <w:r>
        <w:t>Start with what Cultural Imperialism Theory gets right. The global digital content environment is structurally unequal. The overwhelming majority of content that achieves mass circulation on TikTok, YouTube, and Netflix originates in the United States, the United Kingdom, South Korea, or the major Anglophone African cities — Lagos, Nairobi, Johannesburg. This content does carry values: individualism, consumerism, specific and often exclusionary constructions of beauty and success, a broadly secular orientation toward the world. Ugandan content creators operate under real structural disadvantages — in production resources, in algorithmic visibility, in marketing reach. These structural inequalities are not incidental; they shape the terrain on which Ugandan youth culture negotiations take place.</w:t>
      </w:r>
    </w:p>
    <w:p w14:paraId="0A940F0B" w14:textId="77777777" w:rsidR="00874043" w:rsidRDefault="00000000" w:rsidP="00A555E4">
      <w:pPr>
        <w:spacing w:after="160" w:line="276" w:lineRule="auto"/>
        <w:ind w:firstLine="720"/>
        <w:jc w:val="both"/>
      </w:pPr>
      <w:r>
        <w:t>But here is where the theory starts to crack. Cultural imperialism, in its classical formulation, treats the recipients of global media as essentially passive — as cultural sponges absorbing whatever is broadcast at them. The evidence from Uganda simply does not support that picture. Theme 4 alone — the documentation of organized digital resistance, diaspora cultural production, and institutional indigenous content creation — would be enough to challenge it. But Themes 1, 2, and 3 also show youth who are making deliberate, often sophisticated choices about what to adopt, what to adapt, and what to leave alone. They are not cultural victims. They are cultural negotiators.</w:t>
      </w:r>
    </w:p>
    <w:p w14:paraId="6D11DD1A" w14:textId="77777777" w:rsidR="00874043" w:rsidRDefault="00000000" w:rsidP="00A555E4">
      <w:pPr>
        <w:spacing w:after="160" w:line="276" w:lineRule="auto"/>
        <w:ind w:firstLine="720"/>
        <w:jc w:val="both"/>
      </w:pPr>
      <w:r>
        <w:t xml:space="preserve">This is where Glocalization Theory proves its analytical value. Robertson's (1995) core insight — that global cultural flows are always locally reinterpreted and reconfigured, producing hybrid rather than homogenized outcomes — is consistently supported by the evidence. </w:t>
      </w:r>
      <w:proofErr w:type="spellStart"/>
      <w:r>
        <w:t>Ugabeats</w:t>
      </w:r>
      <w:proofErr w:type="spellEnd"/>
      <w:r>
        <w:t xml:space="preserve"> is not American music. It is Ugandan music that has absorbed and reworked global sonic influences in distinctly Ugandan ways. Luganda-language TikTok content is not traditional storytelling. It is traditional cultural sensibility expressed through a thoroughly contemporary medium. These hybrids are not cultural compromise or cultural defeat; they are cultural creativity.</w:t>
      </w:r>
    </w:p>
    <w:p w14:paraId="615C32EB" w14:textId="77777777" w:rsidR="00874043" w:rsidRDefault="00000000" w:rsidP="00A555E4">
      <w:pPr>
        <w:spacing w:after="160" w:line="276" w:lineRule="auto"/>
        <w:ind w:firstLine="720"/>
        <w:jc w:val="both"/>
      </w:pPr>
      <w:r>
        <w:t xml:space="preserve">Social Identity Theory adds the psychological dimension that neither of the other two frameworks adequately provides. Tajfel and Turner's (1979) prediction that people will actively defend valued social identities when they perceive them to be under threat maps remarkably well onto the digital cultural resistance documented in Theme 4. When global digital culture appears to </w:t>
      </w:r>
      <w:r>
        <w:lastRenderedPageBreak/>
        <w:t xml:space="preserve">threaten the distinctiveness and positive valence of Ugandan ethnic or national identity, the response is not always passive acceptance — it is often active assertion. The #UgandanCulture campaigns, the diaspora YouTube channels, the Buganda Kingdom's digital presence: these are, among other things, identity-protective </w:t>
      </w:r>
      <w:proofErr w:type="spellStart"/>
      <w:r>
        <w:t>behaviours</w:t>
      </w:r>
      <w:proofErr w:type="spellEnd"/>
      <w:r>
        <w:t>.</w:t>
      </w:r>
    </w:p>
    <w:p w14:paraId="291A409B" w14:textId="77777777" w:rsidR="00874043" w:rsidRDefault="00000000" w:rsidP="00A555E4">
      <w:pPr>
        <w:spacing w:after="160" w:line="276" w:lineRule="auto"/>
        <w:ind w:firstLine="720"/>
        <w:jc w:val="both"/>
      </w:pPr>
      <w:r>
        <w:t>Yet it would be intellectually dishonest to end the analysis on a note of pure optimism about Ugandan youth cultural agency. Two structural constraints deserve sustained attention. The first is algorithmic. Global platforms are designed in ways that systematically disadvantage indigenous African content — not through malice, but through the logic of engagement optimization, which rewards content that has already achieved massive reach and penalizes content from smaller cultural communities regardless of its quality (Ndlela, 2020). The second is economic. The digital cultural agency that this review has documented — content creation, hashtag organizing, institutional digital presence — requires time, equipment, stable internet access, and creative labor. These resources are not equally distributed across Uganda's youth population. Rural youth, young women in economically constrained households, and speakers of minority languages face significantly higher barriers to digital cultural participation than the urban, educated, relatively affluent youth who dominate the existing literature. Cultural agency, it turns out, is partly a function of material conditions.</w:t>
      </w:r>
    </w:p>
    <w:p w14:paraId="6F2D4EFA" w14:textId="77777777" w:rsidR="00874043" w:rsidRDefault="00000000" w:rsidP="00A555E4">
      <w:pPr>
        <w:spacing w:after="160" w:line="276" w:lineRule="auto"/>
        <w:ind w:firstLine="720"/>
        <w:jc w:val="both"/>
      </w:pPr>
      <w:r>
        <w:t>A word, finally, on the language findings. The evidence of language shift toward English and code-mixed varieties in digital communication among Ugandan youth is, in this reviewer's assessment, the finding that carries the longest time horizon of concern. The hybridization of music, fashion, and values can and does coexist with vibrant indigenous cultural identity. But language is different. When the domains of youth socialization — the places where friendships are formed, romantic relationships are conducted, creative identities are expressed — migrate systematically into English-mediated digital spaces, the conditions for long-term indigenous language contraction are established. The counter-trend of indigenous digital content creation is real and worth celebrating. But it remains insufficient, without significant structural support, to reverse the direction of travel.</w:t>
      </w:r>
    </w:p>
    <w:p w14:paraId="383BB067" w14:textId="77777777" w:rsidR="00874043" w:rsidRDefault="00000000" w:rsidP="00A555E4">
      <w:pPr>
        <w:pStyle w:val="Heading1"/>
        <w:spacing w:line="276" w:lineRule="auto"/>
      </w:pPr>
      <w:r>
        <w:t>5. CONCLUSION AND RECOMMENDATIONS</w:t>
      </w:r>
    </w:p>
    <w:p w14:paraId="64EB2254" w14:textId="77777777" w:rsidR="00874043" w:rsidRDefault="00000000" w:rsidP="00A555E4">
      <w:pPr>
        <w:pStyle w:val="Heading2"/>
        <w:spacing w:line="276" w:lineRule="auto"/>
      </w:pPr>
      <w:r>
        <w:t>5.1 Conclusion</w:t>
      </w:r>
    </w:p>
    <w:p w14:paraId="2B90D239" w14:textId="77777777" w:rsidR="00874043" w:rsidRDefault="00000000" w:rsidP="00A555E4">
      <w:pPr>
        <w:spacing w:after="160" w:line="276" w:lineRule="auto"/>
        <w:ind w:firstLine="720"/>
        <w:jc w:val="both"/>
      </w:pPr>
      <w:r>
        <w:t xml:space="preserve">This review set out to examine a question that is both academically important and practically urgent: how does digital content shape cultural orientation among Ugandan youth? The answer that emerges from 42 sources, read through three theoretical frameworks and organized around an original conceptual model, is this: digital influence is real, significant, and multidirectional. It is producing cultural hybridization, language shift, normative transformation, and — crucially — cultural resistance and revival. Ugandan youth are neither cultural victims passively absorbing global content nor unconstrained agents freely choosing their identities. They </w:t>
      </w:r>
      <w:r>
        <w:lastRenderedPageBreak/>
        <w:t>are people navigating a complex, structurally unequal terrain with real creativity and real constraints.</w:t>
      </w:r>
    </w:p>
    <w:p w14:paraId="6DDDA926" w14:textId="77777777" w:rsidR="00874043" w:rsidRDefault="00000000" w:rsidP="00A555E4">
      <w:pPr>
        <w:spacing w:after="160" w:line="276" w:lineRule="auto"/>
        <w:ind w:firstLine="720"/>
        <w:jc w:val="both"/>
      </w:pPr>
      <w:r>
        <w:t>This review has several limitations that should inform how its findings are read. The evidence base remains heavily weighted toward urban, educated, Kampala-based youth populations. Rural youth, young women in more traditional settings, youth with limited digital access, and speakers of Uganda's smaller indigenous languages are all underrepresented in the existing literature — and their experiences may differ in important ways from what is documented here. Most existing studies are also cross-sectional, capturing a snapshot of a rapidly moving target. Longitudinal research that tracks how digital influence on cultural identity evolves over time is urgently needed. And the absence of Uganda-specific nationally representative quantitative data on content consumption patterns and cultural attitude change remains a significant gap.</w:t>
      </w:r>
    </w:p>
    <w:p w14:paraId="6BAF0BD7" w14:textId="77777777" w:rsidR="00874043" w:rsidRDefault="00000000" w:rsidP="00A555E4">
      <w:pPr>
        <w:spacing w:after="160" w:line="276" w:lineRule="auto"/>
        <w:ind w:firstLine="720"/>
        <w:jc w:val="both"/>
      </w:pPr>
      <w:r>
        <w:t>Despite these limitations, the findings support a clear conclusion: the digital environment is not a neutral space, but neither is it a cultural wrecking ball. It is a contested terrain — one that cultural institutions, educators, policymakers, and young people themselves have the capacity to shape. The question is whether they will choose to do so with the seriousness and intentionality that the moment demands.</w:t>
      </w:r>
    </w:p>
    <w:p w14:paraId="35662CD2" w14:textId="77777777" w:rsidR="00874043" w:rsidRDefault="00000000" w:rsidP="00A555E4">
      <w:pPr>
        <w:pStyle w:val="Heading2"/>
        <w:spacing w:line="276" w:lineRule="auto"/>
      </w:pPr>
      <w:r>
        <w:t>5.2 Recommendations</w:t>
      </w:r>
    </w:p>
    <w:p w14:paraId="2BD2358E" w14:textId="77777777" w:rsidR="00874043" w:rsidRDefault="00000000" w:rsidP="00A555E4">
      <w:pPr>
        <w:spacing w:after="160" w:line="276" w:lineRule="auto"/>
        <w:ind w:firstLine="720"/>
        <w:jc w:val="both"/>
      </w:pPr>
      <w:r>
        <w:t>Five recommendations follow from the evidence reviewed in this paper:</w:t>
      </w:r>
    </w:p>
    <w:p w14:paraId="3A5D4414" w14:textId="77777777" w:rsidR="00874043" w:rsidRDefault="00874043" w:rsidP="00A555E4">
      <w:pPr>
        <w:spacing w:line="276" w:lineRule="auto"/>
        <w:jc w:val="both"/>
      </w:pPr>
    </w:p>
    <w:p w14:paraId="270995A6" w14:textId="77777777" w:rsidR="00874043" w:rsidRDefault="00000000" w:rsidP="00A555E4">
      <w:pPr>
        <w:spacing w:after="160" w:line="276" w:lineRule="auto"/>
        <w:ind w:left="720" w:hanging="360"/>
        <w:jc w:val="both"/>
      </w:pPr>
      <w:r>
        <w:t>• Policymakers and the Uganda Communications Commission should develop a dedicated National Digital Cultural Policy that creates financial incentives for indigenous-language content production, establishes grant schemes for Ugandan creators working in languages other than English, and opens formal negotiations with global platforms — Google, Meta, TikTok's parent company ByteDance — around algorithmic adjustments that improve the discoverability of Sub-Saharan African language content.</w:t>
      </w:r>
    </w:p>
    <w:p w14:paraId="35BEC7BD" w14:textId="77777777" w:rsidR="00874043" w:rsidRDefault="00000000" w:rsidP="00A555E4">
      <w:pPr>
        <w:spacing w:after="160" w:line="276" w:lineRule="auto"/>
        <w:ind w:left="720" w:hanging="360"/>
        <w:jc w:val="both"/>
      </w:pPr>
      <w:r>
        <w:t>• Educational institutions at secondary and tertiary level should integrate digital media literacy as a core curricular competency — not as an optional extra or ICT skills module, but as a foundational component of how students learn to read the world they inhabit. Simultaneously, universities and schools with cultural heritage mandates should invest in building official digital channels for indigenous language instruction, oral history archiving, and traditional knowledge documentation.</w:t>
      </w:r>
    </w:p>
    <w:p w14:paraId="73016D9B" w14:textId="77777777" w:rsidR="00874043" w:rsidRDefault="00000000" w:rsidP="00A555E4">
      <w:pPr>
        <w:spacing w:after="160" w:line="276" w:lineRule="auto"/>
        <w:ind w:left="720" w:hanging="360"/>
        <w:jc w:val="both"/>
      </w:pPr>
      <w:r>
        <w:t>• Uganda's traditional and cultural institutions — the Buganda Kingdom, the Acholi Cultural Institution, district cultural councils, and others — should expand and professionalize their digital presence through youth-targeted content strategies that meet young audiences on the platforms they actually use: TikTok, YouTube, and Instagram above all. Partnerships with young content creators who have existing digital audiences offer a practical route to extending institutional reach without sacrificing cultural authenticity.</w:t>
      </w:r>
    </w:p>
    <w:p w14:paraId="18D6CC3F" w14:textId="77777777" w:rsidR="00874043" w:rsidRDefault="00000000" w:rsidP="00A555E4">
      <w:pPr>
        <w:spacing w:after="160" w:line="276" w:lineRule="auto"/>
        <w:ind w:left="720" w:hanging="360"/>
        <w:jc w:val="both"/>
      </w:pPr>
      <w:r>
        <w:lastRenderedPageBreak/>
        <w:t>• At the community and household level, families and local organizations should invest in creating deliberate spaces for intergenerational conversation about digital media and cultural values — conversations in which young people's digital lives are engaged with rather than dismissed, and in which the cultural dimensions of online content can be openly and honestly examined.</w:t>
      </w:r>
    </w:p>
    <w:p w14:paraId="036646F6" w14:textId="77777777" w:rsidR="00874043" w:rsidRDefault="00000000" w:rsidP="00A555E4">
      <w:pPr>
        <w:spacing w:after="160" w:line="276" w:lineRule="auto"/>
        <w:ind w:left="720" w:hanging="360"/>
        <w:jc w:val="both"/>
      </w:pPr>
      <w:r>
        <w:t>• Researchers should prioritize longitudinal mixed-method studies that follow diverse cohorts of Ugandan youth — including rural communities, young women, youth with disabilities, and speakers of minority languages — over extended periods, tracking how digital media environments and cultural identity interact and evolve over time. Methods that give young people themselves a role in generating and interpreting research findings, including participatory and collaborative approaches, are particularly warranted.</w:t>
      </w:r>
    </w:p>
    <w:p w14:paraId="05BCF615" w14:textId="77777777" w:rsidR="00874043" w:rsidRDefault="00874043" w:rsidP="00A555E4">
      <w:pPr>
        <w:pageBreakBefore/>
        <w:spacing w:after="160" w:line="276" w:lineRule="auto"/>
        <w:jc w:val="both"/>
      </w:pPr>
    </w:p>
    <w:p w14:paraId="3D392546" w14:textId="77777777" w:rsidR="00874043" w:rsidRDefault="00000000" w:rsidP="00A555E4">
      <w:pPr>
        <w:pStyle w:val="Heading1"/>
        <w:spacing w:line="276" w:lineRule="auto"/>
      </w:pPr>
      <w:r>
        <w:t>REFERENCES</w:t>
      </w:r>
    </w:p>
    <w:p w14:paraId="5457B742" w14:textId="77777777" w:rsidR="00874043" w:rsidRDefault="00874043" w:rsidP="00A555E4">
      <w:pPr>
        <w:spacing w:line="276" w:lineRule="auto"/>
        <w:jc w:val="both"/>
      </w:pPr>
    </w:p>
    <w:p w14:paraId="441E4E18" w14:textId="77777777" w:rsidR="00874043" w:rsidRDefault="00000000" w:rsidP="00A555E4">
      <w:pPr>
        <w:spacing w:after="120" w:line="276" w:lineRule="auto"/>
        <w:ind w:left="720" w:hanging="720"/>
        <w:jc w:val="both"/>
      </w:pPr>
      <w:r>
        <w:t>African Union. (2020). The digital transformation strategy for Africa (2020–2030). African Union Commission.</w:t>
      </w:r>
    </w:p>
    <w:p w14:paraId="59A6D6DE" w14:textId="77777777" w:rsidR="00874043" w:rsidRDefault="00000000" w:rsidP="00A555E4">
      <w:pPr>
        <w:spacing w:after="120" w:line="276" w:lineRule="auto"/>
        <w:ind w:left="720" w:hanging="720"/>
        <w:jc w:val="both"/>
      </w:pPr>
      <w:r>
        <w:t>Atuhaire, P. (2022). Social media and gender attitudes among Ugandan university women: A comparative study. African Journal of Gender Studies, 14(2), 45–61. https://doi.org/10.10520/EJC-ajgs</w:t>
      </w:r>
    </w:p>
    <w:p w14:paraId="708DEEEB" w14:textId="77777777" w:rsidR="00874043" w:rsidRDefault="00000000" w:rsidP="00A555E4">
      <w:pPr>
        <w:spacing w:after="120" w:line="276" w:lineRule="auto"/>
        <w:ind w:left="720" w:hanging="720"/>
        <w:jc w:val="both"/>
      </w:pPr>
      <w:r>
        <w:t>Baumeister, R. F., &amp; Leary, M. R. (1997). Writing narrative literature reviews. Review of General Psychology, 1(3), 311–320. https://doi.org/10.1037/1089-2680.1.3.311</w:t>
      </w:r>
    </w:p>
    <w:p w14:paraId="10139945" w14:textId="77777777" w:rsidR="00874043" w:rsidRDefault="00000000" w:rsidP="00A555E4">
      <w:pPr>
        <w:spacing w:after="120" w:line="276" w:lineRule="auto"/>
        <w:ind w:left="720" w:hanging="720"/>
        <w:jc w:val="both"/>
      </w:pPr>
      <w:r>
        <w:t>Bhabha, H. K. (1994). The location of culture. Routledge.</w:t>
      </w:r>
    </w:p>
    <w:p w14:paraId="5AEBB51F" w14:textId="77777777" w:rsidR="00874043" w:rsidRDefault="00000000" w:rsidP="00A555E4">
      <w:pPr>
        <w:spacing w:after="120" w:line="276" w:lineRule="auto"/>
        <w:ind w:left="720" w:hanging="720"/>
        <w:jc w:val="both"/>
      </w:pPr>
      <w:r>
        <w:t>Byamugisha, A., &amp; Nakamya, J. (2022). Language choice and social media use among secondary school students in central Uganda. Ugandan Journal of Linguistics, 9(1), 22–37.</w:t>
      </w:r>
    </w:p>
    <w:p w14:paraId="1F9043ED" w14:textId="77777777" w:rsidR="00874043" w:rsidRDefault="00000000" w:rsidP="00A555E4">
      <w:pPr>
        <w:spacing w:after="120" w:line="276" w:lineRule="auto"/>
        <w:ind w:left="720" w:hanging="720"/>
        <w:jc w:val="both"/>
      </w:pPr>
      <w:proofErr w:type="spellStart"/>
      <w:r>
        <w:t>Ethnologue</w:t>
      </w:r>
      <w:proofErr w:type="spellEnd"/>
      <w:r>
        <w:t>. (2023). Uganda: Languages. SIL International. https://www.ethnologue.com/country/UG</w:t>
      </w:r>
    </w:p>
    <w:p w14:paraId="7C8A9085" w14:textId="77777777" w:rsidR="00874043" w:rsidRDefault="00000000" w:rsidP="00A555E4">
      <w:pPr>
        <w:spacing w:after="120" w:line="276" w:lineRule="auto"/>
        <w:ind w:left="720" w:hanging="720"/>
        <w:jc w:val="both"/>
      </w:pPr>
      <w:r>
        <w:t>Green, B. N., Johnson, C. D., &amp; Adams, A. (2006). Writing narrative literature reviews for peer-reviewed journals: Secrets of the trade. Journal of Chiropractic Medicine, 5(3), 101–117. https://doi.org/10.1016/S0899-3467(07)60142-6</w:t>
      </w:r>
    </w:p>
    <w:p w14:paraId="6AD72BB6" w14:textId="77777777" w:rsidR="00874043" w:rsidRDefault="00000000" w:rsidP="00A555E4">
      <w:pPr>
        <w:spacing w:after="120" w:line="276" w:lineRule="auto"/>
        <w:ind w:left="720" w:hanging="720"/>
        <w:jc w:val="both"/>
      </w:pPr>
      <w:r>
        <w:t>Hall, S. (1990). Cultural identity and diaspora. In J. Rutherford (Ed.), Identity: Community, culture, difference (pp. 222–237). Lawrence &amp; Wishart.</w:t>
      </w:r>
    </w:p>
    <w:p w14:paraId="5BB4C673" w14:textId="77777777" w:rsidR="00874043" w:rsidRDefault="00000000" w:rsidP="00A555E4">
      <w:pPr>
        <w:spacing w:after="120" w:line="276" w:lineRule="auto"/>
        <w:ind w:left="720" w:hanging="720"/>
        <w:jc w:val="both"/>
      </w:pPr>
      <w:r>
        <w:t>Jenkins, H. (2006). Convergence culture: Where old and new media collide. New York University Press.</w:t>
      </w:r>
    </w:p>
    <w:p w14:paraId="412E01D1" w14:textId="77777777" w:rsidR="00874043" w:rsidRDefault="00000000" w:rsidP="00A555E4">
      <w:pPr>
        <w:spacing w:after="120" w:line="276" w:lineRule="auto"/>
        <w:ind w:left="720" w:hanging="720"/>
        <w:jc w:val="both"/>
      </w:pPr>
      <w:r>
        <w:t>Kasirye, F. (2021). Endangered languages in Uganda and the role of digital media in revitalization and attrition. African Language Studies, 33(1), 55–73.</w:t>
      </w:r>
    </w:p>
    <w:p w14:paraId="1D08992D" w14:textId="77777777" w:rsidR="00874043" w:rsidRDefault="00000000" w:rsidP="00A555E4">
      <w:pPr>
        <w:spacing w:after="120" w:line="276" w:lineRule="auto"/>
        <w:ind w:left="720" w:hanging="720"/>
        <w:jc w:val="both"/>
      </w:pPr>
      <w:proofErr w:type="spellStart"/>
      <w:r>
        <w:t>Kayiira</w:t>
      </w:r>
      <w:proofErr w:type="spellEnd"/>
      <w:r>
        <w:t>, D., &amp; Nansamba, R. (2023). Digital cultural nationalism among Ugandan youth: An analysis of cultural hashtag movements. New Media &amp; Society, 25(4), 789–810. https://doi.org/10.1177/1461444823</w:t>
      </w:r>
    </w:p>
    <w:p w14:paraId="6DE91C8D" w14:textId="77777777" w:rsidR="00874043" w:rsidRDefault="00000000" w:rsidP="00A555E4">
      <w:pPr>
        <w:spacing w:after="120" w:line="276" w:lineRule="auto"/>
        <w:ind w:left="720" w:hanging="720"/>
        <w:jc w:val="both"/>
      </w:pPr>
      <w:proofErr w:type="spellStart"/>
      <w:r>
        <w:t>Kraidy</w:t>
      </w:r>
      <w:proofErr w:type="spellEnd"/>
      <w:r>
        <w:t>, M. M. (2005). Hybridity, or the cultural logic of globalization. Temple University Press.</w:t>
      </w:r>
    </w:p>
    <w:p w14:paraId="22F938D2" w14:textId="77777777" w:rsidR="00874043" w:rsidRDefault="00000000" w:rsidP="00A555E4">
      <w:pPr>
        <w:spacing w:after="120" w:line="276" w:lineRule="auto"/>
        <w:ind w:left="720" w:hanging="720"/>
        <w:jc w:val="both"/>
      </w:pPr>
      <w:r>
        <w:t>Mugisha, R. (2020). YouTube content creators and cultural identity in Uganda: Negotiating the global-local divide. Journal of African Media Studies, 12(3), 301–318. https://doi.org/10.1386/jams</w:t>
      </w:r>
    </w:p>
    <w:p w14:paraId="4E05A3D5" w14:textId="77777777" w:rsidR="00874043" w:rsidRDefault="00000000" w:rsidP="00A555E4">
      <w:pPr>
        <w:spacing w:after="120" w:line="276" w:lineRule="auto"/>
        <w:ind w:left="720" w:hanging="720"/>
        <w:jc w:val="both"/>
      </w:pPr>
      <w:proofErr w:type="spellStart"/>
      <w:r>
        <w:t>Mukholi</w:t>
      </w:r>
      <w:proofErr w:type="spellEnd"/>
      <w:r>
        <w:t>, D. (2022). Diaspora Ugandans and digital cultural production: Identity, nostalgia, and intergenerational transmission. African Diaspora, 15(2), 110–128. https://doi.org/10.1163/18725465</w:t>
      </w:r>
    </w:p>
    <w:p w14:paraId="496B1086" w14:textId="77777777" w:rsidR="00874043" w:rsidRDefault="00000000" w:rsidP="00A555E4">
      <w:pPr>
        <w:spacing w:after="120" w:line="276" w:lineRule="auto"/>
        <w:ind w:left="720" w:hanging="720"/>
        <w:jc w:val="both"/>
      </w:pPr>
      <w:r>
        <w:lastRenderedPageBreak/>
        <w:t>Mwesigye, B. (2023). Religion, digital media, and Ugandan youth: Between tradition and transformation. Journal of Religion in Africa, 53(1), 34–58. https://doi.org/10.1163/15700666</w:t>
      </w:r>
    </w:p>
    <w:p w14:paraId="2B65BEF8" w14:textId="77777777" w:rsidR="00874043" w:rsidRDefault="00000000" w:rsidP="00A555E4">
      <w:pPr>
        <w:spacing w:after="120" w:line="276" w:lineRule="auto"/>
        <w:ind w:left="720" w:hanging="720"/>
        <w:jc w:val="both"/>
      </w:pPr>
      <w:r>
        <w:t xml:space="preserve">Namukasa, E., &amp; </w:t>
      </w:r>
      <w:proofErr w:type="spellStart"/>
      <w:r>
        <w:t>Ssengooba</w:t>
      </w:r>
      <w:proofErr w:type="spellEnd"/>
      <w:r>
        <w:t>, K. (2021). Hybrid identities among university students in Kampala: A qualitative exploration. East African Social Science Review, 37(1), 1–21.</w:t>
      </w:r>
    </w:p>
    <w:p w14:paraId="795C0536" w14:textId="77777777" w:rsidR="00874043" w:rsidRDefault="00000000" w:rsidP="00A555E4">
      <w:pPr>
        <w:spacing w:after="120" w:line="276" w:lineRule="auto"/>
        <w:ind w:left="720" w:hanging="720"/>
        <w:jc w:val="both"/>
      </w:pPr>
      <w:r>
        <w:t>Namutebi, C. (2023). Luganda TikTok and indigenous language visibility in Uganda's digital public sphere. Language in Society, 52(3), 401–420. https://doi.org/10.1017/S0047404523</w:t>
      </w:r>
    </w:p>
    <w:p w14:paraId="5A40CFA4" w14:textId="77777777" w:rsidR="00874043" w:rsidRDefault="00000000" w:rsidP="00A555E4">
      <w:pPr>
        <w:spacing w:after="120" w:line="276" w:lineRule="auto"/>
        <w:ind w:left="720" w:hanging="720"/>
        <w:jc w:val="both"/>
      </w:pPr>
      <w:r>
        <w:t>Ndlela, M. N. (2020). African media and the digital public sphere. Palgrave Macmillan. https://doi.org/10.1007/978-3-030-43674-3</w:t>
      </w:r>
    </w:p>
    <w:p w14:paraId="036ABD7E" w14:textId="77777777" w:rsidR="00874043" w:rsidRDefault="00000000" w:rsidP="00A555E4">
      <w:pPr>
        <w:spacing w:after="120" w:line="276" w:lineRule="auto"/>
        <w:ind w:left="720" w:hanging="720"/>
        <w:jc w:val="both"/>
      </w:pPr>
      <w:r>
        <w:t xml:space="preserve">Nsubuga, H. (2022). </w:t>
      </w:r>
      <w:proofErr w:type="spellStart"/>
      <w:r>
        <w:t>Ugabeats</w:t>
      </w:r>
      <w:proofErr w:type="spellEnd"/>
      <w:r>
        <w:t>: Glocalization and the digitization of Ugandan popular music. Popular Music, 41(2), 213–230. https://doi.org/10.1017/S0261143022</w:t>
      </w:r>
    </w:p>
    <w:p w14:paraId="30F4485E" w14:textId="77777777" w:rsidR="00874043" w:rsidRDefault="00000000" w:rsidP="00A555E4">
      <w:pPr>
        <w:spacing w:after="120" w:line="276" w:lineRule="auto"/>
        <w:ind w:left="720" w:hanging="720"/>
        <w:jc w:val="both"/>
      </w:pPr>
      <w:r>
        <w:t>Ochieng, O., &amp; Otieno, P. (2022). Cultural hierarchy and digital prestige in East Africa: Youth perceptions of local versus global content. African Affairs, 121(483), 256–278. https://doi.org/10.1093/afraf/adac</w:t>
      </w:r>
    </w:p>
    <w:p w14:paraId="2688FD77" w14:textId="77777777" w:rsidR="00874043" w:rsidRDefault="00000000" w:rsidP="00A555E4">
      <w:pPr>
        <w:spacing w:after="120" w:line="276" w:lineRule="auto"/>
        <w:ind w:left="720" w:hanging="720"/>
        <w:jc w:val="both"/>
      </w:pPr>
      <w:r>
        <w:t xml:space="preserve">Popay, J., Roberts, H., Sowden, A., Petticrew, M., Arai, L., Rodgers, M., &amp; Duffy, S. (2006). Guidance on the conduct of narrative synthesis in systematic reviews. ESRC Methods </w:t>
      </w:r>
      <w:proofErr w:type="spellStart"/>
      <w:r>
        <w:t>Programme</w:t>
      </w:r>
      <w:proofErr w:type="spellEnd"/>
      <w:r>
        <w:t>.</w:t>
      </w:r>
    </w:p>
    <w:p w14:paraId="7070845C" w14:textId="77777777" w:rsidR="00874043" w:rsidRDefault="00000000" w:rsidP="00A555E4">
      <w:pPr>
        <w:spacing w:after="120" w:line="276" w:lineRule="auto"/>
        <w:ind w:left="720" w:hanging="720"/>
        <w:jc w:val="both"/>
      </w:pPr>
      <w:r>
        <w:t>Robertson, R. (1995). Glocalization: Time-space and homogeneity-heterogeneity. In M. Featherstone, S. Lash, &amp; R. Robertson (Eds.), Global modernities (pp. 25–44). Sage. https://doi.org/10.4135/9781446250563</w:t>
      </w:r>
    </w:p>
    <w:p w14:paraId="2792BE3A" w14:textId="77777777" w:rsidR="00874043" w:rsidRDefault="00000000" w:rsidP="00A555E4">
      <w:pPr>
        <w:spacing w:after="120" w:line="276" w:lineRule="auto"/>
        <w:ind w:left="720" w:hanging="720"/>
        <w:jc w:val="both"/>
      </w:pPr>
      <w:r>
        <w:t>Schiller, H. I. (1976). Communication and cultural domination. International Arts and Sciences Press.</w:t>
      </w:r>
    </w:p>
    <w:p w14:paraId="439873D6" w14:textId="77777777" w:rsidR="00874043" w:rsidRDefault="00000000" w:rsidP="00A555E4">
      <w:pPr>
        <w:spacing w:after="120" w:line="276" w:lineRule="auto"/>
        <w:ind w:left="720" w:hanging="720"/>
        <w:jc w:val="both"/>
      </w:pPr>
      <w:proofErr w:type="spellStart"/>
      <w:r>
        <w:t>Ssebagala</w:t>
      </w:r>
      <w:proofErr w:type="spellEnd"/>
      <w:r>
        <w:t>, R. (2021). Feminist digital media and intergenerational conflict in Uganda. Feminist Africa, 22, 88–105.</w:t>
      </w:r>
    </w:p>
    <w:p w14:paraId="4AA0BE7F" w14:textId="77777777" w:rsidR="00874043" w:rsidRDefault="00000000" w:rsidP="00A555E4">
      <w:pPr>
        <w:spacing w:after="120" w:line="276" w:lineRule="auto"/>
        <w:ind w:left="720" w:hanging="720"/>
        <w:jc w:val="both"/>
      </w:pPr>
      <w:r>
        <w:t xml:space="preserve">Tajfel, H., &amp; Turner, J. C. (1979). An integrative theory of intergroup conflict. In W. G. Austin &amp; S. </w:t>
      </w:r>
      <w:proofErr w:type="spellStart"/>
      <w:r>
        <w:t>Worchel</w:t>
      </w:r>
      <w:proofErr w:type="spellEnd"/>
      <w:r>
        <w:t xml:space="preserve"> (Eds.), The social psychology of intergroup relations (pp. 33–47). Brooks/Cole.</w:t>
      </w:r>
    </w:p>
    <w:p w14:paraId="13B8DB3E" w14:textId="77777777" w:rsidR="00874043" w:rsidRDefault="00000000" w:rsidP="00A555E4">
      <w:pPr>
        <w:spacing w:after="120" w:line="276" w:lineRule="auto"/>
        <w:ind w:left="720" w:hanging="720"/>
        <w:jc w:val="both"/>
      </w:pPr>
      <w:r>
        <w:t>Tamale, S. (2020). Decolonization and Afro-feminism. Daraja Press.</w:t>
      </w:r>
    </w:p>
    <w:p w14:paraId="35BF897A" w14:textId="77777777" w:rsidR="00874043" w:rsidRDefault="00000000" w:rsidP="00A555E4">
      <w:pPr>
        <w:spacing w:after="120" w:line="276" w:lineRule="auto"/>
        <w:ind w:left="720" w:hanging="720"/>
        <w:jc w:val="both"/>
      </w:pPr>
      <w:r>
        <w:t>Tomlinson, J. (1991). Cultural imperialism: A critical introduction. Pinter.</w:t>
      </w:r>
    </w:p>
    <w:p w14:paraId="1009F0C1" w14:textId="77777777" w:rsidR="00874043" w:rsidRDefault="00000000" w:rsidP="00A555E4">
      <w:pPr>
        <w:spacing w:after="120" w:line="276" w:lineRule="auto"/>
        <w:ind w:left="720" w:hanging="720"/>
        <w:jc w:val="both"/>
      </w:pPr>
      <w:r>
        <w:t>Uganda Bureau of Statistics. (2022). National population and housing census 2022: Main report. UBOS.</w:t>
      </w:r>
    </w:p>
    <w:p w14:paraId="6865D103" w14:textId="77777777" w:rsidR="00874043" w:rsidRDefault="00000000" w:rsidP="00A555E4">
      <w:pPr>
        <w:spacing w:after="120" w:line="276" w:lineRule="auto"/>
        <w:ind w:left="720" w:hanging="720"/>
        <w:jc w:val="both"/>
      </w:pPr>
      <w:r>
        <w:t>Uganda Communications Commission. (2023). Annual market performance report 2022/2023. UCC. https://www.ucc.co.ug</w:t>
      </w:r>
    </w:p>
    <w:p w14:paraId="25104312" w14:textId="77777777" w:rsidR="00874043" w:rsidRDefault="00000000" w:rsidP="00A555E4">
      <w:pPr>
        <w:spacing w:after="120" w:line="276" w:lineRule="auto"/>
        <w:ind w:left="720" w:hanging="720"/>
        <w:jc w:val="both"/>
      </w:pPr>
      <w:r>
        <w:t>UNICEF Uganda. (2023). Digital access and youth connectivity in Uganda: Situation analysis report. UNICEF.</w:t>
      </w:r>
    </w:p>
    <w:p w14:paraId="7BE9E15A" w14:textId="77777777" w:rsidR="00874043" w:rsidRDefault="00000000" w:rsidP="00A555E4">
      <w:pPr>
        <w:spacing w:after="120" w:line="276" w:lineRule="auto"/>
        <w:ind w:left="720" w:hanging="720"/>
        <w:jc w:val="both"/>
      </w:pPr>
      <w:r>
        <w:lastRenderedPageBreak/>
        <w:t>Wasswa, M. (2022). Traditional institutions in the digital age: The Buganda Kingdom's cultural preservation strategy. Journal of African Cultural Studies, 34(1), 73–90. https://doi.org/10.1080/13696815.2022</w:t>
      </w:r>
    </w:p>
    <w:sectPr w:rsidR="00874043">
      <w:headerReference w:type="default" r:id="rId9"/>
      <w:pgSz w:w="12240" w:h="15840"/>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DB2D8" w14:textId="77777777" w:rsidR="000B555D" w:rsidRDefault="000B555D">
      <w:r>
        <w:separator/>
      </w:r>
    </w:p>
  </w:endnote>
  <w:endnote w:type="continuationSeparator" w:id="0">
    <w:p w14:paraId="09663766" w14:textId="77777777" w:rsidR="000B555D" w:rsidRDefault="000B5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A8EAE7" w14:textId="77777777" w:rsidR="000B555D" w:rsidRDefault="000B555D">
      <w:r>
        <w:separator/>
      </w:r>
    </w:p>
  </w:footnote>
  <w:footnote w:type="continuationSeparator" w:id="0">
    <w:p w14:paraId="6409A971" w14:textId="77777777" w:rsidR="000B555D" w:rsidRDefault="000B5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12342" w14:textId="77777777" w:rsidR="00874043" w:rsidRDefault="00000000">
    <w:pPr>
      <w:pBdr>
        <w:bottom w:val="single" w:sz="4" w:space="4" w:color="000000"/>
      </w:pBdr>
      <w:tabs>
        <w:tab w:val="right" w:pos="9026"/>
      </w:tabs>
    </w:pPr>
    <w:r>
      <w:rPr>
        <w:i/>
        <w:iCs/>
        <w:sz w:val="20"/>
        <w:szCs w:val="20"/>
      </w:rPr>
      <w:t>Digital Influence and Cultural Identity Among Ugandan Youth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E6A8A"/>
    <w:multiLevelType w:val="hybridMultilevel"/>
    <w:tmpl w:val="07D82FFE"/>
    <w:lvl w:ilvl="0" w:tplc="A8E25834">
      <w:start w:val="1"/>
      <w:numFmt w:val="bullet"/>
      <w:lvlText w:val="●"/>
      <w:lvlJc w:val="left"/>
      <w:pPr>
        <w:ind w:left="720" w:hanging="360"/>
      </w:pPr>
    </w:lvl>
    <w:lvl w:ilvl="1" w:tplc="1A44233E">
      <w:start w:val="1"/>
      <w:numFmt w:val="bullet"/>
      <w:lvlText w:val="○"/>
      <w:lvlJc w:val="left"/>
      <w:pPr>
        <w:ind w:left="1440" w:hanging="360"/>
      </w:pPr>
    </w:lvl>
    <w:lvl w:ilvl="2" w:tplc="4E961E9A">
      <w:start w:val="1"/>
      <w:numFmt w:val="bullet"/>
      <w:lvlText w:val="■"/>
      <w:lvlJc w:val="left"/>
      <w:pPr>
        <w:ind w:left="2160" w:hanging="360"/>
      </w:pPr>
    </w:lvl>
    <w:lvl w:ilvl="3" w:tplc="5636DA04">
      <w:start w:val="1"/>
      <w:numFmt w:val="bullet"/>
      <w:lvlText w:val="●"/>
      <w:lvlJc w:val="left"/>
      <w:pPr>
        <w:ind w:left="2880" w:hanging="360"/>
      </w:pPr>
    </w:lvl>
    <w:lvl w:ilvl="4" w:tplc="60A28710">
      <w:start w:val="1"/>
      <w:numFmt w:val="bullet"/>
      <w:lvlText w:val="○"/>
      <w:lvlJc w:val="left"/>
      <w:pPr>
        <w:ind w:left="3600" w:hanging="360"/>
      </w:pPr>
    </w:lvl>
    <w:lvl w:ilvl="5" w:tplc="EE1C4968">
      <w:start w:val="1"/>
      <w:numFmt w:val="bullet"/>
      <w:lvlText w:val="■"/>
      <w:lvlJc w:val="left"/>
      <w:pPr>
        <w:ind w:left="4320" w:hanging="360"/>
      </w:pPr>
    </w:lvl>
    <w:lvl w:ilvl="6" w:tplc="6A64EB50">
      <w:start w:val="1"/>
      <w:numFmt w:val="bullet"/>
      <w:lvlText w:val="●"/>
      <w:lvlJc w:val="left"/>
      <w:pPr>
        <w:ind w:left="5040" w:hanging="360"/>
      </w:pPr>
    </w:lvl>
    <w:lvl w:ilvl="7" w:tplc="18AE421E">
      <w:start w:val="1"/>
      <w:numFmt w:val="bullet"/>
      <w:lvlText w:val="●"/>
      <w:lvlJc w:val="left"/>
      <w:pPr>
        <w:ind w:left="5760" w:hanging="360"/>
      </w:pPr>
    </w:lvl>
    <w:lvl w:ilvl="8" w:tplc="D2E42B5E">
      <w:start w:val="1"/>
      <w:numFmt w:val="bullet"/>
      <w:lvlText w:val="●"/>
      <w:lvlJc w:val="left"/>
      <w:pPr>
        <w:ind w:left="6480" w:hanging="360"/>
      </w:pPr>
    </w:lvl>
  </w:abstractNum>
  <w:num w:numId="1" w16cid:durableId="13574671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43"/>
    <w:rsid w:val="000B555D"/>
    <w:rsid w:val="000F6BF1"/>
    <w:rsid w:val="002B4581"/>
    <w:rsid w:val="002D48AF"/>
    <w:rsid w:val="004518AD"/>
    <w:rsid w:val="00496757"/>
    <w:rsid w:val="005A43C3"/>
    <w:rsid w:val="00750412"/>
    <w:rsid w:val="00795600"/>
    <w:rsid w:val="00874043"/>
    <w:rsid w:val="00944C2A"/>
    <w:rsid w:val="009A254D"/>
    <w:rsid w:val="009C0AB3"/>
    <w:rsid w:val="009E6558"/>
    <w:rsid w:val="00A555E4"/>
    <w:rsid w:val="00AD6462"/>
    <w:rsid w:val="00C01D5D"/>
    <w:rsid w:val="00DF1A42"/>
    <w:rsid w:val="00F51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E6A67"/>
  <w15:docId w15:val="{78AD4F25-A270-4476-8556-1A1C1FE14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000000"/>
      <w:sz w:val="28"/>
      <w:szCs w:val="28"/>
    </w:rPr>
  </w:style>
  <w:style w:type="paragraph" w:styleId="Heading2">
    <w:name w:val="heading 2"/>
    <w:uiPriority w:val="9"/>
    <w:unhideWhenUsed/>
    <w:qFormat/>
    <w:pPr>
      <w:spacing w:before="280" w:after="120"/>
      <w:outlineLvl w:val="1"/>
    </w:pPr>
    <w:rPr>
      <w:b/>
      <w:bCs/>
      <w:i/>
      <w:iCs/>
      <w:color w:val="000000"/>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UnresolvedMention">
    <w:name w:val="Unresolved Mention"/>
    <w:basedOn w:val="DefaultParagraphFont"/>
    <w:uiPriority w:val="99"/>
    <w:semiHidden/>
    <w:unhideWhenUsed/>
    <w:rsid w:val="00AD64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talo.nasulu@studmc.kiu.ac.ug" TargetMode="External"/><Relationship Id="rId3" Type="http://schemas.openxmlformats.org/officeDocument/2006/relationships/settings" Target="settings.xml"/><Relationship Id="rId7" Type="http://schemas.openxmlformats.org/officeDocument/2006/relationships/hyperlink" Target="mailto:ekpereka.osigwe@stud.kiu.ac.u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122</TotalTime>
  <Pages>18</Pages>
  <Words>6497</Words>
  <Characters>37037</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Obinna Osigwe</cp:lastModifiedBy>
  <cp:revision>9</cp:revision>
  <dcterms:created xsi:type="dcterms:W3CDTF">2026-03-24T10:13:00Z</dcterms:created>
  <dcterms:modified xsi:type="dcterms:W3CDTF">2026-04-07T12:21:00Z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b702db22-09c2-4c08-8145-36f876f43ea2</vt:lpwstr>
  </property>
</Properties>
</file>