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4DF5"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 xml:space="preserve">Pedicle Screws Fixation in Patients with Spinal Disorders at the National Orthopaedic Hospital </w:t>
      </w:r>
      <w:proofErr w:type="spellStart"/>
      <w:r w:rsidRPr="00555010">
        <w:rPr>
          <w:rFonts w:ascii="Times New Roman" w:hAnsi="Times New Roman" w:cs="Times New Roman"/>
          <w:b/>
          <w:bCs/>
          <w:sz w:val="24"/>
          <w:szCs w:val="24"/>
        </w:rPr>
        <w:t>Dala</w:t>
      </w:r>
      <w:proofErr w:type="spellEnd"/>
      <w:r w:rsidRPr="00555010">
        <w:rPr>
          <w:rFonts w:ascii="Times New Roman" w:hAnsi="Times New Roman" w:cs="Times New Roman"/>
          <w:b/>
          <w:bCs/>
          <w:sz w:val="24"/>
          <w:szCs w:val="24"/>
        </w:rPr>
        <w:t>, Kano, Nigeria</w:t>
      </w:r>
    </w:p>
    <w:p w14:paraId="371B62BB" w14:textId="1DC6784A" w:rsidR="00555010" w:rsidRDefault="00555010" w:rsidP="0055501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Kawu</w:t>
      </w:r>
      <w:proofErr w:type="spellEnd"/>
      <w:r>
        <w:rPr>
          <w:rFonts w:ascii="Times New Roman" w:hAnsi="Times New Roman" w:cs="Times New Roman"/>
          <w:sz w:val="24"/>
          <w:szCs w:val="24"/>
        </w:rPr>
        <w:t xml:space="preserve"> Ahidjo </w:t>
      </w:r>
      <w:proofErr w:type="spellStart"/>
      <w:r>
        <w:rPr>
          <w:rFonts w:ascii="Times New Roman" w:hAnsi="Times New Roman" w:cs="Times New Roman"/>
          <w:sz w:val="24"/>
          <w:szCs w:val="24"/>
        </w:rPr>
        <w:t>Abdulkadiri</w:t>
      </w:r>
      <w:proofErr w:type="spellEnd"/>
    </w:p>
    <w:p w14:paraId="620169B3" w14:textId="759F00C6" w:rsidR="00555010" w:rsidRDefault="00555010" w:rsidP="005550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National Orthopaedic Hospital </w:t>
      </w:r>
    </w:p>
    <w:p w14:paraId="6FEDAE87" w14:textId="658E9C12" w:rsidR="00555010" w:rsidRDefault="00555010" w:rsidP="0055501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Dala</w:t>
      </w:r>
      <w:proofErr w:type="spellEnd"/>
      <w:r>
        <w:rPr>
          <w:rFonts w:ascii="Times New Roman" w:hAnsi="Times New Roman" w:cs="Times New Roman"/>
          <w:sz w:val="24"/>
          <w:szCs w:val="24"/>
        </w:rPr>
        <w:t>, Kano, Nigeria</w:t>
      </w:r>
    </w:p>
    <w:p w14:paraId="2B064D6F" w14:textId="2BD56E92" w:rsidR="00555010" w:rsidRDefault="00555010" w:rsidP="00555010">
      <w:pPr>
        <w:spacing w:after="0" w:line="360" w:lineRule="auto"/>
        <w:jc w:val="both"/>
        <w:rPr>
          <w:rFonts w:ascii="Times New Roman" w:hAnsi="Times New Roman" w:cs="Times New Roman"/>
          <w:sz w:val="24"/>
          <w:szCs w:val="24"/>
        </w:rPr>
      </w:pPr>
    </w:p>
    <w:p w14:paraId="35FFA950" w14:textId="2C0F2679" w:rsidR="00555010" w:rsidRDefault="00555010" w:rsidP="00555010">
      <w:pPr>
        <w:spacing w:after="0" w:line="360" w:lineRule="auto"/>
        <w:jc w:val="both"/>
        <w:rPr>
          <w:rFonts w:ascii="Times New Roman" w:hAnsi="Times New Roman" w:cs="Times New Roman"/>
          <w:sz w:val="24"/>
          <w:szCs w:val="24"/>
        </w:rPr>
      </w:pPr>
    </w:p>
    <w:p w14:paraId="5C43C393" w14:textId="2EB2D384" w:rsidR="00555010" w:rsidRDefault="00555010" w:rsidP="00555010">
      <w:pPr>
        <w:spacing w:after="0" w:line="360" w:lineRule="auto"/>
        <w:jc w:val="both"/>
        <w:rPr>
          <w:rFonts w:ascii="Times New Roman" w:hAnsi="Times New Roman" w:cs="Times New Roman"/>
          <w:sz w:val="24"/>
          <w:szCs w:val="24"/>
        </w:rPr>
      </w:pPr>
    </w:p>
    <w:p w14:paraId="1D694520" w14:textId="6A8D8BC1" w:rsidR="00555010" w:rsidRDefault="00555010" w:rsidP="00555010">
      <w:pPr>
        <w:spacing w:after="0" w:line="360" w:lineRule="auto"/>
        <w:jc w:val="both"/>
        <w:rPr>
          <w:rFonts w:ascii="Times New Roman" w:hAnsi="Times New Roman" w:cs="Times New Roman"/>
          <w:sz w:val="24"/>
          <w:szCs w:val="24"/>
        </w:rPr>
      </w:pPr>
    </w:p>
    <w:p w14:paraId="53374E9E" w14:textId="0BCFE5A2" w:rsidR="00555010" w:rsidRDefault="00555010" w:rsidP="00555010">
      <w:pPr>
        <w:spacing w:after="0" w:line="360" w:lineRule="auto"/>
        <w:jc w:val="both"/>
        <w:rPr>
          <w:rFonts w:ascii="Times New Roman" w:hAnsi="Times New Roman" w:cs="Times New Roman"/>
          <w:sz w:val="24"/>
          <w:szCs w:val="24"/>
        </w:rPr>
      </w:pPr>
    </w:p>
    <w:p w14:paraId="41A93059" w14:textId="12B09E87" w:rsidR="00555010" w:rsidRDefault="00555010" w:rsidP="00555010">
      <w:pPr>
        <w:spacing w:after="0" w:line="360" w:lineRule="auto"/>
        <w:jc w:val="both"/>
        <w:rPr>
          <w:rFonts w:ascii="Times New Roman" w:hAnsi="Times New Roman" w:cs="Times New Roman"/>
          <w:sz w:val="24"/>
          <w:szCs w:val="24"/>
        </w:rPr>
      </w:pPr>
    </w:p>
    <w:p w14:paraId="1CBE4C81" w14:textId="4B89B1D3" w:rsidR="00555010" w:rsidRDefault="00555010" w:rsidP="00555010">
      <w:pPr>
        <w:spacing w:after="0" w:line="360" w:lineRule="auto"/>
        <w:jc w:val="both"/>
        <w:rPr>
          <w:rFonts w:ascii="Times New Roman" w:hAnsi="Times New Roman" w:cs="Times New Roman"/>
          <w:sz w:val="24"/>
          <w:szCs w:val="24"/>
        </w:rPr>
      </w:pPr>
    </w:p>
    <w:p w14:paraId="7C77D7FF" w14:textId="1CA64481" w:rsidR="00555010" w:rsidRDefault="00555010" w:rsidP="00555010">
      <w:pPr>
        <w:spacing w:after="0" w:line="360" w:lineRule="auto"/>
        <w:jc w:val="both"/>
        <w:rPr>
          <w:rFonts w:ascii="Times New Roman" w:hAnsi="Times New Roman" w:cs="Times New Roman"/>
          <w:sz w:val="24"/>
          <w:szCs w:val="24"/>
        </w:rPr>
      </w:pPr>
    </w:p>
    <w:p w14:paraId="319ECDE0" w14:textId="344CC904" w:rsidR="00555010" w:rsidRDefault="00555010" w:rsidP="00555010">
      <w:pPr>
        <w:spacing w:after="0" w:line="360" w:lineRule="auto"/>
        <w:jc w:val="both"/>
        <w:rPr>
          <w:rFonts w:ascii="Times New Roman" w:hAnsi="Times New Roman" w:cs="Times New Roman"/>
          <w:sz w:val="24"/>
          <w:szCs w:val="24"/>
        </w:rPr>
      </w:pPr>
    </w:p>
    <w:p w14:paraId="00C8729A" w14:textId="24E130C0" w:rsidR="00555010" w:rsidRDefault="00555010" w:rsidP="00555010">
      <w:pPr>
        <w:spacing w:after="0" w:line="360" w:lineRule="auto"/>
        <w:jc w:val="both"/>
        <w:rPr>
          <w:rFonts w:ascii="Times New Roman" w:hAnsi="Times New Roman" w:cs="Times New Roman"/>
          <w:sz w:val="24"/>
          <w:szCs w:val="24"/>
        </w:rPr>
      </w:pPr>
    </w:p>
    <w:p w14:paraId="6E17EF12" w14:textId="273B6928" w:rsidR="00555010" w:rsidRDefault="00555010" w:rsidP="00555010">
      <w:pPr>
        <w:spacing w:after="0" w:line="360" w:lineRule="auto"/>
        <w:jc w:val="both"/>
        <w:rPr>
          <w:rFonts w:ascii="Times New Roman" w:hAnsi="Times New Roman" w:cs="Times New Roman"/>
          <w:sz w:val="24"/>
          <w:szCs w:val="24"/>
        </w:rPr>
      </w:pPr>
    </w:p>
    <w:p w14:paraId="2D3DFD12" w14:textId="3E2277B4" w:rsidR="00555010" w:rsidRDefault="00555010" w:rsidP="00555010">
      <w:pPr>
        <w:spacing w:after="0" w:line="360" w:lineRule="auto"/>
        <w:jc w:val="both"/>
        <w:rPr>
          <w:rFonts w:ascii="Times New Roman" w:hAnsi="Times New Roman" w:cs="Times New Roman"/>
          <w:sz w:val="24"/>
          <w:szCs w:val="24"/>
        </w:rPr>
      </w:pPr>
    </w:p>
    <w:p w14:paraId="4B56F7E7" w14:textId="627125A5" w:rsidR="00555010" w:rsidRDefault="00555010" w:rsidP="00555010">
      <w:pPr>
        <w:spacing w:after="0" w:line="360" w:lineRule="auto"/>
        <w:jc w:val="both"/>
        <w:rPr>
          <w:rFonts w:ascii="Times New Roman" w:hAnsi="Times New Roman" w:cs="Times New Roman"/>
          <w:sz w:val="24"/>
          <w:szCs w:val="24"/>
        </w:rPr>
      </w:pPr>
    </w:p>
    <w:p w14:paraId="29BE04C8" w14:textId="79CA3E53" w:rsidR="00555010" w:rsidRDefault="00555010" w:rsidP="00555010">
      <w:pPr>
        <w:spacing w:after="0" w:line="360" w:lineRule="auto"/>
        <w:jc w:val="both"/>
        <w:rPr>
          <w:rFonts w:ascii="Times New Roman" w:hAnsi="Times New Roman" w:cs="Times New Roman"/>
          <w:sz w:val="24"/>
          <w:szCs w:val="24"/>
        </w:rPr>
      </w:pPr>
    </w:p>
    <w:p w14:paraId="5EC5F5E7" w14:textId="6B779394" w:rsidR="00555010" w:rsidRDefault="00555010" w:rsidP="00555010">
      <w:pPr>
        <w:spacing w:after="0" w:line="360" w:lineRule="auto"/>
        <w:jc w:val="both"/>
        <w:rPr>
          <w:rFonts w:ascii="Times New Roman" w:hAnsi="Times New Roman" w:cs="Times New Roman"/>
          <w:sz w:val="24"/>
          <w:szCs w:val="24"/>
        </w:rPr>
      </w:pPr>
    </w:p>
    <w:p w14:paraId="65658DD9" w14:textId="03FFAC0E" w:rsidR="00555010" w:rsidRDefault="00555010" w:rsidP="00555010">
      <w:pPr>
        <w:spacing w:after="0" w:line="360" w:lineRule="auto"/>
        <w:jc w:val="both"/>
        <w:rPr>
          <w:rFonts w:ascii="Times New Roman" w:hAnsi="Times New Roman" w:cs="Times New Roman"/>
          <w:sz w:val="24"/>
          <w:szCs w:val="24"/>
        </w:rPr>
      </w:pPr>
    </w:p>
    <w:p w14:paraId="02784FFC" w14:textId="5CA1212E" w:rsidR="00555010" w:rsidRDefault="00555010" w:rsidP="00555010">
      <w:pPr>
        <w:spacing w:after="0" w:line="360" w:lineRule="auto"/>
        <w:jc w:val="both"/>
        <w:rPr>
          <w:rFonts w:ascii="Times New Roman" w:hAnsi="Times New Roman" w:cs="Times New Roman"/>
          <w:sz w:val="24"/>
          <w:szCs w:val="24"/>
        </w:rPr>
      </w:pPr>
    </w:p>
    <w:p w14:paraId="2C82C91E" w14:textId="306A417E" w:rsidR="00555010" w:rsidRDefault="00555010" w:rsidP="00555010">
      <w:pPr>
        <w:spacing w:after="0" w:line="360" w:lineRule="auto"/>
        <w:jc w:val="both"/>
        <w:rPr>
          <w:rFonts w:ascii="Times New Roman" w:hAnsi="Times New Roman" w:cs="Times New Roman"/>
          <w:sz w:val="24"/>
          <w:szCs w:val="24"/>
        </w:rPr>
      </w:pPr>
    </w:p>
    <w:p w14:paraId="775F3E16" w14:textId="1BDDBE7E" w:rsidR="00555010" w:rsidRDefault="00555010" w:rsidP="00555010">
      <w:pPr>
        <w:spacing w:after="0" w:line="360" w:lineRule="auto"/>
        <w:jc w:val="both"/>
        <w:rPr>
          <w:rFonts w:ascii="Times New Roman" w:hAnsi="Times New Roman" w:cs="Times New Roman"/>
          <w:sz w:val="24"/>
          <w:szCs w:val="24"/>
        </w:rPr>
      </w:pPr>
    </w:p>
    <w:p w14:paraId="24E19BDA" w14:textId="7E24B6E2" w:rsidR="00555010" w:rsidRDefault="00555010" w:rsidP="00555010">
      <w:pPr>
        <w:spacing w:after="0" w:line="360" w:lineRule="auto"/>
        <w:jc w:val="both"/>
        <w:rPr>
          <w:rFonts w:ascii="Times New Roman" w:hAnsi="Times New Roman" w:cs="Times New Roman"/>
          <w:sz w:val="24"/>
          <w:szCs w:val="24"/>
        </w:rPr>
      </w:pPr>
    </w:p>
    <w:p w14:paraId="6189013F" w14:textId="6001C58C" w:rsidR="00555010" w:rsidRDefault="00555010" w:rsidP="00555010">
      <w:pPr>
        <w:spacing w:after="0" w:line="360" w:lineRule="auto"/>
        <w:jc w:val="both"/>
        <w:rPr>
          <w:rFonts w:ascii="Times New Roman" w:hAnsi="Times New Roman" w:cs="Times New Roman"/>
          <w:sz w:val="24"/>
          <w:szCs w:val="24"/>
        </w:rPr>
      </w:pPr>
    </w:p>
    <w:p w14:paraId="3F0468C5" w14:textId="27343066" w:rsidR="00555010" w:rsidRDefault="00555010" w:rsidP="00555010">
      <w:pPr>
        <w:spacing w:after="0" w:line="360" w:lineRule="auto"/>
        <w:jc w:val="both"/>
        <w:rPr>
          <w:rFonts w:ascii="Times New Roman" w:hAnsi="Times New Roman" w:cs="Times New Roman"/>
          <w:sz w:val="24"/>
          <w:szCs w:val="24"/>
        </w:rPr>
      </w:pPr>
    </w:p>
    <w:p w14:paraId="183182F0" w14:textId="3E78E869" w:rsidR="00555010" w:rsidRDefault="00555010" w:rsidP="00555010">
      <w:pPr>
        <w:spacing w:after="0" w:line="360" w:lineRule="auto"/>
        <w:jc w:val="both"/>
        <w:rPr>
          <w:rFonts w:ascii="Times New Roman" w:hAnsi="Times New Roman" w:cs="Times New Roman"/>
          <w:sz w:val="24"/>
          <w:szCs w:val="24"/>
        </w:rPr>
      </w:pPr>
    </w:p>
    <w:p w14:paraId="3F78D8F7" w14:textId="1A2846E3" w:rsidR="00555010" w:rsidRDefault="00555010" w:rsidP="00555010">
      <w:pPr>
        <w:spacing w:after="0" w:line="360" w:lineRule="auto"/>
        <w:jc w:val="both"/>
        <w:rPr>
          <w:rFonts w:ascii="Times New Roman" w:hAnsi="Times New Roman" w:cs="Times New Roman"/>
          <w:sz w:val="24"/>
          <w:szCs w:val="24"/>
        </w:rPr>
      </w:pPr>
    </w:p>
    <w:p w14:paraId="16342D10" w14:textId="6AB173EF" w:rsidR="00555010" w:rsidRDefault="00555010" w:rsidP="00555010">
      <w:pPr>
        <w:spacing w:after="0" w:line="360" w:lineRule="auto"/>
        <w:jc w:val="both"/>
        <w:rPr>
          <w:rFonts w:ascii="Times New Roman" w:hAnsi="Times New Roman" w:cs="Times New Roman"/>
          <w:sz w:val="24"/>
          <w:szCs w:val="24"/>
        </w:rPr>
      </w:pPr>
    </w:p>
    <w:p w14:paraId="007B2B83" w14:textId="77777777" w:rsidR="00555010" w:rsidRPr="00555010" w:rsidRDefault="00555010" w:rsidP="00555010">
      <w:pPr>
        <w:spacing w:after="0" w:line="360" w:lineRule="auto"/>
        <w:jc w:val="both"/>
        <w:rPr>
          <w:rFonts w:ascii="Times New Roman" w:hAnsi="Times New Roman" w:cs="Times New Roman"/>
          <w:sz w:val="24"/>
          <w:szCs w:val="24"/>
        </w:rPr>
      </w:pPr>
    </w:p>
    <w:p w14:paraId="30A778A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Abstract</w:t>
      </w:r>
    </w:p>
    <w:p w14:paraId="70D422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Background: Pedicle screw fixation is the gold standard for spinal stabilization, but outcome data from West African tertiary centres are scarce. This study evaluated the clinical and radiological outcomes of freehand pedicle screw fixation with post‑insertion C‑arm fluoroscopy at a major Nigerian orthopaedic hospital.</w:t>
      </w:r>
    </w:p>
    <w:p w14:paraId="0360C4E4" w14:textId="7925BAF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Methods: A retrospective review was conducted of consecutive patients who underwent thoracic or lumbar pedicle screw fixation between </w:t>
      </w:r>
      <w:r>
        <w:rPr>
          <w:rFonts w:ascii="Times New Roman" w:hAnsi="Times New Roman" w:cs="Times New Roman"/>
          <w:sz w:val="24"/>
          <w:szCs w:val="24"/>
        </w:rPr>
        <w:t>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January 201</w:t>
      </w:r>
      <w:r>
        <w:rPr>
          <w:rFonts w:ascii="Times New Roman" w:hAnsi="Times New Roman" w:cs="Times New Roman"/>
          <w:sz w:val="24"/>
          <w:szCs w:val="24"/>
        </w:rPr>
        <w:t>8</w:t>
      </w:r>
      <w:r w:rsidRPr="00555010">
        <w:rPr>
          <w:rFonts w:ascii="Times New Roman" w:hAnsi="Times New Roman" w:cs="Times New Roman"/>
          <w:sz w:val="24"/>
          <w:szCs w:val="24"/>
        </w:rPr>
        <w:t xml:space="preserve"> and </w:t>
      </w:r>
      <w:r>
        <w:rPr>
          <w:rFonts w:ascii="Times New Roman" w:hAnsi="Times New Roman" w:cs="Times New Roman"/>
          <w:sz w:val="24"/>
          <w:szCs w:val="24"/>
        </w:rPr>
        <w:t>31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December 202</w:t>
      </w:r>
      <w:r>
        <w:rPr>
          <w:rFonts w:ascii="Times New Roman" w:hAnsi="Times New Roman" w:cs="Times New Roman"/>
          <w:sz w:val="24"/>
          <w:szCs w:val="24"/>
        </w:rPr>
        <w:t>4</w:t>
      </w:r>
      <w:r w:rsidRPr="00555010">
        <w:rPr>
          <w:rFonts w:ascii="Times New Roman" w:hAnsi="Times New Roman" w:cs="Times New Roman"/>
          <w:sz w:val="24"/>
          <w:szCs w:val="24"/>
        </w:rPr>
        <w:t xml:space="preserve">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AC0364">
        <w:rPr>
          <w:rFonts w:ascii="Times New Roman" w:hAnsi="Times New Roman" w:cs="Times New Roman"/>
          <w:sz w:val="24"/>
          <w:szCs w:val="24"/>
        </w:rPr>
        <w:t>, Nigeria</w:t>
      </w:r>
      <w:r w:rsidRPr="00555010">
        <w:rPr>
          <w:rFonts w:ascii="Times New Roman" w:hAnsi="Times New Roman" w:cs="Times New Roman"/>
          <w:sz w:val="24"/>
          <w:szCs w:val="24"/>
        </w:rPr>
        <w:t xml:space="preserve">. All screws were inserted freehand and confirmed with intraoperative C‑arm imaging. Screw accuracy was graded on postoperative CT using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w:t>
      </w:r>
      <w:proofErr w:type="gramStart"/>
      <w:r w:rsidRPr="00555010">
        <w:rPr>
          <w:rFonts w:ascii="Times New Roman" w:hAnsi="Times New Roman" w:cs="Times New Roman"/>
          <w:sz w:val="24"/>
          <w:szCs w:val="24"/>
        </w:rPr>
        <w:t>Robbins</w:t>
      </w:r>
      <w:proofErr w:type="gramEnd"/>
      <w:r w:rsidRPr="00555010">
        <w:rPr>
          <w:rFonts w:ascii="Times New Roman" w:hAnsi="Times New Roman" w:cs="Times New Roman"/>
          <w:sz w:val="24"/>
          <w:szCs w:val="24"/>
        </w:rPr>
        <w:t xml:space="preserve"> classification. Clinical outcomes included VAS back pain, Oswestry Disability Index (ODI), complications, and fusion rates. Multivariate analysis identified predictors of poor functional outcome.</w:t>
      </w:r>
    </w:p>
    <w:p w14:paraId="3CA27301" w14:textId="712FE47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Results: One hundred forty‑two patients had 754 screws (592 lumbar, 162 thoracic). Indications: </w:t>
      </w:r>
      <w:r w:rsidR="00F314A2">
        <w:rPr>
          <w:rFonts w:ascii="Times New Roman" w:hAnsi="Times New Roman" w:cs="Times New Roman"/>
          <w:sz w:val="24"/>
          <w:szCs w:val="24"/>
        </w:rPr>
        <w:t>trauma</w:t>
      </w:r>
      <w:r w:rsidRPr="00555010">
        <w:rPr>
          <w:rFonts w:ascii="Times New Roman" w:hAnsi="Times New Roman" w:cs="Times New Roman"/>
          <w:sz w:val="24"/>
          <w:szCs w:val="24"/>
        </w:rPr>
        <w:t xml:space="preserve"> (62.0%), </w:t>
      </w:r>
      <w:r w:rsidR="00F314A2">
        <w:rPr>
          <w:rFonts w:ascii="Times New Roman" w:hAnsi="Times New Roman" w:cs="Times New Roman"/>
          <w:sz w:val="24"/>
          <w:szCs w:val="24"/>
        </w:rPr>
        <w:t>degenerative</w:t>
      </w:r>
      <w:r w:rsidRPr="00555010">
        <w:rPr>
          <w:rFonts w:ascii="Times New Roman" w:hAnsi="Times New Roman" w:cs="Times New Roman"/>
          <w:sz w:val="24"/>
          <w:szCs w:val="24"/>
        </w:rPr>
        <w:t xml:space="preserve"> (18.3%), scoliosis</w:t>
      </w:r>
      <w:r w:rsidR="00F314A2">
        <w:rPr>
          <w:rFonts w:ascii="Times New Roman" w:hAnsi="Times New Roman" w:cs="Times New Roman"/>
          <w:sz w:val="24"/>
          <w:szCs w:val="24"/>
        </w:rPr>
        <w:t xml:space="preserve"> </w:t>
      </w:r>
      <w:r w:rsidRPr="00555010">
        <w:rPr>
          <w:rFonts w:ascii="Times New Roman" w:hAnsi="Times New Roman" w:cs="Times New Roman"/>
          <w:sz w:val="24"/>
          <w:szCs w:val="24"/>
        </w:rPr>
        <w:t>(2.1%), others (17.6%). Overall screw accuracy (grades A/B) was 88.1%. Grade C–E breaches occurred in 11.9%, mostly lateral thoracic. The complication rate was 11.3% (</w:t>
      </w:r>
      <w:proofErr w:type="spellStart"/>
      <w:r w:rsidRPr="00555010">
        <w:rPr>
          <w:rFonts w:ascii="Times New Roman" w:hAnsi="Times New Roman" w:cs="Times New Roman"/>
          <w:sz w:val="24"/>
          <w:szCs w:val="24"/>
        </w:rPr>
        <w:t>dural</w:t>
      </w:r>
      <w:proofErr w:type="spellEnd"/>
      <w:r w:rsidRPr="00555010">
        <w:rPr>
          <w:rFonts w:ascii="Times New Roman" w:hAnsi="Times New Roman" w:cs="Times New Roman"/>
          <w:sz w:val="24"/>
          <w:szCs w:val="24"/>
        </w:rPr>
        <w:t xml:space="preserve"> tears 3.5%, superficial infection 2.8%, screw revision 2.1%, transient neurology 1.4%). No permanent deficits occurred. At mean 20.5 months, VAS improved from 7.5 to 3.3 (p&lt;0.001) and ODI from 55.4 to 27.6 (p&lt;0.001). Fusion rate was 90.8%. Screw malposition (OR 2.95) and preoperative psychological distress (OR 2.68) independently predicted poor outcome.</w:t>
      </w:r>
    </w:p>
    <w:p w14:paraId="34B9A22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Conclusions: Freehand pedicle screw fixation with C‑arm confirmation is safe and effective in this Nigerian tertiary centre, achieving outcomes comparable to international benchmarks. Accuracy and psychological status are key determinants of success.</w:t>
      </w:r>
    </w:p>
    <w:p w14:paraId="508DB81C" w14:textId="2822D47E" w:rsidR="00555010" w:rsidRDefault="00555010" w:rsidP="00555010">
      <w:pPr>
        <w:spacing w:after="0" w:line="360" w:lineRule="auto"/>
        <w:jc w:val="both"/>
        <w:rPr>
          <w:rFonts w:ascii="Times New Roman" w:hAnsi="Times New Roman" w:cs="Times New Roman"/>
          <w:sz w:val="24"/>
          <w:szCs w:val="24"/>
        </w:rPr>
      </w:pPr>
    </w:p>
    <w:p w14:paraId="5B3EA66F" w14:textId="76488413" w:rsidR="005A18BA" w:rsidRPr="00555010" w:rsidRDefault="005A18BA" w:rsidP="005550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 Pedicle screws,</w:t>
      </w:r>
      <w:r w:rsidR="00F314A2">
        <w:rPr>
          <w:rFonts w:ascii="Times New Roman" w:hAnsi="Times New Roman" w:cs="Times New Roman"/>
          <w:sz w:val="24"/>
          <w:szCs w:val="24"/>
        </w:rPr>
        <w:t xml:space="preserve"> C-Arm, </w:t>
      </w:r>
      <w:proofErr w:type="spellStart"/>
      <w:r w:rsidR="00F314A2" w:rsidRPr="00555010">
        <w:rPr>
          <w:rFonts w:ascii="Times New Roman" w:hAnsi="Times New Roman" w:cs="Times New Roman"/>
          <w:sz w:val="24"/>
          <w:szCs w:val="24"/>
        </w:rPr>
        <w:t>Gertzbein</w:t>
      </w:r>
      <w:proofErr w:type="spellEnd"/>
      <w:r w:rsidR="00F314A2" w:rsidRPr="00555010">
        <w:rPr>
          <w:rFonts w:ascii="Times New Roman" w:hAnsi="Times New Roman" w:cs="Times New Roman"/>
          <w:sz w:val="24"/>
          <w:szCs w:val="24"/>
        </w:rPr>
        <w:t>‑</w:t>
      </w:r>
      <w:proofErr w:type="gramStart"/>
      <w:r w:rsidR="00F314A2" w:rsidRPr="00555010">
        <w:rPr>
          <w:rFonts w:ascii="Times New Roman" w:hAnsi="Times New Roman" w:cs="Times New Roman"/>
          <w:sz w:val="24"/>
          <w:szCs w:val="24"/>
        </w:rPr>
        <w:t>Robbins</w:t>
      </w:r>
      <w:proofErr w:type="gramEnd"/>
      <w:r w:rsidR="00F314A2" w:rsidRPr="00555010">
        <w:rPr>
          <w:rFonts w:ascii="Times New Roman" w:hAnsi="Times New Roman" w:cs="Times New Roman"/>
          <w:sz w:val="24"/>
          <w:szCs w:val="24"/>
        </w:rPr>
        <w:t xml:space="preserve"> classification</w:t>
      </w:r>
      <w:r w:rsidR="00F314A2">
        <w:rPr>
          <w:rFonts w:ascii="Times New Roman" w:hAnsi="Times New Roman" w:cs="Times New Roman"/>
          <w:sz w:val="24"/>
          <w:szCs w:val="24"/>
        </w:rPr>
        <w:t xml:space="preserve">, National Orthopaedic Hospital, </w:t>
      </w:r>
      <w:r w:rsidR="000A61F1">
        <w:rPr>
          <w:rFonts w:ascii="Times New Roman" w:hAnsi="Times New Roman" w:cs="Times New Roman"/>
          <w:sz w:val="24"/>
          <w:szCs w:val="24"/>
        </w:rPr>
        <w:t>Outcome</w:t>
      </w:r>
    </w:p>
    <w:p w14:paraId="67DCE821" w14:textId="1D010FD3" w:rsidR="00555010" w:rsidRDefault="00555010" w:rsidP="00555010">
      <w:pPr>
        <w:spacing w:after="0" w:line="360" w:lineRule="auto"/>
        <w:jc w:val="both"/>
        <w:rPr>
          <w:rFonts w:ascii="Times New Roman" w:hAnsi="Times New Roman" w:cs="Times New Roman"/>
          <w:sz w:val="24"/>
          <w:szCs w:val="24"/>
        </w:rPr>
      </w:pPr>
    </w:p>
    <w:p w14:paraId="48751CF6" w14:textId="77777777" w:rsidR="00555010" w:rsidRPr="00555010" w:rsidRDefault="00555010" w:rsidP="00555010">
      <w:pPr>
        <w:spacing w:after="0" w:line="360" w:lineRule="auto"/>
        <w:jc w:val="both"/>
        <w:rPr>
          <w:rFonts w:ascii="Times New Roman" w:hAnsi="Times New Roman" w:cs="Times New Roman"/>
          <w:sz w:val="24"/>
          <w:szCs w:val="24"/>
        </w:rPr>
      </w:pPr>
    </w:p>
    <w:p w14:paraId="20C231A7" w14:textId="77777777" w:rsidR="00555010" w:rsidRPr="00555010" w:rsidRDefault="00555010" w:rsidP="00555010">
      <w:pPr>
        <w:spacing w:after="0" w:line="360" w:lineRule="auto"/>
        <w:jc w:val="both"/>
        <w:rPr>
          <w:rFonts w:ascii="Times New Roman" w:hAnsi="Times New Roman" w:cs="Times New Roman"/>
          <w:sz w:val="24"/>
          <w:szCs w:val="24"/>
        </w:rPr>
      </w:pPr>
    </w:p>
    <w:p w14:paraId="12051007" w14:textId="77777777" w:rsidR="00F314A2" w:rsidRDefault="00F314A2" w:rsidP="00555010">
      <w:pPr>
        <w:spacing w:after="0" w:line="360" w:lineRule="auto"/>
        <w:jc w:val="both"/>
        <w:rPr>
          <w:rFonts w:ascii="Times New Roman" w:hAnsi="Times New Roman" w:cs="Times New Roman"/>
          <w:b/>
          <w:bCs/>
          <w:sz w:val="24"/>
          <w:szCs w:val="24"/>
        </w:rPr>
      </w:pPr>
    </w:p>
    <w:p w14:paraId="4BA9693F" w14:textId="77777777" w:rsidR="00F314A2" w:rsidRDefault="00F314A2" w:rsidP="00555010">
      <w:pPr>
        <w:spacing w:after="0" w:line="360" w:lineRule="auto"/>
        <w:jc w:val="both"/>
        <w:rPr>
          <w:rFonts w:ascii="Times New Roman" w:hAnsi="Times New Roman" w:cs="Times New Roman"/>
          <w:b/>
          <w:bCs/>
          <w:sz w:val="24"/>
          <w:szCs w:val="24"/>
        </w:rPr>
      </w:pPr>
    </w:p>
    <w:p w14:paraId="15442789" w14:textId="77777777" w:rsidR="00F314A2" w:rsidRDefault="00F314A2" w:rsidP="00555010">
      <w:pPr>
        <w:spacing w:after="0" w:line="360" w:lineRule="auto"/>
        <w:jc w:val="both"/>
        <w:rPr>
          <w:rFonts w:ascii="Times New Roman" w:hAnsi="Times New Roman" w:cs="Times New Roman"/>
          <w:b/>
          <w:bCs/>
          <w:sz w:val="24"/>
          <w:szCs w:val="24"/>
        </w:rPr>
      </w:pPr>
    </w:p>
    <w:p w14:paraId="54F78A37" w14:textId="3D37805C"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INTRODUCTION</w:t>
      </w:r>
    </w:p>
    <w:p w14:paraId="01D5EF7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Spinal disorders constitute a substantial and growing burden in sub‑Saharan Africa, where traumatic injuries, degenerative conditions, and infections are prevalent [1, 2]. Surgical management often requires instrumented fusion to restore stability and relieve pain. Pedicle screw fixation has become the standard for posterior spinal stabilization, offering three‑column purchase, immediate rigidity, and high fusion rates [3, 4]. The technique, however, demands precise screw placement to avoid neurological, vascular, and visceral complications [5, 6].</w:t>
      </w:r>
    </w:p>
    <w:p w14:paraId="14AC050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In resource‑limited settings, advanced navigation systems and robotic assistance are rarely available. Most spine surgeons rely on the freehand technique, using anatomical landmarks and intraoperative fluoroscopy (C‑arm) to confirm screw position after insertion [7]. When performed by experienced surgeons, freehand placement can achieve accuracy rates of 85–94% [8, 9]. Nevertheless, local outcome data are essential for benchmarking and quality improvement.</w:t>
      </w:r>
    </w:p>
    <w:p w14:paraId="01CB2D8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 is a tertiary referral centre in northern Nigeria managing a high volume of spinal pathology. Despite increasing surgical caseload, there are few published reports on pedicle screw outcomes in this region [10]. This study aims to evaluate the clinical and radiological outcomes of freehand pedicle screw fixation in the thoracic and lumbar spine at our institution, with emphasis on screw accuracy, complications, fusion, and factors influencing functional recovery.</w:t>
      </w:r>
    </w:p>
    <w:p w14:paraId="6A9DEB78" w14:textId="77777777" w:rsidR="00555010" w:rsidRPr="00555010" w:rsidRDefault="00555010" w:rsidP="00555010">
      <w:pPr>
        <w:spacing w:after="0" w:line="360" w:lineRule="auto"/>
        <w:jc w:val="both"/>
        <w:rPr>
          <w:rFonts w:ascii="Times New Roman" w:hAnsi="Times New Roman" w:cs="Times New Roman"/>
          <w:sz w:val="24"/>
          <w:szCs w:val="24"/>
        </w:rPr>
      </w:pPr>
    </w:p>
    <w:p w14:paraId="475F39DE" w14:textId="3FB8A294" w:rsidR="00555010" w:rsidRPr="00555010" w:rsidRDefault="00555010" w:rsidP="00555010">
      <w:pPr>
        <w:spacing w:after="0" w:line="360" w:lineRule="auto"/>
        <w:jc w:val="both"/>
        <w:rPr>
          <w:rFonts w:ascii="Times New Roman" w:hAnsi="Times New Roman" w:cs="Times New Roman"/>
          <w:sz w:val="24"/>
          <w:szCs w:val="24"/>
        </w:rPr>
      </w:pPr>
    </w:p>
    <w:p w14:paraId="317DB076"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Methodology</w:t>
      </w:r>
    </w:p>
    <w:p w14:paraId="4BB3E543" w14:textId="624CBBE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A retrospective cohort study was conducted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xml:space="preserve">, Kano, Nigeria, covering January 2017 to December 2023. Ethical approval was obtained </w:t>
      </w:r>
      <w:r>
        <w:rPr>
          <w:rFonts w:ascii="Times New Roman" w:hAnsi="Times New Roman" w:cs="Times New Roman"/>
          <w:sz w:val="24"/>
          <w:szCs w:val="24"/>
        </w:rPr>
        <w:t>and i</w:t>
      </w:r>
      <w:r w:rsidRPr="00555010">
        <w:rPr>
          <w:rFonts w:ascii="Times New Roman" w:hAnsi="Times New Roman" w:cs="Times New Roman"/>
          <w:sz w:val="24"/>
          <w:szCs w:val="24"/>
        </w:rPr>
        <w:t>nformed consent was waived due to the retrospective nature.</w:t>
      </w:r>
      <w:r>
        <w:rPr>
          <w:rFonts w:ascii="Times New Roman" w:hAnsi="Times New Roman" w:cs="Times New Roman"/>
          <w:sz w:val="24"/>
          <w:szCs w:val="24"/>
        </w:rPr>
        <w:t xml:space="preserve"> </w:t>
      </w:r>
      <w:r w:rsidRPr="00555010">
        <w:rPr>
          <w:rFonts w:ascii="Times New Roman" w:hAnsi="Times New Roman" w:cs="Times New Roman"/>
          <w:sz w:val="24"/>
          <w:szCs w:val="24"/>
        </w:rPr>
        <w:t>All patients aged ≥18 years who underwent pedicle screw fixation involving the thoracic and/or lumbar spine were eligible.</w:t>
      </w:r>
      <w:r w:rsidR="00032F9B">
        <w:rPr>
          <w:rFonts w:ascii="Times New Roman" w:hAnsi="Times New Roman" w:cs="Times New Roman"/>
          <w:sz w:val="24"/>
          <w:szCs w:val="24"/>
        </w:rPr>
        <w:t xml:space="preserve"> All the screws</w:t>
      </w:r>
      <w:r w:rsidRPr="00555010">
        <w:rPr>
          <w:rFonts w:ascii="Times New Roman" w:hAnsi="Times New Roman" w:cs="Times New Roman"/>
          <w:sz w:val="24"/>
          <w:szCs w:val="24"/>
        </w:rPr>
        <w:t xml:space="preserve"> </w:t>
      </w:r>
      <w:r w:rsidR="00032F9B">
        <w:rPr>
          <w:rFonts w:ascii="Times New Roman" w:hAnsi="Times New Roman" w:cs="Times New Roman"/>
          <w:sz w:val="24"/>
          <w:szCs w:val="24"/>
        </w:rPr>
        <w:t xml:space="preserve">were from China, India and Pakistan. </w:t>
      </w:r>
      <w:r w:rsidRPr="00555010">
        <w:rPr>
          <w:rFonts w:ascii="Times New Roman" w:hAnsi="Times New Roman" w:cs="Times New Roman"/>
          <w:sz w:val="24"/>
          <w:szCs w:val="24"/>
        </w:rPr>
        <w:t>Inclusion criteria: freehand screw placement with post‑insertion C‑arm confirmation; available postoperative computed tomography (CT); complete clinical records with ≥12 months follow‑up. Exclusion: cervical instrumentation; use of navigation/robotics; incomplete records.</w:t>
      </w:r>
    </w:p>
    <w:p w14:paraId="744EE01D" w14:textId="32E4790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 xml:space="preserve">All surgeries were performed by fellowship‑trained orthopaedic spine surgeons. Patients were positioned prone on a radiolucent table. A standard midline posterior approach was used. Pedicle entry points were identified using anatomical landmarks: for lumbar spine, the intersection of transverse process and superior articular facet; for thoracic spine, the junction of transverse process and pars interarticularis [11]. A high‑speed burr created the starting point, followed by sequential probing with a hand‑held pedicle finder. After palpation of bony walls, tapping and screw insertion were performed. Following placement of all screws, intraoperative C‑arm fluoroscopy (anteroposterior and lateral) was used to confirm position. Screws deemed </w:t>
      </w:r>
      <w:proofErr w:type="spellStart"/>
      <w:r w:rsidRPr="00555010">
        <w:rPr>
          <w:rFonts w:ascii="Times New Roman" w:hAnsi="Times New Roman" w:cs="Times New Roman"/>
          <w:sz w:val="24"/>
          <w:szCs w:val="24"/>
        </w:rPr>
        <w:t>malpositioned</w:t>
      </w:r>
      <w:proofErr w:type="spellEnd"/>
      <w:r w:rsidRPr="00555010">
        <w:rPr>
          <w:rFonts w:ascii="Times New Roman" w:hAnsi="Times New Roman" w:cs="Times New Roman"/>
          <w:sz w:val="24"/>
          <w:szCs w:val="24"/>
        </w:rPr>
        <w:t xml:space="preserve"> were revised immediately. No intraoperative navigation or CT was used.</w:t>
      </w:r>
    </w:p>
    <w:p w14:paraId="6066138C" w14:textId="1CE072AA"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Demographic, clinical, and operative data were extracted from medical records: age, sex, body mass index (BMI), smoking, comorbidities, ASA class, diagnosis, number and levels of screws, operative time, estimated blood loss, hospital stay, and complications.</w:t>
      </w:r>
    </w:p>
    <w:p w14:paraId="4B22D74B" w14:textId="331537A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Postoperative CT within 72 hours was evaluated by two spine surgeons blinded to outcomes using the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w:t>
      </w:r>
      <w:proofErr w:type="gramStart"/>
      <w:r w:rsidRPr="00555010">
        <w:rPr>
          <w:rFonts w:ascii="Times New Roman" w:hAnsi="Times New Roman" w:cs="Times New Roman"/>
          <w:sz w:val="24"/>
          <w:szCs w:val="24"/>
        </w:rPr>
        <w:t>Robbins</w:t>
      </w:r>
      <w:proofErr w:type="gramEnd"/>
      <w:r w:rsidRPr="00555010">
        <w:rPr>
          <w:rFonts w:ascii="Times New Roman" w:hAnsi="Times New Roman" w:cs="Times New Roman"/>
          <w:sz w:val="24"/>
          <w:szCs w:val="24"/>
        </w:rPr>
        <w:t xml:space="preserve"> classification [12]: grade A (no breach), B (&lt;2 mm), C (2–4 mm), D (4–6 mm), E (&gt;6 mm). Accuracy was defined as grades A or B. Fusion was assessed at 12 months using dynamic radiographs and CT, defined as continuous bridging trabecular bone and &lt;3° motion [13].</w:t>
      </w:r>
    </w:p>
    <w:p w14:paraId="3D2EA955" w14:textId="60237C2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Primary outcomes: screw accuracy, 90‑day complications, 12‑month fusion. Secondary outcomes: back pain (VAS 0–10) and functional disability (Oswestry Disability Index, ODI 0–100) preoperatively and at final follow‑up. MCID for ODI was ≥15‑point reduction [14]. Preoperative psychological distress was assessed using the Hospital Anxiety and Depression Scale (HADS, score ≥11) [15].</w:t>
      </w:r>
    </w:p>
    <w:p w14:paraId="2A2548F6" w14:textId="70948CA4"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Continuous variables are mean</w:t>
      </w:r>
      <w:r>
        <w:rPr>
          <w:rFonts w:ascii="Times New Roman" w:hAnsi="Times New Roman" w:cs="Times New Roman"/>
          <w:sz w:val="24"/>
          <w:szCs w:val="24"/>
        </w:rPr>
        <w:t xml:space="preserve"> </w:t>
      </w:r>
      <w:r w:rsidRPr="00555010">
        <w:rPr>
          <w:rFonts w:ascii="Times New Roman" w:hAnsi="Times New Roman" w:cs="Times New Roman"/>
          <w:sz w:val="24"/>
          <w:szCs w:val="24"/>
        </w:rPr>
        <w:t>±SD; categorical as frequencies. Comparisons used t‑test, Mann‑Whitney U, or chi‑square. Multivariate logistic regression identified predictors of poor functional outcome (failure to achieve ODI MCID or final ODI &gt;40). Significance p&lt;0.05. SPSS v26 (IBM Corp.).</w:t>
      </w:r>
    </w:p>
    <w:p w14:paraId="736CC67A" w14:textId="77777777" w:rsidR="00555010" w:rsidRPr="00555010" w:rsidRDefault="00555010" w:rsidP="00555010">
      <w:pPr>
        <w:spacing w:after="0" w:line="360" w:lineRule="auto"/>
        <w:jc w:val="both"/>
        <w:rPr>
          <w:rFonts w:ascii="Times New Roman" w:hAnsi="Times New Roman" w:cs="Times New Roman"/>
          <w:sz w:val="24"/>
          <w:szCs w:val="24"/>
        </w:rPr>
      </w:pPr>
    </w:p>
    <w:p w14:paraId="59FE9CB9" w14:textId="05513A1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RESULTS</w:t>
      </w:r>
    </w:p>
    <w:p w14:paraId="400AEF21" w14:textId="7E1B0176"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One hundred forty‑two patients were included. Mean age was 52.6±13.5 years; 78 (54.9%) were female. Baseline characteristics are in Table 1. </w:t>
      </w:r>
      <w:r>
        <w:rPr>
          <w:rFonts w:ascii="Times New Roman" w:hAnsi="Times New Roman" w:cs="Times New Roman"/>
          <w:sz w:val="24"/>
          <w:szCs w:val="24"/>
        </w:rPr>
        <w:t>Trauma</w:t>
      </w:r>
      <w:r w:rsidRPr="00555010">
        <w:rPr>
          <w:rFonts w:ascii="Times New Roman" w:hAnsi="Times New Roman" w:cs="Times New Roman"/>
          <w:sz w:val="24"/>
          <w:szCs w:val="24"/>
        </w:rPr>
        <w:t xml:space="preserve"> was the most common indication (62.0%), followed by </w:t>
      </w:r>
      <w:r>
        <w:rPr>
          <w:rFonts w:ascii="Times New Roman" w:hAnsi="Times New Roman" w:cs="Times New Roman"/>
          <w:sz w:val="24"/>
          <w:szCs w:val="24"/>
        </w:rPr>
        <w:t>degenerative</w:t>
      </w:r>
      <w:r w:rsidR="00D17197">
        <w:rPr>
          <w:rFonts w:ascii="Times New Roman" w:hAnsi="Times New Roman" w:cs="Times New Roman"/>
          <w:sz w:val="24"/>
          <w:szCs w:val="24"/>
        </w:rPr>
        <w:t xml:space="preserve"> diseases</w:t>
      </w:r>
      <w:r w:rsidRPr="00555010">
        <w:rPr>
          <w:rFonts w:ascii="Times New Roman" w:hAnsi="Times New Roman" w:cs="Times New Roman"/>
          <w:sz w:val="24"/>
          <w:szCs w:val="24"/>
        </w:rPr>
        <w:t xml:space="preserve"> (18.3%). Only three patients (2.1%) had scoliosis surgery. A total of 754 screws were placed: 592 (78.5%) lumbar, 162 (21.5%) thoracic. Mean screws per </w:t>
      </w:r>
      <w:r w:rsidRPr="00555010">
        <w:rPr>
          <w:rFonts w:ascii="Times New Roman" w:hAnsi="Times New Roman" w:cs="Times New Roman"/>
          <w:sz w:val="24"/>
          <w:szCs w:val="24"/>
        </w:rPr>
        <w:lastRenderedPageBreak/>
        <w:t>patient 5.3±1.6. Mean operative time 210±62 min, blood loss 325±160 mL, hospital stay 7.2±4.5 days.</w:t>
      </w:r>
    </w:p>
    <w:p w14:paraId="16AFC276" w14:textId="2AD1503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Overall accuracy (grades A/B) was 88.1% (664/754). Grade A (no breach) 74.9%, B 13.2%. Grade C–E breaches occurred in 11.9% (90 screws). Among these, 61 (67.8%) were thoracic, 29 (32.2%) lumbar. Lateral breaches predominated (57.8%). Sixteen screws (2.1%) required revision for malposition; all were revised during the same admission. Table 2 details accuracy.</w:t>
      </w:r>
    </w:p>
    <w:p w14:paraId="5A8C61B0" w14:textId="0FFF5FC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Sixteen patients (11.3%) experienced complications (Table 3). Dural tears occurred in 5 (3.5%), all repaired primarily. Superficial surgical site infections in 4 (2.8%), managed conservatively. Screw malposition requiring reoperation in 3 (2.1%). Transient neurological deficits in 2 (1.4%), resolving within 6 weeks. No permanent deficits, vascular injuries, or deep infections occurred.</w:t>
      </w:r>
    </w:p>
    <w:p w14:paraId="3D06313F" w14:textId="30DC457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At mean follow‑up 20.5±6.2 months, significant improvements were seen (Table 4). VAS back pain decreased from 7.5±1.6 to 3.3±1.8 (p&lt;0.001). ODI decreased from 55.4±14.9 to 27.6±13.2 (p&lt;0.001). MCID for ODI was achieved by 117 patients (82.4%). Fusion at 12 months was 90.8% (129 patients).</w:t>
      </w:r>
    </w:p>
    <w:p w14:paraId="16C322AE" w14:textId="1BC89B15"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Univariate analysis identified screw malposition (grade C–E), preoperative psychological distress (HADS ≥11), multilevel fusion (≥3 levels), and age ≥70 years as associated with poor outcome (p&lt;0.05). In multivariate regression, screw malposition (OR 2.95, 95% CI 1.61–5.42, p&lt;0.001) and preoperative psychological distress (OR 2.68, 95% CI 1.47–4.89, p&lt;0.001) remained independent predictors.</w:t>
      </w:r>
    </w:p>
    <w:p w14:paraId="57161E96" w14:textId="77777777" w:rsidR="00555010" w:rsidRPr="00555010" w:rsidRDefault="00555010" w:rsidP="00555010">
      <w:pPr>
        <w:spacing w:after="0" w:line="360" w:lineRule="auto"/>
        <w:jc w:val="both"/>
        <w:rPr>
          <w:rFonts w:ascii="Times New Roman" w:hAnsi="Times New Roman" w:cs="Times New Roman"/>
          <w:sz w:val="24"/>
          <w:szCs w:val="24"/>
        </w:rPr>
      </w:pPr>
    </w:p>
    <w:p w14:paraId="54F4400D" w14:textId="31679023"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DISCUSSION</w:t>
      </w:r>
    </w:p>
    <w:p w14:paraId="394A269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represents one of the largest series of pedicle screw fixation reported from a West African tertiary centre. Our results demonstrate that freehand screw placement with post‑insertion C‑arm fluoroscopy yields acceptable accuracy (88.1%), fusion (90.8%), and complication rates (11.3%) in a resource‑limited setting, comparable to published data from high‑income countries [8, 9, 16].</w:t>
      </w:r>
    </w:p>
    <w:p w14:paraId="2520420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accuracy rate aligns with previous freehand studies. Kim et al. reported 94% accuracy for thoracic screws [11], and Belmont et al. 87% [17]. The higher proportion of thoracic breaches (67.8%) reflects anatomical challenges: smaller pedicle size, greater variability, and proximity to vital structures [18]. Most breaches were lateral and of minor degree, rarely requiring revision. The 2.1% revision rate is similar to that reported with navigation [19], suggesting that freehand </w:t>
      </w:r>
      <w:r w:rsidRPr="00555010">
        <w:rPr>
          <w:rFonts w:ascii="Times New Roman" w:hAnsi="Times New Roman" w:cs="Times New Roman"/>
          <w:sz w:val="24"/>
          <w:szCs w:val="24"/>
        </w:rPr>
        <w:lastRenderedPageBreak/>
        <w:t>technique, when performed by experienced surgeons, remains a safe alternative in settings where navigation is unavailable.</w:t>
      </w:r>
    </w:p>
    <w:p w14:paraId="06DA6D4E"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Complications were within expected ranges. Dural tears (3.5%) are consistent with rates of 3–5% in posterior spinal surgery [20]. Superficial infection (2.8%) is acceptable, though ongoing infection control is critical. Notably, no permanent neurological deficits occurred, affirming the safety of meticulous freehand technique combined with intraoperative fluoroscopic verification [21].</w:t>
      </w:r>
    </w:p>
    <w:p w14:paraId="0A33B7E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Clinical improvements were substantial, with over 80% achieving ODI MCID. These outcomes mirror those from international registries [22]. The independent association of screw malposition with poorer functional recovery reinforces the importance of accuracy; even minor breaches can lead to delayed return to function and reduced fusion [3, 23]. This supports the use of adjunctive technologies such as intraoperative CT or navigation in complex cases when resources permit.</w:t>
      </w:r>
    </w:p>
    <w:p w14:paraId="4431A6D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Preoperative psychological distress emerged as a strong predictor of poor outcome, consistent with growing evidence linking anxiety and depression to suboptimal results after spine surgery [15, 24]. In Nigeria, mental health services are limited, and preoperative psychological screening is not routine. Our findings suggest that identifying at‑risk patients and providing targeted support—even simple counselling—could improve overall outcomes.</w:t>
      </w:r>
    </w:p>
    <w:p w14:paraId="2E0E86C6" w14:textId="5529F31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low number of scoliosis cases (n=3) reflects the predominance of </w:t>
      </w:r>
      <w:r w:rsidR="005A18BA">
        <w:rPr>
          <w:rFonts w:ascii="Times New Roman" w:hAnsi="Times New Roman" w:cs="Times New Roman"/>
          <w:sz w:val="24"/>
          <w:szCs w:val="24"/>
        </w:rPr>
        <w:t>traumatic</w:t>
      </w:r>
      <w:r w:rsidRPr="00555010">
        <w:rPr>
          <w:rFonts w:ascii="Times New Roman" w:hAnsi="Times New Roman" w:cs="Times New Roman"/>
          <w:sz w:val="24"/>
          <w:szCs w:val="24"/>
        </w:rPr>
        <w:t xml:space="preserve"> and </w:t>
      </w:r>
      <w:r w:rsidR="005A18BA">
        <w:rPr>
          <w:rFonts w:ascii="Times New Roman" w:hAnsi="Times New Roman" w:cs="Times New Roman"/>
          <w:sz w:val="24"/>
          <w:szCs w:val="24"/>
        </w:rPr>
        <w:t>degenerative</w:t>
      </w:r>
      <w:r w:rsidRPr="00555010">
        <w:rPr>
          <w:rFonts w:ascii="Times New Roman" w:hAnsi="Times New Roman" w:cs="Times New Roman"/>
          <w:sz w:val="24"/>
          <w:szCs w:val="24"/>
        </w:rPr>
        <w:t xml:space="preserve"> conditions in our practice. Deformity surgery is more resource‑intensive and often delayed due to cost and implant availability; nevertheless, our results in these few cases were acceptable.</w:t>
      </w:r>
    </w:p>
    <w:p w14:paraId="0D21D3C2" w14:textId="7DD014C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is retrospective, with inherent selection and information biases. Single‑centre design may limit generalizability. Follow‑up (mean 20.5 months) may not capture late complications like adjacent segment disease. The lack of a control group (e.g., navigated insertion) precludes direct comparison. Additionally, psychological assessment was based on HADS rather than formal psychiatric evaluation, and access to mental health support was not standardized.</w:t>
      </w:r>
    </w:p>
    <w:p w14:paraId="241858CB" w14:textId="6F14D3E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Freehand pedicle screw fixation with post‑insertion C‑arm fluoroscopy is a safe and effective technique for thoracic and lumbar spinal stabilization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5A18BA">
        <w:rPr>
          <w:rFonts w:ascii="Times New Roman" w:hAnsi="Times New Roman" w:cs="Times New Roman"/>
          <w:sz w:val="24"/>
          <w:szCs w:val="24"/>
        </w:rPr>
        <w:t>, Nigeria</w:t>
      </w:r>
      <w:r w:rsidRPr="00555010">
        <w:rPr>
          <w:rFonts w:ascii="Times New Roman" w:hAnsi="Times New Roman" w:cs="Times New Roman"/>
          <w:sz w:val="24"/>
          <w:szCs w:val="24"/>
        </w:rPr>
        <w:t xml:space="preserve">. Outcomes, including accuracy, fusion, and complication rates, are comparable to international benchmarks. Screw malposition and preoperative psychological distress independently predict poorer functional recovery. These findings support continued use of the freehand technique in resource‑limited settings while highlighting opportunities for quality </w:t>
      </w:r>
      <w:r w:rsidRPr="00555010">
        <w:rPr>
          <w:rFonts w:ascii="Times New Roman" w:hAnsi="Times New Roman" w:cs="Times New Roman"/>
          <w:sz w:val="24"/>
          <w:szCs w:val="24"/>
        </w:rPr>
        <w:lastRenderedPageBreak/>
        <w:t>improvement, including targeted use of navigation in complex anatomy and integration of psychological assessment into preoperative care.</w:t>
      </w:r>
    </w:p>
    <w:p w14:paraId="55132203" w14:textId="77777777" w:rsidR="00555010" w:rsidRPr="00555010" w:rsidRDefault="00555010" w:rsidP="00555010">
      <w:pPr>
        <w:spacing w:after="0" w:line="360" w:lineRule="auto"/>
        <w:jc w:val="both"/>
        <w:rPr>
          <w:rFonts w:ascii="Times New Roman" w:hAnsi="Times New Roman" w:cs="Times New Roman"/>
          <w:sz w:val="24"/>
          <w:szCs w:val="24"/>
        </w:rPr>
      </w:pPr>
    </w:p>
    <w:p w14:paraId="149954EA" w14:textId="08D6D2C2"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REFERENCES</w:t>
      </w:r>
    </w:p>
    <w:p w14:paraId="595B585E" w14:textId="77777777" w:rsidR="00555010" w:rsidRPr="00555010" w:rsidRDefault="00555010" w:rsidP="00555010">
      <w:pPr>
        <w:spacing w:after="0" w:line="360" w:lineRule="auto"/>
        <w:jc w:val="both"/>
        <w:rPr>
          <w:rFonts w:ascii="Times New Roman" w:hAnsi="Times New Roman" w:cs="Times New Roman"/>
          <w:sz w:val="24"/>
          <w:szCs w:val="24"/>
        </w:rPr>
      </w:pPr>
    </w:p>
    <w:p w14:paraId="2059F34E" w14:textId="28F6896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Nwankwo OE, Umaru H, </w:t>
      </w:r>
      <w:proofErr w:type="spellStart"/>
      <w:r w:rsidRPr="00D17197">
        <w:rPr>
          <w:rFonts w:ascii="Times New Roman" w:hAnsi="Times New Roman" w:cs="Times New Roman"/>
          <w:sz w:val="24"/>
          <w:szCs w:val="24"/>
        </w:rPr>
        <w:t>Onyemaechi</w:t>
      </w:r>
      <w:proofErr w:type="spellEnd"/>
      <w:r w:rsidRPr="00D17197">
        <w:rPr>
          <w:rFonts w:ascii="Times New Roman" w:hAnsi="Times New Roman" w:cs="Times New Roman"/>
          <w:sz w:val="24"/>
          <w:szCs w:val="24"/>
        </w:rPr>
        <w:t xml:space="preserve"> N, </w:t>
      </w:r>
      <w:proofErr w:type="spellStart"/>
      <w:r w:rsidRPr="00D17197">
        <w:rPr>
          <w:rFonts w:ascii="Times New Roman" w:hAnsi="Times New Roman" w:cs="Times New Roman"/>
          <w:sz w:val="24"/>
          <w:szCs w:val="24"/>
        </w:rPr>
        <w:t>Nottidge</w:t>
      </w:r>
      <w:proofErr w:type="spellEnd"/>
      <w:r w:rsidRPr="00D17197">
        <w:rPr>
          <w:rFonts w:ascii="Times New Roman" w:hAnsi="Times New Roman" w:cs="Times New Roman"/>
          <w:sz w:val="24"/>
          <w:szCs w:val="24"/>
        </w:rPr>
        <w:t xml:space="preserve"> T. Pattern of spinal disorders in a tertiary hospital in Nigeria. Niger J Clin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2020;23(4):499–504.</w:t>
      </w:r>
    </w:p>
    <w:p w14:paraId="35D7B30E" w14:textId="26A2BB0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Akinyemi RO, Ige OK, Adeyinka AO, </w:t>
      </w:r>
      <w:proofErr w:type="spellStart"/>
      <w:r w:rsidRPr="00D17197">
        <w:rPr>
          <w:rFonts w:ascii="Times New Roman" w:hAnsi="Times New Roman" w:cs="Times New Roman"/>
          <w:sz w:val="24"/>
          <w:szCs w:val="24"/>
        </w:rPr>
        <w:t>Odebode</w:t>
      </w:r>
      <w:proofErr w:type="spellEnd"/>
      <w:r w:rsidRPr="00D17197">
        <w:rPr>
          <w:rFonts w:ascii="Times New Roman" w:hAnsi="Times New Roman" w:cs="Times New Roman"/>
          <w:sz w:val="24"/>
          <w:szCs w:val="24"/>
        </w:rPr>
        <w:t xml:space="preserve"> TO. Pattern of spinal injuries in a Nigerian tertiary hospital. J </w:t>
      </w:r>
      <w:proofErr w:type="spellStart"/>
      <w:r w:rsidRPr="00D17197">
        <w:rPr>
          <w:rFonts w:ascii="Times New Roman" w:hAnsi="Times New Roman" w:cs="Times New Roman"/>
          <w:sz w:val="24"/>
          <w:szCs w:val="24"/>
        </w:rPr>
        <w:t>Neurosci</w:t>
      </w:r>
      <w:proofErr w:type="spellEnd"/>
      <w:r w:rsidRPr="00D17197">
        <w:rPr>
          <w:rFonts w:ascii="Times New Roman" w:hAnsi="Times New Roman" w:cs="Times New Roman"/>
          <w:sz w:val="24"/>
          <w:szCs w:val="24"/>
        </w:rPr>
        <w:t xml:space="preserve"> Rural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2013;4(3):268–72.</w:t>
      </w:r>
    </w:p>
    <w:p w14:paraId="2EFCF103" w14:textId="2F71939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Orlandi</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Galieri</w:t>
      </w:r>
      <w:proofErr w:type="spellEnd"/>
      <w:r w:rsidRPr="00D17197">
        <w:rPr>
          <w:rFonts w:ascii="Times New Roman" w:hAnsi="Times New Roman" w:cs="Times New Roman"/>
          <w:sz w:val="24"/>
          <w:szCs w:val="24"/>
        </w:rPr>
        <w:t xml:space="preserve"> G, </w:t>
      </w:r>
      <w:proofErr w:type="spellStart"/>
      <w:r w:rsidRPr="00D17197">
        <w:rPr>
          <w:rFonts w:ascii="Times New Roman" w:hAnsi="Times New Roman" w:cs="Times New Roman"/>
          <w:sz w:val="24"/>
          <w:szCs w:val="24"/>
        </w:rPr>
        <w:t>Mazzucchi</w:t>
      </w:r>
      <w:proofErr w:type="spellEnd"/>
      <w:r w:rsidRPr="00D17197">
        <w:rPr>
          <w:rFonts w:ascii="Times New Roman" w:hAnsi="Times New Roman" w:cs="Times New Roman"/>
          <w:sz w:val="24"/>
          <w:szCs w:val="24"/>
        </w:rPr>
        <w:t xml:space="preserve"> E, </w:t>
      </w:r>
      <w:proofErr w:type="spellStart"/>
      <w:r w:rsidRPr="00D17197">
        <w:rPr>
          <w:rFonts w:ascii="Times New Roman" w:hAnsi="Times New Roman" w:cs="Times New Roman"/>
          <w:sz w:val="24"/>
          <w:szCs w:val="24"/>
        </w:rPr>
        <w:t>Pignotti</w:t>
      </w:r>
      <w:proofErr w:type="spellEnd"/>
      <w:r w:rsidRPr="00D17197">
        <w:rPr>
          <w:rFonts w:ascii="Times New Roman" w:hAnsi="Times New Roman" w:cs="Times New Roman"/>
          <w:sz w:val="24"/>
          <w:szCs w:val="24"/>
        </w:rPr>
        <w:t xml:space="preserve"> F, </w:t>
      </w:r>
      <w:proofErr w:type="spellStart"/>
      <w:r w:rsidRPr="00D17197">
        <w:rPr>
          <w:rFonts w:ascii="Times New Roman" w:hAnsi="Times New Roman" w:cs="Times New Roman"/>
          <w:sz w:val="24"/>
          <w:szCs w:val="24"/>
        </w:rPr>
        <w:t>Carcagnì</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Bazzu</w:t>
      </w:r>
      <w:proofErr w:type="spellEnd"/>
      <w:r w:rsidRPr="00D17197">
        <w:rPr>
          <w:rFonts w:ascii="Times New Roman" w:hAnsi="Times New Roman" w:cs="Times New Roman"/>
          <w:sz w:val="24"/>
          <w:szCs w:val="24"/>
        </w:rPr>
        <w:t xml:space="preserve"> P, et al. Comparative Analysis of Pedicle Screw Fixation and Interspinous Devices in Lumbar Spinal Fusion: Clinical and Surgical Outcomes in Degenerative Spine Conditions. J </w:t>
      </w:r>
      <w:proofErr w:type="spellStart"/>
      <w:r w:rsidRPr="00D17197">
        <w:rPr>
          <w:rFonts w:ascii="Times New Roman" w:hAnsi="Times New Roman" w:cs="Times New Roman"/>
          <w:sz w:val="24"/>
          <w:szCs w:val="24"/>
        </w:rPr>
        <w:t>Pers</w:t>
      </w:r>
      <w:proofErr w:type="spellEnd"/>
      <w:r w:rsidRPr="00D17197">
        <w:rPr>
          <w:rFonts w:ascii="Times New Roman" w:hAnsi="Times New Roman" w:cs="Times New Roman"/>
          <w:sz w:val="24"/>
          <w:szCs w:val="24"/>
        </w:rPr>
        <w:t xml:space="preserve"> Med. 2025;15(3):95.</w:t>
      </w:r>
    </w:p>
    <w:p w14:paraId="38B6BA29" w14:textId="2044DDE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Gaines RW Jr. The use of pedicle-screw internal fixation for the operative treatment of spinal disorders. J Bone Joint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Am. 2000;82(10):1458–76.</w:t>
      </w:r>
    </w:p>
    <w:p w14:paraId="551087F7" w14:textId="6FDC1A3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Hicks JM, Singla A, Shen FH, </w:t>
      </w:r>
      <w:proofErr w:type="spellStart"/>
      <w:r w:rsidRPr="00D17197">
        <w:rPr>
          <w:rFonts w:ascii="Times New Roman" w:hAnsi="Times New Roman" w:cs="Times New Roman"/>
          <w:sz w:val="24"/>
          <w:szCs w:val="24"/>
        </w:rPr>
        <w:t>Arlet</w:t>
      </w:r>
      <w:proofErr w:type="spellEnd"/>
      <w:r w:rsidRPr="00D17197">
        <w:rPr>
          <w:rFonts w:ascii="Times New Roman" w:hAnsi="Times New Roman" w:cs="Times New Roman"/>
          <w:sz w:val="24"/>
          <w:szCs w:val="24"/>
        </w:rPr>
        <w:t xml:space="preserve"> V. Complications of pedicle screw fixation in scoliosis surgery: a systematic review. Spine (Phila Pa 1976). 2010;35(11</w:t>
      </w:r>
      <w:proofErr w:type="gramStart"/>
      <w:r w:rsidRPr="00D17197">
        <w:rPr>
          <w:rFonts w:ascii="Times New Roman" w:hAnsi="Times New Roman" w:cs="Times New Roman"/>
          <w:sz w:val="24"/>
          <w:szCs w:val="24"/>
        </w:rPr>
        <w:t>):E</w:t>
      </w:r>
      <w:proofErr w:type="gramEnd"/>
      <w:r w:rsidRPr="00D17197">
        <w:rPr>
          <w:rFonts w:ascii="Times New Roman" w:hAnsi="Times New Roman" w:cs="Times New Roman"/>
          <w:sz w:val="24"/>
          <w:szCs w:val="24"/>
        </w:rPr>
        <w:t>465–70.</w:t>
      </w:r>
    </w:p>
    <w:p w14:paraId="763CFD19" w14:textId="2BF9D7E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Jutte PC, </w:t>
      </w:r>
      <w:proofErr w:type="spellStart"/>
      <w:r w:rsidRPr="00D17197">
        <w:rPr>
          <w:rFonts w:ascii="Times New Roman" w:hAnsi="Times New Roman" w:cs="Times New Roman"/>
          <w:sz w:val="24"/>
          <w:szCs w:val="24"/>
        </w:rPr>
        <w:t>Castelein</w:t>
      </w:r>
      <w:proofErr w:type="spellEnd"/>
      <w:r w:rsidRPr="00D17197">
        <w:rPr>
          <w:rFonts w:ascii="Times New Roman" w:hAnsi="Times New Roman" w:cs="Times New Roman"/>
          <w:sz w:val="24"/>
          <w:szCs w:val="24"/>
        </w:rPr>
        <w:t xml:space="preserve"> RM. Complications of pedicle screws in lumbar and lumbosacral fusions in 105 consecutive primary operations. Eur Spine J. 2002;11(6):594–8.</w:t>
      </w:r>
    </w:p>
    <w:p w14:paraId="1CC69747" w14:textId="77A8E5F8"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Modi HN, Suh SW, Fernandez H, Yang JH, Song HR. Accuracy and safety of pedicle screw placement in neuromuscular scoliosis with free-hand technique. Eur Spine J. 2008;17(12):1686–96.</w:t>
      </w:r>
    </w:p>
    <w:p w14:paraId="09A6478D" w14:textId="744BE46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Cho YS, Bridwell KH, Sides B, </w:t>
      </w:r>
      <w:proofErr w:type="spellStart"/>
      <w:r w:rsidRPr="00D17197">
        <w:rPr>
          <w:rFonts w:ascii="Times New Roman" w:hAnsi="Times New Roman" w:cs="Times New Roman"/>
          <w:sz w:val="24"/>
          <w:szCs w:val="24"/>
        </w:rPr>
        <w:t>Blanke</w:t>
      </w:r>
      <w:proofErr w:type="spellEnd"/>
      <w:r w:rsidRPr="00D17197">
        <w:rPr>
          <w:rFonts w:ascii="Times New Roman" w:hAnsi="Times New Roman" w:cs="Times New Roman"/>
          <w:sz w:val="24"/>
          <w:szCs w:val="24"/>
        </w:rPr>
        <w:t xml:space="preserve"> K. Free hand pedicle screw placement in the thoracic spine: a prospective study of accuracy in 702 screws. Spine (Phila Pa 1976). 2005;30(8):918–22.</w:t>
      </w:r>
    </w:p>
    <w:p w14:paraId="4B13AE02" w14:textId="30A9791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Parker SL, McGirt MJ, Farber SH, Amin AG, Rick AM, Suk I, et al. Accuracy of free-hand pedicle screw placement in the thoracic and lumbar spine: a systematic review and meta-analysis.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2011;14(1):15–21.</w:t>
      </w:r>
    </w:p>
    <w:p w14:paraId="4D076EFF" w14:textId="79A4AF6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Nnadi</w:t>
      </w:r>
      <w:proofErr w:type="spellEnd"/>
      <w:r w:rsidRPr="00D17197">
        <w:rPr>
          <w:rFonts w:ascii="Times New Roman" w:hAnsi="Times New Roman" w:cs="Times New Roman"/>
          <w:sz w:val="24"/>
          <w:szCs w:val="24"/>
        </w:rPr>
        <w:t xml:space="preserve"> C, </w:t>
      </w:r>
      <w:proofErr w:type="spellStart"/>
      <w:r w:rsidRPr="00D17197">
        <w:rPr>
          <w:rFonts w:ascii="Times New Roman" w:hAnsi="Times New Roman" w:cs="Times New Roman"/>
          <w:sz w:val="24"/>
          <w:szCs w:val="24"/>
        </w:rPr>
        <w:t>Orakwe</w:t>
      </w:r>
      <w:proofErr w:type="spellEnd"/>
      <w:r w:rsidRPr="00D17197">
        <w:rPr>
          <w:rFonts w:ascii="Times New Roman" w:hAnsi="Times New Roman" w:cs="Times New Roman"/>
          <w:sz w:val="24"/>
          <w:szCs w:val="24"/>
        </w:rPr>
        <w:t xml:space="preserve"> S, </w:t>
      </w:r>
      <w:proofErr w:type="spellStart"/>
      <w:r w:rsidRPr="00D17197">
        <w:rPr>
          <w:rFonts w:ascii="Times New Roman" w:hAnsi="Times New Roman" w:cs="Times New Roman"/>
          <w:sz w:val="24"/>
          <w:szCs w:val="24"/>
        </w:rPr>
        <w:t>Nwadinigwe</w:t>
      </w:r>
      <w:proofErr w:type="spellEnd"/>
      <w:r w:rsidRPr="00D17197">
        <w:rPr>
          <w:rFonts w:ascii="Times New Roman" w:hAnsi="Times New Roman" w:cs="Times New Roman"/>
          <w:sz w:val="24"/>
          <w:szCs w:val="24"/>
        </w:rPr>
        <w:t xml:space="preserve"> C, Ede O. Challenges of spinal surgery in a developing country: a Nigerian perspective. J Spine Surg. 2019;5(</w:t>
      </w:r>
      <w:proofErr w:type="spellStart"/>
      <w:r w:rsidRPr="00D17197">
        <w:rPr>
          <w:rFonts w:ascii="Times New Roman" w:hAnsi="Times New Roman" w:cs="Times New Roman"/>
          <w:sz w:val="24"/>
          <w:szCs w:val="24"/>
        </w:rPr>
        <w:t>Suppl</w:t>
      </w:r>
      <w:proofErr w:type="spellEnd"/>
      <w:r w:rsidRPr="00D17197">
        <w:rPr>
          <w:rFonts w:ascii="Times New Roman" w:hAnsi="Times New Roman" w:cs="Times New Roman"/>
          <w:sz w:val="24"/>
          <w:szCs w:val="24"/>
        </w:rPr>
        <w:t xml:space="preserve"> 2</w:t>
      </w:r>
      <w:proofErr w:type="gramStart"/>
      <w:r w:rsidRPr="00D17197">
        <w:rPr>
          <w:rFonts w:ascii="Times New Roman" w:hAnsi="Times New Roman" w:cs="Times New Roman"/>
          <w:sz w:val="24"/>
          <w:szCs w:val="24"/>
        </w:rPr>
        <w:t>):S</w:t>
      </w:r>
      <w:proofErr w:type="gramEnd"/>
      <w:r w:rsidRPr="00D17197">
        <w:rPr>
          <w:rFonts w:ascii="Times New Roman" w:hAnsi="Times New Roman" w:cs="Times New Roman"/>
          <w:sz w:val="24"/>
          <w:szCs w:val="24"/>
        </w:rPr>
        <w:t>210–S215.</w:t>
      </w:r>
    </w:p>
    <w:p w14:paraId="313A1889" w14:textId="49AB614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Bridwell KH, Cho YS, </w:t>
      </w:r>
      <w:proofErr w:type="spellStart"/>
      <w:r w:rsidRPr="00D17197">
        <w:rPr>
          <w:rFonts w:ascii="Times New Roman" w:hAnsi="Times New Roman" w:cs="Times New Roman"/>
          <w:sz w:val="24"/>
          <w:szCs w:val="24"/>
        </w:rPr>
        <w:t>Riew</w:t>
      </w:r>
      <w:proofErr w:type="spellEnd"/>
      <w:r w:rsidRPr="00D17197">
        <w:rPr>
          <w:rFonts w:ascii="Times New Roman" w:hAnsi="Times New Roman" w:cs="Times New Roman"/>
          <w:sz w:val="24"/>
          <w:szCs w:val="24"/>
        </w:rPr>
        <w:t xml:space="preserve"> KD. Free hand pedicle screw placement in the thoracic spine: is it safe? Spine (Phila Pa 1976). 2004;29(3):333–42.</w:t>
      </w:r>
    </w:p>
    <w:p w14:paraId="1CCC08D4" w14:textId="2AE643F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Gertzbein</w:t>
      </w:r>
      <w:proofErr w:type="spellEnd"/>
      <w:r w:rsidRPr="00D17197">
        <w:rPr>
          <w:rFonts w:ascii="Times New Roman" w:hAnsi="Times New Roman" w:cs="Times New Roman"/>
          <w:sz w:val="24"/>
          <w:szCs w:val="24"/>
        </w:rPr>
        <w:t xml:space="preserve"> SD, Robbins SE. Accuracy of pedicular screw placement in vivo. Spine (Phila Pa 1976). 1990;15(1):11–4.</w:t>
      </w:r>
    </w:p>
    <w:p w14:paraId="5A7B6450" w14:textId="1A3E09B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Carreon LY, Glassman SD, </w:t>
      </w:r>
      <w:proofErr w:type="spellStart"/>
      <w:r w:rsidRPr="00D17197">
        <w:rPr>
          <w:rFonts w:ascii="Times New Roman" w:hAnsi="Times New Roman" w:cs="Times New Roman"/>
          <w:sz w:val="24"/>
          <w:szCs w:val="24"/>
        </w:rPr>
        <w:t>Djurasovic</w:t>
      </w:r>
      <w:proofErr w:type="spellEnd"/>
      <w:r w:rsidRPr="00D17197">
        <w:rPr>
          <w:rFonts w:ascii="Times New Roman" w:hAnsi="Times New Roman" w:cs="Times New Roman"/>
          <w:sz w:val="24"/>
          <w:szCs w:val="24"/>
        </w:rPr>
        <w:t xml:space="preserve"> M. Reliability and agreement between fine-cut CT scans and plain radiography in the evaluation of posterolateral fusions. Spine J. 2007;7(1):39–43.</w:t>
      </w:r>
    </w:p>
    <w:p w14:paraId="4AC42CD9" w14:textId="2835142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Copay</w:t>
      </w:r>
      <w:proofErr w:type="spellEnd"/>
      <w:r w:rsidRPr="00D17197">
        <w:rPr>
          <w:rFonts w:ascii="Times New Roman" w:hAnsi="Times New Roman" w:cs="Times New Roman"/>
          <w:sz w:val="24"/>
          <w:szCs w:val="24"/>
        </w:rPr>
        <w:t xml:space="preserve"> AG, Glassman SD, </w:t>
      </w:r>
      <w:proofErr w:type="spellStart"/>
      <w:r w:rsidRPr="00D17197">
        <w:rPr>
          <w:rFonts w:ascii="Times New Roman" w:hAnsi="Times New Roman" w:cs="Times New Roman"/>
          <w:sz w:val="24"/>
          <w:szCs w:val="24"/>
        </w:rPr>
        <w:t>Subach</w:t>
      </w:r>
      <w:proofErr w:type="spellEnd"/>
      <w:r w:rsidRPr="00D17197">
        <w:rPr>
          <w:rFonts w:ascii="Times New Roman" w:hAnsi="Times New Roman" w:cs="Times New Roman"/>
          <w:sz w:val="24"/>
          <w:szCs w:val="24"/>
        </w:rPr>
        <w:t xml:space="preserve"> BR, </w:t>
      </w:r>
      <w:proofErr w:type="spellStart"/>
      <w:r w:rsidRPr="00D17197">
        <w:rPr>
          <w:rFonts w:ascii="Times New Roman" w:hAnsi="Times New Roman" w:cs="Times New Roman"/>
          <w:sz w:val="24"/>
          <w:szCs w:val="24"/>
        </w:rPr>
        <w:t>Berven</w:t>
      </w:r>
      <w:proofErr w:type="spellEnd"/>
      <w:r w:rsidRPr="00D17197">
        <w:rPr>
          <w:rFonts w:ascii="Times New Roman" w:hAnsi="Times New Roman" w:cs="Times New Roman"/>
          <w:sz w:val="24"/>
          <w:szCs w:val="24"/>
        </w:rPr>
        <w:t xml:space="preserve"> S, Schuler TC, Carreon LY. Minimum clinically important difference in lumbar spine surgery patients: a choice of methods using the Oswestry Disability Index, Medical Outcomes Study </w:t>
      </w:r>
      <w:proofErr w:type="gramStart"/>
      <w:r w:rsidRPr="00D17197">
        <w:rPr>
          <w:rFonts w:ascii="Times New Roman" w:hAnsi="Times New Roman" w:cs="Times New Roman"/>
          <w:sz w:val="24"/>
          <w:szCs w:val="24"/>
        </w:rPr>
        <w:t>questionnaire</w:t>
      </w:r>
      <w:proofErr w:type="gramEnd"/>
      <w:r w:rsidRPr="00D17197">
        <w:rPr>
          <w:rFonts w:ascii="Times New Roman" w:hAnsi="Times New Roman" w:cs="Times New Roman"/>
          <w:sz w:val="24"/>
          <w:szCs w:val="24"/>
        </w:rPr>
        <w:t xml:space="preserve"> Short Form 36, and pain scales. Spine J. 2008;8(6):968–74.</w:t>
      </w:r>
    </w:p>
    <w:p w14:paraId="62F96E3A" w14:textId="72B232D3"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Zigmond</w:t>
      </w:r>
      <w:proofErr w:type="spellEnd"/>
      <w:r w:rsidRPr="00D17197">
        <w:rPr>
          <w:rFonts w:ascii="Times New Roman" w:hAnsi="Times New Roman" w:cs="Times New Roman"/>
          <w:sz w:val="24"/>
          <w:szCs w:val="24"/>
        </w:rPr>
        <w:t xml:space="preserve"> AS, Snaith RP. The hospital anxiety and depression scale. Acta </w:t>
      </w:r>
      <w:proofErr w:type="spellStart"/>
      <w:r w:rsidRPr="00D17197">
        <w:rPr>
          <w:rFonts w:ascii="Times New Roman" w:hAnsi="Times New Roman" w:cs="Times New Roman"/>
          <w:sz w:val="24"/>
          <w:szCs w:val="24"/>
        </w:rPr>
        <w:t>Psychiatr</w:t>
      </w:r>
      <w:proofErr w:type="spellEnd"/>
      <w:r w:rsidRPr="00D17197">
        <w:rPr>
          <w:rFonts w:ascii="Times New Roman" w:hAnsi="Times New Roman" w:cs="Times New Roman"/>
          <w:sz w:val="24"/>
          <w:szCs w:val="24"/>
        </w:rPr>
        <w:t xml:space="preserve"> Scand. 1983;67(6):361–70.</w:t>
      </w:r>
    </w:p>
    <w:p w14:paraId="16068868" w14:textId="58758D6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Smith JS, </w:t>
      </w:r>
      <w:proofErr w:type="spellStart"/>
      <w:r w:rsidRPr="00D17197">
        <w:rPr>
          <w:rFonts w:ascii="Times New Roman" w:hAnsi="Times New Roman" w:cs="Times New Roman"/>
          <w:sz w:val="24"/>
          <w:szCs w:val="24"/>
        </w:rPr>
        <w:t>Shaffrey</w:t>
      </w:r>
      <w:proofErr w:type="spellEnd"/>
      <w:r w:rsidRPr="00D17197">
        <w:rPr>
          <w:rFonts w:ascii="Times New Roman" w:hAnsi="Times New Roman" w:cs="Times New Roman"/>
          <w:sz w:val="24"/>
          <w:szCs w:val="24"/>
        </w:rPr>
        <w:t xml:space="preserve"> CI, Ames CP,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Treatment of adult thoracolumbar spinal deformity: past, present, and future.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2019;30(5):551–67.</w:t>
      </w:r>
    </w:p>
    <w:p w14:paraId="13ABAF63" w14:textId="7125EB5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Belmont PJ Jr, </w:t>
      </w:r>
      <w:proofErr w:type="spellStart"/>
      <w:r w:rsidRPr="00D17197">
        <w:rPr>
          <w:rFonts w:ascii="Times New Roman" w:hAnsi="Times New Roman" w:cs="Times New Roman"/>
          <w:sz w:val="24"/>
          <w:szCs w:val="24"/>
        </w:rPr>
        <w:t>Klemme</w:t>
      </w:r>
      <w:proofErr w:type="spellEnd"/>
      <w:r w:rsidRPr="00D17197">
        <w:rPr>
          <w:rFonts w:ascii="Times New Roman" w:hAnsi="Times New Roman" w:cs="Times New Roman"/>
          <w:sz w:val="24"/>
          <w:szCs w:val="24"/>
        </w:rPr>
        <w:t xml:space="preserve"> WR, Dhawan A, Polly DW Jr. In vivo accuracy of thoracic pedicle screws. Spine (Phila Pa 1976). 2001;26(21):2340–6.</w:t>
      </w:r>
    </w:p>
    <w:p w14:paraId="3C7425E2" w14:textId="0D075FD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Zindrick</w:t>
      </w:r>
      <w:proofErr w:type="spellEnd"/>
      <w:r w:rsidRPr="00D17197">
        <w:rPr>
          <w:rFonts w:ascii="Times New Roman" w:hAnsi="Times New Roman" w:cs="Times New Roman"/>
          <w:sz w:val="24"/>
          <w:szCs w:val="24"/>
        </w:rPr>
        <w:t xml:space="preserve"> MR, </w:t>
      </w:r>
      <w:proofErr w:type="spellStart"/>
      <w:r w:rsidRPr="00D17197">
        <w:rPr>
          <w:rFonts w:ascii="Times New Roman" w:hAnsi="Times New Roman" w:cs="Times New Roman"/>
          <w:sz w:val="24"/>
          <w:szCs w:val="24"/>
        </w:rPr>
        <w:t>Wiltse</w:t>
      </w:r>
      <w:proofErr w:type="spellEnd"/>
      <w:r w:rsidRPr="00D17197">
        <w:rPr>
          <w:rFonts w:ascii="Times New Roman" w:hAnsi="Times New Roman" w:cs="Times New Roman"/>
          <w:sz w:val="24"/>
          <w:szCs w:val="24"/>
        </w:rPr>
        <w:t xml:space="preserve"> LL, </w:t>
      </w:r>
      <w:proofErr w:type="spellStart"/>
      <w:r w:rsidRPr="00D17197">
        <w:rPr>
          <w:rFonts w:ascii="Times New Roman" w:hAnsi="Times New Roman" w:cs="Times New Roman"/>
          <w:sz w:val="24"/>
          <w:szCs w:val="24"/>
        </w:rPr>
        <w:t>Doornik</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Widell</w:t>
      </w:r>
      <w:proofErr w:type="spellEnd"/>
      <w:r w:rsidRPr="00D17197">
        <w:rPr>
          <w:rFonts w:ascii="Times New Roman" w:hAnsi="Times New Roman" w:cs="Times New Roman"/>
          <w:sz w:val="24"/>
          <w:szCs w:val="24"/>
        </w:rPr>
        <w:t xml:space="preserve"> EH, Knight GW, Patwardhan AG, et al. Analysis of the morphometric characteristics of the thoracic and lumbar pedicles. Spine (Phila Pa 1976). 1987;12(2):160–6.</w:t>
      </w:r>
    </w:p>
    <w:p w14:paraId="4EDE1C6D" w14:textId="6DBEA42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Hwang YH, Ha BJ, Kim HC, Lee BH, Park JY, Chin DK, et al. A Propensity Score-Matched Cohort Study Comparing 3 Different Spine Pedicle Screw Fixation Methods: Freehand, Fluoroscopy-Guided, and Robot-Assisted Techniques. </w:t>
      </w:r>
      <w:proofErr w:type="spellStart"/>
      <w:r w:rsidRPr="00D17197">
        <w:rPr>
          <w:rFonts w:ascii="Times New Roman" w:hAnsi="Times New Roman" w:cs="Times New Roman"/>
          <w:sz w:val="24"/>
          <w:szCs w:val="24"/>
        </w:rPr>
        <w:t>Neurospine</w:t>
      </w:r>
      <w:proofErr w:type="spellEnd"/>
      <w:r w:rsidRPr="00D17197">
        <w:rPr>
          <w:rFonts w:ascii="Times New Roman" w:hAnsi="Times New Roman" w:cs="Times New Roman"/>
          <w:sz w:val="24"/>
          <w:szCs w:val="24"/>
        </w:rPr>
        <w:t>. 2024;21(1):83–94.</w:t>
      </w:r>
    </w:p>
    <w:p w14:paraId="39F56CD2" w14:textId="205D710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Guerin P, El </w:t>
      </w:r>
      <w:proofErr w:type="spellStart"/>
      <w:r w:rsidRPr="00D17197">
        <w:rPr>
          <w:rFonts w:ascii="Times New Roman" w:hAnsi="Times New Roman" w:cs="Times New Roman"/>
          <w:sz w:val="24"/>
          <w:szCs w:val="24"/>
        </w:rPr>
        <w:t>Fegoun</w:t>
      </w:r>
      <w:proofErr w:type="spellEnd"/>
      <w:r w:rsidRPr="00D17197">
        <w:rPr>
          <w:rFonts w:ascii="Times New Roman" w:hAnsi="Times New Roman" w:cs="Times New Roman"/>
          <w:sz w:val="24"/>
          <w:szCs w:val="24"/>
        </w:rPr>
        <w:t xml:space="preserve"> AB, Obeid I, </w:t>
      </w:r>
      <w:proofErr w:type="spellStart"/>
      <w:r w:rsidRPr="00D17197">
        <w:rPr>
          <w:rFonts w:ascii="Times New Roman" w:hAnsi="Times New Roman" w:cs="Times New Roman"/>
          <w:sz w:val="24"/>
          <w:szCs w:val="24"/>
        </w:rPr>
        <w:t>Gille</w:t>
      </w:r>
      <w:proofErr w:type="spellEnd"/>
      <w:r w:rsidRPr="00D17197">
        <w:rPr>
          <w:rFonts w:ascii="Times New Roman" w:hAnsi="Times New Roman" w:cs="Times New Roman"/>
          <w:sz w:val="24"/>
          <w:szCs w:val="24"/>
        </w:rPr>
        <w:t xml:space="preserve"> O, </w:t>
      </w:r>
      <w:proofErr w:type="spellStart"/>
      <w:r w:rsidRPr="00D17197">
        <w:rPr>
          <w:rFonts w:ascii="Times New Roman" w:hAnsi="Times New Roman" w:cs="Times New Roman"/>
          <w:sz w:val="24"/>
          <w:szCs w:val="24"/>
        </w:rPr>
        <w:t>Lelong</w:t>
      </w:r>
      <w:proofErr w:type="spellEnd"/>
      <w:r w:rsidRPr="00D17197">
        <w:rPr>
          <w:rFonts w:ascii="Times New Roman" w:hAnsi="Times New Roman" w:cs="Times New Roman"/>
          <w:sz w:val="24"/>
          <w:szCs w:val="24"/>
        </w:rPr>
        <w:t xml:space="preserve"> L, Luc S, et al. Incidental durotomy during spine surgery: incidence, surgical management and outcome. </w:t>
      </w:r>
      <w:proofErr w:type="spellStart"/>
      <w:r w:rsidRPr="00D17197">
        <w:rPr>
          <w:rFonts w:ascii="Times New Roman" w:hAnsi="Times New Roman" w:cs="Times New Roman"/>
          <w:sz w:val="24"/>
          <w:szCs w:val="24"/>
        </w:rPr>
        <w:t>Orthop</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Traumatol</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Res. 2012;98(6 </w:t>
      </w:r>
      <w:proofErr w:type="spellStart"/>
      <w:r w:rsidRPr="00D17197">
        <w:rPr>
          <w:rFonts w:ascii="Times New Roman" w:hAnsi="Times New Roman" w:cs="Times New Roman"/>
          <w:sz w:val="24"/>
          <w:szCs w:val="24"/>
        </w:rPr>
        <w:t>Suppl</w:t>
      </w:r>
      <w:proofErr w:type="spellEnd"/>
      <w:proofErr w:type="gramStart"/>
      <w:r w:rsidRPr="00D17197">
        <w:rPr>
          <w:rFonts w:ascii="Times New Roman" w:hAnsi="Times New Roman" w:cs="Times New Roman"/>
          <w:sz w:val="24"/>
          <w:szCs w:val="24"/>
        </w:rPr>
        <w:t>):S</w:t>
      </w:r>
      <w:proofErr w:type="gramEnd"/>
      <w:r w:rsidRPr="00D17197">
        <w:rPr>
          <w:rFonts w:ascii="Times New Roman" w:hAnsi="Times New Roman" w:cs="Times New Roman"/>
          <w:sz w:val="24"/>
          <w:szCs w:val="24"/>
        </w:rPr>
        <w:t>129–34.</w:t>
      </w:r>
    </w:p>
    <w:p w14:paraId="175C8B5C" w14:textId="74B8DD9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Puvanesarajah</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Hassanzadeh</w:t>
      </w:r>
      <w:proofErr w:type="spellEnd"/>
      <w:r w:rsidRPr="00D17197">
        <w:rPr>
          <w:rFonts w:ascii="Times New Roman" w:hAnsi="Times New Roman" w:cs="Times New Roman"/>
          <w:sz w:val="24"/>
          <w:szCs w:val="24"/>
        </w:rPr>
        <w:t xml:space="preserve"> H. The True Cost of a Dural Tear: Medical and Economic Ramifications. Clin Spine Surg. 2017;30(10):445–7.</w:t>
      </w:r>
    </w:p>
    <w:p w14:paraId="545AFE72" w14:textId="7065611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Impact of pedicle screw accuracy on clinical outcomes after 1- or 2-level minimally invasive transforaminal lumbar interbody fusion.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2025 Jan 17:1–9.</w:t>
      </w:r>
    </w:p>
    <w:p w14:paraId="41E033D4" w14:textId="2EFA53E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Celestin J, Edwards RR, Jamison RN. </w:t>
      </w:r>
      <w:proofErr w:type="spellStart"/>
      <w:r w:rsidRPr="00D17197">
        <w:rPr>
          <w:rFonts w:ascii="Times New Roman" w:hAnsi="Times New Roman" w:cs="Times New Roman"/>
          <w:sz w:val="24"/>
          <w:szCs w:val="24"/>
        </w:rPr>
        <w:t>Pretreatment</w:t>
      </w:r>
      <w:proofErr w:type="spellEnd"/>
      <w:r w:rsidRPr="00D17197">
        <w:rPr>
          <w:rFonts w:ascii="Times New Roman" w:hAnsi="Times New Roman" w:cs="Times New Roman"/>
          <w:sz w:val="24"/>
          <w:szCs w:val="24"/>
        </w:rPr>
        <w:t xml:space="preserve"> psychosocial variables as predictors of outcomes following lumbar surgery and spinal cord stimulation: a systematic review and meta-analysis. Pain Med. 2009;10(4):639–53.</w:t>
      </w:r>
    </w:p>
    <w:p w14:paraId="7B121A04" w14:textId="6DFC73E3" w:rsidR="00555010" w:rsidRPr="00555010" w:rsidRDefault="00555010" w:rsidP="00555010">
      <w:pPr>
        <w:spacing w:after="0" w:line="360" w:lineRule="auto"/>
        <w:jc w:val="both"/>
        <w:rPr>
          <w:rFonts w:ascii="Times New Roman" w:hAnsi="Times New Roman" w:cs="Times New Roman"/>
          <w:sz w:val="24"/>
          <w:szCs w:val="24"/>
        </w:rPr>
      </w:pPr>
    </w:p>
    <w:p w14:paraId="007CF3C2" w14:textId="7D5DC2F8"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TABLES</w:t>
      </w:r>
    </w:p>
    <w:p w14:paraId="54A006F5" w14:textId="77777777" w:rsidR="00555010" w:rsidRPr="00555010" w:rsidRDefault="00555010" w:rsidP="00555010">
      <w:pPr>
        <w:spacing w:after="0" w:line="360" w:lineRule="auto"/>
        <w:jc w:val="both"/>
        <w:rPr>
          <w:rFonts w:ascii="Times New Roman" w:hAnsi="Times New Roman" w:cs="Times New Roman"/>
          <w:sz w:val="24"/>
          <w:szCs w:val="24"/>
        </w:rPr>
      </w:pPr>
    </w:p>
    <w:p w14:paraId="1A37C8A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1. Baseline Demographic and Surgical Characteristics (n=142)</w:t>
      </w:r>
    </w:p>
    <w:tbl>
      <w:tblPr>
        <w:tblStyle w:val="TableGrid"/>
        <w:tblW w:w="0" w:type="auto"/>
        <w:tblLook w:val="04A0" w:firstRow="1" w:lastRow="0" w:firstColumn="1" w:lastColumn="0" w:noHBand="0" w:noVBand="1"/>
      </w:tblPr>
      <w:tblGrid>
        <w:gridCol w:w="4675"/>
        <w:gridCol w:w="4675"/>
      </w:tblGrid>
      <w:tr w:rsidR="008B2423" w:rsidRPr="008B2423" w14:paraId="41D2A831" w14:textId="77777777" w:rsidTr="008B2423">
        <w:tc>
          <w:tcPr>
            <w:tcW w:w="4675" w:type="dxa"/>
          </w:tcPr>
          <w:p w14:paraId="7FE76CB4" w14:textId="77777777" w:rsidR="008B2423" w:rsidRPr="008B2423" w:rsidRDefault="008B2423" w:rsidP="00017EC1">
            <w:pPr>
              <w:spacing w:after="0" w:line="360" w:lineRule="auto"/>
              <w:jc w:val="both"/>
              <w:rPr>
                <w:rFonts w:ascii="Times New Roman" w:hAnsi="Times New Roman" w:cs="Times New Roman"/>
                <w:sz w:val="24"/>
                <w:szCs w:val="24"/>
              </w:rPr>
            </w:pPr>
          </w:p>
        </w:tc>
        <w:tc>
          <w:tcPr>
            <w:tcW w:w="4675" w:type="dxa"/>
          </w:tcPr>
          <w:p w14:paraId="6C422D59" w14:textId="77777777" w:rsidR="008B2423" w:rsidRPr="008B2423" w:rsidRDefault="008B2423" w:rsidP="00017EC1">
            <w:pPr>
              <w:spacing w:after="0" w:line="360" w:lineRule="auto"/>
              <w:jc w:val="both"/>
              <w:rPr>
                <w:rFonts w:ascii="Times New Roman" w:hAnsi="Times New Roman" w:cs="Times New Roman"/>
                <w:sz w:val="24"/>
                <w:szCs w:val="24"/>
              </w:rPr>
            </w:pPr>
          </w:p>
        </w:tc>
      </w:tr>
      <w:tr w:rsidR="008B2423" w:rsidRPr="008B2423" w14:paraId="7D68674B" w14:textId="77777777" w:rsidTr="008B2423">
        <w:tc>
          <w:tcPr>
            <w:tcW w:w="4675" w:type="dxa"/>
          </w:tcPr>
          <w:p w14:paraId="498B3931"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Characteristic</w:t>
            </w:r>
          </w:p>
        </w:tc>
        <w:tc>
          <w:tcPr>
            <w:tcW w:w="4675" w:type="dxa"/>
          </w:tcPr>
          <w:p w14:paraId="7D1DDB06"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Value</w:t>
            </w:r>
          </w:p>
        </w:tc>
      </w:tr>
      <w:tr w:rsidR="00A34B70" w:rsidRPr="008B2423" w14:paraId="3EF07A28" w14:textId="77777777" w:rsidTr="003746BC">
        <w:trPr>
          <w:trHeight w:val="2534"/>
        </w:trPr>
        <w:tc>
          <w:tcPr>
            <w:tcW w:w="4675" w:type="dxa"/>
          </w:tcPr>
          <w:p w14:paraId="4E7ACB7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Demographics</w:t>
            </w:r>
          </w:p>
          <w:p w14:paraId="57DC208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Age (years) mean ± SD</w:t>
            </w:r>
          </w:p>
          <w:p w14:paraId="32D86010"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Female sex n (%)</w:t>
            </w:r>
          </w:p>
          <w:p w14:paraId="31EA26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BMI (kg/m²)</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p w14:paraId="7EC7301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Smoking</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n (%)</w:t>
            </w:r>
          </w:p>
          <w:p w14:paraId="294F9AAA" w14:textId="3A8CAE7C"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ASA class III/IV</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n (%)</w:t>
            </w:r>
          </w:p>
        </w:tc>
        <w:tc>
          <w:tcPr>
            <w:tcW w:w="4675" w:type="dxa"/>
          </w:tcPr>
          <w:p w14:paraId="01FCD1A8" w14:textId="77777777" w:rsidR="00A34B70" w:rsidRDefault="00A34B70" w:rsidP="00017EC1">
            <w:pPr>
              <w:spacing w:after="0" w:line="360" w:lineRule="auto"/>
              <w:jc w:val="both"/>
              <w:rPr>
                <w:rFonts w:ascii="Times New Roman" w:hAnsi="Times New Roman" w:cs="Times New Roman"/>
                <w:sz w:val="24"/>
                <w:szCs w:val="24"/>
              </w:rPr>
            </w:pPr>
          </w:p>
          <w:p w14:paraId="766C5F91" w14:textId="5C63F6B8"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52.6 ± 13.5</w:t>
            </w:r>
          </w:p>
          <w:p w14:paraId="369B434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78 (54.9)</w:t>
            </w:r>
          </w:p>
          <w:p w14:paraId="7D70A9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26.8 ± 4.3</w:t>
            </w:r>
          </w:p>
          <w:p w14:paraId="6616E78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24 (16.9)</w:t>
            </w:r>
          </w:p>
          <w:p w14:paraId="6DED2D51" w14:textId="17BD31A3"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38 (26.8)</w:t>
            </w:r>
          </w:p>
        </w:tc>
      </w:tr>
      <w:tr w:rsidR="00A34B70" w:rsidRPr="008B2423" w14:paraId="28A642A2" w14:textId="77777777" w:rsidTr="00A557C5">
        <w:trPr>
          <w:trHeight w:val="2958"/>
        </w:trPr>
        <w:tc>
          <w:tcPr>
            <w:tcW w:w="4675" w:type="dxa"/>
          </w:tcPr>
          <w:p w14:paraId="3A048521"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Surgical indications n (%)</w:t>
            </w:r>
          </w:p>
          <w:p w14:paraId="5A7423B8"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Trauma</w:t>
            </w:r>
            <w:r w:rsidRPr="008B2423">
              <w:rPr>
                <w:rFonts w:ascii="Times New Roman" w:hAnsi="Times New Roman" w:cs="Times New Roman"/>
                <w:sz w:val="24"/>
                <w:szCs w:val="24"/>
              </w:rPr>
              <w:t xml:space="preserve"> </w:t>
            </w:r>
          </w:p>
          <w:p w14:paraId="348B36CA"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Degenerative disease</w:t>
            </w:r>
          </w:p>
          <w:p w14:paraId="5BC1C14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Scoliosis</w:t>
            </w:r>
          </w:p>
          <w:p w14:paraId="33203E65" w14:textId="77777777" w:rsidR="00A34B70" w:rsidRPr="008B2423" w:rsidRDefault="00A34B70" w:rsidP="00017EC1">
            <w:pPr>
              <w:spacing w:after="0" w:line="360" w:lineRule="auto"/>
              <w:jc w:val="both"/>
              <w:rPr>
                <w:rFonts w:ascii="Times New Roman" w:hAnsi="Times New Roman" w:cs="Times New Roman"/>
                <w:sz w:val="24"/>
                <w:szCs w:val="24"/>
              </w:rPr>
            </w:pPr>
            <w:proofErr w:type="spellStart"/>
            <w:r w:rsidRPr="008B2423">
              <w:rPr>
                <w:rFonts w:ascii="Times New Roman" w:hAnsi="Times New Roman" w:cs="Times New Roman"/>
                <w:sz w:val="24"/>
                <w:szCs w:val="24"/>
              </w:rPr>
              <w:t>Tumor</w:t>
            </w:r>
            <w:proofErr w:type="spellEnd"/>
          </w:p>
          <w:p w14:paraId="770689B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Infection</w:t>
            </w:r>
          </w:p>
          <w:p w14:paraId="301AAC9E" w14:textId="50DE60AA"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Revision</w:t>
            </w:r>
          </w:p>
        </w:tc>
        <w:tc>
          <w:tcPr>
            <w:tcW w:w="4675" w:type="dxa"/>
          </w:tcPr>
          <w:p w14:paraId="587BF511" w14:textId="77777777" w:rsidR="00A34B70" w:rsidRDefault="00A34B70" w:rsidP="00017EC1">
            <w:pPr>
              <w:spacing w:after="0" w:line="360" w:lineRule="auto"/>
              <w:jc w:val="both"/>
              <w:rPr>
                <w:rFonts w:ascii="Times New Roman" w:hAnsi="Times New Roman" w:cs="Times New Roman"/>
                <w:sz w:val="24"/>
                <w:szCs w:val="24"/>
              </w:rPr>
            </w:pPr>
          </w:p>
          <w:p w14:paraId="3CF51978" w14:textId="132A4A9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88 (62.0)</w:t>
            </w:r>
          </w:p>
          <w:p w14:paraId="21DED38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 (18.3)</w:t>
            </w:r>
          </w:p>
          <w:p w14:paraId="7C64F49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 (2.1)</w:t>
            </w:r>
          </w:p>
          <w:p w14:paraId="480776C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10 (7.0)</w:t>
            </w:r>
          </w:p>
          <w:p w14:paraId="6164A64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 (5.6)</w:t>
            </w:r>
          </w:p>
          <w:p w14:paraId="0A5CE412" w14:textId="6D4CDB6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 (4.9)</w:t>
            </w:r>
          </w:p>
        </w:tc>
      </w:tr>
      <w:tr w:rsidR="00A34B70" w:rsidRPr="008B2423" w14:paraId="73D0E843" w14:textId="77777777" w:rsidTr="00210187">
        <w:trPr>
          <w:trHeight w:val="1686"/>
        </w:trPr>
        <w:tc>
          <w:tcPr>
            <w:tcW w:w="4675" w:type="dxa"/>
          </w:tcPr>
          <w:p w14:paraId="2B0856F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Operative data</w:t>
            </w:r>
          </w:p>
          <w:p w14:paraId="79FE08DD"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Total screws</w:t>
            </w:r>
          </w:p>
          <w:p w14:paraId="21A70823"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Thoracic screws n (%)</w:t>
            </w:r>
          </w:p>
          <w:p w14:paraId="5EF735F4" w14:textId="1FEFF850"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Lumbar screws</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n (%)</w:t>
            </w:r>
          </w:p>
        </w:tc>
        <w:tc>
          <w:tcPr>
            <w:tcW w:w="4675" w:type="dxa"/>
          </w:tcPr>
          <w:p w14:paraId="5B37B2AF" w14:textId="77777777" w:rsidR="00A34B70" w:rsidRDefault="00A34B70" w:rsidP="00017EC1">
            <w:pPr>
              <w:spacing w:after="0" w:line="360" w:lineRule="auto"/>
              <w:jc w:val="both"/>
              <w:rPr>
                <w:rFonts w:ascii="Times New Roman" w:hAnsi="Times New Roman" w:cs="Times New Roman"/>
                <w:sz w:val="24"/>
                <w:szCs w:val="24"/>
              </w:rPr>
            </w:pPr>
          </w:p>
          <w:p w14:paraId="4AB741EC" w14:textId="2E2BA3CD"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754</w:t>
            </w:r>
          </w:p>
          <w:p w14:paraId="7368D80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162 (21.5)</w:t>
            </w:r>
          </w:p>
          <w:p w14:paraId="4CDDCB66" w14:textId="18341721"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592 (78.5)</w:t>
            </w:r>
          </w:p>
        </w:tc>
      </w:tr>
      <w:tr w:rsidR="008B2423" w:rsidRPr="008B2423" w14:paraId="53D3A5CF" w14:textId="77777777" w:rsidTr="008B2423">
        <w:tc>
          <w:tcPr>
            <w:tcW w:w="4675" w:type="dxa"/>
          </w:tcPr>
          <w:p w14:paraId="7A001CF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Screws per patient</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71653C9F"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5.3 ± 1.6</w:t>
            </w:r>
          </w:p>
        </w:tc>
      </w:tr>
      <w:tr w:rsidR="008B2423" w:rsidRPr="008B2423" w14:paraId="2A642D22" w14:textId="77777777" w:rsidTr="008B2423">
        <w:tc>
          <w:tcPr>
            <w:tcW w:w="4675" w:type="dxa"/>
          </w:tcPr>
          <w:p w14:paraId="798CCE63"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Operative time (min)</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29D6A427"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210 ± 62</w:t>
            </w:r>
          </w:p>
        </w:tc>
      </w:tr>
      <w:tr w:rsidR="008B2423" w:rsidRPr="008B2423" w14:paraId="05822653" w14:textId="77777777" w:rsidTr="008B2423">
        <w:tc>
          <w:tcPr>
            <w:tcW w:w="4675" w:type="dxa"/>
          </w:tcPr>
          <w:p w14:paraId="60243755"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Blood loss (mL)</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686BAAB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325 ± 160</w:t>
            </w:r>
          </w:p>
        </w:tc>
      </w:tr>
      <w:tr w:rsidR="008B2423" w:rsidRPr="008B2423" w14:paraId="20A04B50" w14:textId="77777777" w:rsidTr="008B2423">
        <w:tc>
          <w:tcPr>
            <w:tcW w:w="4675" w:type="dxa"/>
          </w:tcPr>
          <w:p w14:paraId="6D04F5D2"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 xml:space="preserve">Hospital </w:t>
            </w:r>
            <w:proofErr w:type="gramStart"/>
            <w:r w:rsidRPr="008B2423">
              <w:rPr>
                <w:rFonts w:ascii="Times New Roman" w:hAnsi="Times New Roman" w:cs="Times New Roman"/>
                <w:sz w:val="24"/>
                <w:szCs w:val="24"/>
              </w:rPr>
              <w:t>stay</w:t>
            </w:r>
            <w:proofErr w:type="gramEnd"/>
            <w:r w:rsidRPr="008B2423">
              <w:rPr>
                <w:rFonts w:ascii="Times New Roman" w:hAnsi="Times New Roman" w:cs="Times New Roman"/>
                <w:sz w:val="24"/>
                <w:szCs w:val="24"/>
              </w:rPr>
              <w:t xml:space="preserve"> (days)</w:t>
            </w:r>
            <w:r w:rsidRPr="008B2423">
              <w:rPr>
                <w:rFonts w:ascii="Times New Roman" w:hAnsi="Times New Roman" w:cs="Times New Roman"/>
                <w:sz w:val="24"/>
                <w:szCs w:val="24"/>
              </w:rPr>
              <w:t xml:space="preserve"> </w:t>
            </w:r>
            <w:r w:rsidRPr="008B2423">
              <w:rPr>
                <w:rFonts w:ascii="Times New Roman" w:hAnsi="Times New Roman" w:cs="Times New Roman"/>
                <w:sz w:val="24"/>
                <w:szCs w:val="24"/>
              </w:rPr>
              <w:t>mean ± SD</w:t>
            </w:r>
          </w:p>
        </w:tc>
        <w:tc>
          <w:tcPr>
            <w:tcW w:w="4675" w:type="dxa"/>
          </w:tcPr>
          <w:p w14:paraId="725777EA"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7.2 ± 4.5</w:t>
            </w:r>
          </w:p>
        </w:tc>
      </w:tr>
    </w:tbl>
    <w:p w14:paraId="16588656" w14:textId="77777777" w:rsidR="00555010" w:rsidRPr="00555010" w:rsidRDefault="00555010" w:rsidP="00555010">
      <w:pPr>
        <w:spacing w:after="0" w:line="360" w:lineRule="auto"/>
        <w:jc w:val="both"/>
        <w:rPr>
          <w:rFonts w:ascii="Times New Roman" w:hAnsi="Times New Roman" w:cs="Times New Roman"/>
          <w:sz w:val="24"/>
          <w:szCs w:val="24"/>
        </w:rPr>
      </w:pPr>
    </w:p>
    <w:p w14:paraId="5D266097" w14:textId="767E7DB1" w:rsidR="00555010" w:rsidRPr="00555010" w:rsidRDefault="00555010" w:rsidP="00555010">
      <w:pPr>
        <w:spacing w:after="0" w:line="360" w:lineRule="auto"/>
        <w:jc w:val="both"/>
        <w:rPr>
          <w:rFonts w:ascii="Times New Roman" w:hAnsi="Times New Roman" w:cs="Times New Roman"/>
          <w:sz w:val="24"/>
          <w:szCs w:val="24"/>
        </w:rPr>
      </w:pPr>
    </w:p>
    <w:p w14:paraId="24546869" w14:textId="77777777" w:rsidR="00555010" w:rsidRPr="00555010" w:rsidRDefault="00555010" w:rsidP="00555010">
      <w:pPr>
        <w:spacing w:after="0" w:line="360" w:lineRule="auto"/>
        <w:jc w:val="both"/>
        <w:rPr>
          <w:rFonts w:ascii="Times New Roman" w:hAnsi="Times New Roman" w:cs="Times New Roman"/>
          <w:sz w:val="24"/>
          <w:szCs w:val="24"/>
        </w:rPr>
      </w:pPr>
    </w:p>
    <w:p w14:paraId="553638AB"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2. Screw Accuracy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‑Robbins)</w:t>
      </w:r>
    </w:p>
    <w:p w14:paraId="1C28DEA0"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D4CF2" w:rsidRPr="004D4CF2" w14:paraId="53A407F4" w14:textId="77777777" w:rsidTr="004D4CF2">
        <w:tc>
          <w:tcPr>
            <w:tcW w:w="2337" w:type="dxa"/>
          </w:tcPr>
          <w:p w14:paraId="008C1C1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Grade Description</w:t>
            </w:r>
          </w:p>
        </w:tc>
        <w:tc>
          <w:tcPr>
            <w:tcW w:w="2337" w:type="dxa"/>
          </w:tcPr>
          <w:p w14:paraId="1A1EE54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Thoracic (n=162)</w:t>
            </w:r>
          </w:p>
        </w:tc>
        <w:tc>
          <w:tcPr>
            <w:tcW w:w="2338" w:type="dxa"/>
          </w:tcPr>
          <w:p w14:paraId="2E4F2B8A"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Lumbar (n=592)</w:t>
            </w:r>
          </w:p>
        </w:tc>
        <w:tc>
          <w:tcPr>
            <w:tcW w:w="2338" w:type="dxa"/>
          </w:tcPr>
          <w:p w14:paraId="2E46227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Total (n=754)</w:t>
            </w:r>
          </w:p>
        </w:tc>
      </w:tr>
      <w:tr w:rsidR="004D4CF2" w:rsidRPr="004D4CF2" w14:paraId="06F2E553" w14:textId="77777777" w:rsidTr="004D4CF2">
        <w:tc>
          <w:tcPr>
            <w:tcW w:w="2337" w:type="dxa"/>
          </w:tcPr>
          <w:p w14:paraId="56D1F4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 No breach</w:t>
            </w:r>
          </w:p>
        </w:tc>
        <w:tc>
          <w:tcPr>
            <w:tcW w:w="2337" w:type="dxa"/>
          </w:tcPr>
          <w:p w14:paraId="4FB0923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116 (71.6%)</w:t>
            </w:r>
          </w:p>
        </w:tc>
        <w:tc>
          <w:tcPr>
            <w:tcW w:w="2338" w:type="dxa"/>
          </w:tcPr>
          <w:p w14:paraId="43E6D91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449 (75.8%)</w:t>
            </w:r>
          </w:p>
        </w:tc>
        <w:tc>
          <w:tcPr>
            <w:tcW w:w="2338" w:type="dxa"/>
          </w:tcPr>
          <w:p w14:paraId="0A234AA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565 (74.9%)</w:t>
            </w:r>
          </w:p>
        </w:tc>
      </w:tr>
      <w:tr w:rsidR="004D4CF2" w:rsidRPr="004D4CF2" w14:paraId="2B06FB8B" w14:textId="77777777" w:rsidTr="004D4CF2">
        <w:tc>
          <w:tcPr>
            <w:tcW w:w="2337" w:type="dxa"/>
          </w:tcPr>
          <w:p w14:paraId="2F5444A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B &lt;2 mm breach</w:t>
            </w:r>
          </w:p>
        </w:tc>
        <w:tc>
          <w:tcPr>
            <w:tcW w:w="2337" w:type="dxa"/>
          </w:tcPr>
          <w:p w14:paraId="4EDB31B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24 (14.8%)</w:t>
            </w:r>
          </w:p>
        </w:tc>
        <w:tc>
          <w:tcPr>
            <w:tcW w:w="2338" w:type="dxa"/>
          </w:tcPr>
          <w:p w14:paraId="4A0EC19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75 (12.7%)</w:t>
            </w:r>
          </w:p>
        </w:tc>
        <w:tc>
          <w:tcPr>
            <w:tcW w:w="2338" w:type="dxa"/>
          </w:tcPr>
          <w:p w14:paraId="3324EF8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99 (13.2%)</w:t>
            </w:r>
          </w:p>
        </w:tc>
      </w:tr>
      <w:tr w:rsidR="004D4CF2" w:rsidRPr="004D4CF2" w14:paraId="7B551E06" w14:textId="77777777" w:rsidTr="004D4CF2">
        <w:tc>
          <w:tcPr>
            <w:tcW w:w="2337" w:type="dxa"/>
          </w:tcPr>
          <w:p w14:paraId="45ECDEF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A+B (Accurate)</w:t>
            </w:r>
          </w:p>
        </w:tc>
        <w:tc>
          <w:tcPr>
            <w:tcW w:w="2337" w:type="dxa"/>
          </w:tcPr>
          <w:p w14:paraId="2B333B1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140 (86.4%)</w:t>
            </w:r>
          </w:p>
        </w:tc>
        <w:tc>
          <w:tcPr>
            <w:tcW w:w="2338" w:type="dxa"/>
          </w:tcPr>
          <w:p w14:paraId="676DECF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524 (88.5%)</w:t>
            </w:r>
          </w:p>
        </w:tc>
        <w:tc>
          <w:tcPr>
            <w:tcW w:w="2338" w:type="dxa"/>
          </w:tcPr>
          <w:p w14:paraId="7F29A2B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664 (88.1%)</w:t>
            </w:r>
          </w:p>
        </w:tc>
      </w:tr>
      <w:tr w:rsidR="004D4CF2" w:rsidRPr="004D4CF2" w14:paraId="3E3431B3" w14:textId="77777777" w:rsidTr="004D4CF2">
        <w:tc>
          <w:tcPr>
            <w:tcW w:w="2337" w:type="dxa"/>
          </w:tcPr>
          <w:p w14:paraId="0B6DC5A4"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 2–4 mm breach</w:t>
            </w:r>
          </w:p>
        </w:tc>
        <w:tc>
          <w:tcPr>
            <w:tcW w:w="2337" w:type="dxa"/>
          </w:tcPr>
          <w:p w14:paraId="0D43E8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15 (9.3%)</w:t>
            </w:r>
          </w:p>
        </w:tc>
        <w:tc>
          <w:tcPr>
            <w:tcW w:w="2338" w:type="dxa"/>
          </w:tcPr>
          <w:p w14:paraId="014E058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41 (6.9%)</w:t>
            </w:r>
          </w:p>
        </w:tc>
        <w:tc>
          <w:tcPr>
            <w:tcW w:w="2338" w:type="dxa"/>
          </w:tcPr>
          <w:p w14:paraId="2937012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 (7.4%)</w:t>
            </w:r>
          </w:p>
        </w:tc>
      </w:tr>
      <w:tr w:rsidR="004D4CF2" w:rsidRPr="004D4CF2" w14:paraId="0FF99EC9" w14:textId="77777777" w:rsidTr="004D4CF2">
        <w:tc>
          <w:tcPr>
            <w:tcW w:w="2337" w:type="dxa"/>
          </w:tcPr>
          <w:p w14:paraId="7363810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 4–6 mm breach</w:t>
            </w:r>
          </w:p>
        </w:tc>
        <w:tc>
          <w:tcPr>
            <w:tcW w:w="2337" w:type="dxa"/>
          </w:tcPr>
          <w:p w14:paraId="4B598F0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 (4.3%)</w:t>
            </w:r>
          </w:p>
        </w:tc>
        <w:tc>
          <w:tcPr>
            <w:tcW w:w="2338" w:type="dxa"/>
          </w:tcPr>
          <w:p w14:paraId="45D012A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 (2.4%)</w:t>
            </w:r>
          </w:p>
        </w:tc>
        <w:tc>
          <w:tcPr>
            <w:tcW w:w="2338" w:type="dxa"/>
          </w:tcPr>
          <w:p w14:paraId="5A692D3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21 (2.8%)</w:t>
            </w:r>
          </w:p>
        </w:tc>
      </w:tr>
      <w:tr w:rsidR="004D4CF2" w:rsidRPr="004D4CF2" w14:paraId="420A4A6A" w14:textId="77777777" w:rsidTr="004D4CF2">
        <w:tc>
          <w:tcPr>
            <w:tcW w:w="2337" w:type="dxa"/>
          </w:tcPr>
          <w:p w14:paraId="764D30C6"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E 6 mm breach</w:t>
            </w:r>
          </w:p>
        </w:tc>
        <w:tc>
          <w:tcPr>
            <w:tcW w:w="2337" w:type="dxa"/>
          </w:tcPr>
          <w:p w14:paraId="0A551F2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 (2.5%)</w:t>
            </w:r>
          </w:p>
        </w:tc>
        <w:tc>
          <w:tcPr>
            <w:tcW w:w="2338" w:type="dxa"/>
          </w:tcPr>
          <w:p w14:paraId="7E9810E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 (1.5%)</w:t>
            </w:r>
          </w:p>
        </w:tc>
        <w:tc>
          <w:tcPr>
            <w:tcW w:w="2338" w:type="dxa"/>
          </w:tcPr>
          <w:p w14:paraId="2ACE291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13 (1.7%)</w:t>
            </w:r>
          </w:p>
        </w:tc>
      </w:tr>
      <w:tr w:rsidR="004D4CF2" w:rsidRPr="004D4CF2" w14:paraId="4D804075" w14:textId="77777777" w:rsidTr="004D4CF2">
        <w:tc>
          <w:tcPr>
            <w:tcW w:w="2337" w:type="dxa"/>
          </w:tcPr>
          <w:p w14:paraId="1FD5AB2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C–E (Malposition)</w:t>
            </w:r>
          </w:p>
        </w:tc>
        <w:tc>
          <w:tcPr>
            <w:tcW w:w="2337" w:type="dxa"/>
          </w:tcPr>
          <w:p w14:paraId="631417E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26 (16.0%)</w:t>
            </w:r>
          </w:p>
        </w:tc>
        <w:tc>
          <w:tcPr>
            <w:tcW w:w="2338" w:type="dxa"/>
          </w:tcPr>
          <w:p w14:paraId="14E5510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64 (10.8%)</w:t>
            </w:r>
          </w:p>
        </w:tc>
        <w:tc>
          <w:tcPr>
            <w:tcW w:w="2338" w:type="dxa"/>
          </w:tcPr>
          <w:p w14:paraId="3C636E0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90 (11.9%)</w:t>
            </w:r>
          </w:p>
        </w:tc>
      </w:tr>
    </w:tbl>
    <w:p w14:paraId="7BEA16A9" w14:textId="734C238E" w:rsidR="00555010" w:rsidRPr="00555010" w:rsidRDefault="00555010" w:rsidP="00555010">
      <w:pPr>
        <w:spacing w:after="0" w:line="360" w:lineRule="auto"/>
        <w:jc w:val="both"/>
        <w:rPr>
          <w:rFonts w:ascii="Times New Roman" w:hAnsi="Times New Roman" w:cs="Times New Roman"/>
          <w:sz w:val="24"/>
          <w:szCs w:val="24"/>
        </w:rPr>
      </w:pPr>
    </w:p>
    <w:p w14:paraId="5E744CBA" w14:textId="77777777" w:rsidR="00555010" w:rsidRPr="00555010" w:rsidRDefault="00555010" w:rsidP="00555010">
      <w:pPr>
        <w:spacing w:after="0" w:line="360" w:lineRule="auto"/>
        <w:jc w:val="both"/>
        <w:rPr>
          <w:rFonts w:ascii="Times New Roman" w:hAnsi="Times New Roman" w:cs="Times New Roman"/>
          <w:sz w:val="24"/>
          <w:szCs w:val="24"/>
        </w:rPr>
      </w:pPr>
    </w:p>
    <w:p w14:paraId="2EB054D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3. Perioperative Complications (90 days)</w:t>
      </w:r>
    </w:p>
    <w:p w14:paraId="3DB26FDA"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D4CF2" w:rsidRPr="004D4CF2" w14:paraId="0BCADECB" w14:textId="77777777" w:rsidTr="004D4CF2">
        <w:tc>
          <w:tcPr>
            <w:tcW w:w="4675" w:type="dxa"/>
          </w:tcPr>
          <w:p w14:paraId="6D515528"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Complication</w:t>
            </w:r>
          </w:p>
        </w:tc>
        <w:tc>
          <w:tcPr>
            <w:tcW w:w="4675" w:type="dxa"/>
          </w:tcPr>
          <w:p w14:paraId="643CCE80"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n % of patients (n=142)</w:t>
            </w:r>
          </w:p>
        </w:tc>
      </w:tr>
      <w:tr w:rsidR="004D4CF2" w:rsidRPr="004D4CF2" w14:paraId="78566C84" w14:textId="77777777" w:rsidTr="004D4CF2">
        <w:tc>
          <w:tcPr>
            <w:tcW w:w="4675" w:type="dxa"/>
          </w:tcPr>
          <w:p w14:paraId="00D1C08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Dural tear</w:t>
            </w:r>
          </w:p>
        </w:tc>
        <w:tc>
          <w:tcPr>
            <w:tcW w:w="4675" w:type="dxa"/>
          </w:tcPr>
          <w:p w14:paraId="09D2D588" w14:textId="126CBBFB"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5 </w:t>
            </w:r>
            <w:r>
              <w:rPr>
                <w:rFonts w:ascii="Times New Roman" w:hAnsi="Times New Roman" w:cs="Times New Roman"/>
                <w:sz w:val="24"/>
                <w:szCs w:val="24"/>
              </w:rPr>
              <w:t>(</w:t>
            </w:r>
            <w:r w:rsidRPr="004D4CF2">
              <w:rPr>
                <w:rFonts w:ascii="Times New Roman" w:hAnsi="Times New Roman" w:cs="Times New Roman"/>
                <w:sz w:val="24"/>
                <w:szCs w:val="24"/>
              </w:rPr>
              <w:t>3.5</w:t>
            </w:r>
            <w:r>
              <w:rPr>
                <w:rFonts w:ascii="Times New Roman" w:hAnsi="Times New Roman" w:cs="Times New Roman"/>
                <w:sz w:val="24"/>
                <w:szCs w:val="24"/>
              </w:rPr>
              <w:t>)</w:t>
            </w:r>
          </w:p>
        </w:tc>
      </w:tr>
      <w:tr w:rsidR="004D4CF2" w:rsidRPr="004D4CF2" w14:paraId="0035BDB2" w14:textId="77777777" w:rsidTr="004D4CF2">
        <w:tc>
          <w:tcPr>
            <w:tcW w:w="4675" w:type="dxa"/>
          </w:tcPr>
          <w:p w14:paraId="268DEC7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Superficial surgical site infection</w:t>
            </w:r>
          </w:p>
        </w:tc>
        <w:tc>
          <w:tcPr>
            <w:tcW w:w="4675" w:type="dxa"/>
          </w:tcPr>
          <w:p w14:paraId="2DB47D40" w14:textId="366A8BB0"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4 </w:t>
            </w:r>
            <w:r>
              <w:rPr>
                <w:rFonts w:ascii="Times New Roman" w:hAnsi="Times New Roman" w:cs="Times New Roman"/>
                <w:sz w:val="24"/>
                <w:szCs w:val="24"/>
              </w:rPr>
              <w:t>(</w:t>
            </w:r>
            <w:r w:rsidRPr="004D4CF2">
              <w:rPr>
                <w:rFonts w:ascii="Times New Roman" w:hAnsi="Times New Roman" w:cs="Times New Roman"/>
                <w:sz w:val="24"/>
                <w:szCs w:val="24"/>
              </w:rPr>
              <w:t>2.8</w:t>
            </w:r>
            <w:r>
              <w:rPr>
                <w:rFonts w:ascii="Times New Roman" w:hAnsi="Times New Roman" w:cs="Times New Roman"/>
                <w:sz w:val="24"/>
                <w:szCs w:val="24"/>
              </w:rPr>
              <w:t>)</w:t>
            </w:r>
          </w:p>
        </w:tc>
      </w:tr>
      <w:tr w:rsidR="004D4CF2" w:rsidRPr="004D4CF2" w14:paraId="5C96C796" w14:textId="77777777" w:rsidTr="004D4CF2">
        <w:tc>
          <w:tcPr>
            <w:tcW w:w="4675" w:type="dxa"/>
          </w:tcPr>
          <w:p w14:paraId="28BB070B"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Screw malposition requiring reoperation</w:t>
            </w:r>
          </w:p>
        </w:tc>
        <w:tc>
          <w:tcPr>
            <w:tcW w:w="4675" w:type="dxa"/>
          </w:tcPr>
          <w:p w14:paraId="2A09FF60" w14:textId="62267BF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3 </w:t>
            </w:r>
            <w:r>
              <w:rPr>
                <w:rFonts w:ascii="Times New Roman" w:hAnsi="Times New Roman" w:cs="Times New Roman"/>
                <w:sz w:val="24"/>
                <w:szCs w:val="24"/>
              </w:rPr>
              <w:t>(</w:t>
            </w:r>
            <w:r w:rsidRPr="004D4CF2">
              <w:rPr>
                <w:rFonts w:ascii="Times New Roman" w:hAnsi="Times New Roman" w:cs="Times New Roman"/>
                <w:sz w:val="24"/>
                <w:szCs w:val="24"/>
              </w:rPr>
              <w:t>2.1</w:t>
            </w:r>
            <w:r>
              <w:rPr>
                <w:rFonts w:ascii="Times New Roman" w:hAnsi="Times New Roman" w:cs="Times New Roman"/>
                <w:sz w:val="24"/>
                <w:szCs w:val="24"/>
              </w:rPr>
              <w:t>)</w:t>
            </w:r>
          </w:p>
        </w:tc>
      </w:tr>
      <w:tr w:rsidR="004D4CF2" w:rsidRPr="004D4CF2" w14:paraId="55BEB0E2" w14:textId="77777777" w:rsidTr="004D4CF2">
        <w:tc>
          <w:tcPr>
            <w:tcW w:w="4675" w:type="dxa"/>
          </w:tcPr>
          <w:p w14:paraId="1F73AACC"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Transient neurological deficit</w:t>
            </w:r>
          </w:p>
        </w:tc>
        <w:tc>
          <w:tcPr>
            <w:tcW w:w="4675" w:type="dxa"/>
          </w:tcPr>
          <w:p w14:paraId="336C1DC4" w14:textId="21024F7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2 </w:t>
            </w:r>
            <w:r>
              <w:rPr>
                <w:rFonts w:ascii="Times New Roman" w:hAnsi="Times New Roman" w:cs="Times New Roman"/>
                <w:sz w:val="24"/>
                <w:szCs w:val="24"/>
              </w:rPr>
              <w:t>(</w:t>
            </w:r>
            <w:r w:rsidRPr="004D4CF2">
              <w:rPr>
                <w:rFonts w:ascii="Times New Roman" w:hAnsi="Times New Roman" w:cs="Times New Roman"/>
                <w:sz w:val="24"/>
                <w:szCs w:val="24"/>
              </w:rPr>
              <w:t>1.4</w:t>
            </w:r>
            <w:r>
              <w:rPr>
                <w:rFonts w:ascii="Times New Roman" w:hAnsi="Times New Roman" w:cs="Times New Roman"/>
                <w:sz w:val="24"/>
                <w:szCs w:val="24"/>
              </w:rPr>
              <w:t>)</w:t>
            </w:r>
          </w:p>
        </w:tc>
      </w:tr>
      <w:tr w:rsidR="004D4CF2" w:rsidRPr="004D4CF2" w14:paraId="0A4CDF63" w14:textId="77777777" w:rsidTr="004D4CF2">
        <w:tc>
          <w:tcPr>
            <w:tcW w:w="4675" w:type="dxa"/>
          </w:tcPr>
          <w:p w14:paraId="0F94AF49"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Deep vein thrombosis</w:t>
            </w:r>
          </w:p>
        </w:tc>
        <w:tc>
          <w:tcPr>
            <w:tcW w:w="4675" w:type="dxa"/>
          </w:tcPr>
          <w:p w14:paraId="56154D8C" w14:textId="33B4293C"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 </w:t>
            </w:r>
            <w:r>
              <w:rPr>
                <w:rFonts w:ascii="Times New Roman" w:hAnsi="Times New Roman" w:cs="Times New Roman"/>
                <w:sz w:val="24"/>
                <w:szCs w:val="24"/>
              </w:rPr>
              <w:t>(</w:t>
            </w:r>
            <w:r w:rsidRPr="004D4CF2">
              <w:rPr>
                <w:rFonts w:ascii="Times New Roman" w:hAnsi="Times New Roman" w:cs="Times New Roman"/>
                <w:sz w:val="24"/>
                <w:szCs w:val="24"/>
              </w:rPr>
              <w:t>0.7</w:t>
            </w:r>
            <w:r>
              <w:rPr>
                <w:rFonts w:ascii="Times New Roman" w:hAnsi="Times New Roman" w:cs="Times New Roman"/>
                <w:sz w:val="24"/>
                <w:szCs w:val="24"/>
              </w:rPr>
              <w:t>)</w:t>
            </w:r>
          </w:p>
        </w:tc>
      </w:tr>
      <w:tr w:rsidR="004D4CF2" w:rsidRPr="004D4CF2" w14:paraId="034407F4" w14:textId="77777777" w:rsidTr="004D4CF2">
        <w:tc>
          <w:tcPr>
            <w:tcW w:w="4675" w:type="dxa"/>
          </w:tcPr>
          <w:p w14:paraId="42227F2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Any complication</w:t>
            </w:r>
          </w:p>
        </w:tc>
        <w:tc>
          <w:tcPr>
            <w:tcW w:w="4675" w:type="dxa"/>
          </w:tcPr>
          <w:p w14:paraId="4075D39D" w14:textId="62CB7E78"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16 </w:t>
            </w:r>
            <w:r>
              <w:rPr>
                <w:rFonts w:ascii="Times New Roman" w:hAnsi="Times New Roman" w:cs="Times New Roman"/>
                <w:sz w:val="24"/>
                <w:szCs w:val="24"/>
              </w:rPr>
              <w:t>(</w:t>
            </w:r>
            <w:r w:rsidRPr="004D4CF2">
              <w:rPr>
                <w:rFonts w:ascii="Times New Roman" w:hAnsi="Times New Roman" w:cs="Times New Roman"/>
                <w:sz w:val="24"/>
                <w:szCs w:val="24"/>
              </w:rPr>
              <w:t>11.3</w:t>
            </w:r>
            <w:r>
              <w:rPr>
                <w:rFonts w:ascii="Times New Roman" w:hAnsi="Times New Roman" w:cs="Times New Roman"/>
                <w:sz w:val="24"/>
                <w:szCs w:val="24"/>
              </w:rPr>
              <w:t>)</w:t>
            </w:r>
          </w:p>
        </w:tc>
      </w:tr>
      <w:tr w:rsidR="004D4CF2" w:rsidRPr="004D4CF2" w14:paraId="0D94CA2F" w14:textId="77777777" w:rsidTr="004D4CF2">
        <w:tc>
          <w:tcPr>
            <w:tcW w:w="4675" w:type="dxa"/>
          </w:tcPr>
          <w:p w14:paraId="63F1CDEA"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Permanent neurological deficit</w:t>
            </w:r>
          </w:p>
        </w:tc>
        <w:tc>
          <w:tcPr>
            <w:tcW w:w="4675" w:type="dxa"/>
          </w:tcPr>
          <w:p w14:paraId="4E7585A4" w14:textId="5C9D563F"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4AD6BB86" w14:textId="77777777" w:rsidTr="004D4CF2">
        <w:tc>
          <w:tcPr>
            <w:tcW w:w="4675" w:type="dxa"/>
          </w:tcPr>
          <w:p w14:paraId="201D2C3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Vertebral artery/aortic injury</w:t>
            </w:r>
          </w:p>
        </w:tc>
        <w:tc>
          <w:tcPr>
            <w:tcW w:w="4675" w:type="dxa"/>
          </w:tcPr>
          <w:p w14:paraId="1A36FEB9" w14:textId="4FFB62E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076168F3" w14:textId="77777777" w:rsidTr="004D4CF2">
        <w:tc>
          <w:tcPr>
            <w:tcW w:w="4675" w:type="dxa"/>
          </w:tcPr>
          <w:p w14:paraId="2AE4E5FD"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Deep surgical site infection</w:t>
            </w:r>
          </w:p>
        </w:tc>
        <w:tc>
          <w:tcPr>
            <w:tcW w:w="4675" w:type="dxa"/>
          </w:tcPr>
          <w:p w14:paraId="2A57DA60" w14:textId="2A8CCC65"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bl>
    <w:p w14:paraId="3EBEAC49" w14:textId="77777777" w:rsidR="00555010" w:rsidRPr="00555010" w:rsidRDefault="00555010" w:rsidP="00555010">
      <w:pPr>
        <w:spacing w:after="0" w:line="360" w:lineRule="auto"/>
        <w:jc w:val="both"/>
        <w:rPr>
          <w:rFonts w:ascii="Times New Roman" w:hAnsi="Times New Roman" w:cs="Times New Roman"/>
          <w:sz w:val="24"/>
          <w:szCs w:val="24"/>
        </w:rPr>
      </w:pPr>
    </w:p>
    <w:p w14:paraId="33E437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w:t>
      </w:r>
    </w:p>
    <w:p w14:paraId="554421EC" w14:textId="77777777" w:rsidR="00555010" w:rsidRPr="00555010" w:rsidRDefault="00555010" w:rsidP="00555010">
      <w:pPr>
        <w:spacing w:after="0" w:line="360" w:lineRule="auto"/>
        <w:jc w:val="both"/>
        <w:rPr>
          <w:rFonts w:ascii="Times New Roman" w:hAnsi="Times New Roman" w:cs="Times New Roman"/>
          <w:sz w:val="24"/>
          <w:szCs w:val="24"/>
        </w:rPr>
      </w:pPr>
    </w:p>
    <w:p w14:paraId="31D64C1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4. Clinical Outcomes at Final Follow‑up</w:t>
      </w:r>
    </w:p>
    <w:p w14:paraId="05325478"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F485A" w:rsidRPr="00DF485A" w14:paraId="672EF8A0" w14:textId="77777777" w:rsidTr="00DF485A">
        <w:tc>
          <w:tcPr>
            <w:tcW w:w="2337" w:type="dxa"/>
          </w:tcPr>
          <w:p w14:paraId="01D8BE1D"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lastRenderedPageBreak/>
              <w:t>Outcome</w:t>
            </w:r>
          </w:p>
        </w:tc>
        <w:tc>
          <w:tcPr>
            <w:tcW w:w="2337" w:type="dxa"/>
          </w:tcPr>
          <w:p w14:paraId="73021ED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Preoperative</w:t>
            </w:r>
          </w:p>
        </w:tc>
        <w:tc>
          <w:tcPr>
            <w:tcW w:w="2338" w:type="dxa"/>
          </w:tcPr>
          <w:p w14:paraId="336558A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Final follow‑up</w:t>
            </w:r>
          </w:p>
        </w:tc>
        <w:tc>
          <w:tcPr>
            <w:tcW w:w="2338" w:type="dxa"/>
          </w:tcPr>
          <w:p w14:paraId="5206BA8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 value</w:t>
            </w:r>
          </w:p>
        </w:tc>
      </w:tr>
      <w:tr w:rsidR="00DF485A" w:rsidRPr="00DF485A" w14:paraId="01858F50" w14:textId="77777777" w:rsidTr="00DF485A">
        <w:tc>
          <w:tcPr>
            <w:tcW w:w="2337" w:type="dxa"/>
          </w:tcPr>
          <w:p w14:paraId="100510A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VAS back pain (0–10)</w:t>
            </w:r>
          </w:p>
        </w:tc>
        <w:tc>
          <w:tcPr>
            <w:tcW w:w="2337" w:type="dxa"/>
          </w:tcPr>
          <w:p w14:paraId="2D5DB50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7.5 ± 1.6</w:t>
            </w:r>
          </w:p>
        </w:tc>
        <w:tc>
          <w:tcPr>
            <w:tcW w:w="2338" w:type="dxa"/>
          </w:tcPr>
          <w:p w14:paraId="7EF6DB3B"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3.3 ± 1.8</w:t>
            </w:r>
          </w:p>
        </w:tc>
        <w:tc>
          <w:tcPr>
            <w:tcW w:w="2338" w:type="dxa"/>
          </w:tcPr>
          <w:p w14:paraId="5F4552C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00A13841" w14:textId="77777777" w:rsidTr="00DF485A">
        <w:tc>
          <w:tcPr>
            <w:tcW w:w="2337" w:type="dxa"/>
          </w:tcPr>
          <w:p w14:paraId="7BD79C9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(0–100)</w:t>
            </w:r>
          </w:p>
        </w:tc>
        <w:tc>
          <w:tcPr>
            <w:tcW w:w="2337" w:type="dxa"/>
          </w:tcPr>
          <w:p w14:paraId="199E62D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55.4 ± 14.9</w:t>
            </w:r>
          </w:p>
        </w:tc>
        <w:tc>
          <w:tcPr>
            <w:tcW w:w="2338" w:type="dxa"/>
          </w:tcPr>
          <w:p w14:paraId="6C426A0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27.6 ± 13.2</w:t>
            </w:r>
          </w:p>
        </w:tc>
        <w:tc>
          <w:tcPr>
            <w:tcW w:w="2338" w:type="dxa"/>
          </w:tcPr>
          <w:p w14:paraId="4AE9A664"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7C775902" w14:textId="77777777" w:rsidTr="00DF485A">
        <w:tc>
          <w:tcPr>
            <w:tcW w:w="2337" w:type="dxa"/>
          </w:tcPr>
          <w:p w14:paraId="43F7B4A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MCID achieved</w:t>
            </w:r>
            <w:r w:rsidRPr="00DF485A">
              <w:rPr>
                <w:rFonts w:ascii="Times New Roman" w:hAnsi="Times New Roman" w:cs="Times New Roman"/>
                <w:sz w:val="24"/>
                <w:szCs w:val="24"/>
              </w:rPr>
              <w:t xml:space="preserve"> </w:t>
            </w:r>
            <w:r w:rsidRPr="00DF485A">
              <w:rPr>
                <w:rFonts w:ascii="Times New Roman" w:hAnsi="Times New Roman" w:cs="Times New Roman"/>
                <w:sz w:val="24"/>
                <w:szCs w:val="24"/>
              </w:rPr>
              <w:t>n (%)</w:t>
            </w:r>
          </w:p>
        </w:tc>
        <w:tc>
          <w:tcPr>
            <w:tcW w:w="2337" w:type="dxa"/>
          </w:tcPr>
          <w:p w14:paraId="10D98C5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04E98A40"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117 (82.4)</w:t>
            </w:r>
          </w:p>
        </w:tc>
        <w:tc>
          <w:tcPr>
            <w:tcW w:w="2338" w:type="dxa"/>
          </w:tcPr>
          <w:p w14:paraId="0E6965E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r w:rsidR="00DF485A" w:rsidRPr="00DF485A" w14:paraId="375018C3" w14:textId="77777777" w:rsidTr="00DF485A">
        <w:tc>
          <w:tcPr>
            <w:tcW w:w="2337" w:type="dxa"/>
          </w:tcPr>
          <w:p w14:paraId="099E98D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Fusion at 12 months</w:t>
            </w:r>
            <w:r w:rsidRPr="00DF485A">
              <w:rPr>
                <w:rFonts w:ascii="Times New Roman" w:hAnsi="Times New Roman" w:cs="Times New Roman"/>
                <w:sz w:val="24"/>
                <w:szCs w:val="24"/>
              </w:rPr>
              <w:t xml:space="preserve"> </w:t>
            </w:r>
            <w:r w:rsidRPr="00DF485A">
              <w:rPr>
                <w:rFonts w:ascii="Times New Roman" w:hAnsi="Times New Roman" w:cs="Times New Roman"/>
                <w:sz w:val="24"/>
                <w:szCs w:val="24"/>
              </w:rPr>
              <w:t>n (%)</w:t>
            </w:r>
          </w:p>
        </w:tc>
        <w:tc>
          <w:tcPr>
            <w:tcW w:w="2337" w:type="dxa"/>
          </w:tcPr>
          <w:p w14:paraId="245B28E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583E19B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 xml:space="preserve">129 (90.8) </w:t>
            </w:r>
          </w:p>
        </w:tc>
        <w:tc>
          <w:tcPr>
            <w:tcW w:w="2338" w:type="dxa"/>
          </w:tcPr>
          <w:p w14:paraId="616D407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bl>
    <w:p w14:paraId="6554FE9D" w14:textId="77777777" w:rsidR="00555010" w:rsidRPr="00555010" w:rsidRDefault="00555010" w:rsidP="00555010">
      <w:pPr>
        <w:spacing w:after="0" w:line="360" w:lineRule="auto"/>
        <w:jc w:val="both"/>
        <w:rPr>
          <w:rFonts w:ascii="Times New Roman" w:hAnsi="Times New Roman" w:cs="Times New Roman"/>
          <w:sz w:val="24"/>
          <w:szCs w:val="24"/>
        </w:rPr>
      </w:pPr>
    </w:p>
    <w:p w14:paraId="08B8B85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Data are mean ± SD. VAS: visual </w:t>
      </w:r>
      <w:proofErr w:type="spellStart"/>
      <w:r w:rsidRPr="00555010">
        <w:rPr>
          <w:rFonts w:ascii="Times New Roman" w:hAnsi="Times New Roman" w:cs="Times New Roman"/>
          <w:sz w:val="24"/>
          <w:szCs w:val="24"/>
        </w:rPr>
        <w:t>analog</w:t>
      </w:r>
      <w:proofErr w:type="spellEnd"/>
      <w:r w:rsidRPr="00555010">
        <w:rPr>
          <w:rFonts w:ascii="Times New Roman" w:hAnsi="Times New Roman" w:cs="Times New Roman"/>
          <w:sz w:val="24"/>
          <w:szCs w:val="24"/>
        </w:rPr>
        <w:t xml:space="preserve"> scale; ODI: Oswestry Disability Index; MCID: minimal clinically important difference (≥15‑point reduction).</w:t>
      </w:r>
    </w:p>
    <w:p w14:paraId="28F14D31" w14:textId="77777777" w:rsidR="001B3ACB" w:rsidRPr="00555010" w:rsidRDefault="001B3ACB" w:rsidP="00555010">
      <w:pPr>
        <w:spacing w:line="360" w:lineRule="auto"/>
        <w:jc w:val="both"/>
        <w:rPr>
          <w:rFonts w:ascii="Times New Roman" w:hAnsi="Times New Roman" w:cs="Times New Roman"/>
          <w:sz w:val="24"/>
          <w:szCs w:val="24"/>
        </w:rPr>
      </w:pPr>
    </w:p>
    <w:sectPr w:rsidR="001B3ACB" w:rsidRPr="00555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5F10"/>
    <w:multiLevelType w:val="hybridMultilevel"/>
    <w:tmpl w:val="3112C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F654C"/>
    <w:multiLevelType w:val="hybridMultilevel"/>
    <w:tmpl w:val="E88E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10"/>
    <w:rsid w:val="00032F9B"/>
    <w:rsid w:val="000A61F1"/>
    <w:rsid w:val="000C275E"/>
    <w:rsid w:val="001B3ACB"/>
    <w:rsid w:val="004D4CF2"/>
    <w:rsid w:val="00555010"/>
    <w:rsid w:val="005A18BA"/>
    <w:rsid w:val="008B2423"/>
    <w:rsid w:val="00A34B70"/>
    <w:rsid w:val="00AC0364"/>
    <w:rsid w:val="00D17197"/>
    <w:rsid w:val="00D62613"/>
    <w:rsid w:val="00DF485A"/>
    <w:rsid w:val="00F3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F777D"/>
  <w15:chartTrackingRefBased/>
  <w15:docId w15:val="{0443EF9F-0D2F-F049-9587-9D7E3EA2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1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7"/>
    <w:pPr>
      <w:ind w:left="720"/>
      <w:contextualSpacing/>
    </w:pPr>
  </w:style>
  <w:style w:type="table" w:styleId="TableGrid">
    <w:name w:val="Table Grid"/>
    <w:basedOn w:val="TableNormal"/>
    <w:uiPriority w:val="39"/>
    <w:rsid w:val="008B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2026-03-27T20:43:00Z</dcterms:created>
  <dcterms:modified xsi:type="dcterms:W3CDTF">2026-03-27T21:33:00Z</dcterms:modified>
</cp:coreProperties>
</file>