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3F" w:rsidRDefault="008F5D3F" w:rsidP="0004223A">
      <w:pPr>
        <w:spacing w:after="120" w:line="360" w:lineRule="auto"/>
        <w:jc w:val="center"/>
      </w:pPr>
      <w:r>
        <w:rPr>
          <w:b/>
          <w:bCs/>
          <w:sz w:val="28"/>
          <w:szCs w:val="28"/>
        </w:rPr>
        <w:t>Geopolitical Shocks as Industrial Opportunity:</w:t>
      </w:r>
    </w:p>
    <w:p w:rsidR="008F5D3F" w:rsidRDefault="008F5D3F" w:rsidP="0004223A">
      <w:pPr>
        <w:spacing w:after="240" w:line="360" w:lineRule="auto"/>
        <w:jc w:val="center"/>
        <w:rPr>
          <w:b/>
          <w:bCs/>
          <w:sz w:val="28"/>
          <w:szCs w:val="28"/>
        </w:rPr>
      </w:pPr>
      <w:r>
        <w:rPr>
          <w:b/>
          <w:bCs/>
          <w:sz w:val="28"/>
          <w:szCs w:val="28"/>
        </w:rPr>
        <w:t/>
      </w:r>
    </w:p>
    <w:p w:rsidR="0004223A" w:rsidRPr="0004223A" w:rsidRDefault="0004223A" w:rsidP="0004223A">
      <w:pPr>
        <w:pStyle w:val="NoSpacing"/>
        <w:jc w:val="right"/>
        <w:rPr>
          <w:b/>
          <w:bCs/>
        </w:rPr>
      </w:pPr>
      <w:r w:rsidRPr="0004223A">
        <w:rPr>
          <w:b/>
          <w:bCs/>
        </w:rPr>
        <w:t xml:space="preserve"/>
      </w:r>
      <w:r w:rsidR="00724945">
        <w:rPr>
          <w:b/>
          <w:bCs/>
        </w:rPr>
        <w:t xml:space="preserve"/>
      </w:r>
    </w:p>
    <w:p w:rsidR="0004223A" w:rsidRDefault="0004223A" w:rsidP="0004223A">
      <w:pPr>
        <w:pStyle w:val="NoSpacing"/>
        <w:jc w:val="right"/>
        <w:rPr>
          <w:b/>
          <w:bCs/>
        </w:rPr>
      </w:pPr>
      <w:r w:rsidRPr="0004223A">
        <w:rPr>
          <w:b/>
          <w:bCs/>
        </w:rPr>
        <w:t/>
      </w:r>
    </w:p>
    <w:p w:rsidR="0004223A" w:rsidRPr="0004223A" w:rsidRDefault="0004223A" w:rsidP="0004223A">
      <w:pPr>
        <w:pStyle w:val="NoSpacing"/>
        <w:jc w:val="right"/>
        <w:rPr>
          <w:b/>
          <w:bCs/>
        </w:rPr>
      </w:pPr>
      <w:r w:rsidRPr="0004223A">
        <w:rPr>
          <w:b/>
          <w:bCs/>
        </w:rPr>
        <w:t xml:space="preserve"/>
      </w:r>
    </w:p>
    <w:p w:rsidR="0004223A" w:rsidRPr="0004223A" w:rsidRDefault="0004223A" w:rsidP="0004223A">
      <w:pPr>
        <w:pStyle w:val="NoSpacing"/>
        <w:jc w:val="right"/>
        <w:rPr>
          <w:b/>
          <w:bCs/>
        </w:rPr>
      </w:pPr>
      <w:r w:rsidRPr="0004223A">
        <w:rPr>
          <w:b/>
          <w:bCs/>
        </w:rPr>
        <w:t/>
      </w:r>
    </w:p>
    <w:p w:rsidR="0004223A" w:rsidRPr="0004223A" w:rsidRDefault="0004223A" w:rsidP="0004223A">
      <w:pPr>
        <w:pStyle w:val="NoSpacing"/>
        <w:jc w:val="right"/>
        <w:rPr>
          <w:b/>
          <w:bCs/>
        </w:rPr>
      </w:pPr>
      <w:r w:rsidRPr="0004223A">
        <w:rPr>
          <w:b/>
          <w:bCs/>
        </w:rPr>
        <w:t xml:space="preserve"/>
      </w:r>
      <w:r w:rsidR="006476F0">
        <w:rPr>
          <w:b/>
          <w:bCs/>
        </w:rPr>
        <w:t xml:space="preserve"/>
      </w:r>
      <w:r w:rsidRPr="0004223A">
        <w:rPr>
          <w:b/>
          <w:bCs/>
        </w:rPr>
        <w:t/>
      </w:r>
    </w:p>
    <w:p w:rsidR="008E7C0B" w:rsidRDefault="008F5D3F" w:rsidP="00580154">
      <w:pPr>
        <w:spacing w:after="400" w:line="360" w:lineRule="auto"/>
        <w:jc w:val="both"/>
        <w:rPr>
          <w:b/>
          <w:bCs/>
          <w:sz w:val="26"/>
          <w:szCs w:val="26"/>
        </w:rPr>
      </w:pPr>
      <w:r>
        <w:rPr>
          <w:b/>
          <w:bCs/>
          <w:sz w:val="26"/>
          <w:szCs w:val="26"/>
        </w:rPr>
        <w:t>AB</w:t>
      </w:r>
      <w:r w:rsidR="008E7C0B">
        <w:rPr>
          <w:b/>
          <w:bCs/>
          <w:sz w:val="26"/>
          <w:szCs w:val="26"/>
        </w:rPr>
        <w:t>S</w:t>
      </w:r>
      <w:r>
        <w:rPr>
          <w:b/>
          <w:bCs/>
          <w:sz w:val="26"/>
          <w:szCs w:val="26"/>
        </w:rPr>
        <w:t>TRACT</w:t>
      </w:r>
    </w:p>
    <w:p w:rsidR="00D4610F" w:rsidRPr="008E7C0B" w:rsidRDefault="00C17468" w:rsidP="00580154">
      <w:pPr>
        <w:spacing w:after="400" w:line="360" w:lineRule="auto"/>
        <w:jc w:val="both"/>
        <w:rPr>
          <w:b/>
          <w:bCs/>
          <w:sz w:val="26"/>
          <w:szCs w:val="26"/>
        </w:rPr>
      </w:pPr>
      <w:r w:rsidRPr="00C17468">
        <w:t>In 2018, an escalation in trade tensions between the United States and China and global supply chain disruptions from the COVID-19 pandemic led to new structural pressures on multinational firms and a need for firms to reassess their global production geographies. Given its large working-age population, lower-than-average wage levels, and increased policy reforms taking place in India over the past decade (Dutta and Ghosh, 2021; Lall, 2021), India emerged as a potential beneficiary of the emerging “China + 1” diversification paradigm. This paper will analyze whether India has successfully absorbed this industrial opportunity, through the use of a secondary data-based analytic framework using official data from ASI, CMIE, DGCI&amp;S, and RBI publications as well as other sources. The time frame for this analysis will be from 2018–2024 and will consist of five priority sectors in terms of PLI-related opportunities: electronics, pharmaceuticals, textiles and chemical sectors, and automotive components. For this paper, we will use descriptive trend and comparative sector analysis to benchmark performance against Vietnam and Bangladesh in each of the five sectors. The findings of this research indicate that the pattern of industrial absorption occurred heterogeneously among the five priority sectors included in the analysis; in particular, electronic manufacturing and pharmaceuticals demonstrated strong export growth and capacity while labour-intensive manufacturing sectors faced challenges of structural competitiveness.</w:t>
      </w:r>
      <w:r w:rsidR="00D4610F" w:rsidRPr="00D4610F">
        <w:t>. This paper asserts that India's industrial response to geopolitical challenges has been uneven and often specific to sectors, as shaped by external factors such as existing capacities, structural rigidities within the labour market, and overall design of industrial policy. This paper adds to the body of literature on political economy regarding late industrialisation, geopolitical trade theory, and development states in India.</w:t>
      </w:r>
    </w:p>
    <w:p w:rsidR="00D4610F" w:rsidRDefault="00D4610F" w:rsidP="00580154">
      <w:pPr>
        <w:spacing w:after="160" w:line="360" w:lineRule="auto"/>
        <w:jc w:val="both"/>
        <w:rPr>
          <w:i/>
          <w:iCs/>
        </w:rPr>
      </w:pPr>
      <w:r>
        <w:rPr>
          <w:i/>
          <w:iCs/>
        </w:rPr>
        <w:t>Keywords: China+1, geopolitical shocks, industrial policy, PLI scheme, trade war, global value chains, India manufacturing, supply chain diversification</w:t>
      </w:r>
    </w:p>
    <w:p w:rsidR="00CB6ED0" w:rsidRDefault="00CB6ED0" w:rsidP="00580154">
      <w:pPr>
        <w:spacing w:after="160" w:line="360" w:lineRule="auto"/>
        <w:jc w:val="both"/>
        <w:rPr>
          <w:b/>
          <w:bCs/>
          <w:sz w:val="26"/>
          <w:szCs w:val="26"/>
        </w:rPr>
      </w:pPr>
    </w:p>
    <w:p w:rsidR="00A442F5" w:rsidRDefault="00A442F5" w:rsidP="00580154">
      <w:pPr>
        <w:spacing w:after="160" w:line="360" w:lineRule="auto"/>
        <w:jc w:val="both"/>
      </w:pPr>
      <w:r>
        <w:rPr>
          <w:b/>
          <w:bCs/>
          <w:sz w:val="26"/>
          <w:szCs w:val="26"/>
        </w:rPr>
        <w:t>1. INTRODUCTION</w:t>
      </w:r>
    </w:p>
    <w:p w:rsidR="00D4610F" w:rsidRDefault="00A442F5" w:rsidP="00580154">
      <w:pPr>
        <w:spacing w:after="400" w:line="360" w:lineRule="auto"/>
        <w:jc w:val="both"/>
      </w:pPr>
      <w:r w:rsidRPr="00A442F5">
        <w:t>The basis of the post-World War II international economic order has always been based on progressively integrating global supply chains in a way that is consistent with principles of comparative advantage, and export-oriented growth. The global manufacturing architecture has also been transformed around China as a central producer since it joined the World Trade Organization in 2001, frequently labelled the "world factory" or a "Sinocentric Global Value Chain". However, starting in July 2018, when the United States imposed a series of tariffs on over USD 360 billion worth of imports from China under the Trump administration, this order has faced its most significant disruption in the last two decades. Furthermore, during the COVID-19 pandemic's related 2020-2021 disruptions to global shipping and goods distribution, multinational corporations and governments have systematically re-evaluated the world around the geographic distribution of production through an understanding of supply chain resiliency, geopolitical risks, and strategic autonomy.</w:t>
      </w:r>
    </w:p>
    <w:p w:rsidR="00A442F5" w:rsidRDefault="00A442F5" w:rsidP="00580154">
      <w:pPr>
        <w:spacing w:after="400" w:line="360" w:lineRule="auto"/>
        <w:jc w:val="both"/>
      </w:pPr>
      <w:r>
        <w:t xml:space="preserve">India was a potential choice for companies to relocate their manufacturing. India's great working-age population, low wages, large domestic market and government promoting its "Make in India" initiative put the country in the right position to take advantage of the "China + 1" manufacturing diversification strategy being adopted by corporations around the world. Furthermore, starting in 2020, the Government of India's rollout of the Production-Linked Incentive (PLI) scheme, covering 14 sectors, represents the most comprehensive response to industrial policy on the supply side since the economic liberalisation, with a projected incentive expenditure over the next five years totalling INR 197 billion (according to the Ministry of Finance, 2022). </w:t>
      </w:r>
    </w:p>
    <w:p w:rsidR="00A442F5" w:rsidRDefault="00A442F5" w:rsidP="00580154">
      <w:pPr>
        <w:spacing w:after="400" w:line="360" w:lineRule="auto"/>
        <w:jc w:val="both"/>
      </w:pPr>
      <w:r>
        <w:t xml:space="preserve">However, turning geopolitical opportunities into industrial reality doesn't happen automatically or consistently. Through scholarly research on late development (Amsden, 1989; Wade, 1990), we know that successful realisation of development requires not only the provision of capital to support investments made based on these new opportunities, but also the presence of institutional capacity, labour productivity, infrastructural endowments and coherent policies that support these investments. This paper </w:t>
      </w:r>
      <w:r w:rsidR="00E8635A" w:rsidRPr="00A8630F">
        <w:t>analytical</w:t>
      </w:r>
      <w:r w:rsidR="00E82315">
        <w:t>l</w:t>
      </w:r>
      <w:r w:rsidR="00AE60D3">
        <w:t>y</w:t>
      </w:r>
      <w:r>
        <w:t xml:space="preserve"> examines the following question: To what extent has India been able to capture the industrial opportunity </w:t>
      </w:r>
      <w:r>
        <w:lastRenderedPageBreak/>
        <w:t>resulting from the US-China trade war and the subsequent reconfiguration of global supply chains caused by the COVID-19 pandemic during the period of 2018-2024?</w:t>
      </w:r>
    </w:p>
    <w:p w:rsidR="00CB5DE9" w:rsidRDefault="00CB5DE9" w:rsidP="00580154">
      <w:pPr>
        <w:spacing w:after="160" w:line="360" w:lineRule="auto"/>
        <w:jc w:val="both"/>
      </w:pPr>
      <w:r>
        <w:rPr>
          <w:b/>
          <w:bCs/>
          <w:sz w:val="26"/>
          <w:szCs w:val="26"/>
        </w:rPr>
        <w:t>2. OBJECTIVES</w:t>
      </w:r>
    </w:p>
    <w:p w:rsidR="00CB5DE9" w:rsidRDefault="00CB5DE9" w:rsidP="00580154">
      <w:pPr>
        <w:spacing w:after="160" w:line="360" w:lineRule="auto"/>
        <w:jc w:val="both"/>
      </w:pPr>
      <w:r>
        <w:t>The study is guided by the following research objectives:</w:t>
      </w:r>
    </w:p>
    <w:p w:rsidR="00CB5DE9" w:rsidRDefault="00CB5DE9" w:rsidP="00580154">
      <w:pPr>
        <w:spacing w:after="400" w:line="360" w:lineRule="auto"/>
        <w:jc w:val="both"/>
      </w:pPr>
      <w:r>
        <w:t>1) To understand how much of the manufacturing and export activities moving their operations out of China after the trade war between the US and China (2018 - 2024) have relocated to India.</w:t>
      </w:r>
    </w:p>
    <w:p w:rsidR="00CB5DE9" w:rsidRDefault="00CB5DE9" w:rsidP="00580154">
      <w:pPr>
        <w:spacing w:after="400" w:line="360" w:lineRule="auto"/>
        <w:jc w:val="both"/>
      </w:pPr>
      <w:r>
        <w:t>2) To assess the different ways specific sectors are accepting the relocation of manufacturing and export activities from China to India in five target industries - electronics, pharmaceuticals, textiles, chemicals, and automotive parts.</w:t>
      </w:r>
    </w:p>
    <w:p w:rsidR="00CB5DE9" w:rsidRDefault="00CB5DE9" w:rsidP="00580154">
      <w:pPr>
        <w:spacing w:after="400" w:line="360" w:lineRule="auto"/>
        <w:jc w:val="both"/>
      </w:pPr>
      <w:r>
        <w:t>3) To review the National Policy for Manufacturing (NPM) as a tool for encouraging industrial improvement due to the geopolitical unrest from the US-China trade war.</w:t>
      </w:r>
    </w:p>
    <w:p w:rsidR="007A14FA" w:rsidRDefault="00A768B8" w:rsidP="00580154">
      <w:pPr>
        <w:spacing w:after="400" w:line="360" w:lineRule="auto"/>
        <w:jc w:val="both"/>
      </w:pPr>
      <w:r>
        <w:t xml:space="preserve">4) </w:t>
      </w:r>
      <w:r w:rsidR="007A14FA" w:rsidRPr="007A14FA">
        <w:t>To assess the sectoral uptake and disbursement patterns of the Production-Linked Incentive (PLI) scheme using official government data, and to evaluate the extent to which the scheme has stimulated incremental manufacturing output and investment across the five target industries during 2018–2024.</w:t>
      </w:r>
    </w:p>
    <w:p w:rsidR="00576142" w:rsidRDefault="00CB5DE9" w:rsidP="00580154">
      <w:pPr>
        <w:spacing w:after="400" w:line="360" w:lineRule="auto"/>
        <w:jc w:val="both"/>
      </w:pPr>
      <w:r>
        <w:t>5) To place India's ability to absorb manufacturing and export operations into the context of the comparative political economy of countries that are currently experiencing late industrialisation and the factors that are contributing to countries' decisions to relocate their operations away from China.</w:t>
      </w:r>
    </w:p>
    <w:p w:rsidR="001C1D9B" w:rsidRDefault="001C1D9B" w:rsidP="00580154">
      <w:pPr>
        <w:spacing w:after="200" w:line="360" w:lineRule="auto"/>
        <w:jc w:val="both"/>
        <w:rPr>
          <w:b/>
          <w:bCs/>
        </w:rPr>
      </w:pPr>
      <w:r w:rsidRPr="000A24FC">
        <w:rPr>
          <w:b/>
          <w:bCs/>
        </w:rPr>
        <w:t>3. REVIEW OF LITERATURE</w:t>
      </w:r>
    </w:p>
    <w:p w:rsidR="00CB6ED0" w:rsidRPr="000A24FC" w:rsidRDefault="00CB6ED0" w:rsidP="00580154">
      <w:pPr>
        <w:spacing w:after="200" w:line="360" w:lineRule="auto"/>
        <w:jc w:val="both"/>
        <w:rPr>
          <w:b/>
          <w:bCs/>
        </w:rPr>
      </w:pPr>
      <w:r>
        <w:rPr>
          <w:b/>
          <w:bCs/>
        </w:rPr>
        <w:t>3.1 Geopolitical shocks and Trade Restructuring</w:t>
      </w:r>
    </w:p>
    <w:p w:rsidR="00B96B71" w:rsidRDefault="00B96B71" w:rsidP="00580154">
      <w:pPr>
        <w:spacing w:line="360" w:lineRule="auto"/>
        <w:jc w:val="both"/>
        <w:rPr>
          <w:lang w:eastAsia="en-US"/>
        </w:rPr>
      </w:pPr>
      <w:r>
        <w:rPr>
          <w:lang w:eastAsia="en-US"/>
        </w:rPr>
        <w:t xml:space="preserve">The intersection of international political economy with new trade theory forms the theoretical base for analysing the impact of geopolitical shocks on trade reordering. In a 2019 paper, Farrell and Newman developed the concept of "weaponised interdependence." The authors contend that states are able to exert coercive power over one another through the </w:t>
      </w:r>
      <w:r>
        <w:rPr>
          <w:lang w:eastAsia="en-US"/>
        </w:rPr>
        <w:lastRenderedPageBreak/>
        <w:t>strategic exploitation of network asymmetries that exist throughout the global supply chain. An example is how the strategic use of punitive tariffs imposed during the US-China trade conflict, described by Handley and Limão (2022) as implementing “policy uncertainty effects” (or raising the risk premium to invest across borders between parties impacted by tariff implementation), was a way in which the logic of weaponised interdependence came to be operationalised. The average tariff on imports from China constituted 19.3% as of the end of 2021, leading to measurable trade diversions in much of Southeast Asia and South Asia due to the imposition of US tariffs on Chinese imports as noted by Bown and Kolb (2023), where countries like Vietnam, Bangladesh, and India recorded differential trade gains.</w:t>
      </w:r>
    </w:p>
    <w:p w:rsidR="00B96B71" w:rsidRDefault="00B96B71" w:rsidP="00580154">
      <w:pPr>
        <w:spacing w:line="360" w:lineRule="auto"/>
        <w:jc w:val="both"/>
        <w:rPr>
          <w:lang w:eastAsia="en-US"/>
        </w:rPr>
      </w:pPr>
    </w:p>
    <w:p w:rsidR="00B96B71" w:rsidRDefault="00B96B71" w:rsidP="00580154">
      <w:pPr>
        <w:spacing w:line="360" w:lineRule="auto"/>
        <w:jc w:val="both"/>
        <w:rPr>
          <w:lang w:eastAsia="en-US"/>
        </w:rPr>
      </w:pPr>
      <w:r>
        <w:rPr>
          <w:lang w:eastAsia="en-US"/>
        </w:rPr>
        <w:t>Scholars have examined the China+1 paradigm as a corporate response to reduced concentration of risk in the supply chain, wherein Sturgeon and Memedovich (2011) found that power asymmetries between lead firms and suppliers within global value chain governance structures that affect the friction costs of relocation. In the case of supply chain disruption due to geopolitical turmoil, Javorcik (2024) found that in addition to cost differentials, companies desire dual-source arrangements as part of their strategy to mitigate the risk of future geopolitical shocks regardless of the associated marginal costs of implementation.</w:t>
      </w:r>
    </w:p>
    <w:p w:rsidR="00607B32" w:rsidRDefault="00607B32" w:rsidP="00580154">
      <w:pPr>
        <w:spacing w:line="360" w:lineRule="auto"/>
        <w:jc w:val="both"/>
        <w:rPr>
          <w:lang w:eastAsia="en-US"/>
        </w:rPr>
      </w:pPr>
    </w:p>
    <w:p w:rsidR="00607B32" w:rsidRPr="00607B32" w:rsidRDefault="00607B32" w:rsidP="00580154">
      <w:pPr>
        <w:spacing w:line="360" w:lineRule="auto"/>
        <w:jc w:val="both"/>
        <w:rPr>
          <w:b/>
          <w:bCs/>
          <w:lang w:eastAsia="en-US"/>
        </w:rPr>
      </w:pPr>
      <w:r w:rsidRPr="00607B32">
        <w:rPr>
          <w:b/>
          <w:bCs/>
          <w:lang w:eastAsia="en-US"/>
        </w:rPr>
        <w:t>3.2 India’s Industrial  Policy Architecture</w:t>
      </w:r>
    </w:p>
    <w:p w:rsidR="00607B32" w:rsidRPr="00607B32" w:rsidRDefault="00607B32" w:rsidP="00580154">
      <w:pPr>
        <w:spacing w:line="360" w:lineRule="auto"/>
        <w:jc w:val="both"/>
        <w:rPr>
          <w:lang w:eastAsia="en-US"/>
        </w:rPr>
      </w:pPr>
    </w:p>
    <w:p w:rsidR="00B21CBA" w:rsidRDefault="00B21CBA" w:rsidP="00580154">
      <w:pPr>
        <w:spacing w:line="360" w:lineRule="auto"/>
        <w:jc w:val="both"/>
        <w:rPr>
          <w:lang w:eastAsia="en-US"/>
        </w:rPr>
      </w:pPr>
      <w:r>
        <w:rPr>
          <w:lang w:eastAsia="en-US"/>
        </w:rPr>
        <w:t xml:space="preserve">India is following the path of an industrial policy that has changed from a form of government control to a more open market to a renewed future of development (Rodrik, 2004; Kohli, 2012). The Make in India program (2014), which aimed to attract foreign direct investment into manufacturing through simplifying regulations and focusing on specific industries, was the first program designed after the liberalisation of the Indian economy. However, it has been assessed to have had only a small impact largely due to difficulties with labour laws, infrastructure problems, and the complex land acquisition process (Nagaraj, 2017). </w:t>
      </w:r>
    </w:p>
    <w:p w:rsidR="00B21CBA" w:rsidRDefault="00B21CBA" w:rsidP="00580154">
      <w:pPr>
        <w:spacing w:line="360" w:lineRule="auto"/>
        <w:jc w:val="both"/>
        <w:rPr>
          <w:lang w:eastAsia="en-US"/>
        </w:rPr>
      </w:pPr>
    </w:p>
    <w:p w:rsidR="00B21CBA" w:rsidRDefault="00B21CBA" w:rsidP="00580154">
      <w:pPr>
        <w:spacing w:line="360" w:lineRule="auto"/>
        <w:jc w:val="both"/>
        <w:rPr>
          <w:lang w:eastAsia="en-US"/>
        </w:rPr>
      </w:pPr>
      <w:r>
        <w:rPr>
          <w:lang w:eastAsia="en-US"/>
        </w:rPr>
        <w:t xml:space="preserve">The PLI program implemented in 2020 will make a qualitative change in how the Indian government will support industrial growth. The PLI program provides financial support to qualifying businesses based on added production rather than on broad criteria. Specifically, the amount of funding made by a company will be based on the amount of output in excess of </w:t>
      </w:r>
      <w:r>
        <w:rPr>
          <w:lang w:eastAsia="en-US"/>
        </w:rPr>
        <w:lastRenderedPageBreak/>
        <w:t>the amount produced during the prior year. Based on an amount of data provided by various agencies, Niti Aayog (2023) projects that PLI projects could result in total investment of around INR 3.65 lakh crore and additional production of around INR 8 lakh crore through 2022-2023, but actual funds disbursed to date in some sectors are below announced amounts.</w:t>
      </w:r>
    </w:p>
    <w:p w:rsidR="00607B32" w:rsidRDefault="00607B32" w:rsidP="00580154">
      <w:pPr>
        <w:spacing w:line="360" w:lineRule="auto"/>
        <w:jc w:val="both"/>
        <w:rPr>
          <w:lang w:eastAsia="en-US"/>
        </w:rPr>
      </w:pPr>
    </w:p>
    <w:p w:rsidR="00607B32" w:rsidRPr="00607B32" w:rsidRDefault="00607B32" w:rsidP="00580154">
      <w:pPr>
        <w:spacing w:line="360" w:lineRule="auto"/>
        <w:jc w:val="both"/>
        <w:rPr>
          <w:b/>
          <w:bCs/>
          <w:lang w:eastAsia="en-US"/>
        </w:rPr>
      </w:pPr>
      <w:r w:rsidRPr="00607B32">
        <w:rPr>
          <w:b/>
          <w:bCs/>
          <w:lang w:eastAsia="en-US"/>
        </w:rPr>
        <w:t>3.3 Firm-Level Evidence on Supply Chain Relocation</w:t>
      </w:r>
    </w:p>
    <w:p w:rsidR="009A3DB0" w:rsidRDefault="009A3DB0" w:rsidP="00580154">
      <w:pPr>
        <w:spacing w:line="360" w:lineRule="auto"/>
        <w:jc w:val="both"/>
        <w:rPr>
          <w:lang w:eastAsia="en-US"/>
        </w:rPr>
      </w:pPr>
      <w:r>
        <w:rPr>
          <w:lang w:eastAsia="en-US"/>
        </w:rPr>
        <w:t>Examining supply chain diversification at the firm level provides an intricate understanding of the topic. Using PROWESS and CMIE's enterprise database, Mukherjee and Bhatt's (2022) findings indicate that for Indian manufacturing firms in both electronics and pharmaceuticals since 2018, there was a statistically significant increase in their export revenue and capacity utilization post-tariff/quote shock, indicating the demand- pull effect of global buyer diversification. Conversely, Abraham and Sasikumar (2021) document that, specifically within the textiles sector, structural barriers still persist due to factors such as unit labour costs, infrastructure quality indices and logistics performance indicators when compared with both Vietnam and Bangladesh in regards to competitiveness.</w:t>
      </w:r>
    </w:p>
    <w:p w:rsidR="009A3DB0" w:rsidRDefault="009A3DB0" w:rsidP="00580154">
      <w:pPr>
        <w:spacing w:line="360" w:lineRule="auto"/>
        <w:jc w:val="both"/>
        <w:rPr>
          <w:lang w:eastAsia="en-US"/>
        </w:rPr>
      </w:pPr>
    </w:p>
    <w:p w:rsidR="009A3DB0" w:rsidRDefault="009A3DB0" w:rsidP="00580154">
      <w:pPr>
        <w:spacing w:line="360" w:lineRule="auto"/>
        <w:jc w:val="both"/>
        <w:rPr>
          <w:lang w:eastAsia="en-US"/>
        </w:rPr>
      </w:pPr>
      <w:r>
        <w:rPr>
          <w:lang w:eastAsia="en-US"/>
        </w:rPr>
        <w:t>Furthermore, absorbing foreign direct investment (FDI) presents complexities in analysis from firm level Literature. Goldar and Banga's (2022) findings show that although there was a real increase in the absolute dollar amount of FDI flowing into Indian manufacturing, the majority of this investment was held in service and digital infrastructure sectors versus hard goods manufacturing, raising the question of whether there is true industrial embedding. In contrast, Apple's strategies for expanding iPhone assembly from Foxconn and Tata Electronics since 2022 (in part due to export control pressure from the US on China) clearly demonstrate tangible examples of true industrial embedding (Pandey &amp; Mehta, 2023).</w:t>
      </w:r>
    </w:p>
    <w:p w:rsidR="00F756D3" w:rsidRDefault="00F756D3" w:rsidP="00580154">
      <w:pPr>
        <w:spacing w:line="360" w:lineRule="auto"/>
        <w:jc w:val="both"/>
        <w:rPr>
          <w:lang w:eastAsia="en-US"/>
        </w:rPr>
      </w:pPr>
    </w:p>
    <w:p w:rsidR="00F756D3" w:rsidRPr="00F756D3" w:rsidRDefault="00F756D3" w:rsidP="00580154">
      <w:pPr>
        <w:spacing w:line="360" w:lineRule="auto"/>
        <w:jc w:val="both"/>
        <w:rPr>
          <w:b/>
          <w:bCs/>
          <w:lang w:eastAsia="en-US"/>
        </w:rPr>
      </w:pPr>
      <w:r w:rsidRPr="00F756D3">
        <w:rPr>
          <w:b/>
          <w:bCs/>
          <w:lang w:eastAsia="en-US"/>
        </w:rPr>
        <w:t>3.4 Comparative Perspective: Vietnam and Bangladesh</w:t>
      </w:r>
    </w:p>
    <w:p w:rsidR="0009620C" w:rsidRDefault="0009620C" w:rsidP="00580154">
      <w:pPr>
        <w:spacing w:line="360" w:lineRule="auto"/>
        <w:jc w:val="both"/>
        <w:rPr>
          <w:lang w:eastAsia="en-US"/>
        </w:rPr>
      </w:pPr>
      <w:r w:rsidRPr="0009620C">
        <w:rPr>
          <w:lang w:eastAsia="en-US"/>
        </w:rPr>
        <w:t xml:space="preserve">Vietnam and Bangladesh serve as useful benchmarks for understanding how comparative countries grow in terms of manufacturing through exports compared with India. Vietnam's manufacturing exports as a percentage of GDP rose from 72% in 2017 to 93% in 2022 and electronics exported alone surpassed USD 110 billion (with significant growth relative to India's manufacturing export growth) during this same time frame (World Bank 2023). Analysts say this has occurred because Vietnam has a large industrial zone with good infrastructure, flexible labour markets, proactive bilateral trade agreements like the EU-Vietnam FTA (Malesky 2022). However, India's manufacturing exports as a percentage of </w:t>
      </w:r>
      <w:r w:rsidRPr="0009620C">
        <w:rPr>
          <w:lang w:eastAsia="en-US"/>
        </w:rPr>
        <w:lastRenderedPageBreak/>
        <w:t>GDP have remained stable at around 12%-14%, indicating structural barriers to export-led industrial growth.</w:t>
      </w:r>
    </w:p>
    <w:p w:rsidR="00E767BF" w:rsidRDefault="00E767BF" w:rsidP="00580154">
      <w:pPr>
        <w:spacing w:after="400" w:line="360" w:lineRule="auto"/>
        <w:jc w:val="both"/>
        <w:rPr>
          <w:b/>
          <w:bCs/>
        </w:rPr>
      </w:pPr>
      <w:r>
        <w:rPr>
          <w:b/>
          <w:bCs/>
        </w:rPr>
        <w:t>4. Research Methodology</w:t>
      </w:r>
    </w:p>
    <w:p w:rsidR="00E767BF" w:rsidRDefault="002C13F9" w:rsidP="00580154">
      <w:pPr>
        <w:spacing w:after="400" w:line="360" w:lineRule="auto"/>
        <w:jc w:val="both"/>
      </w:pPr>
      <w:r w:rsidRPr="00BD1920">
        <w:t>This study adopts an explanatory mixed-method research design to examine whether India has absorbed the industrial opportunities created by the US–China trade war and the COVID-19-related supply chain disruption during 2018–2024. The design combines macro-level sectoral analysis with micro-level firm evidence in order to capture both aggregate patterns and firm responses.</w:t>
      </w:r>
    </w:p>
    <w:p w:rsidR="00580154" w:rsidRDefault="00E767BF" w:rsidP="00580154">
      <w:pPr>
        <w:pStyle w:val="NoSpacing"/>
        <w:spacing w:line="360" w:lineRule="auto"/>
      </w:pPr>
      <w:r w:rsidRPr="00580154">
        <w:rPr>
          <w:b/>
          <w:bCs/>
        </w:rPr>
        <w:t>4.1DataSource</w:t>
      </w:r>
      <w:r w:rsidR="002C13F9" w:rsidRPr="00580154">
        <w:br/>
      </w:r>
      <w:r w:rsidR="002C13F9" w:rsidRPr="00BD1920">
        <w:t>The study relies on secondary data from official and institutional sources, including the Directorate General of Commercial Intelligence and Statistics (DGCIS), Annual Survey of Industries (ASI), RBI publications, CMIE/PROWESS firm databases, Ministry of Commerce reports, NITI Aayog PLI reports, and sector-specific export data from industry bodies such as Pharmexcil.</w:t>
      </w:r>
    </w:p>
    <w:p w:rsidR="00580154" w:rsidRDefault="00580154" w:rsidP="00580154">
      <w:pPr>
        <w:pStyle w:val="NoSpacing"/>
        <w:spacing w:line="360" w:lineRule="auto"/>
      </w:pPr>
    </w:p>
    <w:p w:rsidR="00E767BF" w:rsidRPr="00580154" w:rsidRDefault="00580154" w:rsidP="00580154">
      <w:pPr>
        <w:pStyle w:val="NoSpacing"/>
        <w:spacing w:line="360" w:lineRule="auto"/>
      </w:pPr>
      <w:r w:rsidRPr="00580154">
        <w:rPr>
          <w:b/>
          <w:bCs/>
        </w:rPr>
        <w:t xml:space="preserve">4.2Sample </w:t>
      </w:r>
      <w:r w:rsidR="00E56EAD">
        <w:rPr>
          <w:b/>
          <w:bCs/>
        </w:rPr>
        <w:t>a</w:t>
      </w:r>
      <w:r w:rsidRPr="00580154">
        <w:rPr>
          <w:b/>
          <w:bCs/>
        </w:rPr>
        <w:t>nd Scope</w:t>
      </w:r>
      <w:r w:rsidR="002C13F9" w:rsidRPr="00580154">
        <w:br/>
      </w:r>
      <w:r w:rsidR="002C13F9" w:rsidRPr="00BD1920">
        <w:t>The analysis focuses on five sectors: electronics, pharmaceuticals, textiles, chemicals, and auto components. The period of study is 2018 to 2024, chosen to capture the pre-shock, shock, and post-shock phases of the trade war and pa</w:t>
      </w:r>
      <w:r w:rsidR="002C13F9">
        <w:t>n</w:t>
      </w:r>
      <w:r w:rsidR="002C13F9" w:rsidRPr="00BD1920">
        <w:t>demic-era restructuring</w:t>
      </w:r>
      <w:r w:rsidR="00E767BF">
        <w:t xml:space="preserve">. </w:t>
      </w:r>
    </w:p>
    <w:p w:rsidR="00580154" w:rsidRDefault="00580154" w:rsidP="00580154">
      <w:pPr>
        <w:pStyle w:val="NoSpacing"/>
        <w:spacing w:line="360" w:lineRule="auto"/>
        <w:jc w:val="both"/>
        <w:rPr>
          <w:b/>
          <w:bCs/>
        </w:rPr>
      </w:pPr>
    </w:p>
    <w:p w:rsidR="00580154" w:rsidRDefault="00580154" w:rsidP="00580154">
      <w:pPr>
        <w:pStyle w:val="NoSpacing"/>
        <w:spacing w:line="360" w:lineRule="auto"/>
        <w:jc w:val="both"/>
        <w:rPr>
          <w:b/>
          <w:bCs/>
        </w:rPr>
      </w:pPr>
      <w:r w:rsidRPr="00580154">
        <w:rPr>
          <w:b/>
          <w:bCs/>
        </w:rPr>
        <w:t>4.3 Method of Analysis</w:t>
      </w:r>
    </w:p>
    <w:p w:rsidR="00497A72" w:rsidRPr="00580154" w:rsidRDefault="002C13F9" w:rsidP="00580154">
      <w:pPr>
        <w:pStyle w:val="NoSpacing"/>
        <w:spacing w:line="360" w:lineRule="auto"/>
        <w:jc w:val="both"/>
        <w:rPr>
          <w:b/>
          <w:bCs/>
        </w:rPr>
      </w:pPr>
      <w:r w:rsidRPr="00BD1920">
        <w:br/>
        <w:t>The study uses descriptive trend analysis to track exports, output, capacity expansion, investment, and employment patterns across sectors. It also applies comparative sectoral analysis to identify which industries benefited most from supply chain relocation and which continued to face structural barriers. Firm-level evidence is used to assess changes in investment, production, employment, and export performance after the shock period.</w:t>
      </w:r>
    </w:p>
    <w:p w:rsidR="00497A72" w:rsidRPr="00497A72" w:rsidRDefault="00497A72" w:rsidP="00580154">
      <w:pPr>
        <w:pStyle w:val="NoSpacing"/>
        <w:spacing w:line="360" w:lineRule="auto"/>
        <w:jc w:val="both"/>
        <w:rPr>
          <w:b/>
          <w:bCs/>
        </w:rPr>
      </w:pPr>
    </w:p>
    <w:p w:rsidR="00497A72" w:rsidRDefault="00497A72" w:rsidP="00580154">
      <w:pPr>
        <w:pStyle w:val="NoSpacing"/>
        <w:spacing w:line="360" w:lineRule="auto"/>
      </w:pPr>
      <w:r w:rsidRPr="00497A72">
        <w:rPr>
          <w:b/>
          <w:bCs/>
        </w:rPr>
        <w:t>4.4Comparative Framework:</w:t>
      </w:r>
      <w:r w:rsidRPr="00497A72">
        <w:br/>
        <w:t>India’s performance is interpreted in comparative perspective with Vietnam and Bangladesh, which serve as benchmark economies for export-led manufacturing diversification. This helps evaluate India’s relative competitiveness in global value chain reconfiguration</w:t>
      </w:r>
      <w:r>
        <w:t>.</w:t>
      </w:r>
    </w:p>
    <w:p w:rsidR="00497A72" w:rsidRPr="00497A72" w:rsidRDefault="00497A72" w:rsidP="00580154">
      <w:pPr>
        <w:pStyle w:val="NoSpacing"/>
        <w:spacing w:line="360" w:lineRule="auto"/>
      </w:pPr>
    </w:p>
    <w:p w:rsidR="00497A72" w:rsidRPr="00497A72" w:rsidRDefault="00497A72" w:rsidP="00580154">
      <w:pPr>
        <w:pStyle w:val="NoSpacing"/>
        <w:spacing w:line="360" w:lineRule="auto"/>
        <w:rPr>
          <w:b/>
          <w:bCs/>
        </w:rPr>
      </w:pPr>
      <w:r w:rsidRPr="00497A72">
        <w:rPr>
          <w:b/>
          <w:bCs/>
        </w:rPr>
        <w:t xml:space="preserve">4.5 Research Limitations: </w:t>
      </w:r>
      <w:r w:rsidRPr="00497A72">
        <w:br/>
        <w:t>The study is limited by the availability and consistency of official data, especially for firm-level investment flows and sector-specific relocation outcomes. Since the paper largely uses secondary data, it cannot establish strict causality, but it can identify robust patterns and policy-relevant associations.</w:t>
      </w:r>
    </w:p>
    <w:p w:rsidR="002C13F9" w:rsidRDefault="002C13F9" w:rsidP="00580154">
      <w:pPr>
        <w:spacing w:line="360" w:lineRule="auto"/>
        <w:jc w:val="both"/>
        <w:rPr>
          <w:lang w:eastAsia="en-US"/>
        </w:rPr>
      </w:pPr>
    </w:p>
    <w:p w:rsidR="00F756D3" w:rsidRPr="00F756D3" w:rsidRDefault="00E767BF" w:rsidP="00580154">
      <w:pPr>
        <w:spacing w:line="360" w:lineRule="auto"/>
        <w:jc w:val="both"/>
        <w:rPr>
          <w:b/>
          <w:bCs/>
          <w:lang w:eastAsia="en-US"/>
        </w:rPr>
      </w:pPr>
      <w:r>
        <w:rPr>
          <w:b/>
          <w:bCs/>
          <w:lang w:eastAsia="en-US"/>
        </w:rPr>
        <w:t>5</w:t>
      </w:r>
      <w:r w:rsidR="00F756D3" w:rsidRPr="00F756D3">
        <w:rPr>
          <w:b/>
          <w:bCs/>
          <w:lang w:eastAsia="en-US"/>
        </w:rPr>
        <w:t>. Discussion</w:t>
      </w:r>
    </w:p>
    <w:p w:rsidR="00F756D3" w:rsidRPr="00F756D3" w:rsidRDefault="00E767BF" w:rsidP="00580154">
      <w:pPr>
        <w:spacing w:line="360" w:lineRule="auto"/>
        <w:jc w:val="both"/>
        <w:rPr>
          <w:b/>
          <w:bCs/>
          <w:lang w:eastAsia="en-US"/>
        </w:rPr>
      </w:pPr>
      <w:r>
        <w:rPr>
          <w:b/>
          <w:bCs/>
          <w:lang w:eastAsia="en-US"/>
        </w:rPr>
        <w:t>5</w:t>
      </w:r>
      <w:r w:rsidR="00F756D3" w:rsidRPr="00F756D3">
        <w:rPr>
          <w:b/>
          <w:bCs/>
          <w:lang w:eastAsia="en-US"/>
        </w:rPr>
        <w:t>.1Sectoral Evidence:Gains and Gaps</w:t>
      </w:r>
    </w:p>
    <w:p w:rsidR="00F6307A" w:rsidRDefault="00F6307A" w:rsidP="00580154">
      <w:pPr>
        <w:spacing w:line="360" w:lineRule="auto"/>
        <w:jc w:val="both"/>
        <w:rPr>
          <w:lang w:eastAsia="en-US"/>
        </w:rPr>
      </w:pPr>
      <w:r>
        <w:rPr>
          <w:lang w:eastAsia="en-US"/>
        </w:rPr>
        <w:t>Sectoral performance data from 2018 through 2024 shows a divided industrial environment. In electronics, exports from India grew from USD 8.3 billion in FY18 to USD 29.1 billion in FY24 with the majority coming from mobile phones due to Apple's expanding assembly in India connected to PLI (Producti</w:t>
      </w:r>
      <w:r w:rsidR="00B02D35">
        <w:rPr>
          <w:lang w:eastAsia="en-US"/>
        </w:rPr>
        <w:t>on</w:t>
      </w:r>
      <w:r>
        <w:rPr>
          <w:lang w:eastAsia="en-US"/>
        </w:rPr>
        <w:t>Li</w:t>
      </w:r>
      <w:r w:rsidR="00410E4A">
        <w:rPr>
          <w:lang w:eastAsia="en-US"/>
        </w:rPr>
        <w:t xml:space="preserve">nked </w:t>
      </w:r>
      <w:r>
        <w:rPr>
          <w:lang w:eastAsia="en-US"/>
        </w:rPr>
        <w:t>I</w:t>
      </w:r>
      <w:r w:rsidR="00A50719">
        <w:rPr>
          <w:lang w:eastAsia="en-US"/>
        </w:rPr>
        <w:t>ncentive</w:t>
      </w:r>
      <w:r>
        <w:rPr>
          <w:lang w:eastAsia="en-US"/>
        </w:rPr>
        <w:t xml:space="preserve">) and deepening manufacturing connections to India by Samsung (DGCI&amp;S 2024). The semiconductor chain has only recently started to develop, and with planned wafer fabrication capacity investments currently at the early stage of being built out, it is approximately 10 years behind the curve in changing the count of upstream electronics manufacturing capabilities. </w:t>
      </w:r>
    </w:p>
    <w:p w:rsidR="00F6307A" w:rsidRDefault="00F6307A" w:rsidP="00580154">
      <w:pPr>
        <w:spacing w:line="360" w:lineRule="auto"/>
        <w:jc w:val="both"/>
        <w:rPr>
          <w:lang w:eastAsia="en-US"/>
        </w:rPr>
      </w:pPr>
    </w:p>
    <w:p w:rsidR="00F6307A" w:rsidRDefault="00F6307A" w:rsidP="00580154">
      <w:pPr>
        <w:spacing w:line="360" w:lineRule="auto"/>
        <w:jc w:val="both"/>
        <w:rPr>
          <w:lang w:eastAsia="en-US"/>
        </w:rPr>
      </w:pPr>
      <w:r>
        <w:rPr>
          <w:lang w:eastAsia="en-US"/>
        </w:rPr>
        <w:t>In pharmaceuticals, India has leveraged its position as the largest exporter of generic facilities in the world by project (sending approximately $27.8 billion of generic medications outside of India in FY24) and demonstrated capability to ramp up through its COVISHIELD vaccine production (from the Serum Institute) during the COVID-19 pandemic by meeting the global demand placed upon it through political means. Continuing to rely on Chinese API imports creates a fundamental conflict with India's goal of becoming economically and politically independent from China.</w:t>
      </w:r>
    </w:p>
    <w:p w:rsidR="00654ECE" w:rsidRDefault="00654ECE" w:rsidP="00580154">
      <w:pPr>
        <w:spacing w:line="360" w:lineRule="auto"/>
        <w:jc w:val="both"/>
        <w:rPr>
          <w:lang w:eastAsia="en-US"/>
        </w:rPr>
      </w:pPr>
    </w:p>
    <w:p w:rsidR="00654ECE" w:rsidRPr="00654ECE" w:rsidRDefault="00E767BF" w:rsidP="00580154">
      <w:pPr>
        <w:spacing w:line="360" w:lineRule="auto"/>
        <w:jc w:val="both"/>
        <w:rPr>
          <w:b/>
          <w:bCs/>
          <w:lang w:eastAsia="en-US"/>
        </w:rPr>
      </w:pPr>
      <w:r>
        <w:rPr>
          <w:b/>
          <w:bCs/>
          <w:lang w:eastAsia="en-US"/>
        </w:rPr>
        <w:t>5</w:t>
      </w:r>
      <w:r w:rsidR="00654ECE" w:rsidRPr="00654ECE">
        <w:rPr>
          <w:b/>
          <w:bCs/>
          <w:lang w:eastAsia="en-US"/>
        </w:rPr>
        <w:t>.2 The PLI Scheme:Design Efficacy and Implementation Gaps</w:t>
      </w:r>
    </w:p>
    <w:p w:rsidR="00F6307A" w:rsidRDefault="00F6307A" w:rsidP="00580154">
      <w:pPr>
        <w:spacing w:line="360" w:lineRule="auto"/>
        <w:jc w:val="both"/>
        <w:rPr>
          <w:lang w:eastAsia="en-US"/>
        </w:rPr>
      </w:pPr>
      <w:r w:rsidRPr="00F6307A">
        <w:rPr>
          <w:lang w:eastAsia="en-US"/>
        </w:rPr>
        <w:t xml:space="preserve">The PLI scheme has been designed based on sound theories regarding incentives: instead of creating capacity and then providing disbursements, the scheme disburses based on incremental production; therefore, the potential for rent extraction resulting from traditional industrial subsidies is avoided. However, there have been several examples of discrepancies between the design of the PLI and its implementation. First, the certification process for annual production has experienced numerous administrative delays, which have led to a lack of predictability in terms of investment signals through the PLI. Second, while PLI benefits </w:t>
      </w:r>
      <w:r w:rsidRPr="00F6307A">
        <w:rPr>
          <w:lang w:eastAsia="en-US"/>
        </w:rPr>
        <w:lastRenderedPageBreak/>
        <w:t>have generally accrued to large incumbent firms (especially in mobile device manufacturing and pharmaceuticals), Micro-, Small-, and Medium-sized Enterprises (MSMEs) have remained substantially excluded from the scheme. Finally, in addition to the above-mentioned issues, the structure of the SME sector does not provide for an adequate supply chain ecosystem for manufacturers who will produce at an assembly level (such as cell phone assembly). Therefore, there are not adequate backwards linkages created when assembly will expand (for example, when smartphone assembly will occur).</w:t>
      </w:r>
    </w:p>
    <w:p w:rsidR="0004223A" w:rsidRDefault="0004223A" w:rsidP="00580154">
      <w:pPr>
        <w:spacing w:line="360" w:lineRule="auto"/>
        <w:jc w:val="both"/>
        <w:rPr>
          <w:lang w:eastAsia="en-US"/>
        </w:rPr>
      </w:pPr>
    </w:p>
    <w:p w:rsidR="00654ECE" w:rsidRPr="00654ECE" w:rsidRDefault="00E767BF" w:rsidP="00580154">
      <w:pPr>
        <w:spacing w:line="360" w:lineRule="auto"/>
        <w:jc w:val="both"/>
        <w:rPr>
          <w:b/>
          <w:bCs/>
          <w:lang w:eastAsia="en-US"/>
        </w:rPr>
      </w:pPr>
      <w:r>
        <w:rPr>
          <w:b/>
          <w:bCs/>
          <w:lang w:eastAsia="en-US"/>
        </w:rPr>
        <w:t>5</w:t>
      </w:r>
      <w:r w:rsidR="00654ECE" w:rsidRPr="00654ECE">
        <w:rPr>
          <w:b/>
          <w:bCs/>
          <w:lang w:eastAsia="en-US"/>
        </w:rPr>
        <w:t>.3 labour Market Rigidities and Logistics Constraints</w:t>
      </w:r>
    </w:p>
    <w:p w:rsidR="00F6307A" w:rsidRDefault="00F6307A" w:rsidP="00580154">
      <w:pPr>
        <w:spacing w:line="360" w:lineRule="auto"/>
        <w:jc w:val="both"/>
        <w:rPr>
          <w:lang w:eastAsia="en-US"/>
        </w:rPr>
      </w:pPr>
      <w:r w:rsidRPr="00F6307A">
        <w:rPr>
          <w:lang w:eastAsia="en-US"/>
        </w:rPr>
        <w:t>India's slow growth in labour-intensive manufacturing (compared to other countries with similar advantages) is a result of institutional constraints that hinder progress. The Labour Codes — passed between 2019 and 2020 — have been designed for regulatory simplification; however, their implementation has been slow and has produced rigidity when it comes to large businesses hiring and firing employees. India's position in the World Bank's Logistics Performance Index (2023) is 38th globally (up from 54th in 2014); however, both Vietnam and China (19th) rank higher. Another factor contributing to India's costs disadvantages in exporting (by 3–5 %) is port congestion, lack of cold chain infrastructure, and expensive inland transportation.</w:t>
      </w:r>
    </w:p>
    <w:p w:rsidR="005647F0" w:rsidRDefault="005647F0" w:rsidP="00580154">
      <w:pPr>
        <w:spacing w:line="360" w:lineRule="auto"/>
        <w:jc w:val="both"/>
        <w:rPr>
          <w:lang w:eastAsia="en-US"/>
        </w:rPr>
      </w:pPr>
    </w:p>
    <w:p w:rsidR="00332CB1" w:rsidRPr="005647F0" w:rsidRDefault="00E767BF" w:rsidP="00580154">
      <w:pPr>
        <w:spacing w:line="360" w:lineRule="auto"/>
        <w:jc w:val="both"/>
        <w:rPr>
          <w:b/>
          <w:bCs/>
          <w:lang w:eastAsia="en-US"/>
        </w:rPr>
      </w:pPr>
      <w:r>
        <w:rPr>
          <w:b/>
          <w:bCs/>
          <w:lang w:eastAsia="en-US"/>
        </w:rPr>
        <w:t>5</w:t>
      </w:r>
      <w:r w:rsidR="00332CB1" w:rsidRPr="005647F0">
        <w:rPr>
          <w:b/>
          <w:bCs/>
          <w:lang w:eastAsia="en-US"/>
        </w:rPr>
        <w:t xml:space="preserve">.4 </w:t>
      </w:r>
      <w:r w:rsidRPr="005647F0">
        <w:rPr>
          <w:b/>
          <w:bCs/>
          <w:lang w:eastAsia="en-US"/>
        </w:rPr>
        <w:t>Geopolitical</w:t>
      </w:r>
      <w:r w:rsidR="00332CB1" w:rsidRPr="005647F0">
        <w:rPr>
          <w:b/>
          <w:bCs/>
          <w:lang w:eastAsia="en-US"/>
        </w:rPr>
        <w:t xml:space="preserve"> Positioning and Strategic Autonomy</w:t>
      </w:r>
    </w:p>
    <w:p w:rsidR="00A058A9" w:rsidRPr="00584392" w:rsidRDefault="00A235F5" w:rsidP="00580154">
      <w:pPr>
        <w:spacing w:line="360" w:lineRule="auto"/>
        <w:jc w:val="both"/>
        <w:rPr>
          <w:lang w:eastAsia="en-US"/>
        </w:rPr>
      </w:pPr>
      <w:r w:rsidRPr="00A235F5">
        <w:rPr>
          <w:lang w:eastAsia="en-US"/>
        </w:rPr>
        <w:t>India's approach to changes in the global supply chain due to geopolitical forces is characterised by its specific foreign affairs strategy, which asserts its independence from both the US and China. With not being a member of RCEP (Regional Comprehensive Economic Partnership), India has limited access to tariff-preferential manufacturing networks that help the case of Vietnam and Indonesia, simply to protect domestic manufacturing. At the same time India is working towards establishing the India-Middle East-Europe Economic Corridor (IMEC) and developing Free Trade Agreements (FTAs) with the EU &amp; UK which will change this situation but the exact details are still being negotiated. The other important aspect of India's trade policy is the relationship between key export driven industries and political constituents such as agricultural producers and the strategic calculus of various stakeholders. As a result of this interplay, the evolution of export-led manufacturing in India will be bounded, both in terms of time and magnitude by Indian domestic manufacturing interests.</w:t>
      </w:r>
    </w:p>
    <w:p w:rsidR="00A058A9" w:rsidRDefault="00A058A9" w:rsidP="00580154">
      <w:pPr>
        <w:spacing w:line="360" w:lineRule="auto"/>
        <w:jc w:val="both"/>
        <w:rPr>
          <w:b/>
          <w:bCs/>
          <w:lang w:eastAsia="en-US"/>
        </w:rPr>
      </w:pPr>
    </w:p>
    <w:p w:rsidR="005647F0" w:rsidRPr="005647F0" w:rsidRDefault="00E767BF" w:rsidP="00580154">
      <w:pPr>
        <w:spacing w:line="360" w:lineRule="auto"/>
        <w:jc w:val="both"/>
        <w:rPr>
          <w:b/>
          <w:bCs/>
          <w:lang w:eastAsia="en-US"/>
        </w:rPr>
      </w:pPr>
      <w:r>
        <w:rPr>
          <w:b/>
          <w:bCs/>
          <w:lang w:eastAsia="en-US"/>
        </w:rPr>
        <w:lastRenderedPageBreak/>
        <w:t>6</w:t>
      </w:r>
      <w:r w:rsidR="005647F0" w:rsidRPr="005647F0">
        <w:rPr>
          <w:b/>
          <w:bCs/>
          <w:lang w:eastAsia="en-US"/>
        </w:rPr>
        <w:t>. Conclusion</w:t>
      </w:r>
    </w:p>
    <w:p w:rsidR="00B366CC" w:rsidRDefault="00B366CC" w:rsidP="00580154">
      <w:pPr>
        <w:spacing w:after="160" w:line="360" w:lineRule="auto"/>
        <w:jc w:val="both"/>
      </w:pPr>
      <w:r>
        <w:t>This paper has examined India's industrial response to the geopolitical shocks generated by the US-China trade war and pandemic-era supply chain disruption between 2018 and 2024. The evidence points to a fundamentally partial and sector-differentiated pattern of industrial absorption. India has recorded substantive gains in electronics assembly and pharmaceuticals, with the PLI scheme providing a meaningful demand signal for investment in these domains. However, in labour-intensive manufacturing — where India's comparative advantage is theoretically strongest — structural constraints in labour markets, logistics infrastructure, and trade policy architecture have prevented the kind of transformative industrial absorption achieved by Vietnam and Bangladesh.</w:t>
      </w:r>
    </w:p>
    <w:p w:rsidR="00B366CC" w:rsidRDefault="00B366CC" w:rsidP="00580154">
      <w:pPr>
        <w:spacing w:line="360" w:lineRule="auto"/>
        <w:jc w:val="both"/>
        <w:rPr>
          <w:lang w:eastAsia="en-US"/>
        </w:rPr>
      </w:pPr>
      <w:r w:rsidRPr="00B366CC">
        <w:rPr>
          <w:lang w:eastAsia="en-US"/>
        </w:rPr>
        <w:t>India's experience with the Industrial Policy has important implications for the literature on the developmental state. Geopolitical opportunity is a necessary but not a sufficient condition for industrial transformation. For external shocks to become industrial dividends, there must be an effective institutional ecosystem (e.g., flexible labour regulations, adequate logistics infrastructure for exports, competitive trade agreements, and a supplier system capable of creating backward linkages that extend beyond final assembly). The design of the PLI scheme is innovative; however, it is focused on the demand side of the investment incentive without addressing the supply side ecosystem barriers that hinder India's ability to compete in manufacturing.</w:t>
      </w:r>
    </w:p>
    <w:p w:rsidR="0053623C" w:rsidRDefault="0053623C" w:rsidP="00580154">
      <w:pPr>
        <w:spacing w:line="360" w:lineRule="auto"/>
        <w:jc w:val="both"/>
        <w:rPr>
          <w:lang w:eastAsia="en-US"/>
        </w:rPr>
      </w:pPr>
      <w:r>
        <w:rPr>
          <w:lang w:eastAsia="en-US"/>
        </w:rPr>
        <w:t>The future of India's industrial path will be determined by overcoming various structural tension points: between trade integration and strategic autonomy; between incentive design focused on large firms and healthy development of MSME ecosystems; between the political economy of protectionism and ever changing export competitiveness. The geopolitical opportunity created by US-China decoupling is short-lived. The way in which India makes this structural moment a lasting part of its industrial transformation does not solely rely on continuing geopolitical disruption — the outcome will depend on quality &amp; cohesive domestic institutional reforms.</w:t>
      </w:r>
    </w:p>
    <w:p w:rsidR="0053623C" w:rsidRDefault="0053623C" w:rsidP="00580154">
      <w:pPr>
        <w:spacing w:line="360" w:lineRule="auto"/>
        <w:jc w:val="both"/>
        <w:rPr>
          <w:lang w:eastAsia="en-US"/>
        </w:rPr>
      </w:pPr>
      <w:r>
        <w:rPr>
          <w:lang w:eastAsia="en-US"/>
        </w:rPr>
        <w:t>Future research will need to use panel econometric techniques such as difference-in-differences analysis with ASI district data sets (and also CMIE firm-level databases) to determine the causal effects of the PLI and trade War on manufacturing output, jobs created, and export success. Research will also compare specific GVC segments (such as smartphones, manufactured inhalers / other APIs, and semiconductor packaging) to identify how geopolitical shocks translate into new opportunities or why they do not.</w:t>
      </w:r>
    </w:p>
    <w:p w:rsidR="005647F0" w:rsidRDefault="005647F0" w:rsidP="00580154">
      <w:pPr>
        <w:spacing w:line="360" w:lineRule="auto"/>
        <w:jc w:val="both"/>
        <w:rPr>
          <w:lang w:eastAsia="en-US"/>
        </w:rPr>
      </w:pPr>
    </w:p>
    <w:p w:rsidR="005647F0" w:rsidRPr="005647F0" w:rsidRDefault="005647F0" w:rsidP="00580154">
      <w:pPr>
        <w:spacing w:line="360" w:lineRule="auto"/>
        <w:jc w:val="both"/>
        <w:rPr>
          <w:b/>
          <w:bCs/>
          <w:lang w:eastAsia="en-US"/>
        </w:rPr>
      </w:pPr>
      <w:r w:rsidRPr="005647F0">
        <w:rPr>
          <w:b/>
          <w:bCs/>
          <w:lang w:eastAsia="en-US"/>
        </w:rPr>
        <w:t>References</w:t>
      </w:r>
    </w:p>
    <w:p w:rsidR="0053623C" w:rsidRDefault="0053623C" w:rsidP="00580154">
      <w:pPr>
        <w:spacing w:after="120" w:line="360" w:lineRule="auto"/>
        <w:ind w:left="720" w:hanging="720"/>
        <w:jc w:val="both"/>
      </w:pPr>
      <w:r>
        <w:t>Abraham, V., &amp; Sasikumar, S. K. (2021). Labour cost and export competitiveness in Indian manufacturing. Economic &amp; Political Weekly, 56(12), 44–52.</w:t>
      </w:r>
    </w:p>
    <w:p w:rsidR="0053623C" w:rsidRDefault="0053623C" w:rsidP="00580154">
      <w:pPr>
        <w:spacing w:after="120" w:line="360" w:lineRule="auto"/>
        <w:ind w:left="720" w:hanging="720"/>
        <w:jc w:val="both"/>
      </w:pPr>
      <w:r>
        <w:t>Amsden, A. H. (1989). Asia's next giant: South Korea and late industrialisation. Oxford University Press.</w:t>
      </w:r>
    </w:p>
    <w:p w:rsidR="0053623C" w:rsidRDefault="0053623C" w:rsidP="00580154">
      <w:pPr>
        <w:spacing w:after="120" w:line="360" w:lineRule="auto"/>
        <w:ind w:left="720" w:hanging="720"/>
        <w:jc w:val="both"/>
      </w:pPr>
      <w:r>
        <w:t>Baldwin, R. (2016). The great convergence: Information technology and the new globalisation. Harvard University Press.</w:t>
      </w:r>
    </w:p>
    <w:p w:rsidR="0053623C" w:rsidRDefault="0053623C" w:rsidP="00580154">
      <w:pPr>
        <w:spacing w:after="120" w:line="360" w:lineRule="auto"/>
        <w:ind w:left="720" w:hanging="720"/>
        <w:jc w:val="both"/>
      </w:pPr>
      <w:r>
        <w:t>Bown, C. P. (2020). US-China trade war tariffs: An up-to-date chart. Peterson Institute for International Economics. https://www.piie.com/research/piie-charts/us-china-trade-war-tariffs-date-chart</w:t>
      </w:r>
    </w:p>
    <w:p w:rsidR="0053623C" w:rsidRDefault="0053623C" w:rsidP="00580154">
      <w:pPr>
        <w:spacing w:after="120" w:line="360" w:lineRule="auto"/>
        <w:ind w:left="720" w:hanging="720"/>
        <w:jc w:val="both"/>
      </w:pPr>
      <w:r>
        <w:t>Bown, C. P., &amp; Kolb, M. (2023). Trade diversion and supply chain restructuring post-2018. Journal of International Economics, 141, 103–124.</w:t>
      </w:r>
    </w:p>
    <w:p w:rsidR="0053623C" w:rsidRDefault="0053623C" w:rsidP="00580154">
      <w:pPr>
        <w:spacing w:after="120" w:line="360" w:lineRule="auto"/>
        <w:ind w:left="720" w:hanging="720"/>
        <w:jc w:val="both"/>
      </w:pPr>
      <w:r>
        <w:t>DGCI&amp;S. (2024). Foreign trade statistics of India. Directorate General of Commercial Intelligence and Statistics, Ministry of Commerce, Government of India.</w:t>
      </w:r>
    </w:p>
    <w:p w:rsidR="00B60776" w:rsidRDefault="00B60776" w:rsidP="00580154">
      <w:pPr>
        <w:spacing w:after="120" w:line="360" w:lineRule="auto"/>
        <w:ind w:left="720" w:hanging="720"/>
        <w:jc w:val="both"/>
      </w:pPr>
      <w:r w:rsidRPr="00B60776">
        <w:t xml:space="preserve">Dutta, M., &amp; Ghosh, S. (2021). India's manufacturing sector and global value chain integration: Constraints and opportunities. </w:t>
      </w:r>
      <w:r w:rsidRPr="00B60776">
        <w:rPr>
          <w:i/>
          <w:iCs/>
        </w:rPr>
        <w:t>Journal of Asian Economics, 74</w:t>
      </w:r>
      <w:r w:rsidRPr="00B60776">
        <w:t>, 101–118.</w:t>
      </w:r>
    </w:p>
    <w:p w:rsidR="0053623C" w:rsidRDefault="0053623C" w:rsidP="00580154">
      <w:pPr>
        <w:spacing w:after="120" w:line="360" w:lineRule="auto"/>
        <w:ind w:left="720" w:hanging="720"/>
        <w:jc w:val="both"/>
      </w:pPr>
      <w:r>
        <w:t>Farrell, H., &amp; Newman, A. L. (2019). Weaponised interdependence: How global economic networks shape state coercion. International Security, 44(1), 42–79.</w:t>
      </w:r>
    </w:p>
    <w:p w:rsidR="0053623C" w:rsidRDefault="0053623C" w:rsidP="00580154">
      <w:pPr>
        <w:spacing w:after="120" w:line="360" w:lineRule="auto"/>
        <w:ind w:left="720" w:hanging="720"/>
        <w:jc w:val="both"/>
      </w:pPr>
      <w:r>
        <w:t>Gereffi, G. (2018). Global value chains and development: Redefining the contours of twenty-first-century capitalism. Cambridge University Press.</w:t>
      </w:r>
    </w:p>
    <w:p w:rsidR="0053623C" w:rsidRDefault="0053623C" w:rsidP="00580154">
      <w:pPr>
        <w:spacing w:after="120" w:line="360" w:lineRule="auto"/>
        <w:ind w:left="720" w:hanging="720"/>
        <w:jc w:val="both"/>
      </w:pPr>
      <w:r>
        <w:t>Goldar, B., &amp; Banga, R. (2022). FDI in Indian manufacturing: Trends, patterns, and policy implications. Working Paper No. 412. Indian Council for Research on International Economic Relations (ICRIER).</w:t>
      </w:r>
    </w:p>
    <w:p w:rsidR="0053623C" w:rsidRDefault="0053623C" w:rsidP="00580154">
      <w:pPr>
        <w:spacing w:after="120" w:line="360" w:lineRule="auto"/>
        <w:ind w:left="720" w:hanging="720"/>
        <w:jc w:val="both"/>
      </w:pPr>
      <w:r>
        <w:t>Handley, K., &amp; Limão, N. (2022). Trade and investment under policy uncertainty: Theory and firm evidence. American Economic Journal: Economic Policy, 7(4), 189–222.</w:t>
      </w:r>
    </w:p>
    <w:p w:rsidR="0053623C" w:rsidRDefault="0053623C" w:rsidP="00580154">
      <w:pPr>
        <w:spacing w:after="120" w:line="360" w:lineRule="auto"/>
        <w:ind w:left="720" w:hanging="720"/>
        <w:jc w:val="both"/>
      </w:pPr>
      <w:r>
        <w:t>Javorcik, B. S. (2024). Reshoring in uncertain times: Evidence from firm-level investment strategies. Oxford Review of Economic Policy, 40(1), 18–35.</w:t>
      </w:r>
    </w:p>
    <w:p w:rsidR="0053623C" w:rsidRDefault="0053623C" w:rsidP="00580154">
      <w:pPr>
        <w:spacing w:after="120" w:line="360" w:lineRule="auto"/>
        <w:ind w:left="720" w:hanging="720"/>
        <w:jc w:val="both"/>
      </w:pPr>
      <w:r>
        <w:t>Kohli, A. (2012). Poverty amid plenty in the new India. Cambridge University Press.</w:t>
      </w:r>
    </w:p>
    <w:p w:rsidR="00AC1F9A" w:rsidRDefault="00AC1F9A" w:rsidP="00580154">
      <w:pPr>
        <w:spacing w:after="120" w:line="360" w:lineRule="auto"/>
        <w:ind w:left="720" w:hanging="720"/>
        <w:jc w:val="both"/>
      </w:pPr>
      <w:r w:rsidRPr="00AC1F9A">
        <w:lastRenderedPageBreak/>
        <w:t xml:space="preserve">Lall, S. (2021). </w:t>
      </w:r>
      <w:r w:rsidRPr="00AC1F9A">
        <w:rPr>
          <w:i/>
          <w:iCs/>
        </w:rPr>
        <w:t>Competitiveness, technology and skills: India in the global economy.</w:t>
      </w:r>
      <w:r w:rsidRPr="00AC1F9A">
        <w:t xml:space="preserve"> Edward Elgar Publishing</w:t>
      </w:r>
    </w:p>
    <w:p w:rsidR="0053623C" w:rsidRDefault="0053623C" w:rsidP="00580154">
      <w:pPr>
        <w:spacing w:after="120" w:line="360" w:lineRule="auto"/>
        <w:ind w:left="720" w:hanging="720"/>
        <w:jc w:val="both"/>
      </w:pPr>
      <w:r>
        <w:t>Malesky, E. J. (2022). The political economy of global value chain integration in Vietnam. World Development, 156, 105–121.</w:t>
      </w:r>
    </w:p>
    <w:p w:rsidR="0053623C" w:rsidRDefault="0053623C" w:rsidP="00580154">
      <w:pPr>
        <w:spacing w:after="120" w:line="360" w:lineRule="auto"/>
        <w:ind w:left="720" w:hanging="720"/>
        <w:jc w:val="both"/>
      </w:pPr>
      <w:r>
        <w:t>Ministry of Finance. (2022). Economic survey 2021–22. Government of India.</w:t>
      </w:r>
    </w:p>
    <w:p w:rsidR="0053623C" w:rsidRDefault="0053623C" w:rsidP="00580154">
      <w:pPr>
        <w:spacing w:after="120" w:line="360" w:lineRule="auto"/>
        <w:ind w:left="720" w:hanging="720"/>
        <w:jc w:val="both"/>
      </w:pPr>
      <w:r>
        <w:t>Mukherjee, A., &amp; Bhatt, V. (2022). Trade shocks and firm-level responses in Indian manufacturing: Evidence from CMIE PROWESS. Indian Economic Review, 57(1), 75–104.</w:t>
      </w:r>
    </w:p>
    <w:p w:rsidR="0053623C" w:rsidRDefault="0053623C" w:rsidP="00580154">
      <w:pPr>
        <w:spacing w:after="120" w:line="360" w:lineRule="auto"/>
        <w:ind w:left="720" w:hanging="720"/>
        <w:jc w:val="both"/>
      </w:pPr>
      <w:r>
        <w:t>Nagaraj, R. (2017). Economic reforms and manufacturing sector growth: Need for reconfiguring the industrial policy framework. Economic &amp; Political Weekly, 52(2), 61–68.</w:t>
      </w:r>
    </w:p>
    <w:p w:rsidR="0053623C" w:rsidRDefault="0053623C" w:rsidP="00580154">
      <w:pPr>
        <w:spacing w:after="120" w:line="360" w:lineRule="auto"/>
        <w:ind w:left="720" w:hanging="720"/>
        <w:jc w:val="both"/>
      </w:pPr>
      <w:r>
        <w:t>Niti Aayog. (2023). PLI scheme: Progress and outcomes report 2022–23. Government of India.</w:t>
      </w:r>
    </w:p>
    <w:p w:rsidR="0053623C" w:rsidRDefault="0053623C" w:rsidP="00580154">
      <w:pPr>
        <w:spacing w:after="120" w:line="360" w:lineRule="auto"/>
        <w:ind w:left="720" w:hanging="720"/>
        <w:jc w:val="both"/>
      </w:pPr>
      <w:r>
        <w:t>Pandey, R., &amp; Mehta, S. (2023). Apple's India pivot: Industrial policy, supply chain geopolitics, and manufacturing FDI. Vivekananda International Foundation Working Paper.</w:t>
      </w:r>
    </w:p>
    <w:p w:rsidR="0053623C" w:rsidRDefault="0053623C" w:rsidP="00580154">
      <w:pPr>
        <w:spacing w:after="120" w:line="360" w:lineRule="auto"/>
        <w:ind w:left="720" w:hanging="720"/>
        <w:jc w:val="both"/>
      </w:pPr>
      <w:r>
        <w:t>Pharmexcil. (2024). Indian pharmaceutical exports data 2023–24. Pharmaceuticals Export Promotion Council of India.</w:t>
      </w:r>
    </w:p>
    <w:p w:rsidR="0053623C" w:rsidRDefault="0053623C" w:rsidP="00580154">
      <w:pPr>
        <w:spacing w:after="120" w:line="360" w:lineRule="auto"/>
        <w:ind w:left="720" w:hanging="720"/>
        <w:jc w:val="both"/>
      </w:pPr>
      <w:r>
        <w:t>Rodrik, D. (2004). Industrial policy for the twenty-first century. Harvard Kennedy School Working Paper.</w:t>
      </w:r>
    </w:p>
    <w:p w:rsidR="0053623C" w:rsidRDefault="0053623C" w:rsidP="00580154">
      <w:pPr>
        <w:spacing w:after="120" w:line="360" w:lineRule="auto"/>
        <w:ind w:left="720" w:hanging="720"/>
        <w:jc w:val="both"/>
      </w:pPr>
      <w:r>
        <w:t>Sturgeon, T., &amp; Memedovic, O. (2011). Mapping global value chains: Intermediate goods trade and structural change in the world economy. UNIDO Working Paper No. 5.</w:t>
      </w:r>
    </w:p>
    <w:p w:rsidR="0053623C" w:rsidRDefault="0053623C" w:rsidP="00580154">
      <w:pPr>
        <w:spacing w:after="120" w:line="360" w:lineRule="auto"/>
        <w:ind w:left="720" w:hanging="720"/>
        <w:jc w:val="both"/>
      </w:pPr>
      <w:r>
        <w:t>Wade, R. (1990). Governing the market: Economic theory and the role of government in East Asian industrialisation. Princeton University Press.</w:t>
      </w:r>
    </w:p>
    <w:p w:rsidR="0053623C" w:rsidRPr="0053623C" w:rsidRDefault="0053623C" w:rsidP="00580154">
      <w:pPr>
        <w:spacing w:line="360" w:lineRule="auto"/>
        <w:jc w:val="both"/>
        <w:rPr>
          <w:b/>
          <w:bCs/>
          <w:lang w:eastAsia="en-US"/>
        </w:rPr>
      </w:pPr>
      <w:r>
        <w:t>World Bank. (2023). Logistics performance index: Connecting to compete. World Bank Group.</w:t>
      </w:r>
    </w:p>
    <w:p w:rsidR="0009620C" w:rsidRPr="009A3DB0" w:rsidRDefault="0009620C" w:rsidP="00580154">
      <w:pPr>
        <w:spacing w:line="360" w:lineRule="auto"/>
        <w:jc w:val="both"/>
        <w:rPr>
          <w:lang w:eastAsia="en-US"/>
        </w:rPr>
      </w:pPr>
    </w:p>
    <w:p w:rsidR="009A3DB0" w:rsidRPr="00B96B71" w:rsidRDefault="009A3DB0" w:rsidP="00580154">
      <w:pPr>
        <w:spacing w:line="360" w:lineRule="auto"/>
        <w:jc w:val="both"/>
        <w:rPr>
          <w:lang w:eastAsia="en-US"/>
        </w:rPr>
      </w:pPr>
    </w:p>
    <w:p w:rsidR="001C1D9B" w:rsidRDefault="001C1D9B" w:rsidP="00580154">
      <w:pPr>
        <w:spacing w:after="400" w:line="360" w:lineRule="auto"/>
        <w:jc w:val="both"/>
      </w:pPr>
    </w:p>
    <w:p w:rsidR="00044047" w:rsidRDefault="00044047" w:rsidP="00580154">
      <w:pPr>
        <w:spacing w:line="360" w:lineRule="auto"/>
        <w:jc w:val="both"/>
      </w:pPr>
    </w:p>
    <w:sectPr w:rsidR="00044047" w:rsidSect="005014C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1CA" w:rsidRDefault="00F521CA" w:rsidP="00580154">
      <w:r>
        <w:separator/>
      </w:r>
    </w:p>
  </w:endnote>
  <w:endnote w:type="continuationSeparator" w:id="1">
    <w:p w:rsidR="00F521CA" w:rsidRDefault="00F521CA" w:rsidP="00580154">
      <w:r>
        <w:continuationSeparator/>
      </w:r>
    </w:p>
  </w:endnote>
</w:endnotes>
</file>

<file path=word/fontTable.xml><?xml version="1.0" encoding="utf-8"?>
<w:fonts xmlns:r="http://schemas.openxmlformats.org/officeDocument/2006/relationships" xmlns:w="http://schemas.openxmlformats.org/wordprocessingml/2006/main">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1CA" w:rsidRDefault="00F521CA" w:rsidP="00580154">
      <w:r>
        <w:separator/>
      </w:r>
    </w:p>
  </w:footnote>
  <w:footnote w:type="continuationSeparator" w:id="1">
    <w:p w:rsidR="00F521CA" w:rsidRDefault="00F521CA" w:rsidP="00580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B0D95"/>
    <w:rsid w:val="0004223A"/>
    <w:rsid w:val="00044047"/>
    <w:rsid w:val="0009620C"/>
    <w:rsid w:val="00114121"/>
    <w:rsid w:val="00121BF9"/>
    <w:rsid w:val="00152B42"/>
    <w:rsid w:val="00155839"/>
    <w:rsid w:val="001C1D9B"/>
    <w:rsid w:val="0028184D"/>
    <w:rsid w:val="00286C91"/>
    <w:rsid w:val="002C13F9"/>
    <w:rsid w:val="002D2B19"/>
    <w:rsid w:val="00307511"/>
    <w:rsid w:val="00332CB1"/>
    <w:rsid w:val="003B17F3"/>
    <w:rsid w:val="00410E4A"/>
    <w:rsid w:val="00497A72"/>
    <w:rsid w:val="004D0CB0"/>
    <w:rsid w:val="005014C6"/>
    <w:rsid w:val="0053623C"/>
    <w:rsid w:val="005647F0"/>
    <w:rsid w:val="00576142"/>
    <w:rsid w:val="00580154"/>
    <w:rsid w:val="00584392"/>
    <w:rsid w:val="005D6970"/>
    <w:rsid w:val="00607B32"/>
    <w:rsid w:val="006376AE"/>
    <w:rsid w:val="006476F0"/>
    <w:rsid w:val="00654ECE"/>
    <w:rsid w:val="00724945"/>
    <w:rsid w:val="007A14FA"/>
    <w:rsid w:val="007A543D"/>
    <w:rsid w:val="008254D3"/>
    <w:rsid w:val="00837886"/>
    <w:rsid w:val="00885F27"/>
    <w:rsid w:val="008E7C0B"/>
    <w:rsid w:val="008F5D3F"/>
    <w:rsid w:val="009815B8"/>
    <w:rsid w:val="009A3DB0"/>
    <w:rsid w:val="009B0D95"/>
    <w:rsid w:val="00A058A9"/>
    <w:rsid w:val="00A235F5"/>
    <w:rsid w:val="00A442F5"/>
    <w:rsid w:val="00A50719"/>
    <w:rsid w:val="00A768B8"/>
    <w:rsid w:val="00A8630F"/>
    <w:rsid w:val="00AC1F9A"/>
    <w:rsid w:val="00AE60D3"/>
    <w:rsid w:val="00B02D35"/>
    <w:rsid w:val="00B21CBA"/>
    <w:rsid w:val="00B366CC"/>
    <w:rsid w:val="00B60776"/>
    <w:rsid w:val="00B61ECD"/>
    <w:rsid w:val="00B96B71"/>
    <w:rsid w:val="00BD1920"/>
    <w:rsid w:val="00C17468"/>
    <w:rsid w:val="00CA3DDD"/>
    <w:rsid w:val="00CB5DE9"/>
    <w:rsid w:val="00CB6ED0"/>
    <w:rsid w:val="00CF139C"/>
    <w:rsid w:val="00D36956"/>
    <w:rsid w:val="00D373AA"/>
    <w:rsid w:val="00D4610F"/>
    <w:rsid w:val="00E56EAD"/>
    <w:rsid w:val="00E6139C"/>
    <w:rsid w:val="00E767BF"/>
    <w:rsid w:val="00E82315"/>
    <w:rsid w:val="00E8635A"/>
    <w:rsid w:val="00EC3966"/>
    <w:rsid w:val="00F521CA"/>
    <w:rsid w:val="00F6307A"/>
    <w:rsid w:val="00F756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3F"/>
    <w:pPr>
      <w:spacing w:after="0" w:line="240" w:lineRule="auto"/>
    </w:pPr>
    <w:rPr>
      <w:rFonts w:ascii="Times New Roman" w:eastAsia="Times New Roman" w:hAnsi="Times New Roman" w:cs="Times New Roman"/>
      <w:kern w:val="0"/>
      <w:lang w:eastAsia="en-IN"/>
    </w:rPr>
  </w:style>
  <w:style w:type="paragraph" w:styleId="Heading1">
    <w:name w:val="heading 1"/>
    <w:basedOn w:val="Normal"/>
    <w:next w:val="Normal"/>
    <w:link w:val="Heading1Char"/>
    <w:uiPriority w:val="9"/>
    <w:qFormat/>
    <w:rsid w:val="009B0D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unhideWhenUsed/>
    <w:qFormat/>
    <w:rsid w:val="009B0D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9B0D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9B0D9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9B0D9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9B0D9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9B0D95"/>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9B0D95"/>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9B0D95"/>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0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D95"/>
    <w:rPr>
      <w:rFonts w:eastAsiaTheme="majorEastAsia" w:cstheme="majorBidi"/>
      <w:color w:val="272727" w:themeColor="text1" w:themeTint="D8"/>
    </w:rPr>
  </w:style>
  <w:style w:type="paragraph" w:styleId="Title">
    <w:name w:val="Title"/>
    <w:basedOn w:val="Normal"/>
    <w:next w:val="Normal"/>
    <w:link w:val="TitleChar"/>
    <w:uiPriority w:val="10"/>
    <w:qFormat/>
    <w:rsid w:val="009B0D9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B0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D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9B0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D95"/>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9B0D95"/>
    <w:rPr>
      <w:i/>
      <w:iCs/>
      <w:color w:val="404040" w:themeColor="text1" w:themeTint="BF"/>
    </w:rPr>
  </w:style>
  <w:style w:type="paragraph" w:styleId="ListParagraph">
    <w:name w:val="List Paragraph"/>
    <w:basedOn w:val="Normal"/>
    <w:uiPriority w:val="34"/>
    <w:qFormat/>
    <w:rsid w:val="009B0D95"/>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9B0D95"/>
    <w:rPr>
      <w:i/>
      <w:iCs/>
      <w:color w:val="0F4761" w:themeColor="accent1" w:themeShade="BF"/>
    </w:rPr>
  </w:style>
  <w:style w:type="paragraph" w:styleId="IntenseQuote">
    <w:name w:val="Intense Quote"/>
    <w:basedOn w:val="Normal"/>
    <w:next w:val="Normal"/>
    <w:link w:val="IntenseQuoteChar"/>
    <w:uiPriority w:val="30"/>
    <w:qFormat/>
    <w:rsid w:val="009B0D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9B0D95"/>
    <w:rPr>
      <w:i/>
      <w:iCs/>
      <w:color w:val="0F4761" w:themeColor="accent1" w:themeShade="BF"/>
    </w:rPr>
  </w:style>
  <w:style w:type="character" w:styleId="IntenseReference">
    <w:name w:val="Intense Reference"/>
    <w:basedOn w:val="DefaultParagraphFont"/>
    <w:uiPriority w:val="32"/>
    <w:qFormat/>
    <w:rsid w:val="009B0D95"/>
    <w:rPr>
      <w:b/>
      <w:bCs/>
      <w:smallCaps/>
      <w:color w:val="0F4761" w:themeColor="accent1" w:themeShade="BF"/>
      <w:spacing w:val="5"/>
    </w:rPr>
  </w:style>
  <w:style w:type="character" w:styleId="Hyperlink">
    <w:name w:val="Hyperlink"/>
    <w:basedOn w:val="DefaultParagraphFont"/>
    <w:uiPriority w:val="99"/>
    <w:unhideWhenUsed/>
    <w:rsid w:val="00BD1920"/>
    <w:rPr>
      <w:color w:val="467886" w:themeColor="hyperlink"/>
      <w:u w:val="single"/>
    </w:rPr>
  </w:style>
  <w:style w:type="character" w:customStyle="1" w:styleId="UnresolvedMention">
    <w:name w:val="Unresolved Mention"/>
    <w:basedOn w:val="DefaultParagraphFont"/>
    <w:uiPriority w:val="99"/>
    <w:semiHidden/>
    <w:unhideWhenUsed/>
    <w:rsid w:val="00BD1920"/>
    <w:rPr>
      <w:color w:val="605E5C"/>
      <w:shd w:val="clear" w:color="auto" w:fill="E1DFDD"/>
    </w:rPr>
  </w:style>
  <w:style w:type="paragraph" w:styleId="NoSpacing">
    <w:name w:val="No Spacing"/>
    <w:uiPriority w:val="1"/>
    <w:qFormat/>
    <w:rsid w:val="00E767BF"/>
    <w:pPr>
      <w:spacing w:after="0" w:line="240" w:lineRule="auto"/>
    </w:pPr>
    <w:rPr>
      <w:rFonts w:ascii="Times New Roman" w:eastAsia="Times New Roman" w:hAnsi="Times New Roman" w:cs="Times New Roman"/>
      <w:kern w:val="0"/>
      <w:lang w:eastAsia="en-IN"/>
    </w:rPr>
  </w:style>
  <w:style w:type="paragraph" w:styleId="Header">
    <w:name w:val="header"/>
    <w:basedOn w:val="Normal"/>
    <w:link w:val="HeaderChar"/>
    <w:uiPriority w:val="99"/>
    <w:unhideWhenUsed/>
    <w:rsid w:val="00580154"/>
    <w:pPr>
      <w:tabs>
        <w:tab w:val="center" w:pos="4513"/>
        <w:tab w:val="right" w:pos="9026"/>
      </w:tabs>
    </w:pPr>
  </w:style>
  <w:style w:type="character" w:customStyle="1" w:styleId="HeaderChar">
    <w:name w:val="Header Char"/>
    <w:basedOn w:val="DefaultParagraphFont"/>
    <w:link w:val="Header"/>
    <w:uiPriority w:val="99"/>
    <w:rsid w:val="00580154"/>
    <w:rPr>
      <w:rFonts w:ascii="Times New Roman" w:eastAsia="Times New Roman" w:hAnsi="Times New Roman" w:cs="Times New Roman"/>
      <w:kern w:val="0"/>
      <w:lang w:eastAsia="en-IN"/>
    </w:rPr>
  </w:style>
  <w:style w:type="paragraph" w:styleId="Footer">
    <w:name w:val="footer"/>
    <w:basedOn w:val="Normal"/>
    <w:link w:val="FooterChar"/>
    <w:uiPriority w:val="99"/>
    <w:unhideWhenUsed/>
    <w:rsid w:val="00580154"/>
    <w:pPr>
      <w:tabs>
        <w:tab w:val="center" w:pos="4513"/>
        <w:tab w:val="right" w:pos="9026"/>
      </w:tabs>
    </w:pPr>
  </w:style>
  <w:style w:type="character" w:customStyle="1" w:styleId="FooterChar">
    <w:name w:val="Footer Char"/>
    <w:basedOn w:val="DefaultParagraphFont"/>
    <w:link w:val="Footer"/>
    <w:uiPriority w:val="99"/>
    <w:rsid w:val="00580154"/>
    <w:rPr>
      <w:rFonts w:ascii="Times New Roman" w:eastAsia="Times New Roman" w:hAnsi="Times New Roman" w:cs="Times New Roman"/>
      <w:kern w:val="0"/>
      <w:lang w:eastAsia="en-IN"/>
    </w:rPr>
  </w:style>
</w:styles>
</file>

<file path=word/webSettings.xml><?xml version="1.0" encoding="utf-8"?>
<w:webSettings xmlns:r="http://schemas.openxmlformats.org/officeDocument/2006/relationships" xmlns:w="http://schemas.openxmlformats.org/wordprocessingml/2006/main">
  <w:divs>
    <w:div w:id="6103192">
      <w:bodyDiv w:val="1"/>
      <w:marLeft w:val="0"/>
      <w:marRight w:val="0"/>
      <w:marTop w:val="0"/>
      <w:marBottom w:val="0"/>
      <w:divBdr>
        <w:top w:val="none" w:sz="0" w:space="0" w:color="auto"/>
        <w:left w:val="none" w:sz="0" w:space="0" w:color="auto"/>
        <w:bottom w:val="none" w:sz="0" w:space="0" w:color="auto"/>
        <w:right w:val="none" w:sz="0" w:space="0" w:color="auto"/>
      </w:divBdr>
    </w:div>
    <w:div w:id="445781847">
      <w:bodyDiv w:val="1"/>
      <w:marLeft w:val="0"/>
      <w:marRight w:val="0"/>
      <w:marTop w:val="0"/>
      <w:marBottom w:val="0"/>
      <w:divBdr>
        <w:top w:val="none" w:sz="0" w:space="0" w:color="auto"/>
        <w:left w:val="none" w:sz="0" w:space="0" w:color="auto"/>
        <w:bottom w:val="none" w:sz="0" w:space="0" w:color="auto"/>
        <w:right w:val="none" w:sz="0" w:space="0" w:color="auto"/>
      </w:divBdr>
    </w:div>
    <w:div w:id="1388143411">
      <w:bodyDiv w:val="1"/>
      <w:marLeft w:val="0"/>
      <w:marRight w:val="0"/>
      <w:marTop w:val="0"/>
      <w:marBottom w:val="0"/>
      <w:divBdr>
        <w:top w:val="none" w:sz="0" w:space="0" w:color="auto"/>
        <w:left w:val="none" w:sz="0" w:space="0" w:color="auto"/>
        <w:bottom w:val="none" w:sz="0" w:space="0" w:color="auto"/>
        <w:right w:val="none" w:sz="0" w:space="0" w:color="auto"/>
      </w:divBdr>
    </w:div>
    <w:div w:id="1462579646">
      <w:bodyDiv w:val="1"/>
      <w:marLeft w:val="0"/>
      <w:marRight w:val="0"/>
      <w:marTop w:val="0"/>
      <w:marBottom w:val="0"/>
      <w:divBdr>
        <w:top w:val="none" w:sz="0" w:space="0" w:color="auto"/>
        <w:left w:val="none" w:sz="0" w:space="0" w:color="auto"/>
        <w:bottom w:val="none" w:sz="0" w:space="0" w:color="auto"/>
        <w:right w:val="none" w:sz="0" w:space="0" w:color="auto"/>
      </w:divBdr>
    </w:div>
    <w:div w:id="1647666707">
      <w:bodyDiv w:val="1"/>
      <w:marLeft w:val="0"/>
      <w:marRight w:val="0"/>
      <w:marTop w:val="0"/>
      <w:marBottom w:val="0"/>
      <w:divBdr>
        <w:top w:val="none" w:sz="0" w:space="0" w:color="auto"/>
        <w:left w:val="none" w:sz="0" w:space="0" w:color="auto"/>
        <w:bottom w:val="none" w:sz="0" w:space="0" w:color="auto"/>
        <w:right w:val="none" w:sz="0" w:space="0" w:color="auto"/>
      </w:divBdr>
    </w:div>
    <w:div w:id="17416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Santhoshi.S</dc:creator>
  <cp:lastModifiedBy>Msc</cp:lastModifiedBy>
  <cp:revision>2</cp:revision>
  <dcterms:created xsi:type="dcterms:W3CDTF">2026-06-24T13:01:00Z</dcterms:created>
  <dcterms:modified xsi:type="dcterms:W3CDTF">2026-06-24T13:01:00Z</dcterms:modified>
</cp:coreProperties>
</file>