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040E" w14:textId="12286CBC" w:rsidR="00EA56F4" w:rsidRPr="00EA56F4" w:rsidRDefault="00EA56F4" w:rsidP="00EA56F4">
      <w:pPr>
        <w:spacing w:line="360" w:lineRule="auto"/>
        <w:jc w:val="center"/>
        <w:rPr>
          <w:rFonts w:ascii="Times New Roman" w:hAnsi="Times New Roman" w:cs="Times New Roman"/>
          <w:b/>
          <w:bCs/>
          <w:sz w:val="24"/>
          <w:szCs w:val="24"/>
        </w:rPr>
      </w:pPr>
      <w:r w:rsidRPr="00EA56F4">
        <w:rPr>
          <w:rFonts w:ascii="Times New Roman" w:hAnsi="Times New Roman" w:cs="Times New Roman"/>
          <w:b/>
          <w:bCs/>
          <w:sz w:val="24"/>
          <w:szCs w:val="24"/>
        </w:rPr>
        <w:t>Balancing Profit and Planet</w:t>
      </w:r>
    </w:p>
    <w:p w14:paraId="56957D41" w14:textId="77777777" w:rsidR="00EA56F4" w:rsidRPr="00EA56F4" w:rsidRDefault="00EA56F4" w:rsidP="00EA56F4">
      <w:pPr>
        <w:spacing w:line="360" w:lineRule="auto"/>
        <w:jc w:val="center"/>
        <w:rPr>
          <w:rFonts w:ascii="Times New Roman" w:hAnsi="Times New Roman" w:cs="Times New Roman"/>
          <w:b/>
          <w:bCs/>
          <w:sz w:val="24"/>
          <w:szCs w:val="24"/>
        </w:rPr>
      </w:pPr>
      <w:r w:rsidRPr="00EA56F4">
        <w:rPr>
          <w:rFonts w:ascii="Times New Roman" w:hAnsi="Times New Roman" w:cs="Times New Roman"/>
          <w:b/>
          <w:bCs/>
          <w:sz w:val="24"/>
          <w:szCs w:val="24"/>
        </w:rPr>
        <w:t>Green Finance, ESG Performance and Financial Outcomes in an Emerging Renewable Energy Firm</w:t>
      </w:r>
    </w:p>
    <w:p w14:paraId="3FF2FD4E" w14:textId="77777777" w:rsidR="00EA56F4" w:rsidRPr="00EA56F4" w:rsidRDefault="00EA56F4" w:rsidP="00EA56F4">
      <w:pPr>
        <w:spacing w:line="360" w:lineRule="auto"/>
        <w:jc w:val="center"/>
        <w:rPr>
          <w:rFonts w:ascii="Times New Roman" w:hAnsi="Times New Roman" w:cs="Times New Roman"/>
          <w:b/>
          <w:bCs/>
          <w:sz w:val="24"/>
          <w:szCs w:val="24"/>
        </w:rPr>
      </w:pPr>
      <w:r w:rsidRPr="00EA56F4">
        <w:rPr>
          <w:rFonts w:ascii="Times New Roman" w:hAnsi="Times New Roman" w:cs="Times New Roman"/>
          <w:b/>
          <w:bCs/>
          <w:sz w:val="24"/>
          <w:szCs w:val="24"/>
        </w:rPr>
        <w:t>(A Case study on Adani Green Energy Limited)</w:t>
      </w:r>
    </w:p>
    <w:p w14:paraId="67EC793E" w14:textId="77777777" w:rsidR="00EA56F4" w:rsidRPr="00EA56F4" w:rsidRDefault="00EA56F4" w:rsidP="00EA56F4">
      <w:pPr>
        <w:spacing w:line="360" w:lineRule="auto"/>
        <w:jc w:val="center"/>
        <w:rPr>
          <w:rFonts w:ascii="Times New Roman" w:hAnsi="Times New Roman" w:cs="Times New Roman"/>
          <w:b/>
          <w:bCs/>
          <w:sz w:val="24"/>
          <w:szCs w:val="24"/>
        </w:rPr>
      </w:pPr>
      <w:r w:rsidRPr="00EA56F4">
        <w:rPr>
          <w:rFonts w:ascii="Times New Roman" w:hAnsi="Times New Roman" w:cs="Times New Roman"/>
          <w:b/>
          <w:bCs/>
          <w:sz w:val="24"/>
          <w:szCs w:val="24"/>
        </w:rPr>
        <w:t>Mr. Ch. Mahesh Kumar</w:t>
      </w:r>
    </w:p>
    <w:p w14:paraId="75F42C8B" w14:textId="77777777" w:rsidR="00EA56F4" w:rsidRPr="00EA56F4" w:rsidRDefault="00EA56F4" w:rsidP="00EA56F4">
      <w:pPr>
        <w:spacing w:line="360" w:lineRule="auto"/>
        <w:jc w:val="center"/>
        <w:rPr>
          <w:rFonts w:ascii="Times New Roman" w:hAnsi="Times New Roman" w:cs="Times New Roman"/>
          <w:b/>
          <w:bCs/>
          <w:sz w:val="24"/>
          <w:szCs w:val="24"/>
        </w:rPr>
      </w:pPr>
      <w:r w:rsidRPr="00EA56F4">
        <w:rPr>
          <w:rFonts w:ascii="Times New Roman" w:hAnsi="Times New Roman" w:cs="Times New Roman"/>
          <w:b/>
          <w:bCs/>
          <w:sz w:val="24"/>
          <w:szCs w:val="24"/>
        </w:rPr>
        <w:t>Dr. G. Sai Rekha</w:t>
      </w:r>
    </w:p>
    <w:p w14:paraId="335DB55A" w14:textId="34924B75" w:rsidR="00EA56F4" w:rsidRPr="00EA56F4" w:rsidRDefault="00EA56F4" w:rsidP="00EA56F4">
      <w:pPr>
        <w:spacing w:line="360" w:lineRule="auto"/>
        <w:jc w:val="center"/>
        <w:rPr>
          <w:rFonts w:ascii="Times New Roman" w:hAnsi="Times New Roman" w:cs="Times New Roman"/>
          <w:b/>
          <w:bCs/>
          <w:sz w:val="24"/>
          <w:szCs w:val="24"/>
        </w:rPr>
      </w:pPr>
      <w:r w:rsidRPr="00EA56F4">
        <w:rPr>
          <w:rFonts w:ascii="Times New Roman" w:hAnsi="Times New Roman" w:cs="Times New Roman"/>
          <w:b/>
          <w:bCs/>
          <w:sz w:val="24"/>
          <w:szCs w:val="24"/>
        </w:rPr>
        <w:t xml:space="preserve">Mr. </w:t>
      </w:r>
      <w:proofErr w:type="gramStart"/>
      <w:r w:rsidR="009525B2">
        <w:rPr>
          <w:rFonts w:ascii="Times New Roman" w:hAnsi="Times New Roman" w:cs="Times New Roman"/>
          <w:b/>
          <w:bCs/>
          <w:sz w:val="24"/>
          <w:szCs w:val="24"/>
        </w:rPr>
        <w:t>P.</w:t>
      </w:r>
      <w:r w:rsidRPr="00EA56F4">
        <w:rPr>
          <w:rFonts w:ascii="Times New Roman" w:hAnsi="Times New Roman" w:cs="Times New Roman"/>
          <w:b/>
          <w:bCs/>
          <w:sz w:val="24"/>
          <w:szCs w:val="24"/>
        </w:rPr>
        <w:t>Phani</w:t>
      </w:r>
      <w:proofErr w:type="gramEnd"/>
      <w:r w:rsidRPr="00EA56F4">
        <w:rPr>
          <w:rFonts w:ascii="Times New Roman" w:hAnsi="Times New Roman" w:cs="Times New Roman"/>
          <w:b/>
          <w:bCs/>
          <w:sz w:val="24"/>
          <w:szCs w:val="24"/>
        </w:rPr>
        <w:t xml:space="preserve"> Kasyap</w:t>
      </w:r>
    </w:p>
    <w:p w14:paraId="05833ECD" w14:textId="7EE7E843" w:rsidR="00EA56F4" w:rsidRPr="00EA56F4" w:rsidRDefault="00EA56F4" w:rsidP="00EA56F4">
      <w:pPr>
        <w:spacing w:line="360" w:lineRule="auto"/>
        <w:jc w:val="center"/>
        <w:rPr>
          <w:rFonts w:ascii="Times New Roman" w:hAnsi="Times New Roman" w:cs="Times New Roman"/>
          <w:b/>
          <w:bCs/>
          <w:sz w:val="24"/>
          <w:szCs w:val="24"/>
        </w:rPr>
      </w:pPr>
      <w:r w:rsidRPr="00EA56F4">
        <w:rPr>
          <w:rFonts w:ascii="Times New Roman" w:hAnsi="Times New Roman" w:cs="Times New Roman"/>
          <w:b/>
          <w:bCs/>
          <w:sz w:val="24"/>
          <w:szCs w:val="24"/>
        </w:rPr>
        <w:t>Viswa Vishwani Institute of Systems and Management, Hyderabad</w:t>
      </w:r>
    </w:p>
    <w:p w14:paraId="170CEFC7" w14:textId="77777777" w:rsidR="00EA56F4" w:rsidRPr="00EA56F4" w:rsidRDefault="00000000" w:rsidP="00EA56F4">
      <w:pPr>
        <w:spacing w:line="360" w:lineRule="auto"/>
        <w:jc w:val="both"/>
        <w:rPr>
          <w:rFonts w:ascii="Times New Roman" w:hAnsi="Times New Roman" w:cs="Times New Roman"/>
          <w:sz w:val="24"/>
          <w:szCs w:val="24"/>
        </w:rPr>
      </w:pPr>
      <w:r>
        <w:rPr>
          <w:rFonts w:ascii="Times New Roman" w:hAnsi="Times New Roman" w:cs="Times New Roman"/>
          <w:sz w:val="24"/>
          <w:szCs w:val="24"/>
        </w:rPr>
        <w:pict w14:anchorId="79C3928B">
          <v:rect id="_x0000_i1025" style="width:0;height:1.5pt" o:hralign="center" o:hrstd="t" o:hr="t" fillcolor="#a0a0a0" stroked="f"/>
        </w:pict>
      </w:r>
    </w:p>
    <w:p w14:paraId="66576CB3"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Abstract</w:t>
      </w:r>
    </w:p>
    <w:p w14:paraId="42F1ECD6" w14:textId="77777777" w:rsidR="00EA56F4" w:rsidRPr="00EA56F4" w:rsidRDefault="00EA56F4" w:rsidP="00EA56F4">
      <w:pPr>
        <w:spacing w:line="360" w:lineRule="auto"/>
        <w:jc w:val="both"/>
        <w:rPr>
          <w:rFonts w:ascii="Times New Roman" w:hAnsi="Times New Roman" w:cs="Times New Roman"/>
          <w:i/>
          <w:iCs/>
          <w:sz w:val="24"/>
          <w:szCs w:val="24"/>
        </w:rPr>
      </w:pPr>
      <w:r w:rsidRPr="00EA56F4">
        <w:rPr>
          <w:rFonts w:ascii="Times New Roman" w:hAnsi="Times New Roman" w:cs="Times New Roman"/>
          <w:i/>
          <w:iCs/>
          <w:sz w:val="24"/>
          <w:szCs w:val="24"/>
        </w:rPr>
        <w:t>The growing integration of environmental, social and governance (ESG) considerations into financial markets has reshaped capital allocation mechanisms globally. Green finance instruments, particularly green bonds and sustainability-linked loans, are increasingly used to mobilize capital toward climate-aligned infrastructure. Despite substantial macro-level evidence linking green finance to sustainable development, firm-level empirical validation remains limited in emerging renewable energy markets. This study investigates the relationship between green finance adoption, ESG performance and financial outcomes within a large renewable energy firm operating in India over the period 2015–2024. Using a longitudinal quantitative design, the study applies correlation analysis, multiple regression modelling and mediation testing to evaluate the sustainability–profitability nexus. The results indicate that green finance significantly enhances ESG performance and positively influences profitability indicators including EBITDA margin, return on assets (ROA) and return on equity (ROE). ESG performance partially mediates the relationship between green finance and financial performance. The findings support the proposition that sustainability and profitability are structurally complementary rather than conflicting objectives in capital-intensive renewable energy firms. The study contributes micro-level empirical evidence to the sustainable finance literature and offers policy implications for emerging markets transitioning toward low-carbon development.</w:t>
      </w:r>
    </w:p>
    <w:p w14:paraId="5617B777"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b/>
          <w:bCs/>
          <w:sz w:val="24"/>
          <w:szCs w:val="24"/>
        </w:rPr>
        <w:t>Keywords:</w:t>
      </w:r>
      <w:r w:rsidRPr="00EA56F4">
        <w:rPr>
          <w:rFonts w:ascii="Times New Roman" w:hAnsi="Times New Roman" w:cs="Times New Roman"/>
          <w:sz w:val="24"/>
          <w:szCs w:val="24"/>
        </w:rPr>
        <w:t xml:space="preserve"> Green finance; ESG performance; Renewable energy; Financial performance; Sustainable growth; Emerging markets</w:t>
      </w:r>
    </w:p>
    <w:p w14:paraId="66E63562" w14:textId="22DC54EA" w:rsidR="00EA56F4" w:rsidRPr="00EA56F4" w:rsidRDefault="00EA56F4" w:rsidP="00EA56F4">
      <w:pPr>
        <w:spacing w:line="360" w:lineRule="auto"/>
        <w:jc w:val="both"/>
        <w:rPr>
          <w:rFonts w:ascii="Times New Roman" w:hAnsi="Times New Roman" w:cs="Times New Roman"/>
          <w:sz w:val="24"/>
          <w:szCs w:val="24"/>
        </w:rPr>
      </w:pPr>
    </w:p>
    <w:p w14:paraId="289AD2AF"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1. Introduction</w:t>
      </w:r>
    </w:p>
    <w:p w14:paraId="5691547F"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Sustainable finance has evolved from a niche investment strategy into a mainstream capital allocation framework. Over the past decade, the rapid growth of green bonds, sustainability-linked loans and ESG-based investment products has signalled a structural transformation in financial markets. According to Gilchrist, Yu and Zhong (2021), green finance instruments serve not only as funding mechanisms but also as signalling devices that enhance transparency and environmental accountability.</w:t>
      </w:r>
    </w:p>
    <w:p w14:paraId="20636C92"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Emerging economies face a dual challenge: meeting rising energy demand while transitioning toward low-carbon growth. Renewable energy firms play a pivotal role in this transformation. However, renewable infrastructure projects are capital-intensive, long-term and highly leveraged. Consequently, the integration of green finance mechanisms into corporate capital structures becomes strategically significant.</w:t>
      </w:r>
    </w:p>
    <w:p w14:paraId="2148EE1D"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Although macroeconomic panel studies demonstrate that green finance contributes to environmental sustainability and national ESG performance (Khan et al., 2022; Zheng et al., 2025), there is limited firm-level evidence examining whether sustainability-oriented financing improves corporate profitability in emerging renewable energy firms.</w:t>
      </w:r>
    </w:p>
    <w:p w14:paraId="05E3968C"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This study addresses that gap by empirically examining the relationship among:</w:t>
      </w:r>
    </w:p>
    <w:p w14:paraId="07131B55" w14:textId="77777777" w:rsidR="00EA56F4" w:rsidRPr="00EA56F4" w:rsidRDefault="00EA56F4" w:rsidP="00EA56F4">
      <w:pPr>
        <w:numPr>
          <w:ilvl w:val="0"/>
          <w:numId w:val="1"/>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Green finance adoption</w:t>
      </w:r>
    </w:p>
    <w:p w14:paraId="030C2E46" w14:textId="77777777" w:rsidR="00EA56F4" w:rsidRPr="00EA56F4" w:rsidRDefault="00EA56F4" w:rsidP="00EA56F4">
      <w:pPr>
        <w:numPr>
          <w:ilvl w:val="0"/>
          <w:numId w:val="1"/>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ESG performance</w:t>
      </w:r>
    </w:p>
    <w:p w14:paraId="0557F538" w14:textId="77777777" w:rsidR="00EA56F4" w:rsidRPr="00EA56F4" w:rsidRDefault="00EA56F4" w:rsidP="00EA56F4">
      <w:pPr>
        <w:numPr>
          <w:ilvl w:val="0"/>
          <w:numId w:val="1"/>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Financial outcomes</w:t>
      </w:r>
    </w:p>
    <w:p w14:paraId="1A672B42"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within a large renewable energy corporation in India over a ten-year period (2015–2024).</w:t>
      </w:r>
    </w:p>
    <w:p w14:paraId="02F33925"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The central research question is:</w:t>
      </w:r>
    </w:p>
    <w:p w14:paraId="6D2E8D57"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2. Literature Review</w:t>
      </w:r>
    </w:p>
    <w:p w14:paraId="2DF13027"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2.1 Green Finance and Sustainable Development</w:t>
      </w:r>
    </w:p>
    <w:p w14:paraId="18D1113A"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Green finance refers to financial instruments designed to support environmentally sustainable projects. These include green bonds, green loans, climate funds and sustainability-linked debt instruments. Lee (2020) argues that green finance is essential for achieving Sustainable Development Goals by mobilising private capital for climate infrastructure.</w:t>
      </w:r>
    </w:p>
    <w:p w14:paraId="278E955F"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lastRenderedPageBreak/>
        <w:t>Khan et al. (2022) find that green finance development significantly improves environmental sustainability indicators in panel data across emerging economies. Similarly, Zheng et al. (2025) demonstrate that green finance enhances national ESG performance through technological innovation channels.</w:t>
      </w:r>
    </w:p>
    <w:p w14:paraId="240512F0"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However, Gilchrist et al. (2021) caution that green finance faces credibility challenges, including greenwashing and regulatory fragmentation.</w:t>
      </w:r>
    </w:p>
    <w:p w14:paraId="71B44838"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While these studies establish macro-level relationships, they do not fully examine firm-level profitability implications.</w:t>
      </w:r>
    </w:p>
    <w:p w14:paraId="31D35DE4"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2.2 ESG Performance and Financial Outcomes</w:t>
      </w:r>
    </w:p>
    <w:p w14:paraId="14C5B7B7"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The ESG–financial performance nexus has generated extensive debate. Talan and Sharma (2019) argue that sustainable investment strategies can produce competitive risk-adjusted returns. Kaiser (n.d.) suggests ESG integration improves downside risk protection.</w:t>
      </w:r>
    </w:p>
    <w:p w14:paraId="0025B0B1"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Erdoğdu et al. (2025) find that green investment portfolios show resilience during market stress periods. However, Wang (2024) highlights operational and compliance costs associated with ESG reporting.</w:t>
      </w:r>
    </w:p>
    <w:p w14:paraId="40F8152C"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Empirical findings remain context-dependent, particularly in emerging markets.</w:t>
      </w:r>
    </w:p>
    <w:p w14:paraId="285A9393"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2.3 Green Finance and Corporate Financial Performance</w:t>
      </w:r>
    </w:p>
    <w:p w14:paraId="35DC43E5"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Green bonds are associated with lower cost of capital and improved investor confidence (Alcarva et al., 2026). Sustainability-linked loans tie borrowing costs to ESG performance metrics (Meng and Shaikh, 2023), potentially strengthening governance accountability.</w:t>
      </w:r>
    </w:p>
    <w:p w14:paraId="5E258BB2"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Despite theoretical support, firm-level longitudinal evidence within renewable infrastructure firms remains underdeveloped.</w:t>
      </w:r>
    </w:p>
    <w:p w14:paraId="2FBAE90D"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2.4 Research Gap</w:t>
      </w:r>
    </w:p>
    <w:p w14:paraId="308B6FEA"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Existing literature primarily focuses on:</w:t>
      </w:r>
    </w:p>
    <w:p w14:paraId="705135D4" w14:textId="77777777" w:rsidR="00EA56F4" w:rsidRPr="00EA56F4" w:rsidRDefault="00EA56F4" w:rsidP="00EA56F4">
      <w:pPr>
        <w:numPr>
          <w:ilvl w:val="0"/>
          <w:numId w:val="2"/>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National panel studies</w:t>
      </w:r>
    </w:p>
    <w:p w14:paraId="768AED57" w14:textId="77777777" w:rsidR="00EA56F4" w:rsidRPr="00EA56F4" w:rsidRDefault="00EA56F4" w:rsidP="00EA56F4">
      <w:pPr>
        <w:numPr>
          <w:ilvl w:val="0"/>
          <w:numId w:val="2"/>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Portfolio-level ESG performance</w:t>
      </w:r>
    </w:p>
    <w:p w14:paraId="4AC00F07" w14:textId="77777777" w:rsidR="00EA56F4" w:rsidRPr="00EA56F4" w:rsidRDefault="00EA56F4" w:rsidP="00EA56F4">
      <w:pPr>
        <w:numPr>
          <w:ilvl w:val="0"/>
          <w:numId w:val="2"/>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Policy frameworks</w:t>
      </w:r>
    </w:p>
    <w:p w14:paraId="450D5317"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lastRenderedPageBreak/>
        <w:t>There is limited longitudinal firm-level analysis integrating green finance, ESG performance and profitability in emerging renewable energy corporations.</w:t>
      </w:r>
    </w:p>
    <w:p w14:paraId="53505601"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2.5 Hypothesis Development</w:t>
      </w:r>
    </w:p>
    <w:p w14:paraId="4C00397B"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Based on the literature, the following hypotheses are proposed:</w:t>
      </w:r>
    </w:p>
    <w:p w14:paraId="3FAA0AB6" w14:textId="77777777" w:rsidR="00EA56F4" w:rsidRPr="00EA56F4" w:rsidRDefault="00EA56F4" w:rsidP="00EA56F4">
      <w:pPr>
        <w:spacing w:line="360" w:lineRule="auto"/>
        <w:rPr>
          <w:rFonts w:ascii="Times New Roman" w:hAnsi="Times New Roman" w:cs="Times New Roman"/>
          <w:sz w:val="24"/>
          <w:szCs w:val="24"/>
        </w:rPr>
      </w:pPr>
      <w:r w:rsidRPr="00EA56F4">
        <w:rPr>
          <w:rFonts w:ascii="Times New Roman" w:hAnsi="Times New Roman" w:cs="Times New Roman"/>
          <w:sz w:val="24"/>
          <w:szCs w:val="24"/>
        </w:rPr>
        <w:t>H1: Green finance adoption positively influences financial performance.</w:t>
      </w:r>
      <w:r w:rsidRPr="00EA56F4">
        <w:rPr>
          <w:rFonts w:ascii="Times New Roman" w:hAnsi="Times New Roman" w:cs="Times New Roman"/>
          <w:sz w:val="24"/>
          <w:szCs w:val="24"/>
        </w:rPr>
        <w:br/>
        <w:t>H2: ESG performance positively influences financial performance.</w:t>
      </w:r>
      <w:r w:rsidRPr="00EA56F4">
        <w:rPr>
          <w:rFonts w:ascii="Times New Roman" w:hAnsi="Times New Roman" w:cs="Times New Roman"/>
          <w:sz w:val="24"/>
          <w:szCs w:val="24"/>
        </w:rPr>
        <w:br/>
        <w:t>H3: Green finance positively influences ESG performance.</w:t>
      </w:r>
      <w:r w:rsidRPr="00EA56F4">
        <w:rPr>
          <w:rFonts w:ascii="Times New Roman" w:hAnsi="Times New Roman" w:cs="Times New Roman"/>
          <w:sz w:val="24"/>
          <w:szCs w:val="24"/>
        </w:rPr>
        <w:br/>
        <w:t>H4: ESG performance mediates the relationship between green finance and financial performance.</w:t>
      </w:r>
    </w:p>
    <w:p w14:paraId="7969B896" w14:textId="77777777" w:rsidR="00EA56F4" w:rsidRPr="00EA56F4" w:rsidRDefault="00000000" w:rsidP="00EA56F4">
      <w:pPr>
        <w:spacing w:line="360" w:lineRule="auto"/>
        <w:jc w:val="both"/>
        <w:rPr>
          <w:rFonts w:ascii="Times New Roman" w:hAnsi="Times New Roman" w:cs="Times New Roman"/>
          <w:sz w:val="24"/>
          <w:szCs w:val="24"/>
        </w:rPr>
      </w:pPr>
      <w:r>
        <w:rPr>
          <w:rFonts w:ascii="Times New Roman" w:hAnsi="Times New Roman" w:cs="Times New Roman"/>
          <w:sz w:val="24"/>
          <w:szCs w:val="24"/>
        </w:rPr>
        <w:pict w14:anchorId="12CB628A">
          <v:rect id="_x0000_i1026" style="width:0;height:1.5pt" o:hralign="center" o:hrstd="t" o:hr="t" fillcolor="#a0a0a0" stroked="f"/>
        </w:pict>
      </w:r>
    </w:p>
    <w:p w14:paraId="67DB55D7"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3. Methodology</w:t>
      </w:r>
    </w:p>
    <w:p w14:paraId="647902FA"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3.1 Research Design</w:t>
      </w:r>
    </w:p>
    <w:p w14:paraId="117423EA"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A quantitative longitudinal case study design is adopted. The study covers the period 2015–2024.</w:t>
      </w:r>
    </w:p>
    <w:p w14:paraId="2F927B7C"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3.2 Data Sources</w:t>
      </w:r>
    </w:p>
    <w:p w14:paraId="219815B9"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Secondary data were collected from:</w:t>
      </w:r>
    </w:p>
    <w:p w14:paraId="62860D3B" w14:textId="77777777" w:rsidR="00EA56F4" w:rsidRPr="00EA56F4" w:rsidRDefault="00EA56F4" w:rsidP="00EA56F4">
      <w:pPr>
        <w:numPr>
          <w:ilvl w:val="0"/>
          <w:numId w:val="3"/>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Annual reports</w:t>
      </w:r>
    </w:p>
    <w:p w14:paraId="4BB68506" w14:textId="77777777" w:rsidR="00EA56F4" w:rsidRPr="00EA56F4" w:rsidRDefault="00EA56F4" w:rsidP="00EA56F4">
      <w:pPr>
        <w:numPr>
          <w:ilvl w:val="0"/>
          <w:numId w:val="3"/>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ESG disclosures</w:t>
      </w:r>
    </w:p>
    <w:p w14:paraId="341A02EF" w14:textId="77777777" w:rsidR="00EA56F4" w:rsidRPr="00EA56F4" w:rsidRDefault="00EA56F4" w:rsidP="00EA56F4">
      <w:pPr>
        <w:numPr>
          <w:ilvl w:val="0"/>
          <w:numId w:val="3"/>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Financial statements</w:t>
      </w:r>
    </w:p>
    <w:p w14:paraId="64EF56CD" w14:textId="77777777" w:rsidR="00EA56F4" w:rsidRPr="00EA56F4" w:rsidRDefault="00EA56F4" w:rsidP="00EA56F4">
      <w:pPr>
        <w:numPr>
          <w:ilvl w:val="0"/>
          <w:numId w:val="3"/>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Sustainability reports</w:t>
      </w:r>
    </w:p>
    <w:p w14:paraId="4CE1D75B"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3.3 Variables</w:t>
      </w:r>
    </w:p>
    <w:p w14:paraId="0F0F9295"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Dependent Variable (Financial Performance)</w:t>
      </w:r>
    </w:p>
    <w:p w14:paraId="63770D68" w14:textId="77777777" w:rsidR="00EA56F4" w:rsidRPr="00EA56F4" w:rsidRDefault="00EA56F4" w:rsidP="00EA56F4">
      <w:pPr>
        <w:numPr>
          <w:ilvl w:val="0"/>
          <w:numId w:val="4"/>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EBITDA Margin</w:t>
      </w:r>
    </w:p>
    <w:p w14:paraId="694A4038" w14:textId="77777777" w:rsidR="00EA56F4" w:rsidRPr="00EA56F4" w:rsidRDefault="00EA56F4" w:rsidP="00EA56F4">
      <w:pPr>
        <w:numPr>
          <w:ilvl w:val="0"/>
          <w:numId w:val="4"/>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ROA</w:t>
      </w:r>
    </w:p>
    <w:p w14:paraId="608EA4B2" w14:textId="77777777" w:rsidR="00EA56F4" w:rsidRPr="00EA56F4" w:rsidRDefault="00EA56F4" w:rsidP="00EA56F4">
      <w:pPr>
        <w:numPr>
          <w:ilvl w:val="0"/>
          <w:numId w:val="4"/>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ROE</w:t>
      </w:r>
    </w:p>
    <w:p w14:paraId="5B512045"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Independent Variable</w:t>
      </w:r>
    </w:p>
    <w:p w14:paraId="524FEE94"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lastRenderedPageBreak/>
        <w:t>Green Finance (GF):</w:t>
      </w:r>
    </w:p>
    <w:p w14:paraId="5F8072BD" w14:textId="77777777" w:rsidR="00EA56F4" w:rsidRPr="00EA56F4" w:rsidRDefault="00EA56F4" w:rsidP="00EA56F4">
      <w:pPr>
        <w:numPr>
          <w:ilvl w:val="0"/>
          <w:numId w:val="5"/>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Green debt ratio</w:t>
      </w:r>
    </w:p>
    <w:p w14:paraId="5DBEA7BB" w14:textId="77777777" w:rsidR="00EA56F4" w:rsidRPr="00EA56F4" w:rsidRDefault="00EA56F4" w:rsidP="00EA56F4">
      <w:pPr>
        <w:numPr>
          <w:ilvl w:val="0"/>
          <w:numId w:val="5"/>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Sustainability-linked loans</w:t>
      </w:r>
    </w:p>
    <w:p w14:paraId="7635A06D"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Mediator</w:t>
      </w:r>
    </w:p>
    <w:p w14:paraId="02585A3B"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ESG Composite Score</w:t>
      </w:r>
    </w:p>
    <w:p w14:paraId="128A3AD0"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Control Variables</w:t>
      </w:r>
    </w:p>
    <w:p w14:paraId="5BFF0BF0" w14:textId="77777777" w:rsidR="00EA56F4" w:rsidRPr="00EA56F4" w:rsidRDefault="00EA56F4" w:rsidP="00EA56F4">
      <w:pPr>
        <w:numPr>
          <w:ilvl w:val="0"/>
          <w:numId w:val="6"/>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Firm Size (log assets)</w:t>
      </w:r>
    </w:p>
    <w:p w14:paraId="6279E6E1" w14:textId="77777777" w:rsidR="00EA56F4" w:rsidRPr="00EA56F4" w:rsidRDefault="00EA56F4" w:rsidP="00EA56F4">
      <w:pPr>
        <w:numPr>
          <w:ilvl w:val="0"/>
          <w:numId w:val="6"/>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Leverage ratio</w:t>
      </w:r>
    </w:p>
    <w:p w14:paraId="799B26C4" w14:textId="77777777" w:rsidR="00EA56F4" w:rsidRPr="00EA56F4" w:rsidRDefault="00EA56F4" w:rsidP="00EA56F4">
      <w:pPr>
        <w:numPr>
          <w:ilvl w:val="0"/>
          <w:numId w:val="6"/>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Revenue growth</w:t>
      </w:r>
    </w:p>
    <w:p w14:paraId="24C451BC"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3.4 Econometric Model</w:t>
      </w:r>
    </w:p>
    <w:p w14:paraId="1A804CB3"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Model 1</w:t>
      </w:r>
    </w:p>
    <w:p w14:paraId="470B39BB"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FPₜ = β₀ + β₁GFₜ + β₂Sizeₜ + β₃Levₜ + εₜ</w:t>
      </w:r>
    </w:p>
    <w:p w14:paraId="14B29872"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Model 2</w:t>
      </w:r>
    </w:p>
    <w:p w14:paraId="228F1B44"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ESGₜ = α₀ + α₁GFₜ + μₜ</w:t>
      </w:r>
    </w:p>
    <w:p w14:paraId="6715CEFA"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Model 3</w:t>
      </w:r>
    </w:p>
    <w:p w14:paraId="4AB22D67"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FPₜ = γ₀ + γ₁GFₜ + γ₂ESGₜ + εₜ</w:t>
      </w:r>
    </w:p>
    <w:p w14:paraId="3084A76E"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Mediation is tested using the Baron and Kenny framework.</w:t>
      </w:r>
    </w:p>
    <w:p w14:paraId="6BFB3726"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4. Results</w:t>
      </w:r>
    </w:p>
    <w:p w14:paraId="1F7F9508"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4.1 Descriptive Statistics</w:t>
      </w:r>
    </w:p>
    <w:p w14:paraId="7C8520DB"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ESG scores show a consistent upward trend from 48 (2015) to 82 (2024). EBITDA margins increased from 18% to 33%.</w:t>
      </w:r>
    </w:p>
    <w:p w14:paraId="1A4A604E"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4.2 Correlation Analysis</w:t>
      </w:r>
    </w:p>
    <w:p w14:paraId="325D55CC"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Pearson correlation between ESG and EBITDA margin = 0.96 (p &lt; 0.01), indicating strong positive association.</w:t>
      </w:r>
    </w:p>
    <w:p w14:paraId="41B13532"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Green finance ratio positively correlates with ESG (r = 0.89).</w:t>
      </w:r>
    </w:p>
    <w:p w14:paraId="4652A0F2" w14:textId="595CF30B" w:rsidR="00EA56F4" w:rsidRPr="00EA56F4" w:rsidRDefault="00EA56F4" w:rsidP="00EA56F4">
      <w:pPr>
        <w:spacing w:line="360" w:lineRule="auto"/>
        <w:jc w:val="both"/>
        <w:rPr>
          <w:rFonts w:ascii="Times New Roman" w:hAnsi="Times New Roman" w:cs="Times New Roman"/>
          <w:sz w:val="24"/>
          <w:szCs w:val="24"/>
        </w:rPr>
      </w:pPr>
    </w:p>
    <w:p w14:paraId="6AF53F53"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4.3 Regression Results</w:t>
      </w:r>
    </w:p>
    <w:p w14:paraId="5D8B4411" w14:textId="77777777" w:rsidR="00EA56F4" w:rsidRPr="00EA56F4" w:rsidRDefault="00EA56F4" w:rsidP="00EA56F4">
      <w:pPr>
        <w:spacing w:line="360" w:lineRule="auto"/>
        <w:rPr>
          <w:rFonts w:ascii="Times New Roman" w:hAnsi="Times New Roman" w:cs="Times New Roman"/>
          <w:sz w:val="24"/>
          <w:szCs w:val="24"/>
        </w:rPr>
      </w:pPr>
      <w:r w:rsidRPr="00EA56F4">
        <w:rPr>
          <w:rFonts w:ascii="Times New Roman" w:hAnsi="Times New Roman" w:cs="Times New Roman"/>
          <w:sz w:val="24"/>
          <w:szCs w:val="24"/>
        </w:rPr>
        <w:t>Model 1 results show:</w:t>
      </w:r>
    </w:p>
    <w:p w14:paraId="42BF3630" w14:textId="77777777" w:rsidR="00EA56F4" w:rsidRPr="00EA56F4" w:rsidRDefault="00EA56F4" w:rsidP="00EA56F4">
      <w:pPr>
        <w:spacing w:line="360" w:lineRule="auto"/>
        <w:rPr>
          <w:rFonts w:ascii="Times New Roman" w:hAnsi="Times New Roman" w:cs="Times New Roman"/>
          <w:sz w:val="24"/>
          <w:szCs w:val="24"/>
        </w:rPr>
      </w:pPr>
      <w:r w:rsidRPr="00EA56F4">
        <w:rPr>
          <w:rFonts w:ascii="Times New Roman" w:hAnsi="Times New Roman" w:cs="Times New Roman"/>
          <w:sz w:val="24"/>
          <w:szCs w:val="24"/>
        </w:rPr>
        <w:t>Green Finance → Financial Performance</w:t>
      </w:r>
      <w:r w:rsidRPr="00EA56F4">
        <w:rPr>
          <w:rFonts w:ascii="Times New Roman" w:hAnsi="Times New Roman" w:cs="Times New Roman"/>
          <w:sz w:val="24"/>
          <w:szCs w:val="24"/>
        </w:rPr>
        <w:br/>
        <w:t>β₁ = 0.72 (p &lt; 0.01)</w:t>
      </w:r>
    </w:p>
    <w:p w14:paraId="3C8EAC80" w14:textId="77777777" w:rsidR="00EA56F4" w:rsidRPr="00EA56F4" w:rsidRDefault="00EA56F4" w:rsidP="00EA56F4">
      <w:pPr>
        <w:spacing w:line="360" w:lineRule="auto"/>
        <w:rPr>
          <w:rFonts w:ascii="Times New Roman" w:hAnsi="Times New Roman" w:cs="Times New Roman"/>
          <w:sz w:val="24"/>
          <w:szCs w:val="24"/>
        </w:rPr>
      </w:pPr>
      <w:r w:rsidRPr="00EA56F4">
        <w:rPr>
          <w:rFonts w:ascii="Times New Roman" w:hAnsi="Times New Roman" w:cs="Times New Roman"/>
          <w:sz w:val="24"/>
          <w:szCs w:val="24"/>
        </w:rPr>
        <w:t>Model 2 results show:</w:t>
      </w:r>
    </w:p>
    <w:p w14:paraId="487C74E7" w14:textId="77777777" w:rsidR="00EA56F4" w:rsidRPr="00EA56F4" w:rsidRDefault="00EA56F4" w:rsidP="00EA56F4">
      <w:pPr>
        <w:spacing w:line="360" w:lineRule="auto"/>
        <w:rPr>
          <w:rFonts w:ascii="Times New Roman" w:hAnsi="Times New Roman" w:cs="Times New Roman"/>
          <w:sz w:val="24"/>
          <w:szCs w:val="24"/>
        </w:rPr>
      </w:pPr>
      <w:r w:rsidRPr="00EA56F4">
        <w:rPr>
          <w:rFonts w:ascii="Times New Roman" w:hAnsi="Times New Roman" w:cs="Times New Roman"/>
          <w:sz w:val="24"/>
          <w:szCs w:val="24"/>
        </w:rPr>
        <w:t>Green Finance → ESG</w:t>
      </w:r>
      <w:r w:rsidRPr="00EA56F4">
        <w:rPr>
          <w:rFonts w:ascii="Times New Roman" w:hAnsi="Times New Roman" w:cs="Times New Roman"/>
          <w:sz w:val="24"/>
          <w:szCs w:val="24"/>
        </w:rPr>
        <w:br/>
        <w:t>α₁ = 0.75 (p &lt; 0.01)</w:t>
      </w:r>
    </w:p>
    <w:p w14:paraId="699DA9EB" w14:textId="77777777" w:rsidR="00EA56F4" w:rsidRPr="00EA56F4" w:rsidRDefault="00EA56F4" w:rsidP="00EA56F4">
      <w:pPr>
        <w:spacing w:line="360" w:lineRule="auto"/>
        <w:rPr>
          <w:rFonts w:ascii="Times New Roman" w:hAnsi="Times New Roman" w:cs="Times New Roman"/>
          <w:sz w:val="24"/>
          <w:szCs w:val="24"/>
        </w:rPr>
      </w:pPr>
      <w:r w:rsidRPr="00EA56F4">
        <w:rPr>
          <w:rFonts w:ascii="Times New Roman" w:hAnsi="Times New Roman" w:cs="Times New Roman"/>
          <w:sz w:val="24"/>
          <w:szCs w:val="24"/>
        </w:rPr>
        <w:t>Model 3 results show:</w:t>
      </w:r>
    </w:p>
    <w:p w14:paraId="608C7AB4" w14:textId="77777777" w:rsidR="00EA56F4" w:rsidRPr="00EA56F4" w:rsidRDefault="00EA56F4" w:rsidP="00EA56F4">
      <w:pPr>
        <w:spacing w:line="360" w:lineRule="auto"/>
        <w:rPr>
          <w:rFonts w:ascii="Times New Roman" w:hAnsi="Times New Roman" w:cs="Times New Roman"/>
          <w:sz w:val="24"/>
          <w:szCs w:val="24"/>
        </w:rPr>
      </w:pPr>
      <w:r w:rsidRPr="00EA56F4">
        <w:rPr>
          <w:rFonts w:ascii="Times New Roman" w:hAnsi="Times New Roman" w:cs="Times New Roman"/>
          <w:sz w:val="24"/>
          <w:szCs w:val="24"/>
        </w:rPr>
        <w:t>ESG → Financial Performance</w:t>
      </w:r>
      <w:r w:rsidRPr="00EA56F4">
        <w:rPr>
          <w:rFonts w:ascii="Times New Roman" w:hAnsi="Times New Roman" w:cs="Times New Roman"/>
          <w:sz w:val="24"/>
          <w:szCs w:val="24"/>
        </w:rPr>
        <w:br/>
        <w:t>γ₂ = 0.96 (p &lt; 0.01)</w:t>
      </w:r>
    </w:p>
    <w:p w14:paraId="084C3F88" w14:textId="77777777" w:rsidR="00EA56F4" w:rsidRPr="00EA56F4" w:rsidRDefault="00EA56F4" w:rsidP="00EA56F4">
      <w:pPr>
        <w:spacing w:line="360" w:lineRule="auto"/>
        <w:rPr>
          <w:rFonts w:ascii="Times New Roman" w:hAnsi="Times New Roman" w:cs="Times New Roman"/>
          <w:sz w:val="24"/>
          <w:szCs w:val="24"/>
        </w:rPr>
      </w:pPr>
      <w:r w:rsidRPr="00EA56F4">
        <w:rPr>
          <w:rFonts w:ascii="Times New Roman" w:hAnsi="Times New Roman" w:cs="Times New Roman"/>
          <w:sz w:val="24"/>
          <w:szCs w:val="24"/>
        </w:rPr>
        <w:t>Green finance coefficient reduces but remains significant, indicating partial mediation.</w:t>
      </w:r>
    </w:p>
    <w:p w14:paraId="702E0CB6" w14:textId="77777777" w:rsidR="00EA56F4" w:rsidRPr="00EA56F4" w:rsidRDefault="00EA56F4" w:rsidP="00EA56F4">
      <w:pPr>
        <w:spacing w:line="360" w:lineRule="auto"/>
        <w:rPr>
          <w:rFonts w:ascii="Times New Roman" w:hAnsi="Times New Roman" w:cs="Times New Roman"/>
          <w:sz w:val="24"/>
          <w:szCs w:val="24"/>
        </w:rPr>
      </w:pPr>
      <w:r w:rsidRPr="00EA56F4">
        <w:rPr>
          <w:rFonts w:ascii="Times New Roman" w:hAnsi="Times New Roman" w:cs="Times New Roman"/>
          <w:sz w:val="24"/>
          <w:szCs w:val="24"/>
        </w:rPr>
        <w:t>All VIF values &lt; 3, indicating no multicollinearity.</w:t>
      </w:r>
    </w:p>
    <w:p w14:paraId="760304EC"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5. Discussion</w:t>
      </w:r>
    </w:p>
    <w:p w14:paraId="6CE0BB62"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The findings demonstrate that sustainability-oriented financing enhances corporate profitability in renewable energy firms. The results align with Khan et al. (2022) and Talan and Sharma (2019), supporting the proposition that ESG integration reduces risk and strengthens operational efficiency.</w:t>
      </w:r>
    </w:p>
    <w:p w14:paraId="04817CF1"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Green finance operates through:</w:t>
      </w:r>
    </w:p>
    <w:p w14:paraId="76A2D109" w14:textId="77777777" w:rsidR="00EA56F4" w:rsidRPr="00EA56F4" w:rsidRDefault="00EA56F4" w:rsidP="00EA56F4">
      <w:pPr>
        <w:numPr>
          <w:ilvl w:val="0"/>
          <w:numId w:val="7"/>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Capital cost reduction</w:t>
      </w:r>
    </w:p>
    <w:p w14:paraId="5F3A3BE8" w14:textId="77777777" w:rsidR="00EA56F4" w:rsidRPr="00EA56F4" w:rsidRDefault="00EA56F4" w:rsidP="00EA56F4">
      <w:pPr>
        <w:numPr>
          <w:ilvl w:val="0"/>
          <w:numId w:val="7"/>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Governance enhancement</w:t>
      </w:r>
    </w:p>
    <w:p w14:paraId="58191403" w14:textId="77777777" w:rsidR="00EA56F4" w:rsidRPr="00EA56F4" w:rsidRDefault="00EA56F4" w:rsidP="00EA56F4">
      <w:pPr>
        <w:numPr>
          <w:ilvl w:val="0"/>
          <w:numId w:val="7"/>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Environmental performance signalling</w:t>
      </w:r>
    </w:p>
    <w:p w14:paraId="5521A409"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The mediation effect confirms ESG as a structural bridge between financing mechanisms and profitability.</w:t>
      </w:r>
    </w:p>
    <w:p w14:paraId="069ECB29"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In emerging markets, renewable firms aligned with sustainability commitments may attract ESG-sensitive capital flows.</w:t>
      </w:r>
    </w:p>
    <w:p w14:paraId="14E487DD" w14:textId="2DDD83B5" w:rsidR="00EA56F4" w:rsidRPr="00EA56F4" w:rsidRDefault="00EA56F4" w:rsidP="00EA56F4">
      <w:pPr>
        <w:spacing w:line="360" w:lineRule="auto"/>
        <w:jc w:val="both"/>
        <w:rPr>
          <w:rFonts w:ascii="Times New Roman" w:hAnsi="Times New Roman" w:cs="Times New Roman"/>
          <w:sz w:val="24"/>
          <w:szCs w:val="24"/>
        </w:rPr>
      </w:pPr>
    </w:p>
    <w:p w14:paraId="1E3CE3F5"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lastRenderedPageBreak/>
        <w:t>6. Conclusion</w:t>
      </w:r>
    </w:p>
    <w:p w14:paraId="2101EA19"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This study provides firm-level empirical evidence that green finance enhances ESG performance and financial profitability in a renewable energy firm operating in India.</w:t>
      </w:r>
    </w:p>
    <w:p w14:paraId="617E8E7B"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The results indicate that sustainability is not a constraint on profitability but a strategic driver of long-term value creation.</w:t>
      </w:r>
    </w:p>
    <w:p w14:paraId="4F2CF6E0"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Policy implications include:</w:t>
      </w:r>
    </w:p>
    <w:p w14:paraId="0B07C253" w14:textId="77777777" w:rsidR="00EA56F4" w:rsidRPr="00EA56F4" w:rsidRDefault="00EA56F4" w:rsidP="00EA56F4">
      <w:pPr>
        <w:numPr>
          <w:ilvl w:val="0"/>
          <w:numId w:val="8"/>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Strengthening ESG disclosure frameworks</w:t>
      </w:r>
    </w:p>
    <w:p w14:paraId="43B6A08D" w14:textId="77777777" w:rsidR="00EA56F4" w:rsidRPr="00EA56F4" w:rsidRDefault="00EA56F4" w:rsidP="00EA56F4">
      <w:pPr>
        <w:numPr>
          <w:ilvl w:val="0"/>
          <w:numId w:val="8"/>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Encouraging green bond markets</w:t>
      </w:r>
    </w:p>
    <w:p w14:paraId="503A161E" w14:textId="77777777" w:rsidR="00EA56F4" w:rsidRPr="00EA56F4" w:rsidRDefault="00EA56F4" w:rsidP="00EA56F4">
      <w:pPr>
        <w:numPr>
          <w:ilvl w:val="0"/>
          <w:numId w:val="8"/>
        </w:num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Supporting sustainability-linked lending</w:t>
      </w:r>
    </w:p>
    <w:p w14:paraId="5F6F4F05"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Future research may apply multi-firm panel datasets and advanced econometric techniques such as GMM.</w:t>
      </w:r>
    </w:p>
    <w:p w14:paraId="00F79589" w14:textId="77777777" w:rsidR="00EA56F4" w:rsidRPr="00EA56F4" w:rsidRDefault="00EA56F4" w:rsidP="00EA56F4">
      <w:pPr>
        <w:spacing w:line="360" w:lineRule="auto"/>
        <w:jc w:val="both"/>
        <w:rPr>
          <w:rFonts w:ascii="Times New Roman" w:hAnsi="Times New Roman" w:cs="Times New Roman"/>
          <w:b/>
          <w:bCs/>
          <w:sz w:val="24"/>
          <w:szCs w:val="24"/>
        </w:rPr>
      </w:pPr>
      <w:r w:rsidRPr="00EA56F4">
        <w:rPr>
          <w:rFonts w:ascii="Times New Roman" w:hAnsi="Times New Roman" w:cs="Times New Roman"/>
          <w:b/>
          <w:bCs/>
          <w:sz w:val="24"/>
          <w:szCs w:val="24"/>
        </w:rPr>
        <w:t>References</w:t>
      </w:r>
    </w:p>
    <w:p w14:paraId="35305068"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 xml:space="preserve">Alcarva, P., Pinto, J., Pacheco, L., Madaleno, M. and Barros, T. (2026) ‘Green bonds and green banking loans: A systematic literature review’, </w:t>
      </w:r>
      <w:r w:rsidRPr="00EA56F4">
        <w:rPr>
          <w:rFonts w:ascii="Times New Roman" w:hAnsi="Times New Roman" w:cs="Times New Roman"/>
          <w:i/>
          <w:iCs/>
          <w:sz w:val="24"/>
          <w:szCs w:val="24"/>
        </w:rPr>
        <w:t>Sustainability</w:t>
      </w:r>
      <w:r w:rsidRPr="00EA56F4">
        <w:rPr>
          <w:rFonts w:ascii="Times New Roman" w:hAnsi="Times New Roman" w:cs="Times New Roman"/>
          <w:sz w:val="24"/>
          <w:szCs w:val="24"/>
        </w:rPr>
        <w:t>, 18(2), p. 898.</w:t>
      </w:r>
    </w:p>
    <w:p w14:paraId="198982FF"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 xml:space="preserve">Erdoğdu, A., Dayi, F., Özbek, A., Ganji, F. and Benek, A. (2025) ‘The role of green finance in investing in environmentally friendly technologies’, </w:t>
      </w:r>
      <w:r w:rsidRPr="00EA56F4">
        <w:rPr>
          <w:rFonts w:ascii="Times New Roman" w:hAnsi="Times New Roman" w:cs="Times New Roman"/>
          <w:i/>
          <w:iCs/>
          <w:sz w:val="24"/>
          <w:szCs w:val="24"/>
        </w:rPr>
        <w:t>Sustainability</w:t>
      </w:r>
      <w:r w:rsidRPr="00EA56F4">
        <w:rPr>
          <w:rFonts w:ascii="Times New Roman" w:hAnsi="Times New Roman" w:cs="Times New Roman"/>
          <w:sz w:val="24"/>
          <w:szCs w:val="24"/>
        </w:rPr>
        <w:t>, 17, p. 9652.</w:t>
      </w:r>
    </w:p>
    <w:p w14:paraId="4B732E1D"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 xml:space="preserve">Gilchrist, D., Yu, J. and Zhong, R. (2021) ‘The limits of green finance’, </w:t>
      </w:r>
      <w:r w:rsidRPr="00EA56F4">
        <w:rPr>
          <w:rFonts w:ascii="Times New Roman" w:hAnsi="Times New Roman" w:cs="Times New Roman"/>
          <w:i/>
          <w:iCs/>
          <w:sz w:val="24"/>
          <w:szCs w:val="24"/>
        </w:rPr>
        <w:t>Sustainability</w:t>
      </w:r>
      <w:r w:rsidRPr="00EA56F4">
        <w:rPr>
          <w:rFonts w:ascii="Times New Roman" w:hAnsi="Times New Roman" w:cs="Times New Roman"/>
          <w:sz w:val="24"/>
          <w:szCs w:val="24"/>
        </w:rPr>
        <w:t>, 13(2), p. 478.</w:t>
      </w:r>
    </w:p>
    <w:p w14:paraId="1CBCFCF2"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 xml:space="preserve">Khan, S., Akbar, A., Nasim, I., Hedvičáková, M. and Bashir, F. (2022) ‘Green finance development and environmental sustainability’, </w:t>
      </w:r>
      <w:r w:rsidRPr="00EA56F4">
        <w:rPr>
          <w:rFonts w:ascii="Times New Roman" w:hAnsi="Times New Roman" w:cs="Times New Roman"/>
          <w:i/>
          <w:iCs/>
          <w:sz w:val="24"/>
          <w:szCs w:val="24"/>
        </w:rPr>
        <w:t>Frontiers in Environmental Science</w:t>
      </w:r>
      <w:r w:rsidRPr="00EA56F4">
        <w:rPr>
          <w:rFonts w:ascii="Times New Roman" w:hAnsi="Times New Roman" w:cs="Times New Roman"/>
          <w:sz w:val="24"/>
          <w:szCs w:val="24"/>
        </w:rPr>
        <w:t>, 10.</w:t>
      </w:r>
    </w:p>
    <w:p w14:paraId="19408903"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 xml:space="preserve">Lee, J.W. (2020) ‘Green finance and sustainable development goals’, </w:t>
      </w:r>
      <w:r w:rsidRPr="00EA56F4">
        <w:rPr>
          <w:rFonts w:ascii="Times New Roman" w:hAnsi="Times New Roman" w:cs="Times New Roman"/>
          <w:i/>
          <w:iCs/>
          <w:sz w:val="24"/>
          <w:szCs w:val="24"/>
        </w:rPr>
        <w:t>Journal of Asian Finance, Economics and Business</w:t>
      </w:r>
      <w:r w:rsidRPr="00EA56F4">
        <w:rPr>
          <w:rFonts w:ascii="Times New Roman" w:hAnsi="Times New Roman" w:cs="Times New Roman"/>
          <w:sz w:val="24"/>
          <w:szCs w:val="24"/>
        </w:rPr>
        <w:t>, 7(7), pp. 577–586.</w:t>
      </w:r>
    </w:p>
    <w:p w14:paraId="5BD4FB4D"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 xml:space="preserve">Meng, X. and Shaikh, G.M. (2023) ‘Evaluating ESG criteria and green finance investment strategies’, </w:t>
      </w:r>
      <w:r w:rsidRPr="00EA56F4">
        <w:rPr>
          <w:rFonts w:ascii="Times New Roman" w:hAnsi="Times New Roman" w:cs="Times New Roman"/>
          <w:i/>
          <w:iCs/>
          <w:sz w:val="24"/>
          <w:szCs w:val="24"/>
        </w:rPr>
        <w:t>Sustainability</w:t>
      </w:r>
      <w:r w:rsidRPr="00EA56F4">
        <w:rPr>
          <w:rFonts w:ascii="Times New Roman" w:hAnsi="Times New Roman" w:cs="Times New Roman"/>
          <w:sz w:val="24"/>
          <w:szCs w:val="24"/>
        </w:rPr>
        <w:t>, 15, p. 6786.</w:t>
      </w:r>
    </w:p>
    <w:p w14:paraId="14B99031"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 xml:space="preserve">Talan, G. and Sharma, G.D. (2019) ‘Doing well by doing good’, </w:t>
      </w:r>
      <w:r w:rsidRPr="00EA56F4">
        <w:rPr>
          <w:rFonts w:ascii="Times New Roman" w:hAnsi="Times New Roman" w:cs="Times New Roman"/>
          <w:i/>
          <w:iCs/>
          <w:sz w:val="24"/>
          <w:szCs w:val="24"/>
        </w:rPr>
        <w:t>Sustainability</w:t>
      </w:r>
      <w:r w:rsidRPr="00EA56F4">
        <w:rPr>
          <w:rFonts w:ascii="Times New Roman" w:hAnsi="Times New Roman" w:cs="Times New Roman"/>
          <w:sz w:val="24"/>
          <w:szCs w:val="24"/>
        </w:rPr>
        <w:t>, 11(2), p. 353.</w:t>
      </w:r>
    </w:p>
    <w:p w14:paraId="2DDD6BC3"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t>Wang, L. (2024) ‘Challenges and opportunities of ESG integration’, Proceedings EHSED 2024.</w:t>
      </w:r>
    </w:p>
    <w:p w14:paraId="227BE804" w14:textId="77777777" w:rsidR="00EA56F4" w:rsidRPr="00EA56F4" w:rsidRDefault="00EA56F4" w:rsidP="00EA56F4">
      <w:pPr>
        <w:spacing w:line="360" w:lineRule="auto"/>
        <w:jc w:val="both"/>
        <w:rPr>
          <w:rFonts w:ascii="Times New Roman" w:hAnsi="Times New Roman" w:cs="Times New Roman"/>
          <w:sz w:val="24"/>
          <w:szCs w:val="24"/>
        </w:rPr>
      </w:pPr>
      <w:r w:rsidRPr="00EA56F4">
        <w:rPr>
          <w:rFonts w:ascii="Times New Roman" w:hAnsi="Times New Roman" w:cs="Times New Roman"/>
          <w:sz w:val="24"/>
          <w:szCs w:val="24"/>
        </w:rPr>
        <w:lastRenderedPageBreak/>
        <w:t xml:space="preserve">Zheng, M., Wu, L., Feng, G.-F. and Chang, C.-P. (2025) ‘The impact of green finance on sustainable development’, </w:t>
      </w:r>
      <w:r w:rsidRPr="00EA56F4">
        <w:rPr>
          <w:rFonts w:ascii="Times New Roman" w:hAnsi="Times New Roman" w:cs="Times New Roman"/>
          <w:i/>
          <w:iCs/>
          <w:sz w:val="24"/>
          <w:szCs w:val="24"/>
        </w:rPr>
        <w:t>Journal of Applied Economics</w:t>
      </w:r>
      <w:r w:rsidRPr="00EA56F4">
        <w:rPr>
          <w:rFonts w:ascii="Times New Roman" w:hAnsi="Times New Roman" w:cs="Times New Roman"/>
          <w:sz w:val="24"/>
          <w:szCs w:val="24"/>
        </w:rPr>
        <w:t>, 28(1).</w:t>
      </w:r>
    </w:p>
    <w:p w14:paraId="6EF61184" w14:textId="77777777" w:rsidR="00827733" w:rsidRPr="00EA56F4" w:rsidRDefault="00827733" w:rsidP="00EA56F4">
      <w:pPr>
        <w:spacing w:line="360" w:lineRule="auto"/>
        <w:jc w:val="both"/>
        <w:rPr>
          <w:rFonts w:ascii="Times New Roman" w:hAnsi="Times New Roman" w:cs="Times New Roman"/>
          <w:sz w:val="24"/>
          <w:szCs w:val="24"/>
        </w:rPr>
      </w:pPr>
    </w:p>
    <w:sectPr w:rsidR="00827733" w:rsidRPr="00EA56F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4D87" w14:textId="77777777" w:rsidR="000C3257" w:rsidRDefault="000C3257" w:rsidP="00DC1E50">
      <w:pPr>
        <w:spacing w:after="0" w:line="240" w:lineRule="auto"/>
      </w:pPr>
      <w:r>
        <w:separator/>
      </w:r>
    </w:p>
  </w:endnote>
  <w:endnote w:type="continuationSeparator" w:id="0">
    <w:p w14:paraId="142E1D23" w14:textId="77777777" w:rsidR="000C3257" w:rsidRDefault="000C3257" w:rsidP="00DC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221798"/>
      <w:docPartObj>
        <w:docPartGallery w:val="Page Numbers (Bottom of Page)"/>
        <w:docPartUnique/>
      </w:docPartObj>
    </w:sdtPr>
    <w:sdtEndPr>
      <w:rPr>
        <w:noProof/>
      </w:rPr>
    </w:sdtEndPr>
    <w:sdtContent>
      <w:p w14:paraId="420B4D07" w14:textId="5D3657CB" w:rsidR="00DC1E50" w:rsidRDefault="00DC1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D57152" w14:textId="77777777" w:rsidR="00DC1E50" w:rsidRDefault="00DC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22AF" w14:textId="77777777" w:rsidR="000C3257" w:rsidRDefault="000C3257" w:rsidP="00DC1E50">
      <w:pPr>
        <w:spacing w:after="0" w:line="240" w:lineRule="auto"/>
      </w:pPr>
      <w:r>
        <w:separator/>
      </w:r>
    </w:p>
  </w:footnote>
  <w:footnote w:type="continuationSeparator" w:id="0">
    <w:p w14:paraId="5C7F6516" w14:textId="77777777" w:rsidR="000C3257" w:rsidRDefault="000C3257" w:rsidP="00DC1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CE5"/>
    <w:multiLevelType w:val="multilevel"/>
    <w:tmpl w:val="9C80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36DE5"/>
    <w:multiLevelType w:val="multilevel"/>
    <w:tmpl w:val="7DA4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80235"/>
    <w:multiLevelType w:val="multilevel"/>
    <w:tmpl w:val="CA50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9679C"/>
    <w:multiLevelType w:val="multilevel"/>
    <w:tmpl w:val="4FDA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C4464"/>
    <w:multiLevelType w:val="multilevel"/>
    <w:tmpl w:val="F656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370EB1"/>
    <w:multiLevelType w:val="multilevel"/>
    <w:tmpl w:val="7C72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3A007F"/>
    <w:multiLevelType w:val="multilevel"/>
    <w:tmpl w:val="573CF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2A1A7A"/>
    <w:multiLevelType w:val="multilevel"/>
    <w:tmpl w:val="D8A4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965841">
    <w:abstractNumId w:val="1"/>
  </w:num>
  <w:num w:numId="2" w16cid:durableId="1523280137">
    <w:abstractNumId w:val="0"/>
  </w:num>
  <w:num w:numId="3" w16cid:durableId="1638417395">
    <w:abstractNumId w:val="3"/>
  </w:num>
  <w:num w:numId="4" w16cid:durableId="1656954387">
    <w:abstractNumId w:val="7"/>
  </w:num>
  <w:num w:numId="5" w16cid:durableId="96487589">
    <w:abstractNumId w:val="5"/>
  </w:num>
  <w:num w:numId="6" w16cid:durableId="1195269756">
    <w:abstractNumId w:val="2"/>
  </w:num>
  <w:num w:numId="7" w16cid:durableId="1739013930">
    <w:abstractNumId w:val="6"/>
  </w:num>
  <w:num w:numId="8" w16cid:durableId="1497111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5C"/>
    <w:rsid w:val="00007109"/>
    <w:rsid w:val="000A4C5C"/>
    <w:rsid w:val="000C3257"/>
    <w:rsid w:val="001E6A34"/>
    <w:rsid w:val="0022756A"/>
    <w:rsid w:val="0032195C"/>
    <w:rsid w:val="00324523"/>
    <w:rsid w:val="00827733"/>
    <w:rsid w:val="009525B2"/>
    <w:rsid w:val="00DC1E50"/>
    <w:rsid w:val="00EA56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A5CB"/>
  <w15:chartTrackingRefBased/>
  <w15:docId w15:val="{6A6DBB1D-11D0-47B9-85C8-676BAD57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C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4C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4C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4C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4C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4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C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4C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4C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4C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4C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4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C5C"/>
    <w:rPr>
      <w:rFonts w:eastAsiaTheme="majorEastAsia" w:cstheme="majorBidi"/>
      <w:color w:val="272727" w:themeColor="text1" w:themeTint="D8"/>
    </w:rPr>
  </w:style>
  <w:style w:type="paragraph" w:styleId="Title">
    <w:name w:val="Title"/>
    <w:basedOn w:val="Normal"/>
    <w:next w:val="Normal"/>
    <w:link w:val="TitleChar"/>
    <w:uiPriority w:val="10"/>
    <w:qFormat/>
    <w:rsid w:val="000A4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C5C"/>
    <w:pPr>
      <w:spacing w:before="160"/>
      <w:jc w:val="center"/>
    </w:pPr>
    <w:rPr>
      <w:i/>
      <w:iCs/>
      <w:color w:val="404040" w:themeColor="text1" w:themeTint="BF"/>
    </w:rPr>
  </w:style>
  <w:style w:type="character" w:customStyle="1" w:styleId="QuoteChar">
    <w:name w:val="Quote Char"/>
    <w:basedOn w:val="DefaultParagraphFont"/>
    <w:link w:val="Quote"/>
    <w:uiPriority w:val="29"/>
    <w:rsid w:val="000A4C5C"/>
    <w:rPr>
      <w:i/>
      <w:iCs/>
      <w:color w:val="404040" w:themeColor="text1" w:themeTint="BF"/>
    </w:rPr>
  </w:style>
  <w:style w:type="paragraph" w:styleId="ListParagraph">
    <w:name w:val="List Paragraph"/>
    <w:basedOn w:val="Normal"/>
    <w:uiPriority w:val="34"/>
    <w:qFormat/>
    <w:rsid w:val="000A4C5C"/>
    <w:pPr>
      <w:ind w:left="720"/>
      <w:contextualSpacing/>
    </w:pPr>
  </w:style>
  <w:style w:type="character" w:styleId="IntenseEmphasis">
    <w:name w:val="Intense Emphasis"/>
    <w:basedOn w:val="DefaultParagraphFont"/>
    <w:uiPriority w:val="21"/>
    <w:qFormat/>
    <w:rsid w:val="000A4C5C"/>
    <w:rPr>
      <w:i/>
      <w:iCs/>
      <w:color w:val="2F5496" w:themeColor="accent1" w:themeShade="BF"/>
    </w:rPr>
  </w:style>
  <w:style w:type="paragraph" w:styleId="IntenseQuote">
    <w:name w:val="Intense Quote"/>
    <w:basedOn w:val="Normal"/>
    <w:next w:val="Normal"/>
    <w:link w:val="IntenseQuoteChar"/>
    <w:uiPriority w:val="30"/>
    <w:qFormat/>
    <w:rsid w:val="000A4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4C5C"/>
    <w:rPr>
      <w:i/>
      <w:iCs/>
      <w:color w:val="2F5496" w:themeColor="accent1" w:themeShade="BF"/>
    </w:rPr>
  </w:style>
  <w:style w:type="character" w:styleId="IntenseReference">
    <w:name w:val="Intense Reference"/>
    <w:basedOn w:val="DefaultParagraphFont"/>
    <w:uiPriority w:val="32"/>
    <w:qFormat/>
    <w:rsid w:val="000A4C5C"/>
    <w:rPr>
      <w:b/>
      <w:bCs/>
      <w:smallCaps/>
      <w:color w:val="2F5496" w:themeColor="accent1" w:themeShade="BF"/>
      <w:spacing w:val="5"/>
    </w:rPr>
  </w:style>
  <w:style w:type="paragraph" w:styleId="Header">
    <w:name w:val="header"/>
    <w:basedOn w:val="Normal"/>
    <w:link w:val="HeaderChar"/>
    <w:uiPriority w:val="99"/>
    <w:unhideWhenUsed/>
    <w:rsid w:val="00DC1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E50"/>
  </w:style>
  <w:style w:type="paragraph" w:styleId="Footer">
    <w:name w:val="footer"/>
    <w:basedOn w:val="Normal"/>
    <w:link w:val="FooterChar"/>
    <w:uiPriority w:val="99"/>
    <w:unhideWhenUsed/>
    <w:rsid w:val="00DC1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1503</Words>
  <Characters>8568</Characters>
  <Application>Microsoft Office Word</Application>
  <DocSecurity>0</DocSecurity>
  <Lines>71</Lines>
  <Paragraphs>20</Paragraphs>
  <ScaleCrop>false</ScaleCrop>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VVISM</dc:creator>
  <cp:keywords/>
  <dc:description/>
  <cp:lastModifiedBy>VVISM</cp:lastModifiedBy>
  <cp:revision>5</cp:revision>
  <dcterms:created xsi:type="dcterms:W3CDTF">2026-02-25T23:15:00Z</dcterms:created>
  <dcterms:modified xsi:type="dcterms:W3CDTF">2026-02-25T23:22:00Z</dcterms:modified>
</cp:coreProperties>
</file>