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45BD" w14:textId="77777777" w:rsidR="00AE3536" w:rsidRPr="00E8055A" w:rsidRDefault="00AE3536" w:rsidP="00AE3536">
      <w:pPr>
        <w:widowControl w:val="0"/>
        <w:pBdr>
          <w:top w:val="nil"/>
          <w:left w:val="nil"/>
          <w:bottom w:val="nil"/>
          <w:right w:val="nil"/>
          <w:between w:val="nil"/>
        </w:pBdr>
        <w:spacing w:line="232" w:lineRule="auto"/>
        <w:ind w:left="140" w:right="284"/>
        <w:jc w:val="center"/>
        <w:rPr>
          <w:rFonts w:eastAsia="Cambria"/>
          <w:b/>
          <w:bCs/>
          <w:color w:val="000000"/>
          <w:sz w:val="24"/>
          <w:szCs w:val="24"/>
          <w:lang w:val="en-PH"/>
        </w:rPr>
      </w:pPr>
      <w:bookmarkStart w:id="0" w:name="_Hlk215597605"/>
    </w:p>
    <w:p w14:paraId="0355C9EF" w14:textId="6F962D9C" w:rsidR="00AE3536" w:rsidRPr="00E8055A" w:rsidRDefault="00F61AD7" w:rsidP="00F61AD7">
      <w:pPr>
        <w:widowControl w:val="0"/>
        <w:pBdr>
          <w:top w:val="nil"/>
          <w:left w:val="nil"/>
          <w:bottom w:val="nil"/>
          <w:right w:val="nil"/>
          <w:between w:val="nil"/>
        </w:pBdr>
        <w:spacing w:line="232" w:lineRule="auto"/>
        <w:ind w:left="140" w:right="284"/>
        <w:jc w:val="center"/>
        <w:rPr>
          <w:rFonts w:eastAsia="Cambria"/>
          <w:b/>
          <w:color w:val="000000"/>
          <w:sz w:val="24"/>
          <w:szCs w:val="24"/>
        </w:rPr>
      </w:pPr>
      <w:r w:rsidRPr="00F61AD7">
        <w:rPr>
          <w:rFonts w:eastAsia="Cambria"/>
          <w:b/>
          <w:bCs/>
          <w:color w:val="000000"/>
          <w:sz w:val="24"/>
          <w:szCs w:val="24"/>
          <w:lang w:val="en-PH"/>
        </w:rPr>
        <w:t>SUSTAINABILITY AWARENESS AND SINGLE-USE PLASTIC REDUCTION PRACTICES: THE MEDIATING ROLE OF ENVIRONMENTAL ATTITUDE AMONG COLLEGE STUDENTS</w:t>
      </w:r>
    </w:p>
    <w:p w14:paraId="0D309AFD" w14:textId="0F2AA434" w:rsidR="00AE3536" w:rsidRPr="00E8055A" w:rsidRDefault="00F61AD7" w:rsidP="00AE3536">
      <w:pPr>
        <w:widowControl w:val="0"/>
        <w:pBdr>
          <w:top w:val="nil"/>
          <w:left w:val="nil"/>
          <w:bottom w:val="nil"/>
          <w:right w:val="nil"/>
          <w:between w:val="nil"/>
        </w:pBdr>
        <w:spacing w:before="675" w:line="240" w:lineRule="auto"/>
        <w:jc w:val="center"/>
        <w:rPr>
          <w:rFonts w:eastAsia="Cambria"/>
          <w:color w:val="000000"/>
          <w:sz w:val="24"/>
          <w:szCs w:val="24"/>
        </w:rPr>
      </w:pPr>
      <w:r>
        <w:rPr>
          <w:rFonts w:eastAsia="Cambria"/>
          <w:color w:val="000000"/>
          <w:sz w:val="24"/>
          <w:szCs w:val="24"/>
        </w:rPr>
        <w:t xml:space="preserve"/>
      </w:r>
      <w:proofErr w:type="spellStart"/>
      <w:proofErr w:type="gramStart"/>
      <w:r>
        <w:rPr>
          <w:rFonts w:eastAsia="Cambria"/>
          <w:color w:val="000000"/>
          <w:sz w:val="24"/>
          <w:szCs w:val="24"/>
        </w:rPr>
        <w:t/>
      </w:r>
      <w:proofErr w:type="spellEnd"/>
      <w:proofErr w:type="gramEnd"/>
    </w:p>
    <w:p w14:paraId="1CB68220" w14:textId="3E35DC19" w:rsidR="00AE3536" w:rsidRPr="00DE2078" w:rsidRDefault="00F61AD7" w:rsidP="00AE3536">
      <w:pPr>
        <w:widowControl w:val="0"/>
        <w:pBdr>
          <w:top w:val="nil"/>
          <w:left w:val="nil"/>
          <w:bottom w:val="nil"/>
          <w:right w:val="nil"/>
          <w:between w:val="nil"/>
        </w:pBdr>
        <w:spacing w:line="240" w:lineRule="auto"/>
        <w:jc w:val="center"/>
        <w:rPr>
          <w:rFonts w:eastAsia="Cambria"/>
          <w:color w:val="000000"/>
          <w:sz w:val="28"/>
          <w:szCs w:val="28"/>
        </w:rPr>
      </w:pPr>
      <w:r w:rsidRPr="00DE2078">
        <w:rPr>
          <w:color w:val="202122"/>
          <w:sz w:val="24"/>
          <w:szCs w:val="24"/>
          <w:shd w:val="clear" w:color="auto" w:fill="FFFFFF"/>
        </w:rPr>
        <w:t/>
      </w:r>
    </w:p>
    <w:p w14:paraId="20AAD188" w14:textId="1AAC3F8E" w:rsidR="00AE3536" w:rsidRPr="00E8055A" w:rsidRDefault="00F61AD7" w:rsidP="00AE3536">
      <w:pPr>
        <w:widowControl w:val="0"/>
        <w:pBdr>
          <w:top w:val="nil"/>
          <w:left w:val="nil"/>
          <w:bottom w:val="nil"/>
          <w:right w:val="nil"/>
          <w:between w:val="nil"/>
        </w:pBdr>
        <w:spacing w:before="1" w:line="240" w:lineRule="auto"/>
        <w:jc w:val="center"/>
        <w:rPr>
          <w:rFonts w:eastAsia="Cambria"/>
          <w:color w:val="000000"/>
          <w:sz w:val="24"/>
          <w:szCs w:val="24"/>
        </w:rPr>
      </w:pPr>
      <w:r>
        <w:rPr>
          <w:rFonts w:eastAsia="Cambria"/>
          <w:color w:val="000000"/>
          <w:sz w:val="24"/>
          <w:szCs w:val="24"/>
        </w:rPr>
        <w:t/>
      </w:r>
      <w:r w:rsidR="00AE3536">
        <w:rPr>
          <w:rFonts w:eastAsia="Cambria"/>
          <w:color w:val="000000"/>
          <w:sz w:val="24"/>
          <w:szCs w:val="24"/>
        </w:rPr>
        <w:t/>
      </w:r>
    </w:p>
    <w:p w14:paraId="4D08B9FB" w14:textId="77777777" w:rsidR="00AE3536" w:rsidRDefault="00AE3536" w:rsidP="007D3779">
      <w:pPr>
        <w:widowControl w:val="0"/>
        <w:pBdr>
          <w:top w:val="nil"/>
          <w:left w:val="nil"/>
          <w:bottom w:val="nil"/>
          <w:right w:val="nil"/>
          <w:between w:val="nil"/>
        </w:pBdr>
        <w:spacing w:before="100" w:beforeAutospacing="1" w:line="240" w:lineRule="auto"/>
        <w:ind w:left="3884"/>
        <w:rPr>
          <w:rFonts w:eastAsia="Cambria"/>
          <w:b/>
          <w:color w:val="000000"/>
          <w:sz w:val="24"/>
          <w:szCs w:val="24"/>
        </w:rPr>
      </w:pPr>
    </w:p>
    <w:p w14:paraId="77661AB5" w14:textId="1D6529FE" w:rsidR="007D3779" w:rsidRPr="00E933BD" w:rsidRDefault="007D3779" w:rsidP="007D3779">
      <w:pPr>
        <w:widowControl w:val="0"/>
        <w:pBdr>
          <w:top w:val="nil"/>
          <w:left w:val="nil"/>
          <w:bottom w:val="nil"/>
          <w:right w:val="nil"/>
          <w:between w:val="nil"/>
        </w:pBdr>
        <w:spacing w:before="100" w:beforeAutospacing="1" w:line="240" w:lineRule="auto"/>
        <w:ind w:left="3884"/>
        <w:rPr>
          <w:rFonts w:eastAsia="Cambria"/>
          <w:b/>
          <w:color w:val="000000"/>
          <w:sz w:val="24"/>
          <w:szCs w:val="24"/>
        </w:rPr>
      </w:pPr>
      <w:r w:rsidRPr="00E933BD">
        <w:rPr>
          <w:rFonts w:eastAsia="Cambria"/>
          <w:b/>
          <w:color w:val="000000"/>
          <w:sz w:val="24"/>
          <w:szCs w:val="24"/>
        </w:rPr>
        <w:t xml:space="preserve">ABSTRACT </w:t>
      </w:r>
    </w:p>
    <w:p w14:paraId="17684F06" w14:textId="77777777" w:rsidR="00F61AD7" w:rsidRDefault="00F61AD7" w:rsidP="00DE2078">
      <w:pPr>
        <w:widowControl w:val="0"/>
        <w:pBdr>
          <w:top w:val="nil"/>
          <w:left w:val="nil"/>
          <w:bottom w:val="nil"/>
          <w:right w:val="nil"/>
          <w:between w:val="nil"/>
        </w:pBdr>
        <w:spacing w:before="100" w:beforeAutospacing="1" w:line="240" w:lineRule="auto"/>
        <w:ind w:firstLine="720"/>
        <w:jc w:val="both"/>
        <w:rPr>
          <w:rFonts w:eastAsia="Cambria"/>
          <w:color w:val="000000"/>
          <w:sz w:val="24"/>
          <w:szCs w:val="24"/>
        </w:rPr>
      </w:pPr>
      <w:bookmarkStart w:id="1" w:name="_Hlk215601507"/>
      <w:r w:rsidRPr="00F61AD7">
        <w:rPr>
          <w:rFonts w:eastAsia="Cambria"/>
          <w:color w:val="000000"/>
          <w:sz w:val="24"/>
          <w:szCs w:val="24"/>
        </w:rPr>
        <w:t xml:space="preserve">Rising single-use plastic consumption is a global concern. This study examined the mediating role of environmental attitude on the relationship between sustainability awareness and single-use plastic reduction </w:t>
      </w:r>
      <w:proofErr w:type="spellStart"/>
      <w:r w:rsidRPr="00F61AD7">
        <w:rPr>
          <w:rFonts w:eastAsia="Cambria"/>
          <w:color w:val="000000"/>
          <w:sz w:val="24"/>
          <w:szCs w:val="24"/>
        </w:rPr>
        <w:t>behavior</w:t>
      </w:r>
      <w:proofErr w:type="spellEnd"/>
      <w:r w:rsidRPr="00F61AD7">
        <w:rPr>
          <w:rFonts w:eastAsia="Cambria"/>
          <w:color w:val="000000"/>
          <w:sz w:val="24"/>
          <w:szCs w:val="24"/>
        </w:rPr>
        <w:t xml:space="preserve"> among college students. Through predictive design, data surveyed from 638 college students, selected through simple random sampling, were </w:t>
      </w:r>
      <w:proofErr w:type="spellStart"/>
      <w:r w:rsidRPr="00F61AD7">
        <w:rPr>
          <w:rFonts w:eastAsia="Cambria"/>
          <w:color w:val="000000"/>
          <w:sz w:val="24"/>
          <w:szCs w:val="24"/>
        </w:rPr>
        <w:t>analyzed</w:t>
      </w:r>
      <w:proofErr w:type="spellEnd"/>
      <w:r w:rsidRPr="00F61AD7">
        <w:rPr>
          <w:rFonts w:eastAsia="Cambria"/>
          <w:color w:val="000000"/>
          <w:sz w:val="24"/>
          <w:szCs w:val="24"/>
        </w:rPr>
        <w:t xml:space="preserve"> using mediation analysis. The study revealed that the interest variable partially but significantly mediates the predictor-criterion correlation, supporting the Knowledge–Attitude–Practice (KAP) Theory. Future research may explore other potential mediating or moderating variables through qualitative approaches, while educational leaders and policy makers may strengthen experiential sustainability programs that foster positive environmental attitudes and promote consistent single-use plastic reduction practices.</w:t>
      </w:r>
    </w:p>
    <w:p w14:paraId="4EBBD92B" w14:textId="2DB80F48" w:rsidR="007D3779" w:rsidRDefault="007D3779" w:rsidP="007D3779">
      <w:pPr>
        <w:widowControl w:val="0"/>
        <w:pBdr>
          <w:top w:val="nil"/>
          <w:left w:val="nil"/>
          <w:bottom w:val="nil"/>
          <w:right w:val="nil"/>
          <w:between w:val="nil"/>
        </w:pBdr>
        <w:spacing w:before="100" w:beforeAutospacing="1" w:line="240" w:lineRule="auto"/>
        <w:rPr>
          <w:rFonts w:eastAsia="Cambria"/>
          <w:bCs/>
          <w:i/>
          <w:iCs/>
          <w:color w:val="000000"/>
          <w:sz w:val="24"/>
          <w:szCs w:val="24"/>
        </w:rPr>
      </w:pPr>
      <w:r w:rsidRPr="00E933BD">
        <w:rPr>
          <w:rFonts w:eastAsia="Cambria"/>
          <w:b/>
          <w:color w:val="000000"/>
          <w:sz w:val="24"/>
          <w:szCs w:val="24"/>
        </w:rPr>
        <w:t xml:space="preserve">Keywords: </w:t>
      </w:r>
      <w:r w:rsidR="00F61AD7" w:rsidRPr="00F61AD7">
        <w:rPr>
          <w:rFonts w:eastAsia="Cambria"/>
          <w:bCs/>
          <w:i/>
          <w:iCs/>
          <w:color w:val="000000"/>
          <w:sz w:val="24"/>
          <w:szCs w:val="24"/>
        </w:rPr>
        <w:t>Sustainability awareness, single-use plastic reduction practices, mediating role of environmental attitude, college students</w:t>
      </w:r>
    </w:p>
    <w:bookmarkEnd w:id="0"/>
    <w:bookmarkEnd w:id="1"/>
    <w:p w14:paraId="178714A0" w14:textId="77777777" w:rsidR="007D3779" w:rsidRPr="00E933BD" w:rsidRDefault="007D3779" w:rsidP="007D3779">
      <w:pPr>
        <w:widowControl w:val="0"/>
        <w:pBdr>
          <w:top w:val="nil"/>
          <w:left w:val="nil"/>
          <w:bottom w:val="nil"/>
          <w:right w:val="nil"/>
          <w:between w:val="nil"/>
        </w:pBdr>
        <w:spacing w:before="562" w:line="240" w:lineRule="auto"/>
        <w:ind w:left="3521"/>
        <w:rPr>
          <w:rFonts w:eastAsia="Cambria"/>
          <w:b/>
          <w:color w:val="000000"/>
          <w:sz w:val="24"/>
          <w:szCs w:val="24"/>
        </w:rPr>
      </w:pPr>
      <w:r w:rsidRPr="00E933BD">
        <w:rPr>
          <w:rFonts w:eastAsia="Cambria"/>
          <w:b/>
          <w:color w:val="000000"/>
          <w:sz w:val="24"/>
          <w:szCs w:val="24"/>
        </w:rPr>
        <w:t xml:space="preserve">INTRODUCTION </w:t>
      </w:r>
    </w:p>
    <w:p w14:paraId="342EF4F9" w14:textId="77777777" w:rsidR="007D3779" w:rsidRPr="00E933BD" w:rsidRDefault="007D3779" w:rsidP="007D3779">
      <w:pPr>
        <w:widowControl w:val="0"/>
        <w:pBdr>
          <w:top w:val="nil"/>
          <w:left w:val="nil"/>
          <w:bottom w:val="nil"/>
          <w:right w:val="nil"/>
          <w:between w:val="nil"/>
        </w:pBdr>
        <w:spacing w:before="292" w:line="240" w:lineRule="auto"/>
        <w:ind w:left="22"/>
        <w:rPr>
          <w:rFonts w:eastAsia="Cambria"/>
          <w:b/>
          <w:i/>
          <w:color w:val="000000"/>
          <w:sz w:val="24"/>
          <w:szCs w:val="24"/>
        </w:rPr>
      </w:pPr>
      <w:bookmarkStart w:id="2" w:name="_Hlk215598388"/>
      <w:r w:rsidRPr="00E933BD">
        <w:rPr>
          <w:rFonts w:eastAsia="Cambria"/>
          <w:b/>
          <w:i/>
          <w:color w:val="000000"/>
          <w:sz w:val="24"/>
          <w:szCs w:val="24"/>
        </w:rPr>
        <w:t xml:space="preserve">The Problem and Its Scope  </w:t>
      </w:r>
    </w:p>
    <w:p w14:paraId="2663C625" w14:textId="77777777" w:rsidR="00DE2078" w:rsidRDefault="00DE2078" w:rsidP="00DE2078">
      <w:pPr>
        <w:widowControl w:val="0"/>
        <w:pBdr>
          <w:top w:val="nil"/>
          <w:left w:val="nil"/>
          <w:bottom w:val="nil"/>
          <w:right w:val="nil"/>
          <w:between w:val="nil"/>
        </w:pBdr>
        <w:spacing w:before="296" w:line="240" w:lineRule="auto"/>
        <w:ind w:firstLine="720"/>
        <w:jc w:val="both"/>
        <w:rPr>
          <w:rFonts w:eastAsia="Times New Roman"/>
          <w:color w:val="000000"/>
          <w:sz w:val="24"/>
          <w:szCs w:val="24"/>
        </w:rPr>
      </w:pPr>
      <w:bookmarkStart w:id="3" w:name="_Hlk215598456"/>
      <w:bookmarkEnd w:id="2"/>
      <w:r w:rsidRPr="00DE2078">
        <w:rPr>
          <w:rFonts w:eastAsia="Times New Roman"/>
          <w:color w:val="000000"/>
          <w:sz w:val="24"/>
          <w:szCs w:val="24"/>
        </w:rPr>
        <w:t xml:space="preserve">The continued use of single-use plastic is a major environmental issue among students worldwide. Studies show that students often demonstrate limited engagement in plastic reduction practices. For instance, Thai university students demonstrate low participation in reduction </w:t>
      </w:r>
      <w:proofErr w:type="spellStart"/>
      <w:r w:rsidRPr="00DE2078">
        <w:rPr>
          <w:rFonts w:eastAsia="Times New Roman"/>
          <w:color w:val="000000"/>
          <w:sz w:val="24"/>
          <w:szCs w:val="24"/>
        </w:rPr>
        <w:t>behaviors</w:t>
      </w:r>
      <w:proofErr w:type="spellEnd"/>
      <w:r w:rsidRPr="00DE2078">
        <w:rPr>
          <w:rFonts w:eastAsia="Times New Roman"/>
          <w:color w:val="000000"/>
          <w:sz w:val="24"/>
          <w:szCs w:val="24"/>
        </w:rPr>
        <w:t xml:space="preserve"> (</w:t>
      </w:r>
      <w:proofErr w:type="spellStart"/>
      <w:r w:rsidRPr="00DE2078">
        <w:rPr>
          <w:rFonts w:eastAsia="Times New Roman"/>
          <w:color w:val="000000"/>
          <w:sz w:val="24"/>
          <w:szCs w:val="24"/>
        </w:rPr>
        <w:t>Oludoye</w:t>
      </w:r>
      <w:proofErr w:type="spellEnd"/>
      <w:r w:rsidRPr="00DE2078">
        <w:rPr>
          <w:rFonts w:eastAsia="Times New Roman"/>
          <w:color w:val="000000"/>
          <w:sz w:val="24"/>
          <w:szCs w:val="24"/>
        </w:rPr>
        <w:t xml:space="preserve"> &amp; </w:t>
      </w:r>
      <w:proofErr w:type="spellStart"/>
      <w:r w:rsidRPr="00DE2078">
        <w:rPr>
          <w:rFonts w:eastAsia="Times New Roman"/>
          <w:color w:val="000000"/>
          <w:sz w:val="24"/>
          <w:szCs w:val="24"/>
        </w:rPr>
        <w:t>Supakata</w:t>
      </w:r>
      <w:proofErr w:type="spellEnd"/>
      <w:r w:rsidRPr="00DE2078">
        <w:rPr>
          <w:rFonts w:eastAsia="Times New Roman"/>
          <w:color w:val="000000"/>
          <w:sz w:val="24"/>
          <w:szCs w:val="24"/>
        </w:rPr>
        <w:t xml:space="preserve">, 2024). A study conducted at the University of the Witwatersrand in South Africa showed that students continued to rely heavily on single-use plastics despite being aware of the environmental consequences of plastic pollution (Van Heyde &amp; Butcher, 2024). Research conducted at Lakehead University found that students continued to improperly use and dispose of plastic, even though most respondents were already aware of the environmental consequences of plastic pollution (Auld, 2020). A university-based study in Vietnam on plastic-free campuses found that students consumed high volumes of plastic bottles, cups, and bags, showing a continued heavy reliance on single-use plastics despite rising environmental </w:t>
      </w:r>
      <w:r w:rsidRPr="00DE2078">
        <w:rPr>
          <w:rFonts w:eastAsia="Times New Roman"/>
          <w:color w:val="000000"/>
          <w:sz w:val="24"/>
          <w:szCs w:val="24"/>
        </w:rPr>
        <w:lastRenderedPageBreak/>
        <w:t>concerns (Nguyen et al., 2022).</w:t>
      </w:r>
    </w:p>
    <w:p w14:paraId="7DB0C6B1" w14:textId="77777777" w:rsidR="00DE2078" w:rsidRPr="00DE2078" w:rsidRDefault="00DE2078" w:rsidP="00DE2078">
      <w:pPr>
        <w:widowControl w:val="0"/>
        <w:pBdr>
          <w:top w:val="nil"/>
          <w:left w:val="nil"/>
          <w:bottom w:val="nil"/>
          <w:right w:val="nil"/>
          <w:between w:val="nil"/>
        </w:pBdr>
        <w:spacing w:before="296" w:line="240" w:lineRule="auto"/>
        <w:ind w:firstLine="720"/>
        <w:jc w:val="both"/>
        <w:rPr>
          <w:rFonts w:eastAsia="Times New Roman"/>
          <w:color w:val="000000"/>
          <w:sz w:val="24"/>
          <w:szCs w:val="24"/>
        </w:rPr>
      </w:pPr>
      <w:r w:rsidRPr="00DE2078">
        <w:rPr>
          <w:rFonts w:eastAsia="Times New Roman"/>
          <w:color w:val="000000"/>
          <w:sz w:val="24"/>
          <w:szCs w:val="24"/>
        </w:rPr>
        <w:t xml:space="preserve">In the Philippines, a gap between environmental awareness and actual </w:t>
      </w:r>
      <w:proofErr w:type="spellStart"/>
      <w:r w:rsidRPr="00DE2078">
        <w:rPr>
          <w:rFonts w:eastAsia="Times New Roman"/>
          <w:color w:val="000000"/>
          <w:sz w:val="24"/>
          <w:szCs w:val="24"/>
        </w:rPr>
        <w:t>behavior</w:t>
      </w:r>
      <w:proofErr w:type="spellEnd"/>
      <w:r w:rsidRPr="00DE2078">
        <w:rPr>
          <w:rFonts w:eastAsia="Times New Roman"/>
          <w:color w:val="000000"/>
          <w:sz w:val="24"/>
          <w:szCs w:val="24"/>
        </w:rPr>
        <w:t xml:space="preserve"> has been documented among students. A study in Tarlac, Philippines, found that despite the implementation of provincial plastic </w:t>
      </w:r>
      <w:proofErr w:type="spellStart"/>
      <w:r w:rsidRPr="00DE2078">
        <w:rPr>
          <w:rFonts w:eastAsia="Times New Roman"/>
          <w:color w:val="000000"/>
          <w:sz w:val="24"/>
          <w:szCs w:val="24"/>
        </w:rPr>
        <w:t>bans</w:t>
      </w:r>
      <w:proofErr w:type="spellEnd"/>
      <w:r w:rsidRPr="00DE2078">
        <w:rPr>
          <w:rFonts w:eastAsia="Times New Roman"/>
          <w:color w:val="000000"/>
          <w:sz w:val="24"/>
          <w:szCs w:val="24"/>
        </w:rPr>
        <w:t xml:space="preserve">, consumer reliance on single-use plastic bags persisted due to inconsistent enforcement and limited </w:t>
      </w:r>
      <w:proofErr w:type="spellStart"/>
      <w:r w:rsidRPr="00DE2078">
        <w:rPr>
          <w:rFonts w:eastAsia="Times New Roman"/>
          <w:color w:val="000000"/>
          <w:sz w:val="24"/>
          <w:szCs w:val="24"/>
        </w:rPr>
        <w:t>behavioral</w:t>
      </w:r>
      <w:proofErr w:type="spellEnd"/>
      <w:r w:rsidRPr="00DE2078">
        <w:rPr>
          <w:rFonts w:eastAsia="Times New Roman"/>
          <w:color w:val="000000"/>
          <w:sz w:val="24"/>
          <w:szCs w:val="24"/>
        </w:rPr>
        <w:t xml:space="preserve"> change (Crowley, 2024).</w:t>
      </w:r>
    </w:p>
    <w:p w14:paraId="62344095" w14:textId="01C37076" w:rsidR="00DE2078" w:rsidRDefault="00DE2078" w:rsidP="00DE2078">
      <w:pPr>
        <w:widowControl w:val="0"/>
        <w:pBdr>
          <w:top w:val="nil"/>
          <w:left w:val="nil"/>
          <w:bottom w:val="nil"/>
          <w:right w:val="nil"/>
          <w:between w:val="nil"/>
        </w:pBdr>
        <w:spacing w:before="296" w:line="240" w:lineRule="auto"/>
        <w:ind w:firstLine="720"/>
        <w:jc w:val="both"/>
        <w:rPr>
          <w:rFonts w:eastAsia="Times New Roman"/>
          <w:color w:val="000000"/>
          <w:sz w:val="24"/>
          <w:szCs w:val="24"/>
        </w:rPr>
      </w:pPr>
      <w:r w:rsidRPr="00DE2078">
        <w:rPr>
          <w:rFonts w:eastAsia="Times New Roman"/>
          <w:color w:val="000000"/>
          <w:sz w:val="24"/>
          <w:szCs w:val="24"/>
        </w:rPr>
        <w:t xml:space="preserve">Although there are ongoing sustainability initiatives, many Filipino college students' awareness remains insufficient to drive consistent </w:t>
      </w:r>
      <w:proofErr w:type="spellStart"/>
      <w:r w:rsidRPr="00DE2078">
        <w:rPr>
          <w:rFonts w:eastAsia="Times New Roman"/>
          <w:color w:val="000000"/>
          <w:sz w:val="24"/>
          <w:szCs w:val="24"/>
        </w:rPr>
        <w:t>behavioral</w:t>
      </w:r>
      <w:proofErr w:type="spellEnd"/>
      <w:r w:rsidRPr="00DE2078">
        <w:rPr>
          <w:rFonts w:eastAsia="Times New Roman"/>
          <w:color w:val="000000"/>
          <w:sz w:val="24"/>
          <w:szCs w:val="24"/>
        </w:rPr>
        <w:t xml:space="preserve"> change. This indicates a gap in translating knowledge into action, particularly in developing strong environmental attitudes necessary for cutting single-use plastic use. (</w:t>
      </w:r>
      <w:proofErr w:type="spellStart"/>
      <w:r w:rsidRPr="00DE2078">
        <w:rPr>
          <w:rFonts w:eastAsia="Times New Roman"/>
          <w:color w:val="000000"/>
          <w:sz w:val="24"/>
          <w:szCs w:val="24"/>
        </w:rPr>
        <w:t>Masongsong</w:t>
      </w:r>
      <w:proofErr w:type="spellEnd"/>
      <w:r w:rsidRPr="00DE2078">
        <w:rPr>
          <w:rFonts w:eastAsia="Times New Roman"/>
          <w:color w:val="000000"/>
          <w:sz w:val="24"/>
          <w:szCs w:val="24"/>
        </w:rPr>
        <w:t xml:space="preserve">, 2021, pp. 1-10) Furthermore, limited research examining the relationships among sustainability awareness, environmental attitudes, and </w:t>
      </w:r>
      <w:proofErr w:type="spellStart"/>
      <w:r w:rsidRPr="00DE2078">
        <w:rPr>
          <w:rFonts w:eastAsia="Times New Roman"/>
          <w:color w:val="000000"/>
          <w:sz w:val="24"/>
          <w:szCs w:val="24"/>
        </w:rPr>
        <w:t>behavior</w:t>
      </w:r>
      <w:proofErr w:type="spellEnd"/>
      <w:r w:rsidRPr="00DE2078">
        <w:rPr>
          <w:rFonts w:eastAsia="Times New Roman"/>
          <w:color w:val="000000"/>
          <w:sz w:val="24"/>
          <w:szCs w:val="24"/>
        </w:rPr>
        <w:t xml:space="preserve"> constrains efforts to address this issue, eventually hindering progress toward key Sustainable Development Goals (SDGs 4, 12, 13, 14, 15, and 17). (Garcia et al., 2017, pp. 1-10) If left unaddressed, this gap may weaken the role of higher education institutions in encouraging sustainability literacy and responsible environmental </w:t>
      </w:r>
      <w:proofErr w:type="spellStart"/>
      <w:r w:rsidRPr="00DE2078">
        <w:rPr>
          <w:rFonts w:eastAsia="Times New Roman"/>
          <w:color w:val="000000"/>
          <w:sz w:val="24"/>
          <w:szCs w:val="24"/>
        </w:rPr>
        <w:t>behavior</w:t>
      </w:r>
      <w:proofErr w:type="spellEnd"/>
      <w:r w:rsidRPr="00DE2078">
        <w:rPr>
          <w:rFonts w:eastAsia="Times New Roman"/>
          <w:color w:val="000000"/>
          <w:sz w:val="24"/>
          <w:szCs w:val="24"/>
        </w:rPr>
        <w:t>. (</w:t>
      </w:r>
      <w:proofErr w:type="spellStart"/>
      <w:r w:rsidRPr="00DE2078">
        <w:rPr>
          <w:rFonts w:eastAsia="Times New Roman"/>
          <w:color w:val="000000"/>
          <w:sz w:val="24"/>
          <w:szCs w:val="24"/>
        </w:rPr>
        <w:t>Meskani</w:t>
      </w:r>
      <w:proofErr w:type="spellEnd"/>
      <w:r w:rsidRPr="00DE2078">
        <w:rPr>
          <w:rFonts w:eastAsia="Times New Roman"/>
          <w:color w:val="000000"/>
          <w:sz w:val="24"/>
          <w:szCs w:val="24"/>
        </w:rPr>
        <w:t xml:space="preserve"> et al., 2026)</w:t>
      </w:r>
    </w:p>
    <w:p w14:paraId="30E47B5E" w14:textId="319F55F8" w:rsidR="007D3779" w:rsidRPr="00E933BD" w:rsidRDefault="007D3779" w:rsidP="00DE2078">
      <w:pPr>
        <w:widowControl w:val="0"/>
        <w:pBdr>
          <w:top w:val="nil"/>
          <w:left w:val="nil"/>
          <w:bottom w:val="nil"/>
          <w:right w:val="nil"/>
          <w:between w:val="nil"/>
        </w:pBdr>
        <w:spacing w:before="296" w:line="240" w:lineRule="auto"/>
        <w:jc w:val="both"/>
        <w:rPr>
          <w:rFonts w:eastAsia="Cambria"/>
          <w:b/>
          <w:i/>
          <w:color w:val="000000"/>
          <w:sz w:val="24"/>
          <w:szCs w:val="24"/>
        </w:rPr>
      </w:pPr>
      <w:r w:rsidRPr="00E933BD">
        <w:rPr>
          <w:rFonts w:eastAsia="Cambria"/>
          <w:b/>
          <w:i/>
          <w:color w:val="000000"/>
          <w:sz w:val="24"/>
          <w:szCs w:val="24"/>
        </w:rPr>
        <w:t xml:space="preserve">Significance of the Study  </w:t>
      </w:r>
    </w:p>
    <w:p w14:paraId="485D873C" w14:textId="02919AD5" w:rsidR="007D3779" w:rsidRPr="00E933BD" w:rsidRDefault="00DE2078" w:rsidP="007D3779">
      <w:pPr>
        <w:widowControl w:val="0"/>
        <w:pBdr>
          <w:top w:val="nil"/>
          <w:left w:val="nil"/>
          <w:bottom w:val="nil"/>
          <w:right w:val="nil"/>
          <w:between w:val="nil"/>
        </w:pBdr>
        <w:spacing w:before="286" w:line="240" w:lineRule="auto"/>
        <w:ind w:firstLine="720"/>
        <w:jc w:val="both"/>
        <w:rPr>
          <w:rFonts w:eastAsia="Cambria"/>
          <w:color w:val="000000"/>
          <w:sz w:val="24"/>
          <w:szCs w:val="24"/>
          <w:lang w:val="en-PH"/>
        </w:rPr>
      </w:pPr>
      <w:bookmarkStart w:id="4" w:name="_Hlk215598508"/>
      <w:bookmarkEnd w:id="3"/>
      <w:r w:rsidRPr="00DE2078">
        <w:rPr>
          <w:rFonts w:eastAsia="Cambria"/>
          <w:color w:val="000000"/>
          <w:sz w:val="24"/>
          <w:szCs w:val="24"/>
          <w:lang w:val="en-PH"/>
        </w:rPr>
        <w:t>This study is significant as it contributes to international sustainability efforts by supporting the United Nations Sustainable Development Goals, particularly SDG 4 (Quality Education) and SDG 12 (Responsible Consumption and Production), through examining how sustainability awareness and environmental attitudes influence students’ single-use plastic reduction behavior. It is also consistent with the principles of Laudato Si' (Pope Francis, 2015), which emphasize ecological care and responsible living. At the national level, the study supports Philippine environmental policies, such as RA 9003, the Ecological Solid Waste Management Act, which promotes proper waste management and environmental accountability. In the scholastic context, the study aids CHED initiatives by strengthening sustainability education and environmental awareness among students. Overall, the study supports institutional and public efforts to develop environmentally responsible, sustainability-oriented communities. (</w:t>
      </w:r>
      <w:proofErr w:type="spellStart"/>
      <w:r w:rsidRPr="00DE2078">
        <w:rPr>
          <w:rFonts w:eastAsia="Cambria"/>
          <w:color w:val="000000"/>
          <w:sz w:val="24"/>
          <w:szCs w:val="24"/>
          <w:lang w:val="en-PH"/>
        </w:rPr>
        <w:t>Allasiw</w:t>
      </w:r>
      <w:proofErr w:type="spellEnd"/>
      <w:r w:rsidRPr="00DE2078">
        <w:rPr>
          <w:rFonts w:eastAsia="Cambria"/>
          <w:color w:val="000000"/>
          <w:sz w:val="24"/>
          <w:szCs w:val="24"/>
          <w:lang w:val="en-PH"/>
        </w:rPr>
        <w:t xml:space="preserve"> et al., 2017)</w:t>
      </w:r>
      <w:r w:rsidR="007D3779" w:rsidRPr="00E933BD">
        <w:rPr>
          <w:rFonts w:eastAsia="Cambria"/>
          <w:color w:val="000000"/>
          <w:sz w:val="24"/>
          <w:szCs w:val="24"/>
          <w:lang w:val="en-PH"/>
        </w:rPr>
        <w:t>.</w:t>
      </w:r>
    </w:p>
    <w:p w14:paraId="4719EA94" w14:textId="77777777" w:rsidR="007D3779" w:rsidRPr="00E933BD" w:rsidRDefault="007D3779" w:rsidP="007D3779">
      <w:pPr>
        <w:widowControl w:val="0"/>
        <w:pBdr>
          <w:top w:val="nil"/>
          <w:left w:val="nil"/>
          <w:bottom w:val="nil"/>
          <w:right w:val="nil"/>
          <w:between w:val="nil"/>
        </w:pBdr>
        <w:spacing w:before="286" w:line="240" w:lineRule="auto"/>
        <w:rPr>
          <w:rFonts w:eastAsia="Cambria"/>
          <w:b/>
          <w:i/>
          <w:color w:val="000000"/>
          <w:sz w:val="24"/>
          <w:szCs w:val="24"/>
        </w:rPr>
      </w:pPr>
      <w:r w:rsidRPr="00E933BD">
        <w:rPr>
          <w:rFonts w:eastAsia="Cambria"/>
          <w:b/>
          <w:i/>
          <w:color w:val="000000"/>
          <w:sz w:val="24"/>
          <w:szCs w:val="24"/>
        </w:rPr>
        <w:t xml:space="preserve">Statement of the Problem  </w:t>
      </w:r>
    </w:p>
    <w:p w14:paraId="48490B2E" w14:textId="77777777" w:rsidR="007D3779" w:rsidRPr="00E933BD" w:rsidRDefault="007D3779" w:rsidP="007D3779">
      <w:pPr>
        <w:widowControl w:val="0"/>
        <w:pBdr>
          <w:top w:val="nil"/>
          <w:left w:val="nil"/>
          <w:bottom w:val="nil"/>
          <w:right w:val="nil"/>
          <w:between w:val="nil"/>
        </w:pBdr>
        <w:spacing w:before="51" w:line="240" w:lineRule="auto"/>
        <w:ind w:left="14" w:right="173"/>
        <w:jc w:val="both"/>
        <w:rPr>
          <w:rFonts w:eastAsia="Cambria"/>
          <w:color w:val="000000"/>
          <w:sz w:val="24"/>
          <w:szCs w:val="24"/>
          <w:lang w:val="en-PH"/>
        </w:rPr>
      </w:pPr>
      <w:bookmarkStart w:id="5" w:name="_Hlk215600483"/>
    </w:p>
    <w:p w14:paraId="353EAE44" w14:textId="42DFF221" w:rsidR="007D3779" w:rsidRPr="00E933BD" w:rsidRDefault="00DE2078" w:rsidP="007D3779">
      <w:pPr>
        <w:widowControl w:val="0"/>
        <w:pBdr>
          <w:top w:val="nil"/>
          <w:left w:val="nil"/>
          <w:bottom w:val="nil"/>
          <w:right w:val="nil"/>
          <w:between w:val="nil"/>
        </w:pBdr>
        <w:spacing w:before="51" w:line="240" w:lineRule="auto"/>
        <w:ind w:left="14" w:right="173" w:firstLine="706"/>
        <w:jc w:val="both"/>
        <w:rPr>
          <w:rFonts w:eastAsia="Cambria"/>
          <w:b/>
          <w:bCs/>
          <w:color w:val="000000"/>
          <w:sz w:val="24"/>
          <w:szCs w:val="24"/>
          <w:lang w:val="en-PH"/>
        </w:rPr>
      </w:pPr>
      <w:r w:rsidRPr="00DE2078">
        <w:rPr>
          <w:rFonts w:eastAsia="Cambria"/>
          <w:color w:val="000000"/>
          <w:sz w:val="24"/>
          <w:szCs w:val="24"/>
          <w:lang w:val="en-PH"/>
        </w:rPr>
        <w:t>This study aimed to determine the mediating effect of environmental attitude on the relationship between sustainability awareness and single-use plastic reduction practices. Specifically, the following objectives were pursued</w:t>
      </w:r>
      <w:r w:rsidR="007D3779" w:rsidRPr="00E933BD">
        <w:rPr>
          <w:rFonts w:eastAsia="Cambria"/>
          <w:color w:val="000000"/>
          <w:sz w:val="24"/>
          <w:szCs w:val="24"/>
          <w:lang w:val="en-PH"/>
        </w:rPr>
        <w:t xml:space="preserve">: </w:t>
      </w:r>
    </w:p>
    <w:bookmarkEnd w:id="5"/>
    <w:p w14:paraId="30A62D1B" w14:textId="77777777" w:rsidR="00DE2078" w:rsidRDefault="00DE2078" w:rsidP="00DE2078">
      <w:pPr>
        <w:pStyle w:val="ListParagraph"/>
        <w:widowControl w:val="0"/>
        <w:numPr>
          <w:ilvl w:val="0"/>
          <w:numId w:val="5"/>
        </w:numPr>
        <w:pBdr>
          <w:top w:val="nil"/>
          <w:left w:val="nil"/>
          <w:bottom w:val="nil"/>
          <w:right w:val="nil"/>
          <w:between w:val="nil"/>
        </w:pBdr>
        <w:spacing w:before="51" w:after="160" w:line="240" w:lineRule="auto"/>
        <w:ind w:right="173"/>
        <w:jc w:val="both"/>
        <w:rPr>
          <w:rFonts w:eastAsia="Cambria"/>
          <w:color w:val="000000"/>
          <w:sz w:val="24"/>
          <w:szCs w:val="24"/>
        </w:rPr>
      </w:pPr>
      <w:r w:rsidRPr="00DE2078">
        <w:rPr>
          <w:rFonts w:eastAsia="Cambria"/>
          <w:color w:val="000000"/>
          <w:sz w:val="24"/>
          <w:szCs w:val="24"/>
        </w:rPr>
        <w:t xml:space="preserve">To determine the levels of sustainability awareness in terms of their knowledge of sustainability and attitude concerning sustainability, single-use plastic reduction in terms of knowledge on single-use plastics, attitude, and awareness about plastic waste management, and environmental attitude; and environmental attitude in terms of support for interventionist conservation policies, environmental movement activism, conservation motivated by anthropocentric concern, altering nature, and personal conservation among college students. </w:t>
      </w:r>
    </w:p>
    <w:p w14:paraId="7EDD072C" w14:textId="77777777" w:rsidR="00DE2078" w:rsidRDefault="00DE2078" w:rsidP="00DE2078">
      <w:pPr>
        <w:pStyle w:val="ListParagraph"/>
        <w:widowControl w:val="0"/>
        <w:numPr>
          <w:ilvl w:val="0"/>
          <w:numId w:val="5"/>
        </w:numPr>
        <w:pBdr>
          <w:top w:val="nil"/>
          <w:left w:val="nil"/>
          <w:bottom w:val="nil"/>
          <w:right w:val="nil"/>
          <w:between w:val="nil"/>
        </w:pBdr>
        <w:spacing w:before="51" w:after="160" w:line="240" w:lineRule="auto"/>
        <w:ind w:right="173"/>
        <w:jc w:val="both"/>
        <w:rPr>
          <w:rFonts w:eastAsia="Cambria"/>
          <w:color w:val="000000"/>
          <w:sz w:val="24"/>
          <w:szCs w:val="24"/>
        </w:rPr>
      </w:pPr>
      <w:r w:rsidRPr="00DE2078">
        <w:rPr>
          <w:rFonts w:eastAsia="Cambria"/>
          <w:color w:val="000000"/>
          <w:sz w:val="24"/>
          <w:szCs w:val="24"/>
        </w:rPr>
        <w:lastRenderedPageBreak/>
        <w:t xml:space="preserve">To determine the significance of the correlation between sustainability awareness, single-use plastic reduction, and environmental attitudes </w:t>
      </w:r>
    </w:p>
    <w:p w14:paraId="2B4A8F2F" w14:textId="77777777" w:rsidR="00DE2078" w:rsidRDefault="00DE2078" w:rsidP="00DE2078">
      <w:pPr>
        <w:pStyle w:val="ListParagraph"/>
        <w:widowControl w:val="0"/>
        <w:numPr>
          <w:ilvl w:val="0"/>
          <w:numId w:val="5"/>
        </w:numPr>
        <w:pBdr>
          <w:top w:val="nil"/>
          <w:left w:val="nil"/>
          <w:bottom w:val="nil"/>
          <w:right w:val="nil"/>
          <w:between w:val="nil"/>
        </w:pBdr>
        <w:spacing w:before="51" w:after="160" w:line="240" w:lineRule="auto"/>
        <w:ind w:right="173"/>
        <w:jc w:val="both"/>
        <w:rPr>
          <w:rFonts w:eastAsia="Cambria"/>
          <w:color w:val="000000"/>
          <w:sz w:val="24"/>
          <w:szCs w:val="24"/>
        </w:rPr>
      </w:pPr>
      <w:r w:rsidRPr="00DE2078">
        <w:rPr>
          <w:rFonts w:eastAsia="Cambria"/>
          <w:color w:val="000000"/>
          <w:sz w:val="24"/>
          <w:szCs w:val="24"/>
        </w:rPr>
        <w:t>To determine the significance of the direct effect of sustainability awareness and single-use plastic reduction, controlling for environmental attitude.</w:t>
      </w:r>
    </w:p>
    <w:p w14:paraId="6BC32FAE" w14:textId="77777777" w:rsidR="00DE2078" w:rsidRDefault="00DE2078" w:rsidP="00DE2078">
      <w:pPr>
        <w:pStyle w:val="ListParagraph"/>
        <w:widowControl w:val="0"/>
        <w:numPr>
          <w:ilvl w:val="0"/>
          <w:numId w:val="5"/>
        </w:numPr>
        <w:pBdr>
          <w:top w:val="nil"/>
          <w:left w:val="nil"/>
          <w:bottom w:val="nil"/>
          <w:right w:val="nil"/>
          <w:between w:val="nil"/>
        </w:pBdr>
        <w:spacing w:before="51" w:after="160" w:line="240" w:lineRule="auto"/>
        <w:ind w:right="173"/>
        <w:jc w:val="both"/>
        <w:rPr>
          <w:rFonts w:eastAsia="Cambria"/>
          <w:color w:val="000000"/>
          <w:sz w:val="24"/>
          <w:szCs w:val="24"/>
        </w:rPr>
      </w:pPr>
      <w:r w:rsidRPr="00DE2078">
        <w:rPr>
          <w:rFonts w:eastAsia="Cambria"/>
          <w:color w:val="000000"/>
          <w:sz w:val="24"/>
          <w:szCs w:val="24"/>
        </w:rPr>
        <w:t>To determine the significance of the indirect effect of sustainability awareness and single-use plastic reduction on environmental attitude.</w:t>
      </w:r>
    </w:p>
    <w:p w14:paraId="0E4DBE0E" w14:textId="276BC076" w:rsidR="00DE2078" w:rsidRPr="00DE2078" w:rsidRDefault="00DE2078" w:rsidP="00DE2078">
      <w:pPr>
        <w:pStyle w:val="ListParagraph"/>
        <w:widowControl w:val="0"/>
        <w:numPr>
          <w:ilvl w:val="0"/>
          <w:numId w:val="5"/>
        </w:numPr>
        <w:pBdr>
          <w:top w:val="nil"/>
          <w:left w:val="nil"/>
          <w:bottom w:val="nil"/>
          <w:right w:val="nil"/>
          <w:between w:val="nil"/>
        </w:pBdr>
        <w:spacing w:before="51" w:after="160" w:line="240" w:lineRule="auto"/>
        <w:ind w:right="173"/>
        <w:jc w:val="both"/>
        <w:rPr>
          <w:rFonts w:eastAsia="Cambria"/>
          <w:color w:val="000000"/>
          <w:sz w:val="24"/>
          <w:szCs w:val="24"/>
        </w:rPr>
      </w:pPr>
      <w:r w:rsidRPr="00DE2078">
        <w:rPr>
          <w:rFonts w:eastAsia="Cambria"/>
          <w:color w:val="000000"/>
          <w:sz w:val="24"/>
          <w:szCs w:val="24"/>
        </w:rPr>
        <w:t xml:space="preserve">To determine the total effect of environmental attitude on single-use plastic reduction </w:t>
      </w:r>
      <w:proofErr w:type="spellStart"/>
      <w:r w:rsidRPr="00DE2078">
        <w:rPr>
          <w:rFonts w:eastAsia="Cambria"/>
          <w:color w:val="000000"/>
          <w:sz w:val="24"/>
          <w:szCs w:val="24"/>
        </w:rPr>
        <w:t>behavior</w:t>
      </w:r>
      <w:proofErr w:type="spellEnd"/>
      <w:r w:rsidRPr="00DE2078">
        <w:rPr>
          <w:rFonts w:eastAsia="Cambria"/>
          <w:color w:val="000000"/>
          <w:sz w:val="24"/>
          <w:szCs w:val="24"/>
        </w:rPr>
        <w:t>.</w:t>
      </w:r>
    </w:p>
    <w:p w14:paraId="3EC52A89" w14:textId="77777777" w:rsidR="007D3779" w:rsidRPr="00E933BD" w:rsidRDefault="007D3779" w:rsidP="00DE2078">
      <w:pPr>
        <w:widowControl w:val="0"/>
        <w:pBdr>
          <w:top w:val="nil"/>
          <w:left w:val="nil"/>
          <w:bottom w:val="nil"/>
          <w:right w:val="nil"/>
          <w:between w:val="nil"/>
        </w:pBdr>
        <w:spacing w:before="51" w:line="240" w:lineRule="auto"/>
        <w:ind w:right="173"/>
        <w:jc w:val="both"/>
        <w:rPr>
          <w:rFonts w:eastAsia="Cambria"/>
          <w:color w:val="000000"/>
          <w:sz w:val="24"/>
          <w:szCs w:val="24"/>
        </w:rPr>
      </w:pPr>
    </w:p>
    <w:p w14:paraId="2CFDABA1" w14:textId="77777777" w:rsidR="007D3779" w:rsidRPr="00E933BD" w:rsidRDefault="007D3779" w:rsidP="007D3779">
      <w:pPr>
        <w:widowControl w:val="0"/>
        <w:pBdr>
          <w:top w:val="nil"/>
          <w:left w:val="nil"/>
          <w:bottom w:val="nil"/>
          <w:right w:val="nil"/>
          <w:between w:val="nil"/>
        </w:pBdr>
        <w:spacing w:before="51" w:line="240" w:lineRule="auto"/>
        <w:ind w:left="14" w:right="173"/>
        <w:jc w:val="both"/>
        <w:rPr>
          <w:rFonts w:eastAsia="Cambria"/>
          <w:b/>
          <w:bCs/>
          <w:i/>
          <w:iCs/>
          <w:color w:val="000000"/>
          <w:sz w:val="24"/>
          <w:szCs w:val="24"/>
        </w:rPr>
      </w:pPr>
      <w:bookmarkStart w:id="6" w:name="_Hlk215598667"/>
      <w:bookmarkEnd w:id="4"/>
      <w:r w:rsidRPr="00E933BD">
        <w:rPr>
          <w:rFonts w:eastAsia="Cambria"/>
          <w:b/>
          <w:bCs/>
          <w:i/>
          <w:iCs/>
          <w:color w:val="000000"/>
          <w:sz w:val="24"/>
          <w:szCs w:val="24"/>
        </w:rPr>
        <w:t xml:space="preserve">Hypotheses: </w:t>
      </w:r>
    </w:p>
    <w:p w14:paraId="1AADFB82" w14:textId="77777777" w:rsidR="007D3779" w:rsidRPr="00E933BD" w:rsidRDefault="007D3779" w:rsidP="007D3779">
      <w:pPr>
        <w:widowControl w:val="0"/>
        <w:pBdr>
          <w:top w:val="nil"/>
          <w:left w:val="nil"/>
          <w:bottom w:val="nil"/>
          <w:right w:val="nil"/>
          <w:between w:val="nil"/>
        </w:pBdr>
        <w:spacing w:line="240" w:lineRule="auto"/>
        <w:ind w:left="15"/>
        <w:rPr>
          <w:rFonts w:eastAsia="Cambria"/>
          <w:color w:val="000000"/>
          <w:sz w:val="24"/>
          <w:szCs w:val="24"/>
        </w:rPr>
      </w:pPr>
    </w:p>
    <w:p w14:paraId="2B936149" w14:textId="77777777" w:rsidR="00DE2078" w:rsidRPr="00DE2078" w:rsidRDefault="00DE2078" w:rsidP="00DE2078">
      <w:pPr>
        <w:widowControl w:val="0"/>
        <w:pBdr>
          <w:top w:val="nil"/>
          <w:left w:val="nil"/>
          <w:bottom w:val="nil"/>
          <w:right w:val="nil"/>
          <w:between w:val="nil"/>
        </w:pBdr>
        <w:spacing w:line="240" w:lineRule="auto"/>
        <w:jc w:val="both"/>
        <w:rPr>
          <w:rFonts w:eastAsia="Cambria"/>
          <w:color w:val="000000"/>
          <w:sz w:val="24"/>
          <w:szCs w:val="24"/>
        </w:rPr>
      </w:pPr>
      <w:bookmarkStart w:id="7" w:name="_Hlk215598764"/>
      <w:bookmarkEnd w:id="6"/>
      <w:r w:rsidRPr="00DE2078">
        <w:rPr>
          <w:rFonts w:eastAsia="Cambria"/>
          <w:color w:val="000000"/>
          <w:sz w:val="24"/>
          <w:szCs w:val="24"/>
        </w:rPr>
        <w:t xml:space="preserve">H01: Sustainability awareness and single-use plastic reduction </w:t>
      </w:r>
      <w:proofErr w:type="spellStart"/>
      <w:r w:rsidRPr="00DE2078">
        <w:rPr>
          <w:rFonts w:eastAsia="Cambria"/>
          <w:color w:val="000000"/>
          <w:sz w:val="24"/>
          <w:szCs w:val="24"/>
        </w:rPr>
        <w:t>behavior</w:t>
      </w:r>
      <w:proofErr w:type="spellEnd"/>
      <w:r w:rsidRPr="00DE2078">
        <w:rPr>
          <w:rFonts w:eastAsia="Cambria"/>
          <w:color w:val="000000"/>
          <w:sz w:val="24"/>
          <w:szCs w:val="24"/>
        </w:rPr>
        <w:t xml:space="preserve"> do not significantly correlate with environmental attitude.</w:t>
      </w:r>
    </w:p>
    <w:p w14:paraId="50080197" w14:textId="77777777" w:rsidR="00DE2078" w:rsidRPr="00DE2078" w:rsidRDefault="00DE2078" w:rsidP="00DE2078">
      <w:pPr>
        <w:widowControl w:val="0"/>
        <w:pBdr>
          <w:top w:val="nil"/>
          <w:left w:val="nil"/>
          <w:bottom w:val="nil"/>
          <w:right w:val="nil"/>
          <w:between w:val="nil"/>
        </w:pBdr>
        <w:spacing w:line="240" w:lineRule="auto"/>
        <w:jc w:val="both"/>
        <w:rPr>
          <w:rFonts w:eastAsia="Cambria"/>
          <w:color w:val="000000"/>
          <w:sz w:val="24"/>
          <w:szCs w:val="24"/>
        </w:rPr>
      </w:pPr>
      <w:r w:rsidRPr="00DE2078">
        <w:rPr>
          <w:rFonts w:eastAsia="Cambria"/>
          <w:color w:val="000000"/>
          <w:sz w:val="24"/>
          <w:szCs w:val="24"/>
        </w:rPr>
        <w:t>H0</w:t>
      </w:r>
      <w:r w:rsidRPr="00DE2078">
        <w:rPr>
          <w:rFonts w:ascii="Cambria Math" w:eastAsia="Cambria" w:hAnsi="Cambria Math" w:cs="Cambria Math"/>
          <w:color w:val="000000"/>
          <w:sz w:val="24"/>
          <w:szCs w:val="24"/>
        </w:rPr>
        <w:t>₂</w:t>
      </w:r>
      <w:r w:rsidRPr="00DE2078">
        <w:rPr>
          <w:rFonts w:eastAsia="Cambria"/>
          <w:color w:val="000000"/>
          <w:sz w:val="24"/>
          <w:szCs w:val="24"/>
        </w:rPr>
        <w:t>: The direct effect of sustainability awareness and single-use plastic reduction through environmental attitude is not significant.</w:t>
      </w:r>
    </w:p>
    <w:p w14:paraId="5E31D00D" w14:textId="77777777" w:rsidR="00DE2078" w:rsidRPr="00DE2078" w:rsidRDefault="00DE2078" w:rsidP="00DE2078">
      <w:pPr>
        <w:widowControl w:val="0"/>
        <w:pBdr>
          <w:top w:val="nil"/>
          <w:left w:val="nil"/>
          <w:bottom w:val="nil"/>
          <w:right w:val="nil"/>
          <w:between w:val="nil"/>
        </w:pBdr>
        <w:spacing w:line="240" w:lineRule="auto"/>
        <w:jc w:val="both"/>
        <w:rPr>
          <w:rFonts w:eastAsia="Cambria"/>
          <w:color w:val="000000"/>
          <w:sz w:val="24"/>
          <w:szCs w:val="24"/>
        </w:rPr>
      </w:pPr>
      <w:r w:rsidRPr="00DE2078">
        <w:rPr>
          <w:rFonts w:eastAsia="Cambria"/>
          <w:color w:val="000000"/>
          <w:sz w:val="24"/>
          <w:szCs w:val="24"/>
        </w:rPr>
        <w:t>H03: The indirect effect of sustainability awareness and single-use plastic reduction through environmental attitude is not significant.</w:t>
      </w:r>
    </w:p>
    <w:p w14:paraId="34AE4EB8" w14:textId="38076687" w:rsidR="007D3779" w:rsidRDefault="00DE2078" w:rsidP="00DE2078">
      <w:pPr>
        <w:widowControl w:val="0"/>
        <w:pBdr>
          <w:top w:val="nil"/>
          <w:left w:val="nil"/>
          <w:bottom w:val="nil"/>
          <w:right w:val="nil"/>
          <w:between w:val="nil"/>
        </w:pBdr>
        <w:spacing w:line="240" w:lineRule="auto"/>
        <w:jc w:val="both"/>
        <w:rPr>
          <w:rFonts w:eastAsia="Cambria"/>
          <w:color w:val="000000"/>
          <w:sz w:val="24"/>
          <w:szCs w:val="24"/>
        </w:rPr>
      </w:pPr>
      <w:r w:rsidRPr="00DE2078">
        <w:rPr>
          <w:rFonts w:eastAsia="Cambria"/>
          <w:color w:val="000000"/>
          <w:sz w:val="24"/>
          <w:szCs w:val="24"/>
        </w:rPr>
        <w:t xml:space="preserve">H04: The total effect of environmental attitude on single-use plastic reduction </w:t>
      </w:r>
      <w:proofErr w:type="spellStart"/>
      <w:r w:rsidRPr="00DE2078">
        <w:rPr>
          <w:rFonts w:eastAsia="Cambria"/>
          <w:color w:val="000000"/>
          <w:sz w:val="24"/>
          <w:szCs w:val="24"/>
        </w:rPr>
        <w:t>behavior</w:t>
      </w:r>
      <w:proofErr w:type="spellEnd"/>
      <w:r w:rsidRPr="00DE2078">
        <w:rPr>
          <w:rFonts w:eastAsia="Cambria"/>
          <w:color w:val="000000"/>
          <w:sz w:val="24"/>
          <w:szCs w:val="24"/>
        </w:rPr>
        <w:t xml:space="preserve"> is not significant.</w:t>
      </w:r>
    </w:p>
    <w:p w14:paraId="5B2D3E47" w14:textId="77777777" w:rsidR="00DE2078" w:rsidRPr="00E933BD" w:rsidRDefault="00DE2078" w:rsidP="00DE2078">
      <w:pPr>
        <w:widowControl w:val="0"/>
        <w:pBdr>
          <w:top w:val="nil"/>
          <w:left w:val="nil"/>
          <w:bottom w:val="nil"/>
          <w:right w:val="nil"/>
          <w:between w:val="nil"/>
        </w:pBdr>
        <w:spacing w:line="240" w:lineRule="auto"/>
        <w:jc w:val="both"/>
        <w:rPr>
          <w:rFonts w:eastAsia="Cambria"/>
          <w:color w:val="000000"/>
          <w:sz w:val="24"/>
          <w:szCs w:val="24"/>
        </w:rPr>
      </w:pPr>
    </w:p>
    <w:p w14:paraId="1E0EAD7B" w14:textId="77777777" w:rsidR="007D3779" w:rsidRPr="00E933BD" w:rsidRDefault="007D3779" w:rsidP="007D3779">
      <w:pPr>
        <w:widowControl w:val="0"/>
        <w:pBdr>
          <w:top w:val="nil"/>
          <w:left w:val="nil"/>
          <w:bottom w:val="nil"/>
          <w:right w:val="nil"/>
          <w:between w:val="nil"/>
        </w:pBdr>
        <w:spacing w:line="240" w:lineRule="auto"/>
        <w:ind w:left="15"/>
        <w:rPr>
          <w:rFonts w:eastAsia="Cambria"/>
          <w:b/>
          <w:color w:val="000000"/>
          <w:sz w:val="24"/>
          <w:szCs w:val="24"/>
        </w:rPr>
      </w:pPr>
      <w:r w:rsidRPr="00E933BD">
        <w:rPr>
          <w:rFonts w:eastAsia="Cambria"/>
          <w:b/>
          <w:color w:val="000000"/>
          <w:sz w:val="24"/>
          <w:szCs w:val="24"/>
        </w:rPr>
        <w:t>Theoretical and Conceptual Framework</w:t>
      </w:r>
    </w:p>
    <w:p w14:paraId="342209D9" w14:textId="77777777" w:rsidR="007D3779" w:rsidRPr="00E933BD" w:rsidRDefault="007D3779" w:rsidP="007D3779">
      <w:pPr>
        <w:widowControl w:val="0"/>
        <w:pBdr>
          <w:top w:val="nil"/>
          <w:left w:val="nil"/>
          <w:bottom w:val="nil"/>
          <w:right w:val="nil"/>
          <w:between w:val="nil"/>
        </w:pBdr>
        <w:spacing w:line="240" w:lineRule="auto"/>
        <w:ind w:left="15"/>
        <w:rPr>
          <w:rFonts w:eastAsia="Cambria"/>
          <w:b/>
          <w:color w:val="000000"/>
          <w:sz w:val="24"/>
          <w:szCs w:val="24"/>
        </w:rPr>
      </w:pPr>
    </w:p>
    <w:p w14:paraId="4365FD86" w14:textId="39BA5083" w:rsidR="007D3779" w:rsidRPr="00E933BD" w:rsidRDefault="00DE2078" w:rsidP="00DE2078">
      <w:pPr>
        <w:spacing w:line="240" w:lineRule="auto"/>
        <w:ind w:firstLine="720"/>
        <w:jc w:val="both"/>
        <w:rPr>
          <w:sz w:val="24"/>
          <w:szCs w:val="24"/>
        </w:rPr>
      </w:pPr>
      <w:bookmarkStart w:id="8" w:name="_Hlk215598800"/>
      <w:bookmarkEnd w:id="7"/>
      <w:r w:rsidRPr="00DE2078">
        <w:rPr>
          <w:rFonts w:eastAsia="Cambria"/>
          <w:color w:val="000000"/>
          <w:sz w:val="24"/>
          <w:szCs w:val="24"/>
          <w:lang w:val="en-PH"/>
        </w:rPr>
        <w:t>This study is anchored in the Knowledge–Attitude–Practice (KAP) Theory proposed by Everett M. Rogers (1962), which explains that behavior develops through a sequential process in which knowledge influences attitudes, and attitudes, in turn, shape practices. The theory emphasizes that awareness serves as the cognitive foundation for the formation of favorable dispositions that ultimately lead to observable behavioral outcomes. This perspective is widely applied in environmental and sustainability studies, as it explains how individuals transition from awareness to action (McKenzie</w:t>
      </w:r>
      <w:r>
        <w:rPr>
          <w:rFonts w:eastAsia="Cambria"/>
          <w:color w:val="000000"/>
          <w:sz w:val="24"/>
          <w:szCs w:val="24"/>
          <w:lang w:val="en-PH"/>
        </w:rPr>
        <w:t xml:space="preserve"> </w:t>
      </w:r>
      <w:r w:rsidRPr="00DE2078">
        <w:rPr>
          <w:rFonts w:eastAsia="Cambria"/>
          <w:color w:val="000000"/>
          <w:sz w:val="24"/>
          <w:szCs w:val="24"/>
          <w:lang w:val="en-PH"/>
        </w:rPr>
        <w:t>Mohr, 2021; Geiger et al., 2021).</w:t>
      </w:r>
    </w:p>
    <w:p w14:paraId="0E967636" w14:textId="77777777" w:rsidR="00DE2078" w:rsidRDefault="00DE2078" w:rsidP="007D3779">
      <w:pPr>
        <w:widowControl w:val="0"/>
        <w:spacing w:line="480" w:lineRule="auto"/>
        <w:jc w:val="center"/>
        <w:rPr>
          <w:bCs/>
          <w:sz w:val="24"/>
          <w:szCs w:val="24"/>
        </w:rPr>
      </w:pPr>
    </w:p>
    <w:p w14:paraId="1CAA3C41" w14:textId="77777777" w:rsidR="00DE2078" w:rsidRDefault="00DE2078" w:rsidP="007D3779">
      <w:pPr>
        <w:widowControl w:val="0"/>
        <w:spacing w:line="480" w:lineRule="auto"/>
        <w:jc w:val="center"/>
        <w:rPr>
          <w:bCs/>
          <w:sz w:val="24"/>
          <w:szCs w:val="24"/>
        </w:rPr>
      </w:pPr>
    </w:p>
    <w:p w14:paraId="3B76A714" w14:textId="77777777" w:rsidR="00DE2078" w:rsidRDefault="00DE2078" w:rsidP="007D3779">
      <w:pPr>
        <w:widowControl w:val="0"/>
        <w:spacing w:line="480" w:lineRule="auto"/>
        <w:jc w:val="center"/>
        <w:rPr>
          <w:bCs/>
          <w:sz w:val="24"/>
          <w:szCs w:val="24"/>
        </w:rPr>
      </w:pPr>
    </w:p>
    <w:p w14:paraId="2CC1CE61" w14:textId="77777777" w:rsidR="00DE2078" w:rsidRDefault="00DE2078" w:rsidP="007D3779">
      <w:pPr>
        <w:widowControl w:val="0"/>
        <w:spacing w:line="480" w:lineRule="auto"/>
        <w:jc w:val="center"/>
        <w:rPr>
          <w:bCs/>
          <w:sz w:val="24"/>
          <w:szCs w:val="24"/>
        </w:rPr>
      </w:pPr>
    </w:p>
    <w:p w14:paraId="6C916CFE" w14:textId="77777777" w:rsidR="00DE2078" w:rsidRDefault="00DE2078" w:rsidP="007D3779">
      <w:pPr>
        <w:widowControl w:val="0"/>
        <w:spacing w:line="480" w:lineRule="auto"/>
        <w:jc w:val="center"/>
        <w:rPr>
          <w:bCs/>
          <w:sz w:val="24"/>
          <w:szCs w:val="24"/>
        </w:rPr>
      </w:pPr>
    </w:p>
    <w:p w14:paraId="3CAE5BD5" w14:textId="77777777" w:rsidR="00DE2078" w:rsidRDefault="00DE2078" w:rsidP="007D3779">
      <w:pPr>
        <w:widowControl w:val="0"/>
        <w:spacing w:line="480" w:lineRule="auto"/>
        <w:jc w:val="center"/>
        <w:rPr>
          <w:bCs/>
          <w:sz w:val="24"/>
          <w:szCs w:val="24"/>
        </w:rPr>
      </w:pPr>
    </w:p>
    <w:p w14:paraId="6001F8AA" w14:textId="77777777" w:rsidR="00DE2078" w:rsidRDefault="00DE2078" w:rsidP="007D3779">
      <w:pPr>
        <w:widowControl w:val="0"/>
        <w:spacing w:line="480" w:lineRule="auto"/>
        <w:jc w:val="center"/>
        <w:rPr>
          <w:bCs/>
          <w:sz w:val="24"/>
          <w:szCs w:val="24"/>
        </w:rPr>
      </w:pPr>
    </w:p>
    <w:p w14:paraId="0897E0A4" w14:textId="77777777" w:rsidR="00DE2078" w:rsidRDefault="00DE2078" w:rsidP="007D3779">
      <w:pPr>
        <w:widowControl w:val="0"/>
        <w:spacing w:line="480" w:lineRule="auto"/>
        <w:jc w:val="center"/>
        <w:rPr>
          <w:bCs/>
          <w:sz w:val="24"/>
          <w:szCs w:val="24"/>
        </w:rPr>
      </w:pPr>
    </w:p>
    <w:p w14:paraId="01FE9C07" w14:textId="3BAF7A45" w:rsidR="00DE2078" w:rsidRDefault="00DE2078" w:rsidP="007D3779">
      <w:pPr>
        <w:widowControl w:val="0"/>
        <w:spacing w:line="480" w:lineRule="auto"/>
        <w:jc w:val="center"/>
        <w:rPr>
          <w:bCs/>
          <w:sz w:val="24"/>
          <w:szCs w:val="24"/>
        </w:rPr>
      </w:pPr>
      <w:r w:rsidRPr="00CA7FFE">
        <w:rPr>
          <w:rFonts w:ascii="Cambria" w:hAnsi="Cambria"/>
          <w:b/>
          <w:noProof/>
        </w:rPr>
        <w:lastRenderedPageBreak/>
        <w:drawing>
          <wp:anchor distT="0" distB="0" distL="114300" distR="114300" simplePos="0" relativeHeight="251659264" behindDoc="1" locked="0" layoutInCell="1" allowOverlap="1" wp14:anchorId="6D7D8367" wp14:editId="30816C19">
            <wp:simplePos x="0" y="0"/>
            <wp:positionH relativeFrom="margin">
              <wp:align>right</wp:align>
            </wp:positionH>
            <wp:positionV relativeFrom="page">
              <wp:posOffset>610870</wp:posOffset>
            </wp:positionV>
            <wp:extent cx="5943600" cy="4680585"/>
            <wp:effectExtent l="0" t="0" r="0" b="5715"/>
            <wp:wrapNone/>
            <wp:docPr id="1173246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24659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4680585"/>
                    </a:xfrm>
                    <a:prstGeom prst="rect">
                      <a:avLst/>
                    </a:prstGeom>
                  </pic:spPr>
                </pic:pic>
              </a:graphicData>
            </a:graphic>
          </wp:anchor>
        </w:drawing>
      </w:r>
    </w:p>
    <w:p w14:paraId="6564C739" w14:textId="77777777" w:rsidR="00DE2078" w:rsidRDefault="00DE2078" w:rsidP="007D3779">
      <w:pPr>
        <w:widowControl w:val="0"/>
        <w:spacing w:line="480" w:lineRule="auto"/>
        <w:jc w:val="center"/>
        <w:rPr>
          <w:bCs/>
          <w:sz w:val="24"/>
          <w:szCs w:val="24"/>
        </w:rPr>
      </w:pPr>
    </w:p>
    <w:p w14:paraId="20565FA6" w14:textId="77777777" w:rsidR="00DE2078" w:rsidRDefault="00DE2078" w:rsidP="007D3779">
      <w:pPr>
        <w:widowControl w:val="0"/>
        <w:spacing w:line="480" w:lineRule="auto"/>
        <w:jc w:val="center"/>
        <w:rPr>
          <w:bCs/>
          <w:sz w:val="24"/>
          <w:szCs w:val="24"/>
        </w:rPr>
      </w:pPr>
    </w:p>
    <w:p w14:paraId="1423CD81" w14:textId="77777777" w:rsidR="00DE2078" w:rsidRDefault="00DE2078" w:rsidP="007D3779">
      <w:pPr>
        <w:widowControl w:val="0"/>
        <w:spacing w:line="480" w:lineRule="auto"/>
        <w:jc w:val="center"/>
        <w:rPr>
          <w:bCs/>
          <w:sz w:val="24"/>
          <w:szCs w:val="24"/>
        </w:rPr>
      </w:pPr>
    </w:p>
    <w:p w14:paraId="6A056565" w14:textId="77777777" w:rsidR="00DE2078" w:rsidRDefault="00DE2078" w:rsidP="007D3779">
      <w:pPr>
        <w:widowControl w:val="0"/>
        <w:spacing w:line="480" w:lineRule="auto"/>
        <w:jc w:val="center"/>
        <w:rPr>
          <w:bCs/>
          <w:sz w:val="24"/>
          <w:szCs w:val="24"/>
        </w:rPr>
      </w:pPr>
    </w:p>
    <w:p w14:paraId="324177E8" w14:textId="77777777" w:rsidR="00DE2078" w:rsidRDefault="00DE2078" w:rsidP="007D3779">
      <w:pPr>
        <w:widowControl w:val="0"/>
        <w:spacing w:line="480" w:lineRule="auto"/>
        <w:jc w:val="center"/>
        <w:rPr>
          <w:bCs/>
          <w:sz w:val="24"/>
          <w:szCs w:val="24"/>
        </w:rPr>
      </w:pPr>
    </w:p>
    <w:p w14:paraId="1BAC7EA2" w14:textId="77777777" w:rsidR="00DE2078" w:rsidRDefault="00DE2078" w:rsidP="007D3779">
      <w:pPr>
        <w:widowControl w:val="0"/>
        <w:spacing w:line="480" w:lineRule="auto"/>
        <w:jc w:val="center"/>
        <w:rPr>
          <w:bCs/>
          <w:sz w:val="24"/>
          <w:szCs w:val="24"/>
        </w:rPr>
      </w:pPr>
    </w:p>
    <w:p w14:paraId="0AA8E1BA" w14:textId="77777777" w:rsidR="00DE2078" w:rsidRDefault="00DE2078" w:rsidP="007D3779">
      <w:pPr>
        <w:widowControl w:val="0"/>
        <w:spacing w:line="480" w:lineRule="auto"/>
        <w:jc w:val="center"/>
        <w:rPr>
          <w:bCs/>
          <w:sz w:val="24"/>
          <w:szCs w:val="24"/>
        </w:rPr>
      </w:pPr>
    </w:p>
    <w:p w14:paraId="68204761" w14:textId="77777777" w:rsidR="00DE2078" w:rsidRDefault="00DE2078" w:rsidP="007D3779">
      <w:pPr>
        <w:widowControl w:val="0"/>
        <w:spacing w:line="480" w:lineRule="auto"/>
        <w:jc w:val="center"/>
        <w:rPr>
          <w:bCs/>
          <w:sz w:val="24"/>
          <w:szCs w:val="24"/>
        </w:rPr>
      </w:pPr>
    </w:p>
    <w:p w14:paraId="13B6C418" w14:textId="77777777" w:rsidR="00DE2078" w:rsidRDefault="00DE2078" w:rsidP="007D3779">
      <w:pPr>
        <w:widowControl w:val="0"/>
        <w:spacing w:line="480" w:lineRule="auto"/>
        <w:jc w:val="center"/>
        <w:rPr>
          <w:bCs/>
          <w:sz w:val="24"/>
          <w:szCs w:val="24"/>
        </w:rPr>
      </w:pPr>
    </w:p>
    <w:p w14:paraId="0413A675" w14:textId="77777777" w:rsidR="00DE2078" w:rsidRDefault="00DE2078" w:rsidP="007D3779">
      <w:pPr>
        <w:widowControl w:val="0"/>
        <w:spacing w:line="480" w:lineRule="auto"/>
        <w:jc w:val="center"/>
        <w:rPr>
          <w:bCs/>
          <w:sz w:val="24"/>
          <w:szCs w:val="24"/>
        </w:rPr>
      </w:pPr>
    </w:p>
    <w:p w14:paraId="7EB20D75" w14:textId="77777777" w:rsidR="00DE2078" w:rsidRDefault="00DE2078" w:rsidP="007D3779">
      <w:pPr>
        <w:widowControl w:val="0"/>
        <w:spacing w:line="480" w:lineRule="auto"/>
        <w:jc w:val="center"/>
        <w:rPr>
          <w:bCs/>
          <w:sz w:val="24"/>
          <w:szCs w:val="24"/>
        </w:rPr>
      </w:pPr>
    </w:p>
    <w:p w14:paraId="1F5008F9" w14:textId="77777777" w:rsidR="00DE2078" w:rsidRDefault="00DE2078" w:rsidP="007D3779">
      <w:pPr>
        <w:widowControl w:val="0"/>
        <w:spacing w:line="480" w:lineRule="auto"/>
        <w:jc w:val="center"/>
        <w:rPr>
          <w:bCs/>
          <w:sz w:val="24"/>
          <w:szCs w:val="24"/>
        </w:rPr>
      </w:pPr>
    </w:p>
    <w:p w14:paraId="3ABBD3B3" w14:textId="0FBB4B9A" w:rsidR="007D3779" w:rsidRPr="00E933BD" w:rsidRDefault="007D3779" w:rsidP="007D3779">
      <w:pPr>
        <w:widowControl w:val="0"/>
        <w:spacing w:line="480" w:lineRule="auto"/>
        <w:jc w:val="center"/>
        <w:rPr>
          <w:bCs/>
          <w:sz w:val="24"/>
          <w:szCs w:val="24"/>
        </w:rPr>
      </w:pPr>
      <w:r w:rsidRPr="00E933BD">
        <w:rPr>
          <w:bCs/>
          <w:sz w:val="24"/>
          <w:szCs w:val="24"/>
        </w:rPr>
        <w:t>Figure 1. Conceptual Framework of the study</w:t>
      </w:r>
    </w:p>
    <w:bookmarkEnd w:id="8"/>
    <w:p w14:paraId="52B54195" w14:textId="30065468" w:rsidR="007D3779" w:rsidRPr="00E933BD" w:rsidRDefault="00DE2078" w:rsidP="00602BE4">
      <w:pPr>
        <w:widowControl w:val="0"/>
        <w:pBdr>
          <w:top w:val="nil"/>
          <w:left w:val="nil"/>
          <w:bottom w:val="nil"/>
          <w:right w:val="nil"/>
          <w:between w:val="nil"/>
        </w:pBdr>
        <w:spacing w:line="235" w:lineRule="auto"/>
        <w:ind w:right="172" w:firstLine="720"/>
        <w:jc w:val="both"/>
        <w:rPr>
          <w:rFonts w:eastAsia="Cambria"/>
          <w:color w:val="000000"/>
          <w:sz w:val="24"/>
          <w:szCs w:val="24"/>
          <w:lang w:val="en-PH"/>
        </w:rPr>
      </w:pPr>
      <w:r w:rsidRPr="00DE2078">
        <w:rPr>
          <w:rFonts w:eastAsia="Cambria"/>
          <w:color w:val="000000"/>
          <w:sz w:val="24"/>
          <w:szCs w:val="24"/>
          <w:lang w:val="en-PH"/>
        </w:rPr>
        <w:t>In this study, sustainability awareness is considered as the input component of the theory (knowledge), reflecting students’ understanding of environmental issues, environmental accountability, and the impacts of single-use plastic consumption. Environmental attitude serves as the process component (attitudes), encompassing students’ beliefs, feelings, and dispositions toward environmental protection and plastic reduction. These attitudes serve as motivational drivers that influence behavioral intention and choices, as supported by Steg et al. (2021), who emphasized that pro-environmental attitudes are key predictors of sustainable behavior. Lastly, single-use plastic reduction practices represent the output component (practices), referring to the actual behaviors demonstrated by students, including minimizing plastic use, reusing materials, and following sustainable consumption habits. According to Geiger et al. (2021), behavioral outcomes result from both cognitive understanding and affective evaluation, strengthening the sequential logic of the KAP framework. Hence, this study is fully anchored on the Knowledge-Attitude-Practice (KAP) theory.</w:t>
      </w:r>
    </w:p>
    <w:p w14:paraId="7487902F" w14:textId="77777777" w:rsidR="00AE3536" w:rsidRDefault="00AE3536" w:rsidP="00602BE4">
      <w:pPr>
        <w:widowControl w:val="0"/>
        <w:spacing w:line="480" w:lineRule="auto"/>
        <w:rPr>
          <w:rFonts w:eastAsia="Cambria"/>
          <w:b/>
          <w:color w:val="000000"/>
          <w:sz w:val="24"/>
          <w:szCs w:val="24"/>
        </w:rPr>
      </w:pPr>
    </w:p>
    <w:p w14:paraId="38E95834" w14:textId="77777777" w:rsidR="00DE2078" w:rsidRDefault="00DE2078" w:rsidP="00602BE4">
      <w:pPr>
        <w:widowControl w:val="0"/>
        <w:spacing w:line="480" w:lineRule="auto"/>
        <w:rPr>
          <w:rFonts w:eastAsia="Cambria"/>
          <w:b/>
          <w:color w:val="000000"/>
          <w:sz w:val="24"/>
          <w:szCs w:val="24"/>
        </w:rPr>
      </w:pPr>
    </w:p>
    <w:p w14:paraId="37E5CEAC" w14:textId="77777777" w:rsidR="00DE2078" w:rsidRDefault="00DE2078" w:rsidP="00602BE4">
      <w:pPr>
        <w:widowControl w:val="0"/>
        <w:spacing w:line="480" w:lineRule="auto"/>
        <w:rPr>
          <w:rFonts w:eastAsia="Cambria"/>
          <w:b/>
          <w:color w:val="000000"/>
          <w:sz w:val="24"/>
          <w:szCs w:val="24"/>
        </w:rPr>
      </w:pPr>
    </w:p>
    <w:p w14:paraId="72A35EDB" w14:textId="3410688C" w:rsidR="007D3779" w:rsidRPr="00E933BD" w:rsidRDefault="007D3779" w:rsidP="007D3779">
      <w:pPr>
        <w:widowControl w:val="0"/>
        <w:spacing w:line="480" w:lineRule="auto"/>
        <w:jc w:val="center"/>
        <w:rPr>
          <w:bCs/>
          <w:sz w:val="24"/>
          <w:szCs w:val="24"/>
        </w:rPr>
      </w:pPr>
      <w:r w:rsidRPr="00E933BD">
        <w:rPr>
          <w:rFonts w:eastAsia="Cambria"/>
          <w:b/>
          <w:color w:val="000000"/>
          <w:sz w:val="24"/>
          <w:szCs w:val="24"/>
        </w:rPr>
        <w:lastRenderedPageBreak/>
        <w:t>METHODOLOGY</w:t>
      </w:r>
    </w:p>
    <w:p w14:paraId="007ADD77" w14:textId="5CF5B7A5" w:rsidR="007D3779" w:rsidRPr="00E933BD" w:rsidRDefault="00DE2078" w:rsidP="007D3779">
      <w:pPr>
        <w:widowControl w:val="0"/>
        <w:pBdr>
          <w:top w:val="nil"/>
          <w:left w:val="nil"/>
          <w:bottom w:val="nil"/>
          <w:right w:val="nil"/>
          <w:between w:val="nil"/>
        </w:pBdr>
        <w:spacing w:line="240" w:lineRule="auto"/>
        <w:ind w:left="1" w:firstLine="719"/>
        <w:jc w:val="both"/>
        <w:rPr>
          <w:rFonts w:eastAsia="Cambria"/>
          <w:color w:val="000000"/>
          <w:sz w:val="24"/>
          <w:szCs w:val="24"/>
        </w:rPr>
      </w:pPr>
      <w:bookmarkStart w:id="9" w:name="_Hlk215600714"/>
      <w:r w:rsidRPr="00DE2078">
        <w:rPr>
          <w:rFonts w:eastAsia="Cambria"/>
          <w:color w:val="000000"/>
          <w:sz w:val="24"/>
          <w:szCs w:val="24"/>
        </w:rPr>
        <w:t xml:space="preserve">Included in this chapter are the research design, locale of the study, sample and sampling technique, data gathering technique, data analysis technique, and ethical </w:t>
      </w:r>
      <w:proofErr w:type="gramStart"/>
      <w:r w:rsidRPr="00DE2078">
        <w:rPr>
          <w:rFonts w:eastAsia="Cambria"/>
          <w:color w:val="000000"/>
          <w:sz w:val="24"/>
          <w:szCs w:val="24"/>
        </w:rPr>
        <w:t>consideration.</w:t>
      </w:r>
      <w:r w:rsidR="007D3779" w:rsidRPr="00E933BD">
        <w:rPr>
          <w:rFonts w:eastAsia="Cambria"/>
          <w:color w:val="000000"/>
          <w:sz w:val="24"/>
          <w:szCs w:val="24"/>
        </w:rPr>
        <w:t>.</w:t>
      </w:r>
      <w:proofErr w:type="gramEnd"/>
      <w:r w:rsidR="007D3779" w:rsidRPr="00E933BD">
        <w:rPr>
          <w:rFonts w:eastAsia="Cambria"/>
          <w:b/>
          <w:i/>
          <w:color w:val="000000"/>
          <w:sz w:val="24"/>
          <w:szCs w:val="24"/>
        </w:rPr>
        <w:t xml:space="preserve"> </w:t>
      </w:r>
    </w:p>
    <w:bookmarkEnd w:id="9"/>
    <w:p w14:paraId="048ED2E9" w14:textId="77777777" w:rsidR="007D3779" w:rsidRPr="00E933BD" w:rsidRDefault="007D3779" w:rsidP="007D3779">
      <w:pPr>
        <w:widowControl w:val="0"/>
        <w:pBdr>
          <w:top w:val="nil"/>
          <w:left w:val="nil"/>
          <w:bottom w:val="nil"/>
          <w:right w:val="nil"/>
          <w:between w:val="nil"/>
        </w:pBdr>
        <w:spacing w:before="285" w:line="240" w:lineRule="auto"/>
        <w:ind w:left="1"/>
        <w:jc w:val="both"/>
        <w:rPr>
          <w:rFonts w:eastAsia="Cambria"/>
          <w:color w:val="000000"/>
          <w:sz w:val="24"/>
          <w:szCs w:val="24"/>
        </w:rPr>
      </w:pPr>
      <w:r w:rsidRPr="00E933BD">
        <w:rPr>
          <w:rFonts w:eastAsia="Cambria"/>
          <w:b/>
          <w:i/>
          <w:color w:val="000000"/>
          <w:sz w:val="24"/>
          <w:szCs w:val="24"/>
        </w:rPr>
        <w:t xml:space="preserve">Research Design  </w:t>
      </w:r>
    </w:p>
    <w:p w14:paraId="1B178B78" w14:textId="77777777" w:rsidR="00DE2078" w:rsidRDefault="00DE2078" w:rsidP="00DE2078">
      <w:pPr>
        <w:widowControl w:val="0"/>
        <w:pBdr>
          <w:top w:val="nil"/>
          <w:left w:val="nil"/>
          <w:bottom w:val="nil"/>
          <w:right w:val="nil"/>
          <w:between w:val="nil"/>
        </w:pBdr>
        <w:spacing w:before="292" w:line="240" w:lineRule="auto"/>
        <w:ind w:left="12" w:firstLine="708"/>
        <w:jc w:val="both"/>
        <w:rPr>
          <w:rFonts w:eastAsia="Cambria"/>
          <w:color w:val="000000"/>
          <w:sz w:val="24"/>
          <w:szCs w:val="24"/>
          <w:lang w:val="en-PH"/>
        </w:rPr>
      </w:pPr>
      <w:r w:rsidRPr="00DE2078">
        <w:rPr>
          <w:rFonts w:eastAsia="Cambria"/>
          <w:color w:val="000000"/>
          <w:sz w:val="24"/>
          <w:szCs w:val="24"/>
          <w:lang w:val="en-PH"/>
        </w:rPr>
        <w:t>This study used a predictive research design. It is a quantitative approach used to examine relationships among variables and predict possible outcomes based on existing data patterns. Predictive research design focuses on detecting trends and associations among variables to determine how one variable may forecast or influence another rather than establish direct causality (González-Díaz &amp; Bustamante-Cabrera, 2021). This design is commonly used when the objective is to estimate future outcomes, trends, or behavioral patterns from existing relationships among variables. Rather than emphasizing explanation solely, this design stresses prediction and the identification of variables that substantially affect anticipated results (Shmueli, 2010).</w:t>
      </w:r>
    </w:p>
    <w:p w14:paraId="3E3B7EBD" w14:textId="23BCBFD1" w:rsidR="007D3779" w:rsidRPr="00E933BD" w:rsidRDefault="007D3779" w:rsidP="007D3779">
      <w:pPr>
        <w:widowControl w:val="0"/>
        <w:pBdr>
          <w:top w:val="nil"/>
          <w:left w:val="nil"/>
          <w:bottom w:val="nil"/>
          <w:right w:val="nil"/>
          <w:between w:val="nil"/>
        </w:pBdr>
        <w:spacing w:before="292" w:line="240" w:lineRule="auto"/>
        <w:ind w:left="12"/>
        <w:rPr>
          <w:rFonts w:eastAsia="Cambria"/>
          <w:b/>
          <w:i/>
          <w:iCs/>
          <w:color w:val="000000"/>
          <w:sz w:val="24"/>
          <w:szCs w:val="24"/>
        </w:rPr>
      </w:pPr>
      <w:r w:rsidRPr="00E933BD">
        <w:rPr>
          <w:rFonts w:eastAsia="Cambria"/>
          <w:b/>
          <w:i/>
          <w:iCs/>
          <w:color w:val="000000"/>
          <w:sz w:val="24"/>
          <w:szCs w:val="24"/>
        </w:rPr>
        <w:t xml:space="preserve">Locale of the Study </w:t>
      </w:r>
    </w:p>
    <w:p w14:paraId="0B79FB7E" w14:textId="77777777" w:rsidR="007D3779" w:rsidRPr="00E933BD" w:rsidRDefault="007D3779" w:rsidP="007D3779">
      <w:pPr>
        <w:widowControl w:val="0"/>
        <w:pBdr>
          <w:top w:val="nil"/>
          <w:left w:val="nil"/>
          <w:bottom w:val="nil"/>
          <w:right w:val="nil"/>
          <w:between w:val="nil"/>
        </w:pBdr>
        <w:spacing w:before="281" w:line="234" w:lineRule="auto"/>
        <w:ind w:left="1" w:right="170" w:firstLine="727"/>
        <w:jc w:val="both"/>
        <w:rPr>
          <w:rFonts w:eastAsia="Cambria"/>
          <w:color w:val="000000"/>
          <w:sz w:val="24"/>
          <w:szCs w:val="24"/>
        </w:rPr>
      </w:pPr>
      <w:bookmarkStart w:id="10" w:name="_Hlk215600809"/>
      <w:r w:rsidRPr="00E933BD">
        <w:rPr>
          <w:rFonts w:eastAsia="Cambria"/>
          <w:color w:val="000000"/>
          <w:sz w:val="24"/>
          <w:szCs w:val="24"/>
        </w:rPr>
        <w:t>This study was conducted in three higher education institutions affiliated with the Davao Association of Catholic Schools.</w:t>
      </w:r>
    </w:p>
    <w:bookmarkEnd w:id="10"/>
    <w:p w14:paraId="61B1DAA7" w14:textId="77777777" w:rsidR="007D3779" w:rsidRPr="00E933BD" w:rsidRDefault="007D3779" w:rsidP="007D3779">
      <w:pPr>
        <w:widowControl w:val="0"/>
        <w:pBdr>
          <w:top w:val="nil"/>
          <w:left w:val="nil"/>
          <w:bottom w:val="nil"/>
          <w:right w:val="nil"/>
          <w:between w:val="nil"/>
        </w:pBdr>
        <w:spacing w:before="287" w:line="240" w:lineRule="auto"/>
        <w:rPr>
          <w:rFonts w:eastAsia="Cambria"/>
          <w:b/>
          <w:i/>
          <w:color w:val="000000"/>
          <w:sz w:val="24"/>
          <w:szCs w:val="24"/>
        </w:rPr>
      </w:pPr>
      <w:r w:rsidRPr="00E933BD">
        <w:rPr>
          <w:rFonts w:eastAsia="Cambria"/>
          <w:b/>
          <w:i/>
          <w:color w:val="000000"/>
          <w:sz w:val="24"/>
          <w:szCs w:val="24"/>
        </w:rPr>
        <w:t xml:space="preserve">Sample and Sampling </w:t>
      </w:r>
    </w:p>
    <w:p w14:paraId="66123034" w14:textId="77777777" w:rsidR="00DE2078" w:rsidRPr="00DE2078" w:rsidRDefault="00DE2078" w:rsidP="00DE2078">
      <w:pPr>
        <w:widowControl w:val="0"/>
        <w:pBdr>
          <w:top w:val="nil"/>
          <w:left w:val="nil"/>
          <w:bottom w:val="nil"/>
          <w:right w:val="nil"/>
          <w:between w:val="nil"/>
        </w:pBdr>
        <w:spacing w:beforeLines="53" w:before="127" w:line="18" w:lineRule="atLeast"/>
        <w:ind w:left="5" w:right="170" w:firstLine="715"/>
        <w:jc w:val="both"/>
        <w:rPr>
          <w:rFonts w:eastAsia="Cambria"/>
          <w:color w:val="000000"/>
          <w:sz w:val="24"/>
          <w:szCs w:val="24"/>
          <w:lang w:val="en-PH"/>
        </w:rPr>
      </w:pPr>
      <w:r w:rsidRPr="00DE2078">
        <w:rPr>
          <w:rFonts w:eastAsia="Cambria"/>
          <w:color w:val="000000"/>
          <w:sz w:val="24"/>
          <w:szCs w:val="24"/>
          <w:lang w:val="en-PH"/>
        </w:rPr>
        <w:t>A total of 638 bona fide first-year college students from selected institutions under the Davao Association of Catholic Schools (DACS) in Davao City during the Academic Year 2025–2026 participated in the study. To maintain a consistent foundation of sustainability concepts among respondents, the sample was limited to first-year students officially enrolled in the Science, Technology, and Society (STS) course.</w:t>
      </w:r>
    </w:p>
    <w:p w14:paraId="1A9FA04B" w14:textId="77777777" w:rsidR="00DE2078" w:rsidRDefault="00DE2078" w:rsidP="00DE2078">
      <w:pPr>
        <w:widowControl w:val="0"/>
        <w:pBdr>
          <w:top w:val="nil"/>
          <w:left w:val="nil"/>
          <w:bottom w:val="nil"/>
          <w:right w:val="nil"/>
          <w:between w:val="nil"/>
        </w:pBdr>
        <w:spacing w:beforeLines="53" w:before="127" w:line="18" w:lineRule="atLeast"/>
        <w:ind w:left="5" w:right="170" w:firstLine="715"/>
        <w:jc w:val="both"/>
        <w:rPr>
          <w:rFonts w:eastAsia="Cambria"/>
          <w:color w:val="000000"/>
          <w:sz w:val="24"/>
          <w:szCs w:val="24"/>
          <w:lang w:val="en-PH"/>
        </w:rPr>
      </w:pPr>
      <w:r w:rsidRPr="00DE2078">
        <w:rPr>
          <w:rFonts w:eastAsia="Cambria"/>
          <w:color w:val="000000"/>
          <w:sz w:val="24"/>
          <w:szCs w:val="24"/>
          <w:lang w:val="en-PH"/>
        </w:rPr>
        <w:t>The study utilized simple random sampling, a probability sampling technique in which every individual in the population has an equal and independent chance of being selected into the sample. This approach uses random selection methods, such as lotteries or random number generators, to promote fairness and minimize selection bias. As defined by Thomas (2023), simple random sampling refers to “a randomly selected subset of a population” in which “each member of the population has an equal probability of being selected.”</w:t>
      </w:r>
    </w:p>
    <w:p w14:paraId="20A49E3E" w14:textId="77777777" w:rsidR="00DE2078" w:rsidRDefault="00DE2078" w:rsidP="00DE2078">
      <w:pPr>
        <w:widowControl w:val="0"/>
        <w:pBdr>
          <w:top w:val="nil"/>
          <w:left w:val="nil"/>
          <w:bottom w:val="nil"/>
          <w:right w:val="nil"/>
          <w:between w:val="nil"/>
        </w:pBdr>
        <w:spacing w:beforeLines="53" w:before="127" w:line="18" w:lineRule="atLeast"/>
        <w:ind w:left="5" w:right="170"/>
        <w:jc w:val="both"/>
        <w:rPr>
          <w:rFonts w:eastAsia="Cambria"/>
          <w:b/>
          <w:i/>
          <w:color w:val="000000"/>
          <w:sz w:val="24"/>
          <w:szCs w:val="24"/>
        </w:rPr>
      </w:pPr>
    </w:p>
    <w:p w14:paraId="3AD9BD7A" w14:textId="78D50EC5" w:rsidR="007D3779" w:rsidRPr="00E933BD" w:rsidRDefault="007D3779" w:rsidP="00DE2078">
      <w:pPr>
        <w:widowControl w:val="0"/>
        <w:pBdr>
          <w:top w:val="nil"/>
          <w:left w:val="nil"/>
          <w:bottom w:val="nil"/>
          <w:right w:val="nil"/>
          <w:between w:val="nil"/>
        </w:pBdr>
        <w:spacing w:beforeLines="53" w:before="127" w:line="18" w:lineRule="atLeast"/>
        <w:ind w:left="5" w:right="170"/>
        <w:jc w:val="both"/>
        <w:rPr>
          <w:rFonts w:eastAsia="Cambria"/>
          <w:color w:val="000000"/>
          <w:sz w:val="24"/>
          <w:szCs w:val="24"/>
        </w:rPr>
      </w:pPr>
      <w:r w:rsidRPr="00E933BD">
        <w:rPr>
          <w:rFonts w:eastAsia="Cambria"/>
          <w:b/>
          <w:i/>
          <w:color w:val="000000"/>
          <w:sz w:val="24"/>
          <w:szCs w:val="24"/>
        </w:rPr>
        <w:t xml:space="preserve">Data Gathering Technique </w:t>
      </w:r>
    </w:p>
    <w:p w14:paraId="60C47131" w14:textId="77777777" w:rsidR="00DE2078" w:rsidRPr="00DE2078" w:rsidRDefault="007D3779" w:rsidP="00DE2078">
      <w:pPr>
        <w:widowControl w:val="0"/>
        <w:spacing w:beforeLines="53" w:before="127" w:line="18" w:lineRule="atLeast"/>
        <w:ind w:firstLine="720"/>
        <w:jc w:val="both"/>
        <w:rPr>
          <w:sz w:val="24"/>
          <w:szCs w:val="24"/>
        </w:rPr>
      </w:pPr>
      <w:bookmarkStart w:id="11" w:name="_Hlk215600903"/>
      <w:r w:rsidRPr="00E933BD">
        <w:rPr>
          <w:sz w:val="24"/>
          <w:szCs w:val="24"/>
        </w:rPr>
        <w:t xml:space="preserve">The researcher utilized </w:t>
      </w:r>
      <w:bookmarkEnd w:id="11"/>
      <w:r w:rsidR="00DE2078" w:rsidRPr="00DE2078">
        <w:rPr>
          <w:sz w:val="24"/>
          <w:szCs w:val="24"/>
        </w:rPr>
        <w:t xml:space="preserve">a survey technique. It is a systematic approach to collecting data from a selected sample using structured tools created to describe the characteristics, opinions, or </w:t>
      </w:r>
      <w:proofErr w:type="spellStart"/>
      <w:r w:rsidR="00DE2078" w:rsidRPr="00DE2078">
        <w:rPr>
          <w:sz w:val="24"/>
          <w:szCs w:val="24"/>
        </w:rPr>
        <w:t>behaviors</w:t>
      </w:r>
      <w:proofErr w:type="spellEnd"/>
      <w:r w:rsidR="00DE2078" w:rsidRPr="00DE2078">
        <w:rPr>
          <w:sz w:val="24"/>
          <w:szCs w:val="24"/>
        </w:rPr>
        <w:t xml:space="preserve"> of a larger population, and it is applied in research to efficiently assess, test, or generalize findings within a defined group (Zina, 2024). It is widely used in quantitative research to generate findings that can be generalized from the sample to the broader population (</w:t>
      </w:r>
      <w:proofErr w:type="spellStart"/>
      <w:r w:rsidR="00DE2078" w:rsidRPr="00DE2078">
        <w:rPr>
          <w:sz w:val="24"/>
          <w:szCs w:val="24"/>
        </w:rPr>
        <w:t>Ginevičius</w:t>
      </w:r>
      <w:proofErr w:type="spellEnd"/>
      <w:r w:rsidR="00DE2078" w:rsidRPr="00DE2078">
        <w:rPr>
          <w:sz w:val="24"/>
          <w:szCs w:val="24"/>
        </w:rPr>
        <w:t xml:space="preserve">, 2023). In this study, three adapted and modified </w:t>
      </w:r>
      <w:r w:rsidR="00DE2078" w:rsidRPr="00DE2078">
        <w:rPr>
          <w:sz w:val="24"/>
          <w:szCs w:val="24"/>
        </w:rPr>
        <w:lastRenderedPageBreak/>
        <w:t xml:space="preserve">questionnaires were utilized to measure the key variables. The Sustainability Awareness Questionnaire, adapted from an assessment of sustainability knowledge and attitudes among undergraduate students on Penang Island, was developed by Syed Azhar et al. (2023) and consisted of 17 items measuring students’ understanding of sustainability concepts related to environmental and social responsibility. The Environmental Attitudes Inventory (EAI), originally developed by </w:t>
      </w:r>
      <w:proofErr w:type="spellStart"/>
      <w:r w:rsidR="00DE2078" w:rsidRPr="00DE2078">
        <w:rPr>
          <w:sz w:val="24"/>
          <w:szCs w:val="24"/>
        </w:rPr>
        <w:t>Milfont</w:t>
      </w:r>
      <w:proofErr w:type="spellEnd"/>
      <w:r w:rsidR="00DE2078" w:rsidRPr="00DE2078">
        <w:rPr>
          <w:sz w:val="24"/>
          <w:szCs w:val="24"/>
        </w:rPr>
        <w:t xml:space="preserve"> and </w:t>
      </w:r>
      <w:proofErr w:type="spellStart"/>
      <w:r w:rsidR="00DE2078" w:rsidRPr="00DE2078">
        <w:rPr>
          <w:sz w:val="24"/>
          <w:szCs w:val="24"/>
        </w:rPr>
        <w:t>Duckitt</w:t>
      </w:r>
      <w:proofErr w:type="spellEnd"/>
      <w:r w:rsidR="00DE2078" w:rsidRPr="00DE2078">
        <w:rPr>
          <w:sz w:val="24"/>
          <w:szCs w:val="24"/>
        </w:rPr>
        <w:t xml:space="preserve"> (2010), included 25 items measuring multidimensional environmental attitudes. The Single-Use Plastic Reduction Questionnaire, adapted from the </w:t>
      </w:r>
      <w:proofErr w:type="spellStart"/>
      <w:r w:rsidR="00DE2078" w:rsidRPr="00DE2078">
        <w:rPr>
          <w:sz w:val="24"/>
          <w:szCs w:val="24"/>
        </w:rPr>
        <w:t>Center</w:t>
      </w:r>
      <w:proofErr w:type="spellEnd"/>
      <w:r w:rsidR="00DE2078" w:rsidRPr="00DE2078">
        <w:rPr>
          <w:sz w:val="24"/>
          <w:szCs w:val="24"/>
        </w:rPr>
        <w:t xml:space="preserve"> for Southeast Asian Studies (CSEAS) and developed by Appleby et al. (2024), comprised 19 items evaluating </w:t>
      </w:r>
      <w:proofErr w:type="spellStart"/>
      <w:r w:rsidR="00DE2078" w:rsidRPr="00DE2078">
        <w:rPr>
          <w:sz w:val="24"/>
          <w:szCs w:val="24"/>
        </w:rPr>
        <w:t>behavioral</w:t>
      </w:r>
      <w:proofErr w:type="spellEnd"/>
      <w:r w:rsidR="00DE2078" w:rsidRPr="00DE2078">
        <w:rPr>
          <w:sz w:val="24"/>
          <w:szCs w:val="24"/>
        </w:rPr>
        <w:t xml:space="preserve"> patterns related to the use, reuse, and reduction of single-use polymer items. The three instruments consisted of 61 items in total. The respondents used this 4-point Likert scale to answer the questionnaire: 1 as Strongly Disagree, 2 as Disagree, 3 as Agree, and 4 as Strongly Agree.</w:t>
      </w:r>
    </w:p>
    <w:p w14:paraId="56A881A7" w14:textId="77777777" w:rsidR="00DE2078" w:rsidRDefault="00DE2078" w:rsidP="00DE2078">
      <w:pPr>
        <w:widowControl w:val="0"/>
        <w:spacing w:beforeLines="53" w:before="127" w:line="18" w:lineRule="atLeast"/>
        <w:ind w:firstLine="720"/>
        <w:jc w:val="both"/>
        <w:rPr>
          <w:sz w:val="24"/>
          <w:szCs w:val="24"/>
        </w:rPr>
      </w:pPr>
      <w:r w:rsidRPr="00DE2078">
        <w:rPr>
          <w:sz w:val="24"/>
          <w:szCs w:val="24"/>
        </w:rPr>
        <w:t>The three questionnaires were adapted and refined to correspond to the respondents’ context and the study’s objectives. Each employed a Likert scale with defined indicators, and reliability testing showed strong internal consistency, with all items achieving a Cronbach’s alpha of 0.95. (</w:t>
      </w:r>
      <w:proofErr w:type="spellStart"/>
      <w:r w:rsidRPr="00DE2078">
        <w:rPr>
          <w:sz w:val="24"/>
          <w:szCs w:val="24"/>
        </w:rPr>
        <w:t>Salahange</w:t>
      </w:r>
      <w:proofErr w:type="spellEnd"/>
      <w:r w:rsidRPr="00DE2078">
        <w:rPr>
          <w:sz w:val="24"/>
          <w:szCs w:val="24"/>
        </w:rPr>
        <w:t xml:space="preserve"> et al., 2024)</w:t>
      </w:r>
    </w:p>
    <w:p w14:paraId="469BE22F" w14:textId="77777777" w:rsidR="00DE2078" w:rsidRDefault="00DE2078" w:rsidP="00DE2078">
      <w:pPr>
        <w:widowControl w:val="0"/>
        <w:spacing w:beforeLines="53" w:before="127" w:line="18" w:lineRule="atLeast"/>
        <w:jc w:val="both"/>
        <w:rPr>
          <w:sz w:val="24"/>
          <w:szCs w:val="24"/>
        </w:rPr>
      </w:pPr>
    </w:p>
    <w:p w14:paraId="4463FEAA" w14:textId="1982B664" w:rsidR="007D3779" w:rsidRPr="00E933BD" w:rsidRDefault="007D3779" w:rsidP="00DE2078">
      <w:pPr>
        <w:widowControl w:val="0"/>
        <w:spacing w:beforeLines="53" w:before="127" w:line="18" w:lineRule="atLeast"/>
        <w:jc w:val="both"/>
        <w:rPr>
          <w:sz w:val="24"/>
          <w:szCs w:val="24"/>
        </w:rPr>
      </w:pPr>
      <w:r w:rsidRPr="00E933BD">
        <w:rPr>
          <w:rFonts w:eastAsia="Cambria"/>
          <w:b/>
          <w:i/>
          <w:color w:val="000000"/>
          <w:sz w:val="24"/>
          <w:szCs w:val="24"/>
        </w:rPr>
        <w:t xml:space="preserve">Data Analysis </w:t>
      </w:r>
    </w:p>
    <w:p w14:paraId="4B2D963A" w14:textId="75030375" w:rsidR="007D3779" w:rsidRDefault="007D3779" w:rsidP="007D3779">
      <w:pPr>
        <w:widowControl w:val="0"/>
        <w:pBdr>
          <w:top w:val="nil"/>
          <w:left w:val="nil"/>
          <w:bottom w:val="nil"/>
          <w:right w:val="nil"/>
          <w:between w:val="nil"/>
        </w:pBdr>
        <w:spacing w:before="281" w:line="233" w:lineRule="auto"/>
        <w:ind w:right="172" w:firstLine="10"/>
        <w:jc w:val="both"/>
        <w:rPr>
          <w:rFonts w:eastAsia="Cambria"/>
          <w:color w:val="000000"/>
          <w:sz w:val="24"/>
          <w:szCs w:val="24"/>
        </w:rPr>
      </w:pPr>
      <w:r w:rsidRPr="00E933BD">
        <w:rPr>
          <w:rFonts w:eastAsia="Cambria"/>
          <w:color w:val="000000"/>
          <w:sz w:val="24"/>
          <w:szCs w:val="24"/>
        </w:rPr>
        <w:tab/>
      </w:r>
      <w:bookmarkStart w:id="12" w:name="_Hlk215600967"/>
      <w:r w:rsidR="00DE2078" w:rsidRPr="00DE2078">
        <w:rPr>
          <w:rFonts w:eastAsia="Cambria"/>
          <w:color w:val="000000"/>
          <w:sz w:val="24"/>
          <w:szCs w:val="24"/>
        </w:rPr>
        <w:t>Descriptive statistics were computed to summarize and organize the data, providing an overview of the distribution, central tendencies, and patterns of the variables, thereby facilitating an initial understanding of the dataset (</w:t>
      </w:r>
      <w:proofErr w:type="spellStart"/>
      <w:r w:rsidR="00DE2078" w:rsidRPr="00DE2078">
        <w:rPr>
          <w:rFonts w:eastAsia="Cambria"/>
          <w:color w:val="000000"/>
          <w:sz w:val="24"/>
          <w:szCs w:val="24"/>
        </w:rPr>
        <w:t>Ghanad</w:t>
      </w:r>
      <w:proofErr w:type="spellEnd"/>
      <w:r w:rsidR="00DE2078" w:rsidRPr="00DE2078">
        <w:rPr>
          <w:rFonts w:eastAsia="Cambria"/>
          <w:color w:val="000000"/>
          <w:sz w:val="24"/>
          <w:szCs w:val="24"/>
        </w:rPr>
        <w:t>, 2023). Pearson product-moment correlation analysis was used to determine the significance of the relationship between variables by examining the strength and direction of their linear association, with correlation coefficients computed and interpreted accordingly (Schober et al., 2023). Furthermore, a mediation analysis was performed to test the hypothesized mediated pathways through which the independent variable influenced the dependent variable via the mediator. This procedure estimated direct, indirect, and total effects, using beta coefficients to interpret effect sizes and statistical relationships (Qin et al., 2024).</w:t>
      </w:r>
    </w:p>
    <w:p w14:paraId="64913506" w14:textId="6C984AAD" w:rsidR="00DE2078" w:rsidRDefault="00DE2078" w:rsidP="00DE2078">
      <w:pPr>
        <w:widowControl w:val="0"/>
        <w:pBdr>
          <w:top w:val="nil"/>
          <w:left w:val="nil"/>
          <w:bottom w:val="nil"/>
          <w:right w:val="nil"/>
          <w:between w:val="nil"/>
        </w:pBdr>
        <w:spacing w:before="281" w:line="233" w:lineRule="auto"/>
        <w:ind w:right="172" w:firstLine="720"/>
        <w:jc w:val="both"/>
        <w:rPr>
          <w:rFonts w:eastAsia="Cambria"/>
          <w:color w:val="000000"/>
          <w:sz w:val="24"/>
          <w:szCs w:val="24"/>
        </w:rPr>
      </w:pPr>
      <w:r w:rsidRPr="00DE2078">
        <w:rPr>
          <w:rFonts w:eastAsia="Cambria"/>
          <w:color w:val="000000"/>
          <w:sz w:val="24"/>
          <w:szCs w:val="24"/>
        </w:rPr>
        <w:t>The matrix presenting the scale, descriptive level, and corresponding interpretation for each study variable is provided and used specifically to describe sustainability awareness, environmental attitudes, and single-use plastic reduction practices.</w:t>
      </w:r>
    </w:p>
    <w:p w14:paraId="3095B8A2" w14:textId="77777777" w:rsidR="00DE2078" w:rsidRDefault="00DE2078" w:rsidP="007D3779">
      <w:pPr>
        <w:widowControl w:val="0"/>
        <w:pBdr>
          <w:top w:val="nil"/>
          <w:left w:val="nil"/>
          <w:bottom w:val="nil"/>
          <w:right w:val="nil"/>
          <w:between w:val="nil"/>
        </w:pBdr>
        <w:spacing w:before="281" w:line="233" w:lineRule="auto"/>
        <w:ind w:right="172" w:firstLine="10"/>
        <w:jc w:val="both"/>
        <w:rPr>
          <w:rFonts w:eastAsia="Cambria"/>
          <w:color w:val="000000"/>
          <w:sz w:val="24"/>
          <w:szCs w:val="24"/>
        </w:rPr>
      </w:pPr>
    </w:p>
    <w:tbl>
      <w:tblPr>
        <w:tblStyle w:val="TableGrid"/>
        <w:tblW w:w="86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5"/>
        <w:gridCol w:w="535"/>
        <w:gridCol w:w="725"/>
        <w:gridCol w:w="1800"/>
        <w:gridCol w:w="1255"/>
        <w:gridCol w:w="635"/>
        <w:gridCol w:w="2160"/>
      </w:tblGrid>
      <w:tr w:rsidR="00DE2078" w:rsidRPr="00F2779B" w14:paraId="0542D2D3" w14:textId="77777777" w:rsidTr="00173127">
        <w:trPr>
          <w:trHeight w:val="593"/>
        </w:trPr>
        <w:tc>
          <w:tcPr>
            <w:tcW w:w="1535" w:type="dxa"/>
            <w:tcBorders>
              <w:top w:val="single" w:sz="4" w:space="0" w:color="auto"/>
              <w:left w:val="single" w:sz="4" w:space="0" w:color="auto"/>
              <w:bottom w:val="single" w:sz="4" w:space="0" w:color="auto"/>
              <w:right w:val="single" w:sz="4" w:space="0" w:color="auto"/>
            </w:tcBorders>
            <w:vAlign w:val="center"/>
            <w:hideMark/>
          </w:tcPr>
          <w:p w14:paraId="5730E442" w14:textId="77777777" w:rsidR="00DE2078" w:rsidRPr="00F2779B" w:rsidRDefault="00DE2078" w:rsidP="00173127">
            <w:pPr>
              <w:jc w:val="center"/>
              <w:rPr>
                <w:b/>
                <w:i/>
              </w:rPr>
            </w:pPr>
            <w:r w:rsidRPr="00F2779B">
              <w:rPr>
                <w:b/>
                <w:i/>
              </w:rPr>
              <w:t>Scale</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09B18A07" w14:textId="77777777" w:rsidR="00DE2078" w:rsidRPr="00F2779B" w:rsidRDefault="00DE2078" w:rsidP="00173127">
            <w:pPr>
              <w:jc w:val="center"/>
              <w:rPr>
                <w:b/>
                <w:i/>
              </w:rPr>
            </w:pPr>
            <w:r w:rsidRPr="00F2779B">
              <w:rPr>
                <w:b/>
                <w:i/>
              </w:rPr>
              <w:t>Level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08DE0B" w14:textId="77777777" w:rsidR="00DE2078" w:rsidRPr="00F2779B" w:rsidRDefault="00DE2078" w:rsidP="00173127">
            <w:pPr>
              <w:jc w:val="center"/>
              <w:rPr>
                <w:b/>
                <w:i/>
              </w:rPr>
            </w:pPr>
            <w:r w:rsidRPr="00F2779B">
              <w:rPr>
                <w:b/>
                <w:i/>
              </w:rPr>
              <w:t>Sustainability Awareness</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1E3B5258" w14:textId="77777777" w:rsidR="00DE2078" w:rsidRPr="00F2779B" w:rsidRDefault="00DE2078" w:rsidP="00173127">
            <w:pPr>
              <w:jc w:val="center"/>
              <w:rPr>
                <w:b/>
                <w:i/>
              </w:rPr>
            </w:pPr>
            <w:r w:rsidRPr="00F2779B">
              <w:rPr>
                <w:b/>
                <w:i/>
              </w:rPr>
              <w:t>Environmental Attitude</w:t>
            </w:r>
          </w:p>
        </w:tc>
        <w:tc>
          <w:tcPr>
            <w:tcW w:w="2160" w:type="dxa"/>
            <w:tcBorders>
              <w:top w:val="single" w:sz="4" w:space="0" w:color="auto"/>
              <w:left w:val="single" w:sz="4" w:space="0" w:color="auto"/>
              <w:bottom w:val="single" w:sz="4" w:space="0" w:color="auto"/>
              <w:right w:val="single" w:sz="4" w:space="0" w:color="auto"/>
            </w:tcBorders>
            <w:vAlign w:val="center"/>
          </w:tcPr>
          <w:p w14:paraId="64D2C7AB" w14:textId="77777777" w:rsidR="00DE2078" w:rsidRPr="00F2779B" w:rsidRDefault="00DE2078" w:rsidP="00173127">
            <w:pPr>
              <w:jc w:val="center"/>
              <w:rPr>
                <w:b/>
                <w:i/>
              </w:rPr>
            </w:pPr>
            <w:r w:rsidRPr="00F2779B">
              <w:rPr>
                <w:b/>
                <w:i/>
              </w:rPr>
              <w:t xml:space="preserve">Single-use plastic reduction </w:t>
            </w:r>
            <w:proofErr w:type="spellStart"/>
            <w:r w:rsidRPr="00F2779B">
              <w:rPr>
                <w:b/>
                <w:i/>
              </w:rPr>
              <w:t>behavior</w:t>
            </w:r>
            <w:proofErr w:type="spellEnd"/>
          </w:p>
        </w:tc>
      </w:tr>
      <w:tr w:rsidR="00DE2078" w:rsidRPr="00F2779B" w14:paraId="43C5A140" w14:textId="77777777" w:rsidTr="00173127">
        <w:trPr>
          <w:trHeight w:val="291"/>
        </w:trPr>
        <w:tc>
          <w:tcPr>
            <w:tcW w:w="1535" w:type="dxa"/>
            <w:tcBorders>
              <w:top w:val="single" w:sz="4" w:space="0" w:color="auto"/>
              <w:left w:val="single" w:sz="4" w:space="0" w:color="auto"/>
              <w:bottom w:val="single" w:sz="4" w:space="0" w:color="auto"/>
              <w:right w:val="single" w:sz="4" w:space="0" w:color="auto"/>
            </w:tcBorders>
            <w:vAlign w:val="center"/>
            <w:hideMark/>
          </w:tcPr>
          <w:p w14:paraId="6F9EAB1C" w14:textId="77777777" w:rsidR="00DE2078" w:rsidRPr="00F2779B" w:rsidRDefault="00DE2078" w:rsidP="00173127">
            <w:pPr>
              <w:jc w:val="center"/>
            </w:pPr>
            <w:r w:rsidRPr="00F2779B">
              <w:t>3.26 – 4.00</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351755CC" w14:textId="77777777" w:rsidR="00DE2078" w:rsidRPr="00F2779B" w:rsidRDefault="00DE2078" w:rsidP="00173127">
            <w:pPr>
              <w:jc w:val="center"/>
            </w:pPr>
            <w:r w:rsidRPr="00F2779B">
              <w:t>Very high</w:t>
            </w:r>
          </w:p>
        </w:tc>
        <w:tc>
          <w:tcPr>
            <w:tcW w:w="1800" w:type="dxa"/>
            <w:tcBorders>
              <w:top w:val="single" w:sz="4" w:space="0" w:color="auto"/>
              <w:left w:val="single" w:sz="4" w:space="0" w:color="auto"/>
              <w:bottom w:val="single" w:sz="4" w:space="0" w:color="auto"/>
              <w:right w:val="single" w:sz="4" w:space="0" w:color="auto"/>
            </w:tcBorders>
            <w:vAlign w:val="center"/>
          </w:tcPr>
          <w:p w14:paraId="5B433A11" w14:textId="77777777" w:rsidR="00DE2078" w:rsidRPr="00F2779B" w:rsidRDefault="00DE2078" w:rsidP="00173127">
            <w:pPr>
              <w:jc w:val="center"/>
            </w:pPr>
            <w:r w:rsidRPr="00F2779B">
              <w:t>Very Good</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D17788A" w14:textId="77777777" w:rsidR="00DE2078" w:rsidRPr="00F2779B" w:rsidRDefault="00DE2078" w:rsidP="00173127">
            <w:pPr>
              <w:jc w:val="center"/>
            </w:pPr>
            <w:r w:rsidRPr="00F2779B">
              <w:t>Very Strong</w:t>
            </w:r>
          </w:p>
        </w:tc>
        <w:tc>
          <w:tcPr>
            <w:tcW w:w="2160" w:type="dxa"/>
            <w:tcBorders>
              <w:top w:val="single" w:sz="4" w:space="0" w:color="auto"/>
              <w:left w:val="single" w:sz="4" w:space="0" w:color="auto"/>
              <w:bottom w:val="single" w:sz="4" w:space="0" w:color="auto"/>
              <w:right w:val="single" w:sz="4" w:space="0" w:color="auto"/>
            </w:tcBorders>
            <w:vAlign w:val="center"/>
          </w:tcPr>
          <w:p w14:paraId="48782238" w14:textId="77777777" w:rsidR="00DE2078" w:rsidRPr="00F2779B" w:rsidRDefault="00DE2078" w:rsidP="00173127">
            <w:pPr>
              <w:jc w:val="center"/>
            </w:pPr>
            <w:r w:rsidRPr="00F2779B">
              <w:t>Very Strong</w:t>
            </w:r>
          </w:p>
        </w:tc>
      </w:tr>
      <w:tr w:rsidR="00DE2078" w:rsidRPr="00F2779B" w14:paraId="0A715FD3" w14:textId="77777777" w:rsidTr="00173127">
        <w:trPr>
          <w:trHeight w:val="291"/>
        </w:trPr>
        <w:tc>
          <w:tcPr>
            <w:tcW w:w="1535" w:type="dxa"/>
            <w:tcBorders>
              <w:top w:val="single" w:sz="4" w:space="0" w:color="auto"/>
              <w:left w:val="single" w:sz="4" w:space="0" w:color="auto"/>
              <w:bottom w:val="single" w:sz="4" w:space="0" w:color="auto"/>
              <w:right w:val="single" w:sz="4" w:space="0" w:color="auto"/>
            </w:tcBorders>
            <w:vAlign w:val="center"/>
            <w:hideMark/>
          </w:tcPr>
          <w:p w14:paraId="0FC7E51A" w14:textId="77777777" w:rsidR="00DE2078" w:rsidRPr="00F2779B" w:rsidRDefault="00DE2078" w:rsidP="00173127">
            <w:pPr>
              <w:jc w:val="center"/>
            </w:pPr>
            <w:r w:rsidRPr="00F2779B">
              <w:t>2.51– 3.25</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02ACC98D" w14:textId="77777777" w:rsidR="00DE2078" w:rsidRPr="00F2779B" w:rsidRDefault="00DE2078" w:rsidP="00173127">
            <w:pPr>
              <w:jc w:val="center"/>
            </w:pPr>
            <w:r w:rsidRPr="00F2779B">
              <w:t>High</w:t>
            </w:r>
          </w:p>
        </w:tc>
        <w:tc>
          <w:tcPr>
            <w:tcW w:w="1800" w:type="dxa"/>
            <w:tcBorders>
              <w:top w:val="single" w:sz="4" w:space="0" w:color="auto"/>
              <w:left w:val="single" w:sz="4" w:space="0" w:color="auto"/>
              <w:bottom w:val="single" w:sz="4" w:space="0" w:color="auto"/>
              <w:right w:val="single" w:sz="4" w:space="0" w:color="auto"/>
            </w:tcBorders>
            <w:vAlign w:val="center"/>
          </w:tcPr>
          <w:p w14:paraId="39BCD50E" w14:textId="77777777" w:rsidR="00DE2078" w:rsidRPr="00F2779B" w:rsidRDefault="00DE2078" w:rsidP="00173127">
            <w:pPr>
              <w:jc w:val="center"/>
            </w:pPr>
            <w:r w:rsidRPr="00F2779B">
              <w:t>Good</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1C4641B9" w14:textId="77777777" w:rsidR="00DE2078" w:rsidRPr="00F2779B" w:rsidRDefault="00DE2078" w:rsidP="00173127">
            <w:pPr>
              <w:jc w:val="center"/>
            </w:pPr>
            <w:r w:rsidRPr="00F2779B">
              <w:t>Strong</w:t>
            </w:r>
          </w:p>
        </w:tc>
        <w:tc>
          <w:tcPr>
            <w:tcW w:w="2160" w:type="dxa"/>
            <w:tcBorders>
              <w:top w:val="single" w:sz="4" w:space="0" w:color="auto"/>
              <w:left w:val="single" w:sz="4" w:space="0" w:color="auto"/>
              <w:bottom w:val="single" w:sz="4" w:space="0" w:color="auto"/>
              <w:right w:val="single" w:sz="4" w:space="0" w:color="auto"/>
            </w:tcBorders>
            <w:vAlign w:val="center"/>
          </w:tcPr>
          <w:p w14:paraId="4E541333" w14:textId="77777777" w:rsidR="00DE2078" w:rsidRPr="00F2779B" w:rsidRDefault="00DE2078" w:rsidP="00173127">
            <w:pPr>
              <w:jc w:val="center"/>
            </w:pPr>
            <w:r w:rsidRPr="00F2779B">
              <w:t>Strong</w:t>
            </w:r>
          </w:p>
        </w:tc>
      </w:tr>
      <w:tr w:rsidR="00DE2078" w:rsidRPr="00F2779B" w14:paraId="5118C2FF" w14:textId="77777777" w:rsidTr="00173127">
        <w:trPr>
          <w:trHeight w:val="291"/>
        </w:trPr>
        <w:tc>
          <w:tcPr>
            <w:tcW w:w="1535" w:type="dxa"/>
            <w:tcBorders>
              <w:top w:val="single" w:sz="4" w:space="0" w:color="auto"/>
              <w:left w:val="single" w:sz="4" w:space="0" w:color="auto"/>
              <w:bottom w:val="single" w:sz="4" w:space="0" w:color="auto"/>
              <w:right w:val="single" w:sz="4" w:space="0" w:color="auto"/>
            </w:tcBorders>
            <w:vAlign w:val="center"/>
          </w:tcPr>
          <w:p w14:paraId="3A75E264" w14:textId="77777777" w:rsidR="00DE2078" w:rsidRPr="00F2779B" w:rsidRDefault="00DE2078" w:rsidP="00173127">
            <w:pPr>
              <w:jc w:val="center"/>
            </w:pPr>
            <w:r w:rsidRPr="00F2779B">
              <w:t>2.51– 3.25</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77AEDC5" w14:textId="77777777" w:rsidR="00DE2078" w:rsidRPr="00F2779B" w:rsidRDefault="00DE2078" w:rsidP="00173127">
            <w:pPr>
              <w:jc w:val="center"/>
            </w:pPr>
            <w:r w:rsidRPr="00F2779B">
              <w:t>Low</w:t>
            </w:r>
          </w:p>
        </w:tc>
        <w:tc>
          <w:tcPr>
            <w:tcW w:w="1800" w:type="dxa"/>
            <w:tcBorders>
              <w:top w:val="single" w:sz="4" w:space="0" w:color="auto"/>
              <w:left w:val="single" w:sz="4" w:space="0" w:color="auto"/>
              <w:bottom w:val="single" w:sz="4" w:space="0" w:color="auto"/>
              <w:right w:val="single" w:sz="4" w:space="0" w:color="auto"/>
            </w:tcBorders>
            <w:vAlign w:val="center"/>
          </w:tcPr>
          <w:p w14:paraId="2200776F" w14:textId="77777777" w:rsidR="00DE2078" w:rsidRPr="00F2779B" w:rsidRDefault="00DE2078" w:rsidP="00173127">
            <w:pPr>
              <w:jc w:val="center"/>
            </w:pPr>
            <w:r w:rsidRPr="00F2779B">
              <w:t>Poor</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6F2A123" w14:textId="77777777" w:rsidR="00DE2078" w:rsidRPr="00F2779B" w:rsidRDefault="00DE2078" w:rsidP="00173127">
            <w:pPr>
              <w:jc w:val="center"/>
            </w:pPr>
            <w:r w:rsidRPr="00F2779B">
              <w:t>Weak</w:t>
            </w:r>
          </w:p>
        </w:tc>
        <w:tc>
          <w:tcPr>
            <w:tcW w:w="2160" w:type="dxa"/>
            <w:tcBorders>
              <w:top w:val="single" w:sz="4" w:space="0" w:color="auto"/>
              <w:left w:val="single" w:sz="4" w:space="0" w:color="auto"/>
              <w:bottom w:val="single" w:sz="4" w:space="0" w:color="auto"/>
              <w:right w:val="single" w:sz="4" w:space="0" w:color="auto"/>
            </w:tcBorders>
            <w:vAlign w:val="center"/>
          </w:tcPr>
          <w:p w14:paraId="251C7DF4" w14:textId="77777777" w:rsidR="00DE2078" w:rsidRPr="00F2779B" w:rsidRDefault="00DE2078" w:rsidP="00173127">
            <w:pPr>
              <w:jc w:val="center"/>
            </w:pPr>
            <w:r w:rsidRPr="00F2779B">
              <w:t>Weak</w:t>
            </w:r>
          </w:p>
        </w:tc>
      </w:tr>
      <w:tr w:rsidR="00DE2078" w:rsidRPr="00F2779B" w14:paraId="60257D46" w14:textId="77777777" w:rsidTr="00173127">
        <w:trPr>
          <w:trHeight w:val="303"/>
        </w:trPr>
        <w:tc>
          <w:tcPr>
            <w:tcW w:w="1535" w:type="dxa"/>
            <w:tcBorders>
              <w:top w:val="single" w:sz="4" w:space="0" w:color="auto"/>
              <w:left w:val="single" w:sz="4" w:space="0" w:color="auto"/>
              <w:bottom w:val="single" w:sz="4" w:space="0" w:color="auto"/>
              <w:right w:val="single" w:sz="4" w:space="0" w:color="auto"/>
            </w:tcBorders>
            <w:vAlign w:val="center"/>
            <w:hideMark/>
          </w:tcPr>
          <w:p w14:paraId="3DFD83CF" w14:textId="77777777" w:rsidR="00DE2078" w:rsidRPr="00F2779B" w:rsidRDefault="00DE2078" w:rsidP="00173127">
            <w:pPr>
              <w:jc w:val="center"/>
            </w:pPr>
            <w:r w:rsidRPr="00F2779B">
              <w:t>1.00 – 1.75</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41B66781" w14:textId="77777777" w:rsidR="00DE2078" w:rsidRPr="00F2779B" w:rsidRDefault="00DE2078" w:rsidP="00173127">
            <w:pPr>
              <w:jc w:val="center"/>
            </w:pPr>
            <w:r w:rsidRPr="00F2779B">
              <w:t>Very Low</w:t>
            </w:r>
          </w:p>
        </w:tc>
        <w:tc>
          <w:tcPr>
            <w:tcW w:w="1800" w:type="dxa"/>
            <w:tcBorders>
              <w:top w:val="single" w:sz="4" w:space="0" w:color="auto"/>
              <w:left w:val="single" w:sz="4" w:space="0" w:color="auto"/>
              <w:bottom w:val="single" w:sz="4" w:space="0" w:color="auto"/>
              <w:right w:val="single" w:sz="4" w:space="0" w:color="auto"/>
            </w:tcBorders>
            <w:vAlign w:val="center"/>
          </w:tcPr>
          <w:p w14:paraId="0DAD8866" w14:textId="77777777" w:rsidR="00DE2078" w:rsidRPr="00F2779B" w:rsidRDefault="00DE2078" w:rsidP="00173127">
            <w:pPr>
              <w:jc w:val="center"/>
            </w:pPr>
            <w:r w:rsidRPr="00F2779B">
              <w:t>Very Poor</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55565DF0" w14:textId="77777777" w:rsidR="00DE2078" w:rsidRPr="00F2779B" w:rsidRDefault="00DE2078" w:rsidP="00173127">
            <w:pPr>
              <w:jc w:val="center"/>
            </w:pPr>
            <w:r w:rsidRPr="00F2779B">
              <w:t>Very Weak</w:t>
            </w:r>
          </w:p>
        </w:tc>
        <w:tc>
          <w:tcPr>
            <w:tcW w:w="2160" w:type="dxa"/>
            <w:tcBorders>
              <w:top w:val="single" w:sz="4" w:space="0" w:color="auto"/>
              <w:left w:val="single" w:sz="4" w:space="0" w:color="auto"/>
              <w:bottom w:val="single" w:sz="4" w:space="0" w:color="auto"/>
              <w:right w:val="single" w:sz="4" w:space="0" w:color="auto"/>
            </w:tcBorders>
            <w:vAlign w:val="center"/>
          </w:tcPr>
          <w:p w14:paraId="6D5E9275" w14:textId="77777777" w:rsidR="00DE2078" w:rsidRPr="00F2779B" w:rsidRDefault="00DE2078" w:rsidP="00173127">
            <w:pPr>
              <w:jc w:val="center"/>
            </w:pPr>
            <w:r w:rsidRPr="00F2779B">
              <w:t>Very weak</w:t>
            </w:r>
          </w:p>
        </w:tc>
      </w:tr>
      <w:tr w:rsidR="00DE2078" w:rsidRPr="00F2779B" w14:paraId="01C39C24" w14:textId="77777777" w:rsidTr="00173127">
        <w:trPr>
          <w:trHeight w:val="291"/>
        </w:trPr>
        <w:tc>
          <w:tcPr>
            <w:tcW w:w="8645" w:type="dxa"/>
            <w:gridSpan w:val="7"/>
            <w:tcBorders>
              <w:top w:val="single" w:sz="4" w:space="0" w:color="auto"/>
              <w:bottom w:val="single" w:sz="4" w:space="0" w:color="auto"/>
            </w:tcBorders>
            <w:vAlign w:val="center"/>
          </w:tcPr>
          <w:p w14:paraId="1943E07E" w14:textId="77777777" w:rsidR="00DE2078" w:rsidRPr="00F2779B" w:rsidRDefault="00DE2078" w:rsidP="00173127">
            <w:pPr>
              <w:rPr>
                <w:i/>
                <w:iCs/>
              </w:rPr>
            </w:pPr>
          </w:p>
          <w:p w14:paraId="5C07F120" w14:textId="77777777" w:rsidR="00DE2078" w:rsidRPr="00F2779B" w:rsidRDefault="00DE2078" w:rsidP="00173127">
            <w:pPr>
              <w:rPr>
                <w:i/>
                <w:iCs/>
              </w:rPr>
            </w:pPr>
            <w:r w:rsidRPr="00F2779B">
              <w:rPr>
                <w:i/>
                <w:iCs/>
              </w:rPr>
              <w:t>Standard Deviation Value Ranges and Interpretation</w:t>
            </w:r>
          </w:p>
          <w:p w14:paraId="37BA5109" w14:textId="77777777" w:rsidR="00DE2078" w:rsidRPr="00F2779B" w:rsidRDefault="00DE2078" w:rsidP="00173127">
            <w:pPr>
              <w:rPr>
                <w:i/>
                <w:iCs/>
              </w:rPr>
            </w:pPr>
          </w:p>
        </w:tc>
      </w:tr>
      <w:tr w:rsidR="00DE2078" w:rsidRPr="00F2779B" w14:paraId="1C1B2B4D" w14:textId="77777777" w:rsidTr="00173127">
        <w:tc>
          <w:tcPr>
            <w:tcW w:w="2070" w:type="dxa"/>
            <w:gridSpan w:val="2"/>
            <w:tcBorders>
              <w:top w:val="single" w:sz="4" w:space="0" w:color="auto"/>
              <w:left w:val="single" w:sz="4" w:space="0" w:color="auto"/>
              <w:bottom w:val="single" w:sz="4" w:space="0" w:color="auto"/>
              <w:right w:val="single" w:sz="4" w:space="0" w:color="auto"/>
            </w:tcBorders>
            <w:vAlign w:val="center"/>
          </w:tcPr>
          <w:p w14:paraId="4849CAB3" w14:textId="77777777" w:rsidR="00DE2078" w:rsidRPr="00F2779B" w:rsidRDefault="00DE2078" w:rsidP="00173127">
            <w:pPr>
              <w:jc w:val="center"/>
              <w:rPr>
                <w:i/>
              </w:rPr>
            </w:pPr>
            <w:r w:rsidRPr="00F2779B">
              <w:rPr>
                <w:i/>
              </w:rPr>
              <w:t>Range</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51F202A8" w14:textId="77777777" w:rsidR="00DE2078" w:rsidRPr="00F2779B" w:rsidRDefault="00DE2078" w:rsidP="00173127">
            <w:pPr>
              <w:jc w:val="center"/>
              <w:rPr>
                <w:i/>
              </w:rPr>
            </w:pPr>
            <w:r w:rsidRPr="00F2779B">
              <w:rPr>
                <w:i/>
              </w:rPr>
              <w:t>Description</w:t>
            </w:r>
          </w:p>
        </w:tc>
        <w:tc>
          <w:tcPr>
            <w:tcW w:w="2795" w:type="dxa"/>
            <w:gridSpan w:val="2"/>
            <w:tcBorders>
              <w:top w:val="single" w:sz="4" w:space="0" w:color="auto"/>
              <w:left w:val="single" w:sz="4" w:space="0" w:color="auto"/>
              <w:bottom w:val="single" w:sz="4" w:space="0" w:color="auto"/>
              <w:right w:val="single" w:sz="4" w:space="0" w:color="auto"/>
            </w:tcBorders>
            <w:vAlign w:val="center"/>
          </w:tcPr>
          <w:p w14:paraId="4C5CB867" w14:textId="77777777" w:rsidR="00DE2078" w:rsidRPr="00F2779B" w:rsidRDefault="00DE2078" w:rsidP="00173127">
            <w:pPr>
              <w:jc w:val="center"/>
              <w:rPr>
                <w:i/>
              </w:rPr>
            </w:pPr>
            <w:r w:rsidRPr="00F2779B">
              <w:rPr>
                <w:i/>
              </w:rPr>
              <w:t>Interpretation</w:t>
            </w:r>
          </w:p>
        </w:tc>
      </w:tr>
      <w:tr w:rsidR="00DE2078" w:rsidRPr="00F2779B" w14:paraId="6E4CBF06" w14:textId="77777777" w:rsidTr="00173127">
        <w:tc>
          <w:tcPr>
            <w:tcW w:w="2070" w:type="dxa"/>
            <w:gridSpan w:val="2"/>
            <w:tcBorders>
              <w:top w:val="single" w:sz="4" w:space="0" w:color="auto"/>
              <w:left w:val="single" w:sz="4" w:space="0" w:color="auto"/>
              <w:bottom w:val="single" w:sz="4" w:space="0" w:color="auto"/>
              <w:right w:val="single" w:sz="4" w:space="0" w:color="auto"/>
            </w:tcBorders>
            <w:vAlign w:val="center"/>
          </w:tcPr>
          <w:p w14:paraId="5958E151" w14:textId="77777777" w:rsidR="00DE2078" w:rsidRPr="00F2779B" w:rsidRDefault="00DE2078" w:rsidP="00173127">
            <w:pPr>
              <w:jc w:val="center"/>
            </w:pPr>
            <w:r w:rsidRPr="00F2779B">
              <w:rPr>
                <w:rFonts w:eastAsia="Times New Roman"/>
                <w:bCs/>
              </w:rPr>
              <w:t>SD ≤ 0.50</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41C8D10B" w14:textId="77777777" w:rsidR="00DE2078" w:rsidRPr="00F2779B" w:rsidRDefault="00DE2078" w:rsidP="00173127">
            <w:pPr>
              <w:jc w:val="center"/>
            </w:pPr>
            <w:r w:rsidRPr="00F2779B">
              <w:rPr>
                <w:rFonts w:eastAsia="Times New Roman"/>
                <w:bCs/>
              </w:rPr>
              <w:t>High Consistent Responses</w:t>
            </w:r>
          </w:p>
        </w:tc>
        <w:tc>
          <w:tcPr>
            <w:tcW w:w="2795" w:type="dxa"/>
            <w:gridSpan w:val="2"/>
            <w:tcBorders>
              <w:top w:val="single" w:sz="4" w:space="0" w:color="auto"/>
              <w:left w:val="single" w:sz="4" w:space="0" w:color="auto"/>
              <w:bottom w:val="single" w:sz="4" w:space="0" w:color="auto"/>
              <w:right w:val="single" w:sz="4" w:space="0" w:color="auto"/>
            </w:tcBorders>
            <w:vAlign w:val="center"/>
          </w:tcPr>
          <w:p w14:paraId="50086D0F" w14:textId="77777777" w:rsidR="00DE2078" w:rsidRPr="00F2779B" w:rsidRDefault="00DE2078" w:rsidP="00173127">
            <w:pPr>
              <w:jc w:val="center"/>
            </w:pPr>
            <w:r w:rsidRPr="00F2779B">
              <w:rPr>
                <w:rFonts w:eastAsia="Times New Roman"/>
              </w:rPr>
              <w:t>Strong and uniform perception</w:t>
            </w:r>
          </w:p>
        </w:tc>
      </w:tr>
      <w:tr w:rsidR="00DE2078" w:rsidRPr="00F2779B" w14:paraId="4DBCA7D7" w14:textId="77777777" w:rsidTr="00173127">
        <w:tc>
          <w:tcPr>
            <w:tcW w:w="2070" w:type="dxa"/>
            <w:gridSpan w:val="2"/>
            <w:tcBorders>
              <w:top w:val="single" w:sz="4" w:space="0" w:color="auto"/>
              <w:left w:val="single" w:sz="4" w:space="0" w:color="auto"/>
              <w:bottom w:val="single" w:sz="4" w:space="0" w:color="auto"/>
              <w:right w:val="single" w:sz="4" w:space="0" w:color="auto"/>
            </w:tcBorders>
            <w:vAlign w:val="center"/>
          </w:tcPr>
          <w:p w14:paraId="11493C93" w14:textId="77777777" w:rsidR="00DE2078" w:rsidRPr="00F2779B" w:rsidRDefault="00DE2078" w:rsidP="00173127">
            <w:pPr>
              <w:jc w:val="center"/>
            </w:pPr>
            <w:r w:rsidRPr="00F2779B">
              <w:rPr>
                <w:rFonts w:eastAsia="Times New Roman"/>
                <w:bCs/>
              </w:rPr>
              <w:t>SD = 0.51 – 1.00</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41A57C63" w14:textId="77777777" w:rsidR="00DE2078" w:rsidRPr="00F2779B" w:rsidRDefault="00DE2078" w:rsidP="00173127">
            <w:pPr>
              <w:jc w:val="center"/>
            </w:pPr>
            <w:r w:rsidRPr="00F2779B">
              <w:rPr>
                <w:rFonts w:eastAsia="Times New Roman"/>
                <w:bCs/>
              </w:rPr>
              <w:t>Moderate Consistent Responses</w:t>
            </w:r>
          </w:p>
        </w:tc>
        <w:tc>
          <w:tcPr>
            <w:tcW w:w="2795" w:type="dxa"/>
            <w:gridSpan w:val="2"/>
            <w:tcBorders>
              <w:top w:val="single" w:sz="4" w:space="0" w:color="auto"/>
              <w:left w:val="single" w:sz="4" w:space="0" w:color="auto"/>
              <w:bottom w:val="single" w:sz="4" w:space="0" w:color="auto"/>
              <w:right w:val="single" w:sz="4" w:space="0" w:color="auto"/>
            </w:tcBorders>
            <w:vAlign w:val="center"/>
          </w:tcPr>
          <w:p w14:paraId="04A1C985" w14:textId="77777777" w:rsidR="00DE2078" w:rsidRPr="00F2779B" w:rsidRDefault="00DE2078" w:rsidP="00173127">
            <w:pPr>
              <w:jc w:val="center"/>
            </w:pPr>
            <w:r w:rsidRPr="00F2779B">
              <w:rPr>
                <w:rFonts w:eastAsia="Times New Roman"/>
              </w:rPr>
              <w:t>Acceptable consistency</w:t>
            </w:r>
          </w:p>
        </w:tc>
      </w:tr>
      <w:tr w:rsidR="00DE2078" w:rsidRPr="00F2779B" w14:paraId="221FEE99" w14:textId="77777777" w:rsidTr="00173127">
        <w:tc>
          <w:tcPr>
            <w:tcW w:w="2070" w:type="dxa"/>
            <w:gridSpan w:val="2"/>
            <w:tcBorders>
              <w:top w:val="single" w:sz="4" w:space="0" w:color="auto"/>
              <w:left w:val="single" w:sz="4" w:space="0" w:color="auto"/>
              <w:bottom w:val="single" w:sz="4" w:space="0" w:color="auto"/>
              <w:right w:val="single" w:sz="4" w:space="0" w:color="auto"/>
            </w:tcBorders>
            <w:vAlign w:val="center"/>
          </w:tcPr>
          <w:p w14:paraId="597FC99B" w14:textId="77777777" w:rsidR="00DE2078" w:rsidRPr="00F2779B" w:rsidRDefault="00DE2078" w:rsidP="00173127">
            <w:pPr>
              <w:jc w:val="center"/>
            </w:pPr>
            <w:r w:rsidRPr="00F2779B">
              <w:rPr>
                <w:rFonts w:eastAsia="Times New Roman"/>
                <w:bCs/>
              </w:rPr>
              <w:t>SD = 1.01 – 1.50</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16662BBC" w14:textId="77777777" w:rsidR="00DE2078" w:rsidRPr="00F2779B" w:rsidRDefault="00DE2078" w:rsidP="00173127">
            <w:pPr>
              <w:jc w:val="center"/>
            </w:pPr>
            <w:r w:rsidRPr="00F2779B">
              <w:rPr>
                <w:rFonts w:eastAsia="Times New Roman"/>
                <w:bCs/>
              </w:rPr>
              <w:t>Low Consistent Responses</w:t>
            </w:r>
          </w:p>
        </w:tc>
        <w:tc>
          <w:tcPr>
            <w:tcW w:w="2795" w:type="dxa"/>
            <w:gridSpan w:val="2"/>
            <w:tcBorders>
              <w:top w:val="single" w:sz="4" w:space="0" w:color="auto"/>
              <w:left w:val="single" w:sz="4" w:space="0" w:color="auto"/>
              <w:bottom w:val="single" w:sz="4" w:space="0" w:color="auto"/>
              <w:right w:val="single" w:sz="4" w:space="0" w:color="auto"/>
            </w:tcBorders>
            <w:vAlign w:val="center"/>
          </w:tcPr>
          <w:p w14:paraId="68A87867" w14:textId="77777777" w:rsidR="00DE2078" w:rsidRPr="00F2779B" w:rsidRDefault="00DE2078" w:rsidP="00173127">
            <w:pPr>
              <w:jc w:val="center"/>
            </w:pPr>
            <w:r w:rsidRPr="00F2779B">
              <w:rPr>
                <w:rFonts w:eastAsia="Times New Roman"/>
              </w:rPr>
              <w:t>Differing views or experiences</w:t>
            </w:r>
          </w:p>
        </w:tc>
      </w:tr>
      <w:tr w:rsidR="00DE2078" w:rsidRPr="00F2779B" w14:paraId="65128343" w14:textId="77777777" w:rsidTr="00173127">
        <w:tc>
          <w:tcPr>
            <w:tcW w:w="2070" w:type="dxa"/>
            <w:gridSpan w:val="2"/>
            <w:tcBorders>
              <w:top w:val="single" w:sz="4" w:space="0" w:color="auto"/>
              <w:left w:val="single" w:sz="4" w:space="0" w:color="auto"/>
              <w:bottom w:val="single" w:sz="4" w:space="0" w:color="auto"/>
              <w:right w:val="single" w:sz="4" w:space="0" w:color="auto"/>
            </w:tcBorders>
            <w:vAlign w:val="center"/>
          </w:tcPr>
          <w:p w14:paraId="3E111BA1" w14:textId="77777777" w:rsidR="00DE2078" w:rsidRPr="00F2779B" w:rsidRDefault="00DE2078" w:rsidP="00173127">
            <w:pPr>
              <w:jc w:val="center"/>
            </w:pPr>
            <w:r w:rsidRPr="00F2779B">
              <w:rPr>
                <w:rFonts w:eastAsia="Times New Roman"/>
                <w:bCs/>
              </w:rPr>
              <w:t>SD &gt; 1.50</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315DC43C" w14:textId="77777777" w:rsidR="00DE2078" w:rsidRPr="00F2779B" w:rsidRDefault="00DE2078" w:rsidP="00173127">
            <w:pPr>
              <w:jc w:val="center"/>
            </w:pPr>
            <w:r w:rsidRPr="00F2779B">
              <w:rPr>
                <w:rFonts w:eastAsia="Times New Roman"/>
                <w:bCs/>
              </w:rPr>
              <w:t>Very Low Consistent Responses</w:t>
            </w:r>
          </w:p>
        </w:tc>
        <w:tc>
          <w:tcPr>
            <w:tcW w:w="2795" w:type="dxa"/>
            <w:gridSpan w:val="2"/>
            <w:tcBorders>
              <w:top w:val="single" w:sz="4" w:space="0" w:color="auto"/>
              <w:left w:val="single" w:sz="4" w:space="0" w:color="auto"/>
              <w:bottom w:val="single" w:sz="4" w:space="0" w:color="auto"/>
              <w:right w:val="single" w:sz="4" w:space="0" w:color="auto"/>
            </w:tcBorders>
            <w:vAlign w:val="center"/>
          </w:tcPr>
          <w:p w14:paraId="753DF5FB" w14:textId="77777777" w:rsidR="00DE2078" w:rsidRPr="00F2779B" w:rsidRDefault="00DE2078" w:rsidP="00173127">
            <w:pPr>
              <w:jc w:val="center"/>
            </w:pPr>
            <w:r w:rsidRPr="00F2779B">
              <w:rPr>
                <w:rFonts w:eastAsia="Times New Roman"/>
              </w:rPr>
              <w:t>High variability and lack of consensus</w:t>
            </w:r>
          </w:p>
        </w:tc>
      </w:tr>
    </w:tbl>
    <w:p w14:paraId="1768D802" w14:textId="77777777" w:rsidR="003F6128" w:rsidRDefault="003F6128" w:rsidP="003F6128">
      <w:pPr>
        <w:spacing w:line="240" w:lineRule="auto"/>
        <w:ind w:firstLine="720"/>
        <w:jc w:val="both"/>
        <w:rPr>
          <w:bCs/>
          <w:sz w:val="24"/>
          <w:szCs w:val="24"/>
          <w:lang w:val="en-US"/>
        </w:rPr>
      </w:pPr>
    </w:p>
    <w:p w14:paraId="2A644972" w14:textId="1F017EC4" w:rsidR="003F6128" w:rsidRDefault="003F6128" w:rsidP="003F6128">
      <w:pPr>
        <w:spacing w:line="240" w:lineRule="auto"/>
        <w:ind w:firstLine="720"/>
        <w:jc w:val="both"/>
        <w:rPr>
          <w:bCs/>
          <w:sz w:val="24"/>
          <w:szCs w:val="24"/>
          <w:lang w:val="en-US"/>
        </w:rPr>
      </w:pPr>
      <w:r w:rsidRPr="003F6128">
        <w:rPr>
          <w:bCs/>
          <w:sz w:val="24"/>
          <w:szCs w:val="24"/>
          <w:lang w:val="en-US"/>
        </w:rPr>
        <w:t xml:space="preserve">In this study, the significance of the correlation is tested at a 0.05 confidence level.  The following is the standard measure for interpreting the </w:t>
      </w:r>
      <w:proofErr w:type="spellStart"/>
      <w:r w:rsidRPr="003F6128">
        <w:rPr>
          <w:bCs/>
          <w:sz w:val="24"/>
          <w:szCs w:val="24"/>
          <w:lang w:val="en-US"/>
        </w:rPr>
        <w:t>r-value</w:t>
      </w:r>
      <w:proofErr w:type="spellEnd"/>
      <w:r w:rsidRPr="003F6128">
        <w:rPr>
          <w:bCs/>
          <w:sz w:val="24"/>
          <w:szCs w:val="24"/>
          <w:lang w:val="en-US"/>
        </w:rPr>
        <w:t xml:space="preserve"> on the interpretation scale. The following scheme is used:</w:t>
      </w:r>
    </w:p>
    <w:p w14:paraId="4E776A79" w14:textId="77777777" w:rsidR="003F6128" w:rsidRPr="003F6128" w:rsidRDefault="003F6128" w:rsidP="003F6128">
      <w:pPr>
        <w:spacing w:line="240" w:lineRule="auto"/>
        <w:ind w:firstLine="720"/>
        <w:jc w:val="both"/>
        <w:rPr>
          <w:bCs/>
          <w:sz w:val="24"/>
          <w:szCs w:val="24"/>
          <w:lang w:val="en-US"/>
        </w:rPr>
      </w:pPr>
    </w:p>
    <w:tbl>
      <w:tblPr>
        <w:tblStyle w:val="TableGrid"/>
        <w:tblW w:w="0" w:type="auto"/>
        <w:tblLook w:val="04A0" w:firstRow="1" w:lastRow="0" w:firstColumn="1" w:lastColumn="0" w:noHBand="0" w:noVBand="1"/>
      </w:tblPr>
      <w:tblGrid>
        <w:gridCol w:w="4315"/>
        <w:gridCol w:w="4315"/>
      </w:tblGrid>
      <w:tr w:rsidR="003F6128" w:rsidRPr="003F6128" w14:paraId="7EA8ACF0" w14:textId="77777777" w:rsidTr="003F6128">
        <w:tc>
          <w:tcPr>
            <w:tcW w:w="4315" w:type="dxa"/>
            <w:vAlign w:val="center"/>
          </w:tcPr>
          <w:p w14:paraId="646254B5" w14:textId="77777777" w:rsidR="003F6128" w:rsidRPr="003F6128" w:rsidRDefault="003F6128" w:rsidP="003F6128">
            <w:pPr>
              <w:spacing w:line="240" w:lineRule="auto"/>
              <w:jc w:val="center"/>
              <w:rPr>
                <w:bCs/>
                <w:i/>
                <w:iCs/>
                <w:sz w:val="24"/>
                <w:szCs w:val="24"/>
                <w:lang w:val="en-US"/>
              </w:rPr>
            </w:pPr>
            <w:r w:rsidRPr="003F6128">
              <w:rPr>
                <w:bCs/>
                <w:i/>
                <w:iCs/>
                <w:sz w:val="24"/>
                <w:szCs w:val="24"/>
                <w:lang w:val="en-US"/>
              </w:rPr>
              <w:t>Computed r</w:t>
            </w:r>
          </w:p>
        </w:tc>
        <w:tc>
          <w:tcPr>
            <w:tcW w:w="4315" w:type="dxa"/>
            <w:vAlign w:val="center"/>
          </w:tcPr>
          <w:p w14:paraId="2B5889BC" w14:textId="77777777" w:rsidR="003F6128" w:rsidRPr="003F6128" w:rsidRDefault="003F6128" w:rsidP="003F6128">
            <w:pPr>
              <w:spacing w:line="240" w:lineRule="auto"/>
              <w:jc w:val="center"/>
              <w:rPr>
                <w:bCs/>
                <w:i/>
                <w:iCs/>
                <w:sz w:val="24"/>
                <w:szCs w:val="24"/>
                <w:lang w:val="en-US"/>
              </w:rPr>
            </w:pPr>
            <w:r w:rsidRPr="003F6128">
              <w:rPr>
                <w:bCs/>
                <w:i/>
                <w:iCs/>
                <w:sz w:val="24"/>
                <w:szCs w:val="24"/>
                <w:lang w:val="en-US"/>
              </w:rPr>
              <w:t>Descriptive Interpretation</w:t>
            </w:r>
          </w:p>
        </w:tc>
      </w:tr>
      <w:tr w:rsidR="003F6128" w:rsidRPr="003F6128" w14:paraId="0EE62971" w14:textId="77777777" w:rsidTr="003F6128">
        <w:tc>
          <w:tcPr>
            <w:tcW w:w="4315" w:type="dxa"/>
            <w:vAlign w:val="center"/>
          </w:tcPr>
          <w:p w14:paraId="27FF6382" w14:textId="77777777" w:rsidR="003F6128" w:rsidRPr="003F6128" w:rsidRDefault="003F6128" w:rsidP="003F6128">
            <w:pPr>
              <w:spacing w:line="240" w:lineRule="auto"/>
              <w:jc w:val="center"/>
              <w:rPr>
                <w:bCs/>
                <w:sz w:val="24"/>
                <w:szCs w:val="24"/>
                <w:lang w:val="en-US"/>
              </w:rPr>
            </w:pPr>
            <w:r w:rsidRPr="003F6128">
              <w:rPr>
                <w:bCs/>
                <w:sz w:val="24"/>
                <w:szCs w:val="24"/>
                <w:lang w:val="en-US"/>
              </w:rPr>
              <w:t>+/- 1.00</w:t>
            </w:r>
          </w:p>
        </w:tc>
        <w:tc>
          <w:tcPr>
            <w:tcW w:w="4315" w:type="dxa"/>
            <w:vAlign w:val="center"/>
          </w:tcPr>
          <w:p w14:paraId="0B99307F" w14:textId="77777777" w:rsidR="003F6128" w:rsidRPr="003F6128" w:rsidRDefault="003F6128" w:rsidP="003F6128">
            <w:pPr>
              <w:spacing w:line="240" w:lineRule="auto"/>
              <w:jc w:val="center"/>
              <w:rPr>
                <w:bCs/>
                <w:sz w:val="24"/>
                <w:szCs w:val="24"/>
                <w:lang w:val="en-US"/>
              </w:rPr>
            </w:pPr>
            <w:r w:rsidRPr="003F6128">
              <w:rPr>
                <w:bCs/>
                <w:sz w:val="24"/>
                <w:szCs w:val="24"/>
                <w:lang w:val="en-US"/>
              </w:rPr>
              <w:t>Perfect correlation</w:t>
            </w:r>
          </w:p>
        </w:tc>
      </w:tr>
      <w:tr w:rsidR="003F6128" w:rsidRPr="003F6128" w14:paraId="6180A7C9" w14:textId="77777777" w:rsidTr="003F6128">
        <w:tc>
          <w:tcPr>
            <w:tcW w:w="4315" w:type="dxa"/>
            <w:vAlign w:val="center"/>
          </w:tcPr>
          <w:p w14:paraId="2ED09B75" w14:textId="77777777" w:rsidR="003F6128" w:rsidRPr="003F6128" w:rsidRDefault="003F6128" w:rsidP="003F6128">
            <w:pPr>
              <w:spacing w:line="240" w:lineRule="auto"/>
              <w:jc w:val="center"/>
              <w:rPr>
                <w:bCs/>
                <w:sz w:val="24"/>
                <w:szCs w:val="24"/>
                <w:lang w:val="en-US"/>
              </w:rPr>
            </w:pPr>
            <w:r w:rsidRPr="003F6128">
              <w:rPr>
                <w:bCs/>
                <w:sz w:val="24"/>
                <w:szCs w:val="24"/>
                <w:lang w:val="en-US"/>
              </w:rPr>
              <w:t xml:space="preserve">Between +/- 0.75 </w:t>
            </w:r>
            <w:proofErr w:type="gramStart"/>
            <w:r w:rsidRPr="003F6128">
              <w:rPr>
                <w:bCs/>
                <w:sz w:val="24"/>
                <w:szCs w:val="24"/>
                <w:lang w:val="en-US"/>
              </w:rPr>
              <w:t>–  +</w:t>
            </w:r>
            <w:proofErr w:type="gramEnd"/>
            <w:r w:rsidRPr="003F6128">
              <w:rPr>
                <w:bCs/>
                <w:sz w:val="24"/>
                <w:szCs w:val="24"/>
                <w:lang w:val="en-US"/>
              </w:rPr>
              <w:t>/- 0.99</w:t>
            </w:r>
          </w:p>
        </w:tc>
        <w:tc>
          <w:tcPr>
            <w:tcW w:w="4315" w:type="dxa"/>
            <w:vAlign w:val="center"/>
          </w:tcPr>
          <w:p w14:paraId="13E8B551" w14:textId="77777777" w:rsidR="003F6128" w:rsidRPr="003F6128" w:rsidRDefault="003F6128" w:rsidP="003F6128">
            <w:pPr>
              <w:spacing w:line="240" w:lineRule="auto"/>
              <w:jc w:val="center"/>
              <w:rPr>
                <w:bCs/>
                <w:sz w:val="24"/>
                <w:szCs w:val="24"/>
                <w:lang w:val="en-US"/>
              </w:rPr>
            </w:pPr>
            <w:r w:rsidRPr="003F6128">
              <w:rPr>
                <w:bCs/>
                <w:sz w:val="24"/>
                <w:szCs w:val="24"/>
                <w:lang w:val="en-US"/>
              </w:rPr>
              <w:t>High correlation</w:t>
            </w:r>
          </w:p>
        </w:tc>
      </w:tr>
      <w:tr w:rsidR="003F6128" w:rsidRPr="003F6128" w14:paraId="76F41618" w14:textId="77777777" w:rsidTr="003F6128">
        <w:tc>
          <w:tcPr>
            <w:tcW w:w="4315" w:type="dxa"/>
            <w:vAlign w:val="center"/>
          </w:tcPr>
          <w:p w14:paraId="1FB1AF2D" w14:textId="77777777" w:rsidR="003F6128" w:rsidRPr="003F6128" w:rsidRDefault="003F6128" w:rsidP="003F6128">
            <w:pPr>
              <w:spacing w:line="240" w:lineRule="auto"/>
              <w:jc w:val="center"/>
              <w:rPr>
                <w:bCs/>
                <w:sz w:val="24"/>
                <w:szCs w:val="24"/>
                <w:lang w:val="en-US"/>
              </w:rPr>
            </w:pPr>
            <w:r w:rsidRPr="003F6128">
              <w:rPr>
                <w:bCs/>
                <w:sz w:val="24"/>
                <w:szCs w:val="24"/>
                <w:lang w:val="en-US"/>
              </w:rPr>
              <w:t xml:space="preserve">Between +/- 0.51 </w:t>
            </w:r>
            <w:proofErr w:type="gramStart"/>
            <w:r w:rsidRPr="003F6128">
              <w:rPr>
                <w:bCs/>
                <w:sz w:val="24"/>
                <w:szCs w:val="24"/>
                <w:lang w:val="en-US"/>
              </w:rPr>
              <w:t>–  +</w:t>
            </w:r>
            <w:proofErr w:type="gramEnd"/>
            <w:r w:rsidRPr="003F6128">
              <w:rPr>
                <w:bCs/>
                <w:sz w:val="24"/>
                <w:szCs w:val="24"/>
                <w:lang w:val="en-US"/>
              </w:rPr>
              <w:t>/- 0.74</w:t>
            </w:r>
          </w:p>
        </w:tc>
        <w:tc>
          <w:tcPr>
            <w:tcW w:w="4315" w:type="dxa"/>
            <w:vAlign w:val="center"/>
          </w:tcPr>
          <w:p w14:paraId="7E9A0D10" w14:textId="77777777" w:rsidR="003F6128" w:rsidRPr="003F6128" w:rsidRDefault="003F6128" w:rsidP="003F6128">
            <w:pPr>
              <w:spacing w:line="240" w:lineRule="auto"/>
              <w:jc w:val="center"/>
              <w:rPr>
                <w:bCs/>
                <w:sz w:val="24"/>
                <w:szCs w:val="24"/>
                <w:lang w:val="en-US"/>
              </w:rPr>
            </w:pPr>
            <w:r w:rsidRPr="003F6128">
              <w:rPr>
                <w:bCs/>
                <w:sz w:val="24"/>
                <w:szCs w:val="24"/>
                <w:lang w:val="en-US"/>
              </w:rPr>
              <w:t>Moderately high correlation</w:t>
            </w:r>
          </w:p>
        </w:tc>
      </w:tr>
      <w:tr w:rsidR="003F6128" w:rsidRPr="003F6128" w14:paraId="19028E6C" w14:textId="77777777" w:rsidTr="003F6128">
        <w:tc>
          <w:tcPr>
            <w:tcW w:w="4315" w:type="dxa"/>
            <w:vAlign w:val="center"/>
          </w:tcPr>
          <w:p w14:paraId="0D009D85" w14:textId="77777777" w:rsidR="003F6128" w:rsidRPr="003F6128" w:rsidRDefault="003F6128" w:rsidP="003F6128">
            <w:pPr>
              <w:spacing w:line="240" w:lineRule="auto"/>
              <w:jc w:val="center"/>
              <w:rPr>
                <w:bCs/>
                <w:sz w:val="24"/>
                <w:szCs w:val="24"/>
                <w:lang w:val="en-US"/>
              </w:rPr>
            </w:pPr>
            <w:r w:rsidRPr="003F6128">
              <w:rPr>
                <w:bCs/>
                <w:sz w:val="24"/>
                <w:szCs w:val="24"/>
                <w:lang w:val="en-US"/>
              </w:rPr>
              <w:t xml:space="preserve">Between +/- 0.31 </w:t>
            </w:r>
            <w:proofErr w:type="gramStart"/>
            <w:r w:rsidRPr="003F6128">
              <w:rPr>
                <w:bCs/>
                <w:sz w:val="24"/>
                <w:szCs w:val="24"/>
                <w:lang w:val="en-US"/>
              </w:rPr>
              <w:t>–  +</w:t>
            </w:r>
            <w:proofErr w:type="gramEnd"/>
            <w:r w:rsidRPr="003F6128">
              <w:rPr>
                <w:bCs/>
                <w:sz w:val="24"/>
                <w:szCs w:val="24"/>
                <w:lang w:val="en-US"/>
              </w:rPr>
              <w:t>/- 0.50</w:t>
            </w:r>
          </w:p>
        </w:tc>
        <w:tc>
          <w:tcPr>
            <w:tcW w:w="4315" w:type="dxa"/>
            <w:vAlign w:val="center"/>
          </w:tcPr>
          <w:p w14:paraId="6BA7A219" w14:textId="77777777" w:rsidR="003F6128" w:rsidRPr="003F6128" w:rsidRDefault="003F6128" w:rsidP="003F6128">
            <w:pPr>
              <w:spacing w:line="240" w:lineRule="auto"/>
              <w:jc w:val="center"/>
              <w:rPr>
                <w:bCs/>
                <w:sz w:val="24"/>
                <w:szCs w:val="24"/>
                <w:lang w:val="en-US"/>
              </w:rPr>
            </w:pPr>
            <w:r w:rsidRPr="003F6128">
              <w:rPr>
                <w:bCs/>
                <w:sz w:val="24"/>
                <w:szCs w:val="24"/>
                <w:lang w:val="en-US"/>
              </w:rPr>
              <w:t>Moderately low correlation</w:t>
            </w:r>
          </w:p>
        </w:tc>
      </w:tr>
      <w:tr w:rsidR="003F6128" w:rsidRPr="003F6128" w14:paraId="1C79A869" w14:textId="77777777" w:rsidTr="003F6128">
        <w:tc>
          <w:tcPr>
            <w:tcW w:w="4315" w:type="dxa"/>
            <w:vAlign w:val="center"/>
          </w:tcPr>
          <w:p w14:paraId="121E8A19" w14:textId="77777777" w:rsidR="003F6128" w:rsidRPr="003F6128" w:rsidRDefault="003F6128" w:rsidP="003F6128">
            <w:pPr>
              <w:spacing w:line="240" w:lineRule="auto"/>
              <w:jc w:val="center"/>
              <w:rPr>
                <w:bCs/>
                <w:sz w:val="24"/>
                <w:szCs w:val="24"/>
                <w:lang w:val="en-US"/>
              </w:rPr>
            </w:pPr>
            <w:r w:rsidRPr="003F6128">
              <w:rPr>
                <w:bCs/>
                <w:sz w:val="24"/>
                <w:szCs w:val="24"/>
                <w:lang w:val="en-US"/>
              </w:rPr>
              <w:t xml:space="preserve">Between +/- 0.01 </w:t>
            </w:r>
            <w:proofErr w:type="gramStart"/>
            <w:r w:rsidRPr="003F6128">
              <w:rPr>
                <w:bCs/>
                <w:sz w:val="24"/>
                <w:szCs w:val="24"/>
                <w:lang w:val="en-US"/>
              </w:rPr>
              <w:t>–  +</w:t>
            </w:r>
            <w:proofErr w:type="gramEnd"/>
            <w:r w:rsidRPr="003F6128">
              <w:rPr>
                <w:bCs/>
                <w:sz w:val="24"/>
                <w:szCs w:val="24"/>
                <w:lang w:val="en-US"/>
              </w:rPr>
              <w:t>/- 0.30</w:t>
            </w:r>
          </w:p>
        </w:tc>
        <w:tc>
          <w:tcPr>
            <w:tcW w:w="4315" w:type="dxa"/>
            <w:vAlign w:val="center"/>
          </w:tcPr>
          <w:p w14:paraId="38A491C9" w14:textId="77777777" w:rsidR="003F6128" w:rsidRPr="003F6128" w:rsidRDefault="003F6128" w:rsidP="003F6128">
            <w:pPr>
              <w:spacing w:line="240" w:lineRule="auto"/>
              <w:jc w:val="center"/>
              <w:rPr>
                <w:bCs/>
                <w:sz w:val="24"/>
                <w:szCs w:val="24"/>
                <w:lang w:val="en-US"/>
              </w:rPr>
            </w:pPr>
            <w:r w:rsidRPr="003F6128">
              <w:rPr>
                <w:bCs/>
                <w:sz w:val="24"/>
                <w:szCs w:val="24"/>
                <w:lang w:val="en-US"/>
              </w:rPr>
              <w:t>Low correlation</w:t>
            </w:r>
          </w:p>
        </w:tc>
      </w:tr>
      <w:tr w:rsidR="003F6128" w:rsidRPr="003F6128" w14:paraId="6297FFCB" w14:textId="77777777" w:rsidTr="003F6128">
        <w:tc>
          <w:tcPr>
            <w:tcW w:w="4315" w:type="dxa"/>
            <w:vAlign w:val="center"/>
          </w:tcPr>
          <w:p w14:paraId="023E7633" w14:textId="77777777" w:rsidR="003F6128" w:rsidRPr="003F6128" w:rsidRDefault="003F6128" w:rsidP="003F6128">
            <w:pPr>
              <w:spacing w:line="240" w:lineRule="auto"/>
              <w:jc w:val="center"/>
              <w:rPr>
                <w:bCs/>
                <w:sz w:val="24"/>
                <w:szCs w:val="24"/>
                <w:lang w:val="en-US"/>
              </w:rPr>
            </w:pPr>
            <w:r w:rsidRPr="003F6128">
              <w:rPr>
                <w:bCs/>
                <w:sz w:val="24"/>
                <w:szCs w:val="24"/>
                <w:lang w:val="en-US"/>
              </w:rPr>
              <w:t>0.00</w:t>
            </w:r>
          </w:p>
        </w:tc>
        <w:tc>
          <w:tcPr>
            <w:tcW w:w="4315" w:type="dxa"/>
            <w:vAlign w:val="center"/>
          </w:tcPr>
          <w:p w14:paraId="314942E4" w14:textId="77777777" w:rsidR="003F6128" w:rsidRPr="003F6128" w:rsidRDefault="003F6128" w:rsidP="003F6128">
            <w:pPr>
              <w:spacing w:line="240" w:lineRule="auto"/>
              <w:jc w:val="center"/>
              <w:rPr>
                <w:bCs/>
                <w:sz w:val="24"/>
                <w:szCs w:val="24"/>
                <w:lang w:val="en-US"/>
              </w:rPr>
            </w:pPr>
            <w:r w:rsidRPr="003F6128">
              <w:rPr>
                <w:bCs/>
                <w:sz w:val="24"/>
                <w:szCs w:val="24"/>
                <w:lang w:val="en-US"/>
              </w:rPr>
              <w:t>No correlation</w:t>
            </w:r>
          </w:p>
        </w:tc>
      </w:tr>
    </w:tbl>
    <w:p w14:paraId="6D33A46E" w14:textId="77777777" w:rsidR="003F6128" w:rsidRDefault="003F6128" w:rsidP="003F6128">
      <w:pPr>
        <w:spacing w:line="240" w:lineRule="auto"/>
        <w:ind w:firstLine="720"/>
        <w:jc w:val="both"/>
        <w:rPr>
          <w:sz w:val="24"/>
          <w:szCs w:val="24"/>
        </w:rPr>
      </w:pPr>
    </w:p>
    <w:p w14:paraId="7C3CECDA" w14:textId="563C952C" w:rsidR="003F6128" w:rsidRPr="003F6128" w:rsidRDefault="003F6128" w:rsidP="003F6128">
      <w:pPr>
        <w:spacing w:line="240" w:lineRule="auto"/>
        <w:ind w:firstLine="720"/>
        <w:jc w:val="both"/>
        <w:rPr>
          <w:sz w:val="24"/>
          <w:szCs w:val="24"/>
        </w:rPr>
      </w:pPr>
      <w:r w:rsidRPr="003F6128">
        <w:rPr>
          <w:sz w:val="24"/>
          <w:szCs w:val="24"/>
        </w:rPr>
        <w:t>The standard measure for the interpretation of the strength of the mediation is as follows:</w:t>
      </w:r>
    </w:p>
    <w:tbl>
      <w:tblPr>
        <w:tblStyle w:val="TableGrid"/>
        <w:tblW w:w="0" w:type="auto"/>
        <w:tblInd w:w="2110" w:type="dxa"/>
        <w:tblLook w:val="04A0" w:firstRow="1" w:lastRow="0" w:firstColumn="1" w:lastColumn="0" w:noHBand="0" w:noVBand="1"/>
      </w:tblPr>
      <w:tblGrid>
        <w:gridCol w:w="2610"/>
        <w:gridCol w:w="2520"/>
      </w:tblGrid>
      <w:tr w:rsidR="003F6128" w:rsidRPr="003F6128" w14:paraId="50B5B1F5" w14:textId="77777777" w:rsidTr="00173127">
        <w:tc>
          <w:tcPr>
            <w:tcW w:w="2610" w:type="dxa"/>
          </w:tcPr>
          <w:p w14:paraId="48576CCB" w14:textId="77777777" w:rsidR="003F6128" w:rsidRPr="003F6128" w:rsidRDefault="003F6128" w:rsidP="003F6128">
            <w:pPr>
              <w:spacing w:line="240" w:lineRule="auto"/>
              <w:jc w:val="center"/>
              <w:rPr>
                <w:b/>
                <w:bCs/>
                <w:i/>
                <w:sz w:val="24"/>
                <w:szCs w:val="24"/>
              </w:rPr>
            </w:pPr>
            <w:r w:rsidRPr="003F6128">
              <w:rPr>
                <w:b/>
                <w:bCs/>
                <w:i/>
                <w:sz w:val="24"/>
                <w:szCs w:val="24"/>
              </w:rPr>
              <w:t>Proportion Mediated</w:t>
            </w:r>
          </w:p>
        </w:tc>
        <w:tc>
          <w:tcPr>
            <w:tcW w:w="2520" w:type="dxa"/>
          </w:tcPr>
          <w:p w14:paraId="5CF57C7D" w14:textId="77777777" w:rsidR="003F6128" w:rsidRPr="003F6128" w:rsidRDefault="003F6128" w:rsidP="003F6128">
            <w:pPr>
              <w:spacing w:line="240" w:lineRule="auto"/>
              <w:jc w:val="center"/>
              <w:rPr>
                <w:b/>
                <w:bCs/>
                <w:i/>
                <w:sz w:val="24"/>
                <w:szCs w:val="24"/>
              </w:rPr>
            </w:pPr>
            <w:r w:rsidRPr="003F6128">
              <w:rPr>
                <w:b/>
                <w:bCs/>
                <w:i/>
                <w:sz w:val="24"/>
                <w:szCs w:val="24"/>
              </w:rPr>
              <w:t>Interpretation</w:t>
            </w:r>
          </w:p>
        </w:tc>
      </w:tr>
      <w:tr w:rsidR="003F6128" w:rsidRPr="003F6128" w14:paraId="16ED3F12" w14:textId="77777777" w:rsidTr="00173127">
        <w:tc>
          <w:tcPr>
            <w:tcW w:w="2610" w:type="dxa"/>
          </w:tcPr>
          <w:p w14:paraId="6578E915" w14:textId="77777777" w:rsidR="003F6128" w:rsidRPr="003F6128" w:rsidRDefault="003F6128" w:rsidP="003F6128">
            <w:pPr>
              <w:spacing w:line="240" w:lineRule="auto"/>
              <w:jc w:val="center"/>
              <w:rPr>
                <w:sz w:val="24"/>
                <w:szCs w:val="24"/>
              </w:rPr>
            </w:pPr>
            <w:r w:rsidRPr="003F6128">
              <w:rPr>
                <w:sz w:val="24"/>
                <w:szCs w:val="24"/>
              </w:rPr>
              <w:t>&lt; 0.20</w:t>
            </w:r>
          </w:p>
        </w:tc>
        <w:tc>
          <w:tcPr>
            <w:tcW w:w="2520" w:type="dxa"/>
          </w:tcPr>
          <w:p w14:paraId="6A92A5BD" w14:textId="77777777" w:rsidR="003F6128" w:rsidRPr="003F6128" w:rsidRDefault="003F6128" w:rsidP="003F6128">
            <w:pPr>
              <w:spacing w:line="240" w:lineRule="auto"/>
              <w:jc w:val="center"/>
              <w:rPr>
                <w:sz w:val="24"/>
                <w:szCs w:val="24"/>
              </w:rPr>
            </w:pPr>
            <w:r w:rsidRPr="003F6128">
              <w:rPr>
                <w:sz w:val="24"/>
                <w:szCs w:val="24"/>
              </w:rPr>
              <w:t>Weak Mediation</w:t>
            </w:r>
          </w:p>
        </w:tc>
      </w:tr>
      <w:tr w:rsidR="003F6128" w:rsidRPr="003F6128" w14:paraId="1DE729F1" w14:textId="77777777" w:rsidTr="00173127">
        <w:tc>
          <w:tcPr>
            <w:tcW w:w="2610" w:type="dxa"/>
          </w:tcPr>
          <w:p w14:paraId="26994F3C" w14:textId="77777777" w:rsidR="003F6128" w:rsidRPr="003F6128" w:rsidRDefault="003F6128" w:rsidP="003F6128">
            <w:pPr>
              <w:spacing w:line="240" w:lineRule="auto"/>
              <w:jc w:val="center"/>
              <w:rPr>
                <w:sz w:val="24"/>
                <w:szCs w:val="24"/>
              </w:rPr>
            </w:pPr>
            <w:r w:rsidRPr="003F6128">
              <w:rPr>
                <w:sz w:val="24"/>
                <w:szCs w:val="24"/>
              </w:rPr>
              <w:t>0.20 – 0.50</w:t>
            </w:r>
          </w:p>
        </w:tc>
        <w:tc>
          <w:tcPr>
            <w:tcW w:w="2520" w:type="dxa"/>
          </w:tcPr>
          <w:p w14:paraId="62818564" w14:textId="77777777" w:rsidR="003F6128" w:rsidRPr="003F6128" w:rsidRDefault="003F6128" w:rsidP="003F6128">
            <w:pPr>
              <w:spacing w:line="240" w:lineRule="auto"/>
              <w:jc w:val="center"/>
              <w:rPr>
                <w:sz w:val="24"/>
                <w:szCs w:val="24"/>
              </w:rPr>
            </w:pPr>
            <w:r w:rsidRPr="003F6128">
              <w:rPr>
                <w:sz w:val="24"/>
                <w:szCs w:val="24"/>
              </w:rPr>
              <w:t>Moderate Mediation</w:t>
            </w:r>
          </w:p>
        </w:tc>
      </w:tr>
      <w:tr w:rsidR="003F6128" w:rsidRPr="003F6128" w14:paraId="48C32EF1" w14:textId="77777777" w:rsidTr="00173127">
        <w:tc>
          <w:tcPr>
            <w:tcW w:w="2610" w:type="dxa"/>
          </w:tcPr>
          <w:p w14:paraId="4840C982" w14:textId="77777777" w:rsidR="003F6128" w:rsidRPr="003F6128" w:rsidRDefault="003F6128" w:rsidP="003F6128">
            <w:pPr>
              <w:spacing w:line="240" w:lineRule="auto"/>
              <w:jc w:val="center"/>
              <w:rPr>
                <w:sz w:val="24"/>
                <w:szCs w:val="24"/>
              </w:rPr>
            </w:pPr>
            <w:r w:rsidRPr="003F6128">
              <w:rPr>
                <w:sz w:val="24"/>
                <w:szCs w:val="24"/>
              </w:rPr>
              <w:t>&gt; 0.50</w:t>
            </w:r>
          </w:p>
        </w:tc>
        <w:tc>
          <w:tcPr>
            <w:tcW w:w="2520" w:type="dxa"/>
          </w:tcPr>
          <w:p w14:paraId="787F5A96" w14:textId="77777777" w:rsidR="003F6128" w:rsidRPr="003F6128" w:rsidRDefault="003F6128" w:rsidP="003F6128">
            <w:pPr>
              <w:spacing w:line="240" w:lineRule="auto"/>
              <w:jc w:val="center"/>
              <w:rPr>
                <w:sz w:val="24"/>
                <w:szCs w:val="24"/>
              </w:rPr>
            </w:pPr>
            <w:r w:rsidRPr="003F6128">
              <w:rPr>
                <w:sz w:val="24"/>
                <w:szCs w:val="24"/>
              </w:rPr>
              <w:t>Strong Mediation</w:t>
            </w:r>
          </w:p>
        </w:tc>
      </w:tr>
      <w:bookmarkEnd w:id="12"/>
    </w:tbl>
    <w:p w14:paraId="4DBAE77A" w14:textId="77777777" w:rsidR="007D3779" w:rsidRDefault="007D3779" w:rsidP="007D3779">
      <w:pPr>
        <w:widowControl w:val="0"/>
        <w:pBdr>
          <w:top w:val="nil"/>
          <w:left w:val="nil"/>
          <w:bottom w:val="nil"/>
          <w:right w:val="nil"/>
          <w:between w:val="nil"/>
        </w:pBdr>
        <w:spacing w:line="240" w:lineRule="auto"/>
        <w:rPr>
          <w:rFonts w:eastAsia="Cambria"/>
          <w:b/>
          <w:i/>
          <w:color w:val="000000"/>
          <w:sz w:val="24"/>
          <w:szCs w:val="24"/>
        </w:rPr>
      </w:pPr>
    </w:p>
    <w:p w14:paraId="2628FA18" w14:textId="77777777" w:rsidR="003F6128" w:rsidRPr="00E933BD" w:rsidRDefault="003F6128" w:rsidP="007D3779">
      <w:pPr>
        <w:widowControl w:val="0"/>
        <w:pBdr>
          <w:top w:val="nil"/>
          <w:left w:val="nil"/>
          <w:bottom w:val="nil"/>
          <w:right w:val="nil"/>
          <w:between w:val="nil"/>
        </w:pBdr>
        <w:spacing w:line="240" w:lineRule="auto"/>
        <w:rPr>
          <w:rFonts w:eastAsia="Cambria"/>
          <w:b/>
          <w:i/>
          <w:color w:val="000000"/>
          <w:sz w:val="24"/>
          <w:szCs w:val="24"/>
        </w:rPr>
      </w:pPr>
    </w:p>
    <w:p w14:paraId="164F0897" w14:textId="77777777" w:rsidR="007D3779" w:rsidRPr="00E933BD" w:rsidRDefault="007D3779" w:rsidP="007D3779">
      <w:pPr>
        <w:widowControl w:val="0"/>
        <w:pBdr>
          <w:top w:val="nil"/>
          <w:left w:val="nil"/>
          <w:bottom w:val="nil"/>
          <w:right w:val="nil"/>
          <w:between w:val="nil"/>
        </w:pBdr>
        <w:spacing w:line="240" w:lineRule="auto"/>
        <w:rPr>
          <w:rFonts w:eastAsia="Cambria"/>
          <w:b/>
          <w:i/>
          <w:color w:val="000000"/>
          <w:sz w:val="24"/>
          <w:szCs w:val="24"/>
        </w:rPr>
      </w:pPr>
      <w:r w:rsidRPr="00E933BD">
        <w:rPr>
          <w:rFonts w:eastAsia="Cambria"/>
          <w:b/>
          <w:i/>
          <w:color w:val="000000"/>
          <w:sz w:val="24"/>
          <w:szCs w:val="24"/>
        </w:rPr>
        <w:t xml:space="preserve">Ethical Consideration  </w:t>
      </w:r>
    </w:p>
    <w:p w14:paraId="08670AC2" w14:textId="77777777" w:rsidR="003F6128" w:rsidRDefault="003F6128" w:rsidP="003F6128">
      <w:pPr>
        <w:widowControl w:val="0"/>
        <w:pBdr>
          <w:top w:val="nil"/>
          <w:left w:val="nil"/>
          <w:bottom w:val="nil"/>
          <w:right w:val="nil"/>
          <w:between w:val="nil"/>
        </w:pBdr>
        <w:spacing w:before="452" w:line="240" w:lineRule="auto"/>
        <w:jc w:val="both"/>
        <w:rPr>
          <w:rFonts w:eastAsia="Cambria"/>
          <w:color w:val="000000"/>
          <w:sz w:val="24"/>
          <w:szCs w:val="24"/>
          <w:lang w:val="en-PH"/>
        </w:rPr>
      </w:pPr>
      <w:r w:rsidRPr="003F6128">
        <w:rPr>
          <w:rFonts w:eastAsia="Cambria"/>
          <w:color w:val="000000"/>
          <w:sz w:val="24"/>
          <w:szCs w:val="24"/>
          <w:lang w:val="en-PH"/>
        </w:rPr>
        <w:t>Ethical safeguards are essential in this study because respondents will share their views, behaviors, and personal perspectives regarding sustainability awareness, environmental attitudes, and single-use plastic reduction in their school environment. Since such reflections may include honest opinions about campus practices or the learning environment, the study guarantees that participants are protected from any potential discomfort or repercussions. To ensure proper ethical supervision, the institution’s Research Ethics Committee (REC) will guide the study’s ethical compliance. The researcher will adhere to the following ethical principles: informed consent, secrecy and data protection, avoidance of bias and discrimination, minimization of disruption to learning, and debriefing and feedback. (Liebel &amp; Chakraborty, 2021)</w:t>
      </w:r>
    </w:p>
    <w:p w14:paraId="039C6909" w14:textId="7F7A0D8E" w:rsidR="007D3779" w:rsidRPr="00E933BD" w:rsidRDefault="007D3779" w:rsidP="007D3779">
      <w:pPr>
        <w:widowControl w:val="0"/>
        <w:pBdr>
          <w:top w:val="nil"/>
          <w:left w:val="nil"/>
          <w:bottom w:val="nil"/>
          <w:right w:val="nil"/>
          <w:between w:val="nil"/>
        </w:pBdr>
        <w:spacing w:before="452" w:line="240" w:lineRule="auto"/>
        <w:jc w:val="center"/>
        <w:rPr>
          <w:rFonts w:eastAsia="Cambria"/>
          <w:b/>
          <w:color w:val="000000"/>
          <w:sz w:val="24"/>
          <w:szCs w:val="24"/>
        </w:rPr>
      </w:pPr>
      <w:r w:rsidRPr="00E933BD">
        <w:rPr>
          <w:rFonts w:eastAsia="Cambria"/>
          <w:b/>
          <w:color w:val="000000"/>
          <w:sz w:val="24"/>
          <w:szCs w:val="24"/>
        </w:rPr>
        <w:lastRenderedPageBreak/>
        <w:t>RESULTS</w:t>
      </w:r>
    </w:p>
    <w:p w14:paraId="4B348BD6" w14:textId="77777777" w:rsidR="003F6128" w:rsidRDefault="003F6128" w:rsidP="007D3779">
      <w:pPr>
        <w:widowControl w:val="0"/>
        <w:pBdr>
          <w:top w:val="nil"/>
          <w:left w:val="nil"/>
          <w:bottom w:val="nil"/>
          <w:right w:val="nil"/>
          <w:between w:val="nil"/>
        </w:pBdr>
        <w:spacing w:before="287" w:line="236" w:lineRule="auto"/>
        <w:ind w:right="179"/>
        <w:jc w:val="both"/>
        <w:rPr>
          <w:rFonts w:eastAsia="Cambria"/>
          <w:color w:val="000000"/>
          <w:sz w:val="24"/>
          <w:szCs w:val="24"/>
          <w:lang w:val="en-PH"/>
        </w:rPr>
      </w:pPr>
      <w:r w:rsidRPr="003F6128">
        <w:rPr>
          <w:rFonts w:eastAsia="Cambria"/>
          <w:color w:val="000000"/>
          <w:sz w:val="24"/>
          <w:szCs w:val="24"/>
          <w:lang w:val="en-PH"/>
        </w:rPr>
        <w:t>This chapter includes descriptive, correlational, and mediation tables, along with the corresponding analyses and interpretations of the statistical results. This chapter ends with a summary of findings</w:t>
      </w:r>
    </w:p>
    <w:p w14:paraId="2CB54EAC" w14:textId="29C37A38" w:rsidR="007D3779" w:rsidRPr="00E933BD" w:rsidRDefault="007D3779"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sidRPr="00E933BD">
        <w:rPr>
          <w:rFonts w:eastAsia="Cambria"/>
          <w:b/>
          <w:bCs/>
          <w:i/>
          <w:iCs/>
          <w:color w:val="000000"/>
          <w:sz w:val="24"/>
          <w:szCs w:val="24"/>
          <w:lang w:val="en-PH"/>
        </w:rPr>
        <w:t>Descriptive Results</w:t>
      </w:r>
    </w:p>
    <w:p w14:paraId="0CF6E7B2" w14:textId="77777777" w:rsidR="003F6128" w:rsidRDefault="003F6128" w:rsidP="007D3779">
      <w:pPr>
        <w:widowControl w:val="0"/>
        <w:pBdr>
          <w:top w:val="nil"/>
          <w:left w:val="nil"/>
          <w:bottom w:val="nil"/>
          <w:right w:val="nil"/>
          <w:between w:val="nil"/>
        </w:pBdr>
        <w:spacing w:before="287" w:line="236" w:lineRule="auto"/>
        <w:ind w:left="5" w:right="179"/>
        <w:rPr>
          <w:rFonts w:eastAsia="Cambria"/>
          <w:color w:val="000000"/>
          <w:sz w:val="24"/>
          <w:szCs w:val="24"/>
          <w:lang w:val="en-PH"/>
        </w:rPr>
      </w:pPr>
      <w:r w:rsidRPr="003F6128">
        <w:rPr>
          <w:rFonts w:eastAsia="Cambria"/>
          <w:color w:val="000000"/>
          <w:sz w:val="24"/>
          <w:szCs w:val="24"/>
          <w:lang w:val="en-PH"/>
        </w:rPr>
        <w:t>Table 1 presents the levels of sustainability awareness, environmental attitude, and single-use plastic reduction practices among students.</w:t>
      </w:r>
    </w:p>
    <w:p w14:paraId="563FB475" w14:textId="18B12E2E" w:rsidR="007D3779" w:rsidRDefault="007D3779" w:rsidP="007D3779">
      <w:pPr>
        <w:widowControl w:val="0"/>
        <w:pBdr>
          <w:top w:val="nil"/>
          <w:left w:val="nil"/>
          <w:bottom w:val="nil"/>
          <w:right w:val="nil"/>
          <w:between w:val="nil"/>
        </w:pBdr>
        <w:spacing w:before="287" w:line="236" w:lineRule="auto"/>
        <w:ind w:left="5" w:right="179"/>
        <w:rPr>
          <w:rFonts w:eastAsia="Cambria"/>
          <w:b/>
          <w:bCs/>
          <w:color w:val="000000"/>
          <w:sz w:val="24"/>
          <w:szCs w:val="24"/>
          <w:lang w:val="en-PH"/>
        </w:rPr>
      </w:pPr>
      <w:r w:rsidRPr="00E933BD">
        <w:rPr>
          <w:rFonts w:eastAsia="Cambria"/>
          <w:b/>
          <w:bCs/>
          <w:color w:val="000000"/>
          <w:sz w:val="24"/>
          <w:szCs w:val="24"/>
          <w:lang w:val="en-PH"/>
        </w:rPr>
        <w:t>Table 1</w:t>
      </w:r>
      <w:bookmarkStart w:id="13" w:name="_Hlk215854764"/>
      <w:r>
        <w:rPr>
          <w:rFonts w:eastAsia="Cambria"/>
          <w:b/>
          <w:bCs/>
          <w:color w:val="000000"/>
          <w:sz w:val="24"/>
          <w:szCs w:val="24"/>
          <w:lang w:val="en-PH"/>
        </w:rPr>
        <w:t>. Descriptive Table</w:t>
      </w:r>
      <w:r w:rsidRPr="00E933BD">
        <w:rPr>
          <w:rFonts w:eastAsia="Cambria"/>
          <w:b/>
          <w:bCs/>
          <w:color w:val="000000"/>
          <w:sz w:val="24"/>
          <w:szCs w:val="24"/>
          <w:lang w:val="en-PH"/>
        </w:rPr>
        <w:t xml:space="preserve"> </w:t>
      </w:r>
      <w:bookmarkEnd w:id="13"/>
      <w:r w:rsidRPr="00E933BD">
        <w:rPr>
          <w:rFonts w:eastAsia="Cambria"/>
          <w:b/>
          <w:bCs/>
          <w:color w:val="000000"/>
          <w:sz w:val="24"/>
          <w:szCs w:val="24"/>
          <w:lang w:val="en-PH"/>
        </w:rPr>
        <w:t>(N = 6</w:t>
      </w:r>
      <w:r w:rsidR="003F6128">
        <w:rPr>
          <w:rFonts w:eastAsia="Cambria"/>
          <w:b/>
          <w:bCs/>
          <w:color w:val="000000"/>
          <w:sz w:val="24"/>
          <w:szCs w:val="24"/>
          <w:lang w:val="en-PH"/>
        </w:rPr>
        <w:t>38</w:t>
      </w:r>
      <w:r w:rsidRPr="00E933BD">
        <w:rPr>
          <w:rFonts w:eastAsia="Cambria"/>
          <w:b/>
          <w:bCs/>
          <w:color w:val="000000"/>
          <w:sz w:val="24"/>
          <w:szCs w:val="24"/>
          <w:lang w:val="en-PH"/>
        </w:rPr>
        <w:t>)</w:t>
      </w:r>
    </w:p>
    <w:tbl>
      <w:tblPr>
        <w:tblStyle w:val="TableGrid"/>
        <w:tblW w:w="94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1276"/>
        <w:gridCol w:w="1380"/>
        <w:gridCol w:w="1380"/>
        <w:gridCol w:w="2257"/>
      </w:tblGrid>
      <w:tr w:rsidR="003F6128" w:rsidRPr="00D62A09" w14:paraId="4764A427" w14:textId="77777777" w:rsidTr="00173127">
        <w:trPr>
          <w:trHeight w:val="781"/>
        </w:trPr>
        <w:tc>
          <w:tcPr>
            <w:tcW w:w="3194" w:type="dxa"/>
            <w:tcBorders>
              <w:top w:val="single" w:sz="4" w:space="0" w:color="auto"/>
              <w:bottom w:val="single" w:sz="4" w:space="0" w:color="auto"/>
            </w:tcBorders>
            <w:vAlign w:val="center"/>
          </w:tcPr>
          <w:p w14:paraId="10BA66B9"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Variable</w:t>
            </w:r>
          </w:p>
        </w:tc>
        <w:tc>
          <w:tcPr>
            <w:tcW w:w="1276" w:type="dxa"/>
            <w:tcBorders>
              <w:top w:val="single" w:sz="4" w:space="0" w:color="auto"/>
              <w:bottom w:val="single" w:sz="4" w:space="0" w:color="auto"/>
            </w:tcBorders>
            <w:vAlign w:val="center"/>
          </w:tcPr>
          <w:p w14:paraId="5A037E94"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Number of Samples</w:t>
            </w:r>
          </w:p>
        </w:tc>
        <w:tc>
          <w:tcPr>
            <w:tcW w:w="1380" w:type="dxa"/>
            <w:tcBorders>
              <w:top w:val="single" w:sz="4" w:space="0" w:color="auto"/>
              <w:bottom w:val="single" w:sz="4" w:space="0" w:color="auto"/>
            </w:tcBorders>
            <w:vAlign w:val="center"/>
          </w:tcPr>
          <w:p w14:paraId="531BD68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Standard</w:t>
            </w:r>
          </w:p>
          <w:p w14:paraId="6E019597"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Deviation</w:t>
            </w:r>
          </w:p>
        </w:tc>
        <w:tc>
          <w:tcPr>
            <w:tcW w:w="1380" w:type="dxa"/>
            <w:tcBorders>
              <w:top w:val="single" w:sz="4" w:space="0" w:color="auto"/>
              <w:bottom w:val="single" w:sz="4" w:space="0" w:color="auto"/>
            </w:tcBorders>
            <w:vAlign w:val="center"/>
          </w:tcPr>
          <w:p w14:paraId="4DD4A390"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Mean</w:t>
            </w:r>
          </w:p>
        </w:tc>
        <w:tc>
          <w:tcPr>
            <w:tcW w:w="2257" w:type="dxa"/>
            <w:tcBorders>
              <w:top w:val="single" w:sz="4" w:space="0" w:color="auto"/>
              <w:bottom w:val="single" w:sz="4" w:space="0" w:color="auto"/>
            </w:tcBorders>
            <w:vAlign w:val="center"/>
          </w:tcPr>
          <w:p w14:paraId="71939FC1"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Descriptive Interpretation</w:t>
            </w:r>
          </w:p>
        </w:tc>
      </w:tr>
      <w:tr w:rsidR="003F6128" w:rsidRPr="00D62A09" w14:paraId="76C6B03F" w14:textId="77777777" w:rsidTr="00173127">
        <w:trPr>
          <w:trHeight w:val="521"/>
        </w:trPr>
        <w:tc>
          <w:tcPr>
            <w:tcW w:w="3194" w:type="dxa"/>
            <w:tcBorders>
              <w:top w:val="single" w:sz="4" w:space="0" w:color="auto"/>
            </w:tcBorders>
            <w:vAlign w:val="center"/>
          </w:tcPr>
          <w:p w14:paraId="7AFA3B84" w14:textId="77777777" w:rsidR="003F6128" w:rsidRPr="00D62A09" w:rsidRDefault="003F6128" w:rsidP="003F6128">
            <w:pPr>
              <w:pStyle w:val="NoSpacing"/>
              <w:numPr>
                <w:ilvl w:val="0"/>
                <w:numId w:val="6"/>
              </w:numPr>
              <w:jc w:val="center"/>
              <w:rPr>
                <w:rFonts w:ascii="Arial" w:hAnsi="Arial" w:cs="Arial"/>
                <w:b/>
                <w:bCs/>
                <w:sz w:val="24"/>
                <w:szCs w:val="24"/>
              </w:rPr>
            </w:pPr>
            <w:r w:rsidRPr="00D62A09">
              <w:rPr>
                <w:rFonts w:ascii="Arial" w:hAnsi="Arial" w:cs="Arial"/>
                <w:b/>
                <w:bCs/>
                <w:sz w:val="24"/>
                <w:szCs w:val="24"/>
              </w:rPr>
              <w:t>Sustainability Awareness</w:t>
            </w:r>
          </w:p>
        </w:tc>
        <w:tc>
          <w:tcPr>
            <w:tcW w:w="1276" w:type="dxa"/>
            <w:tcBorders>
              <w:top w:val="single" w:sz="4" w:space="0" w:color="auto"/>
            </w:tcBorders>
            <w:vAlign w:val="center"/>
          </w:tcPr>
          <w:p w14:paraId="6CCA1E80"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638</w:t>
            </w:r>
          </w:p>
        </w:tc>
        <w:tc>
          <w:tcPr>
            <w:tcW w:w="1380" w:type="dxa"/>
            <w:tcBorders>
              <w:top w:val="single" w:sz="4" w:space="0" w:color="auto"/>
            </w:tcBorders>
            <w:vAlign w:val="center"/>
          </w:tcPr>
          <w:p w14:paraId="210115E7"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0.520</w:t>
            </w:r>
          </w:p>
        </w:tc>
        <w:tc>
          <w:tcPr>
            <w:tcW w:w="1380" w:type="dxa"/>
            <w:tcBorders>
              <w:top w:val="single" w:sz="4" w:space="0" w:color="auto"/>
            </w:tcBorders>
            <w:vAlign w:val="center"/>
          </w:tcPr>
          <w:p w14:paraId="41B20D12"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3.39</w:t>
            </w:r>
          </w:p>
        </w:tc>
        <w:tc>
          <w:tcPr>
            <w:tcW w:w="2257" w:type="dxa"/>
            <w:tcBorders>
              <w:top w:val="single" w:sz="4" w:space="0" w:color="auto"/>
            </w:tcBorders>
            <w:vAlign w:val="center"/>
          </w:tcPr>
          <w:p w14:paraId="66AC3052"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Very High</w:t>
            </w:r>
          </w:p>
        </w:tc>
      </w:tr>
      <w:tr w:rsidR="003F6128" w:rsidRPr="00D62A09" w14:paraId="44C8DDD7" w14:textId="77777777" w:rsidTr="00173127">
        <w:trPr>
          <w:trHeight w:val="536"/>
        </w:trPr>
        <w:tc>
          <w:tcPr>
            <w:tcW w:w="3194" w:type="dxa"/>
          </w:tcPr>
          <w:p w14:paraId="3F6467C2" w14:textId="77777777" w:rsidR="003F6128" w:rsidRPr="00D62A09" w:rsidRDefault="003F6128" w:rsidP="003F6128">
            <w:pPr>
              <w:pStyle w:val="NoSpacing"/>
              <w:numPr>
                <w:ilvl w:val="1"/>
                <w:numId w:val="6"/>
              </w:numPr>
              <w:rPr>
                <w:rFonts w:ascii="Arial" w:hAnsi="Arial" w:cs="Arial"/>
                <w:i/>
                <w:iCs/>
                <w:sz w:val="24"/>
                <w:szCs w:val="24"/>
              </w:rPr>
            </w:pPr>
            <w:r w:rsidRPr="00D62A09">
              <w:rPr>
                <w:rFonts w:ascii="Arial" w:hAnsi="Arial" w:cs="Arial"/>
                <w:i/>
                <w:iCs/>
                <w:sz w:val="24"/>
                <w:szCs w:val="24"/>
              </w:rPr>
              <w:t xml:space="preserve">Knowledge on Sustainability </w:t>
            </w:r>
          </w:p>
        </w:tc>
        <w:tc>
          <w:tcPr>
            <w:tcW w:w="1276" w:type="dxa"/>
            <w:vAlign w:val="center"/>
          </w:tcPr>
          <w:p w14:paraId="09ED558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638</w:t>
            </w:r>
          </w:p>
        </w:tc>
        <w:tc>
          <w:tcPr>
            <w:tcW w:w="1380" w:type="dxa"/>
            <w:vAlign w:val="center"/>
          </w:tcPr>
          <w:p w14:paraId="70F69333"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0.538</w:t>
            </w:r>
          </w:p>
        </w:tc>
        <w:tc>
          <w:tcPr>
            <w:tcW w:w="1380" w:type="dxa"/>
            <w:vAlign w:val="center"/>
          </w:tcPr>
          <w:p w14:paraId="3E79FB19"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3.43</w:t>
            </w:r>
          </w:p>
        </w:tc>
        <w:tc>
          <w:tcPr>
            <w:tcW w:w="2257" w:type="dxa"/>
            <w:vAlign w:val="center"/>
          </w:tcPr>
          <w:p w14:paraId="68A2B363"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Very High</w:t>
            </w:r>
          </w:p>
        </w:tc>
      </w:tr>
      <w:tr w:rsidR="003F6128" w:rsidRPr="00D62A09" w14:paraId="163552D6" w14:textId="77777777" w:rsidTr="00173127">
        <w:trPr>
          <w:trHeight w:val="521"/>
        </w:trPr>
        <w:tc>
          <w:tcPr>
            <w:tcW w:w="3194" w:type="dxa"/>
          </w:tcPr>
          <w:p w14:paraId="68F36B20" w14:textId="77777777" w:rsidR="003F6128" w:rsidRPr="00D62A09" w:rsidRDefault="003F6128" w:rsidP="003F6128">
            <w:pPr>
              <w:pStyle w:val="NoSpacing"/>
              <w:numPr>
                <w:ilvl w:val="1"/>
                <w:numId w:val="6"/>
              </w:numPr>
              <w:rPr>
                <w:rFonts w:ascii="Arial" w:hAnsi="Arial" w:cs="Arial"/>
                <w:i/>
                <w:iCs/>
                <w:sz w:val="24"/>
                <w:szCs w:val="24"/>
              </w:rPr>
            </w:pPr>
            <w:r w:rsidRPr="00D62A09">
              <w:rPr>
                <w:rFonts w:ascii="Arial" w:hAnsi="Arial" w:cs="Arial"/>
                <w:i/>
                <w:iCs/>
                <w:sz w:val="24"/>
                <w:szCs w:val="24"/>
              </w:rPr>
              <w:t>Attitude on Sustainability</w:t>
            </w:r>
          </w:p>
        </w:tc>
        <w:tc>
          <w:tcPr>
            <w:tcW w:w="1276" w:type="dxa"/>
            <w:vAlign w:val="center"/>
          </w:tcPr>
          <w:p w14:paraId="5D61ABA6"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638</w:t>
            </w:r>
          </w:p>
        </w:tc>
        <w:tc>
          <w:tcPr>
            <w:tcW w:w="1380" w:type="dxa"/>
            <w:vAlign w:val="center"/>
          </w:tcPr>
          <w:p w14:paraId="0702F74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0.569</w:t>
            </w:r>
          </w:p>
        </w:tc>
        <w:tc>
          <w:tcPr>
            <w:tcW w:w="1380" w:type="dxa"/>
            <w:vAlign w:val="center"/>
          </w:tcPr>
          <w:p w14:paraId="17D4BE21"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3.35</w:t>
            </w:r>
          </w:p>
        </w:tc>
        <w:tc>
          <w:tcPr>
            <w:tcW w:w="2257" w:type="dxa"/>
            <w:vAlign w:val="center"/>
          </w:tcPr>
          <w:p w14:paraId="578EA3F8"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Very High</w:t>
            </w:r>
          </w:p>
        </w:tc>
      </w:tr>
      <w:tr w:rsidR="003F6128" w:rsidRPr="00D62A09" w14:paraId="07EE6ADC" w14:textId="77777777" w:rsidTr="00173127">
        <w:trPr>
          <w:trHeight w:val="521"/>
        </w:trPr>
        <w:tc>
          <w:tcPr>
            <w:tcW w:w="3194" w:type="dxa"/>
            <w:vAlign w:val="center"/>
          </w:tcPr>
          <w:p w14:paraId="16B7AB3E" w14:textId="77777777" w:rsidR="003F6128" w:rsidRPr="00D62A09" w:rsidRDefault="003F6128" w:rsidP="003F6128">
            <w:pPr>
              <w:pStyle w:val="NoSpacing"/>
              <w:numPr>
                <w:ilvl w:val="0"/>
                <w:numId w:val="6"/>
              </w:numPr>
              <w:jc w:val="center"/>
              <w:rPr>
                <w:rFonts w:ascii="Arial" w:hAnsi="Arial" w:cs="Arial"/>
                <w:b/>
                <w:bCs/>
                <w:sz w:val="24"/>
                <w:szCs w:val="24"/>
              </w:rPr>
            </w:pPr>
            <w:r w:rsidRPr="00D62A09">
              <w:rPr>
                <w:rFonts w:ascii="Arial" w:hAnsi="Arial" w:cs="Arial"/>
                <w:b/>
                <w:bCs/>
                <w:sz w:val="24"/>
                <w:szCs w:val="24"/>
              </w:rPr>
              <w:t>Environmental Attitudes</w:t>
            </w:r>
          </w:p>
        </w:tc>
        <w:tc>
          <w:tcPr>
            <w:tcW w:w="1276" w:type="dxa"/>
            <w:vAlign w:val="center"/>
          </w:tcPr>
          <w:p w14:paraId="1F3138A6"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638</w:t>
            </w:r>
          </w:p>
        </w:tc>
        <w:tc>
          <w:tcPr>
            <w:tcW w:w="1380" w:type="dxa"/>
            <w:vAlign w:val="center"/>
          </w:tcPr>
          <w:p w14:paraId="3E570AF3"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0.514</w:t>
            </w:r>
          </w:p>
        </w:tc>
        <w:tc>
          <w:tcPr>
            <w:tcW w:w="1380" w:type="dxa"/>
            <w:vAlign w:val="center"/>
          </w:tcPr>
          <w:p w14:paraId="2C4BF388"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3.38</w:t>
            </w:r>
          </w:p>
        </w:tc>
        <w:tc>
          <w:tcPr>
            <w:tcW w:w="2257" w:type="dxa"/>
            <w:vAlign w:val="center"/>
          </w:tcPr>
          <w:p w14:paraId="78CA676B"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Very High</w:t>
            </w:r>
          </w:p>
        </w:tc>
      </w:tr>
      <w:tr w:rsidR="003F6128" w:rsidRPr="00D62A09" w14:paraId="7F527B19" w14:textId="77777777" w:rsidTr="00173127">
        <w:trPr>
          <w:trHeight w:val="1057"/>
        </w:trPr>
        <w:tc>
          <w:tcPr>
            <w:tcW w:w="3194" w:type="dxa"/>
          </w:tcPr>
          <w:p w14:paraId="60863E7B" w14:textId="77777777" w:rsidR="003F6128" w:rsidRPr="00D62A09" w:rsidRDefault="003F6128" w:rsidP="003F6128">
            <w:pPr>
              <w:pStyle w:val="NoSpacing"/>
              <w:numPr>
                <w:ilvl w:val="1"/>
                <w:numId w:val="6"/>
              </w:numPr>
              <w:rPr>
                <w:rFonts w:ascii="Arial" w:hAnsi="Arial" w:cs="Arial"/>
                <w:i/>
                <w:iCs/>
                <w:sz w:val="24"/>
                <w:szCs w:val="24"/>
              </w:rPr>
            </w:pPr>
            <w:r w:rsidRPr="00D62A09">
              <w:rPr>
                <w:rFonts w:ascii="Arial" w:hAnsi="Arial" w:cs="Arial"/>
                <w:i/>
                <w:iCs/>
                <w:sz w:val="24"/>
                <w:szCs w:val="24"/>
              </w:rPr>
              <w:t>Support for Interventionist Conservation Policies</w:t>
            </w:r>
          </w:p>
        </w:tc>
        <w:tc>
          <w:tcPr>
            <w:tcW w:w="1276" w:type="dxa"/>
            <w:vAlign w:val="center"/>
          </w:tcPr>
          <w:p w14:paraId="1917D63E"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638</w:t>
            </w:r>
          </w:p>
        </w:tc>
        <w:tc>
          <w:tcPr>
            <w:tcW w:w="1380" w:type="dxa"/>
            <w:vAlign w:val="center"/>
          </w:tcPr>
          <w:p w14:paraId="4282CF08"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0.568</w:t>
            </w:r>
          </w:p>
        </w:tc>
        <w:tc>
          <w:tcPr>
            <w:tcW w:w="1380" w:type="dxa"/>
            <w:vAlign w:val="center"/>
          </w:tcPr>
          <w:p w14:paraId="2F4D3CD3"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3.43</w:t>
            </w:r>
          </w:p>
        </w:tc>
        <w:tc>
          <w:tcPr>
            <w:tcW w:w="2257" w:type="dxa"/>
            <w:vAlign w:val="center"/>
          </w:tcPr>
          <w:p w14:paraId="4123391A"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Very High</w:t>
            </w:r>
          </w:p>
        </w:tc>
      </w:tr>
      <w:tr w:rsidR="003F6128" w:rsidRPr="00D62A09" w14:paraId="7649D8CC" w14:textId="77777777" w:rsidTr="00173127">
        <w:trPr>
          <w:trHeight w:val="797"/>
        </w:trPr>
        <w:tc>
          <w:tcPr>
            <w:tcW w:w="3194" w:type="dxa"/>
          </w:tcPr>
          <w:p w14:paraId="1A497A6D" w14:textId="77777777" w:rsidR="003F6128" w:rsidRPr="00D62A09" w:rsidRDefault="003F6128" w:rsidP="003F6128">
            <w:pPr>
              <w:pStyle w:val="NoSpacing"/>
              <w:numPr>
                <w:ilvl w:val="1"/>
                <w:numId w:val="6"/>
              </w:numPr>
              <w:rPr>
                <w:rFonts w:ascii="Arial" w:hAnsi="Arial" w:cs="Arial"/>
                <w:i/>
                <w:iCs/>
                <w:sz w:val="24"/>
                <w:szCs w:val="24"/>
              </w:rPr>
            </w:pPr>
            <w:r w:rsidRPr="00D62A09">
              <w:rPr>
                <w:rFonts w:ascii="Arial" w:hAnsi="Arial" w:cs="Arial"/>
                <w:i/>
                <w:iCs/>
                <w:sz w:val="24"/>
                <w:szCs w:val="24"/>
              </w:rPr>
              <w:t>Environmental Movement Activist</w:t>
            </w:r>
          </w:p>
        </w:tc>
        <w:tc>
          <w:tcPr>
            <w:tcW w:w="1276" w:type="dxa"/>
            <w:vAlign w:val="center"/>
          </w:tcPr>
          <w:p w14:paraId="0FEA6352"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638</w:t>
            </w:r>
          </w:p>
        </w:tc>
        <w:tc>
          <w:tcPr>
            <w:tcW w:w="1380" w:type="dxa"/>
            <w:vAlign w:val="center"/>
          </w:tcPr>
          <w:p w14:paraId="2DF0EB5A"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0.584</w:t>
            </w:r>
          </w:p>
        </w:tc>
        <w:tc>
          <w:tcPr>
            <w:tcW w:w="1380" w:type="dxa"/>
            <w:vAlign w:val="center"/>
          </w:tcPr>
          <w:p w14:paraId="0E8195C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3.30</w:t>
            </w:r>
          </w:p>
        </w:tc>
        <w:tc>
          <w:tcPr>
            <w:tcW w:w="2257" w:type="dxa"/>
            <w:vAlign w:val="center"/>
          </w:tcPr>
          <w:p w14:paraId="1C5B5147"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Very High</w:t>
            </w:r>
          </w:p>
        </w:tc>
      </w:tr>
      <w:tr w:rsidR="003F6128" w:rsidRPr="00D62A09" w14:paraId="351AC116" w14:textId="77777777" w:rsidTr="00173127">
        <w:trPr>
          <w:trHeight w:val="1057"/>
        </w:trPr>
        <w:tc>
          <w:tcPr>
            <w:tcW w:w="3194" w:type="dxa"/>
          </w:tcPr>
          <w:p w14:paraId="0A0EF94E" w14:textId="77777777" w:rsidR="003F6128" w:rsidRPr="00D62A09" w:rsidRDefault="003F6128" w:rsidP="003F6128">
            <w:pPr>
              <w:pStyle w:val="NoSpacing"/>
              <w:numPr>
                <w:ilvl w:val="1"/>
                <w:numId w:val="6"/>
              </w:numPr>
              <w:rPr>
                <w:rFonts w:ascii="Arial" w:hAnsi="Arial" w:cs="Arial"/>
                <w:i/>
                <w:iCs/>
                <w:sz w:val="24"/>
                <w:szCs w:val="24"/>
              </w:rPr>
            </w:pPr>
            <w:r w:rsidRPr="00D62A09">
              <w:rPr>
                <w:rFonts w:ascii="Arial" w:hAnsi="Arial" w:cs="Arial"/>
                <w:i/>
                <w:iCs/>
                <w:sz w:val="24"/>
                <w:szCs w:val="24"/>
              </w:rPr>
              <w:t>Conservation Motivated by Anthropocentric Concern</w:t>
            </w:r>
          </w:p>
        </w:tc>
        <w:tc>
          <w:tcPr>
            <w:tcW w:w="1276" w:type="dxa"/>
            <w:vAlign w:val="center"/>
          </w:tcPr>
          <w:p w14:paraId="7B7EEE17"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638</w:t>
            </w:r>
          </w:p>
        </w:tc>
        <w:tc>
          <w:tcPr>
            <w:tcW w:w="1380" w:type="dxa"/>
            <w:vAlign w:val="center"/>
          </w:tcPr>
          <w:p w14:paraId="4F80D081"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0.575</w:t>
            </w:r>
          </w:p>
        </w:tc>
        <w:tc>
          <w:tcPr>
            <w:tcW w:w="1380" w:type="dxa"/>
            <w:vAlign w:val="center"/>
          </w:tcPr>
          <w:p w14:paraId="1BCBD149"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3.42</w:t>
            </w:r>
          </w:p>
        </w:tc>
        <w:tc>
          <w:tcPr>
            <w:tcW w:w="2257" w:type="dxa"/>
            <w:vAlign w:val="center"/>
          </w:tcPr>
          <w:p w14:paraId="7528B0FD"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Very High</w:t>
            </w:r>
          </w:p>
        </w:tc>
      </w:tr>
      <w:tr w:rsidR="003F6128" w:rsidRPr="00D62A09" w14:paraId="4D0E7465" w14:textId="77777777" w:rsidTr="00173127">
        <w:trPr>
          <w:trHeight w:val="521"/>
        </w:trPr>
        <w:tc>
          <w:tcPr>
            <w:tcW w:w="3194" w:type="dxa"/>
          </w:tcPr>
          <w:p w14:paraId="5E6E477A" w14:textId="77777777" w:rsidR="003F6128" w:rsidRPr="00D62A09" w:rsidRDefault="003F6128" w:rsidP="003F6128">
            <w:pPr>
              <w:pStyle w:val="NoSpacing"/>
              <w:numPr>
                <w:ilvl w:val="1"/>
                <w:numId w:val="6"/>
              </w:numPr>
              <w:rPr>
                <w:rFonts w:ascii="Arial" w:hAnsi="Arial" w:cs="Arial"/>
                <w:i/>
                <w:iCs/>
                <w:sz w:val="24"/>
                <w:szCs w:val="24"/>
              </w:rPr>
            </w:pPr>
            <w:r w:rsidRPr="00D62A09">
              <w:rPr>
                <w:rFonts w:ascii="Arial" w:hAnsi="Arial" w:cs="Arial"/>
                <w:i/>
                <w:iCs/>
                <w:sz w:val="24"/>
                <w:szCs w:val="24"/>
              </w:rPr>
              <w:t>Altering Nature</w:t>
            </w:r>
          </w:p>
        </w:tc>
        <w:tc>
          <w:tcPr>
            <w:tcW w:w="1276" w:type="dxa"/>
            <w:vAlign w:val="center"/>
          </w:tcPr>
          <w:p w14:paraId="47B8EF08"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638</w:t>
            </w:r>
          </w:p>
        </w:tc>
        <w:tc>
          <w:tcPr>
            <w:tcW w:w="1380" w:type="dxa"/>
            <w:vAlign w:val="center"/>
          </w:tcPr>
          <w:p w14:paraId="1CB6EC56"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0.581</w:t>
            </w:r>
          </w:p>
        </w:tc>
        <w:tc>
          <w:tcPr>
            <w:tcW w:w="1380" w:type="dxa"/>
            <w:vAlign w:val="center"/>
          </w:tcPr>
          <w:p w14:paraId="30955E5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3.36</w:t>
            </w:r>
          </w:p>
        </w:tc>
        <w:tc>
          <w:tcPr>
            <w:tcW w:w="2257" w:type="dxa"/>
            <w:vAlign w:val="center"/>
          </w:tcPr>
          <w:p w14:paraId="6D50BA78"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Very High</w:t>
            </w:r>
          </w:p>
        </w:tc>
      </w:tr>
      <w:tr w:rsidR="003F6128" w:rsidRPr="00D62A09" w14:paraId="43F62CCE" w14:textId="77777777" w:rsidTr="00173127">
        <w:trPr>
          <w:trHeight w:val="797"/>
        </w:trPr>
        <w:tc>
          <w:tcPr>
            <w:tcW w:w="3194" w:type="dxa"/>
          </w:tcPr>
          <w:p w14:paraId="3E9428A0" w14:textId="77777777" w:rsidR="003F6128" w:rsidRPr="00D62A09" w:rsidRDefault="003F6128" w:rsidP="003F6128">
            <w:pPr>
              <w:pStyle w:val="NoSpacing"/>
              <w:numPr>
                <w:ilvl w:val="1"/>
                <w:numId w:val="6"/>
              </w:numPr>
              <w:rPr>
                <w:rFonts w:ascii="Arial" w:hAnsi="Arial" w:cs="Arial"/>
                <w:i/>
                <w:iCs/>
                <w:sz w:val="24"/>
                <w:szCs w:val="24"/>
              </w:rPr>
            </w:pPr>
            <w:r w:rsidRPr="00D62A09">
              <w:rPr>
                <w:rFonts w:ascii="Arial" w:hAnsi="Arial" w:cs="Arial"/>
                <w:i/>
                <w:iCs/>
                <w:sz w:val="24"/>
                <w:szCs w:val="24"/>
              </w:rPr>
              <w:t>Personal Conservation Behavior</w:t>
            </w:r>
          </w:p>
        </w:tc>
        <w:tc>
          <w:tcPr>
            <w:tcW w:w="1276" w:type="dxa"/>
            <w:vAlign w:val="center"/>
          </w:tcPr>
          <w:p w14:paraId="54E7451C"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638</w:t>
            </w:r>
          </w:p>
        </w:tc>
        <w:tc>
          <w:tcPr>
            <w:tcW w:w="1380" w:type="dxa"/>
            <w:vAlign w:val="center"/>
          </w:tcPr>
          <w:p w14:paraId="47532BD9"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0.566</w:t>
            </w:r>
          </w:p>
        </w:tc>
        <w:tc>
          <w:tcPr>
            <w:tcW w:w="1380" w:type="dxa"/>
            <w:vAlign w:val="center"/>
          </w:tcPr>
          <w:p w14:paraId="5CC5F427"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3.41</w:t>
            </w:r>
          </w:p>
        </w:tc>
        <w:tc>
          <w:tcPr>
            <w:tcW w:w="2257" w:type="dxa"/>
            <w:vAlign w:val="center"/>
          </w:tcPr>
          <w:p w14:paraId="3134719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Very High</w:t>
            </w:r>
          </w:p>
        </w:tc>
      </w:tr>
      <w:tr w:rsidR="003F6128" w:rsidRPr="00D62A09" w14:paraId="434E6D46" w14:textId="77777777" w:rsidTr="00173127">
        <w:trPr>
          <w:trHeight w:val="521"/>
        </w:trPr>
        <w:tc>
          <w:tcPr>
            <w:tcW w:w="3194" w:type="dxa"/>
          </w:tcPr>
          <w:p w14:paraId="5621C635" w14:textId="77777777" w:rsidR="003F6128" w:rsidRPr="00D62A09" w:rsidRDefault="003F6128" w:rsidP="003F6128">
            <w:pPr>
              <w:pStyle w:val="NoSpacing"/>
              <w:numPr>
                <w:ilvl w:val="0"/>
                <w:numId w:val="6"/>
              </w:numPr>
              <w:rPr>
                <w:rFonts w:ascii="Arial" w:hAnsi="Arial" w:cs="Arial"/>
                <w:b/>
                <w:bCs/>
                <w:sz w:val="24"/>
                <w:szCs w:val="24"/>
              </w:rPr>
            </w:pPr>
            <w:r w:rsidRPr="00D62A09">
              <w:rPr>
                <w:rFonts w:ascii="Arial" w:hAnsi="Arial" w:cs="Arial"/>
                <w:b/>
                <w:bCs/>
                <w:sz w:val="24"/>
                <w:szCs w:val="24"/>
              </w:rPr>
              <w:t xml:space="preserve">Single-Use Plastic Reduction </w:t>
            </w:r>
          </w:p>
        </w:tc>
        <w:tc>
          <w:tcPr>
            <w:tcW w:w="1276" w:type="dxa"/>
            <w:vAlign w:val="center"/>
          </w:tcPr>
          <w:p w14:paraId="68BDC441"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638</w:t>
            </w:r>
          </w:p>
        </w:tc>
        <w:tc>
          <w:tcPr>
            <w:tcW w:w="1380" w:type="dxa"/>
            <w:vAlign w:val="center"/>
          </w:tcPr>
          <w:p w14:paraId="531EEC1F"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0.571</w:t>
            </w:r>
          </w:p>
        </w:tc>
        <w:tc>
          <w:tcPr>
            <w:tcW w:w="1380" w:type="dxa"/>
            <w:vAlign w:val="center"/>
          </w:tcPr>
          <w:p w14:paraId="64553A6D"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3.36</w:t>
            </w:r>
          </w:p>
        </w:tc>
        <w:tc>
          <w:tcPr>
            <w:tcW w:w="2257" w:type="dxa"/>
            <w:vAlign w:val="center"/>
          </w:tcPr>
          <w:p w14:paraId="34AF4748" w14:textId="77777777" w:rsidR="003F6128" w:rsidRPr="00D62A09" w:rsidRDefault="003F6128" w:rsidP="00173127">
            <w:pPr>
              <w:pStyle w:val="NoSpacing"/>
              <w:jc w:val="center"/>
              <w:rPr>
                <w:rFonts w:ascii="Arial" w:hAnsi="Arial" w:cs="Arial"/>
                <w:b/>
                <w:bCs/>
                <w:sz w:val="24"/>
                <w:szCs w:val="24"/>
              </w:rPr>
            </w:pPr>
            <w:r w:rsidRPr="00D62A09">
              <w:rPr>
                <w:rFonts w:ascii="Arial" w:hAnsi="Arial" w:cs="Arial"/>
                <w:b/>
                <w:bCs/>
                <w:sz w:val="24"/>
                <w:szCs w:val="24"/>
              </w:rPr>
              <w:t>Very High</w:t>
            </w:r>
          </w:p>
        </w:tc>
      </w:tr>
    </w:tbl>
    <w:p w14:paraId="555C3836" w14:textId="77777777" w:rsidR="003F6128" w:rsidRDefault="003F6128" w:rsidP="003F6128">
      <w:pPr>
        <w:widowControl w:val="0"/>
        <w:pBdr>
          <w:top w:val="nil"/>
          <w:left w:val="nil"/>
          <w:bottom w:val="nil"/>
          <w:right w:val="nil"/>
          <w:between w:val="nil"/>
        </w:pBdr>
        <w:spacing w:before="287" w:line="236" w:lineRule="auto"/>
        <w:ind w:right="179" w:firstLine="720"/>
        <w:jc w:val="both"/>
        <w:rPr>
          <w:rFonts w:eastAsia="Cambria"/>
          <w:color w:val="000000"/>
          <w:sz w:val="24"/>
          <w:szCs w:val="24"/>
          <w:lang w:val="en-PH"/>
        </w:rPr>
      </w:pPr>
      <w:r w:rsidRPr="003F6128">
        <w:rPr>
          <w:rFonts w:eastAsia="Cambria"/>
          <w:color w:val="000000"/>
          <w:sz w:val="24"/>
          <w:szCs w:val="24"/>
          <w:lang w:val="en-PH"/>
        </w:rPr>
        <w:t xml:space="preserve">Specifically, the table shows that the sustainability awareness variable had an overall mean of 3.39, indicating very high sustainability awareness. This indicates that respondents possess strong awareness and understanding of sustainability concepts. The standard deviation of 0.520, considered low, indicates relatively consistent </w:t>
      </w:r>
      <w:r w:rsidRPr="003F6128">
        <w:rPr>
          <w:rFonts w:eastAsia="Cambria"/>
          <w:color w:val="000000"/>
          <w:sz w:val="24"/>
          <w:szCs w:val="24"/>
          <w:lang w:val="en-PH"/>
        </w:rPr>
        <w:lastRenderedPageBreak/>
        <w:t>responses among respondents. Both indicators, knowledge and attitude, were interpreted as very high. Moreover, the environmental attitude variable had an overall mean of 3.38, indicating a very strong attitude toward environmental protection and conservation, suggesting that respondents favor it. The corresponding standard deviation of 0.514, which is considered low, indicates relatively consistent responses. All its sub-dimensions were also interpreted as strong. Furthermore, the single-use plastic reduction practices variable had a mean of 3.36, indicating very high and interpreted as always practiced. This indicates that respondents consistently engage in sustainable behaviors to reduce single-use plastic consumption. The corresponding standard deviation of 0.571, considered low, indicates relatively consistent responses among respondents.</w:t>
      </w:r>
    </w:p>
    <w:p w14:paraId="15AE51EE" w14:textId="7032510C" w:rsidR="007D3779" w:rsidRPr="00E933BD" w:rsidRDefault="007D3779" w:rsidP="003F6128">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sidRPr="00E933BD">
        <w:rPr>
          <w:rFonts w:eastAsia="Cambria"/>
          <w:b/>
          <w:bCs/>
          <w:i/>
          <w:iCs/>
          <w:color w:val="000000"/>
          <w:sz w:val="24"/>
          <w:szCs w:val="24"/>
          <w:lang w:val="en-PH"/>
        </w:rPr>
        <w:t>Correlation Results</w:t>
      </w:r>
    </w:p>
    <w:p w14:paraId="2558B79B" w14:textId="77777777" w:rsidR="003F6128" w:rsidRDefault="003F6128" w:rsidP="003F6128">
      <w:pPr>
        <w:widowControl w:val="0"/>
        <w:pBdr>
          <w:top w:val="nil"/>
          <w:left w:val="nil"/>
          <w:bottom w:val="nil"/>
          <w:right w:val="nil"/>
          <w:between w:val="nil"/>
        </w:pBdr>
        <w:spacing w:before="287" w:line="236" w:lineRule="auto"/>
        <w:ind w:left="5" w:right="179" w:firstLine="715"/>
        <w:jc w:val="both"/>
        <w:rPr>
          <w:rFonts w:eastAsia="Cambria"/>
          <w:color w:val="000000"/>
          <w:sz w:val="24"/>
          <w:szCs w:val="24"/>
          <w:lang w:val="en-PH"/>
        </w:rPr>
      </w:pPr>
      <w:r w:rsidRPr="003F6128">
        <w:rPr>
          <w:rFonts w:eastAsia="Cambria"/>
          <w:color w:val="000000"/>
          <w:sz w:val="24"/>
          <w:szCs w:val="24"/>
          <w:lang w:val="en-PH"/>
        </w:rPr>
        <w:t>Table 2 shows the relationships between sustainability awareness, environmental attitudes, and single-use plastic reduction, including the strength, direction, and significance of their correlations.</w:t>
      </w:r>
    </w:p>
    <w:p w14:paraId="533AA854" w14:textId="0C1CA7D3" w:rsidR="007D3779" w:rsidRPr="004034CE" w:rsidRDefault="007D3779" w:rsidP="007D3779">
      <w:pPr>
        <w:widowControl w:val="0"/>
        <w:pBdr>
          <w:top w:val="nil"/>
          <w:left w:val="nil"/>
          <w:bottom w:val="nil"/>
          <w:right w:val="nil"/>
          <w:between w:val="nil"/>
        </w:pBdr>
        <w:spacing w:before="287" w:line="236" w:lineRule="auto"/>
        <w:ind w:left="5" w:right="179"/>
        <w:jc w:val="both"/>
        <w:rPr>
          <w:rFonts w:eastAsia="Cambria"/>
          <w:b/>
          <w:bCs/>
          <w:color w:val="000000"/>
          <w:sz w:val="24"/>
          <w:szCs w:val="24"/>
          <w:lang w:val="en-PH"/>
        </w:rPr>
      </w:pPr>
      <w:r w:rsidRPr="004034CE">
        <w:rPr>
          <w:rFonts w:eastAsia="Cambria"/>
          <w:b/>
          <w:bCs/>
          <w:color w:val="000000"/>
          <w:sz w:val="24"/>
          <w:szCs w:val="24"/>
          <w:lang w:val="en-PH"/>
        </w:rPr>
        <w:t xml:space="preserve">Table 2: </w:t>
      </w:r>
      <w:r>
        <w:rPr>
          <w:rFonts w:eastAsia="Cambria"/>
          <w:b/>
          <w:bCs/>
          <w:color w:val="000000"/>
          <w:sz w:val="24"/>
          <w:szCs w:val="24"/>
          <w:lang w:val="en-PH"/>
        </w:rPr>
        <w:t xml:space="preserve">Correlation Table </w:t>
      </w:r>
      <w:r w:rsidRPr="00E933BD">
        <w:rPr>
          <w:rFonts w:eastAsia="Cambria"/>
          <w:b/>
          <w:bCs/>
          <w:color w:val="000000"/>
          <w:sz w:val="24"/>
          <w:szCs w:val="24"/>
          <w:lang w:val="en-PH"/>
        </w:rPr>
        <w:t>(N = 6</w:t>
      </w:r>
      <w:r w:rsidR="003F6128">
        <w:rPr>
          <w:rFonts w:eastAsia="Cambria"/>
          <w:b/>
          <w:bCs/>
          <w:color w:val="000000"/>
          <w:sz w:val="24"/>
          <w:szCs w:val="24"/>
          <w:lang w:val="en-PH"/>
        </w:rPr>
        <w:t>38</w:t>
      </w:r>
      <w:r w:rsidRPr="00E933BD">
        <w:rPr>
          <w:rFonts w:eastAsia="Cambria"/>
          <w:b/>
          <w:bCs/>
          <w:color w:val="000000"/>
          <w:sz w:val="24"/>
          <w:szCs w:val="24"/>
          <w:lang w:val="en-PH"/>
        </w:rPr>
        <w:t>)</w:t>
      </w:r>
    </w:p>
    <w:tbl>
      <w:tblPr>
        <w:tblStyle w:val="TableGrid"/>
        <w:tblW w:w="92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920"/>
        <w:gridCol w:w="1247"/>
        <w:gridCol w:w="1271"/>
        <w:gridCol w:w="2616"/>
      </w:tblGrid>
      <w:tr w:rsidR="003F6128" w:rsidRPr="00D62A09" w14:paraId="0D800093" w14:textId="77777777" w:rsidTr="00173127">
        <w:trPr>
          <w:trHeight w:val="546"/>
        </w:trPr>
        <w:tc>
          <w:tcPr>
            <w:tcW w:w="3227" w:type="dxa"/>
            <w:vMerge w:val="restart"/>
            <w:tcBorders>
              <w:top w:val="single" w:sz="4" w:space="0" w:color="auto"/>
              <w:bottom w:val="nil"/>
            </w:tcBorders>
            <w:vAlign w:val="center"/>
          </w:tcPr>
          <w:p w14:paraId="27A94011"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Variables</w:t>
            </w:r>
          </w:p>
        </w:tc>
        <w:tc>
          <w:tcPr>
            <w:tcW w:w="6054" w:type="dxa"/>
            <w:gridSpan w:val="4"/>
            <w:tcBorders>
              <w:top w:val="single" w:sz="4" w:space="0" w:color="auto"/>
              <w:bottom w:val="nil"/>
            </w:tcBorders>
          </w:tcPr>
          <w:p w14:paraId="230B8F2A"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Single-use plastic reduction practices</w:t>
            </w:r>
          </w:p>
        </w:tc>
      </w:tr>
      <w:tr w:rsidR="003F6128" w:rsidRPr="00D62A09" w14:paraId="48E3FEB2" w14:textId="77777777" w:rsidTr="00173127">
        <w:trPr>
          <w:trHeight w:val="546"/>
        </w:trPr>
        <w:tc>
          <w:tcPr>
            <w:tcW w:w="3227" w:type="dxa"/>
            <w:vMerge/>
            <w:tcBorders>
              <w:top w:val="nil"/>
              <w:bottom w:val="single" w:sz="4" w:space="0" w:color="auto"/>
            </w:tcBorders>
            <w:vAlign w:val="center"/>
          </w:tcPr>
          <w:p w14:paraId="02A2B15E" w14:textId="77777777" w:rsidR="003F6128" w:rsidRPr="00D62A09" w:rsidRDefault="003F6128" w:rsidP="00173127">
            <w:pPr>
              <w:pStyle w:val="NoSpacing"/>
              <w:jc w:val="center"/>
              <w:rPr>
                <w:rFonts w:ascii="Arial" w:hAnsi="Arial" w:cs="Arial"/>
                <w:sz w:val="24"/>
                <w:szCs w:val="24"/>
              </w:rPr>
            </w:pPr>
          </w:p>
        </w:tc>
        <w:tc>
          <w:tcPr>
            <w:tcW w:w="920" w:type="dxa"/>
            <w:tcBorders>
              <w:top w:val="nil"/>
              <w:bottom w:val="single" w:sz="4" w:space="0" w:color="auto"/>
            </w:tcBorders>
            <w:vAlign w:val="center"/>
          </w:tcPr>
          <w:p w14:paraId="367B0BD6" w14:textId="77777777" w:rsidR="003F6128" w:rsidRPr="00D62A09" w:rsidRDefault="003F6128" w:rsidP="00173127">
            <w:pPr>
              <w:pStyle w:val="NoSpacing"/>
              <w:jc w:val="center"/>
              <w:rPr>
                <w:rFonts w:ascii="Arial" w:hAnsi="Arial" w:cs="Arial"/>
                <w:sz w:val="24"/>
                <w:szCs w:val="24"/>
              </w:rPr>
            </w:pPr>
            <w:proofErr w:type="spellStart"/>
            <w:r w:rsidRPr="00D62A09">
              <w:rPr>
                <w:rFonts w:ascii="Arial" w:hAnsi="Arial" w:cs="Arial"/>
                <w:sz w:val="24"/>
                <w:szCs w:val="24"/>
              </w:rPr>
              <w:t>r-value</w:t>
            </w:r>
            <w:proofErr w:type="spellEnd"/>
          </w:p>
        </w:tc>
        <w:tc>
          <w:tcPr>
            <w:tcW w:w="1247" w:type="dxa"/>
            <w:tcBorders>
              <w:top w:val="nil"/>
              <w:bottom w:val="single" w:sz="4" w:space="0" w:color="auto"/>
            </w:tcBorders>
            <w:vAlign w:val="center"/>
          </w:tcPr>
          <w:p w14:paraId="2981DC6C"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p-value</w:t>
            </w:r>
          </w:p>
        </w:tc>
        <w:tc>
          <w:tcPr>
            <w:tcW w:w="1271" w:type="dxa"/>
            <w:tcBorders>
              <w:top w:val="nil"/>
              <w:bottom w:val="single" w:sz="4" w:space="0" w:color="auto"/>
            </w:tcBorders>
            <w:vAlign w:val="center"/>
          </w:tcPr>
          <w:p w14:paraId="75F1F73E"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 xml:space="preserve">Decision on </w:t>
            </w:r>
            <w:r w:rsidRPr="00D62A09">
              <w:rPr>
                <w:rFonts w:ascii="Arial" w:hAnsi="Arial" w:cs="Arial"/>
                <w:i/>
                <w:iCs/>
                <w:sz w:val="24"/>
                <w:szCs w:val="24"/>
              </w:rPr>
              <w:t>H</w:t>
            </w:r>
            <w:r w:rsidRPr="00D62A09">
              <w:rPr>
                <w:rFonts w:ascii="Arial" w:hAnsi="Arial" w:cs="Arial"/>
                <w:sz w:val="24"/>
                <w:szCs w:val="24"/>
                <w:vertAlign w:val="subscript"/>
              </w:rPr>
              <w:t>0</w:t>
            </w:r>
          </w:p>
        </w:tc>
        <w:tc>
          <w:tcPr>
            <w:tcW w:w="2616" w:type="dxa"/>
            <w:tcBorders>
              <w:top w:val="nil"/>
              <w:bottom w:val="single" w:sz="4" w:space="0" w:color="auto"/>
            </w:tcBorders>
            <w:vAlign w:val="center"/>
          </w:tcPr>
          <w:p w14:paraId="5EA707D2"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Interpretation</w:t>
            </w:r>
          </w:p>
        </w:tc>
      </w:tr>
      <w:tr w:rsidR="003F6128" w:rsidRPr="00D62A09" w14:paraId="038005DF" w14:textId="77777777" w:rsidTr="00173127">
        <w:trPr>
          <w:trHeight w:val="1107"/>
        </w:trPr>
        <w:tc>
          <w:tcPr>
            <w:tcW w:w="3227" w:type="dxa"/>
            <w:tcBorders>
              <w:top w:val="nil"/>
              <w:bottom w:val="nil"/>
            </w:tcBorders>
            <w:vAlign w:val="center"/>
          </w:tcPr>
          <w:p w14:paraId="6DAED2B8" w14:textId="77777777" w:rsidR="003F6128" w:rsidRPr="00D62A09" w:rsidRDefault="003F6128" w:rsidP="00173127">
            <w:pPr>
              <w:pStyle w:val="NoSpacing"/>
              <w:rPr>
                <w:rFonts w:ascii="Arial" w:hAnsi="Arial" w:cs="Arial"/>
                <w:sz w:val="24"/>
                <w:szCs w:val="24"/>
              </w:rPr>
            </w:pPr>
            <w:r w:rsidRPr="00D62A09">
              <w:rPr>
                <w:rFonts w:ascii="Arial" w:hAnsi="Arial" w:cs="Arial"/>
                <w:sz w:val="24"/>
                <w:szCs w:val="24"/>
              </w:rPr>
              <w:t>Sustainability Awareness</w:t>
            </w:r>
          </w:p>
        </w:tc>
        <w:tc>
          <w:tcPr>
            <w:tcW w:w="920" w:type="dxa"/>
            <w:tcBorders>
              <w:top w:val="nil"/>
              <w:bottom w:val="nil"/>
            </w:tcBorders>
            <w:vAlign w:val="center"/>
          </w:tcPr>
          <w:p w14:paraId="66D6D7CD"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0.697</w:t>
            </w:r>
          </w:p>
        </w:tc>
        <w:tc>
          <w:tcPr>
            <w:tcW w:w="1247" w:type="dxa"/>
            <w:tcBorders>
              <w:top w:val="nil"/>
              <w:bottom w:val="nil"/>
            </w:tcBorders>
            <w:vAlign w:val="center"/>
          </w:tcPr>
          <w:p w14:paraId="5B21B028"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0.000</w:t>
            </w:r>
          </w:p>
        </w:tc>
        <w:tc>
          <w:tcPr>
            <w:tcW w:w="1271" w:type="dxa"/>
            <w:tcBorders>
              <w:top w:val="nil"/>
              <w:bottom w:val="nil"/>
            </w:tcBorders>
            <w:vAlign w:val="center"/>
          </w:tcPr>
          <w:p w14:paraId="366FE2D2"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 xml:space="preserve">Reject </w:t>
            </w:r>
            <w:r w:rsidRPr="00D62A09">
              <w:rPr>
                <w:rFonts w:ascii="Arial" w:hAnsi="Arial" w:cs="Arial"/>
                <w:i/>
                <w:iCs/>
                <w:sz w:val="24"/>
                <w:szCs w:val="24"/>
              </w:rPr>
              <w:t>H</w:t>
            </w:r>
            <w:r w:rsidRPr="00D62A09">
              <w:rPr>
                <w:rFonts w:ascii="Arial" w:hAnsi="Arial" w:cs="Arial"/>
                <w:sz w:val="24"/>
                <w:szCs w:val="24"/>
              </w:rPr>
              <w:t>0</w:t>
            </w:r>
            <w:r w:rsidRPr="00D62A09">
              <w:rPr>
                <w:rFonts w:ascii="Arial" w:hAnsi="Arial" w:cs="Arial"/>
                <w:sz w:val="24"/>
                <w:szCs w:val="24"/>
                <w:vertAlign w:val="subscript"/>
              </w:rPr>
              <w:t>1</w:t>
            </w:r>
          </w:p>
        </w:tc>
        <w:tc>
          <w:tcPr>
            <w:tcW w:w="2616" w:type="dxa"/>
            <w:tcBorders>
              <w:top w:val="nil"/>
              <w:bottom w:val="nil"/>
            </w:tcBorders>
            <w:vAlign w:val="center"/>
          </w:tcPr>
          <w:p w14:paraId="7D5D6887"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Moderately High Positive, Significant Correlation</w:t>
            </w:r>
          </w:p>
        </w:tc>
      </w:tr>
      <w:tr w:rsidR="003F6128" w:rsidRPr="00D62A09" w14:paraId="4E54549E" w14:textId="77777777" w:rsidTr="00173127">
        <w:trPr>
          <w:trHeight w:val="626"/>
        </w:trPr>
        <w:tc>
          <w:tcPr>
            <w:tcW w:w="3227" w:type="dxa"/>
            <w:tcBorders>
              <w:top w:val="nil"/>
              <w:bottom w:val="single" w:sz="4" w:space="0" w:color="auto"/>
            </w:tcBorders>
            <w:vAlign w:val="center"/>
          </w:tcPr>
          <w:p w14:paraId="616DF52E" w14:textId="77777777" w:rsidR="003F6128" w:rsidRPr="00D62A09" w:rsidRDefault="003F6128" w:rsidP="00173127">
            <w:pPr>
              <w:pStyle w:val="NoSpacing"/>
              <w:rPr>
                <w:rFonts w:ascii="Arial" w:hAnsi="Arial" w:cs="Arial"/>
                <w:sz w:val="24"/>
                <w:szCs w:val="24"/>
              </w:rPr>
            </w:pPr>
            <w:r w:rsidRPr="00D62A09">
              <w:rPr>
                <w:rFonts w:ascii="Arial" w:hAnsi="Arial" w:cs="Arial"/>
                <w:sz w:val="24"/>
                <w:szCs w:val="24"/>
              </w:rPr>
              <w:t>Environmental Attitudes</w:t>
            </w:r>
          </w:p>
        </w:tc>
        <w:tc>
          <w:tcPr>
            <w:tcW w:w="920" w:type="dxa"/>
            <w:tcBorders>
              <w:top w:val="nil"/>
              <w:bottom w:val="single" w:sz="4" w:space="0" w:color="auto"/>
            </w:tcBorders>
            <w:vAlign w:val="center"/>
          </w:tcPr>
          <w:p w14:paraId="5263D641"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0.768</w:t>
            </w:r>
          </w:p>
        </w:tc>
        <w:tc>
          <w:tcPr>
            <w:tcW w:w="1247" w:type="dxa"/>
            <w:tcBorders>
              <w:top w:val="nil"/>
              <w:bottom w:val="single" w:sz="4" w:space="0" w:color="auto"/>
            </w:tcBorders>
            <w:vAlign w:val="center"/>
          </w:tcPr>
          <w:p w14:paraId="5B1F4EB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0.000</w:t>
            </w:r>
          </w:p>
        </w:tc>
        <w:tc>
          <w:tcPr>
            <w:tcW w:w="1271" w:type="dxa"/>
            <w:tcBorders>
              <w:top w:val="nil"/>
              <w:bottom w:val="single" w:sz="4" w:space="0" w:color="auto"/>
            </w:tcBorders>
            <w:vAlign w:val="center"/>
          </w:tcPr>
          <w:p w14:paraId="5B1B6073"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 xml:space="preserve">Reject </w:t>
            </w:r>
            <w:r w:rsidRPr="00D62A09">
              <w:rPr>
                <w:rFonts w:ascii="Arial" w:hAnsi="Arial" w:cs="Arial"/>
                <w:i/>
                <w:iCs/>
                <w:sz w:val="24"/>
                <w:szCs w:val="24"/>
              </w:rPr>
              <w:t>H</w:t>
            </w:r>
            <w:r w:rsidRPr="00D62A09">
              <w:rPr>
                <w:rFonts w:ascii="Arial" w:hAnsi="Arial" w:cs="Arial"/>
                <w:sz w:val="24"/>
                <w:szCs w:val="24"/>
              </w:rPr>
              <w:t>0</w:t>
            </w:r>
            <w:r w:rsidRPr="00D62A09">
              <w:rPr>
                <w:rFonts w:ascii="Arial" w:hAnsi="Arial" w:cs="Arial"/>
                <w:sz w:val="24"/>
                <w:szCs w:val="24"/>
                <w:vertAlign w:val="subscript"/>
              </w:rPr>
              <w:t>1</w:t>
            </w:r>
          </w:p>
        </w:tc>
        <w:tc>
          <w:tcPr>
            <w:tcW w:w="2616" w:type="dxa"/>
            <w:tcBorders>
              <w:top w:val="nil"/>
              <w:bottom w:val="single" w:sz="4" w:space="0" w:color="auto"/>
            </w:tcBorders>
            <w:vAlign w:val="center"/>
          </w:tcPr>
          <w:p w14:paraId="44500ECB"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High Positive, Significant Correlation</w:t>
            </w:r>
          </w:p>
        </w:tc>
      </w:tr>
    </w:tbl>
    <w:p w14:paraId="50CB708A" w14:textId="59CCD55B" w:rsidR="003F6128" w:rsidRPr="003F6128" w:rsidRDefault="003F6128" w:rsidP="003F6128">
      <w:pPr>
        <w:widowControl w:val="0"/>
        <w:pBdr>
          <w:top w:val="nil"/>
          <w:left w:val="nil"/>
          <w:bottom w:val="nil"/>
          <w:right w:val="nil"/>
          <w:between w:val="nil"/>
        </w:pBdr>
        <w:spacing w:line="236" w:lineRule="auto"/>
        <w:ind w:right="179"/>
        <w:jc w:val="both"/>
        <w:rPr>
          <w:rFonts w:eastAsia="Cambria"/>
          <w:color w:val="000000"/>
          <w:sz w:val="24"/>
          <w:szCs w:val="24"/>
          <w:lang w:val="en-PH"/>
        </w:rPr>
      </w:pPr>
      <w:r w:rsidRPr="003F6128">
        <w:rPr>
          <w:rFonts w:eastAsia="Cambria"/>
          <w:color w:val="000000"/>
          <w:sz w:val="24"/>
          <w:szCs w:val="24"/>
          <w:lang w:val="en-PH"/>
        </w:rPr>
        <w:t>Level of Significance: 0.05, Decision Rule: Reject H</w:t>
      </w:r>
      <w:r w:rsidRPr="003F6128">
        <w:rPr>
          <w:rFonts w:ascii="Cambria Math" w:eastAsia="Cambria" w:hAnsi="Cambria Math" w:cs="Cambria Math"/>
          <w:color w:val="000000"/>
          <w:sz w:val="24"/>
          <w:szCs w:val="24"/>
          <w:lang w:val="en-PH"/>
        </w:rPr>
        <w:t>₀</w:t>
      </w:r>
      <w:r w:rsidRPr="003F6128">
        <w:rPr>
          <w:rFonts w:eastAsia="Cambria"/>
          <w:color w:val="000000"/>
          <w:sz w:val="24"/>
          <w:szCs w:val="24"/>
          <w:lang w:val="en-PH"/>
        </w:rPr>
        <w:t xml:space="preserve"> if p &lt; 0.05</w:t>
      </w:r>
    </w:p>
    <w:p w14:paraId="7B56C8F1" w14:textId="77777777" w:rsidR="003F6128" w:rsidRDefault="003F6128" w:rsidP="003F6128">
      <w:pPr>
        <w:widowControl w:val="0"/>
        <w:pBdr>
          <w:top w:val="nil"/>
          <w:left w:val="nil"/>
          <w:bottom w:val="nil"/>
          <w:right w:val="nil"/>
          <w:between w:val="nil"/>
        </w:pBdr>
        <w:spacing w:before="287" w:line="236" w:lineRule="auto"/>
        <w:ind w:right="179" w:firstLine="720"/>
        <w:jc w:val="both"/>
        <w:rPr>
          <w:rFonts w:eastAsia="Cambria"/>
          <w:color w:val="000000"/>
          <w:sz w:val="24"/>
          <w:szCs w:val="24"/>
          <w:lang w:val="en-PH"/>
        </w:rPr>
      </w:pPr>
      <w:r w:rsidRPr="003F6128">
        <w:rPr>
          <w:rFonts w:eastAsia="Cambria"/>
          <w:color w:val="000000"/>
          <w:sz w:val="24"/>
          <w:szCs w:val="24"/>
          <w:lang w:val="en-PH"/>
        </w:rPr>
        <w:t xml:space="preserve">Specifically, this table shows that sustainability awareness is moderately to highly correlated with single-use plastic reduction (p-value = 0.000), which is lower than the 0.05 level of significance; hence, the null hypothesis is rejected. The </w:t>
      </w:r>
      <w:proofErr w:type="spellStart"/>
      <w:r w:rsidRPr="003F6128">
        <w:rPr>
          <w:rFonts w:eastAsia="Cambria"/>
          <w:color w:val="000000"/>
          <w:sz w:val="24"/>
          <w:szCs w:val="24"/>
          <w:lang w:val="en-PH"/>
        </w:rPr>
        <w:t>r-value</w:t>
      </w:r>
      <w:proofErr w:type="spellEnd"/>
      <w:r w:rsidRPr="003F6128">
        <w:rPr>
          <w:rFonts w:eastAsia="Cambria"/>
          <w:color w:val="000000"/>
          <w:sz w:val="24"/>
          <w:szCs w:val="24"/>
          <w:lang w:val="en-PH"/>
        </w:rPr>
        <w:t xml:space="preserve"> of 0.697 shows a moderately high positive correlation. This implies that for every unit change in sustainability awareness, there is a corresponding unit change in the single-use plastic reduction practices. Similarly, the correlation between environmental attitude and single-use plastic reduction practice variables yielded a p-value of 0.000, which is lower than the 0.05 level of significance; hence, the null hypothesis is rejected, indicating that the correlation is statistically significant. The </w:t>
      </w:r>
      <w:proofErr w:type="spellStart"/>
      <w:r w:rsidRPr="003F6128">
        <w:rPr>
          <w:rFonts w:eastAsia="Cambria"/>
          <w:color w:val="000000"/>
          <w:sz w:val="24"/>
          <w:szCs w:val="24"/>
          <w:lang w:val="en-PH"/>
        </w:rPr>
        <w:t>r-value</w:t>
      </w:r>
      <w:proofErr w:type="spellEnd"/>
      <w:r w:rsidRPr="003F6128">
        <w:rPr>
          <w:rFonts w:eastAsia="Cambria"/>
          <w:color w:val="000000"/>
          <w:sz w:val="24"/>
          <w:szCs w:val="24"/>
          <w:lang w:val="en-PH"/>
        </w:rPr>
        <w:t xml:space="preserve"> of 0.768 indicates a strong positive correlation between environmental attitudes and single-use plastic reduction practices. This implies that in every unit change in environmental attitude, there is a corresponding unit change in the single-use plastic reduction practices.</w:t>
      </w:r>
      <w:r>
        <w:rPr>
          <w:rFonts w:eastAsia="Cambria"/>
          <w:color w:val="000000"/>
          <w:sz w:val="24"/>
          <w:szCs w:val="24"/>
          <w:lang w:val="en-PH"/>
        </w:rPr>
        <w:tab/>
      </w:r>
    </w:p>
    <w:p w14:paraId="64D5A8FB" w14:textId="77777777" w:rsidR="003F6128" w:rsidRDefault="003F6128"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p>
    <w:p w14:paraId="744697B3" w14:textId="2E6C072A" w:rsidR="007D3779" w:rsidRPr="00E933BD" w:rsidRDefault="003F6128"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Pr>
          <w:rFonts w:eastAsia="Cambria"/>
          <w:b/>
          <w:bCs/>
          <w:i/>
          <w:iCs/>
          <w:color w:val="000000"/>
          <w:sz w:val="24"/>
          <w:szCs w:val="24"/>
          <w:lang w:val="en-PH"/>
        </w:rPr>
        <w:lastRenderedPageBreak/>
        <w:t>Mediation</w:t>
      </w:r>
      <w:r w:rsidR="007D3779" w:rsidRPr="00E933BD">
        <w:rPr>
          <w:rFonts w:eastAsia="Cambria"/>
          <w:b/>
          <w:bCs/>
          <w:i/>
          <w:iCs/>
          <w:color w:val="000000"/>
          <w:sz w:val="24"/>
          <w:szCs w:val="24"/>
          <w:lang w:val="en-PH"/>
        </w:rPr>
        <w:t xml:space="preserve"> Results</w:t>
      </w:r>
    </w:p>
    <w:p w14:paraId="591F583F" w14:textId="77777777" w:rsidR="003F6128" w:rsidRDefault="003F6128" w:rsidP="003F6128">
      <w:pPr>
        <w:widowControl w:val="0"/>
        <w:pBdr>
          <w:top w:val="nil"/>
          <w:left w:val="nil"/>
          <w:bottom w:val="nil"/>
          <w:right w:val="nil"/>
          <w:between w:val="nil"/>
        </w:pBdr>
        <w:spacing w:before="287" w:line="236" w:lineRule="auto"/>
        <w:ind w:right="179" w:firstLine="720"/>
        <w:jc w:val="both"/>
        <w:rPr>
          <w:rFonts w:eastAsia="Cambria"/>
          <w:color w:val="000000"/>
          <w:sz w:val="24"/>
          <w:szCs w:val="24"/>
          <w:lang w:val="en-PH"/>
        </w:rPr>
      </w:pPr>
      <w:r w:rsidRPr="003F6128">
        <w:rPr>
          <w:rFonts w:eastAsia="Cambria"/>
          <w:color w:val="000000"/>
          <w:sz w:val="24"/>
          <w:szCs w:val="24"/>
          <w:lang w:val="en-PH"/>
        </w:rPr>
        <w:t>Table 3 reports the mediation analysis examining whether environmental attitudes significantly mediate the effect of sustainability awareness on single-use plastic reduction, including direct, indirect, and total effects.</w:t>
      </w:r>
    </w:p>
    <w:p w14:paraId="70784023" w14:textId="4DCD0044" w:rsidR="007D3779" w:rsidRPr="00AE3536" w:rsidRDefault="003F6128" w:rsidP="00AE3536">
      <w:pPr>
        <w:widowControl w:val="0"/>
        <w:pBdr>
          <w:top w:val="nil"/>
          <w:left w:val="nil"/>
          <w:bottom w:val="nil"/>
          <w:right w:val="nil"/>
          <w:between w:val="nil"/>
        </w:pBdr>
        <w:spacing w:before="287" w:line="236" w:lineRule="auto"/>
        <w:ind w:right="179"/>
        <w:jc w:val="both"/>
        <w:rPr>
          <w:rFonts w:eastAsia="Cambria"/>
          <w:b/>
          <w:bCs/>
          <w:color w:val="000000"/>
          <w:lang w:val="en-PH"/>
        </w:rPr>
      </w:pPr>
      <w:r w:rsidRPr="003F6128">
        <w:rPr>
          <w:rFonts w:eastAsia="Cambria"/>
          <w:b/>
          <w:bCs/>
          <w:color w:val="000000"/>
          <w:sz w:val="24"/>
          <w:szCs w:val="24"/>
          <w:lang w:val="en-PH"/>
        </w:rPr>
        <w:t>Table 3. Mediation Table (n = 638)</w:t>
      </w:r>
    </w:p>
    <w:tbl>
      <w:tblPr>
        <w:tblStyle w:val="TableGrid"/>
        <w:tblW w:w="9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800"/>
        <w:gridCol w:w="895"/>
        <w:gridCol w:w="905"/>
        <w:gridCol w:w="990"/>
        <w:gridCol w:w="851"/>
        <w:gridCol w:w="1219"/>
        <w:gridCol w:w="1710"/>
      </w:tblGrid>
      <w:tr w:rsidR="003F6128" w:rsidRPr="00D62A09" w14:paraId="632AC3E7" w14:textId="77777777" w:rsidTr="00173127">
        <w:tc>
          <w:tcPr>
            <w:tcW w:w="1080" w:type="dxa"/>
            <w:tcBorders>
              <w:top w:val="single" w:sz="4" w:space="0" w:color="auto"/>
              <w:bottom w:val="single" w:sz="4" w:space="0" w:color="auto"/>
            </w:tcBorders>
            <w:vAlign w:val="center"/>
          </w:tcPr>
          <w:p w14:paraId="0213399E"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Legend</w:t>
            </w:r>
          </w:p>
        </w:tc>
        <w:tc>
          <w:tcPr>
            <w:tcW w:w="1800" w:type="dxa"/>
            <w:tcBorders>
              <w:top w:val="single" w:sz="4" w:space="0" w:color="auto"/>
              <w:bottom w:val="single" w:sz="4" w:space="0" w:color="auto"/>
            </w:tcBorders>
            <w:vAlign w:val="center"/>
          </w:tcPr>
          <w:p w14:paraId="3696029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Path/Effect</w:t>
            </w:r>
          </w:p>
        </w:tc>
        <w:tc>
          <w:tcPr>
            <w:tcW w:w="895" w:type="dxa"/>
            <w:tcBorders>
              <w:top w:val="single" w:sz="4" w:space="0" w:color="auto"/>
              <w:bottom w:val="single" w:sz="4" w:space="0" w:color="auto"/>
            </w:tcBorders>
            <w:vAlign w:val="center"/>
          </w:tcPr>
          <w:p w14:paraId="33EDD55A"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Estimate (B)</w:t>
            </w:r>
          </w:p>
        </w:tc>
        <w:tc>
          <w:tcPr>
            <w:tcW w:w="905" w:type="dxa"/>
            <w:tcBorders>
              <w:top w:val="single" w:sz="4" w:space="0" w:color="auto"/>
              <w:bottom w:val="single" w:sz="4" w:space="0" w:color="auto"/>
            </w:tcBorders>
            <w:vAlign w:val="center"/>
          </w:tcPr>
          <w:p w14:paraId="461EADDE"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SE</w:t>
            </w:r>
          </w:p>
        </w:tc>
        <w:tc>
          <w:tcPr>
            <w:tcW w:w="990" w:type="dxa"/>
            <w:tcBorders>
              <w:top w:val="single" w:sz="4" w:space="0" w:color="auto"/>
              <w:bottom w:val="single" w:sz="4" w:space="0" w:color="auto"/>
            </w:tcBorders>
            <w:vAlign w:val="center"/>
          </w:tcPr>
          <w:p w14:paraId="22010520"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z-value</w:t>
            </w:r>
          </w:p>
        </w:tc>
        <w:tc>
          <w:tcPr>
            <w:tcW w:w="851" w:type="dxa"/>
            <w:tcBorders>
              <w:top w:val="single" w:sz="4" w:space="0" w:color="auto"/>
              <w:bottom w:val="single" w:sz="4" w:space="0" w:color="auto"/>
            </w:tcBorders>
            <w:vAlign w:val="center"/>
          </w:tcPr>
          <w:p w14:paraId="1C2E708C"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p-value</w:t>
            </w:r>
          </w:p>
        </w:tc>
        <w:tc>
          <w:tcPr>
            <w:tcW w:w="1219" w:type="dxa"/>
            <w:tcBorders>
              <w:top w:val="single" w:sz="4" w:space="0" w:color="auto"/>
              <w:bottom w:val="single" w:sz="4" w:space="0" w:color="auto"/>
            </w:tcBorders>
            <w:vAlign w:val="center"/>
          </w:tcPr>
          <w:p w14:paraId="3CA06F1F"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 xml:space="preserve">Decision on </w:t>
            </w:r>
            <w:r w:rsidRPr="00D62A09">
              <w:rPr>
                <w:rFonts w:ascii="Arial" w:hAnsi="Arial" w:cs="Arial"/>
                <w:i/>
                <w:iCs/>
                <w:sz w:val="24"/>
                <w:szCs w:val="24"/>
              </w:rPr>
              <w:t>H</w:t>
            </w:r>
            <w:r w:rsidRPr="00D62A09">
              <w:rPr>
                <w:rFonts w:ascii="Arial" w:hAnsi="Arial" w:cs="Arial"/>
                <w:sz w:val="24"/>
                <w:szCs w:val="24"/>
                <w:vertAlign w:val="subscript"/>
              </w:rPr>
              <w:t>0</w:t>
            </w:r>
          </w:p>
        </w:tc>
        <w:tc>
          <w:tcPr>
            <w:tcW w:w="1710" w:type="dxa"/>
            <w:tcBorders>
              <w:top w:val="single" w:sz="4" w:space="0" w:color="auto"/>
              <w:bottom w:val="single" w:sz="4" w:space="0" w:color="auto"/>
            </w:tcBorders>
            <w:vAlign w:val="center"/>
          </w:tcPr>
          <w:p w14:paraId="71D3BDF1"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Interpretation</w:t>
            </w:r>
          </w:p>
        </w:tc>
      </w:tr>
      <w:tr w:rsidR="003F6128" w:rsidRPr="00D62A09" w14:paraId="055F72B5" w14:textId="77777777" w:rsidTr="00173127">
        <w:tc>
          <w:tcPr>
            <w:tcW w:w="1080" w:type="dxa"/>
            <w:tcBorders>
              <w:top w:val="single" w:sz="4" w:space="0" w:color="auto"/>
            </w:tcBorders>
            <w:vAlign w:val="center"/>
          </w:tcPr>
          <w:p w14:paraId="7AAA70C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A</w:t>
            </w:r>
          </w:p>
        </w:tc>
        <w:tc>
          <w:tcPr>
            <w:tcW w:w="1800" w:type="dxa"/>
            <w:tcBorders>
              <w:top w:val="single" w:sz="4" w:space="0" w:color="auto"/>
            </w:tcBorders>
            <w:vAlign w:val="center"/>
          </w:tcPr>
          <w:p w14:paraId="77B53F6E"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Sustainability Awareness → Environmental Attitudes</w:t>
            </w:r>
          </w:p>
        </w:tc>
        <w:tc>
          <w:tcPr>
            <w:tcW w:w="895" w:type="dxa"/>
            <w:tcBorders>
              <w:top w:val="single" w:sz="4" w:space="0" w:color="auto"/>
            </w:tcBorders>
            <w:vAlign w:val="center"/>
          </w:tcPr>
          <w:p w14:paraId="7F4F678D"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1.680</w:t>
            </w:r>
          </w:p>
        </w:tc>
        <w:tc>
          <w:tcPr>
            <w:tcW w:w="905" w:type="dxa"/>
            <w:tcBorders>
              <w:top w:val="single" w:sz="4" w:space="0" w:color="auto"/>
            </w:tcBorders>
            <w:vAlign w:val="center"/>
          </w:tcPr>
          <w:p w14:paraId="24449186"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0.037</w:t>
            </w:r>
          </w:p>
        </w:tc>
        <w:tc>
          <w:tcPr>
            <w:tcW w:w="990" w:type="dxa"/>
            <w:tcBorders>
              <w:top w:val="single" w:sz="4" w:space="0" w:color="auto"/>
            </w:tcBorders>
            <w:vAlign w:val="center"/>
          </w:tcPr>
          <w:p w14:paraId="758F7A8C"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45.408</w:t>
            </w:r>
          </w:p>
        </w:tc>
        <w:tc>
          <w:tcPr>
            <w:tcW w:w="851" w:type="dxa"/>
            <w:tcBorders>
              <w:top w:val="single" w:sz="4" w:space="0" w:color="auto"/>
            </w:tcBorders>
            <w:vAlign w:val="center"/>
          </w:tcPr>
          <w:p w14:paraId="1C5D47E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0.000</w:t>
            </w:r>
          </w:p>
        </w:tc>
        <w:tc>
          <w:tcPr>
            <w:tcW w:w="1219" w:type="dxa"/>
            <w:tcBorders>
              <w:top w:val="single" w:sz="4" w:space="0" w:color="auto"/>
            </w:tcBorders>
            <w:vAlign w:val="center"/>
          </w:tcPr>
          <w:p w14:paraId="419BD98F"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Reject</w:t>
            </w:r>
          </w:p>
        </w:tc>
        <w:tc>
          <w:tcPr>
            <w:tcW w:w="1710" w:type="dxa"/>
            <w:tcBorders>
              <w:top w:val="single" w:sz="4" w:space="0" w:color="auto"/>
            </w:tcBorders>
            <w:vAlign w:val="center"/>
          </w:tcPr>
          <w:p w14:paraId="12F613BA"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Significant</w:t>
            </w:r>
          </w:p>
        </w:tc>
      </w:tr>
      <w:tr w:rsidR="003F6128" w:rsidRPr="00D62A09" w14:paraId="3E349D50" w14:textId="77777777" w:rsidTr="00173127">
        <w:tc>
          <w:tcPr>
            <w:tcW w:w="1080" w:type="dxa"/>
            <w:vAlign w:val="center"/>
          </w:tcPr>
          <w:p w14:paraId="39C03CB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B</w:t>
            </w:r>
          </w:p>
        </w:tc>
        <w:tc>
          <w:tcPr>
            <w:tcW w:w="1800" w:type="dxa"/>
            <w:vAlign w:val="center"/>
          </w:tcPr>
          <w:p w14:paraId="1EE5B303"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Environmental Attitudes → Single-Use Plastic Reduction</w:t>
            </w:r>
          </w:p>
        </w:tc>
        <w:tc>
          <w:tcPr>
            <w:tcW w:w="895" w:type="dxa"/>
            <w:vAlign w:val="center"/>
          </w:tcPr>
          <w:p w14:paraId="6D1149F6"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0.671</w:t>
            </w:r>
          </w:p>
        </w:tc>
        <w:tc>
          <w:tcPr>
            <w:tcW w:w="905" w:type="dxa"/>
            <w:vAlign w:val="center"/>
          </w:tcPr>
          <w:p w14:paraId="4B4F545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0.052</w:t>
            </w:r>
          </w:p>
        </w:tc>
        <w:tc>
          <w:tcPr>
            <w:tcW w:w="990" w:type="dxa"/>
            <w:vAlign w:val="center"/>
          </w:tcPr>
          <w:p w14:paraId="3D63255C"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12.903</w:t>
            </w:r>
          </w:p>
        </w:tc>
        <w:tc>
          <w:tcPr>
            <w:tcW w:w="851" w:type="dxa"/>
            <w:vAlign w:val="center"/>
          </w:tcPr>
          <w:p w14:paraId="1F9D0427"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0.000</w:t>
            </w:r>
          </w:p>
        </w:tc>
        <w:tc>
          <w:tcPr>
            <w:tcW w:w="1219" w:type="dxa"/>
            <w:vAlign w:val="center"/>
          </w:tcPr>
          <w:p w14:paraId="65B51BD1"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Reject</w:t>
            </w:r>
          </w:p>
        </w:tc>
        <w:tc>
          <w:tcPr>
            <w:tcW w:w="1710" w:type="dxa"/>
            <w:vAlign w:val="center"/>
          </w:tcPr>
          <w:p w14:paraId="6FF8FDFC"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Significant</w:t>
            </w:r>
          </w:p>
        </w:tc>
      </w:tr>
      <w:tr w:rsidR="003F6128" w:rsidRPr="00D62A09" w14:paraId="168D4D46" w14:textId="77777777" w:rsidTr="00173127">
        <w:tc>
          <w:tcPr>
            <w:tcW w:w="1080" w:type="dxa"/>
            <w:vAlign w:val="center"/>
          </w:tcPr>
          <w:p w14:paraId="0383EE24"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C</w:t>
            </w:r>
          </w:p>
        </w:tc>
        <w:tc>
          <w:tcPr>
            <w:tcW w:w="1800" w:type="dxa"/>
            <w:vAlign w:val="center"/>
          </w:tcPr>
          <w:p w14:paraId="77539A04"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Sustainability Awareness → Single-Use Plastic Reduction</w:t>
            </w:r>
          </w:p>
        </w:tc>
        <w:tc>
          <w:tcPr>
            <w:tcW w:w="895" w:type="dxa"/>
            <w:vAlign w:val="center"/>
          </w:tcPr>
          <w:p w14:paraId="5D487B78"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0.213</w:t>
            </w:r>
          </w:p>
        </w:tc>
        <w:tc>
          <w:tcPr>
            <w:tcW w:w="905" w:type="dxa"/>
            <w:vAlign w:val="center"/>
          </w:tcPr>
          <w:p w14:paraId="40B599B6"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0.100</w:t>
            </w:r>
          </w:p>
        </w:tc>
        <w:tc>
          <w:tcPr>
            <w:tcW w:w="990" w:type="dxa"/>
            <w:vAlign w:val="center"/>
          </w:tcPr>
          <w:p w14:paraId="11D6C34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2.129</w:t>
            </w:r>
          </w:p>
        </w:tc>
        <w:tc>
          <w:tcPr>
            <w:tcW w:w="851" w:type="dxa"/>
            <w:vAlign w:val="center"/>
          </w:tcPr>
          <w:p w14:paraId="770DF3F9"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0.000</w:t>
            </w:r>
          </w:p>
        </w:tc>
        <w:tc>
          <w:tcPr>
            <w:tcW w:w="1219" w:type="dxa"/>
            <w:vAlign w:val="center"/>
          </w:tcPr>
          <w:p w14:paraId="6D55835A"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Reject</w:t>
            </w:r>
          </w:p>
        </w:tc>
        <w:tc>
          <w:tcPr>
            <w:tcW w:w="1710" w:type="dxa"/>
            <w:vAlign w:val="center"/>
          </w:tcPr>
          <w:p w14:paraId="049D031E"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Significant</w:t>
            </w:r>
          </w:p>
        </w:tc>
      </w:tr>
      <w:tr w:rsidR="003F6128" w:rsidRPr="00D62A09" w14:paraId="5AB81B29" w14:textId="77777777" w:rsidTr="00173127">
        <w:tc>
          <w:tcPr>
            <w:tcW w:w="1080" w:type="dxa"/>
            <w:vAlign w:val="center"/>
          </w:tcPr>
          <w:p w14:paraId="45DA32D2" w14:textId="77777777" w:rsidR="003F6128" w:rsidRPr="00D62A09" w:rsidRDefault="003F6128" w:rsidP="00173127">
            <w:pPr>
              <w:pStyle w:val="NoSpacing"/>
              <w:jc w:val="center"/>
              <w:rPr>
                <w:rFonts w:ascii="Arial" w:hAnsi="Arial" w:cs="Arial"/>
                <w:i/>
                <w:iCs/>
                <w:sz w:val="24"/>
                <w:szCs w:val="24"/>
              </w:rPr>
            </w:pPr>
            <w:r w:rsidRPr="00D62A09">
              <w:rPr>
                <w:rFonts w:ascii="Arial" w:hAnsi="Arial" w:cs="Arial"/>
                <w:i/>
                <w:iCs/>
                <w:sz w:val="24"/>
                <w:szCs w:val="24"/>
              </w:rPr>
              <w:t>c’</w:t>
            </w:r>
          </w:p>
        </w:tc>
        <w:tc>
          <w:tcPr>
            <w:tcW w:w="1800" w:type="dxa"/>
            <w:vAlign w:val="center"/>
          </w:tcPr>
          <w:p w14:paraId="5EDC8B90"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Direct</w:t>
            </w:r>
          </w:p>
        </w:tc>
        <w:tc>
          <w:tcPr>
            <w:tcW w:w="895" w:type="dxa"/>
            <w:vAlign w:val="center"/>
          </w:tcPr>
          <w:p w14:paraId="4DE2F505"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0.213</w:t>
            </w:r>
          </w:p>
        </w:tc>
        <w:tc>
          <w:tcPr>
            <w:tcW w:w="905" w:type="dxa"/>
            <w:vAlign w:val="center"/>
          </w:tcPr>
          <w:p w14:paraId="16DE9543"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0.100</w:t>
            </w:r>
          </w:p>
        </w:tc>
        <w:tc>
          <w:tcPr>
            <w:tcW w:w="990" w:type="dxa"/>
            <w:vAlign w:val="center"/>
          </w:tcPr>
          <w:p w14:paraId="7410FA03"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2.129</w:t>
            </w:r>
          </w:p>
        </w:tc>
        <w:tc>
          <w:tcPr>
            <w:tcW w:w="851" w:type="dxa"/>
            <w:vAlign w:val="center"/>
          </w:tcPr>
          <w:p w14:paraId="4A543AA7"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0.033</w:t>
            </w:r>
          </w:p>
        </w:tc>
        <w:tc>
          <w:tcPr>
            <w:tcW w:w="1219" w:type="dxa"/>
            <w:vAlign w:val="center"/>
          </w:tcPr>
          <w:p w14:paraId="1C5AF25C"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Reject</w:t>
            </w:r>
          </w:p>
        </w:tc>
        <w:tc>
          <w:tcPr>
            <w:tcW w:w="1710" w:type="dxa"/>
            <w:vAlign w:val="center"/>
          </w:tcPr>
          <w:p w14:paraId="68107728"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Significant</w:t>
            </w:r>
          </w:p>
        </w:tc>
      </w:tr>
      <w:tr w:rsidR="003F6128" w:rsidRPr="00D62A09" w14:paraId="60B8E3FC" w14:textId="77777777" w:rsidTr="00173127">
        <w:tc>
          <w:tcPr>
            <w:tcW w:w="1080" w:type="dxa"/>
            <w:vAlign w:val="center"/>
          </w:tcPr>
          <w:p w14:paraId="63F6E7BB" w14:textId="77777777" w:rsidR="003F6128" w:rsidRPr="00D62A09" w:rsidRDefault="003F6128" w:rsidP="00173127">
            <w:pPr>
              <w:pStyle w:val="NoSpacing"/>
              <w:jc w:val="center"/>
              <w:rPr>
                <w:rFonts w:ascii="Arial" w:hAnsi="Arial" w:cs="Arial"/>
                <w:i/>
                <w:iCs/>
                <w:sz w:val="24"/>
                <w:szCs w:val="24"/>
              </w:rPr>
            </w:pPr>
            <w:r w:rsidRPr="00D62A09">
              <w:rPr>
                <w:rFonts w:ascii="Arial" w:hAnsi="Arial" w:cs="Arial"/>
                <w:i/>
                <w:iCs/>
                <w:sz w:val="24"/>
                <w:szCs w:val="24"/>
              </w:rPr>
              <w:t>a x b</w:t>
            </w:r>
          </w:p>
        </w:tc>
        <w:tc>
          <w:tcPr>
            <w:tcW w:w="1800" w:type="dxa"/>
            <w:vAlign w:val="center"/>
          </w:tcPr>
          <w:p w14:paraId="1224EA19"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Indirect</w:t>
            </w:r>
          </w:p>
        </w:tc>
        <w:tc>
          <w:tcPr>
            <w:tcW w:w="895" w:type="dxa"/>
            <w:vAlign w:val="center"/>
          </w:tcPr>
          <w:p w14:paraId="2D35698B"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1.128</w:t>
            </w:r>
          </w:p>
        </w:tc>
        <w:tc>
          <w:tcPr>
            <w:tcW w:w="905" w:type="dxa"/>
            <w:vAlign w:val="center"/>
          </w:tcPr>
          <w:p w14:paraId="751ED6A1"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0.091</w:t>
            </w:r>
          </w:p>
        </w:tc>
        <w:tc>
          <w:tcPr>
            <w:tcW w:w="990" w:type="dxa"/>
            <w:vAlign w:val="center"/>
          </w:tcPr>
          <w:p w14:paraId="3B1CD639"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12.412</w:t>
            </w:r>
          </w:p>
        </w:tc>
        <w:tc>
          <w:tcPr>
            <w:tcW w:w="851" w:type="dxa"/>
            <w:vAlign w:val="center"/>
          </w:tcPr>
          <w:p w14:paraId="5C532CBC"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0.000</w:t>
            </w:r>
          </w:p>
        </w:tc>
        <w:tc>
          <w:tcPr>
            <w:tcW w:w="1219" w:type="dxa"/>
            <w:vAlign w:val="center"/>
          </w:tcPr>
          <w:p w14:paraId="7DE814F0"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Reject</w:t>
            </w:r>
          </w:p>
        </w:tc>
        <w:tc>
          <w:tcPr>
            <w:tcW w:w="1710" w:type="dxa"/>
            <w:vAlign w:val="center"/>
          </w:tcPr>
          <w:p w14:paraId="4B7849ED"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Significant</w:t>
            </w:r>
          </w:p>
        </w:tc>
      </w:tr>
      <w:tr w:rsidR="003F6128" w:rsidRPr="00D62A09" w14:paraId="0978D286" w14:textId="77777777" w:rsidTr="00173127">
        <w:tc>
          <w:tcPr>
            <w:tcW w:w="1080" w:type="dxa"/>
            <w:vAlign w:val="center"/>
          </w:tcPr>
          <w:p w14:paraId="300F210D" w14:textId="77777777" w:rsidR="003F6128" w:rsidRPr="00D62A09" w:rsidRDefault="003F6128" w:rsidP="00173127">
            <w:pPr>
              <w:pStyle w:val="NoSpacing"/>
              <w:jc w:val="center"/>
              <w:rPr>
                <w:rFonts w:ascii="Arial" w:hAnsi="Arial" w:cs="Arial"/>
                <w:i/>
                <w:iCs/>
                <w:sz w:val="24"/>
                <w:szCs w:val="24"/>
              </w:rPr>
            </w:pPr>
            <w:r w:rsidRPr="00D62A09">
              <w:rPr>
                <w:rFonts w:ascii="Arial" w:hAnsi="Arial" w:cs="Arial"/>
                <w:i/>
                <w:iCs/>
                <w:sz w:val="24"/>
                <w:szCs w:val="24"/>
              </w:rPr>
              <w:t>c</w:t>
            </w:r>
          </w:p>
        </w:tc>
        <w:tc>
          <w:tcPr>
            <w:tcW w:w="1800" w:type="dxa"/>
            <w:vAlign w:val="center"/>
          </w:tcPr>
          <w:p w14:paraId="4F73B5C8"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Total</w:t>
            </w:r>
          </w:p>
        </w:tc>
        <w:tc>
          <w:tcPr>
            <w:tcW w:w="895" w:type="dxa"/>
            <w:vAlign w:val="center"/>
          </w:tcPr>
          <w:p w14:paraId="25118D21"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1.340</w:t>
            </w:r>
          </w:p>
        </w:tc>
        <w:tc>
          <w:tcPr>
            <w:tcW w:w="905" w:type="dxa"/>
            <w:vAlign w:val="center"/>
          </w:tcPr>
          <w:p w14:paraId="2D5FEBCD"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0.055</w:t>
            </w:r>
          </w:p>
        </w:tc>
        <w:tc>
          <w:tcPr>
            <w:tcW w:w="990" w:type="dxa"/>
            <w:vAlign w:val="center"/>
          </w:tcPr>
          <w:p w14:paraId="53E5F5E2"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24.557</w:t>
            </w:r>
          </w:p>
        </w:tc>
        <w:tc>
          <w:tcPr>
            <w:tcW w:w="851" w:type="dxa"/>
            <w:vAlign w:val="center"/>
          </w:tcPr>
          <w:p w14:paraId="3816B3D9"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0.000</w:t>
            </w:r>
          </w:p>
        </w:tc>
        <w:tc>
          <w:tcPr>
            <w:tcW w:w="1219" w:type="dxa"/>
            <w:vAlign w:val="center"/>
          </w:tcPr>
          <w:p w14:paraId="59FE5004"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Reject</w:t>
            </w:r>
          </w:p>
        </w:tc>
        <w:tc>
          <w:tcPr>
            <w:tcW w:w="1710" w:type="dxa"/>
            <w:vAlign w:val="center"/>
          </w:tcPr>
          <w:p w14:paraId="0C508E89" w14:textId="77777777" w:rsidR="003F6128" w:rsidRPr="00D62A09" w:rsidRDefault="003F6128" w:rsidP="00173127">
            <w:pPr>
              <w:pStyle w:val="NoSpacing"/>
              <w:jc w:val="center"/>
              <w:rPr>
                <w:rFonts w:ascii="Arial" w:hAnsi="Arial" w:cs="Arial"/>
                <w:sz w:val="24"/>
                <w:szCs w:val="24"/>
              </w:rPr>
            </w:pPr>
            <w:r w:rsidRPr="00D62A09">
              <w:rPr>
                <w:rFonts w:ascii="Arial" w:hAnsi="Arial" w:cs="Arial"/>
                <w:sz w:val="24"/>
                <w:szCs w:val="24"/>
              </w:rPr>
              <w:t>Significant</w:t>
            </w:r>
          </w:p>
        </w:tc>
      </w:tr>
    </w:tbl>
    <w:p w14:paraId="4873B99A" w14:textId="77777777" w:rsidR="003F6128" w:rsidRPr="003F6128" w:rsidRDefault="003F6128" w:rsidP="003F6128">
      <w:pPr>
        <w:widowControl w:val="0"/>
        <w:pBdr>
          <w:top w:val="nil"/>
          <w:left w:val="nil"/>
          <w:bottom w:val="nil"/>
          <w:right w:val="nil"/>
          <w:between w:val="nil"/>
        </w:pBdr>
        <w:spacing w:line="236" w:lineRule="auto"/>
        <w:ind w:right="179"/>
        <w:jc w:val="both"/>
        <w:rPr>
          <w:rFonts w:eastAsia="Cambria"/>
          <w:b/>
          <w:bCs/>
          <w:i/>
          <w:iCs/>
          <w:color w:val="000000"/>
          <w:lang w:val="pt-PT"/>
        </w:rPr>
      </w:pPr>
      <w:r w:rsidRPr="003F6128">
        <w:rPr>
          <w:rFonts w:eastAsia="Cambria"/>
          <w:b/>
          <w:bCs/>
          <w:i/>
          <w:iCs/>
          <w:color w:val="000000"/>
          <w:lang w:val="pt-PT"/>
        </w:rPr>
        <w:t>Note. Bootstrap Replications: 5000; R2 Single-Use Plastic Reduction = 0.592; R2 Environmental Attitudes = 0.764</w:t>
      </w:r>
    </w:p>
    <w:p w14:paraId="1AA4214A" w14:textId="77777777" w:rsidR="003F6128" w:rsidRPr="003F6128" w:rsidRDefault="003F6128" w:rsidP="003F6128">
      <w:pPr>
        <w:widowControl w:val="0"/>
        <w:pBdr>
          <w:top w:val="nil"/>
          <w:left w:val="nil"/>
          <w:bottom w:val="nil"/>
          <w:right w:val="nil"/>
          <w:between w:val="nil"/>
        </w:pBdr>
        <w:spacing w:line="236" w:lineRule="auto"/>
        <w:ind w:right="179"/>
        <w:jc w:val="both"/>
        <w:rPr>
          <w:rFonts w:eastAsia="Cambria"/>
          <w:i/>
          <w:iCs/>
          <w:color w:val="000000"/>
          <w:lang w:val="pt-PT"/>
        </w:rPr>
      </w:pPr>
      <w:r w:rsidRPr="003F6128">
        <w:rPr>
          <w:rFonts w:eastAsia="Cambria"/>
          <w:i/>
          <w:iCs/>
          <w:color w:val="000000"/>
          <w:lang w:val="pt-PT"/>
        </w:rPr>
        <w:t>Level of Significance: 0.05</w:t>
      </w:r>
    </w:p>
    <w:p w14:paraId="259DCD48" w14:textId="77777777" w:rsidR="003F6128" w:rsidRPr="003F6128" w:rsidRDefault="003F6128" w:rsidP="003F6128">
      <w:pPr>
        <w:widowControl w:val="0"/>
        <w:pBdr>
          <w:top w:val="nil"/>
          <w:left w:val="nil"/>
          <w:bottom w:val="nil"/>
          <w:right w:val="nil"/>
          <w:between w:val="nil"/>
        </w:pBdr>
        <w:spacing w:line="236" w:lineRule="auto"/>
        <w:ind w:right="179"/>
        <w:jc w:val="both"/>
        <w:rPr>
          <w:rFonts w:eastAsia="Cambria"/>
          <w:i/>
          <w:iCs/>
          <w:color w:val="000000"/>
          <w:lang w:val="pt-PT"/>
        </w:rPr>
      </w:pPr>
      <w:r w:rsidRPr="003F6128">
        <w:rPr>
          <w:rFonts w:eastAsia="Cambria"/>
          <w:i/>
          <w:iCs/>
          <w:color w:val="000000"/>
          <w:lang w:val="pt-PT"/>
        </w:rPr>
        <w:t>Decision Rule: Reject H</w:t>
      </w:r>
      <w:r w:rsidRPr="003F6128">
        <w:rPr>
          <w:rFonts w:ascii="Cambria Math" w:eastAsia="Cambria" w:hAnsi="Cambria Math" w:cs="Cambria Math"/>
          <w:i/>
          <w:iCs/>
          <w:color w:val="000000"/>
          <w:lang w:val="pt-PT"/>
        </w:rPr>
        <w:t>₀</w:t>
      </w:r>
      <w:r w:rsidRPr="003F6128">
        <w:rPr>
          <w:rFonts w:eastAsia="Cambria"/>
          <w:i/>
          <w:iCs/>
          <w:color w:val="000000"/>
          <w:lang w:val="pt-PT"/>
        </w:rPr>
        <w:t xml:space="preserve"> if p &lt; 0.05</w:t>
      </w:r>
    </w:p>
    <w:p w14:paraId="1A6F5A46" w14:textId="6C43AD78" w:rsidR="00AE3536" w:rsidRPr="003F6128" w:rsidRDefault="003F6128" w:rsidP="007D3779">
      <w:pPr>
        <w:widowControl w:val="0"/>
        <w:pBdr>
          <w:top w:val="nil"/>
          <w:left w:val="nil"/>
          <w:bottom w:val="nil"/>
          <w:right w:val="nil"/>
          <w:between w:val="nil"/>
        </w:pBdr>
        <w:spacing w:line="236" w:lineRule="auto"/>
        <w:ind w:right="179"/>
        <w:jc w:val="both"/>
        <w:rPr>
          <w:rFonts w:eastAsia="Cambria"/>
          <w:i/>
          <w:iCs/>
          <w:color w:val="000000"/>
          <w:lang w:val="pt-PT"/>
        </w:rPr>
      </w:pPr>
      <w:r w:rsidRPr="003F6128">
        <w:rPr>
          <w:rFonts w:eastAsia="Cambria"/>
          <w:i/>
          <w:iCs/>
          <w:color w:val="000000"/>
          <w:lang w:val="pt-PT"/>
        </w:rPr>
        <w:t>Proportion Mediated: indirect effect/ total effect = 0.840</w:t>
      </w:r>
    </w:p>
    <w:p w14:paraId="2B934FD2" w14:textId="77777777" w:rsidR="003F6128" w:rsidRDefault="003F6128" w:rsidP="003F6128">
      <w:pPr>
        <w:widowControl w:val="0"/>
        <w:pBdr>
          <w:top w:val="nil"/>
          <w:left w:val="nil"/>
          <w:bottom w:val="nil"/>
          <w:right w:val="nil"/>
          <w:between w:val="nil"/>
        </w:pBdr>
        <w:spacing w:before="287" w:line="236" w:lineRule="auto"/>
        <w:ind w:right="179" w:firstLine="720"/>
        <w:jc w:val="both"/>
        <w:rPr>
          <w:rFonts w:eastAsia="Cambria"/>
          <w:color w:val="000000"/>
          <w:sz w:val="24"/>
          <w:szCs w:val="24"/>
          <w:lang w:val="en-PH"/>
        </w:rPr>
      </w:pPr>
      <w:r w:rsidRPr="003F6128">
        <w:rPr>
          <w:rFonts w:eastAsia="Cambria"/>
          <w:color w:val="000000"/>
          <w:sz w:val="24"/>
          <w:szCs w:val="24"/>
          <w:lang w:val="en-PH"/>
        </w:rPr>
        <w:t>The mediation analysis demonstrates that environmental attitudes significantly mediate the relationship between sustainability awareness and single-use plastic reduction. Path A (awareness → attitudes) is significant (B = 1.680, SE = 0.037, z = 45.408, p &lt; 0.001), as is Path B (attitudes → plastic reduction) (B = 0.671, SE = 0.052, z = 12.903, p &lt; 0.001), indicating strong direct effects. Path C (awareness → plastic reduction) remains significant (B = 0.213, SE = 0.100, z = 2.129, p &lt; 0.001), while the direct effect (c′) is also significant (p = 0.033), suggesting partial mediation. The indirect effect (a × b = 1.128, SE = 0.091, z = 12.412, p &lt; 0.001) further confirms that environmental attitudes significantly transmit the effect of awareness to behavior. The total effect (c = 1.340, SE = 0.055, z = 24.557, p &lt; 0.001) is substantial, with model explanatory power indicated by R² = 0.764 for environmental attitudes and R² = 0.592 for single-use plastic reduction. Overall, the findings confirm that environmental attitudes play a crucial and significant mediating role in enhancing sustainable behavioral outcomes.</w:t>
      </w:r>
    </w:p>
    <w:p w14:paraId="66A616E9" w14:textId="0B072140" w:rsidR="007D3779" w:rsidRPr="00E933BD" w:rsidRDefault="007D3779"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sidRPr="00E933BD">
        <w:rPr>
          <w:rFonts w:eastAsia="Cambria"/>
          <w:b/>
          <w:bCs/>
          <w:i/>
          <w:iCs/>
          <w:color w:val="000000"/>
          <w:sz w:val="24"/>
          <w:szCs w:val="24"/>
          <w:lang w:val="en-PH"/>
        </w:rPr>
        <w:lastRenderedPageBreak/>
        <w:t>Summary of Findings</w:t>
      </w:r>
    </w:p>
    <w:p w14:paraId="2E8BBC27" w14:textId="77777777" w:rsidR="008B5088" w:rsidRDefault="003F6128" w:rsidP="008B5088">
      <w:pPr>
        <w:pStyle w:val="ListParagraph"/>
        <w:widowControl w:val="0"/>
        <w:numPr>
          <w:ilvl w:val="0"/>
          <w:numId w:val="7"/>
        </w:numPr>
        <w:pBdr>
          <w:top w:val="nil"/>
          <w:left w:val="nil"/>
          <w:bottom w:val="nil"/>
          <w:right w:val="nil"/>
          <w:between w:val="nil"/>
        </w:pBdr>
        <w:spacing w:before="292" w:line="240" w:lineRule="auto"/>
        <w:jc w:val="both"/>
        <w:rPr>
          <w:rFonts w:eastAsia="Cambria"/>
          <w:color w:val="000000"/>
          <w:sz w:val="24"/>
          <w:szCs w:val="24"/>
          <w:lang w:val="en-PH"/>
        </w:rPr>
      </w:pPr>
      <w:r w:rsidRPr="008B5088">
        <w:rPr>
          <w:rFonts w:eastAsia="Cambria"/>
          <w:color w:val="000000"/>
          <w:sz w:val="24"/>
          <w:szCs w:val="24"/>
          <w:lang w:val="en-PH"/>
        </w:rPr>
        <w:t>Sustainability awareness and single-use plastic reduction behavior significantly correlate with environmental attitude among college students.</w:t>
      </w:r>
    </w:p>
    <w:p w14:paraId="39F23814" w14:textId="77777777" w:rsidR="008B5088" w:rsidRDefault="003F6128" w:rsidP="008B5088">
      <w:pPr>
        <w:pStyle w:val="ListParagraph"/>
        <w:widowControl w:val="0"/>
        <w:numPr>
          <w:ilvl w:val="0"/>
          <w:numId w:val="7"/>
        </w:numPr>
        <w:pBdr>
          <w:top w:val="nil"/>
          <w:left w:val="nil"/>
          <w:bottom w:val="nil"/>
          <w:right w:val="nil"/>
          <w:between w:val="nil"/>
        </w:pBdr>
        <w:spacing w:before="292" w:line="240" w:lineRule="auto"/>
        <w:jc w:val="both"/>
        <w:rPr>
          <w:rFonts w:eastAsia="Cambria"/>
          <w:color w:val="000000"/>
          <w:sz w:val="24"/>
          <w:szCs w:val="24"/>
          <w:lang w:val="en-PH"/>
        </w:rPr>
      </w:pPr>
      <w:r w:rsidRPr="008B5088">
        <w:rPr>
          <w:rFonts w:eastAsia="Cambria"/>
          <w:color w:val="000000"/>
          <w:sz w:val="24"/>
          <w:szCs w:val="24"/>
          <w:lang w:val="en-PH"/>
        </w:rPr>
        <w:t>The direct effect of sustainability awareness and single-use plastic reduction through environmental attitude is significant.</w:t>
      </w:r>
    </w:p>
    <w:p w14:paraId="1CAEF208" w14:textId="77777777" w:rsidR="008B5088" w:rsidRDefault="003F6128" w:rsidP="008B5088">
      <w:pPr>
        <w:pStyle w:val="ListParagraph"/>
        <w:widowControl w:val="0"/>
        <w:numPr>
          <w:ilvl w:val="0"/>
          <w:numId w:val="7"/>
        </w:numPr>
        <w:pBdr>
          <w:top w:val="nil"/>
          <w:left w:val="nil"/>
          <w:bottom w:val="nil"/>
          <w:right w:val="nil"/>
          <w:between w:val="nil"/>
        </w:pBdr>
        <w:spacing w:before="292" w:line="240" w:lineRule="auto"/>
        <w:jc w:val="both"/>
        <w:rPr>
          <w:rFonts w:eastAsia="Cambria"/>
          <w:color w:val="000000"/>
          <w:sz w:val="24"/>
          <w:szCs w:val="24"/>
          <w:lang w:val="en-PH"/>
        </w:rPr>
      </w:pPr>
      <w:r w:rsidRPr="008B5088">
        <w:rPr>
          <w:rFonts w:eastAsia="Cambria"/>
          <w:color w:val="000000"/>
          <w:sz w:val="24"/>
          <w:szCs w:val="24"/>
          <w:lang w:val="en-PH"/>
        </w:rPr>
        <w:t>The indirect effect of sustainability awareness and single-use plastic reduction through environmental attitude is significant.</w:t>
      </w:r>
    </w:p>
    <w:p w14:paraId="336BF990" w14:textId="40050C20" w:rsidR="003F6128" w:rsidRPr="008B5088" w:rsidRDefault="003F6128" w:rsidP="008B5088">
      <w:pPr>
        <w:pStyle w:val="ListParagraph"/>
        <w:widowControl w:val="0"/>
        <w:numPr>
          <w:ilvl w:val="0"/>
          <w:numId w:val="7"/>
        </w:numPr>
        <w:pBdr>
          <w:top w:val="nil"/>
          <w:left w:val="nil"/>
          <w:bottom w:val="nil"/>
          <w:right w:val="nil"/>
          <w:between w:val="nil"/>
        </w:pBdr>
        <w:spacing w:before="292" w:line="240" w:lineRule="auto"/>
        <w:jc w:val="both"/>
        <w:rPr>
          <w:rFonts w:eastAsia="Cambria"/>
          <w:color w:val="000000"/>
          <w:sz w:val="24"/>
          <w:szCs w:val="24"/>
          <w:lang w:val="en-PH"/>
        </w:rPr>
      </w:pPr>
      <w:r w:rsidRPr="008B5088">
        <w:rPr>
          <w:rFonts w:eastAsia="Cambria"/>
          <w:color w:val="000000"/>
          <w:sz w:val="24"/>
          <w:szCs w:val="24"/>
          <w:lang w:val="en-PH"/>
        </w:rPr>
        <w:t>The total effect of environmental attitude on single-use plastic reduction behavior is significant</w:t>
      </w:r>
    </w:p>
    <w:p w14:paraId="54C10F75" w14:textId="77777777" w:rsidR="007D3779" w:rsidRPr="00E933BD" w:rsidRDefault="007D3779" w:rsidP="007D3779">
      <w:pPr>
        <w:widowControl w:val="0"/>
        <w:pBdr>
          <w:top w:val="nil"/>
          <w:left w:val="nil"/>
          <w:bottom w:val="nil"/>
          <w:right w:val="nil"/>
          <w:between w:val="nil"/>
        </w:pBdr>
        <w:spacing w:before="292" w:line="240" w:lineRule="auto"/>
        <w:ind w:left="15" w:firstLine="75"/>
        <w:jc w:val="both"/>
        <w:rPr>
          <w:rFonts w:eastAsia="Cambria"/>
          <w:b/>
          <w:i/>
          <w:color w:val="000000"/>
          <w:sz w:val="24"/>
          <w:szCs w:val="24"/>
        </w:rPr>
      </w:pPr>
      <w:r w:rsidRPr="00E933BD">
        <w:rPr>
          <w:rFonts w:eastAsia="Cambria"/>
          <w:b/>
          <w:i/>
          <w:color w:val="000000"/>
          <w:sz w:val="24"/>
          <w:szCs w:val="24"/>
        </w:rPr>
        <w:t xml:space="preserve">Conclusion  </w:t>
      </w:r>
    </w:p>
    <w:p w14:paraId="7293D2CE" w14:textId="77777777" w:rsidR="008B5088" w:rsidRDefault="008B5088" w:rsidP="008B5088">
      <w:pPr>
        <w:widowControl w:val="0"/>
        <w:pBdr>
          <w:top w:val="nil"/>
          <w:left w:val="nil"/>
          <w:bottom w:val="nil"/>
          <w:right w:val="nil"/>
          <w:between w:val="nil"/>
        </w:pBdr>
        <w:spacing w:before="292" w:line="240" w:lineRule="auto"/>
        <w:ind w:left="1" w:firstLine="719"/>
        <w:rPr>
          <w:rFonts w:eastAsia="Cambria"/>
          <w:color w:val="000000"/>
          <w:sz w:val="24"/>
          <w:szCs w:val="24"/>
        </w:rPr>
      </w:pPr>
      <w:r w:rsidRPr="008B5088">
        <w:rPr>
          <w:rFonts w:eastAsia="Cambria"/>
          <w:color w:val="000000"/>
          <w:sz w:val="24"/>
          <w:szCs w:val="24"/>
        </w:rPr>
        <w:t xml:space="preserve">Based on the findings, environmental attitude partially but significantly mediates the relationship between sustainability awareness and single-use plastic reduction practice.  Hence, the Knowledge–Attitude–Practice (KAP) Theory, which posits that knowledge influences attitudes that subsequently shape </w:t>
      </w:r>
      <w:proofErr w:type="spellStart"/>
      <w:r w:rsidRPr="008B5088">
        <w:rPr>
          <w:rFonts w:eastAsia="Cambria"/>
          <w:color w:val="000000"/>
          <w:sz w:val="24"/>
          <w:szCs w:val="24"/>
        </w:rPr>
        <w:t>behavioral</w:t>
      </w:r>
      <w:proofErr w:type="spellEnd"/>
      <w:r w:rsidRPr="008B5088">
        <w:rPr>
          <w:rFonts w:eastAsia="Cambria"/>
          <w:color w:val="000000"/>
          <w:sz w:val="24"/>
          <w:szCs w:val="24"/>
        </w:rPr>
        <w:t xml:space="preserve"> responses, was fully supported.</w:t>
      </w:r>
    </w:p>
    <w:p w14:paraId="4081D2A9" w14:textId="4DD4AA3D" w:rsidR="007D3779" w:rsidRPr="00E933BD" w:rsidRDefault="007D3779" w:rsidP="007D3779">
      <w:pPr>
        <w:widowControl w:val="0"/>
        <w:pBdr>
          <w:top w:val="nil"/>
          <w:left w:val="nil"/>
          <w:bottom w:val="nil"/>
          <w:right w:val="nil"/>
          <w:between w:val="nil"/>
        </w:pBdr>
        <w:spacing w:before="292" w:line="240" w:lineRule="auto"/>
        <w:ind w:left="1"/>
        <w:rPr>
          <w:rFonts w:eastAsia="Cambria"/>
          <w:b/>
          <w:i/>
          <w:color w:val="000000"/>
          <w:sz w:val="24"/>
          <w:szCs w:val="24"/>
        </w:rPr>
      </w:pPr>
      <w:r w:rsidRPr="00E933BD">
        <w:rPr>
          <w:rFonts w:eastAsia="Cambria"/>
          <w:b/>
          <w:i/>
          <w:color w:val="000000"/>
          <w:sz w:val="24"/>
          <w:szCs w:val="24"/>
        </w:rPr>
        <w:t xml:space="preserve">Recommendations </w:t>
      </w:r>
    </w:p>
    <w:p w14:paraId="7627C28A" w14:textId="77777777" w:rsidR="008B5088" w:rsidRPr="008B5088" w:rsidRDefault="008B5088" w:rsidP="008B5088">
      <w:pPr>
        <w:widowControl w:val="0"/>
        <w:pBdr>
          <w:top w:val="nil"/>
          <w:left w:val="nil"/>
          <w:bottom w:val="nil"/>
          <w:right w:val="nil"/>
          <w:between w:val="nil"/>
        </w:pBdr>
        <w:spacing w:before="53" w:line="235" w:lineRule="auto"/>
        <w:ind w:left="735" w:right="173" w:hanging="346"/>
        <w:jc w:val="both"/>
        <w:rPr>
          <w:rFonts w:eastAsia="Cambria"/>
          <w:color w:val="000000"/>
          <w:sz w:val="24"/>
          <w:szCs w:val="24"/>
        </w:rPr>
      </w:pPr>
      <w:bookmarkStart w:id="14" w:name="_Hlk215595771"/>
      <w:r w:rsidRPr="008B5088">
        <w:rPr>
          <w:rFonts w:eastAsia="Cambria"/>
          <w:color w:val="000000"/>
          <w:sz w:val="24"/>
          <w:szCs w:val="24"/>
        </w:rPr>
        <w:t>Based on the findings of the study, the following are proposed:</w:t>
      </w:r>
    </w:p>
    <w:p w14:paraId="6E5F2C02" w14:textId="77777777" w:rsidR="008B5088" w:rsidRPr="008B5088" w:rsidRDefault="008B5088" w:rsidP="008B5088">
      <w:pPr>
        <w:widowControl w:val="0"/>
        <w:pBdr>
          <w:top w:val="nil"/>
          <w:left w:val="nil"/>
          <w:bottom w:val="nil"/>
          <w:right w:val="nil"/>
          <w:between w:val="nil"/>
        </w:pBdr>
        <w:spacing w:before="53" w:line="235" w:lineRule="auto"/>
        <w:ind w:left="735" w:right="173" w:hanging="346"/>
        <w:jc w:val="both"/>
        <w:rPr>
          <w:rFonts w:eastAsia="Cambria"/>
          <w:color w:val="000000"/>
          <w:sz w:val="24"/>
          <w:szCs w:val="24"/>
        </w:rPr>
      </w:pPr>
      <w:r w:rsidRPr="008B5088">
        <w:rPr>
          <w:rFonts w:eastAsia="Cambria"/>
          <w:color w:val="000000"/>
          <w:sz w:val="24"/>
          <w:szCs w:val="24"/>
        </w:rPr>
        <w:t>1.</w:t>
      </w:r>
      <w:r w:rsidRPr="008B5088">
        <w:rPr>
          <w:rFonts w:eastAsia="Cambria"/>
          <w:color w:val="000000"/>
          <w:sz w:val="24"/>
          <w:szCs w:val="24"/>
        </w:rPr>
        <w:tab/>
        <w:t xml:space="preserve">Educational leaders may integrate more experiential and action-based sustainability programs to strengthen not only awareness but also </w:t>
      </w:r>
      <w:proofErr w:type="spellStart"/>
      <w:r w:rsidRPr="008B5088">
        <w:rPr>
          <w:rFonts w:eastAsia="Cambria"/>
          <w:color w:val="000000"/>
          <w:sz w:val="24"/>
          <w:szCs w:val="24"/>
        </w:rPr>
        <w:t>behavioral</w:t>
      </w:r>
      <w:proofErr w:type="spellEnd"/>
      <w:r w:rsidRPr="008B5088">
        <w:rPr>
          <w:rFonts w:eastAsia="Cambria"/>
          <w:color w:val="000000"/>
          <w:sz w:val="24"/>
          <w:szCs w:val="24"/>
        </w:rPr>
        <w:t xml:space="preserve"> application among students.</w:t>
      </w:r>
    </w:p>
    <w:p w14:paraId="54282DA7" w14:textId="77777777" w:rsidR="008B5088" w:rsidRPr="008B5088" w:rsidRDefault="008B5088" w:rsidP="008B5088">
      <w:pPr>
        <w:widowControl w:val="0"/>
        <w:pBdr>
          <w:top w:val="nil"/>
          <w:left w:val="nil"/>
          <w:bottom w:val="nil"/>
          <w:right w:val="nil"/>
          <w:between w:val="nil"/>
        </w:pBdr>
        <w:spacing w:before="53" w:line="235" w:lineRule="auto"/>
        <w:ind w:left="735" w:right="173" w:hanging="346"/>
        <w:jc w:val="both"/>
        <w:rPr>
          <w:rFonts w:eastAsia="Cambria"/>
          <w:color w:val="000000"/>
          <w:sz w:val="24"/>
          <w:szCs w:val="24"/>
        </w:rPr>
      </w:pPr>
      <w:r w:rsidRPr="008B5088">
        <w:rPr>
          <w:rFonts w:eastAsia="Cambria"/>
          <w:color w:val="000000"/>
          <w:sz w:val="24"/>
          <w:szCs w:val="24"/>
        </w:rPr>
        <w:t>2.</w:t>
      </w:r>
      <w:r w:rsidRPr="008B5088">
        <w:rPr>
          <w:rFonts w:eastAsia="Cambria"/>
          <w:color w:val="000000"/>
          <w:sz w:val="24"/>
          <w:szCs w:val="24"/>
        </w:rPr>
        <w:tab/>
        <w:t>Policy makers may strengthen and enforce national environmental policies and campus-based initiatives that encourage consistent single-use plastic reduction practices.</w:t>
      </w:r>
    </w:p>
    <w:p w14:paraId="246C5349" w14:textId="77777777" w:rsidR="008B5088" w:rsidRPr="008B5088" w:rsidRDefault="008B5088" w:rsidP="008B5088">
      <w:pPr>
        <w:widowControl w:val="0"/>
        <w:pBdr>
          <w:top w:val="nil"/>
          <w:left w:val="nil"/>
          <w:bottom w:val="nil"/>
          <w:right w:val="nil"/>
          <w:between w:val="nil"/>
        </w:pBdr>
        <w:spacing w:before="53" w:line="235" w:lineRule="auto"/>
        <w:ind w:left="735" w:right="173" w:hanging="346"/>
        <w:jc w:val="both"/>
        <w:rPr>
          <w:rFonts w:eastAsia="Cambria"/>
          <w:color w:val="000000"/>
          <w:sz w:val="24"/>
          <w:szCs w:val="24"/>
        </w:rPr>
      </w:pPr>
      <w:r w:rsidRPr="008B5088">
        <w:rPr>
          <w:rFonts w:eastAsia="Cambria"/>
          <w:color w:val="000000"/>
          <w:sz w:val="24"/>
          <w:szCs w:val="24"/>
        </w:rPr>
        <w:t>3.</w:t>
      </w:r>
      <w:r w:rsidRPr="008B5088">
        <w:rPr>
          <w:rFonts w:eastAsia="Cambria"/>
          <w:color w:val="000000"/>
          <w:sz w:val="24"/>
          <w:szCs w:val="24"/>
        </w:rPr>
        <w:tab/>
        <w:t>Students and communities may encourage active participation in environmental initiatives and campaigns to reinforce the translation of awareness and attitudes into consistent, sustainable actions.</w:t>
      </w:r>
    </w:p>
    <w:p w14:paraId="4F60618B" w14:textId="6AC3D568" w:rsidR="007D3779" w:rsidRPr="00E933BD" w:rsidRDefault="008B5088" w:rsidP="008B5088">
      <w:pPr>
        <w:widowControl w:val="0"/>
        <w:pBdr>
          <w:top w:val="nil"/>
          <w:left w:val="nil"/>
          <w:bottom w:val="nil"/>
          <w:right w:val="nil"/>
          <w:between w:val="nil"/>
        </w:pBdr>
        <w:spacing w:before="53" w:line="235" w:lineRule="auto"/>
        <w:ind w:left="735" w:right="173" w:hanging="346"/>
        <w:jc w:val="both"/>
        <w:rPr>
          <w:rFonts w:eastAsia="Cambria"/>
          <w:color w:val="000000"/>
          <w:sz w:val="24"/>
          <w:szCs w:val="24"/>
        </w:rPr>
      </w:pPr>
      <w:r w:rsidRPr="008B5088">
        <w:rPr>
          <w:rFonts w:eastAsia="Cambria"/>
          <w:color w:val="000000"/>
          <w:sz w:val="24"/>
          <w:szCs w:val="24"/>
        </w:rPr>
        <w:t>4.</w:t>
      </w:r>
      <w:r w:rsidRPr="008B5088">
        <w:rPr>
          <w:rFonts w:eastAsia="Cambria"/>
          <w:color w:val="000000"/>
          <w:sz w:val="24"/>
          <w:szCs w:val="24"/>
        </w:rPr>
        <w:tab/>
        <w:t>Future researchers may explore other potential mediating or moderating variables to account for the remaining 24% variance in the strength of the mediation.</w:t>
      </w:r>
    </w:p>
    <w:bookmarkEnd w:id="14"/>
    <w:p w14:paraId="2FAAC220" w14:textId="77777777" w:rsidR="00FE58C9" w:rsidRDefault="00FE58C9"/>
    <w:p w14:paraId="62BDBBA3" w14:textId="77777777" w:rsidR="004B1908" w:rsidRDefault="004B1908"/>
    <w:p w14:paraId="246EAC1B" w14:textId="77777777" w:rsidR="004B1908" w:rsidRDefault="004B1908"/>
    <w:p w14:paraId="287A0CED" w14:textId="77777777" w:rsidR="004B1908" w:rsidRDefault="004B1908"/>
    <w:p w14:paraId="7F264A88" w14:textId="77777777" w:rsidR="004B1908" w:rsidRDefault="004B1908"/>
    <w:p w14:paraId="3793A97E" w14:textId="77777777" w:rsidR="004B1908" w:rsidRDefault="004B1908"/>
    <w:p w14:paraId="680E051F" w14:textId="77777777" w:rsidR="004B1908" w:rsidRDefault="004B1908"/>
    <w:p w14:paraId="52B37333" w14:textId="77777777" w:rsidR="004B1908" w:rsidRDefault="004B1908"/>
    <w:p w14:paraId="369C5B56" w14:textId="77777777" w:rsidR="004B1908" w:rsidRDefault="004B1908"/>
    <w:p w14:paraId="778474AA" w14:textId="77777777" w:rsidR="004B1908" w:rsidRDefault="004B1908"/>
    <w:p w14:paraId="13E628F9" w14:textId="77777777" w:rsidR="004B1908" w:rsidRDefault="004B1908"/>
    <w:p w14:paraId="64E61BAF" w14:textId="77777777" w:rsidR="008B5088" w:rsidRDefault="008B5088"/>
    <w:p w14:paraId="13BA2900" w14:textId="77777777" w:rsidR="008B5088" w:rsidRPr="007C6F12" w:rsidRDefault="008B5088" w:rsidP="008B5088">
      <w:pPr>
        <w:spacing w:line="480" w:lineRule="auto"/>
        <w:ind w:hanging="720"/>
        <w:jc w:val="both"/>
      </w:pPr>
      <w:r w:rsidRPr="007C6F12">
        <w:rPr>
          <w:b/>
          <w:bCs/>
          <w:shd w:val="clear" w:color="auto" w:fill="FFFFFF"/>
        </w:rPr>
        <w:lastRenderedPageBreak/>
        <w:t>REFERENCES</w:t>
      </w:r>
    </w:p>
    <w:p w14:paraId="67C39EB1" w14:textId="77777777" w:rsidR="008B5088" w:rsidRDefault="008B5088" w:rsidP="008B5088">
      <w:pPr>
        <w:ind w:left="720" w:hanging="720"/>
      </w:pPr>
      <w:r w:rsidRPr="007C6F12">
        <w:rPr>
          <w:shd w:val="clear" w:color="auto" w:fill="FFFFFF"/>
        </w:rPr>
        <w:t xml:space="preserve">Al Husban, W. (2025). The Impact of Embedding Sustainable Development Goals on Students’ Awareness and Pro-Environmental </w:t>
      </w:r>
      <w:proofErr w:type="spellStart"/>
      <w:r w:rsidRPr="007C6F12">
        <w:rPr>
          <w:shd w:val="clear" w:color="auto" w:fill="FFFFFF"/>
        </w:rPr>
        <w:t>Behavior</w:t>
      </w:r>
      <w:proofErr w:type="spellEnd"/>
      <w:r w:rsidRPr="007C6F12">
        <w:rPr>
          <w:shd w:val="clear" w:color="auto" w:fill="FFFFFF"/>
        </w:rPr>
        <w:t>: A Case Study of Jordan. Sustainability, 17(6), 2588.</w:t>
      </w:r>
      <w:hyperlink r:id="rId8" w:history="1">
        <w:r w:rsidRPr="007C6F12">
          <w:rPr>
            <w:color w:val="0000EE"/>
            <w:u w:val="single" w:color="0000EE"/>
          </w:rPr>
          <w:t>https://doi.org/10.3390/su17062588</w:t>
        </w:r>
      </w:hyperlink>
    </w:p>
    <w:p w14:paraId="56ABE742" w14:textId="77777777" w:rsidR="008B5088" w:rsidRPr="007C6F12" w:rsidRDefault="008B5088" w:rsidP="008B5088">
      <w:pPr>
        <w:ind w:left="720" w:hanging="720"/>
      </w:pPr>
    </w:p>
    <w:p w14:paraId="1BD3AB97" w14:textId="77777777" w:rsidR="008B5088" w:rsidRDefault="008B5088" w:rsidP="008B5088">
      <w:pPr>
        <w:spacing w:before="120"/>
        <w:ind w:left="720" w:hanging="720"/>
      </w:pPr>
      <w:proofErr w:type="spellStart"/>
      <w:r w:rsidRPr="007C6F12">
        <w:t>Allasiw</w:t>
      </w:r>
      <w:proofErr w:type="spellEnd"/>
      <w:r w:rsidRPr="007C6F12">
        <w:t xml:space="preserve">, D. I., Tanaka, T. &amp; Mino, T. (2017). </w:t>
      </w:r>
      <w:r w:rsidRPr="007C6F12">
        <w:rPr>
          <w:i/>
          <w:iCs/>
        </w:rPr>
        <w:t>Costly Barriers to Sustainable Institutions: Empirical Evidence from State-Reinforced Management of a Communal Irrigation System in the Philippines</w:t>
      </w:r>
      <w:r w:rsidRPr="007C6F12">
        <w:t xml:space="preserve">. Sustainability 9(5). </w:t>
      </w:r>
      <w:hyperlink r:id="rId9" w:history="1">
        <w:r w:rsidRPr="00186291">
          <w:rPr>
            <w:rStyle w:val="Hyperlink"/>
          </w:rPr>
          <w:t>https://doi.org/10.3390/su9050755</w:t>
        </w:r>
      </w:hyperlink>
    </w:p>
    <w:p w14:paraId="226A86D1" w14:textId="77777777" w:rsidR="008B5088" w:rsidRPr="007C6F12" w:rsidRDefault="008B5088" w:rsidP="008B5088">
      <w:pPr>
        <w:spacing w:before="120"/>
        <w:ind w:left="720" w:hanging="720"/>
      </w:pPr>
    </w:p>
    <w:p w14:paraId="6BC2B3EC" w14:textId="77777777" w:rsidR="008B5088" w:rsidRDefault="008B5088" w:rsidP="008B5088">
      <w:pPr>
        <w:ind w:left="720" w:hanging="720"/>
      </w:pPr>
      <w:r w:rsidRPr="007C6F12">
        <w:rPr>
          <w:shd w:val="clear" w:color="auto" w:fill="FFFFFF"/>
        </w:rPr>
        <w:t xml:space="preserve">Auld, S. (2020). </w:t>
      </w:r>
      <w:r w:rsidRPr="007C6F12">
        <w:rPr>
          <w:i/>
          <w:iCs/>
          <w:shd w:val="clear" w:color="auto" w:fill="FFFFFF"/>
        </w:rPr>
        <w:t>Living in the plastic crisis: a study of student awareness &amp; behaviour regarding single-Use plastics on Lakehead University Campus</w:t>
      </w:r>
      <w:r w:rsidRPr="007C6F12">
        <w:rPr>
          <w:shd w:val="clear" w:color="auto" w:fill="FFFFFF"/>
        </w:rPr>
        <w:t>.</w:t>
      </w:r>
      <w:hyperlink r:id="rId10" w:history="1">
        <w:r w:rsidRPr="007C6F12">
          <w:rPr>
            <w:color w:val="0000EE"/>
            <w:u w:val="single" w:color="0000EE"/>
          </w:rPr>
          <w:t>https://knowledgecommons.lakeheadu.ca/items/c4cb2e22-3c95-49b0-b62e-8e868a0f0c36</w:t>
        </w:r>
      </w:hyperlink>
    </w:p>
    <w:p w14:paraId="277D6730" w14:textId="77777777" w:rsidR="008B5088" w:rsidRPr="007C6F12" w:rsidRDefault="008B5088" w:rsidP="008B5088">
      <w:pPr>
        <w:ind w:left="720" w:hanging="720"/>
      </w:pPr>
    </w:p>
    <w:p w14:paraId="10EC590F" w14:textId="77777777" w:rsidR="008B5088" w:rsidRDefault="008B5088" w:rsidP="008B5088">
      <w:pPr>
        <w:ind w:left="720" w:hanging="720"/>
        <w:rPr>
          <w:shd w:val="clear" w:color="auto" w:fill="FFFFFF"/>
        </w:rPr>
      </w:pPr>
      <w:r w:rsidRPr="007C6F12">
        <w:rPr>
          <w:shd w:val="clear" w:color="auto" w:fill="FFFFFF"/>
        </w:rPr>
        <w:t xml:space="preserve">Appleby, D., Yamabe-Ledoux, A. M., Watabe, A., Arisman, </w:t>
      </w:r>
      <w:proofErr w:type="spellStart"/>
      <w:r w:rsidRPr="007C6F12">
        <w:rPr>
          <w:shd w:val="clear" w:color="auto" w:fill="FFFFFF"/>
        </w:rPr>
        <w:t>Chaikaew</w:t>
      </w:r>
      <w:proofErr w:type="spellEnd"/>
      <w:r w:rsidRPr="007C6F12">
        <w:rPr>
          <w:shd w:val="clear" w:color="auto" w:fill="FFFFFF"/>
        </w:rPr>
        <w:t xml:space="preserve">, P., Diola, B. L., Phong, D. D., Sadie, N. T., &amp; </w:t>
      </w:r>
      <w:proofErr w:type="spellStart"/>
      <w:r w:rsidRPr="007C6F12">
        <w:rPr>
          <w:shd w:val="clear" w:color="auto" w:fill="FFFFFF"/>
        </w:rPr>
        <w:t>Supakata</w:t>
      </w:r>
      <w:proofErr w:type="spellEnd"/>
      <w:r w:rsidRPr="007C6F12">
        <w:rPr>
          <w:shd w:val="clear" w:color="auto" w:fill="FFFFFF"/>
        </w:rPr>
        <w:t>, N. (2024). Breaking the Plastic Habit: Lessons from Behavioural Insight Applications in Indonesia, the Philippines, Thailand, and Viet Nam.</w:t>
      </w:r>
    </w:p>
    <w:p w14:paraId="562145E7" w14:textId="77777777" w:rsidR="008B5088" w:rsidRPr="007C6F12" w:rsidRDefault="008B5088" w:rsidP="008B5088">
      <w:pPr>
        <w:ind w:left="720" w:hanging="720"/>
      </w:pPr>
    </w:p>
    <w:p w14:paraId="55838443" w14:textId="77777777" w:rsidR="008B5088" w:rsidRDefault="008B5088" w:rsidP="008B5088">
      <w:pPr>
        <w:ind w:left="720" w:hanging="720"/>
        <w:rPr>
          <w:shd w:val="clear" w:color="auto" w:fill="FFFFFF"/>
        </w:rPr>
      </w:pPr>
      <w:r w:rsidRPr="007C6F12">
        <w:rPr>
          <w:shd w:val="clear" w:color="auto" w:fill="FFFFFF"/>
        </w:rPr>
        <w:t xml:space="preserve">Crowley, J. C. (2024). Knowledge, attitudes, and practices of single-use plastics among university students in </w:t>
      </w:r>
      <w:proofErr w:type="spellStart"/>
      <w:r w:rsidRPr="007C6F12">
        <w:rPr>
          <w:shd w:val="clear" w:color="auto" w:fill="FFFFFF"/>
        </w:rPr>
        <w:t>Ilocos</w:t>
      </w:r>
      <w:proofErr w:type="spellEnd"/>
      <w:r w:rsidRPr="007C6F12">
        <w:rPr>
          <w:shd w:val="clear" w:color="auto" w:fill="FFFFFF"/>
        </w:rPr>
        <w:t xml:space="preserve"> Norte, Philippines. The Journal of Solid Waste Technology and Management, 50(5), 806-821.</w:t>
      </w:r>
    </w:p>
    <w:p w14:paraId="3175D3E9" w14:textId="77777777" w:rsidR="008B5088" w:rsidRPr="007C6F12" w:rsidRDefault="008B5088" w:rsidP="008B5088">
      <w:pPr>
        <w:ind w:left="720" w:hanging="720"/>
      </w:pPr>
    </w:p>
    <w:p w14:paraId="104F55C2" w14:textId="77777777" w:rsidR="008B5088" w:rsidRDefault="008B5088" w:rsidP="008B5088">
      <w:pPr>
        <w:ind w:left="720" w:hanging="720"/>
        <w:rPr>
          <w:shd w:val="clear" w:color="auto" w:fill="FFFFFF"/>
        </w:rPr>
      </w:pPr>
      <w:r w:rsidRPr="007C6F12">
        <w:rPr>
          <w:shd w:val="clear" w:color="auto" w:fill="FFFFFF"/>
        </w:rPr>
        <w:t xml:space="preserve">Francis, Pope. (2015). Laudato </w:t>
      </w:r>
      <w:proofErr w:type="spellStart"/>
      <w:r w:rsidRPr="007C6F12">
        <w:rPr>
          <w:shd w:val="clear" w:color="auto" w:fill="FFFFFF"/>
        </w:rPr>
        <w:t>si</w:t>
      </w:r>
      <w:proofErr w:type="spellEnd"/>
      <w:r w:rsidRPr="007C6F12">
        <w:rPr>
          <w:shd w:val="clear" w:color="auto" w:fill="FFFFFF"/>
        </w:rPr>
        <w:t>’ [On care for our common home] [Encyclical letter]. The Holy See.</w:t>
      </w:r>
    </w:p>
    <w:p w14:paraId="4E99AB39" w14:textId="77777777" w:rsidR="008B5088" w:rsidRPr="007C6F12" w:rsidRDefault="008B5088" w:rsidP="008B5088">
      <w:pPr>
        <w:ind w:left="720" w:hanging="720"/>
      </w:pPr>
    </w:p>
    <w:p w14:paraId="784A88F0" w14:textId="77777777" w:rsidR="008B5088" w:rsidRDefault="008B5088" w:rsidP="008B5088">
      <w:pPr>
        <w:ind w:left="720" w:hanging="720"/>
        <w:rPr>
          <w:shd w:val="clear" w:color="auto" w:fill="FFFFFF"/>
        </w:rPr>
      </w:pPr>
      <w:r w:rsidRPr="007C6F12">
        <w:rPr>
          <w:shd w:val="clear" w:color="auto" w:fill="FFFFFF"/>
        </w:rPr>
        <w:t xml:space="preserve">Geiger, S. M., Geiger, M., &amp; Wilhelm, O. (2021). Environment-specific vs. general knowledge and their role in pro-environmental </w:t>
      </w:r>
      <w:proofErr w:type="spellStart"/>
      <w:r w:rsidRPr="007C6F12">
        <w:rPr>
          <w:shd w:val="clear" w:color="auto" w:fill="FFFFFF"/>
        </w:rPr>
        <w:t>behavior</w:t>
      </w:r>
      <w:proofErr w:type="spellEnd"/>
      <w:r w:rsidRPr="007C6F12">
        <w:rPr>
          <w:shd w:val="clear" w:color="auto" w:fill="FFFFFF"/>
        </w:rPr>
        <w:t xml:space="preserve">. Frontiers in Psychology, 12, 681256. </w:t>
      </w:r>
      <w:hyperlink r:id="rId11" w:history="1">
        <w:r w:rsidRPr="00186291">
          <w:rPr>
            <w:rStyle w:val="Hyperlink"/>
            <w:shd w:val="clear" w:color="auto" w:fill="FFFFFF"/>
          </w:rPr>
          <w:t>https://doi.org/10.3389/fpsyg.2021.681256</w:t>
        </w:r>
      </w:hyperlink>
    </w:p>
    <w:p w14:paraId="5E745A38" w14:textId="77777777" w:rsidR="008B5088" w:rsidRPr="007C6F12" w:rsidRDefault="008B5088" w:rsidP="008B5088">
      <w:pPr>
        <w:ind w:left="720" w:hanging="720"/>
      </w:pPr>
    </w:p>
    <w:p w14:paraId="30B5FA13" w14:textId="77777777" w:rsidR="008B5088" w:rsidRPr="007C6F12" w:rsidRDefault="008B5088" w:rsidP="008B5088">
      <w:pPr>
        <w:spacing w:before="120"/>
        <w:ind w:left="720" w:hanging="720"/>
      </w:pPr>
      <w:r w:rsidRPr="007C6F12">
        <w:t xml:space="preserve">Garcia, L. C., Aguirre, M. L. &amp; Jr., E. A. (2017). </w:t>
      </w:r>
      <w:r w:rsidRPr="007C6F12">
        <w:rPr>
          <w:i/>
          <w:iCs/>
        </w:rPr>
        <w:t xml:space="preserve">Environmental Awareness (EA), Awareness of General Consequence (AC), and Pro-Environmental </w:t>
      </w:r>
      <w:proofErr w:type="spellStart"/>
      <w:r w:rsidRPr="007C6F12">
        <w:rPr>
          <w:i/>
          <w:iCs/>
        </w:rPr>
        <w:t>Behaviors</w:t>
      </w:r>
      <w:proofErr w:type="spellEnd"/>
      <w:r w:rsidRPr="007C6F12">
        <w:rPr>
          <w:i/>
          <w:iCs/>
        </w:rPr>
        <w:t xml:space="preserve"> (EB) Among College Students</w:t>
      </w:r>
      <w:r w:rsidRPr="007C6F12">
        <w:t>. International Journal of Sciences: Basic and Applied Research 34(1), pp. 1-10. https://www.gssrr.org/index.php/JournalOfBasicAndApplied/article/view/11200</w:t>
      </w:r>
    </w:p>
    <w:p w14:paraId="50477BAD" w14:textId="77777777" w:rsidR="008B5088" w:rsidRPr="007C6F12" w:rsidRDefault="008B5088" w:rsidP="008B5088">
      <w:pPr>
        <w:ind w:left="720" w:hanging="720"/>
      </w:pPr>
      <w:proofErr w:type="spellStart"/>
      <w:r w:rsidRPr="007C6F12">
        <w:rPr>
          <w:shd w:val="clear" w:color="auto" w:fill="FFFFFF"/>
        </w:rPr>
        <w:t>Ghanad</w:t>
      </w:r>
      <w:proofErr w:type="spellEnd"/>
      <w:r w:rsidRPr="007C6F12">
        <w:rPr>
          <w:shd w:val="clear" w:color="auto" w:fill="FFFFFF"/>
        </w:rPr>
        <w:t>, A. (2023). An overview of quantitative research methods. International journal of multidisciplinary research and analysis, 6(08), 3794-3803.</w:t>
      </w:r>
      <w:hyperlink r:id="rId12" w:history="1">
        <w:r w:rsidRPr="007C6F12">
          <w:rPr>
            <w:color w:val="0000EE"/>
            <w:u w:val="single" w:color="0000EE"/>
          </w:rPr>
          <w:t>https://doi.org/10.47191/</w:t>
        </w:r>
        <w:proofErr w:type="spellStart"/>
        <w:r w:rsidRPr="007C6F12">
          <w:rPr>
            <w:color w:val="0000EE"/>
            <w:u w:val="single" w:color="0000EE"/>
          </w:rPr>
          <w:t>ijmra</w:t>
        </w:r>
        <w:proofErr w:type="spellEnd"/>
        <w:r w:rsidRPr="007C6F12">
          <w:rPr>
            <w:color w:val="0000EE"/>
            <w:u w:val="single" w:color="0000EE"/>
          </w:rPr>
          <w:t>/v6-i8-52</w:t>
        </w:r>
      </w:hyperlink>
    </w:p>
    <w:p w14:paraId="61606E58" w14:textId="77777777" w:rsidR="008B5088" w:rsidRPr="007C6F12" w:rsidRDefault="008B5088" w:rsidP="008B5088">
      <w:pPr>
        <w:spacing w:before="120"/>
        <w:ind w:hanging="720"/>
      </w:pPr>
    </w:p>
    <w:p w14:paraId="4B75FF48" w14:textId="77777777" w:rsidR="008B5088" w:rsidRDefault="008B5088" w:rsidP="008B5088">
      <w:pPr>
        <w:ind w:left="720" w:hanging="720"/>
      </w:pPr>
      <w:r w:rsidRPr="007C6F12">
        <w:rPr>
          <w:shd w:val="clear" w:color="auto" w:fill="FFFFFF"/>
        </w:rPr>
        <w:t>González-Díaz, R. R., &amp; Bustamante-Cabrera, G. I. (2021). Predictive Sequential Research Design to Study Complex Social Phenomena. Entropy, 23(5), 627.</w:t>
      </w:r>
      <w:hyperlink r:id="rId13" w:history="1">
        <w:r w:rsidRPr="007C6F12">
          <w:rPr>
            <w:color w:val="0000EE"/>
            <w:u w:val="single" w:color="0000EE"/>
          </w:rPr>
          <w:t>https://doi.org/10.3390/e23050627</w:t>
        </w:r>
      </w:hyperlink>
    </w:p>
    <w:p w14:paraId="08CF5AC8" w14:textId="77777777" w:rsidR="008B5088" w:rsidRPr="007C6F12" w:rsidRDefault="008B5088" w:rsidP="008B5088">
      <w:pPr>
        <w:ind w:left="720" w:hanging="720"/>
      </w:pPr>
    </w:p>
    <w:p w14:paraId="15DA542B" w14:textId="77777777" w:rsidR="008B5088" w:rsidRDefault="008B5088" w:rsidP="008B5088">
      <w:pPr>
        <w:ind w:left="720" w:hanging="720"/>
        <w:rPr>
          <w:shd w:val="clear" w:color="auto" w:fill="FFFFFF"/>
        </w:rPr>
      </w:pPr>
      <w:r w:rsidRPr="007C6F12">
        <w:rPr>
          <w:shd w:val="clear" w:color="auto" w:fill="FFFFFF"/>
        </w:rPr>
        <w:lastRenderedPageBreak/>
        <w:t>Ginevičius, R. (2024). Complex quantitative assessment of social research survey results. Journal of International Studies, 17(4), 278-289.</w:t>
      </w:r>
    </w:p>
    <w:p w14:paraId="73DBC139" w14:textId="77777777" w:rsidR="008B5088" w:rsidRPr="007C6F12" w:rsidRDefault="008B5088" w:rsidP="008B5088">
      <w:pPr>
        <w:ind w:left="720" w:hanging="720"/>
      </w:pPr>
    </w:p>
    <w:p w14:paraId="50908C1C" w14:textId="77777777" w:rsidR="008B5088" w:rsidRDefault="008B5088" w:rsidP="008B5088">
      <w:pPr>
        <w:ind w:left="720" w:hanging="720"/>
        <w:rPr>
          <w:shd w:val="clear" w:color="auto" w:fill="FFFFFF"/>
        </w:rPr>
      </w:pPr>
      <w:r w:rsidRPr="007C6F12">
        <w:rPr>
          <w:shd w:val="clear" w:color="auto" w:fill="FFFFFF"/>
        </w:rPr>
        <w:t>KĘPSKA, J. (2025). Towards a Greener Tomorrow? Environmental Attitudes Among Young Generation-State of the Research. JETA: Journal of Environmental &amp; Tourism Analyses, 13(1).</w:t>
      </w:r>
    </w:p>
    <w:p w14:paraId="545BF74C" w14:textId="77777777" w:rsidR="008B5088" w:rsidRPr="007C6F12" w:rsidRDefault="008B5088" w:rsidP="008B5088">
      <w:pPr>
        <w:ind w:left="720" w:hanging="720"/>
      </w:pPr>
    </w:p>
    <w:p w14:paraId="672AF261" w14:textId="77777777" w:rsidR="008B5088" w:rsidRDefault="008B5088" w:rsidP="008B5088">
      <w:pPr>
        <w:ind w:left="720" w:hanging="720"/>
      </w:pPr>
      <w:proofErr w:type="spellStart"/>
      <w:r w:rsidRPr="007C6F12">
        <w:rPr>
          <w:shd w:val="clear" w:color="auto" w:fill="FFFFFF"/>
        </w:rPr>
        <w:t>Lavuri</w:t>
      </w:r>
      <w:proofErr w:type="spellEnd"/>
      <w:r w:rsidRPr="007C6F12">
        <w:rPr>
          <w:shd w:val="clear" w:color="auto" w:fill="FFFFFF"/>
        </w:rPr>
        <w:t xml:space="preserve">, R., </w:t>
      </w:r>
      <w:proofErr w:type="spellStart"/>
      <w:r w:rsidRPr="007C6F12">
        <w:rPr>
          <w:shd w:val="clear" w:color="auto" w:fill="FFFFFF"/>
        </w:rPr>
        <w:t>Roubaud</w:t>
      </w:r>
      <w:proofErr w:type="spellEnd"/>
      <w:r w:rsidRPr="007C6F12">
        <w:rPr>
          <w:shd w:val="clear" w:color="auto" w:fill="FFFFFF"/>
        </w:rPr>
        <w:t xml:space="preserve">, D., &amp; </w:t>
      </w:r>
      <w:proofErr w:type="spellStart"/>
      <w:r w:rsidRPr="007C6F12">
        <w:rPr>
          <w:shd w:val="clear" w:color="auto" w:fill="FFFFFF"/>
        </w:rPr>
        <w:t>Grebinevych</w:t>
      </w:r>
      <w:proofErr w:type="spellEnd"/>
      <w:r w:rsidRPr="007C6F12">
        <w:rPr>
          <w:shd w:val="clear" w:color="auto" w:fill="FFFFFF"/>
        </w:rPr>
        <w:t>, O. (2023). Sustainable consumption behaviour: Mediating role of pro-environment self-identity, attitude, and moderation role of environmental protection emotion. Journal of Environmental Management, 347, 119106.</w:t>
      </w:r>
      <w:hyperlink r:id="rId14" w:history="1">
        <w:r w:rsidRPr="007C6F12">
          <w:rPr>
            <w:color w:val="0000EE"/>
            <w:u w:val="single" w:color="0000EE"/>
          </w:rPr>
          <w:t>https://doi.org/10.1016/j.jenvman.2023.119106</w:t>
        </w:r>
      </w:hyperlink>
    </w:p>
    <w:p w14:paraId="75A14FEC" w14:textId="77777777" w:rsidR="008B5088" w:rsidRPr="007C6F12" w:rsidRDefault="008B5088" w:rsidP="008B5088">
      <w:pPr>
        <w:ind w:left="720" w:hanging="720"/>
      </w:pPr>
    </w:p>
    <w:p w14:paraId="48840506" w14:textId="77777777" w:rsidR="008B5088" w:rsidRDefault="008B5088" w:rsidP="008B5088">
      <w:pPr>
        <w:spacing w:before="120"/>
        <w:ind w:left="720" w:hanging="720"/>
      </w:pPr>
      <w:r w:rsidRPr="007C6F12">
        <w:t xml:space="preserve">Liebel, G. &amp; Chakraborty, S. (2021). </w:t>
      </w:r>
      <w:r w:rsidRPr="007C6F12">
        <w:rPr>
          <w:i/>
          <w:iCs/>
        </w:rPr>
        <w:t>Ethical Issues in Empirical Studies using Student Subjects: Re-visiting Practices and Perceptions</w:t>
      </w:r>
      <w:r w:rsidRPr="007C6F12">
        <w:t xml:space="preserve">. </w:t>
      </w:r>
      <w:proofErr w:type="spellStart"/>
      <w:r w:rsidRPr="007C6F12">
        <w:t>arXiv</w:t>
      </w:r>
      <w:proofErr w:type="spellEnd"/>
      <w:r w:rsidRPr="007C6F12">
        <w:t xml:space="preserve"> preprint arXiv:2102.13387. </w:t>
      </w:r>
      <w:hyperlink r:id="rId15" w:history="1">
        <w:r w:rsidRPr="00186291">
          <w:rPr>
            <w:rStyle w:val="Hyperlink"/>
          </w:rPr>
          <w:t>https://doi.org/10.48550/arXiv.2102.13387</w:t>
        </w:r>
      </w:hyperlink>
    </w:p>
    <w:p w14:paraId="0BC18D6D" w14:textId="77777777" w:rsidR="008B5088" w:rsidRPr="007C6F12" w:rsidRDefault="008B5088" w:rsidP="008B5088">
      <w:pPr>
        <w:spacing w:before="120"/>
        <w:ind w:left="720" w:hanging="720"/>
      </w:pPr>
    </w:p>
    <w:p w14:paraId="1B5B44B3" w14:textId="77777777" w:rsidR="008B5088" w:rsidRDefault="008B5088" w:rsidP="008B5088">
      <w:pPr>
        <w:spacing w:before="120"/>
        <w:ind w:left="720" w:hanging="720"/>
      </w:pPr>
      <w:proofErr w:type="spellStart"/>
      <w:r w:rsidRPr="007C6F12">
        <w:t>Masongsong</w:t>
      </w:r>
      <w:proofErr w:type="spellEnd"/>
      <w:r w:rsidRPr="007C6F12">
        <w:t xml:space="preserve">, J. R. (2021). </w:t>
      </w:r>
      <w:r w:rsidRPr="007C6F12">
        <w:rPr>
          <w:i/>
          <w:iCs/>
        </w:rPr>
        <w:t>Environmental Awareness and Participation among College Students of Mindoro State University – Calapan City Campus</w:t>
      </w:r>
      <w:r w:rsidRPr="007C6F12">
        <w:t xml:space="preserve">. American Journal of Environment and Climate 3(1), pp. 1-10. </w:t>
      </w:r>
      <w:hyperlink r:id="rId16" w:history="1">
        <w:r w:rsidRPr="00186291">
          <w:rPr>
            <w:rStyle w:val="Hyperlink"/>
          </w:rPr>
          <w:t>https://doi.org/10.54536/ajec.v3i1.2389</w:t>
        </w:r>
      </w:hyperlink>
    </w:p>
    <w:p w14:paraId="1767400D" w14:textId="77777777" w:rsidR="008B5088" w:rsidRPr="007C6F12" w:rsidRDefault="008B5088" w:rsidP="008B5088">
      <w:pPr>
        <w:spacing w:before="120"/>
        <w:ind w:left="720" w:hanging="720"/>
      </w:pPr>
    </w:p>
    <w:p w14:paraId="6F10EEF6" w14:textId="77777777" w:rsidR="008B5088" w:rsidRDefault="008B5088" w:rsidP="008B5088">
      <w:pPr>
        <w:spacing w:before="120"/>
        <w:ind w:left="720" w:hanging="720"/>
      </w:pPr>
      <w:proofErr w:type="spellStart"/>
      <w:r w:rsidRPr="007C6F12">
        <w:t>Meskani</w:t>
      </w:r>
      <w:proofErr w:type="spellEnd"/>
      <w:r w:rsidRPr="007C6F12">
        <w:t xml:space="preserve">, A. E., </w:t>
      </w:r>
      <w:proofErr w:type="spellStart"/>
      <w:r w:rsidRPr="007C6F12">
        <w:t>Tourabi</w:t>
      </w:r>
      <w:proofErr w:type="spellEnd"/>
      <w:r w:rsidRPr="007C6F12">
        <w:t xml:space="preserve">, P. &amp; Yacoubi, L. (2026). </w:t>
      </w:r>
      <w:r w:rsidRPr="007C6F12">
        <w:rPr>
          <w:i/>
          <w:iCs/>
        </w:rPr>
        <w:t xml:space="preserve">From Environmental Knowledge </w:t>
      </w:r>
      <w:proofErr w:type="gramStart"/>
      <w:r w:rsidRPr="007C6F12">
        <w:rPr>
          <w:i/>
          <w:iCs/>
        </w:rPr>
        <w:t>To</w:t>
      </w:r>
      <w:proofErr w:type="gramEnd"/>
      <w:r w:rsidRPr="007C6F12">
        <w:rPr>
          <w:i/>
          <w:iCs/>
        </w:rPr>
        <w:t xml:space="preserve"> Action </w:t>
      </w:r>
      <w:proofErr w:type="gramStart"/>
      <w:r w:rsidRPr="007C6F12">
        <w:rPr>
          <w:i/>
          <w:iCs/>
        </w:rPr>
        <w:t>In</w:t>
      </w:r>
      <w:proofErr w:type="gramEnd"/>
      <w:r w:rsidRPr="007C6F12">
        <w:rPr>
          <w:i/>
          <w:iCs/>
        </w:rPr>
        <w:t xml:space="preserve"> Universities: Explaining </w:t>
      </w:r>
      <w:proofErr w:type="gramStart"/>
      <w:r w:rsidRPr="007C6F12">
        <w:rPr>
          <w:i/>
          <w:iCs/>
        </w:rPr>
        <w:t>The</w:t>
      </w:r>
      <w:proofErr w:type="gramEnd"/>
      <w:r w:rsidRPr="007C6F12">
        <w:rPr>
          <w:i/>
          <w:iCs/>
        </w:rPr>
        <w:t xml:space="preserve"> Sustainability Knowledge-Action Gap</w:t>
      </w:r>
      <w:r w:rsidRPr="007C6F12">
        <w:t xml:space="preserve">. </w:t>
      </w:r>
      <w:proofErr w:type="spellStart"/>
      <w:r w:rsidRPr="007C6F12">
        <w:t>Cakrawala</w:t>
      </w:r>
      <w:proofErr w:type="spellEnd"/>
      <w:r w:rsidRPr="007C6F12">
        <w:t xml:space="preserve">: </w:t>
      </w:r>
      <w:proofErr w:type="spellStart"/>
      <w:r w:rsidRPr="007C6F12">
        <w:t>Jurnal</w:t>
      </w:r>
      <w:proofErr w:type="spellEnd"/>
      <w:r w:rsidRPr="007C6F12">
        <w:t xml:space="preserve"> Pendidikan 2012026. </w:t>
      </w:r>
      <w:hyperlink r:id="rId17" w:history="1">
        <w:r w:rsidRPr="00186291">
          <w:rPr>
            <w:rStyle w:val="Hyperlink"/>
          </w:rPr>
          <w:t>https://doi.org/10.24905/rm3wmg39</w:t>
        </w:r>
      </w:hyperlink>
    </w:p>
    <w:p w14:paraId="77AC5511" w14:textId="77777777" w:rsidR="008B5088" w:rsidRPr="007C6F12" w:rsidRDefault="008B5088" w:rsidP="008B5088">
      <w:pPr>
        <w:spacing w:before="120"/>
        <w:ind w:left="720" w:hanging="720"/>
      </w:pPr>
    </w:p>
    <w:p w14:paraId="29485733" w14:textId="77777777" w:rsidR="008B5088" w:rsidRPr="007C6F12" w:rsidRDefault="008B5088" w:rsidP="008B5088">
      <w:pPr>
        <w:ind w:left="720" w:hanging="720"/>
      </w:pPr>
      <w:r w:rsidRPr="007C6F12">
        <w:rPr>
          <w:shd w:val="clear" w:color="auto" w:fill="FFFFFF"/>
        </w:rPr>
        <w:t xml:space="preserve">McKenzie-Mohr, D. (2021). Fostering Sustainable </w:t>
      </w:r>
      <w:proofErr w:type="spellStart"/>
      <w:r w:rsidRPr="007C6F12">
        <w:rPr>
          <w:shd w:val="clear" w:color="auto" w:fill="FFFFFF"/>
        </w:rPr>
        <w:t>Behavior</w:t>
      </w:r>
      <w:proofErr w:type="spellEnd"/>
      <w:r w:rsidRPr="007C6F12">
        <w:rPr>
          <w:shd w:val="clear" w:color="auto" w:fill="FFFFFF"/>
        </w:rPr>
        <w:t xml:space="preserve"> (3rd Edition) | New Society.</w:t>
      </w:r>
      <w:hyperlink r:id="rId18" w:history="1">
        <w:r w:rsidRPr="007C6F12">
          <w:rPr>
            <w:color w:val="0000EE"/>
            <w:u w:val="single" w:color="0000EE"/>
          </w:rPr>
          <w:t>https://newsociety.com/book/fostering-sustainable-behavior-3rd-edition/</w:t>
        </w:r>
      </w:hyperlink>
    </w:p>
    <w:p w14:paraId="57461A44" w14:textId="77777777" w:rsidR="008B5088" w:rsidRDefault="008B5088" w:rsidP="008B5088">
      <w:pPr>
        <w:ind w:left="720" w:hanging="720"/>
      </w:pPr>
      <w:proofErr w:type="spellStart"/>
      <w:r w:rsidRPr="007C6F12">
        <w:rPr>
          <w:shd w:val="clear" w:color="auto" w:fill="FFFFFF"/>
        </w:rPr>
        <w:t>Milfont</w:t>
      </w:r>
      <w:proofErr w:type="spellEnd"/>
      <w:r w:rsidRPr="007C6F12">
        <w:rPr>
          <w:shd w:val="clear" w:color="auto" w:fill="FFFFFF"/>
        </w:rPr>
        <w:t xml:space="preserve">, T., &amp; </w:t>
      </w:r>
      <w:proofErr w:type="spellStart"/>
      <w:r w:rsidRPr="007C6F12">
        <w:rPr>
          <w:shd w:val="clear" w:color="auto" w:fill="FFFFFF"/>
        </w:rPr>
        <w:t>Duckitt</w:t>
      </w:r>
      <w:proofErr w:type="spellEnd"/>
      <w:r w:rsidRPr="007C6F12">
        <w:rPr>
          <w:shd w:val="clear" w:color="auto" w:fill="FFFFFF"/>
        </w:rPr>
        <w:t>, J. (2010). The Environmental Attitudes Inventory: A valid and reliable measure to assess the structure of environmental attitudes. Journal of Environmental Psychology, 30, 80–94.</w:t>
      </w:r>
      <w:hyperlink r:id="rId19" w:history="1">
        <w:r w:rsidRPr="007C6F12">
          <w:rPr>
            <w:color w:val="0000EE"/>
            <w:u w:val="single" w:color="0000EE"/>
          </w:rPr>
          <w:t>https://doi.org/10.1016/j.jenvp.2009.09.001</w:t>
        </w:r>
      </w:hyperlink>
    </w:p>
    <w:p w14:paraId="376A7B45" w14:textId="77777777" w:rsidR="008B5088" w:rsidRPr="007C6F12" w:rsidRDefault="008B5088" w:rsidP="008B5088">
      <w:pPr>
        <w:ind w:left="720" w:hanging="720"/>
      </w:pPr>
    </w:p>
    <w:p w14:paraId="0B07D45F" w14:textId="77777777" w:rsidR="008B5088" w:rsidRDefault="008B5088" w:rsidP="008B5088">
      <w:pPr>
        <w:ind w:left="720" w:hanging="720"/>
      </w:pPr>
      <w:r w:rsidRPr="007C6F12">
        <w:rPr>
          <w:shd w:val="clear" w:color="auto" w:fill="FFFFFF"/>
        </w:rPr>
        <w:t xml:space="preserve">Nguyen, X. C., Dao, D. C., Nguyen, T. T., Tran, Q. B., Nguyen, T. T. H., Tuan, T. A., Nguyen, K. L. P., Nguyen, V., Nadda, A. K., Thanh-Nho, N., Chung, W. J., Chang, S. W., &amp; Nguyen, D. D. (2022). Generation patterns and consumer </w:t>
      </w:r>
      <w:proofErr w:type="spellStart"/>
      <w:r w:rsidRPr="007C6F12">
        <w:rPr>
          <w:shd w:val="clear" w:color="auto" w:fill="FFFFFF"/>
        </w:rPr>
        <w:t>behavior</w:t>
      </w:r>
      <w:proofErr w:type="spellEnd"/>
      <w:r w:rsidRPr="007C6F12">
        <w:rPr>
          <w:shd w:val="clear" w:color="auto" w:fill="FFFFFF"/>
        </w:rPr>
        <w:t xml:space="preserve"> of single-use plastic towards plastic-free university campuses. </w:t>
      </w:r>
      <w:r w:rsidRPr="007C6F12">
        <w:rPr>
          <w:i/>
          <w:iCs/>
          <w:shd w:val="clear" w:color="auto" w:fill="FFFFFF"/>
        </w:rPr>
        <w:t>Chemosphere</w:t>
      </w:r>
      <w:r w:rsidRPr="007C6F12">
        <w:rPr>
          <w:shd w:val="clear" w:color="auto" w:fill="FFFFFF"/>
        </w:rPr>
        <w:t xml:space="preserve">, </w:t>
      </w:r>
      <w:r w:rsidRPr="007C6F12">
        <w:rPr>
          <w:i/>
          <w:iCs/>
          <w:shd w:val="clear" w:color="auto" w:fill="FFFFFF"/>
        </w:rPr>
        <w:t>291</w:t>
      </w:r>
      <w:r w:rsidRPr="007C6F12">
        <w:rPr>
          <w:shd w:val="clear" w:color="auto" w:fill="FFFFFF"/>
        </w:rPr>
        <w:t>(Pt 3), 133059.</w:t>
      </w:r>
      <w:hyperlink r:id="rId20" w:history="1">
        <w:r w:rsidRPr="007C6F12">
          <w:rPr>
            <w:color w:val="0000EE"/>
            <w:u w:val="single" w:color="0000EE"/>
          </w:rPr>
          <w:t>https://doi.org/10.1016/j.chemosphere.2021.133059</w:t>
        </w:r>
      </w:hyperlink>
    </w:p>
    <w:p w14:paraId="466AECDF" w14:textId="77777777" w:rsidR="008B5088" w:rsidRPr="007C6F12" w:rsidRDefault="008B5088" w:rsidP="008B5088">
      <w:pPr>
        <w:ind w:left="720" w:hanging="720"/>
      </w:pPr>
    </w:p>
    <w:p w14:paraId="0F0DEEDF" w14:textId="77777777" w:rsidR="008B5088" w:rsidRDefault="008B5088" w:rsidP="008B5088">
      <w:pPr>
        <w:ind w:left="720" w:hanging="720"/>
      </w:pPr>
      <w:r w:rsidRPr="007C6F12">
        <w:rPr>
          <w:shd w:val="clear" w:color="auto" w:fill="FFFFFF"/>
        </w:rPr>
        <w:t>Null</w:t>
      </w:r>
      <w:r>
        <w:rPr>
          <w:shd w:val="clear" w:color="auto" w:fill="FFFFFF"/>
        </w:rPr>
        <w:t>,</w:t>
      </w:r>
      <w:r w:rsidRPr="007C6F12">
        <w:rPr>
          <w:shd w:val="clear" w:color="auto" w:fill="FFFFFF"/>
        </w:rPr>
        <w:t xml:space="preserve"> D</w:t>
      </w:r>
      <w:r>
        <w:rPr>
          <w:shd w:val="clear" w:color="auto" w:fill="FFFFFF"/>
        </w:rPr>
        <w:t>.</w:t>
      </w:r>
      <w:r w:rsidRPr="007C6F12">
        <w:rPr>
          <w:shd w:val="clear" w:color="auto" w:fill="FFFFFF"/>
        </w:rPr>
        <w:t>C</w:t>
      </w:r>
      <w:r>
        <w:rPr>
          <w:shd w:val="clear" w:color="auto" w:fill="FFFFFF"/>
        </w:rPr>
        <w:t>.</w:t>
      </w:r>
      <w:r w:rsidRPr="007C6F12">
        <w:rPr>
          <w:shd w:val="clear" w:color="auto" w:fill="FFFFFF"/>
        </w:rPr>
        <w:t xml:space="preserve">, </w:t>
      </w:r>
      <w:proofErr w:type="spellStart"/>
      <w:r w:rsidRPr="007C6F12">
        <w:rPr>
          <w:shd w:val="clear" w:color="auto" w:fill="FFFFFF"/>
        </w:rPr>
        <w:t>Asirvatham</w:t>
      </w:r>
      <w:proofErr w:type="spellEnd"/>
      <w:r w:rsidRPr="007C6F12">
        <w:rPr>
          <w:shd w:val="clear" w:color="auto" w:fill="FFFFFF"/>
        </w:rPr>
        <w:t xml:space="preserve"> J</w:t>
      </w:r>
      <w:r>
        <w:rPr>
          <w:shd w:val="clear" w:color="auto" w:fill="FFFFFF"/>
        </w:rPr>
        <w:t>.</w:t>
      </w:r>
      <w:r w:rsidRPr="007C6F12">
        <w:rPr>
          <w:shd w:val="clear" w:color="auto" w:fill="FFFFFF"/>
        </w:rPr>
        <w:t xml:space="preserve"> (2023), "College students are pro-environment but lack sustainability knowledge: a study at a mid-size Midwestern US university". International Journal of Sustainability in Higher Education, Vol. 24 No. 3 pp. 660–677, </w:t>
      </w:r>
      <w:proofErr w:type="spellStart"/>
      <w:r w:rsidRPr="007C6F12">
        <w:rPr>
          <w:shd w:val="clear" w:color="auto" w:fill="FFFFFF"/>
        </w:rPr>
        <w:t>doi:</w:t>
      </w:r>
      <w:hyperlink r:id="rId21" w:history="1">
        <w:r w:rsidRPr="007C6F12">
          <w:rPr>
            <w:color w:val="0000EE"/>
            <w:u w:val="single" w:color="0000EE"/>
          </w:rPr>
          <w:t>https</w:t>
        </w:r>
        <w:proofErr w:type="spellEnd"/>
        <w:r w:rsidRPr="007C6F12">
          <w:rPr>
            <w:color w:val="0000EE"/>
            <w:u w:val="single" w:color="0000EE"/>
          </w:rPr>
          <w:t>://doi.org/10.1108/IJSHE-02-2022-0046</w:t>
        </w:r>
      </w:hyperlink>
    </w:p>
    <w:p w14:paraId="24919BE8" w14:textId="77777777" w:rsidR="008B5088" w:rsidRPr="007C6F12" w:rsidRDefault="008B5088" w:rsidP="008B5088">
      <w:pPr>
        <w:ind w:left="720" w:hanging="720"/>
      </w:pPr>
    </w:p>
    <w:p w14:paraId="0116E448" w14:textId="77777777" w:rsidR="008B5088" w:rsidRDefault="008B5088" w:rsidP="008B5088">
      <w:pPr>
        <w:ind w:left="720" w:hanging="720"/>
      </w:pPr>
      <w:proofErr w:type="spellStart"/>
      <w:r w:rsidRPr="007C6F12">
        <w:rPr>
          <w:shd w:val="clear" w:color="auto" w:fill="FFFFFF"/>
        </w:rPr>
        <w:lastRenderedPageBreak/>
        <w:t>Oluseye</w:t>
      </w:r>
      <w:proofErr w:type="spellEnd"/>
      <w:r w:rsidRPr="007C6F12">
        <w:rPr>
          <w:shd w:val="clear" w:color="auto" w:fill="FFFFFF"/>
        </w:rPr>
        <w:t xml:space="preserve"> O. </w:t>
      </w:r>
      <w:proofErr w:type="spellStart"/>
      <w:r w:rsidRPr="007C6F12">
        <w:rPr>
          <w:shd w:val="clear" w:color="auto" w:fill="FFFFFF"/>
        </w:rPr>
        <w:t>Oludoye</w:t>
      </w:r>
      <w:proofErr w:type="spellEnd"/>
      <w:r w:rsidRPr="007C6F12">
        <w:rPr>
          <w:shd w:val="clear" w:color="auto" w:fill="FFFFFF"/>
        </w:rPr>
        <w:t xml:space="preserve">, &amp; Nuta </w:t>
      </w:r>
      <w:proofErr w:type="spellStart"/>
      <w:r w:rsidRPr="007C6F12">
        <w:rPr>
          <w:shd w:val="clear" w:color="auto" w:fill="FFFFFF"/>
        </w:rPr>
        <w:t>Supakata</w:t>
      </w:r>
      <w:proofErr w:type="spellEnd"/>
      <w:r w:rsidRPr="007C6F12">
        <w:rPr>
          <w:shd w:val="clear" w:color="auto" w:fill="FFFFFF"/>
        </w:rPr>
        <w:t xml:space="preserve">. (2024). Breaking the plastic habit: Drivers of single-use plastic reduction among Thai university students. </w:t>
      </w:r>
      <w:r w:rsidRPr="007C6F12">
        <w:rPr>
          <w:i/>
          <w:iCs/>
          <w:shd w:val="clear" w:color="auto" w:fill="FFFFFF"/>
        </w:rPr>
        <w:t>PLOS ONE, 19</w:t>
      </w:r>
      <w:r w:rsidRPr="007C6F12">
        <w:rPr>
          <w:shd w:val="clear" w:color="auto" w:fill="FFFFFF"/>
        </w:rPr>
        <w:t>(5), e0299877.</w:t>
      </w:r>
      <w:hyperlink r:id="rId22" w:history="1">
        <w:r w:rsidRPr="007C6F12">
          <w:rPr>
            <w:color w:val="0000EE"/>
            <w:u w:val="single" w:color="0000EE"/>
          </w:rPr>
          <w:t>https://doi.org/10.1371/journal.pone.0299877</w:t>
        </w:r>
      </w:hyperlink>
    </w:p>
    <w:p w14:paraId="66405F31" w14:textId="77777777" w:rsidR="008B5088" w:rsidRPr="007C6F12" w:rsidRDefault="008B5088" w:rsidP="008B5088">
      <w:pPr>
        <w:ind w:left="720" w:hanging="720"/>
      </w:pPr>
    </w:p>
    <w:p w14:paraId="4E90CE1E" w14:textId="77777777" w:rsidR="008B5088" w:rsidRDefault="008B5088" w:rsidP="008B5088">
      <w:pPr>
        <w:ind w:left="720" w:hanging="720"/>
      </w:pPr>
      <w:r w:rsidRPr="007C6F12">
        <w:rPr>
          <w:shd w:val="clear" w:color="auto" w:fill="FFFFFF"/>
        </w:rPr>
        <w:t xml:space="preserve">Qin, X., Wang, L. Causal moderated mediation analysis: Methods and software. </w:t>
      </w:r>
      <w:proofErr w:type="spellStart"/>
      <w:r w:rsidRPr="007C6F12">
        <w:rPr>
          <w:shd w:val="clear" w:color="auto" w:fill="FFFFFF"/>
        </w:rPr>
        <w:t>Behav</w:t>
      </w:r>
      <w:proofErr w:type="spellEnd"/>
      <w:r w:rsidRPr="007C6F12">
        <w:rPr>
          <w:shd w:val="clear" w:color="auto" w:fill="FFFFFF"/>
        </w:rPr>
        <w:t xml:space="preserve"> Res 56, 1314–1334 (2024).</w:t>
      </w:r>
      <w:hyperlink r:id="rId23" w:history="1">
        <w:r w:rsidRPr="007C6F12">
          <w:rPr>
            <w:color w:val="0000EE"/>
            <w:u w:val="single" w:color="0000EE"/>
          </w:rPr>
          <w:t>https://doi.org/10.3758/s13428-023-02095-4</w:t>
        </w:r>
      </w:hyperlink>
    </w:p>
    <w:p w14:paraId="244028BF" w14:textId="77777777" w:rsidR="008B5088" w:rsidRPr="007C6F12" w:rsidRDefault="008B5088" w:rsidP="008B5088">
      <w:pPr>
        <w:ind w:left="720" w:hanging="720"/>
      </w:pPr>
    </w:p>
    <w:p w14:paraId="4C67E4AD" w14:textId="77777777" w:rsidR="008B5088" w:rsidRDefault="008B5088" w:rsidP="008B5088">
      <w:pPr>
        <w:spacing w:before="120"/>
        <w:ind w:left="720" w:hanging="720"/>
      </w:pPr>
      <w:proofErr w:type="spellStart"/>
      <w:r w:rsidRPr="007C6F12">
        <w:t>Salahange</w:t>
      </w:r>
      <w:proofErr w:type="spellEnd"/>
      <w:r w:rsidRPr="007C6F12">
        <w:t xml:space="preserve">, L., Sánchez-Martín, J., Dávila-Acedo, M. A. &amp; Cañada-Cañada, F. (2024). </w:t>
      </w:r>
      <w:r w:rsidRPr="007C6F12">
        <w:rPr>
          <w:i/>
          <w:iCs/>
        </w:rPr>
        <w:t>A new validated instrument to assess sustainability perception among university students</w:t>
      </w:r>
      <w:r w:rsidRPr="007C6F12">
        <w:t xml:space="preserve">. Discover Sustainability 5. </w:t>
      </w:r>
      <w:hyperlink r:id="rId24" w:history="1">
        <w:r w:rsidRPr="00186291">
          <w:rPr>
            <w:rStyle w:val="Hyperlink"/>
          </w:rPr>
          <w:t>https://doi.org/10.1007/s43621-024-00623-6</w:t>
        </w:r>
      </w:hyperlink>
    </w:p>
    <w:p w14:paraId="48BCB104" w14:textId="77777777" w:rsidR="008B5088" w:rsidRPr="007C6F12" w:rsidRDefault="008B5088" w:rsidP="008B5088">
      <w:pPr>
        <w:spacing w:before="120"/>
        <w:ind w:left="720" w:hanging="720"/>
      </w:pPr>
    </w:p>
    <w:p w14:paraId="09DFBD13" w14:textId="77777777" w:rsidR="008B5088" w:rsidRDefault="008B5088" w:rsidP="008B5088">
      <w:pPr>
        <w:ind w:left="720" w:hanging="720"/>
      </w:pPr>
      <w:r w:rsidRPr="007C6F12">
        <w:rPr>
          <w:shd w:val="clear" w:color="auto" w:fill="FFFFFF"/>
        </w:rPr>
        <w:t xml:space="preserve">Schober, P., Boer, C., &amp; Schwarte, L. A. (2023). Correlation coefficients: Appropriate use and interpretation in quantitative research. </w:t>
      </w:r>
      <w:proofErr w:type="spellStart"/>
      <w:r w:rsidRPr="007C6F12">
        <w:rPr>
          <w:shd w:val="clear" w:color="auto" w:fill="FFFFFF"/>
        </w:rPr>
        <w:t>Anesthesia</w:t>
      </w:r>
      <w:proofErr w:type="spellEnd"/>
      <w:r w:rsidRPr="007C6F12">
        <w:rPr>
          <w:shd w:val="clear" w:color="auto" w:fill="FFFFFF"/>
        </w:rPr>
        <w:t xml:space="preserve"> &amp; Analgesia, 126(5), 1763–1768.</w:t>
      </w:r>
      <w:hyperlink r:id="rId25" w:history="1">
        <w:r w:rsidRPr="007C6F12">
          <w:rPr>
            <w:color w:val="0000EE"/>
            <w:u w:val="single" w:color="0000EE"/>
          </w:rPr>
          <w:t>https://doi.org/10.1213/ANE.0000000000002864</w:t>
        </w:r>
      </w:hyperlink>
    </w:p>
    <w:p w14:paraId="6765347A" w14:textId="77777777" w:rsidR="008B5088" w:rsidRPr="007C6F12" w:rsidRDefault="008B5088" w:rsidP="008B5088">
      <w:pPr>
        <w:ind w:left="720" w:hanging="720"/>
      </w:pPr>
    </w:p>
    <w:p w14:paraId="309B1D77" w14:textId="77777777" w:rsidR="008B5088" w:rsidRDefault="008B5088" w:rsidP="008B5088">
      <w:pPr>
        <w:ind w:left="720" w:hanging="720"/>
      </w:pPr>
      <w:r w:rsidRPr="007C6F12">
        <w:rPr>
          <w:shd w:val="clear" w:color="auto" w:fill="FFFFFF"/>
        </w:rPr>
        <w:t>Shmueli, G. (2010). To explain or to predict? Statistical Science, 25(3), 289–310.</w:t>
      </w:r>
      <w:hyperlink r:id="rId26" w:history="1">
        <w:r w:rsidRPr="007C6F12">
          <w:rPr>
            <w:color w:val="0000EE"/>
            <w:u w:val="single" w:color="0000EE"/>
          </w:rPr>
          <w:t>https://doi.org/10.1214/10-STS330</w:t>
        </w:r>
      </w:hyperlink>
    </w:p>
    <w:p w14:paraId="49C61C59" w14:textId="77777777" w:rsidR="008B5088" w:rsidRPr="007C6F12" w:rsidRDefault="008B5088" w:rsidP="008B5088">
      <w:pPr>
        <w:ind w:left="720" w:hanging="720"/>
      </w:pPr>
    </w:p>
    <w:p w14:paraId="503A4C10" w14:textId="77777777" w:rsidR="008B5088" w:rsidRDefault="008B5088" w:rsidP="008B5088">
      <w:pPr>
        <w:ind w:left="720" w:hanging="720"/>
      </w:pPr>
      <w:r w:rsidRPr="007C6F12">
        <w:rPr>
          <w:shd w:val="clear" w:color="auto" w:fill="FFFFFF"/>
        </w:rPr>
        <w:t xml:space="preserve">Steg, L., </w:t>
      </w:r>
      <w:proofErr w:type="spellStart"/>
      <w:r w:rsidRPr="007C6F12">
        <w:rPr>
          <w:shd w:val="clear" w:color="auto" w:fill="FFFFFF"/>
        </w:rPr>
        <w:t>Perlaviciute</w:t>
      </w:r>
      <w:proofErr w:type="spellEnd"/>
      <w:r w:rsidRPr="007C6F12">
        <w:rPr>
          <w:shd w:val="clear" w:color="auto" w:fill="FFFFFF"/>
        </w:rPr>
        <w:t>, G., &amp; Van der Werff, E. (2015). Understanding the human dimensions of a sustainable energy transition. Frontiers in psychology, 6, 144983.</w:t>
      </w:r>
      <w:hyperlink r:id="rId27" w:history="1">
        <w:r w:rsidRPr="007C6F12">
          <w:rPr>
            <w:color w:val="0000EE"/>
            <w:u w:val="single" w:color="0000EE"/>
          </w:rPr>
          <w:t>https://doi.org/10.3389/fpsyg.2015.00805</w:t>
        </w:r>
      </w:hyperlink>
    </w:p>
    <w:p w14:paraId="6784D176" w14:textId="77777777" w:rsidR="008B5088" w:rsidRPr="007C6F12" w:rsidRDefault="008B5088" w:rsidP="008B5088">
      <w:pPr>
        <w:ind w:left="720" w:hanging="720"/>
      </w:pPr>
    </w:p>
    <w:p w14:paraId="6D6478ED" w14:textId="77777777" w:rsidR="008B5088" w:rsidRDefault="008B5088" w:rsidP="008B5088">
      <w:pPr>
        <w:ind w:left="720" w:hanging="720"/>
      </w:pPr>
      <w:r w:rsidRPr="007C6F12">
        <w:rPr>
          <w:shd w:val="clear" w:color="auto" w:fill="FFFFFF"/>
        </w:rPr>
        <w:t xml:space="preserve">Syed Azhar, S. N. F., Mohammed Akib, N. A., &amp; </w:t>
      </w:r>
      <w:proofErr w:type="spellStart"/>
      <w:r w:rsidRPr="007C6F12">
        <w:rPr>
          <w:shd w:val="clear" w:color="auto" w:fill="FFFFFF"/>
        </w:rPr>
        <w:t>Sibly</w:t>
      </w:r>
      <w:proofErr w:type="spellEnd"/>
      <w:r w:rsidRPr="007C6F12">
        <w:rPr>
          <w:shd w:val="clear" w:color="auto" w:fill="FFFFFF"/>
        </w:rPr>
        <w:t>, S. (2023). Assessment of sustainability knowledge and attitudes among undergraduate students in Penang Island. Sustainability and Climate Change, 16(3), 194–204.</w:t>
      </w:r>
      <w:hyperlink r:id="rId28" w:history="1">
        <w:r w:rsidRPr="007C6F12">
          <w:rPr>
            <w:color w:val="0000EE"/>
            <w:u w:val="single" w:color="0000EE"/>
          </w:rPr>
          <w:t>https://doi.org/10.1089/scc.2023.0021</w:t>
        </w:r>
      </w:hyperlink>
    </w:p>
    <w:p w14:paraId="42800CDD" w14:textId="77777777" w:rsidR="008B5088" w:rsidRPr="007C6F12" w:rsidRDefault="008B5088" w:rsidP="008B5088">
      <w:pPr>
        <w:ind w:left="720" w:hanging="720"/>
      </w:pPr>
    </w:p>
    <w:p w14:paraId="457A625C" w14:textId="77777777" w:rsidR="008B5088" w:rsidRDefault="008B5088" w:rsidP="008B5088">
      <w:pPr>
        <w:ind w:left="720" w:hanging="720"/>
        <w:rPr>
          <w:shd w:val="clear" w:color="auto" w:fill="FFFFFF"/>
        </w:rPr>
      </w:pPr>
      <w:r w:rsidRPr="007C6F12">
        <w:rPr>
          <w:shd w:val="clear" w:color="auto" w:fill="FFFFFF"/>
        </w:rPr>
        <w:t>Thomas, G. (2023). How to do your research project: A guide for students (4th ed.). SAGE Publications.</w:t>
      </w:r>
    </w:p>
    <w:p w14:paraId="031C48BB" w14:textId="77777777" w:rsidR="008B5088" w:rsidRPr="007C6F12" w:rsidRDefault="008B5088" w:rsidP="008B5088">
      <w:pPr>
        <w:ind w:left="720" w:hanging="720"/>
      </w:pPr>
    </w:p>
    <w:p w14:paraId="6F1ED139" w14:textId="77777777" w:rsidR="008B5088" w:rsidRPr="007C6F12" w:rsidRDefault="008B5088" w:rsidP="008B5088">
      <w:pPr>
        <w:ind w:left="720" w:hanging="720"/>
      </w:pPr>
      <w:r w:rsidRPr="007C6F12">
        <w:rPr>
          <w:shd w:val="clear" w:color="auto" w:fill="FFFFFF"/>
        </w:rPr>
        <w:t xml:space="preserve">Van Heyde, K. D., &amp; Butcher, S. (2024). Investigating students’ perceptions of single-use plastics at the University of the Witwatersrand, South Africa. </w:t>
      </w:r>
      <w:r w:rsidRPr="007C6F12">
        <w:rPr>
          <w:i/>
          <w:iCs/>
          <w:shd w:val="clear" w:color="auto" w:fill="FFFFFF"/>
        </w:rPr>
        <w:t>South African Geographical Journal</w:t>
      </w:r>
      <w:r w:rsidRPr="007C6F12">
        <w:rPr>
          <w:shd w:val="clear" w:color="auto" w:fill="FFFFFF"/>
        </w:rPr>
        <w:t xml:space="preserve">, </w:t>
      </w:r>
      <w:r w:rsidRPr="007C6F12">
        <w:rPr>
          <w:i/>
          <w:iCs/>
          <w:shd w:val="clear" w:color="auto" w:fill="FFFFFF"/>
        </w:rPr>
        <w:t>106</w:t>
      </w:r>
      <w:r w:rsidRPr="007C6F12">
        <w:rPr>
          <w:shd w:val="clear" w:color="auto" w:fill="FFFFFF"/>
        </w:rPr>
        <w:t>(3), 340–360.</w:t>
      </w:r>
      <w:hyperlink r:id="rId29" w:history="1">
        <w:r w:rsidRPr="007C6F12">
          <w:rPr>
            <w:color w:val="0000EE"/>
            <w:u w:val="single" w:color="0000EE"/>
          </w:rPr>
          <w:t>https://doi.org/10.1080/03736245.2024.2315948</w:t>
        </w:r>
      </w:hyperlink>
    </w:p>
    <w:p w14:paraId="0C4D66C2" w14:textId="77777777" w:rsidR="008B5088" w:rsidRPr="007C6F12" w:rsidRDefault="008B5088" w:rsidP="008B5088">
      <w:pPr>
        <w:spacing w:before="120"/>
        <w:ind w:hanging="720"/>
      </w:pPr>
    </w:p>
    <w:p w14:paraId="106BCC03" w14:textId="77777777" w:rsidR="008B5088" w:rsidRPr="007C6F12" w:rsidRDefault="008B5088" w:rsidP="008B5088">
      <w:pPr>
        <w:ind w:left="720" w:hanging="720"/>
      </w:pPr>
      <w:r w:rsidRPr="007C6F12">
        <w:rPr>
          <w:shd w:val="clear" w:color="auto" w:fill="FFFFFF"/>
        </w:rPr>
        <w:t xml:space="preserve">Zeng, Z., Zhong, W., &amp; Naz, S. (2023). Can environmental knowledge and risk perception make a difference? The role of environmental concern and pro-environmental </w:t>
      </w:r>
      <w:proofErr w:type="spellStart"/>
      <w:r w:rsidRPr="007C6F12">
        <w:rPr>
          <w:shd w:val="clear" w:color="auto" w:fill="FFFFFF"/>
        </w:rPr>
        <w:t>behavior</w:t>
      </w:r>
      <w:proofErr w:type="spellEnd"/>
      <w:r w:rsidRPr="007C6F12">
        <w:rPr>
          <w:shd w:val="clear" w:color="auto" w:fill="FFFFFF"/>
        </w:rPr>
        <w:t xml:space="preserve"> in fostering sustainable consumption </w:t>
      </w:r>
      <w:proofErr w:type="spellStart"/>
      <w:r w:rsidRPr="007C6F12">
        <w:rPr>
          <w:shd w:val="clear" w:color="auto" w:fill="FFFFFF"/>
        </w:rPr>
        <w:t>behavior</w:t>
      </w:r>
      <w:proofErr w:type="spellEnd"/>
      <w:r w:rsidRPr="007C6F12">
        <w:rPr>
          <w:shd w:val="clear" w:color="auto" w:fill="FFFFFF"/>
        </w:rPr>
        <w:t xml:space="preserve">. </w:t>
      </w:r>
      <w:r w:rsidRPr="007C6F12">
        <w:rPr>
          <w:i/>
          <w:iCs/>
          <w:shd w:val="clear" w:color="auto" w:fill="FFFFFF"/>
        </w:rPr>
        <w:t>Sustainability</w:t>
      </w:r>
      <w:r w:rsidRPr="007C6F12">
        <w:rPr>
          <w:shd w:val="clear" w:color="auto" w:fill="FFFFFF"/>
        </w:rPr>
        <w:t>, 15(6), 4791.</w:t>
      </w:r>
      <w:hyperlink r:id="rId30" w:history="1">
        <w:r w:rsidRPr="007C6F12">
          <w:rPr>
            <w:color w:val="0000EE"/>
            <w:u w:val="single" w:color="0000EE"/>
          </w:rPr>
          <w:t>https://doi.org/10.3390/su15064791</w:t>
        </w:r>
      </w:hyperlink>
    </w:p>
    <w:p w14:paraId="127E5706" w14:textId="77777777" w:rsidR="008B5088" w:rsidRPr="007C6F12" w:rsidRDefault="008B5088" w:rsidP="008B5088">
      <w:pPr>
        <w:spacing w:before="120"/>
        <w:ind w:hanging="720"/>
      </w:pPr>
    </w:p>
    <w:p w14:paraId="13DD430B" w14:textId="77777777" w:rsidR="008B5088" w:rsidRPr="007C6F12" w:rsidRDefault="008B5088" w:rsidP="008B5088">
      <w:pPr>
        <w:ind w:left="720" w:hanging="720"/>
      </w:pPr>
      <w:r w:rsidRPr="007C6F12">
        <w:rPr>
          <w:shd w:val="clear" w:color="auto" w:fill="FFFFFF"/>
        </w:rPr>
        <w:t xml:space="preserve">Zhang, J., &amp; Cao, A. (2025). The Psychological Mechanisms of Education for Sustainable Development: Environmental Attitudes, Self-Efficacy, and Social Norms as Mediators of Pro-Environmental </w:t>
      </w:r>
      <w:proofErr w:type="spellStart"/>
      <w:r w:rsidRPr="007C6F12">
        <w:rPr>
          <w:shd w:val="clear" w:color="auto" w:fill="FFFFFF"/>
        </w:rPr>
        <w:t>Behavior</w:t>
      </w:r>
      <w:proofErr w:type="spellEnd"/>
      <w:r w:rsidRPr="007C6F12">
        <w:rPr>
          <w:shd w:val="clear" w:color="auto" w:fill="FFFFFF"/>
        </w:rPr>
        <w:t xml:space="preserve"> Among University Students. Sustainability, 17(3), 933.</w:t>
      </w:r>
      <w:hyperlink r:id="rId31" w:history="1">
        <w:r w:rsidRPr="007C6F12">
          <w:rPr>
            <w:color w:val="0000EE"/>
            <w:u w:val="single" w:color="0000EE"/>
          </w:rPr>
          <w:t>https://doi.org/10.3390/su17030933</w:t>
        </w:r>
      </w:hyperlink>
    </w:p>
    <w:p w14:paraId="2A61C9E0" w14:textId="77777777" w:rsidR="008B5088" w:rsidRPr="007C6F12" w:rsidRDefault="008B5088" w:rsidP="008B5088">
      <w:pPr>
        <w:ind w:hanging="720"/>
      </w:pPr>
    </w:p>
    <w:p w14:paraId="048A57CB" w14:textId="77777777" w:rsidR="008B5088" w:rsidRPr="007C6F12" w:rsidRDefault="008B5088" w:rsidP="008B5088">
      <w:pPr>
        <w:ind w:left="720" w:hanging="720"/>
      </w:pPr>
      <w:r w:rsidRPr="007C6F12">
        <w:rPr>
          <w:shd w:val="clear" w:color="auto" w:fill="FFFFFF"/>
        </w:rPr>
        <w:lastRenderedPageBreak/>
        <w:t>Zina, O. (2021). The essential guide to doing your research project. Sage.</w:t>
      </w:r>
    </w:p>
    <w:p w14:paraId="0977D79C" w14:textId="77777777" w:rsidR="008B5088" w:rsidRDefault="008B5088"/>
    <w:sectPr w:rsidR="008B5088" w:rsidSect="00602BE4">
      <w:footerReference w:type="even" r:id="rId32"/>
      <w:footerReference w:type="default" r:id="rId3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AF64" w14:textId="77777777" w:rsidR="00F84E78" w:rsidRDefault="00F84E78" w:rsidP="00602BE4">
      <w:pPr>
        <w:spacing w:line="240" w:lineRule="auto"/>
      </w:pPr>
      <w:r>
        <w:separator/>
      </w:r>
    </w:p>
  </w:endnote>
  <w:endnote w:type="continuationSeparator" w:id="0">
    <w:p w14:paraId="7C52250A" w14:textId="77777777" w:rsidR="00F84E78" w:rsidRDefault="00F84E78" w:rsidP="00602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6335928"/>
      <w:docPartObj>
        <w:docPartGallery w:val="Page Numbers (Bottom of Page)"/>
        <w:docPartUnique/>
      </w:docPartObj>
    </w:sdtPr>
    <w:sdtContent>
      <w:p w14:paraId="0697A0CA" w14:textId="5725B458" w:rsidR="00602BE4" w:rsidRDefault="00602BE4" w:rsidP="00655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B6DFF" w14:textId="77777777" w:rsidR="00602BE4" w:rsidRDefault="00602BE4" w:rsidP="00602B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746674"/>
      <w:docPartObj>
        <w:docPartGallery w:val="Page Numbers (Bottom of Page)"/>
        <w:docPartUnique/>
      </w:docPartObj>
    </w:sdtPr>
    <w:sdtContent>
      <w:p w14:paraId="550923ED" w14:textId="02218B56" w:rsidR="00602BE4" w:rsidRDefault="00602BE4" w:rsidP="00655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5C893A" w14:textId="77777777" w:rsidR="00602BE4" w:rsidRDefault="00602BE4" w:rsidP="00602B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F1A3" w14:textId="77777777" w:rsidR="00F84E78" w:rsidRDefault="00F84E78" w:rsidP="00602BE4">
      <w:pPr>
        <w:spacing w:line="240" w:lineRule="auto"/>
      </w:pPr>
      <w:r>
        <w:separator/>
      </w:r>
    </w:p>
  </w:footnote>
  <w:footnote w:type="continuationSeparator" w:id="0">
    <w:p w14:paraId="6DE180BF" w14:textId="77777777" w:rsidR="00F84E78" w:rsidRDefault="00F84E78" w:rsidP="00602B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2E4"/>
    <w:multiLevelType w:val="hybridMultilevel"/>
    <w:tmpl w:val="B276E0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9F35AD"/>
    <w:multiLevelType w:val="hybridMultilevel"/>
    <w:tmpl w:val="F5EAC84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3DD752A"/>
    <w:multiLevelType w:val="multilevel"/>
    <w:tmpl w:val="299E077C"/>
    <w:lvl w:ilvl="0">
      <w:start w:val="1"/>
      <w:numFmt w:val="decimal"/>
      <w:lvlText w:val="%1."/>
      <w:lvlJc w:val="left"/>
      <w:pPr>
        <w:ind w:left="36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4E41238"/>
    <w:multiLevelType w:val="hybridMultilevel"/>
    <w:tmpl w:val="CAC46C44"/>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4F466755"/>
    <w:multiLevelType w:val="hybridMultilevel"/>
    <w:tmpl w:val="D26E727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523F00CB"/>
    <w:multiLevelType w:val="hybridMultilevel"/>
    <w:tmpl w:val="1752F79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647C3D59"/>
    <w:multiLevelType w:val="multilevel"/>
    <w:tmpl w:val="E9D8921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7F9706FD"/>
    <w:multiLevelType w:val="hybridMultilevel"/>
    <w:tmpl w:val="847E3AE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72631774">
    <w:abstractNumId w:val="0"/>
  </w:num>
  <w:num w:numId="2" w16cid:durableId="922884179">
    <w:abstractNumId w:val="5"/>
  </w:num>
  <w:num w:numId="3" w16cid:durableId="1292399015">
    <w:abstractNumId w:val="3"/>
  </w:num>
  <w:num w:numId="4" w16cid:durableId="411699518">
    <w:abstractNumId w:val="6"/>
  </w:num>
  <w:num w:numId="5" w16cid:durableId="1499926718">
    <w:abstractNumId w:val="7"/>
  </w:num>
  <w:num w:numId="6" w16cid:durableId="2078360054">
    <w:abstractNumId w:val="2"/>
  </w:num>
  <w:num w:numId="7" w16cid:durableId="761296371">
    <w:abstractNumId w:val="4"/>
  </w:num>
  <w:num w:numId="8" w16cid:durableId="88972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79"/>
    <w:rsid w:val="002B0F55"/>
    <w:rsid w:val="002F07DC"/>
    <w:rsid w:val="003F6128"/>
    <w:rsid w:val="00436051"/>
    <w:rsid w:val="00452DD0"/>
    <w:rsid w:val="004B1908"/>
    <w:rsid w:val="00602BE4"/>
    <w:rsid w:val="00622CE9"/>
    <w:rsid w:val="007D3779"/>
    <w:rsid w:val="0083051F"/>
    <w:rsid w:val="008B5088"/>
    <w:rsid w:val="009872A8"/>
    <w:rsid w:val="00AE3536"/>
    <w:rsid w:val="00B7247A"/>
    <w:rsid w:val="00DE2078"/>
    <w:rsid w:val="00F61AD7"/>
    <w:rsid w:val="00F84E78"/>
    <w:rsid w:val="00FE58C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7283"/>
  <w15:chartTrackingRefBased/>
  <w15:docId w15:val="{E9230C61-8453-6A41-8024-49353FB3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779"/>
    <w:pPr>
      <w:spacing w:line="276" w:lineRule="auto"/>
    </w:pPr>
    <w:rPr>
      <w:rFonts w:ascii="Arial" w:eastAsia="Arial" w:hAnsi="Arial" w:cs="Arial"/>
      <w:kern w:val="0"/>
      <w:sz w:val="22"/>
      <w:szCs w:val="22"/>
      <w:lang w:val="en-GB" w:eastAsia="en-GB"/>
      <w14:ligatures w14:val="none"/>
    </w:rPr>
  </w:style>
  <w:style w:type="paragraph" w:styleId="Heading1">
    <w:name w:val="heading 1"/>
    <w:basedOn w:val="Normal"/>
    <w:next w:val="Normal"/>
    <w:link w:val="Heading1Char"/>
    <w:uiPriority w:val="9"/>
    <w:qFormat/>
    <w:rsid w:val="007D3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7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7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7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7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779"/>
    <w:rPr>
      <w:rFonts w:eastAsiaTheme="majorEastAsia" w:cstheme="majorBidi"/>
      <w:color w:val="272727" w:themeColor="text1" w:themeTint="D8"/>
    </w:rPr>
  </w:style>
  <w:style w:type="paragraph" w:styleId="Title">
    <w:name w:val="Title"/>
    <w:basedOn w:val="Normal"/>
    <w:next w:val="Normal"/>
    <w:link w:val="TitleChar"/>
    <w:uiPriority w:val="10"/>
    <w:qFormat/>
    <w:rsid w:val="007D37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7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7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3779"/>
    <w:rPr>
      <w:i/>
      <w:iCs/>
      <w:color w:val="404040" w:themeColor="text1" w:themeTint="BF"/>
    </w:rPr>
  </w:style>
  <w:style w:type="paragraph" w:styleId="ListParagraph">
    <w:name w:val="List Paragraph"/>
    <w:basedOn w:val="Normal"/>
    <w:uiPriority w:val="34"/>
    <w:qFormat/>
    <w:rsid w:val="007D3779"/>
    <w:pPr>
      <w:ind w:left="720"/>
      <w:contextualSpacing/>
    </w:pPr>
  </w:style>
  <w:style w:type="character" w:styleId="IntenseEmphasis">
    <w:name w:val="Intense Emphasis"/>
    <w:basedOn w:val="DefaultParagraphFont"/>
    <w:uiPriority w:val="21"/>
    <w:qFormat/>
    <w:rsid w:val="007D3779"/>
    <w:rPr>
      <w:i/>
      <w:iCs/>
      <w:color w:val="0F4761" w:themeColor="accent1" w:themeShade="BF"/>
    </w:rPr>
  </w:style>
  <w:style w:type="paragraph" w:styleId="IntenseQuote">
    <w:name w:val="Intense Quote"/>
    <w:basedOn w:val="Normal"/>
    <w:next w:val="Normal"/>
    <w:link w:val="IntenseQuoteChar"/>
    <w:uiPriority w:val="30"/>
    <w:qFormat/>
    <w:rsid w:val="007D3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779"/>
    <w:rPr>
      <w:i/>
      <w:iCs/>
      <w:color w:val="0F4761" w:themeColor="accent1" w:themeShade="BF"/>
    </w:rPr>
  </w:style>
  <w:style w:type="character" w:styleId="IntenseReference">
    <w:name w:val="Intense Reference"/>
    <w:basedOn w:val="DefaultParagraphFont"/>
    <w:uiPriority w:val="32"/>
    <w:qFormat/>
    <w:rsid w:val="007D3779"/>
    <w:rPr>
      <w:b/>
      <w:bCs/>
      <w:smallCaps/>
      <w:color w:val="0F4761" w:themeColor="accent1" w:themeShade="BF"/>
      <w:spacing w:val="5"/>
    </w:rPr>
  </w:style>
  <w:style w:type="table" w:styleId="TableGrid">
    <w:name w:val="Table Grid"/>
    <w:basedOn w:val="TableNormal"/>
    <w:uiPriority w:val="39"/>
    <w:rsid w:val="007D3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B1908"/>
    <w:rPr>
      <w:color w:val="467886" w:themeColor="hyperlink"/>
      <w:u w:val="single"/>
    </w:rPr>
  </w:style>
  <w:style w:type="paragraph" w:styleId="Footer">
    <w:name w:val="footer"/>
    <w:basedOn w:val="Normal"/>
    <w:link w:val="FooterChar"/>
    <w:uiPriority w:val="99"/>
    <w:unhideWhenUsed/>
    <w:rsid w:val="00602BE4"/>
    <w:pPr>
      <w:tabs>
        <w:tab w:val="center" w:pos="4680"/>
        <w:tab w:val="right" w:pos="9360"/>
      </w:tabs>
      <w:spacing w:line="240" w:lineRule="auto"/>
    </w:pPr>
  </w:style>
  <w:style w:type="character" w:customStyle="1" w:styleId="FooterChar">
    <w:name w:val="Footer Char"/>
    <w:basedOn w:val="DefaultParagraphFont"/>
    <w:link w:val="Footer"/>
    <w:uiPriority w:val="99"/>
    <w:rsid w:val="00602BE4"/>
    <w:rPr>
      <w:rFonts w:ascii="Arial" w:eastAsia="Arial" w:hAnsi="Arial" w:cs="Arial"/>
      <w:kern w:val="0"/>
      <w:sz w:val="22"/>
      <w:szCs w:val="22"/>
      <w:lang w:val="en-GB" w:eastAsia="en-GB"/>
      <w14:ligatures w14:val="none"/>
    </w:rPr>
  </w:style>
  <w:style w:type="character" w:styleId="PageNumber">
    <w:name w:val="page number"/>
    <w:basedOn w:val="DefaultParagraphFont"/>
    <w:uiPriority w:val="99"/>
    <w:semiHidden/>
    <w:unhideWhenUsed/>
    <w:rsid w:val="00602BE4"/>
  </w:style>
  <w:style w:type="paragraph" w:styleId="NoSpacing">
    <w:name w:val="No Spacing"/>
    <w:link w:val="NoSpacingChar"/>
    <w:uiPriority w:val="1"/>
    <w:qFormat/>
    <w:rsid w:val="003F6128"/>
    <w:rPr>
      <w:kern w:val="0"/>
      <w:sz w:val="22"/>
      <w:szCs w:val="22"/>
      <w14:ligatures w14:val="none"/>
    </w:rPr>
  </w:style>
  <w:style w:type="character" w:customStyle="1" w:styleId="NoSpacingChar">
    <w:name w:val="No Spacing Char"/>
    <w:link w:val="NoSpacing"/>
    <w:uiPriority w:val="1"/>
    <w:rsid w:val="003F612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e23050627" TargetMode="External"/><Relationship Id="rId18" Type="http://schemas.openxmlformats.org/officeDocument/2006/relationships/hyperlink" Target="https://newsociety.com/book/fostering-sustainable-behavior-3rd-edition/" TargetMode="External"/><Relationship Id="rId26" Type="http://schemas.openxmlformats.org/officeDocument/2006/relationships/hyperlink" Target="https://doi.org/10.1214/10-STS330" TargetMode="External"/><Relationship Id="rId3" Type="http://schemas.openxmlformats.org/officeDocument/2006/relationships/settings" Target="settings.xml"/><Relationship Id="rId21" Type="http://schemas.openxmlformats.org/officeDocument/2006/relationships/hyperlink" Target="https://doi.org/10.1108/IJSHE-02-2022-0046"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47191/ijmra/v6-i8-52" TargetMode="External"/><Relationship Id="rId17" Type="http://schemas.openxmlformats.org/officeDocument/2006/relationships/hyperlink" Target="https://doi.org/10.24905/rm3wmg39" TargetMode="External"/><Relationship Id="rId25" Type="http://schemas.openxmlformats.org/officeDocument/2006/relationships/hyperlink" Target="https://doi.org/10.1213/ANE.000000000000286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4536/ajec.v3i1.2389" TargetMode="External"/><Relationship Id="rId20" Type="http://schemas.openxmlformats.org/officeDocument/2006/relationships/hyperlink" Target="https://doi.org/10.1016/j.chemosphere.2021.133059" TargetMode="External"/><Relationship Id="rId29" Type="http://schemas.openxmlformats.org/officeDocument/2006/relationships/hyperlink" Target="https://doi.org/10.1080/03736245.2024.23159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1.681256" TargetMode="External"/><Relationship Id="rId24" Type="http://schemas.openxmlformats.org/officeDocument/2006/relationships/hyperlink" Target="https://doi.org/10.1007/s43621-024-00623-6"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8550/arXiv.2102.13387" TargetMode="External"/><Relationship Id="rId23" Type="http://schemas.openxmlformats.org/officeDocument/2006/relationships/hyperlink" Target="https://doi.org/10.3758/s13428-023-02095-4" TargetMode="External"/><Relationship Id="rId28" Type="http://schemas.openxmlformats.org/officeDocument/2006/relationships/hyperlink" Target="https://doi.org/10.1089/scc.2023.0021" TargetMode="External"/><Relationship Id="rId10" Type="http://schemas.openxmlformats.org/officeDocument/2006/relationships/hyperlink" Target="https://knowledgecommons.lakeheadu.ca/items/c4cb2e22-3c95-49b0-b62e-8e868a0f0c36" TargetMode="External"/><Relationship Id="rId19" Type="http://schemas.openxmlformats.org/officeDocument/2006/relationships/hyperlink" Target="https://doi.org/10.1016/j.jenvp.2009.09.001" TargetMode="External"/><Relationship Id="rId31" Type="http://schemas.openxmlformats.org/officeDocument/2006/relationships/hyperlink" Target="https://doi.org/10.3390/su17030933" TargetMode="External"/><Relationship Id="rId4" Type="http://schemas.openxmlformats.org/officeDocument/2006/relationships/webSettings" Target="webSettings.xml"/><Relationship Id="rId9" Type="http://schemas.openxmlformats.org/officeDocument/2006/relationships/hyperlink" Target="https://doi.org/10.3390/su9050755" TargetMode="External"/><Relationship Id="rId14" Type="http://schemas.openxmlformats.org/officeDocument/2006/relationships/hyperlink" Target="https://doi.org/10.1016/j.jenvman.2023.119106" TargetMode="External"/><Relationship Id="rId22" Type="http://schemas.openxmlformats.org/officeDocument/2006/relationships/hyperlink" Target="https://doi.org/10.1371/journal.pone.0299877" TargetMode="External"/><Relationship Id="rId27" Type="http://schemas.openxmlformats.org/officeDocument/2006/relationships/hyperlink" Target="https://doi.org/10.3389/fpsyg.2015.00805" TargetMode="External"/><Relationship Id="rId30" Type="http://schemas.openxmlformats.org/officeDocument/2006/relationships/hyperlink" Target="https://doi.org/10.3390/su15064791" TargetMode="External"/><Relationship Id="rId35" Type="http://schemas.openxmlformats.org/officeDocument/2006/relationships/theme" Target="theme/theme1.xml"/><Relationship Id="rId8" Type="http://schemas.openxmlformats.org/officeDocument/2006/relationships/hyperlink" Target="https://doi.org/10.3390/su17062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4756</Words>
  <Characters>27114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Lancian, Charisa Jane M.</dc:creator>
  <cp:keywords/>
  <dc:description/>
  <cp:lastModifiedBy>Calumpong, Mary Hyacinth L.</cp:lastModifiedBy>
  <cp:revision>3</cp:revision>
  <dcterms:created xsi:type="dcterms:W3CDTF">2026-06-25T11:49:00Z</dcterms:created>
  <dcterms:modified xsi:type="dcterms:W3CDTF">2026-06-25T12:20:00Z</dcterms:modified>
</cp:coreProperties>
</file>