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0EE01" w14:textId="77777777" w:rsidR="00E913A1" w:rsidRPr="00815AA9" w:rsidRDefault="00271936" w:rsidP="00271936">
      <w:pPr>
        <w:spacing w:line="240" w:lineRule="auto"/>
        <w:jc w:val="center"/>
        <w:rPr>
          <w:rFonts w:ascii="Times New Roman" w:hAnsi="Times New Roman" w:cs="Times New Roman"/>
          <w:b/>
          <w:sz w:val="24"/>
          <w:szCs w:val="24"/>
        </w:rPr>
      </w:pPr>
      <w:bookmarkStart w:id="0" w:name="_Toc189165838"/>
      <w:bookmarkStart w:id="1" w:name="_Toc212215498"/>
      <w:r w:rsidRPr="00815AA9">
        <w:rPr>
          <w:rFonts w:ascii="Times New Roman" w:hAnsi="Times New Roman" w:cs="Times New Roman"/>
          <w:b/>
          <w:sz w:val="24"/>
          <w:szCs w:val="24"/>
        </w:rPr>
        <w:t>TAX REVENUE AND THE ATTAINMENT OF SDG 8 AMONG AFRICAN COUNTRIES: AN EMPIRICAL ANALYSIS</w:t>
      </w:r>
    </w:p>
    <w:p w14:paraId="03775E3B" w14:textId="77777777" w:rsidR="00570413" w:rsidRPr="00815AA9" w:rsidRDefault="00570413" w:rsidP="00764836">
      <w:pPr>
        <w:spacing w:line="240" w:lineRule="auto"/>
        <w:jc w:val="both"/>
        <w:rPr>
          <w:rFonts w:ascii="Times New Roman" w:hAnsi="Times New Roman" w:cs="Times New Roman"/>
          <w:b/>
          <w:sz w:val="24"/>
          <w:szCs w:val="24"/>
        </w:rPr>
      </w:pPr>
      <w:r w:rsidRPr="00815AA9">
        <w:rPr>
          <w:rFonts w:ascii="Times New Roman" w:hAnsi="Times New Roman" w:cs="Times New Roman"/>
          <w:b/>
          <w:sz w:val="24"/>
          <w:szCs w:val="24"/>
        </w:rPr>
        <w:t>Abstract</w:t>
      </w:r>
    </w:p>
    <w:p w14:paraId="1566A3F3" w14:textId="77777777" w:rsidR="00570413" w:rsidRPr="00815AA9" w:rsidRDefault="00570413" w:rsidP="00570413">
      <w:pPr>
        <w:spacing w:line="240" w:lineRule="auto"/>
        <w:jc w:val="both"/>
        <w:rPr>
          <w:rFonts w:ascii="Times New Roman" w:hAnsi="Times New Roman" w:cs="Times New Roman"/>
          <w:sz w:val="24"/>
          <w:szCs w:val="24"/>
        </w:rPr>
      </w:pPr>
      <w:r w:rsidRPr="00815AA9">
        <w:rPr>
          <w:rFonts w:ascii="Times New Roman" w:hAnsi="Times New Roman" w:cs="Times New Roman"/>
          <w:sz w:val="24"/>
          <w:szCs w:val="24"/>
        </w:rPr>
        <w:t>Purpose</w:t>
      </w:r>
    </w:p>
    <w:p w14:paraId="1DAC62B1" w14:textId="77777777" w:rsidR="00570413" w:rsidRPr="00815AA9" w:rsidRDefault="00570413" w:rsidP="00570413">
      <w:pPr>
        <w:spacing w:line="240" w:lineRule="auto"/>
        <w:jc w:val="both"/>
        <w:rPr>
          <w:rFonts w:ascii="Times New Roman" w:hAnsi="Times New Roman" w:cs="Times New Roman"/>
          <w:sz w:val="24"/>
          <w:szCs w:val="24"/>
        </w:rPr>
      </w:pPr>
      <w:r w:rsidRPr="00815AA9">
        <w:rPr>
          <w:rFonts w:ascii="Times New Roman" w:hAnsi="Times New Roman" w:cs="Times New Roman"/>
          <w:sz w:val="24"/>
          <w:szCs w:val="24"/>
        </w:rPr>
        <w:t>This paper examined the effect of tax revenue on the attainment of decent work and economic growth (SDG 8) in selected African countries, focusing on key tax revenue components including customs and import duties, taxes on exports, taxes on goods and services, and taxes on income, profits, and capital gains.</w:t>
      </w:r>
    </w:p>
    <w:p w14:paraId="7952E9BA" w14:textId="77777777" w:rsidR="00570413" w:rsidRPr="00815AA9" w:rsidRDefault="00570413" w:rsidP="00570413">
      <w:pPr>
        <w:spacing w:line="240" w:lineRule="auto"/>
        <w:jc w:val="both"/>
        <w:rPr>
          <w:rFonts w:ascii="Times New Roman" w:hAnsi="Times New Roman" w:cs="Times New Roman"/>
          <w:sz w:val="24"/>
          <w:szCs w:val="24"/>
        </w:rPr>
      </w:pPr>
      <w:r w:rsidRPr="00815AA9">
        <w:rPr>
          <w:rFonts w:ascii="Times New Roman" w:hAnsi="Times New Roman" w:cs="Times New Roman"/>
          <w:sz w:val="24"/>
          <w:szCs w:val="24"/>
        </w:rPr>
        <w:t>Methodology</w:t>
      </w:r>
    </w:p>
    <w:p w14:paraId="7CDD8512" w14:textId="77777777" w:rsidR="00570413" w:rsidRPr="00815AA9" w:rsidRDefault="00570413" w:rsidP="00570413">
      <w:pPr>
        <w:spacing w:line="240" w:lineRule="auto"/>
        <w:jc w:val="both"/>
        <w:rPr>
          <w:rFonts w:ascii="Times New Roman" w:hAnsi="Times New Roman" w:cs="Times New Roman"/>
          <w:sz w:val="24"/>
          <w:szCs w:val="24"/>
        </w:rPr>
      </w:pPr>
      <w:r w:rsidRPr="00815AA9">
        <w:rPr>
          <w:rFonts w:ascii="Times New Roman" w:hAnsi="Times New Roman" w:cs="Times New Roman"/>
          <w:sz w:val="24"/>
          <w:szCs w:val="24"/>
        </w:rPr>
        <w:t xml:space="preserve">The study adopted an ex-post facto research design using panel data obtained from the World Bank’s World Development Indicators (WDI) database. The population consisted of all the 54 African countries, while 41 countries were purposively selected based on data availability. The dataset covered the period from 2001 to 2023. Decent Work and Economic Growth was measured using the SDG 8 index, while tax revenue variables included customs and other import duties, taxes on exports, taxes on goods and services, and taxes on income, profits, and capital gains. The analysis employed panel regression techniques, with diagnostic tests confirming the suitability of the estimation approach. </w:t>
      </w:r>
    </w:p>
    <w:p w14:paraId="5946F128" w14:textId="77777777" w:rsidR="00570413" w:rsidRPr="00815AA9" w:rsidRDefault="00570413" w:rsidP="00570413">
      <w:pPr>
        <w:spacing w:line="240" w:lineRule="auto"/>
        <w:jc w:val="both"/>
        <w:rPr>
          <w:rFonts w:ascii="Times New Roman" w:hAnsi="Times New Roman" w:cs="Times New Roman"/>
          <w:sz w:val="24"/>
          <w:szCs w:val="24"/>
        </w:rPr>
      </w:pPr>
      <w:r w:rsidRPr="00815AA9">
        <w:rPr>
          <w:rFonts w:ascii="Times New Roman" w:hAnsi="Times New Roman" w:cs="Times New Roman"/>
          <w:sz w:val="24"/>
          <w:szCs w:val="24"/>
        </w:rPr>
        <w:t>Findings</w:t>
      </w:r>
    </w:p>
    <w:p w14:paraId="119E81D9" w14:textId="77777777" w:rsidR="00570413" w:rsidRPr="00815AA9" w:rsidRDefault="00570413" w:rsidP="00570413">
      <w:pPr>
        <w:spacing w:line="240" w:lineRule="auto"/>
        <w:jc w:val="both"/>
        <w:rPr>
          <w:rFonts w:ascii="Times New Roman" w:hAnsi="Times New Roman" w:cs="Times New Roman"/>
          <w:sz w:val="24"/>
          <w:szCs w:val="24"/>
        </w:rPr>
      </w:pPr>
      <w:r w:rsidRPr="00815AA9">
        <w:rPr>
          <w:rFonts w:ascii="Times New Roman" w:hAnsi="Times New Roman" w:cs="Times New Roman"/>
          <w:sz w:val="24"/>
          <w:szCs w:val="24"/>
        </w:rPr>
        <w:t>The empirical results revealed mixed effects of tax revenue components on decent work and economic growth across the sampled African countries. Specifically, taxes on goods and services exhibited a positive and significant relationship with SDG 8, suggesting that consumption-based taxes contribute to improved economic productivity and employment outcomes. In contrast, taxes on income, profits, and capital gains showed a negative but insignificant relationship, indicating that direct taxation may have limited effectiveness in promoting growth within the sampled economies. Customs and other import duties demonstrated a negative impact, implying that trade-related taxes may constrain economic expansion and productivity when excessively applied. Overall, the results indicate that the structure and efficiency of tax systems significantly influence the extent to which tax revenues translate into improved employment and economic growth outcomes.</w:t>
      </w:r>
    </w:p>
    <w:p w14:paraId="08E80E0B" w14:textId="77777777" w:rsidR="00570413" w:rsidRPr="00815AA9" w:rsidRDefault="00570413" w:rsidP="00570413">
      <w:pPr>
        <w:spacing w:line="240" w:lineRule="auto"/>
        <w:jc w:val="both"/>
        <w:rPr>
          <w:rFonts w:ascii="Times New Roman" w:hAnsi="Times New Roman" w:cs="Times New Roman"/>
          <w:sz w:val="24"/>
          <w:szCs w:val="24"/>
        </w:rPr>
      </w:pPr>
      <w:r w:rsidRPr="00815AA9">
        <w:rPr>
          <w:rFonts w:ascii="Times New Roman" w:hAnsi="Times New Roman" w:cs="Times New Roman"/>
          <w:sz w:val="24"/>
          <w:szCs w:val="24"/>
        </w:rPr>
        <w:t>Implications</w:t>
      </w:r>
    </w:p>
    <w:p w14:paraId="496F75EA" w14:textId="77777777" w:rsidR="00570413" w:rsidRPr="00815AA9" w:rsidRDefault="00570413" w:rsidP="00570413">
      <w:pPr>
        <w:spacing w:line="240" w:lineRule="auto"/>
        <w:jc w:val="both"/>
        <w:rPr>
          <w:rFonts w:ascii="Times New Roman" w:hAnsi="Times New Roman" w:cs="Times New Roman"/>
          <w:sz w:val="24"/>
          <w:szCs w:val="24"/>
        </w:rPr>
      </w:pPr>
      <w:r w:rsidRPr="00815AA9">
        <w:rPr>
          <w:rFonts w:ascii="Times New Roman" w:hAnsi="Times New Roman" w:cs="Times New Roman"/>
          <w:sz w:val="24"/>
          <w:szCs w:val="24"/>
        </w:rPr>
        <w:t>The findings suggest that African governments should strengthen tax administration systems and prioritize efficient revenue mobilization strategies capable of supporting inclusive economic growth and employment generation. Policymakers should focus on expanding consumption-based tax bases, improving transparency in tax administration, and ensuring that tax revenues are effectively allocated to productive sectors such as infrastructure, education, and technological development. Strengthening fiscal institutions and improving governance will enhance the capacity of tax systems to support SDG 8 by promoting job creation, productivity growth, and sustainable economic development.</w:t>
      </w:r>
    </w:p>
    <w:p w14:paraId="540B7B82" w14:textId="77777777" w:rsidR="00570413" w:rsidRPr="00815AA9" w:rsidRDefault="00570413" w:rsidP="00570413">
      <w:pPr>
        <w:spacing w:line="240" w:lineRule="auto"/>
        <w:jc w:val="both"/>
        <w:rPr>
          <w:rFonts w:ascii="Times New Roman" w:hAnsi="Times New Roman" w:cs="Times New Roman"/>
          <w:sz w:val="24"/>
          <w:szCs w:val="24"/>
        </w:rPr>
      </w:pPr>
      <w:r w:rsidRPr="00815AA9">
        <w:rPr>
          <w:rFonts w:ascii="Times New Roman" w:hAnsi="Times New Roman" w:cs="Times New Roman"/>
          <w:sz w:val="24"/>
          <w:szCs w:val="24"/>
        </w:rPr>
        <w:t>Originality</w:t>
      </w:r>
    </w:p>
    <w:p w14:paraId="578DFA79" w14:textId="77777777" w:rsidR="00570413" w:rsidRPr="00815AA9" w:rsidRDefault="00570413" w:rsidP="00570413">
      <w:pPr>
        <w:spacing w:line="240" w:lineRule="auto"/>
        <w:jc w:val="both"/>
        <w:rPr>
          <w:rFonts w:ascii="Times New Roman" w:hAnsi="Times New Roman" w:cs="Times New Roman"/>
          <w:sz w:val="24"/>
          <w:szCs w:val="24"/>
        </w:rPr>
      </w:pPr>
      <w:r w:rsidRPr="00815AA9">
        <w:rPr>
          <w:rFonts w:ascii="Times New Roman" w:hAnsi="Times New Roman" w:cs="Times New Roman"/>
          <w:sz w:val="24"/>
          <w:szCs w:val="24"/>
        </w:rPr>
        <w:t xml:space="preserve">This study contributes to the growing literature on fiscal policy and sustainable development by linking tax revenue components with the attainment of SDG 8 across African countries. By examining multiple tax instruments within a panel data framework, the research provides new insights into how different tax structures influence employment creation and economic </w:t>
      </w:r>
      <w:r w:rsidRPr="00815AA9">
        <w:rPr>
          <w:rFonts w:ascii="Times New Roman" w:hAnsi="Times New Roman" w:cs="Times New Roman"/>
          <w:sz w:val="24"/>
          <w:szCs w:val="24"/>
        </w:rPr>
        <w:lastRenderedPageBreak/>
        <w:t>growth, highlighting the importance of efficient tax systems in achieving sustainable development goals in Africa.</w:t>
      </w:r>
    </w:p>
    <w:p w14:paraId="7CCEE266" w14:textId="77777777" w:rsidR="000E5C1F" w:rsidRPr="00815AA9" w:rsidRDefault="000E5C1F" w:rsidP="00570413">
      <w:pPr>
        <w:spacing w:line="240" w:lineRule="auto"/>
        <w:jc w:val="both"/>
        <w:rPr>
          <w:rFonts w:ascii="Times New Roman" w:hAnsi="Times New Roman" w:cs="Times New Roman"/>
          <w:sz w:val="24"/>
          <w:szCs w:val="24"/>
        </w:rPr>
      </w:pPr>
      <w:r w:rsidRPr="00815AA9">
        <w:rPr>
          <w:rFonts w:ascii="Times New Roman" w:hAnsi="Times New Roman" w:cs="Times New Roman"/>
          <w:b/>
          <w:sz w:val="24"/>
          <w:szCs w:val="24"/>
        </w:rPr>
        <w:t>Keywords:</w:t>
      </w:r>
      <w:r w:rsidRPr="00815AA9">
        <w:rPr>
          <w:rFonts w:ascii="Times New Roman" w:hAnsi="Times New Roman" w:cs="Times New Roman"/>
          <w:sz w:val="24"/>
          <w:szCs w:val="24"/>
        </w:rPr>
        <w:t xml:space="preserve"> Decent work, Economic growth, </w:t>
      </w:r>
      <w:r w:rsidRPr="00815AA9">
        <w:rPr>
          <w:rFonts w:ascii="Times New Roman" w:hAnsi="Times New Roman" w:cs="Times New Roman"/>
          <w:bCs/>
          <w:sz w:val="24"/>
          <w:szCs w:val="24"/>
        </w:rPr>
        <w:t>Endogenous growth theory</w:t>
      </w:r>
      <w:r w:rsidRPr="00815AA9">
        <w:rPr>
          <w:rFonts w:ascii="Times New Roman" w:hAnsi="Times New Roman" w:cs="Times New Roman"/>
          <w:sz w:val="24"/>
          <w:szCs w:val="24"/>
        </w:rPr>
        <w:t xml:space="preserve">, Gross domestic product, Sustainable development goals, Tax revenue. </w:t>
      </w:r>
    </w:p>
    <w:p w14:paraId="27D05938" w14:textId="77777777" w:rsidR="000E5C1F" w:rsidRPr="00815AA9" w:rsidRDefault="000E5C1F" w:rsidP="00570413">
      <w:pPr>
        <w:spacing w:line="240" w:lineRule="auto"/>
        <w:jc w:val="both"/>
        <w:rPr>
          <w:rFonts w:ascii="Times New Roman" w:hAnsi="Times New Roman" w:cs="Times New Roman"/>
          <w:sz w:val="24"/>
          <w:szCs w:val="24"/>
        </w:rPr>
      </w:pPr>
      <w:r w:rsidRPr="00815AA9">
        <w:rPr>
          <w:rFonts w:ascii="Times New Roman" w:hAnsi="Times New Roman" w:cs="Times New Roman"/>
          <w:b/>
          <w:sz w:val="24"/>
          <w:szCs w:val="24"/>
        </w:rPr>
        <w:t>JEL Classifications:</w:t>
      </w:r>
      <w:r w:rsidRPr="00815AA9">
        <w:rPr>
          <w:rFonts w:ascii="Times New Roman" w:hAnsi="Times New Roman" w:cs="Times New Roman"/>
          <w:sz w:val="24"/>
          <w:szCs w:val="24"/>
        </w:rPr>
        <w:t xml:space="preserve"> E24, H20, F43, J23, O47</w:t>
      </w:r>
    </w:p>
    <w:p w14:paraId="7EFB7E0D" w14:textId="77777777" w:rsidR="00DD76A6" w:rsidRPr="00815AA9" w:rsidRDefault="00DD76A6" w:rsidP="00764836">
      <w:pPr>
        <w:spacing w:line="240" w:lineRule="auto"/>
        <w:jc w:val="both"/>
        <w:rPr>
          <w:rFonts w:ascii="Times New Roman" w:hAnsi="Times New Roman" w:cs="Times New Roman"/>
          <w:b/>
          <w:sz w:val="24"/>
          <w:szCs w:val="24"/>
        </w:rPr>
      </w:pPr>
      <w:r w:rsidRPr="00815AA9">
        <w:rPr>
          <w:rFonts w:ascii="Times New Roman" w:hAnsi="Times New Roman" w:cs="Times New Roman"/>
          <w:b/>
          <w:sz w:val="24"/>
          <w:szCs w:val="24"/>
        </w:rPr>
        <w:t>1.0 Introduction</w:t>
      </w:r>
    </w:p>
    <w:p w14:paraId="111FA838" w14:textId="77777777" w:rsidR="00DD76A6" w:rsidRPr="00815AA9" w:rsidRDefault="00DD76A6" w:rsidP="00764836">
      <w:pPr>
        <w:spacing w:line="240" w:lineRule="auto"/>
        <w:jc w:val="both"/>
        <w:rPr>
          <w:rFonts w:ascii="Times New Roman" w:hAnsi="Times New Roman" w:cs="Times New Roman"/>
          <w:sz w:val="24"/>
          <w:szCs w:val="24"/>
          <w:lang w:val="en-GB"/>
        </w:rPr>
      </w:pPr>
      <w:r w:rsidRPr="00815AA9">
        <w:rPr>
          <w:rFonts w:ascii="Times New Roman" w:hAnsi="Times New Roman" w:cs="Times New Roman"/>
          <w:sz w:val="24"/>
          <w:szCs w:val="24"/>
          <w:lang w:val="en-GB"/>
        </w:rPr>
        <w:t xml:space="preserve">Achieving sustainable economic growth and productive employment remains one of the central development priorities for many countries, particularly in Africa. Within the framework of the United Nations Sustainable Development Goals (SDGs), </w:t>
      </w:r>
      <w:r w:rsidRPr="00815AA9">
        <w:rPr>
          <w:rFonts w:ascii="Times New Roman" w:hAnsi="Times New Roman" w:cs="Times New Roman"/>
          <w:bCs/>
          <w:sz w:val="24"/>
          <w:szCs w:val="24"/>
          <w:lang w:val="en-GB"/>
        </w:rPr>
        <w:t>SDG 8 (Decent Work and Economic Growth)</w:t>
      </w:r>
      <w:r w:rsidRPr="00815AA9">
        <w:rPr>
          <w:rFonts w:ascii="Times New Roman" w:hAnsi="Times New Roman" w:cs="Times New Roman"/>
          <w:sz w:val="24"/>
          <w:szCs w:val="24"/>
          <w:lang w:val="en-GB"/>
        </w:rPr>
        <w:t xml:space="preserve"> emphasizes the promotion of sustained, inclusive, and sustainable economic growth, full and productive employment, and decent work for all (United Nations, 2021). The attainment of this goal requires strong economic institutions, adequate public investment, and effective fiscal policies capable of supporting economic expansion and job creation. Among these fiscal instruments, </w:t>
      </w:r>
      <w:r w:rsidRPr="00815AA9">
        <w:rPr>
          <w:rFonts w:ascii="Times New Roman" w:hAnsi="Times New Roman" w:cs="Times New Roman"/>
          <w:bCs/>
          <w:sz w:val="24"/>
          <w:szCs w:val="24"/>
          <w:lang w:val="en-GB"/>
        </w:rPr>
        <w:t>tax revenue plays a crucial role in financing development initiatives that stimulate economic growth and improve labour market conditions</w:t>
      </w:r>
      <w:r w:rsidRPr="00815AA9">
        <w:rPr>
          <w:rFonts w:ascii="Times New Roman" w:hAnsi="Times New Roman" w:cs="Times New Roman"/>
          <w:sz w:val="24"/>
          <w:szCs w:val="24"/>
          <w:lang w:val="en-GB"/>
        </w:rPr>
        <w:t>.</w:t>
      </w:r>
    </w:p>
    <w:p w14:paraId="06852A9D" w14:textId="77777777" w:rsidR="00DD76A6" w:rsidRPr="00815AA9" w:rsidRDefault="00DD76A6" w:rsidP="00764836">
      <w:pPr>
        <w:spacing w:line="240" w:lineRule="auto"/>
        <w:jc w:val="both"/>
        <w:rPr>
          <w:rFonts w:ascii="Times New Roman" w:hAnsi="Times New Roman" w:cs="Times New Roman"/>
          <w:sz w:val="24"/>
          <w:szCs w:val="24"/>
          <w:lang w:val="en-GB"/>
        </w:rPr>
      </w:pPr>
      <w:r w:rsidRPr="00815AA9">
        <w:rPr>
          <w:rFonts w:ascii="Times New Roman" w:hAnsi="Times New Roman" w:cs="Times New Roman"/>
          <w:sz w:val="24"/>
          <w:szCs w:val="24"/>
          <w:lang w:val="en-GB"/>
        </w:rPr>
        <w:t>Economic sustainability extends beyond simple increases in gross domestic product and incorporates the capacity of economies to improve living standards while maintaining long-term productivity and social stability (González-Gómez &amp; García-González, 2022; Rossi &amp; Zambon, 2022; Sang &amp; Wang, 2023). In this regard, tax revenue represents a fundamental mechanism through which governments mobilize domestic resources to support economic activities, expand infrastructure, and provide essential public services that enhance productivity and employment opportunities. Countries that successfully strengthen their tax systems are better positioned to finance investments in education, infrastructure, technology, and industrial development, all of which contribute to improved labour productivity and sustainable economic growth (Amoah &amp; Amoako, 2022; Muriithi et al., 2022). Consequently, an efficient tax structure can significantly influence the realization of SDG 8 by providing the fiscal space necessary for governments to promote job creation and economic resilience.</w:t>
      </w:r>
    </w:p>
    <w:p w14:paraId="3DC07A57" w14:textId="77777777" w:rsidR="00DD76A6" w:rsidRPr="00815AA9" w:rsidRDefault="00DD76A6" w:rsidP="00764836">
      <w:pPr>
        <w:spacing w:line="240" w:lineRule="auto"/>
        <w:jc w:val="both"/>
        <w:rPr>
          <w:rFonts w:ascii="Times New Roman" w:hAnsi="Times New Roman" w:cs="Times New Roman"/>
          <w:sz w:val="24"/>
          <w:szCs w:val="24"/>
          <w:lang w:val="en-GB"/>
        </w:rPr>
      </w:pPr>
      <w:r w:rsidRPr="00815AA9">
        <w:rPr>
          <w:rFonts w:ascii="Times New Roman" w:hAnsi="Times New Roman" w:cs="Times New Roman"/>
          <w:sz w:val="24"/>
          <w:szCs w:val="24"/>
          <w:lang w:val="en-GB"/>
        </w:rPr>
        <w:t>Globally, the relationship between tax revenue and economic growth has received increasing scholarly attention. Effective governance structures and transparent taxation systems have been identified as essential components for strengthening economic sustainability and supporting long-term growth (</w:t>
      </w:r>
      <w:r w:rsidR="00815AA9" w:rsidRPr="00815AA9">
        <w:rPr>
          <w:rFonts w:ascii="Times New Roman" w:hAnsi="Times New Roman" w:cs="Times New Roman"/>
          <w:sz w:val="24"/>
          <w:szCs w:val="24"/>
        </w:rPr>
        <w:t>Ahmed et al., 2025; Ndiaye et al., 2026</w:t>
      </w:r>
      <w:r w:rsidRPr="00815AA9">
        <w:rPr>
          <w:rFonts w:ascii="Times New Roman" w:hAnsi="Times New Roman" w:cs="Times New Roman"/>
          <w:sz w:val="24"/>
          <w:szCs w:val="24"/>
          <w:lang w:val="en-GB"/>
        </w:rPr>
        <w:t>). Tax revenues enable governments to finance development programmes that stimulate economic activities and create employment opportunities, thereby promoting decent work and inclusive growth. In several advanced and emerging economies, robust tax systems have enabled governments to fund large-scale public investments and social programmes that support productive employment and technological advancement (OECD, 2022; European Commission, 2022).</w:t>
      </w:r>
    </w:p>
    <w:p w14:paraId="1C222304" w14:textId="77777777" w:rsidR="00DD76A6" w:rsidRPr="00815AA9" w:rsidRDefault="00DD76A6" w:rsidP="00764836">
      <w:pPr>
        <w:spacing w:line="240" w:lineRule="auto"/>
        <w:jc w:val="both"/>
        <w:rPr>
          <w:rFonts w:ascii="Times New Roman" w:hAnsi="Times New Roman" w:cs="Times New Roman"/>
          <w:sz w:val="24"/>
          <w:szCs w:val="24"/>
          <w:lang w:val="en-GB"/>
        </w:rPr>
      </w:pPr>
      <w:r w:rsidRPr="00815AA9">
        <w:rPr>
          <w:rFonts w:ascii="Times New Roman" w:hAnsi="Times New Roman" w:cs="Times New Roman"/>
          <w:sz w:val="24"/>
          <w:szCs w:val="24"/>
          <w:lang w:val="en-GB"/>
        </w:rPr>
        <w:t>However, many developing regions, particularly Africa, continue to face significant challenges in mobilizing adequate tax revenue to support economic growth and employment generation. Structural issues such as weak tax administration, large informal sectors, and limited fiscal capacity often restrict the ability of governments to generate sufficient domestic resources for development (African Development Bank, 2021). As a result, the potential of tax revenue to drive inclusive economic growth and decent work remains underutilized across many African economies.</w:t>
      </w:r>
    </w:p>
    <w:p w14:paraId="64A607E6" w14:textId="77777777" w:rsidR="00DD76A6" w:rsidRPr="00815AA9" w:rsidRDefault="00DD76A6" w:rsidP="00764836">
      <w:pPr>
        <w:spacing w:line="240" w:lineRule="auto"/>
        <w:jc w:val="both"/>
        <w:rPr>
          <w:rFonts w:ascii="Times New Roman" w:hAnsi="Times New Roman" w:cs="Times New Roman"/>
          <w:sz w:val="24"/>
          <w:szCs w:val="24"/>
          <w:lang w:val="en-GB"/>
        </w:rPr>
      </w:pPr>
      <w:r w:rsidRPr="00815AA9">
        <w:rPr>
          <w:rFonts w:ascii="Times New Roman" w:hAnsi="Times New Roman" w:cs="Times New Roman"/>
          <w:sz w:val="24"/>
          <w:szCs w:val="24"/>
          <w:lang w:val="en-GB"/>
        </w:rPr>
        <w:lastRenderedPageBreak/>
        <w:t xml:space="preserve">Nigeria provides a notable example of the challenges associated with achieving SDG 8. Despite policy reforms aimed at improving fiscal performance and economic development, progress toward inclusive growth and productive employment remains limited. Between 2015 and 2022, Nigeria recorded modest economic growth indicators, with per capita economic growth averaging about 53.9 and growth per employed person around 57.8 (Olabisi et al., 2025). Youth unemployment remains a major concern, with approximately </w:t>
      </w:r>
      <w:r w:rsidRPr="00815AA9">
        <w:rPr>
          <w:rFonts w:ascii="Times New Roman" w:hAnsi="Times New Roman" w:cs="Times New Roman"/>
          <w:bCs/>
          <w:sz w:val="24"/>
          <w:szCs w:val="24"/>
          <w:lang w:val="en-GB"/>
        </w:rPr>
        <w:t>57% of young people aged 15–24 neither in employment, education, nor training</w:t>
      </w:r>
      <w:r w:rsidRPr="00815AA9">
        <w:rPr>
          <w:rFonts w:ascii="Times New Roman" w:hAnsi="Times New Roman" w:cs="Times New Roman"/>
          <w:sz w:val="24"/>
          <w:szCs w:val="24"/>
          <w:lang w:val="en-GB"/>
        </w:rPr>
        <w:t>, highlighting the persistent difficulty in translating economic activities into decent employment opportunities (Olabisi et al., 2025; UN Sustainable Development Knowledge Platform, 2025). Additionally, the informal sector accounts for more than half of Nigeria’s gross domestic product and labour force, reflecting weak structural transformation and limited formal employment opportunities (UN Sustainable Development Knowledge Platform, 2025).</w:t>
      </w:r>
    </w:p>
    <w:p w14:paraId="5089EC47" w14:textId="77777777" w:rsidR="00DD76A6" w:rsidRPr="00815AA9" w:rsidRDefault="00DD76A6" w:rsidP="00764836">
      <w:pPr>
        <w:spacing w:line="240" w:lineRule="auto"/>
        <w:jc w:val="both"/>
        <w:rPr>
          <w:rFonts w:ascii="Times New Roman" w:hAnsi="Times New Roman" w:cs="Times New Roman"/>
          <w:sz w:val="24"/>
          <w:szCs w:val="24"/>
          <w:lang w:val="en-GB"/>
        </w:rPr>
      </w:pPr>
      <w:r w:rsidRPr="00815AA9">
        <w:rPr>
          <w:rFonts w:ascii="Times New Roman" w:hAnsi="Times New Roman" w:cs="Times New Roman"/>
          <w:sz w:val="24"/>
          <w:szCs w:val="24"/>
          <w:lang w:val="en-GB"/>
        </w:rPr>
        <w:t xml:space="preserve">Fiscal constraints further complicate the achievement of SDG 8 in many African economies. For instance, Nigeria’s government revenue remains relatively low, estimated at </w:t>
      </w:r>
      <w:r w:rsidRPr="00815AA9">
        <w:rPr>
          <w:rFonts w:ascii="Times New Roman" w:hAnsi="Times New Roman" w:cs="Times New Roman"/>
          <w:bCs/>
          <w:sz w:val="24"/>
          <w:szCs w:val="24"/>
          <w:lang w:val="en-GB"/>
        </w:rPr>
        <w:t>about 9.6% of GDP</w:t>
      </w:r>
      <w:r w:rsidRPr="00815AA9">
        <w:rPr>
          <w:rFonts w:ascii="Times New Roman" w:hAnsi="Times New Roman" w:cs="Times New Roman"/>
          <w:sz w:val="24"/>
          <w:szCs w:val="24"/>
          <w:lang w:val="en-GB"/>
        </w:rPr>
        <w:t>, which significantly limits the government’s capacity to invest in critical sectors necessary for employment generation and economic expansion (UN High-Level Political Forum, 2025). Such fiscal limitations reduce the ability of governments to finance infrastructure development, industrialization programmes, and labour market initiatives that are essential for promoting decent work and sustainable economic growth.</w:t>
      </w:r>
    </w:p>
    <w:p w14:paraId="563A44F2" w14:textId="77777777" w:rsidR="00DD76A6" w:rsidRPr="00815AA9" w:rsidRDefault="00DD76A6" w:rsidP="00764836">
      <w:pPr>
        <w:spacing w:line="240" w:lineRule="auto"/>
        <w:jc w:val="both"/>
        <w:rPr>
          <w:rFonts w:ascii="Times New Roman" w:hAnsi="Times New Roman" w:cs="Times New Roman"/>
          <w:sz w:val="24"/>
          <w:szCs w:val="24"/>
          <w:lang w:val="en-GB"/>
        </w:rPr>
      </w:pPr>
      <w:r w:rsidRPr="00815AA9">
        <w:rPr>
          <w:rFonts w:ascii="Times New Roman" w:hAnsi="Times New Roman" w:cs="Times New Roman"/>
          <w:sz w:val="24"/>
          <w:szCs w:val="24"/>
          <w:lang w:val="en-GB"/>
        </w:rPr>
        <w:t>Given these challenges, strengthening tax revenue systems is increasingly recognized as a critical pathway for improving economic sustainability and achieving SDG 8. Adequate tax revenue allows governments to finance policies that stimulate economic productivity, support entrepreneurship, and expand employment opportunities. Therefore, understanding the relationship between tax revenue and decent work and economic growth is essential for designing effective fiscal strategies capable of promoting inclusive and sustainable economic development across African countries. This, this paper addressed the how tax revenue components affect the attainment level of SDG 8 in the selected African countries.</w:t>
      </w:r>
      <w:r w:rsidR="001211B8" w:rsidRPr="00815AA9">
        <w:rPr>
          <w:rFonts w:ascii="Times New Roman" w:hAnsi="Times New Roman" w:cs="Times New Roman"/>
          <w:sz w:val="24"/>
          <w:szCs w:val="24"/>
          <w:lang w:val="en-GB"/>
        </w:rPr>
        <w:t xml:space="preserve"> The research </w:t>
      </w:r>
      <w:r w:rsidR="00827420" w:rsidRPr="00815AA9">
        <w:rPr>
          <w:rFonts w:ascii="Times New Roman" w:hAnsi="Times New Roman" w:cs="Times New Roman"/>
          <w:sz w:val="24"/>
          <w:szCs w:val="24"/>
          <w:lang w:val="en-GB"/>
        </w:rPr>
        <w:t>question</w:t>
      </w:r>
      <w:r w:rsidR="001211B8" w:rsidRPr="00815AA9">
        <w:rPr>
          <w:rFonts w:ascii="Times New Roman" w:hAnsi="Times New Roman" w:cs="Times New Roman"/>
          <w:sz w:val="24"/>
          <w:szCs w:val="24"/>
          <w:lang w:val="en-GB"/>
        </w:rPr>
        <w:t xml:space="preserve"> and hypothesis are formulated thus:</w:t>
      </w:r>
    </w:p>
    <w:p w14:paraId="1473DA00" w14:textId="77777777" w:rsidR="001211B8" w:rsidRPr="00815AA9" w:rsidRDefault="001211B8" w:rsidP="001211B8">
      <w:pPr>
        <w:spacing w:before="200" w:line="240" w:lineRule="auto"/>
        <w:jc w:val="both"/>
        <w:rPr>
          <w:rFonts w:ascii="Times New Roman" w:hAnsi="Times New Roman" w:cs="Times New Roman"/>
          <w:bCs/>
          <w:sz w:val="24"/>
          <w:szCs w:val="24"/>
        </w:rPr>
      </w:pPr>
      <w:r w:rsidRPr="00815AA9">
        <w:rPr>
          <w:rFonts w:ascii="Times New Roman" w:hAnsi="Times New Roman" w:cs="Times New Roman"/>
          <w:b/>
          <w:bCs/>
          <w:sz w:val="24"/>
          <w:szCs w:val="24"/>
        </w:rPr>
        <w:t>Research Question:</w:t>
      </w:r>
      <w:r w:rsidRPr="00815AA9">
        <w:rPr>
          <w:rFonts w:ascii="Times New Roman" w:hAnsi="Times New Roman" w:cs="Times New Roman"/>
          <w:bCs/>
          <w:sz w:val="24"/>
          <w:szCs w:val="24"/>
        </w:rPr>
        <w:t xml:space="preserve"> What effect does tax revenue have on decent work and economic growth in selected African countries?</w:t>
      </w:r>
    </w:p>
    <w:p w14:paraId="3B7EDC8F" w14:textId="77777777" w:rsidR="001211B8" w:rsidRPr="00815AA9" w:rsidRDefault="001211B8" w:rsidP="001211B8">
      <w:pPr>
        <w:spacing w:line="240" w:lineRule="auto"/>
        <w:jc w:val="both"/>
        <w:rPr>
          <w:rFonts w:ascii="Times New Roman" w:hAnsi="Times New Roman" w:cs="Times New Roman"/>
          <w:sz w:val="24"/>
          <w:szCs w:val="24"/>
        </w:rPr>
      </w:pPr>
      <w:r w:rsidRPr="00815AA9">
        <w:rPr>
          <w:rFonts w:ascii="Times New Roman" w:hAnsi="Times New Roman" w:cs="Times New Roman"/>
          <w:b/>
          <w:bCs/>
          <w:sz w:val="24"/>
          <w:szCs w:val="24"/>
        </w:rPr>
        <w:t>Research Hypothesis (</w:t>
      </w:r>
      <w:r w:rsidRPr="00815AA9">
        <w:rPr>
          <w:rFonts w:ascii="Times New Roman" w:hAnsi="Times New Roman" w:cs="Times New Roman"/>
          <w:b/>
          <w:sz w:val="24"/>
          <w:szCs w:val="24"/>
        </w:rPr>
        <w:t>H</w:t>
      </w:r>
      <w:r w:rsidRPr="00815AA9">
        <w:rPr>
          <w:rFonts w:ascii="Times New Roman" w:hAnsi="Times New Roman" w:cs="Times New Roman"/>
          <w:b/>
          <w:sz w:val="24"/>
          <w:szCs w:val="24"/>
          <w:vertAlign w:val="subscript"/>
        </w:rPr>
        <w:t>0</w:t>
      </w:r>
      <w:r w:rsidRPr="00815AA9">
        <w:rPr>
          <w:rFonts w:ascii="Times New Roman" w:hAnsi="Times New Roman" w:cs="Times New Roman"/>
          <w:b/>
          <w:sz w:val="24"/>
          <w:szCs w:val="24"/>
        </w:rPr>
        <w:t>)</w:t>
      </w:r>
      <w:r w:rsidRPr="00815AA9">
        <w:rPr>
          <w:rFonts w:ascii="Times New Roman" w:hAnsi="Times New Roman" w:cs="Times New Roman"/>
          <w:sz w:val="24"/>
          <w:szCs w:val="24"/>
        </w:rPr>
        <w:t>:</w:t>
      </w:r>
      <w:r w:rsidRPr="00815AA9">
        <w:rPr>
          <w:rFonts w:ascii="Times New Roman" w:hAnsi="Times New Roman" w:cs="Times New Roman"/>
          <w:bCs/>
          <w:sz w:val="24"/>
          <w:szCs w:val="24"/>
        </w:rPr>
        <w:t xml:space="preserve"> </w:t>
      </w:r>
      <w:r w:rsidRPr="00815AA9">
        <w:rPr>
          <w:rFonts w:ascii="Times New Roman" w:hAnsi="Times New Roman" w:cs="Times New Roman"/>
          <w:bCs/>
          <w:sz w:val="24"/>
          <w:szCs w:val="24"/>
          <w:lang w:val="en-GB"/>
        </w:rPr>
        <w:t>Tax revenue does not significantly affect decent work and economic growth in selected African countries</w:t>
      </w:r>
    </w:p>
    <w:p w14:paraId="0CE03A63" w14:textId="77777777" w:rsidR="00DD76A6" w:rsidRPr="00815AA9" w:rsidRDefault="00DD76A6" w:rsidP="00764836">
      <w:pPr>
        <w:spacing w:line="240" w:lineRule="auto"/>
        <w:jc w:val="both"/>
        <w:rPr>
          <w:rFonts w:ascii="Times New Roman" w:hAnsi="Times New Roman" w:cs="Times New Roman"/>
          <w:sz w:val="24"/>
          <w:szCs w:val="24"/>
          <w:lang w:val="en-GB"/>
        </w:rPr>
      </w:pPr>
      <w:r w:rsidRPr="00815AA9">
        <w:rPr>
          <w:rFonts w:ascii="Times New Roman" w:hAnsi="Times New Roman" w:cs="Times New Roman"/>
          <w:sz w:val="24"/>
          <w:szCs w:val="24"/>
          <w:lang w:val="en-GB"/>
        </w:rPr>
        <w:t xml:space="preserve">The rest of </w:t>
      </w:r>
      <w:r w:rsidR="001234F4" w:rsidRPr="00815AA9">
        <w:rPr>
          <w:rFonts w:ascii="Times New Roman" w:hAnsi="Times New Roman" w:cs="Times New Roman"/>
          <w:sz w:val="24"/>
          <w:szCs w:val="24"/>
          <w:lang w:val="en-GB"/>
        </w:rPr>
        <w:t xml:space="preserve">the paper is </w:t>
      </w:r>
      <w:r w:rsidRPr="00815AA9">
        <w:rPr>
          <w:rFonts w:ascii="Times New Roman" w:hAnsi="Times New Roman" w:cs="Times New Roman"/>
          <w:sz w:val="24"/>
          <w:szCs w:val="24"/>
          <w:lang w:val="en-GB"/>
        </w:rPr>
        <w:t>sectioned into four. Sections 2 explained the review of extant literature conceptually, theoretically and empirically; section 3 discussed the methodology adopted in conducting the study, while the data analysis, results, discussions and implications of the study were discussed in section 4; the summary, conclusion and recommendations were explained in section 5 accordingly.</w:t>
      </w:r>
    </w:p>
    <w:p w14:paraId="112C92AD" w14:textId="77777777" w:rsidR="009E7A21" w:rsidRPr="00815AA9" w:rsidRDefault="00DD76A6" w:rsidP="00764836">
      <w:pPr>
        <w:spacing w:line="240" w:lineRule="auto"/>
        <w:jc w:val="both"/>
        <w:rPr>
          <w:rFonts w:ascii="Times New Roman" w:hAnsi="Times New Roman" w:cs="Times New Roman"/>
          <w:b/>
          <w:sz w:val="24"/>
          <w:szCs w:val="24"/>
        </w:rPr>
      </w:pPr>
      <w:r w:rsidRPr="00815AA9">
        <w:rPr>
          <w:rFonts w:ascii="Times New Roman" w:hAnsi="Times New Roman" w:cs="Times New Roman"/>
          <w:b/>
          <w:sz w:val="24"/>
          <w:szCs w:val="24"/>
        </w:rPr>
        <w:t>2.0</w:t>
      </w:r>
      <w:r w:rsidR="009E7A21" w:rsidRPr="00815AA9">
        <w:rPr>
          <w:rFonts w:ascii="Times New Roman" w:hAnsi="Times New Roman" w:cs="Times New Roman"/>
          <w:b/>
          <w:sz w:val="24"/>
          <w:szCs w:val="24"/>
        </w:rPr>
        <w:t xml:space="preserve"> Review of Literature</w:t>
      </w:r>
    </w:p>
    <w:p w14:paraId="7603BEDA" w14:textId="77777777" w:rsidR="009E7A21" w:rsidRPr="00815AA9" w:rsidRDefault="00DD76A6" w:rsidP="00764836">
      <w:pPr>
        <w:spacing w:line="240" w:lineRule="auto"/>
        <w:jc w:val="both"/>
        <w:rPr>
          <w:rFonts w:ascii="Times New Roman" w:hAnsi="Times New Roman" w:cs="Times New Roman"/>
          <w:sz w:val="24"/>
          <w:szCs w:val="24"/>
        </w:rPr>
      </w:pPr>
      <w:r w:rsidRPr="00815AA9">
        <w:rPr>
          <w:rFonts w:ascii="Times New Roman" w:hAnsi="Times New Roman" w:cs="Times New Roman"/>
          <w:sz w:val="24"/>
          <w:szCs w:val="24"/>
        </w:rPr>
        <w:t>In this section the review of the concepts of tax revenue components and SDG8 (decent wo</w:t>
      </w:r>
      <w:r w:rsidR="00827420" w:rsidRPr="00815AA9">
        <w:rPr>
          <w:rFonts w:ascii="Times New Roman" w:hAnsi="Times New Roman" w:cs="Times New Roman"/>
          <w:sz w:val="24"/>
          <w:szCs w:val="24"/>
        </w:rPr>
        <w:t>rk and economic growth) was conducted</w:t>
      </w:r>
      <w:r w:rsidRPr="00815AA9">
        <w:rPr>
          <w:rFonts w:ascii="Times New Roman" w:hAnsi="Times New Roman" w:cs="Times New Roman"/>
          <w:sz w:val="24"/>
          <w:szCs w:val="24"/>
        </w:rPr>
        <w:t>; the underlying theories were discussed and the existing related studies were reviewed.</w:t>
      </w:r>
    </w:p>
    <w:p w14:paraId="1F9298D7" w14:textId="77777777" w:rsidR="009B5140" w:rsidRDefault="009B5140" w:rsidP="00764836">
      <w:pPr>
        <w:spacing w:line="240" w:lineRule="auto"/>
        <w:jc w:val="both"/>
        <w:rPr>
          <w:rFonts w:ascii="Times New Roman" w:hAnsi="Times New Roman" w:cs="Times New Roman"/>
          <w:b/>
          <w:sz w:val="24"/>
          <w:szCs w:val="24"/>
        </w:rPr>
      </w:pPr>
    </w:p>
    <w:p w14:paraId="131D8BFE" w14:textId="77777777" w:rsidR="009B5140" w:rsidRDefault="009B5140" w:rsidP="00764836">
      <w:pPr>
        <w:spacing w:line="240" w:lineRule="auto"/>
        <w:jc w:val="both"/>
        <w:rPr>
          <w:rFonts w:ascii="Times New Roman" w:hAnsi="Times New Roman" w:cs="Times New Roman"/>
          <w:b/>
          <w:sz w:val="24"/>
          <w:szCs w:val="24"/>
        </w:rPr>
      </w:pPr>
    </w:p>
    <w:p w14:paraId="0C800FE0" w14:textId="77777777" w:rsidR="009B5140" w:rsidRDefault="009B5140" w:rsidP="00764836">
      <w:pPr>
        <w:spacing w:line="240" w:lineRule="auto"/>
        <w:jc w:val="both"/>
        <w:rPr>
          <w:rFonts w:ascii="Times New Roman" w:hAnsi="Times New Roman" w:cs="Times New Roman"/>
          <w:b/>
          <w:sz w:val="24"/>
          <w:szCs w:val="24"/>
        </w:rPr>
      </w:pPr>
    </w:p>
    <w:p w14:paraId="08BDA065" w14:textId="6F9043A5" w:rsidR="00DD76A6" w:rsidRPr="00815AA9" w:rsidRDefault="00DD76A6" w:rsidP="00764836">
      <w:pPr>
        <w:spacing w:line="240" w:lineRule="auto"/>
        <w:jc w:val="both"/>
        <w:rPr>
          <w:rFonts w:ascii="Times New Roman" w:hAnsi="Times New Roman" w:cs="Times New Roman"/>
          <w:b/>
          <w:sz w:val="24"/>
          <w:szCs w:val="24"/>
        </w:rPr>
      </w:pPr>
      <w:r w:rsidRPr="00815AA9">
        <w:rPr>
          <w:rFonts w:ascii="Times New Roman" w:hAnsi="Times New Roman" w:cs="Times New Roman"/>
          <w:b/>
          <w:sz w:val="24"/>
          <w:szCs w:val="24"/>
        </w:rPr>
        <w:lastRenderedPageBreak/>
        <w:t>2.1</w:t>
      </w:r>
      <w:r w:rsidRPr="00815AA9">
        <w:rPr>
          <w:rFonts w:ascii="Times New Roman" w:hAnsi="Times New Roman" w:cs="Times New Roman"/>
          <w:b/>
          <w:sz w:val="24"/>
          <w:szCs w:val="24"/>
        </w:rPr>
        <w:tab/>
        <w:t>Review of Concepts</w:t>
      </w:r>
    </w:p>
    <w:p w14:paraId="6DBEE515" w14:textId="77777777" w:rsidR="001234F4" w:rsidRPr="00815AA9" w:rsidRDefault="0017202D" w:rsidP="00764836">
      <w:pPr>
        <w:spacing w:line="240" w:lineRule="auto"/>
        <w:jc w:val="both"/>
        <w:rPr>
          <w:rFonts w:ascii="Times New Roman" w:hAnsi="Times New Roman" w:cs="Times New Roman"/>
          <w:b/>
          <w:i/>
          <w:sz w:val="24"/>
          <w:szCs w:val="24"/>
        </w:rPr>
      </w:pPr>
      <w:r w:rsidRPr="00815AA9">
        <w:rPr>
          <w:rFonts w:ascii="Times New Roman" w:hAnsi="Times New Roman" w:cs="Times New Roman"/>
          <w:b/>
          <w:i/>
          <w:sz w:val="24"/>
          <w:szCs w:val="24"/>
        </w:rPr>
        <w:t>Decent Work and Economic Growth (SDG 8)</w:t>
      </w:r>
    </w:p>
    <w:p w14:paraId="4F673EC7" w14:textId="77777777" w:rsidR="0017202D" w:rsidRPr="00815AA9" w:rsidRDefault="0017202D" w:rsidP="00764836">
      <w:pPr>
        <w:spacing w:line="240" w:lineRule="auto"/>
        <w:jc w:val="both"/>
        <w:rPr>
          <w:rFonts w:ascii="Times New Roman" w:hAnsi="Times New Roman" w:cs="Times New Roman"/>
          <w:sz w:val="24"/>
          <w:szCs w:val="24"/>
        </w:rPr>
      </w:pPr>
      <w:r w:rsidRPr="00815AA9">
        <w:rPr>
          <w:rFonts w:ascii="Times New Roman" w:hAnsi="Times New Roman" w:cs="Times New Roman"/>
          <w:sz w:val="24"/>
          <w:szCs w:val="24"/>
        </w:rPr>
        <w:t xml:space="preserve">According to </w:t>
      </w:r>
      <w:r w:rsidRPr="00815AA9">
        <w:rPr>
          <w:rFonts w:ascii="Times New Roman" w:hAnsi="Times New Roman" w:cs="Times New Roman"/>
          <w:bCs/>
          <w:sz w:val="24"/>
          <w:szCs w:val="24"/>
        </w:rPr>
        <w:t>Sustainable Development Goal 8</w:t>
      </w:r>
      <w:r w:rsidRPr="00815AA9">
        <w:rPr>
          <w:rFonts w:ascii="Times New Roman" w:hAnsi="Times New Roman" w:cs="Times New Roman"/>
          <w:sz w:val="24"/>
          <w:szCs w:val="24"/>
        </w:rPr>
        <w:t xml:space="preserve">, </w:t>
      </w:r>
      <w:r w:rsidRPr="00815AA9">
        <w:rPr>
          <w:rFonts w:ascii="Times New Roman" w:hAnsi="Times New Roman" w:cs="Times New Roman"/>
          <w:bCs/>
          <w:sz w:val="24"/>
          <w:szCs w:val="24"/>
        </w:rPr>
        <w:t>decent work and economic growth</w:t>
      </w:r>
      <w:r w:rsidRPr="00815AA9">
        <w:rPr>
          <w:rFonts w:ascii="Times New Roman" w:hAnsi="Times New Roman" w:cs="Times New Roman"/>
          <w:sz w:val="24"/>
          <w:szCs w:val="24"/>
        </w:rPr>
        <w:t xml:space="preserve"> refer to the global commitment to </w:t>
      </w:r>
      <w:r w:rsidRPr="00815AA9">
        <w:rPr>
          <w:rFonts w:ascii="Times New Roman" w:hAnsi="Times New Roman" w:cs="Times New Roman"/>
          <w:bCs/>
          <w:sz w:val="24"/>
          <w:szCs w:val="24"/>
        </w:rPr>
        <w:t>“promote sustained, inclusive and sustainable economic growth, full and productive employment and decent work for all.”</w:t>
      </w:r>
      <w:r w:rsidRPr="00815AA9">
        <w:rPr>
          <w:rFonts w:ascii="Times New Roman" w:hAnsi="Times New Roman" w:cs="Times New Roman"/>
          <w:sz w:val="24"/>
          <w:szCs w:val="24"/>
        </w:rPr>
        <w:t xml:space="preserve"> This goal was adopted by the </w:t>
      </w:r>
      <w:r w:rsidRPr="00815AA9">
        <w:rPr>
          <w:rFonts w:ascii="Times New Roman" w:hAnsi="Times New Roman" w:cs="Times New Roman"/>
          <w:bCs/>
          <w:sz w:val="24"/>
          <w:szCs w:val="24"/>
        </w:rPr>
        <w:t>United Nations</w:t>
      </w:r>
      <w:r w:rsidRPr="00815AA9">
        <w:rPr>
          <w:rFonts w:ascii="Times New Roman" w:hAnsi="Times New Roman" w:cs="Times New Roman"/>
          <w:sz w:val="24"/>
          <w:szCs w:val="24"/>
        </w:rPr>
        <w:t xml:space="preserve"> in 2015 as part of the 2030 Agenda for Sustainable Development and emphasizes that economic expansion must be accompanied by quality employment opportunities and improved labour conditions (United Nations, 2023). Within this framework, </w:t>
      </w:r>
      <w:r w:rsidRPr="00815AA9">
        <w:rPr>
          <w:rFonts w:ascii="Times New Roman" w:hAnsi="Times New Roman" w:cs="Times New Roman"/>
          <w:bCs/>
          <w:sz w:val="24"/>
          <w:szCs w:val="24"/>
        </w:rPr>
        <w:t>decent work</w:t>
      </w:r>
      <w:r w:rsidRPr="00815AA9">
        <w:rPr>
          <w:rFonts w:ascii="Times New Roman" w:hAnsi="Times New Roman" w:cs="Times New Roman"/>
          <w:sz w:val="24"/>
          <w:szCs w:val="24"/>
        </w:rPr>
        <w:t xml:space="preserve"> refers to employment that provides fair income, security in the workplace, social protection for workers and their families, opportunities for personal development and social integration, freedom for workers to express their concerns and participate in decisions affecting their work, and equality of opportunity and treatment for all individuals regardless of gender or status (United Nations, 2023; International Labour Organization, 2023). On the other hand, </w:t>
      </w:r>
      <w:r w:rsidRPr="00815AA9">
        <w:rPr>
          <w:rFonts w:ascii="Times New Roman" w:hAnsi="Times New Roman" w:cs="Times New Roman"/>
          <w:bCs/>
          <w:sz w:val="24"/>
          <w:szCs w:val="24"/>
        </w:rPr>
        <w:t>economic growth</w:t>
      </w:r>
      <w:r w:rsidRPr="00815AA9">
        <w:rPr>
          <w:rFonts w:ascii="Times New Roman" w:hAnsi="Times New Roman" w:cs="Times New Roman"/>
          <w:sz w:val="24"/>
          <w:szCs w:val="24"/>
        </w:rPr>
        <w:t xml:space="preserve"> under SDG 8 refers to sustained increases in productive economic activities that raise per-capita income levels, enhance labour productivity, and create employment opportunities capable of improving living standards in a sustainable and inclusive manner (United Nations, 2023). SDG 8 therefore integrates several key targets that collectively constitute decent work and economic growth, including sustaining per-capita economic growth, improving productivity through technological upgrading and innovation, promoting policies that support entrepreneurship and productive activities, encouraging the growth and formalization of micro, small and medium enterprises, improving resource efficiency in production and consumption, achieving full and productive employment with equal pay for work of equal value, promoting youth employment and skills development, eradicating forced labour and child labour, protecting labour rights and ensuring safe working environments, promoting sustainable tourism that generates employment, and expanding access to financial services such as banking and insurance (International Labour Organization, 2023; United Nations, 2023).</w:t>
      </w:r>
    </w:p>
    <w:p w14:paraId="46E044B7" w14:textId="77777777" w:rsidR="0017202D" w:rsidRPr="00815AA9" w:rsidRDefault="0017202D" w:rsidP="00764836">
      <w:pPr>
        <w:spacing w:line="240" w:lineRule="auto"/>
        <w:jc w:val="both"/>
        <w:rPr>
          <w:rFonts w:ascii="Times New Roman" w:hAnsi="Times New Roman" w:cs="Times New Roman"/>
          <w:b/>
          <w:i/>
          <w:sz w:val="24"/>
          <w:szCs w:val="24"/>
        </w:rPr>
      </w:pPr>
      <w:r w:rsidRPr="00815AA9">
        <w:rPr>
          <w:rFonts w:ascii="Times New Roman" w:hAnsi="Times New Roman" w:cs="Times New Roman"/>
          <w:b/>
          <w:i/>
          <w:sz w:val="24"/>
          <w:szCs w:val="24"/>
        </w:rPr>
        <w:t>Tax Revenue</w:t>
      </w:r>
    </w:p>
    <w:p w14:paraId="24B8F3F4" w14:textId="77777777" w:rsidR="0017202D" w:rsidRPr="00815AA9" w:rsidRDefault="0017202D" w:rsidP="00764836">
      <w:pPr>
        <w:spacing w:line="240" w:lineRule="auto"/>
        <w:jc w:val="both"/>
        <w:rPr>
          <w:rFonts w:ascii="Times New Roman" w:hAnsi="Times New Roman" w:cs="Times New Roman"/>
          <w:sz w:val="24"/>
          <w:szCs w:val="24"/>
        </w:rPr>
      </w:pPr>
      <w:r w:rsidRPr="00815AA9">
        <w:rPr>
          <w:rFonts w:ascii="Times New Roman" w:hAnsi="Times New Roman" w:cs="Times New Roman"/>
          <w:sz w:val="24"/>
          <w:szCs w:val="24"/>
        </w:rPr>
        <w:t xml:space="preserve">Tax revenue refers to the financial resources generated by governments through compulsory levies imposed on individuals and corporate entities to finance public expenditure and support economic management. It represents the primary source of government income used to fund the provision of public goods and services such as infrastructure, healthcare, education, and social welfare programmes that contribute to economic development and societal well-being (Ajeigbe et al., 2023; Tala, 2024). Taxation is therefore regarded as a mandatory payment imposed by government authorities on income, consumption, assets, or economic transactions without a direct and immediate benefit to the taxpayer (Anas &amp; David, 2023; Myoda et al., 2023). Beyond revenue generation, tax revenue plays an important role in fiscal policy by enabling governments to regulate economic activities, redistribute income, and maintain macroeconomic stability (Musgrave &amp; Musgrave, 1989; Itumo et al., 2022). In addition, an efficient tax system supports sustainable development by financing investments in productive sectors that enhance employment opportunities, infrastructure development, and economic growth (Ha et al., 2022; Adefulu et al., 2024). Tax revenue generally comprises both </w:t>
      </w:r>
      <w:r w:rsidRPr="00815AA9">
        <w:rPr>
          <w:rFonts w:ascii="Times New Roman" w:hAnsi="Times New Roman" w:cs="Times New Roman"/>
          <w:bCs/>
          <w:sz w:val="24"/>
          <w:szCs w:val="24"/>
        </w:rPr>
        <w:t>direct taxes</w:t>
      </w:r>
      <w:r w:rsidRPr="00815AA9">
        <w:rPr>
          <w:rFonts w:ascii="Times New Roman" w:hAnsi="Times New Roman" w:cs="Times New Roman"/>
          <w:sz w:val="24"/>
          <w:szCs w:val="24"/>
        </w:rPr>
        <w:t xml:space="preserve"> and </w:t>
      </w:r>
      <w:r w:rsidRPr="00815AA9">
        <w:rPr>
          <w:rFonts w:ascii="Times New Roman" w:hAnsi="Times New Roman" w:cs="Times New Roman"/>
          <w:bCs/>
          <w:sz w:val="24"/>
          <w:szCs w:val="24"/>
        </w:rPr>
        <w:t>indirect taxes</w:t>
      </w:r>
      <w:r w:rsidRPr="00815AA9">
        <w:rPr>
          <w:rFonts w:ascii="Times New Roman" w:hAnsi="Times New Roman" w:cs="Times New Roman"/>
          <w:sz w:val="24"/>
          <w:szCs w:val="24"/>
        </w:rPr>
        <w:t>, which together form the major components used in fiscal policy and empirical studies. Direct taxes include taxes levied directly on income and profits such as personal income tax and corporate income tax, while indirect taxes are imposed on goods, services, and transactions such as value-added tax, customs duties, and excise duties (Eseosa et al., 2024; Zehri et al., 2024). In the context of this study, tax revenue is conceptualized as government revenue</w:t>
      </w:r>
      <w:r w:rsidR="00366910" w:rsidRPr="00815AA9">
        <w:rPr>
          <w:rFonts w:ascii="Times New Roman" w:hAnsi="Times New Roman" w:cs="Times New Roman"/>
          <w:sz w:val="24"/>
          <w:szCs w:val="24"/>
        </w:rPr>
        <w:t xml:space="preserve"> derived from major tax sources, </w:t>
      </w:r>
      <w:r w:rsidRPr="00815AA9">
        <w:rPr>
          <w:rFonts w:ascii="Times New Roman" w:hAnsi="Times New Roman" w:cs="Times New Roman"/>
          <w:sz w:val="24"/>
          <w:szCs w:val="24"/>
        </w:rPr>
        <w:t xml:space="preserve">specifically </w:t>
      </w:r>
      <w:r w:rsidRPr="00815AA9">
        <w:rPr>
          <w:rFonts w:ascii="Times New Roman" w:hAnsi="Times New Roman" w:cs="Times New Roman"/>
          <w:bCs/>
          <w:sz w:val="24"/>
          <w:szCs w:val="24"/>
        </w:rPr>
        <w:t xml:space="preserve">taxes on </w:t>
      </w:r>
      <w:r w:rsidRPr="00815AA9">
        <w:rPr>
          <w:rFonts w:ascii="Times New Roman" w:hAnsi="Times New Roman" w:cs="Times New Roman"/>
          <w:bCs/>
          <w:sz w:val="24"/>
          <w:szCs w:val="24"/>
        </w:rPr>
        <w:lastRenderedPageBreak/>
        <w:t>income, profits and capital gains, taxes on goods and services, customs and import duties, and taxes on export.</w:t>
      </w:r>
    </w:p>
    <w:p w14:paraId="66739874" w14:textId="77777777" w:rsidR="00DD76A6" w:rsidRPr="00815AA9" w:rsidRDefault="00DD76A6" w:rsidP="00764836">
      <w:pPr>
        <w:spacing w:line="240" w:lineRule="auto"/>
        <w:jc w:val="both"/>
        <w:rPr>
          <w:rFonts w:ascii="Times New Roman" w:hAnsi="Times New Roman" w:cs="Times New Roman"/>
          <w:b/>
          <w:sz w:val="24"/>
          <w:szCs w:val="24"/>
        </w:rPr>
      </w:pPr>
      <w:r w:rsidRPr="00815AA9">
        <w:rPr>
          <w:rFonts w:ascii="Times New Roman" w:hAnsi="Times New Roman" w:cs="Times New Roman"/>
          <w:b/>
          <w:sz w:val="24"/>
          <w:szCs w:val="24"/>
        </w:rPr>
        <w:t>2.2</w:t>
      </w:r>
      <w:r w:rsidRPr="00815AA9">
        <w:rPr>
          <w:rFonts w:ascii="Times New Roman" w:hAnsi="Times New Roman" w:cs="Times New Roman"/>
          <w:b/>
          <w:sz w:val="24"/>
          <w:szCs w:val="24"/>
        </w:rPr>
        <w:tab/>
        <w:t>Theoretical Underpinning</w:t>
      </w:r>
    </w:p>
    <w:p w14:paraId="7BAC788C" w14:textId="77777777" w:rsidR="00AD218A" w:rsidRPr="00815AA9" w:rsidRDefault="001234F4" w:rsidP="001234F4">
      <w:pPr>
        <w:spacing w:line="240" w:lineRule="auto"/>
        <w:jc w:val="both"/>
        <w:rPr>
          <w:rFonts w:ascii="Times New Roman" w:hAnsi="Times New Roman" w:cs="Times New Roman"/>
          <w:sz w:val="24"/>
          <w:szCs w:val="24"/>
        </w:rPr>
      </w:pPr>
      <w:r w:rsidRPr="00815AA9">
        <w:rPr>
          <w:rFonts w:ascii="Times New Roman" w:hAnsi="Times New Roman" w:cs="Times New Roman"/>
          <w:sz w:val="24"/>
          <w:szCs w:val="24"/>
        </w:rPr>
        <w:t xml:space="preserve">The </w:t>
      </w:r>
      <w:r w:rsidRPr="00815AA9">
        <w:rPr>
          <w:rFonts w:ascii="Times New Roman" w:hAnsi="Times New Roman" w:cs="Times New Roman"/>
          <w:bCs/>
          <w:sz w:val="24"/>
          <w:szCs w:val="24"/>
        </w:rPr>
        <w:t>Endogenous Growth Theory</w:t>
      </w:r>
      <w:r w:rsidRPr="00815AA9">
        <w:rPr>
          <w:rFonts w:ascii="Times New Roman" w:hAnsi="Times New Roman" w:cs="Times New Roman"/>
          <w:sz w:val="24"/>
          <w:szCs w:val="24"/>
        </w:rPr>
        <w:t xml:space="preserve"> provides a strong theoretical foundation for examining the relationship between tax revenue and decent work and economic growth because it emphasizes that long-term economic growth is primarily driven by internal factors such as human capital accumulation, technological innovation, and knowledge creation rather than external forces. The theory, originally developed by Paul Romer (1986) and Robert Lucas Jr. (1988), argues that investments in education, innovation, and productive public infrastructure generate positive spillover effects that enhance productivity and sustain long-run economic growth. In contrast to the neoclassical growth model where technological progress is treated as exogenous, endogenous growth models ma</w:t>
      </w:r>
      <w:r w:rsidR="00AD218A" w:rsidRPr="00815AA9">
        <w:rPr>
          <w:rFonts w:ascii="Times New Roman" w:hAnsi="Times New Roman" w:cs="Times New Roman"/>
          <w:sz w:val="24"/>
          <w:szCs w:val="24"/>
        </w:rPr>
        <w:t xml:space="preserve">intain that government policies, </w:t>
      </w:r>
      <w:r w:rsidRPr="00815AA9">
        <w:rPr>
          <w:rFonts w:ascii="Times New Roman" w:hAnsi="Times New Roman" w:cs="Times New Roman"/>
          <w:sz w:val="24"/>
          <w:szCs w:val="24"/>
        </w:rPr>
        <w:t>includi</w:t>
      </w:r>
      <w:r w:rsidR="00AD218A" w:rsidRPr="00815AA9">
        <w:rPr>
          <w:rFonts w:ascii="Times New Roman" w:hAnsi="Times New Roman" w:cs="Times New Roman"/>
          <w:sz w:val="24"/>
          <w:szCs w:val="24"/>
        </w:rPr>
        <w:t xml:space="preserve">ng fiscal policies and taxation, </w:t>
      </w:r>
      <w:r w:rsidRPr="00815AA9">
        <w:rPr>
          <w:rFonts w:ascii="Times New Roman" w:hAnsi="Times New Roman" w:cs="Times New Roman"/>
          <w:sz w:val="24"/>
          <w:szCs w:val="24"/>
        </w:rPr>
        <w:t xml:space="preserve">play a crucial role in shaping economic growth trajectories by financing productive public expenditures that improve human capital, technological progress, and labour productivity (Romer, 1986; Lucas, 1988; Barro, 1990). These propositions align closely with the goal of the present study because tax revenue represents a major source of government financing for investments in education, infrastructure, industrial development, and social protection programs that enhance employment opportunities and labour productivity, thereby promoting the objectives of Sustainable Development Goal 8 (decent work and economic growth). Within the endogenous growth framework, taxation can stimulate growth when revenues are </w:t>
      </w:r>
      <w:r w:rsidR="00AD218A" w:rsidRPr="00815AA9">
        <w:rPr>
          <w:rFonts w:ascii="Times New Roman" w:hAnsi="Times New Roman" w:cs="Times New Roman"/>
          <w:sz w:val="24"/>
          <w:szCs w:val="24"/>
        </w:rPr>
        <w:t>channeled</w:t>
      </w:r>
      <w:r w:rsidRPr="00815AA9">
        <w:rPr>
          <w:rFonts w:ascii="Times New Roman" w:hAnsi="Times New Roman" w:cs="Times New Roman"/>
          <w:sz w:val="24"/>
          <w:szCs w:val="24"/>
        </w:rPr>
        <w:t xml:space="preserve"> into productive public capital that complements private sector investment and expands the economy’s productive capacity (Barro, 1990). The theory therefore suggests that effective tax systems enable governments to mobilize resources that support employment generation, technological advancement, and productivity improvements, which are essential drivers </w:t>
      </w:r>
      <w:r w:rsidR="00AD218A" w:rsidRPr="00815AA9">
        <w:rPr>
          <w:rFonts w:ascii="Times New Roman" w:hAnsi="Times New Roman" w:cs="Times New Roman"/>
          <w:sz w:val="24"/>
          <w:szCs w:val="24"/>
        </w:rPr>
        <w:t>of sustainable economic growth.</w:t>
      </w:r>
    </w:p>
    <w:p w14:paraId="22998DF8" w14:textId="77777777" w:rsidR="001234F4" w:rsidRPr="00815AA9" w:rsidRDefault="001234F4" w:rsidP="001234F4">
      <w:pPr>
        <w:spacing w:line="240" w:lineRule="auto"/>
        <w:jc w:val="both"/>
        <w:rPr>
          <w:rFonts w:ascii="Times New Roman" w:hAnsi="Times New Roman" w:cs="Times New Roman"/>
          <w:sz w:val="24"/>
          <w:szCs w:val="24"/>
        </w:rPr>
      </w:pPr>
      <w:r w:rsidRPr="00815AA9">
        <w:rPr>
          <w:rFonts w:ascii="Times New Roman" w:hAnsi="Times New Roman" w:cs="Times New Roman"/>
          <w:sz w:val="24"/>
          <w:szCs w:val="24"/>
        </w:rPr>
        <w:t>Empirical studies have also relied on the endogenous growth framework to examine fiscal policy and growth dynamics. For example, Barro (1990) applied an endogenous growth model to demonstrate how government expenditure financed through taxation can enhance productivity and long-term economic growth, while subsequent empirical studies such as Aghion and Howitt (1998) and Acemoglu (2009) further emphasize the role of policy-driven investments in innovation and human capital as fundamental engines of economic expansion. In addition, more recent empirical research investigating the relationship between taxation and growth in developing economies has adopted the endogenous growth perspective to explain how tax revenue mobilization supports infrastructure development, human capital formation, and employment generation (Ho et al., 2023; Ajeigbe et al., 2023). Therefore, the core propositions of the endogenous growth theory, namely that government policies, human capital investment, and technological progress are endogenous drivers of long-term economic growth; align strongly with the objectives of this study, which evaluated how tax revenue can influence the attainment of decent work and sustainable economic growth in African economies.</w:t>
      </w:r>
    </w:p>
    <w:p w14:paraId="77E8275A" w14:textId="77777777" w:rsidR="009E7A21" w:rsidRPr="00815AA9" w:rsidRDefault="009E7A21" w:rsidP="00764836">
      <w:pPr>
        <w:spacing w:line="240" w:lineRule="auto"/>
        <w:jc w:val="both"/>
        <w:rPr>
          <w:rFonts w:ascii="Times New Roman" w:hAnsi="Times New Roman" w:cs="Times New Roman"/>
          <w:b/>
          <w:sz w:val="24"/>
          <w:szCs w:val="24"/>
        </w:rPr>
      </w:pPr>
      <w:r w:rsidRPr="00815AA9">
        <w:rPr>
          <w:rFonts w:ascii="Times New Roman" w:hAnsi="Times New Roman" w:cs="Times New Roman"/>
          <w:b/>
          <w:sz w:val="24"/>
          <w:szCs w:val="24"/>
        </w:rPr>
        <w:t>2.3</w:t>
      </w:r>
      <w:r w:rsidRPr="00815AA9">
        <w:rPr>
          <w:rFonts w:ascii="Times New Roman" w:hAnsi="Times New Roman" w:cs="Times New Roman"/>
          <w:b/>
          <w:sz w:val="24"/>
          <w:szCs w:val="24"/>
        </w:rPr>
        <w:tab/>
        <w:t>Empirical Review</w:t>
      </w:r>
    </w:p>
    <w:p w14:paraId="203A93BF" w14:textId="62705F79" w:rsidR="009E7A21" w:rsidRPr="00815AA9" w:rsidRDefault="009E7A21" w:rsidP="00764836">
      <w:pPr>
        <w:spacing w:line="240" w:lineRule="auto"/>
        <w:jc w:val="both"/>
        <w:rPr>
          <w:rFonts w:ascii="Times New Roman" w:hAnsi="Times New Roman" w:cs="Times New Roman"/>
          <w:sz w:val="24"/>
          <w:szCs w:val="24"/>
        </w:rPr>
      </w:pPr>
      <w:r w:rsidRPr="00815AA9">
        <w:rPr>
          <w:rFonts w:ascii="Times New Roman" w:hAnsi="Times New Roman" w:cs="Times New Roman"/>
          <w:sz w:val="24"/>
          <w:szCs w:val="24"/>
        </w:rPr>
        <w:t xml:space="preserve">The correlation between tax revenue and the promotion of decent work and economic growth is a pivotal element of fiscal policy and sustainable development. Tax revenue is a crucial and fundamental source of funding for the government (Rapheal et al., 2024). It is necessary for investing in public services and infrastructure, which in turn </w:t>
      </w:r>
      <w:r w:rsidR="00282DEA" w:rsidRPr="00815AA9">
        <w:rPr>
          <w:rFonts w:ascii="Times New Roman" w:hAnsi="Times New Roman" w:cs="Times New Roman"/>
          <w:sz w:val="24"/>
          <w:szCs w:val="24"/>
        </w:rPr>
        <w:t>enables</w:t>
      </w:r>
      <w:r w:rsidRPr="00815AA9">
        <w:rPr>
          <w:rFonts w:ascii="Times New Roman" w:hAnsi="Times New Roman" w:cs="Times New Roman"/>
          <w:sz w:val="24"/>
          <w:szCs w:val="24"/>
        </w:rPr>
        <w:t xml:space="preserve"> the creation of good job opportunities and contribute to overall economic growth. The examined studies offer valuable insights into the impact of various taxes, such as Value Added Tax (VAT), Corporate Income </w:t>
      </w:r>
      <w:r w:rsidRPr="00815AA9">
        <w:rPr>
          <w:rFonts w:ascii="Times New Roman" w:hAnsi="Times New Roman" w:cs="Times New Roman"/>
          <w:sz w:val="24"/>
          <w:szCs w:val="24"/>
        </w:rPr>
        <w:lastRenderedPageBreak/>
        <w:t>Tax (CIT), and Personal Income Tax (PIT), on economic growth. This, in turn, affects the availability and quality of decent jobs (Atuma</w:t>
      </w:r>
      <w:r w:rsidR="00691333" w:rsidRPr="00815AA9">
        <w:rPr>
          <w:rFonts w:ascii="Times New Roman" w:hAnsi="Times New Roman" w:cs="Times New Roman"/>
          <w:sz w:val="24"/>
          <w:szCs w:val="24"/>
        </w:rPr>
        <w:t xml:space="preserve"> et al., 2024; Ayeni et al., 2022</w:t>
      </w:r>
      <w:r w:rsidRPr="00815AA9">
        <w:rPr>
          <w:rFonts w:ascii="Times New Roman" w:hAnsi="Times New Roman" w:cs="Times New Roman"/>
          <w:sz w:val="24"/>
          <w:szCs w:val="24"/>
        </w:rPr>
        <w:t>; Ho et al., 2023).</w:t>
      </w:r>
    </w:p>
    <w:p w14:paraId="0242B72B" w14:textId="77777777" w:rsidR="00764836" w:rsidRPr="00815AA9" w:rsidRDefault="00764836" w:rsidP="00764836">
      <w:pPr>
        <w:spacing w:line="240" w:lineRule="auto"/>
        <w:jc w:val="both"/>
        <w:rPr>
          <w:rFonts w:ascii="Times New Roman" w:hAnsi="Times New Roman" w:cs="Times New Roman"/>
          <w:sz w:val="24"/>
          <w:szCs w:val="24"/>
          <w:lang w:val="en-GB"/>
        </w:rPr>
      </w:pPr>
      <w:r w:rsidRPr="00815AA9">
        <w:rPr>
          <w:rFonts w:ascii="Times New Roman" w:hAnsi="Times New Roman" w:cs="Times New Roman"/>
          <w:sz w:val="24"/>
          <w:szCs w:val="24"/>
          <w:lang w:val="en-GB"/>
        </w:rPr>
        <w:t xml:space="preserve">Several empirical studies have examined the relationship between tax revenue and economic growth using different tax proxies such as company income tax (CIT), value added tax (VAT), petroleum profit tax (PPT), and personal income tax (PIT). A number of these studies report </w:t>
      </w:r>
      <w:r w:rsidRPr="00815AA9">
        <w:rPr>
          <w:rFonts w:ascii="Times New Roman" w:hAnsi="Times New Roman" w:cs="Times New Roman"/>
          <w:bCs/>
          <w:sz w:val="24"/>
          <w:szCs w:val="24"/>
          <w:lang w:val="en-GB"/>
        </w:rPr>
        <w:t>positive contributions of tax revenue to economic growth</w:t>
      </w:r>
      <w:r w:rsidRPr="00815AA9">
        <w:rPr>
          <w:rFonts w:ascii="Times New Roman" w:hAnsi="Times New Roman" w:cs="Times New Roman"/>
          <w:sz w:val="24"/>
          <w:szCs w:val="24"/>
          <w:lang w:val="en-GB"/>
        </w:rPr>
        <w:t>. For instance, Atuma et al. (2024) analyzed the relationship between tax revenue and economic growth in Nigeria between 1994 and 2021 using the Auto-Regressive Distributed Lag (ARDL) model. Their findings revealed a long-run equilibrium relationship between tax revenue and economic growth, with company income tax and value added tax exerting significant positive effects on economic growth in both the short and long run, while personal income tax showed a positive but insignificant relationship. Similarly, Ayeni et al. (2022), employing the Vector Error Correction Model on Nigerian data from 2000–2021, found that petroleum profit tax and value added tax significantly stimulate economic growth. Consistent with these findings, Rapheal et al. (2024) also applied the ARDL approach to annual Nigerian data from 1985–2021 and reported that petroleum profit tax and value added tax significantly improve economic growth in the long run.</w:t>
      </w:r>
    </w:p>
    <w:p w14:paraId="5479A99D" w14:textId="77777777" w:rsidR="00764836" w:rsidRPr="00815AA9" w:rsidRDefault="00764836" w:rsidP="00764836">
      <w:pPr>
        <w:spacing w:line="240" w:lineRule="auto"/>
        <w:jc w:val="both"/>
        <w:rPr>
          <w:rFonts w:ascii="Times New Roman" w:hAnsi="Times New Roman" w:cs="Times New Roman"/>
          <w:sz w:val="24"/>
          <w:szCs w:val="24"/>
          <w:lang w:val="en-GB"/>
        </w:rPr>
      </w:pPr>
      <w:r w:rsidRPr="00815AA9">
        <w:rPr>
          <w:rFonts w:ascii="Times New Roman" w:hAnsi="Times New Roman" w:cs="Times New Roman"/>
          <w:sz w:val="24"/>
          <w:szCs w:val="24"/>
          <w:lang w:val="en-GB"/>
        </w:rPr>
        <w:t xml:space="preserve">Comparable evidence is provided by studies that examine the </w:t>
      </w:r>
      <w:r w:rsidRPr="00815AA9">
        <w:rPr>
          <w:rFonts w:ascii="Times New Roman" w:hAnsi="Times New Roman" w:cs="Times New Roman"/>
          <w:bCs/>
          <w:sz w:val="24"/>
          <w:szCs w:val="24"/>
          <w:lang w:val="en-GB"/>
        </w:rPr>
        <w:t>aggregate impact of tax revenue on economic performance</w:t>
      </w:r>
      <w:r w:rsidRPr="00815AA9">
        <w:rPr>
          <w:rFonts w:ascii="Times New Roman" w:hAnsi="Times New Roman" w:cs="Times New Roman"/>
          <w:sz w:val="24"/>
          <w:szCs w:val="24"/>
          <w:lang w:val="en-GB"/>
        </w:rPr>
        <w:t>. For example, Adesanya et al. (2024) utilized an Error Correction Model and Granger causality analysis on quarterly Nigerian data from 2011–2022 and documented a strong positive bidirectional relationship between total tax revenue and gross domestic product. Likewise, Ho et al. (2023) investigated 29 developing countries using panel data techniques (Fixed Effects and Generalized Least Squares) and reported that tax revenue positively influences economic growth, although excessive trade openness weakens this relationship. Supporting this broader perspective, Ajeigbe et al. (2023) employed the Generalized Method of Moments on panel data from 45 countries and concluded that increases in tax revenues and other government revenues enhance economic growth across both African and developed economies.</w:t>
      </w:r>
    </w:p>
    <w:p w14:paraId="5A6CC055" w14:textId="77777777" w:rsidR="00764836" w:rsidRPr="00815AA9" w:rsidRDefault="00764836" w:rsidP="00764836">
      <w:pPr>
        <w:spacing w:line="240" w:lineRule="auto"/>
        <w:jc w:val="both"/>
        <w:rPr>
          <w:rFonts w:ascii="Times New Roman" w:hAnsi="Times New Roman" w:cs="Times New Roman"/>
          <w:sz w:val="24"/>
          <w:szCs w:val="24"/>
          <w:lang w:val="en-GB"/>
        </w:rPr>
      </w:pPr>
      <w:r w:rsidRPr="00815AA9">
        <w:rPr>
          <w:rFonts w:ascii="Times New Roman" w:hAnsi="Times New Roman" w:cs="Times New Roman"/>
          <w:sz w:val="24"/>
          <w:szCs w:val="24"/>
          <w:lang w:val="en-GB"/>
        </w:rPr>
        <w:t xml:space="preserve">Empirical studies focusing on </w:t>
      </w:r>
      <w:r w:rsidRPr="00815AA9">
        <w:rPr>
          <w:rFonts w:ascii="Times New Roman" w:hAnsi="Times New Roman" w:cs="Times New Roman"/>
          <w:bCs/>
          <w:sz w:val="24"/>
          <w:szCs w:val="24"/>
          <w:lang w:val="en-GB"/>
        </w:rPr>
        <w:t>specific tax instruments</w:t>
      </w:r>
      <w:r w:rsidRPr="00815AA9">
        <w:rPr>
          <w:rFonts w:ascii="Times New Roman" w:hAnsi="Times New Roman" w:cs="Times New Roman"/>
          <w:sz w:val="24"/>
          <w:szCs w:val="24"/>
          <w:lang w:val="en-GB"/>
        </w:rPr>
        <w:t xml:space="preserve"> also highlight the importance of indirect taxation. For instance, Oto and Wayas (2024) examined the relationship between value added tax and economic growth in Nigeria from 2003 to 2022 and found a strong positive relationship between VAT revenue and gross domestic product, as well as total government revenue and expenditure. Similarly, Ify and Iroh (2024) reported that petroleum profit tax and value added tax positively influence economic growth in Nigeria, although the long-run effects of company income tax and customs duties were found to be negative.</w:t>
      </w:r>
    </w:p>
    <w:p w14:paraId="191B549F" w14:textId="77777777" w:rsidR="00764836" w:rsidRPr="00815AA9" w:rsidRDefault="00764836" w:rsidP="00764836">
      <w:pPr>
        <w:spacing w:line="240" w:lineRule="auto"/>
        <w:jc w:val="both"/>
        <w:rPr>
          <w:rFonts w:ascii="Times New Roman" w:hAnsi="Times New Roman" w:cs="Times New Roman"/>
          <w:sz w:val="24"/>
          <w:szCs w:val="24"/>
          <w:lang w:val="en-GB"/>
        </w:rPr>
      </w:pPr>
      <w:r w:rsidRPr="00815AA9">
        <w:rPr>
          <w:rFonts w:ascii="Times New Roman" w:hAnsi="Times New Roman" w:cs="Times New Roman"/>
          <w:sz w:val="24"/>
          <w:szCs w:val="24"/>
          <w:lang w:val="en-GB"/>
        </w:rPr>
        <w:t xml:space="preserve">In contrast, several studies report </w:t>
      </w:r>
      <w:r w:rsidRPr="00815AA9">
        <w:rPr>
          <w:rFonts w:ascii="Times New Roman" w:hAnsi="Times New Roman" w:cs="Times New Roman"/>
          <w:bCs/>
          <w:sz w:val="24"/>
          <w:szCs w:val="24"/>
          <w:lang w:val="en-GB"/>
        </w:rPr>
        <w:t>mixed or negative effects of certain tax components on economic growth</w:t>
      </w:r>
      <w:r w:rsidRPr="00815AA9">
        <w:rPr>
          <w:rFonts w:ascii="Times New Roman" w:hAnsi="Times New Roman" w:cs="Times New Roman"/>
          <w:sz w:val="24"/>
          <w:szCs w:val="24"/>
          <w:lang w:val="en-GB"/>
        </w:rPr>
        <w:t>. For example, Eseosa et al. (2024) employed the ARDL technique to examine the Nigerian economy between 1991 and 2021 and found that corporate income tax positively affects economic growth, while personal income tax and value added tax exert negative effects. Similarly, Osamor et al. (2023) found that petroleum profit tax, corporate income tax, value added tax, and capital transfer duty exert positive but statistically insignificant impacts on Nigeria’s economic growth. In the European context, Narciz et al. (2023) reported that corporate income taxes significantly reduce economic growth in both highly and moderately fiscally efficient European Union countries, while personal income taxes reduce growth in countries with weaker fiscal efficiency. Likewise, Fang (2024) observed a negative relationship between income tax rates and economic growth, suggesting that higher tax burdens may discourage consumption and investment.</w:t>
      </w:r>
    </w:p>
    <w:p w14:paraId="488A2623" w14:textId="31091E67" w:rsidR="00764836" w:rsidRPr="00815AA9" w:rsidRDefault="00764836" w:rsidP="00764836">
      <w:pPr>
        <w:spacing w:line="240" w:lineRule="auto"/>
        <w:jc w:val="both"/>
        <w:rPr>
          <w:rFonts w:ascii="Times New Roman" w:hAnsi="Times New Roman" w:cs="Times New Roman"/>
          <w:sz w:val="24"/>
          <w:szCs w:val="24"/>
          <w:lang w:val="en-GB"/>
        </w:rPr>
      </w:pPr>
      <w:r w:rsidRPr="00815AA9">
        <w:rPr>
          <w:rFonts w:ascii="Times New Roman" w:hAnsi="Times New Roman" w:cs="Times New Roman"/>
          <w:sz w:val="24"/>
          <w:szCs w:val="24"/>
          <w:lang w:val="en-GB"/>
        </w:rPr>
        <w:lastRenderedPageBreak/>
        <w:t xml:space="preserve">Other studies also highlight the </w:t>
      </w:r>
      <w:r w:rsidRPr="00815AA9">
        <w:rPr>
          <w:rFonts w:ascii="Times New Roman" w:hAnsi="Times New Roman" w:cs="Times New Roman"/>
          <w:bCs/>
          <w:sz w:val="24"/>
          <w:szCs w:val="24"/>
          <w:lang w:val="en-GB"/>
        </w:rPr>
        <w:t>role of institutional and policy conditions</w:t>
      </w:r>
      <w:r w:rsidRPr="00815AA9">
        <w:rPr>
          <w:rFonts w:ascii="Times New Roman" w:hAnsi="Times New Roman" w:cs="Times New Roman"/>
          <w:sz w:val="24"/>
          <w:szCs w:val="24"/>
          <w:lang w:val="en-GB"/>
        </w:rPr>
        <w:t xml:space="preserve"> in shaping the tax–growth relationship. For instance, Ayana et al. (2023) </w:t>
      </w:r>
      <w:r w:rsidR="00282DEA" w:rsidRPr="00815AA9">
        <w:rPr>
          <w:rFonts w:ascii="Times New Roman" w:hAnsi="Times New Roman" w:cs="Times New Roman"/>
          <w:sz w:val="24"/>
          <w:szCs w:val="24"/>
          <w:lang w:val="en-GB"/>
        </w:rPr>
        <w:t>analysed</w:t>
      </w:r>
      <w:r w:rsidRPr="00815AA9">
        <w:rPr>
          <w:rFonts w:ascii="Times New Roman" w:hAnsi="Times New Roman" w:cs="Times New Roman"/>
          <w:sz w:val="24"/>
          <w:szCs w:val="24"/>
          <w:lang w:val="en-GB"/>
        </w:rPr>
        <w:t xml:space="preserve"> 43 African countries using the System Generalized Method of Moments and found that government revenue alone negatively affects economic growth, but when combined with strong institutional quality it contributes positively to economic performance. In addition, Tala (2024) showed that increases in personal income tax may stimulate economic growth in the short run but negatively affect long-term growth in South Africa. Similarly, Jean et al. (2024) examined tax evasion and avoidance in South Africa and found that the impact of these factors on economic growth is minimal, suggesting that actual tax revenue performance rather than compliance gaps plays a more significant role in economic outcomes.</w:t>
      </w:r>
    </w:p>
    <w:p w14:paraId="76E5E667" w14:textId="77777777" w:rsidR="009E7A21" w:rsidRPr="00815AA9" w:rsidRDefault="009E7A21" w:rsidP="001211B8">
      <w:pPr>
        <w:spacing w:before="240"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 xml:space="preserve">In the context of the Sustainable Development Goals (SDGs), particularly SDG 8 (Decent Work and Economic Growth), these studies highlight the importance of efficient tax systems in promoting sustainable economic development. For example, Atuma et al., (2024) and Ayeni et al., (2022) found that in Nigeria, certain taxes like CIT and VAT are positively correlated with GDP growth, indicating that effective tax collection can provide the government with the necessary resources to improve infrastructure, education, and healthcare; key elements that contribute to decent work. Similarly, Ayana et al., (2023) emphasized the role of institutional quality in maximizing the positive effects of government revenue on economic growth in Africa. However, the impact of tax revenue on decent work and economic growth is not uniform. Ho et al., (2023) pointed out that while tax revenue generally supports economic growth, excessive trade openness could reduce this positive effect. This suggests that for tax revenue to effectively contribute to decent work and economic growth, it must be complemented by supportive policies and institutional frameworks. </w:t>
      </w:r>
      <w:r w:rsidR="001E582D" w:rsidRPr="00815AA9">
        <w:rPr>
          <w:rFonts w:ascii="Times New Roman" w:hAnsi="Times New Roman" w:cs="Times New Roman"/>
          <w:sz w:val="24"/>
          <w:szCs w:val="24"/>
        </w:rPr>
        <w:t>In addition</w:t>
      </w:r>
      <w:r w:rsidRPr="00815AA9">
        <w:rPr>
          <w:rFonts w:ascii="Times New Roman" w:hAnsi="Times New Roman" w:cs="Times New Roman"/>
          <w:sz w:val="24"/>
          <w:szCs w:val="24"/>
        </w:rPr>
        <w:t>, disparities in the effectiveness of tax revenue in promoting economic growth across different regions, as highlighted in the studies, underscore the need for tailored fiscal policies that consider local economic conditions and challenges. Overall, while tax revenue is a vital tool for achieving decent work and economic growth, the efficiency and equity of tax systems, alongside broader economic and institutional factors, play critical roles in determining the extent of its impact.</w:t>
      </w:r>
    </w:p>
    <w:p w14:paraId="6CC4E784" w14:textId="77777777" w:rsidR="005B0C5B" w:rsidRPr="00815AA9" w:rsidRDefault="005B0C5B" w:rsidP="00827420">
      <w:pPr>
        <w:spacing w:before="240" w:after="0" w:line="240" w:lineRule="auto"/>
        <w:jc w:val="both"/>
        <w:rPr>
          <w:rFonts w:ascii="Times New Roman" w:eastAsia="SimSun" w:hAnsi="Times New Roman" w:cs="Times New Roman"/>
          <w:b/>
          <w:bCs/>
          <w:kern w:val="0"/>
          <w:sz w:val="24"/>
          <w:szCs w:val="24"/>
          <w:lang w:val="en-GB"/>
        </w:rPr>
      </w:pPr>
      <w:r w:rsidRPr="00815AA9">
        <w:rPr>
          <w:rFonts w:ascii="Times New Roman" w:eastAsia="SimSun" w:hAnsi="Times New Roman" w:cs="Times New Roman"/>
          <w:b/>
          <w:bCs/>
          <w:kern w:val="0"/>
          <w:sz w:val="24"/>
          <w:szCs w:val="24"/>
          <w:lang w:val="en-GB"/>
        </w:rPr>
        <w:t>3.0 Methodology</w:t>
      </w:r>
    </w:p>
    <w:p w14:paraId="58F29495" w14:textId="77777777" w:rsidR="005B0C5B" w:rsidRPr="00815AA9" w:rsidRDefault="005B0C5B" w:rsidP="00827420">
      <w:pPr>
        <w:spacing w:before="240" w:after="0" w:line="240" w:lineRule="auto"/>
        <w:jc w:val="both"/>
        <w:rPr>
          <w:rFonts w:ascii="Times New Roman" w:eastAsia="SimSun" w:hAnsi="Times New Roman" w:cs="Times New Roman"/>
          <w:bCs/>
          <w:kern w:val="0"/>
          <w:sz w:val="24"/>
          <w:szCs w:val="24"/>
          <w:lang w:val="en-GB"/>
        </w:rPr>
      </w:pPr>
      <w:r w:rsidRPr="00815AA9">
        <w:rPr>
          <w:rFonts w:ascii="Times New Roman" w:eastAsia="SimSun" w:hAnsi="Times New Roman" w:cs="Times New Roman"/>
          <w:bCs/>
          <w:kern w:val="0"/>
          <w:sz w:val="24"/>
          <w:szCs w:val="24"/>
          <w:lang w:val="en-GB"/>
        </w:rPr>
        <w:t xml:space="preserve">This study adopted an ex-post facto research design to examine the effect of tax revenue on decent work and economic growth in selected African countries. The population of the study consisted of the fifty-four (54) African countries as recognized by international institutions such as the World Bank and the United Nations. Africa was selected as the focus of the study due to the persistent development challenges across the continent, particularly those relating to employment generation, inclusive growth, and sustainable development. However, due to the availability and consistency of relevant data, a purposive sampling technique was employed to select countries with adequate information on tax revenue indicators and </w:t>
      </w:r>
      <w:r w:rsidR="009E7A21" w:rsidRPr="00815AA9">
        <w:rPr>
          <w:rFonts w:ascii="Times New Roman" w:hAnsi="Times New Roman" w:cs="Times New Roman"/>
          <w:sz w:val="24"/>
          <w:szCs w:val="24"/>
          <w:lang w:val="en-GB"/>
        </w:rPr>
        <w:t xml:space="preserve">economic sustainability </w:t>
      </w:r>
      <w:r w:rsidRPr="00815AA9">
        <w:rPr>
          <w:rFonts w:ascii="Times New Roman" w:eastAsia="SimSun" w:hAnsi="Times New Roman" w:cs="Times New Roman"/>
          <w:bCs/>
          <w:kern w:val="0"/>
          <w:sz w:val="24"/>
          <w:szCs w:val="24"/>
          <w:lang w:val="en-GB"/>
        </w:rPr>
        <w:t>development variables. Consequently, forty-one African countries constituted the sample for the study. The dataset covered the period 2001 to 2023, allowing for a comprehensive examination of long-term fiscal and development trends across the selected economies. All data used in the study were obtained from the World Bank’s World Development Indicators (WDI) database, which is widely regarded as reliable and frequently used in empirical economic research.</w:t>
      </w:r>
    </w:p>
    <w:p w14:paraId="6D3B0C0A" w14:textId="41D5A76E" w:rsidR="005B0C5B" w:rsidRPr="00815AA9" w:rsidRDefault="005B0C5B" w:rsidP="00827420">
      <w:pPr>
        <w:spacing w:before="240" w:after="0" w:line="240" w:lineRule="auto"/>
        <w:jc w:val="both"/>
        <w:rPr>
          <w:rFonts w:ascii="Times New Roman" w:eastAsia="SimSun" w:hAnsi="Times New Roman" w:cs="Times New Roman"/>
          <w:bCs/>
          <w:kern w:val="0"/>
          <w:sz w:val="24"/>
          <w:szCs w:val="24"/>
          <w:lang w:val="en-GB"/>
        </w:rPr>
      </w:pPr>
      <w:r w:rsidRPr="00815AA9">
        <w:rPr>
          <w:rFonts w:ascii="Times New Roman" w:eastAsia="SimSun" w:hAnsi="Times New Roman" w:cs="Times New Roman"/>
          <w:bCs/>
          <w:kern w:val="0"/>
          <w:sz w:val="24"/>
          <w:szCs w:val="24"/>
          <w:lang w:val="en-GB"/>
        </w:rPr>
        <w:t xml:space="preserve">To </w:t>
      </w:r>
      <w:r w:rsidR="00282DEA" w:rsidRPr="00815AA9">
        <w:rPr>
          <w:rFonts w:ascii="Times New Roman" w:eastAsia="SimSun" w:hAnsi="Times New Roman" w:cs="Times New Roman"/>
          <w:bCs/>
          <w:kern w:val="0"/>
          <w:sz w:val="24"/>
          <w:szCs w:val="24"/>
          <w:lang w:val="en-GB"/>
        </w:rPr>
        <w:t>analyse</w:t>
      </w:r>
      <w:r w:rsidRPr="00815AA9">
        <w:rPr>
          <w:rFonts w:ascii="Times New Roman" w:eastAsia="SimSun" w:hAnsi="Times New Roman" w:cs="Times New Roman"/>
          <w:bCs/>
          <w:kern w:val="0"/>
          <w:sz w:val="24"/>
          <w:szCs w:val="24"/>
          <w:lang w:val="en-GB"/>
        </w:rPr>
        <w:t xml:space="preserve"> the relationship between tax revenue and decent work and economic growth, the study specified a panel regression model that incorporates various components of tax revenue as explanatory variables. In this model, the dependent variable is Decent Work and Economic </w:t>
      </w:r>
      <w:r w:rsidRPr="00815AA9">
        <w:rPr>
          <w:rFonts w:ascii="Times New Roman" w:eastAsia="SimSun" w:hAnsi="Times New Roman" w:cs="Times New Roman"/>
          <w:bCs/>
          <w:kern w:val="0"/>
          <w:sz w:val="24"/>
          <w:szCs w:val="24"/>
          <w:lang w:val="en-GB"/>
        </w:rPr>
        <w:lastRenderedPageBreak/>
        <w:t>Growth (DWEG), which represents Sustainable Development Goal 8 (SDG 8). The independent variables represent different categories of tax revenue that capture the fiscal capacity of governments. These include customs and other import duties (COID), taxes on exports (TAXP), taxes on goods and services (TAGS), and taxes on income, profits, and capital gains (TIPC).</w:t>
      </w:r>
    </w:p>
    <w:p w14:paraId="0D49DBC3" w14:textId="77777777" w:rsidR="005B0C5B" w:rsidRPr="00815AA9" w:rsidRDefault="005B0C5B" w:rsidP="00827420">
      <w:pPr>
        <w:spacing w:before="240" w:after="0" w:line="240" w:lineRule="auto"/>
        <w:jc w:val="both"/>
        <w:rPr>
          <w:rFonts w:ascii="Times New Roman" w:eastAsia="SimSun" w:hAnsi="Times New Roman" w:cs="Times New Roman"/>
          <w:bCs/>
          <w:kern w:val="0"/>
          <w:sz w:val="24"/>
          <w:szCs w:val="24"/>
          <w:lang w:val="en-GB"/>
        </w:rPr>
      </w:pPr>
      <w:r w:rsidRPr="00815AA9">
        <w:rPr>
          <w:rFonts w:ascii="Times New Roman" w:eastAsia="SimSun" w:hAnsi="Times New Roman" w:cs="Times New Roman"/>
          <w:bCs/>
          <w:kern w:val="0"/>
          <w:sz w:val="24"/>
          <w:szCs w:val="24"/>
          <w:lang w:val="en-GB"/>
        </w:rPr>
        <w:t>The functional form of the first regression model is therefore expressed as:</w:t>
      </w:r>
    </w:p>
    <w:p w14:paraId="658092B1" w14:textId="77777777" w:rsidR="009E7A21" w:rsidRPr="00815AA9" w:rsidRDefault="009E7A21" w:rsidP="00827420">
      <w:pPr>
        <w:spacing w:before="240" w:after="0" w:line="240" w:lineRule="auto"/>
        <w:jc w:val="both"/>
        <w:rPr>
          <w:rFonts w:ascii="Times New Roman" w:hAnsi="Times New Roman" w:cs="Times New Roman"/>
          <w:bCs/>
          <w:iCs/>
          <w:sz w:val="24"/>
          <w:szCs w:val="24"/>
          <w:vertAlign w:val="subscript"/>
          <w:lang w:val="en-GB"/>
        </w:rPr>
      </w:pPr>
      <w:r w:rsidRPr="00815AA9">
        <w:rPr>
          <w:rFonts w:ascii="Times New Roman" w:hAnsi="Times New Roman" w:cs="Times New Roman"/>
          <w:bCs/>
          <w:iCs/>
          <w:sz w:val="24"/>
          <w:szCs w:val="24"/>
          <w:lang w:val="en-GB"/>
        </w:rPr>
        <w:t>DWEG</w:t>
      </w:r>
      <w:r w:rsidRPr="00815AA9">
        <w:rPr>
          <w:rFonts w:ascii="Times New Roman" w:hAnsi="Times New Roman" w:cs="Times New Roman"/>
          <w:bCs/>
          <w:iCs/>
          <w:sz w:val="24"/>
          <w:szCs w:val="24"/>
          <w:vertAlign w:val="subscript"/>
          <w:lang w:val="en-GB"/>
        </w:rPr>
        <w:t>it</w:t>
      </w:r>
      <w:r w:rsidRPr="00815AA9">
        <w:rPr>
          <w:rFonts w:ascii="Times New Roman" w:hAnsi="Times New Roman" w:cs="Times New Roman"/>
          <w:bCs/>
          <w:iCs/>
          <w:sz w:val="24"/>
          <w:szCs w:val="24"/>
          <w:lang w:val="en-GB"/>
        </w:rPr>
        <w:t xml:space="preserve"> = β</w:t>
      </w:r>
      <w:r w:rsidRPr="00815AA9">
        <w:rPr>
          <w:rFonts w:ascii="Times New Roman" w:hAnsi="Times New Roman" w:cs="Times New Roman"/>
          <w:bCs/>
          <w:iCs/>
          <w:sz w:val="24"/>
          <w:szCs w:val="24"/>
          <w:vertAlign w:val="subscript"/>
          <w:lang w:val="en-GB"/>
        </w:rPr>
        <w:t>0</w:t>
      </w:r>
      <w:r w:rsidRPr="00815AA9">
        <w:rPr>
          <w:rFonts w:ascii="Times New Roman" w:hAnsi="Times New Roman" w:cs="Times New Roman"/>
          <w:bCs/>
          <w:iCs/>
          <w:sz w:val="24"/>
          <w:szCs w:val="24"/>
          <w:lang w:val="en-GB"/>
        </w:rPr>
        <w:t xml:space="preserve"> + β</w:t>
      </w:r>
      <w:r w:rsidRPr="00815AA9">
        <w:rPr>
          <w:rFonts w:ascii="Times New Roman" w:hAnsi="Times New Roman" w:cs="Times New Roman"/>
          <w:bCs/>
          <w:iCs/>
          <w:sz w:val="24"/>
          <w:szCs w:val="24"/>
          <w:vertAlign w:val="subscript"/>
          <w:lang w:val="en-GB"/>
        </w:rPr>
        <w:t>1</w:t>
      </w:r>
      <w:r w:rsidRPr="00815AA9">
        <w:rPr>
          <w:rFonts w:ascii="Times New Roman" w:hAnsi="Times New Roman" w:cs="Times New Roman"/>
          <w:bCs/>
          <w:iCs/>
          <w:sz w:val="24"/>
          <w:szCs w:val="24"/>
          <w:lang w:val="en-GB"/>
        </w:rPr>
        <w:t>DWEG</w:t>
      </w:r>
      <w:r w:rsidRPr="00815AA9">
        <w:rPr>
          <w:rFonts w:ascii="Times New Roman" w:hAnsi="Times New Roman" w:cs="Times New Roman"/>
          <w:bCs/>
          <w:iCs/>
          <w:sz w:val="24"/>
          <w:szCs w:val="24"/>
          <w:vertAlign w:val="subscript"/>
          <w:lang w:val="en-GB"/>
        </w:rPr>
        <w:t>it-1</w:t>
      </w:r>
      <w:r w:rsidRPr="00815AA9">
        <w:rPr>
          <w:rFonts w:ascii="Times New Roman" w:hAnsi="Times New Roman" w:cs="Times New Roman"/>
          <w:bCs/>
          <w:iCs/>
          <w:sz w:val="24"/>
          <w:szCs w:val="24"/>
          <w:lang w:val="en-GB"/>
        </w:rPr>
        <w:t xml:space="preserve"> + β</w:t>
      </w:r>
      <w:r w:rsidRPr="00815AA9">
        <w:rPr>
          <w:rFonts w:ascii="Times New Roman" w:hAnsi="Times New Roman" w:cs="Times New Roman"/>
          <w:bCs/>
          <w:iCs/>
          <w:sz w:val="24"/>
          <w:szCs w:val="24"/>
          <w:vertAlign w:val="subscript"/>
          <w:lang w:val="en-GB"/>
        </w:rPr>
        <w:t>2</w:t>
      </w:r>
      <w:r w:rsidRPr="00815AA9">
        <w:rPr>
          <w:rFonts w:ascii="Times New Roman" w:hAnsi="Times New Roman" w:cs="Times New Roman"/>
          <w:bCs/>
          <w:iCs/>
          <w:sz w:val="24"/>
          <w:szCs w:val="24"/>
          <w:lang w:val="en-GB"/>
        </w:rPr>
        <w:t>LCOID</w:t>
      </w:r>
      <w:r w:rsidRPr="00815AA9">
        <w:rPr>
          <w:rFonts w:ascii="Times New Roman" w:hAnsi="Times New Roman" w:cs="Times New Roman"/>
          <w:bCs/>
          <w:iCs/>
          <w:sz w:val="24"/>
          <w:szCs w:val="24"/>
          <w:vertAlign w:val="subscript"/>
          <w:lang w:val="en-GB"/>
        </w:rPr>
        <w:t>it</w:t>
      </w:r>
      <w:r w:rsidRPr="00815AA9">
        <w:rPr>
          <w:rFonts w:ascii="Times New Roman" w:hAnsi="Times New Roman" w:cs="Times New Roman"/>
          <w:bCs/>
          <w:iCs/>
          <w:sz w:val="24"/>
          <w:szCs w:val="24"/>
          <w:lang w:val="en-GB"/>
        </w:rPr>
        <w:t xml:space="preserve"> + β</w:t>
      </w:r>
      <w:r w:rsidRPr="00815AA9">
        <w:rPr>
          <w:rFonts w:ascii="Times New Roman" w:hAnsi="Times New Roman" w:cs="Times New Roman"/>
          <w:bCs/>
          <w:iCs/>
          <w:sz w:val="24"/>
          <w:szCs w:val="24"/>
          <w:vertAlign w:val="subscript"/>
          <w:lang w:val="en-GB"/>
        </w:rPr>
        <w:t>3</w:t>
      </w:r>
      <w:r w:rsidRPr="00815AA9">
        <w:rPr>
          <w:rFonts w:ascii="Times New Roman" w:hAnsi="Times New Roman" w:cs="Times New Roman"/>
          <w:bCs/>
          <w:iCs/>
          <w:sz w:val="24"/>
          <w:szCs w:val="24"/>
          <w:lang w:val="en-GB"/>
        </w:rPr>
        <w:t>LTAXP</w:t>
      </w:r>
      <w:r w:rsidRPr="00815AA9">
        <w:rPr>
          <w:rFonts w:ascii="Times New Roman" w:hAnsi="Times New Roman" w:cs="Times New Roman"/>
          <w:bCs/>
          <w:iCs/>
          <w:sz w:val="24"/>
          <w:szCs w:val="24"/>
          <w:vertAlign w:val="subscript"/>
          <w:lang w:val="en-GB"/>
        </w:rPr>
        <w:t>it</w:t>
      </w:r>
      <w:r w:rsidRPr="00815AA9">
        <w:rPr>
          <w:rFonts w:ascii="Times New Roman" w:hAnsi="Times New Roman" w:cs="Times New Roman"/>
          <w:bCs/>
          <w:iCs/>
          <w:sz w:val="24"/>
          <w:szCs w:val="24"/>
          <w:lang w:val="en-GB"/>
        </w:rPr>
        <w:t xml:space="preserve"> + β</w:t>
      </w:r>
      <w:r w:rsidRPr="00815AA9">
        <w:rPr>
          <w:rFonts w:ascii="Times New Roman" w:hAnsi="Times New Roman" w:cs="Times New Roman"/>
          <w:bCs/>
          <w:iCs/>
          <w:sz w:val="24"/>
          <w:szCs w:val="24"/>
          <w:vertAlign w:val="subscript"/>
          <w:lang w:val="en-GB"/>
        </w:rPr>
        <w:t>4</w:t>
      </w:r>
      <w:r w:rsidRPr="00815AA9">
        <w:rPr>
          <w:rFonts w:ascii="Times New Roman" w:hAnsi="Times New Roman" w:cs="Times New Roman"/>
          <w:bCs/>
          <w:iCs/>
          <w:sz w:val="24"/>
          <w:szCs w:val="24"/>
          <w:lang w:val="en-GB"/>
        </w:rPr>
        <w:t>LTAGS</w:t>
      </w:r>
      <w:r w:rsidRPr="00815AA9">
        <w:rPr>
          <w:rFonts w:ascii="Times New Roman" w:hAnsi="Times New Roman" w:cs="Times New Roman"/>
          <w:bCs/>
          <w:iCs/>
          <w:sz w:val="24"/>
          <w:szCs w:val="24"/>
          <w:vertAlign w:val="subscript"/>
          <w:lang w:val="en-GB"/>
        </w:rPr>
        <w:t>it</w:t>
      </w:r>
      <w:r w:rsidRPr="00815AA9">
        <w:rPr>
          <w:rFonts w:ascii="Times New Roman" w:hAnsi="Times New Roman" w:cs="Times New Roman"/>
          <w:bCs/>
          <w:iCs/>
          <w:sz w:val="24"/>
          <w:szCs w:val="24"/>
          <w:lang w:val="en-GB"/>
        </w:rPr>
        <w:t xml:space="preserve"> + β</w:t>
      </w:r>
      <w:r w:rsidRPr="00815AA9">
        <w:rPr>
          <w:rFonts w:ascii="Times New Roman" w:hAnsi="Times New Roman" w:cs="Times New Roman"/>
          <w:bCs/>
          <w:iCs/>
          <w:sz w:val="24"/>
          <w:szCs w:val="24"/>
          <w:vertAlign w:val="subscript"/>
          <w:lang w:val="en-GB"/>
        </w:rPr>
        <w:t>5</w:t>
      </w:r>
      <w:r w:rsidRPr="00815AA9">
        <w:rPr>
          <w:rFonts w:ascii="Times New Roman" w:hAnsi="Times New Roman" w:cs="Times New Roman"/>
          <w:bCs/>
          <w:iCs/>
          <w:sz w:val="24"/>
          <w:szCs w:val="24"/>
          <w:lang w:val="en-GB"/>
        </w:rPr>
        <w:t>LTIPC</w:t>
      </w:r>
      <w:r w:rsidRPr="00815AA9">
        <w:rPr>
          <w:rFonts w:ascii="Times New Roman" w:hAnsi="Times New Roman" w:cs="Times New Roman"/>
          <w:bCs/>
          <w:iCs/>
          <w:sz w:val="24"/>
          <w:szCs w:val="24"/>
          <w:vertAlign w:val="subscript"/>
          <w:lang w:val="en-GB"/>
        </w:rPr>
        <w:t>it</w:t>
      </w:r>
      <w:r w:rsidRPr="00815AA9">
        <w:rPr>
          <w:rFonts w:ascii="Times New Roman" w:hAnsi="Times New Roman" w:cs="Times New Roman"/>
          <w:bCs/>
          <w:iCs/>
          <w:sz w:val="24"/>
          <w:szCs w:val="24"/>
          <w:lang w:val="en-GB"/>
        </w:rPr>
        <w:t xml:space="preserve"> + ε</w:t>
      </w:r>
      <w:r w:rsidRPr="00815AA9">
        <w:rPr>
          <w:rFonts w:ascii="Times New Roman" w:hAnsi="Times New Roman" w:cs="Times New Roman"/>
          <w:bCs/>
          <w:iCs/>
          <w:sz w:val="24"/>
          <w:szCs w:val="24"/>
          <w:vertAlign w:val="subscript"/>
          <w:lang w:val="en-GB"/>
        </w:rPr>
        <w:t>it</w:t>
      </w:r>
    </w:p>
    <w:p w14:paraId="10887BC0" w14:textId="77777777" w:rsidR="009E7A21" w:rsidRPr="00815AA9" w:rsidRDefault="005B0C5B" w:rsidP="00827420">
      <w:pPr>
        <w:spacing w:before="240" w:after="0" w:line="240" w:lineRule="auto"/>
        <w:jc w:val="both"/>
        <w:rPr>
          <w:rFonts w:ascii="Times New Roman" w:eastAsia="SimSun" w:hAnsi="Times New Roman" w:cs="Times New Roman"/>
          <w:bCs/>
          <w:kern w:val="0"/>
          <w:sz w:val="24"/>
          <w:szCs w:val="24"/>
          <w:lang w:val="en-GB"/>
        </w:rPr>
      </w:pPr>
      <w:r w:rsidRPr="00815AA9">
        <w:rPr>
          <w:rFonts w:ascii="Times New Roman" w:eastAsia="SimSun" w:hAnsi="Times New Roman" w:cs="Times New Roman"/>
          <w:bCs/>
          <w:kern w:val="0"/>
          <w:sz w:val="24"/>
          <w:szCs w:val="24"/>
          <w:lang w:val="en-GB"/>
        </w:rPr>
        <w:t>Where:</w:t>
      </w:r>
    </w:p>
    <w:p w14:paraId="5F003A5B" w14:textId="77777777" w:rsidR="009E7A21" w:rsidRPr="00815AA9" w:rsidRDefault="005B0C5B" w:rsidP="008948FE">
      <w:pPr>
        <w:spacing w:after="0" w:line="240" w:lineRule="auto"/>
        <w:jc w:val="both"/>
        <w:rPr>
          <w:rFonts w:ascii="Times New Roman" w:eastAsia="SimSun" w:hAnsi="Times New Roman" w:cs="Times New Roman"/>
          <w:bCs/>
          <w:kern w:val="0"/>
          <w:sz w:val="24"/>
          <w:szCs w:val="24"/>
          <w:lang w:val="en-GB"/>
        </w:rPr>
      </w:pPr>
      <w:r w:rsidRPr="00815AA9">
        <w:rPr>
          <w:rFonts w:ascii="Times New Roman" w:eastAsia="SimSun" w:hAnsi="Times New Roman" w:cs="Times New Roman"/>
          <w:bCs/>
          <w:kern w:val="0"/>
          <w:sz w:val="24"/>
          <w:szCs w:val="24"/>
          <w:lang w:val="en-GB"/>
        </w:rPr>
        <w:t>DWEG represents Decent Work and Economic Growth</w:t>
      </w:r>
    </w:p>
    <w:p w14:paraId="26CBAB72" w14:textId="77777777" w:rsidR="005B0C5B" w:rsidRPr="00815AA9" w:rsidRDefault="005B0C5B" w:rsidP="008948FE">
      <w:pPr>
        <w:spacing w:after="0" w:line="240" w:lineRule="auto"/>
        <w:jc w:val="both"/>
        <w:rPr>
          <w:rFonts w:ascii="Times New Roman" w:eastAsia="SimSun" w:hAnsi="Times New Roman" w:cs="Times New Roman"/>
          <w:bCs/>
          <w:kern w:val="0"/>
          <w:sz w:val="24"/>
          <w:szCs w:val="24"/>
          <w:lang w:val="en-GB"/>
        </w:rPr>
      </w:pPr>
      <w:r w:rsidRPr="00815AA9">
        <w:rPr>
          <w:rFonts w:ascii="Times New Roman" w:eastAsia="SimSun" w:hAnsi="Times New Roman" w:cs="Times New Roman"/>
          <w:bCs/>
          <w:kern w:val="0"/>
          <w:sz w:val="24"/>
          <w:szCs w:val="24"/>
          <w:lang w:val="en-GB"/>
        </w:rPr>
        <w:t>COID represents Customs and Other Import Duties (% of tax revenue)</w:t>
      </w:r>
    </w:p>
    <w:p w14:paraId="6E7D0DF3" w14:textId="77777777" w:rsidR="005B0C5B" w:rsidRPr="00815AA9" w:rsidRDefault="005B0C5B" w:rsidP="008948FE">
      <w:pPr>
        <w:spacing w:after="0" w:line="240" w:lineRule="auto"/>
        <w:jc w:val="both"/>
        <w:rPr>
          <w:rFonts w:ascii="Times New Roman" w:eastAsia="SimSun" w:hAnsi="Times New Roman" w:cs="Times New Roman"/>
          <w:bCs/>
          <w:kern w:val="0"/>
          <w:sz w:val="24"/>
          <w:szCs w:val="24"/>
          <w:lang w:val="en-GB"/>
        </w:rPr>
      </w:pPr>
      <w:r w:rsidRPr="00815AA9">
        <w:rPr>
          <w:rFonts w:ascii="Times New Roman" w:eastAsia="SimSun" w:hAnsi="Times New Roman" w:cs="Times New Roman"/>
          <w:bCs/>
          <w:kern w:val="0"/>
          <w:sz w:val="24"/>
          <w:szCs w:val="24"/>
          <w:lang w:val="en-GB"/>
        </w:rPr>
        <w:t>TAXP represents Taxes on Exports (% of tax revenue)</w:t>
      </w:r>
    </w:p>
    <w:p w14:paraId="4E8D25CD" w14:textId="77777777" w:rsidR="005B0C5B" w:rsidRPr="00815AA9" w:rsidRDefault="005B0C5B" w:rsidP="008948FE">
      <w:pPr>
        <w:spacing w:after="0" w:line="240" w:lineRule="auto"/>
        <w:jc w:val="both"/>
        <w:rPr>
          <w:rFonts w:ascii="Times New Roman" w:eastAsia="SimSun" w:hAnsi="Times New Roman" w:cs="Times New Roman"/>
          <w:bCs/>
          <w:kern w:val="0"/>
          <w:sz w:val="24"/>
          <w:szCs w:val="24"/>
          <w:lang w:val="en-GB"/>
        </w:rPr>
      </w:pPr>
      <w:r w:rsidRPr="00815AA9">
        <w:rPr>
          <w:rFonts w:ascii="Times New Roman" w:eastAsia="SimSun" w:hAnsi="Times New Roman" w:cs="Times New Roman"/>
          <w:bCs/>
          <w:kern w:val="0"/>
          <w:sz w:val="24"/>
          <w:szCs w:val="24"/>
          <w:lang w:val="en-GB"/>
        </w:rPr>
        <w:t>TAGS represents Taxes on Goods and Services (% of revenue)</w:t>
      </w:r>
    </w:p>
    <w:p w14:paraId="17F01380" w14:textId="77777777" w:rsidR="005B0C5B" w:rsidRPr="00815AA9" w:rsidRDefault="005B0C5B" w:rsidP="008948FE">
      <w:pPr>
        <w:spacing w:after="0" w:line="240" w:lineRule="auto"/>
        <w:jc w:val="both"/>
        <w:rPr>
          <w:rFonts w:ascii="Times New Roman" w:eastAsia="SimSun" w:hAnsi="Times New Roman" w:cs="Times New Roman"/>
          <w:bCs/>
          <w:kern w:val="0"/>
          <w:sz w:val="24"/>
          <w:szCs w:val="24"/>
          <w:lang w:val="en-GB"/>
        </w:rPr>
      </w:pPr>
      <w:r w:rsidRPr="00815AA9">
        <w:rPr>
          <w:rFonts w:ascii="Times New Roman" w:eastAsia="SimSun" w:hAnsi="Times New Roman" w:cs="Times New Roman"/>
          <w:bCs/>
          <w:kern w:val="0"/>
          <w:sz w:val="24"/>
          <w:szCs w:val="24"/>
          <w:lang w:val="en-GB"/>
        </w:rPr>
        <w:t>TIPC represents Taxes on Income, Profits, and Capital Gains (% of revenue)</w:t>
      </w:r>
    </w:p>
    <w:p w14:paraId="7028C9CC" w14:textId="77777777" w:rsidR="005B0C5B" w:rsidRPr="00815AA9" w:rsidRDefault="005B0C5B" w:rsidP="008948FE">
      <w:pPr>
        <w:spacing w:after="0" w:line="240" w:lineRule="auto"/>
        <w:jc w:val="both"/>
        <w:rPr>
          <w:rFonts w:ascii="Times New Roman" w:eastAsia="SimSun" w:hAnsi="Times New Roman" w:cs="Times New Roman"/>
          <w:bCs/>
          <w:kern w:val="0"/>
          <w:sz w:val="24"/>
          <w:szCs w:val="24"/>
          <w:lang w:val="en-GB"/>
        </w:rPr>
      </w:pPr>
      <w:r w:rsidRPr="00815AA9">
        <w:rPr>
          <w:rFonts w:ascii="Times New Roman" w:eastAsia="SimSun" w:hAnsi="Times New Roman" w:cs="Times New Roman"/>
          <w:bCs/>
          <w:kern w:val="0"/>
          <w:sz w:val="24"/>
          <w:szCs w:val="24"/>
          <w:lang w:val="en-GB"/>
        </w:rPr>
        <w:t>β₀ represents the constant term of the model</w:t>
      </w:r>
    </w:p>
    <w:p w14:paraId="67D28F11" w14:textId="77777777" w:rsidR="005B0C5B" w:rsidRPr="00815AA9" w:rsidRDefault="005B0C5B" w:rsidP="008948FE">
      <w:pPr>
        <w:spacing w:after="0" w:line="240" w:lineRule="auto"/>
        <w:jc w:val="both"/>
        <w:rPr>
          <w:rFonts w:ascii="Times New Roman" w:eastAsia="SimSun" w:hAnsi="Times New Roman" w:cs="Times New Roman"/>
          <w:bCs/>
          <w:kern w:val="0"/>
          <w:sz w:val="24"/>
          <w:szCs w:val="24"/>
          <w:lang w:val="en-GB"/>
        </w:rPr>
      </w:pPr>
      <w:r w:rsidRPr="00815AA9">
        <w:rPr>
          <w:rFonts w:ascii="Times New Roman" w:eastAsia="SimSun" w:hAnsi="Times New Roman" w:cs="Times New Roman"/>
          <w:bCs/>
          <w:kern w:val="0"/>
          <w:sz w:val="24"/>
          <w:szCs w:val="24"/>
          <w:lang w:val="en-GB"/>
        </w:rPr>
        <w:t>β₁–β₄ represent the coefficients of the explanatory variables</w:t>
      </w:r>
    </w:p>
    <w:p w14:paraId="13C7780A" w14:textId="77777777" w:rsidR="005B0C5B" w:rsidRPr="00815AA9" w:rsidRDefault="005B0C5B" w:rsidP="008948FE">
      <w:pPr>
        <w:spacing w:after="0" w:line="240" w:lineRule="auto"/>
        <w:jc w:val="both"/>
        <w:rPr>
          <w:rFonts w:ascii="Times New Roman" w:eastAsia="SimSun" w:hAnsi="Times New Roman" w:cs="Times New Roman"/>
          <w:bCs/>
          <w:kern w:val="0"/>
          <w:sz w:val="24"/>
          <w:szCs w:val="24"/>
          <w:lang w:val="en-GB"/>
        </w:rPr>
      </w:pPr>
      <w:r w:rsidRPr="00815AA9">
        <w:rPr>
          <w:rFonts w:ascii="Times New Roman" w:eastAsia="SimSun" w:hAnsi="Times New Roman" w:cs="Times New Roman"/>
          <w:bCs/>
          <w:kern w:val="0"/>
          <w:sz w:val="24"/>
          <w:szCs w:val="24"/>
          <w:lang w:val="en-GB"/>
        </w:rPr>
        <w:t>i represents the cross-sectional units (countries)</w:t>
      </w:r>
    </w:p>
    <w:p w14:paraId="6654CA95" w14:textId="77777777" w:rsidR="005B0C5B" w:rsidRPr="00815AA9" w:rsidRDefault="005B0C5B" w:rsidP="008948FE">
      <w:pPr>
        <w:spacing w:after="0" w:line="240" w:lineRule="auto"/>
        <w:jc w:val="both"/>
        <w:rPr>
          <w:rFonts w:ascii="Times New Roman" w:eastAsia="SimSun" w:hAnsi="Times New Roman" w:cs="Times New Roman"/>
          <w:bCs/>
          <w:kern w:val="0"/>
          <w:sz w:val="24"/>
          <w:szCs w:val="24"/>
          <w:lang w:val="en-GB"/>
        </w:rPr>
      </w:pPr>
      <w:r w:rsidRPr="00815AA9">
        <w:rPr>
          <w:rFonts w:ascii="Times New Roman" w:eastAsia="SimSun" w:hAnsi="Times New Roman" w:cs="Times New Roman"/>
          <w:bCs/>
          <w:kern w:val="0"/>
          <w:sz w:val="24"/>
          <w:szCs w:val="24"/>
          <w:lang w:val="en-GB"/>
        </w:rPr>
        <w:t>t represents the time period of the study</w:t>
      </w:r>
    </w:p>
    <w:p w14:paraId="5DECA3BF" w14:textId="77777777" w:rsidR="005B0C5B" w:rsidRPr="00815AA9" w:rsidRDefault="005B0C5B" w:rsidP="008948FE">
      <w:pPr>
        <w:spacing w:after="0" w:line="240" w:lineRule="auto"/>
        <w:jc w:val="both"/>
        <w:rPr>
          <w:rFonts w:ascii="Times New Roman" w:eastAsia="SimSun" w:hAnsi="Times New Roman" w:cs="Times New Roman"/>
          <w:bCs/>
          <w:kern w:val="0"/>
          <w:sz w:val="24"/>
          <w:szCs w:val="24"/>
          <w:lang w:val="en-GB"/>
        </w:rPr>
      </w:pPr>
      <w:r w:rsidRPr="00815AA9">
        <w:rPr>
          <w:rFonts w:ascii="Times New Roman" w:eastAsia="SimSun" w:hAnsi="Times New Roman" w:cs="Times New Roman"/>
          <w:bCs/>
          <w:kern w:val="0"/>
          <w:sz w:val="24"/>
          <w:szCs w:val="24"/>
          <w:lang w:val="en-GB"/>
        </w:rPr>
        <w:t>ε represents the stochastic error term.</w:t>
      </w:r>
    </w:p>
    <w:p w14:paraId="5A52CC9F" w14:textId="77777777" w:rsidR="005B0C5B" w:rsidRPr="00815AA9" w:rsidRDefault="005B0C5B" w:rsidP="008F354F">
      <w:pPr>
        <w:spacing w:before="240" w:after="0" w:line="240" w:lineRule="auto"/>
        <w:jc w:val="both"/>
        <w:rPr>
          <w:rFonts w:ascii="Times New Roman" w:eastAsia="SimSun" w:hAnsi="Times New Roman" w:cs="Times New Roman"/>
          <w:bCs/>
          <w:kern w:val="0"/>
          <w:sz w:val="24"/>
          <w:szCs w:val="24"/>
          <w:lang w:val="en-GB"/>
        </w:rPr>
      </w:pPr>
      <w:r w:rsidRPr="00815AA9">
        <w:rPr>
          <w:rFonts w:ascii="Times New Roman" w:eastAsia="SimSun" w:hAnsi="Times New Roman" w:cs="Times New Roman"/>
          <w:bCs/>
          <w:kern w:val="0"/>
          <w:sz w:val="24"/>
          <w:szCs w:val="24"/>
          <w:lang w:val="en-GB"/>
        </w:rPr>
        <w:t>The variables used in the model were measured using internationally recognized indicators from the World Bank database. Customs and other import duties represent levies imposed on goods entering a country, while taxes on exports represent charges imposed on goods transported out of the country. Taxes on goods and services include value-added taxes, excise duties, and other consumption-based taxes. Taxes on income, profits, and capital gains represent fiscal charges imposed on individual and corporate earnings as well as capital transactions. The dependent variable, Decent Work and Economic Growth, was measured using the SDG 8 index, which reflects the extent to which countries achieve targets relating to employment generation, economic productivity, and sustainable economic growth.</w:t>
      </w:r>
    </w:p>
    <w:p w14:paraId="3580E1BB" w14:textId="77777777" w:rsidR="005B0C5B" w:rsidRPr="00815AA9" w:rsidRDefault="005B0C5B" w:rsidP="008F354F">
      <w:pPr>
        <w:spacing w:before="240" w:after="0" w:line="240" w:lineRule="auto"/>
        <w:jc w:val="both"/>
        <w:rPr>
          <w:rFonts w:ascii="Times New Roman" w:eastAsia="SimSun" w:hAnsi="Times New Roman" w:cs="Times New Roman"/>
          <w:bCs/>
          <w:kern w:val="0"/>
          <w:sz w:val="24"/>
          <w:szCs w:val="24"/>
          <w:lang w:val="en-GB"/>
        </w:rPr>
      </w:pPr>
      <w:r w:rsidRPr="00815AA9">
        <w:rPr>
          <w:rFonts w:ascii="Times New Roman" w:eastAsia="SimSun" w:hAnsi="Times New Roman" w:cs="Times New Roman"/>
          <w:bCs/>
          <w:kern w:val="0"/>
          <w:sz w:val="24"/>
          <w:szCs w:val="24"/>
          <w:lang w:val="en-GB"/>
        </w:rPr>
        <w:t>In terms of analytical procedures, the dataset was analyzed using panel data econometric techniques. Descriptive statistics were first employed to examine the distribution and characteristics of the variables. Subsequently, inferential analysis was conducted through regression estimation to determine the magnitude and direction of the relationship between tax revenue components and decent work and economic growth. Prior to the regression estimation, diagnostic tests such as Pearson correlation and the Variance Inflation Factor (VIF) were conducted to test for multicollinearity among the explanatory variables. The study then applied panel estimation techniques including Pooled Ordinary Least Squares (OLS), Fixed Effects, and Random Effects models. The most appropriate model specification was determined using the Hausman specification test, while additional tests such as heteroskedasticity and autocorrelation tests were conducted to ensure the robustness and reliability of the regression estimates.</w:t>
      </w:r>
    </w:p>
    <w:p w14:paraId="2C6080FA" w14:textId="77777777" w:rsidR="001211B8" w:rsidRPr="00815AA9" w:rsidRDefault="005B0C5B" w:rsidP="008F354F">
      <w:pPr>
        <w:spacing w:before="240" w:line="240" w:lineRule="auto"/>
        <w:jc w:val="both"/>
        <w:rPr>
          <w:rFonts w:ascii="Times New Roman" w:hAnsi="Times New Roman" w:cs="Times New Roman"/>
          <w:sz w:val="24"/>
          <w:szCs w:val="24"/>
          <w:lang w:val="en-GB"/>
        </w:rPr>
      </w:pPr>
      <w:r w:rsidRPr="00815AA9">
        <w:rPr>
          <w:rFonts w:ascii="Times New Roman" w:eastAsia="SimSun" w:hAnsi="Times New Roman" w:cs="Times New Roman"/>
          <w:bCs/>
          <w:kern w:val="0"/>
          <w:sz w:val="24"/>
          <w:szCs w:val="24"/>
          <w:lang w:val="en-GB"/>
        </w:rPr>
        <w:t>Based on theoretical and empirical expectations, it is anticipated that higher tax revenue will positively influence decent work and economic growth in African countries. Improved tax revenue mobilization enhances the fiscal capacity of governments to invest in productive sectors, employment creation, infrastructure development, and social protection systems, which collectively support sustainable economic growth and improved labour market outcomes.</w:t>
      </w:r>
    </w:p>
    <w:p w14:paraId="0D40B996" w14:textId="77777777" w:rsidR="001211B8" w:rsidRPr="00815AA9" w:rsidRDefault="00171A84" w:rsidP="008948FE">
      <w:pPr>
        <w:spacing w:after="0" w:line="240" w:lineRule="auto"/>
        <w:jc w:val="both"/>
        <w:rPr>
          <w:rFonts w:ascii="Times New Roman" w:hAnsi="Times New Roman" w:cs="Times New Roman"/>
          <w:b/>
          <w:sz w:val="24"/>
          <w:szCs w:val="24"/>
          <w:lang w:val="en-GB"/>
        </w:rPr>
      </w:pPr>
      <w:r w:rsidRPr="00815AA9">
        <w:rPr>
          <w:rFonts w:ascii="Times New Roman" w:hAnsi="Times New Roman" w:cs="Times New Roman"/>
          <w:b/>
          <w:sz w:val="24"/>
          <w:szCs w:val="24"/>
          <w:lang w:val="en-GB"/>
        </w:rPr>
        <w:lastRenderedPageBreak/>
        <w:t>4.0</w:t>
      </w:r>
      <w:r w:rsidRPr="00815AA9">
        <w:rPr>
          <w:rFonts w:ascii="Times New Roman" w:hAnsi="Times New Roman" w:cs="Times New Roman"/>
          <w:b/>
          <w:sz w:val="24"/>
          <w:szCs w:val="24"/>
          <w:lang w:val="en-GB"/>
        </w:rPr>
        <w:tab/>
        <w:t xml:space="preserve">Results, </w:t>
      </w:r>
      <w:r w:rsidR="001211B8" w:rsidRPr="00815AA9">
        <w:rPr>
          <w:rFonts w:ascii="Times New Roman" w:hAnsi="Times New Roman" w:cs="Times New Roman"/>
          <w:b/>
          <w:sz w:val="24"/>
          <w:szCs w:val="24"/>
          <w:lang w:val="en-GB"/>
        </w:rPr>
        <w:t xml:space="preserve">Discussion </w:t>
      </w:r>
      <w:r w:rsidRPr="00815AA9">
        <w:rPr>
          <w:rFonts w:ascii="Times New Roman" w:hAnsi="Times New Roman" w:cs="Times New Roman"/>
          <w:b/>
          <w:sz w:val="24"/>
          <w:szCs w:val="24"/>
          <w:lang w:val="en-GB"/>
        </w:rPr>
        <w:t xml:space="preserve">and Implications </w:t>
      </w:r>
      <w:r w:rsidR="001211B8" w:rsidRPr="00815AA9">
        <w:rPr>
          <w:rFonts w:ascii="Times New Roman" w:hAnsi="Times New Roman" w:cs="Times New Roman"/>
          <w:b/>
          <w:sz w:val="24"/>
          <w:szCs w:val="24"/>
          <w:lang w:val="en-GB"/>
        </w:rPr>
        <w:t>of Findings</w:t>
      </w:r>
    </w:p>
    <w:p w14:paraId="071C5CE7" w14:textId="77777777" w:rsidR="001211B8" w:rsidRPr="00815AA9" w:rsidRDefault="001211B8" w:rsidP="008F354F">
      <w:pPr>
        <w:spacing w:before="240" w:after="0" w:line="240" w:lineRule="auto"/>
        <w:jc w:val="both"/>
        <w:rPr>
          <w:rFonts w:ascii="Times New Roman" w:hAnsi="Times New Roman" w:cs="Times New Roman"/>
          <w:sz w:val="24"/>
          <w:szCs w:val="24"/>
          <w:lang w:val="en-GB"/>
        </w:rPr>
      </w:pPr>
      <w:r w:rsidRPr="00815AA9">
        <w:rPr>
          <w:rFonts w:ascii="Times New Roman" w:hAnsi="Times New Roman" w:cs="Times New Roman"/>
          <w:sz w:val="24"/>
          <w:szCs w:val="24"/>
          <w:lang w:val="en-GB"/>
        </w:rPr>
        <w:t>The results of both the descriptive analysis (descriptive statistics, correlation analysis and station</w:t>
      </w:r>
      <w:r w:rsidR="00171A84" w:rsidRPr="00815AA9">
        <w:rPr>
          <w:rFonts w:ascii="Times New Roman" w:hAnsi="Times New Roman" w:cs="Times New Roman"/>
          <w:sz w:val="24"/>
          <w:szCs w:val="24"/>
          <w:lang w:val="en-GB"/>
        </w:rPr>
        <w:t>a</w:t>
      </w:r>
      <w:r w:rsidRPr="00815AA9">
        <w:rPr>
          <w:rFonts w:ascii="Times New Roman" w:hAnsi="Times New Roman" w:cs="Times New Roman"/>
          <w:sz w:val="24"/>
          <w:szCs w:val="24"/>
          <w:lang w:val="en-GB"/>
        </w:rPr>
        <w:t xml:space="preserve">rity) of the data series and the outcome of the multiple linear regression </w:t>
      </w:r>
      <w:r w:rsidR="008948FE" w:rsidRPr="00815AA9">
        <w:rPr>
          <w:rFonts w:ascii="Times New Roman" w:hAnsi="Times New Roman" w:cs="Times New Roman"/>
          <w:sz w:val="24"/>
          <w:szCs w:val="24"/>
          <w:lang w:val="en-GB"/>
        </w:rPr>
        <w:t>analysis employed are presented in this section.</w:t>
      </w:r>
    </w:p>
    <w:p w14:paraId="6624C03D" w14:textId="77777777" w:rsidR="001211B8" w:rsidRPr="00815AA9" w:rsidRDefault="001211B8" w:rsidP="008F354F">
      <w:pPr>
        <w:spacing w:before="240" w:after="0" w:line="240" w:lineRule="auto"/>
        <w:jc w:val="both"/>
        <w:rPr>
          <w:rFonts w:ascii="Times New Roman" w:hAnsi="Times New Roman" w:cs="Times New Roman"/>
          <w:b/>
          <w:i/>
          <w:sz w:val="24"/>
          <w:szCs w:val="24"/>
        </w:rPr>
      </w:pPr>
      <w:r w:rsidRPr="00815AA9">
        <w:rPr>
          <w:rFonts w:ascii="Times New Roman" w:hAnsi="Times New Roman" w:cs="Times New Roman"/>
          <w:b/>
          <w:i/>
          <w:sz w:val="24"/>
          <w:szCs w:val="24"/>
        </w:rPr>
        <w:t>4</w:t>
      </w:r>
      <w:r w:rsidR="008948FE" w:rsidRPr="00815AA9">
        <w:rPr>
          <w:rFonts w:ascii="Times New Roman" w:hAnsi="Times New Roman" w:cs="Times New Roman"/>
          <w:b/>
          <w:i/>
          <w:sz w:val="24"/>
          <w:szCs w:val="24"/>
        </w:rPr>
        <w:t>.1</w:t>
      </w:r>
      <w:r w:rsidRPr="00815AA9">
        <w:rPr>
          <w:rFonts w:ascii="Times New Roman" w:hAnsi="Times New Roman" w:cs="Times New Roman"/>
          <w:b/>
          <w:i/>
          <w:sz w:val="24"/>
          <w:szCs w:val="24"/>
        </w:rPr>
        <w:tab/>
        <w:t>Result of the Descriptive Statistics</w:t>
      </w:r>
      <w:bookmarkStart w:id="2" w:name="_Hlk188973778"/>
    </w:p>
    <w:p w14:paraId="2AEFD873" w14:textId="2A9CF67B" w:rsidR="001211B8" w:rsidRPr="00815AA9" w:rsidRDefault="001211B8" w:rsidP="008948FE">
      <w:pPr>
        <w:spacing w:after="0" w:line="240" w:lineRule="auto"/>
        <w:jc w:val="both"/>
        <w:rPr>
          <w:rFonts w:ascii="Times New Roman" w:hAnsi="Times New Roman" w:cs="Times New Roman"/>
          <w:b/>
          <w:sz w:val="24"/>
          <w:szCs w:val="24"/>
        </w:rPr>
      </w:pPr>
      <w:r w:rsidRPr="00815AA9">
        <w:rPr>
          <w:rFonts w:ascii="Times New Roman" w:hAnsi="Times New Roman" w:cs="Times New Roman"/>
          <w:sz w:val="24"/>
          <w:szCs w:val="24"/>
        </w:rPr>
        <w:t>The summary of the descriptive statistics for the variab</w:t>
      </w:r>
      <w:r w:rsidR="008948FE" w:rsidRPr="00815AA9">
        <w:rPr>
          <w:rFonts w:ascii="Times New Roman" w:hAnsi="Times New Roman" w:cs="Times New Roman"/>
          <w:sz w:val="24"/>
          <w:szCs w:val="24"/>
        </w:rPr>
        <w:t xml:space="preserve">les </w:t>
      </w:r>
      <w:r w:rsidR="00EC12E6" w:rsidRPr="00815AA9">
        <w:rPr>
          <w:rFonts w:ascii="Times New Roman" w:hAnsi="Times New Roman" w:cs="Times New Roman"/>
          <w:sz w:val="24"/>
          <w:szCs w:val="24"/>
        </w:rPr>
        <w:t>is</w:t>
      </w:r>
      <w:r w:rsidR="008948FE" w:rsidRPr="00815AA9">
        <w:rPr>
          <w:rFonts w:ascii="Times New Roman" w:hAnsi="Times New Roman" w:cs="Times New Roman"/>
          <w:sz w:val="24"/>
          <w:szCs w:val="24"/>
        </w:rPr>
        <w:t xml:space="preserve"> presented in Table 4.1.</w:t>
      </w:r>
      <w:r w:rsidRPr="00815AA9">
        <w:rPr>
          <w:rFonts w:ascii="Times New Roman" w:hAnsi="Times New Roman" w:cs="Times New Roman"/>
          <w:sz w:val="24"/>
          <w:szCs w:val="24"/>
        </w:rPr>
        <w:t xml:space="preserve"> and the interpretations of the results were explained thereof.</w:t>
      </w:r>
    </w:p>
    <w:p w14:paraId="4E4F8A05" w14:textId="77777777" w:rsidR="008948FE" w:rsidRPr="00815AA9" w:rsidRDefault="008948FE" w:rsidP="008948FE">
      <w:pPr>
        <w:spacing w:after="0" w:line="240" w:lineRule="auto"/>
        <w:jc w:val="both"/>
        <w:rPr>
          <w:rFonts w:ascii="Times New Roman" w:hAnsi="Times New Roman" w:cs="Times New Roman"/>
          <w:b/>
          <w:i/>
          <w:sz w:val="24"/>
          <w:szCs w:val="24"/>
        </w:rPr>
      </w:pPr>
      <w:r w:rsidRPr="00815AA9">
        <w:rPr>
          <w:rFonts w:ascii="Times New Roman" w:hAnsi="Times New Roman" w:cs="Times New Roman"/>
          <w:b/>
          <w:i/>
          <w:sz w:val="24"/>
          <w:szCs w:val="24"/>
        </w:rPr>
        <w:t xml:space="preserve">Table </w:t>
      </w:r>
      <w:r w:rsidR="001211B8" w:rsidRPr="00815AA9">
        <w:rPr>
          <w:rFonts w:ascii="Times New Roman" w:hAnsi="Times New Roman" w:cs="Times New Roman"/>
          <w:b/>
          <w:i/>
          <w:sz w:val="24"/>
          <w:szCs w:val="24"/>
        </w:rPr>
        <w:t>1</w:t>
      </w:r>
      <w:r w:rsidRPr="00815AA9">
        <w:rPr>
          <w:rFonts w:ascii="Times New Roman" w:hAnsi="Times New Roman" w:cs="Times New Roman"/>
          <w:b/>
          <w:i/>
          <w:sz w:val="24"/>
          <w:szCs w:val="24"/>
        </w:rPr>
        <w:t>:</w:t>
      </w:r>
      <w:r w:rsidR="001211B8" w:rsidRPr="00815AA9">
        <w:rPr>
          <w:rFonts w:ascii="Times New Roman" w:hAnsi="Times New Roman" w:cs="Times New Roman"/>
          <w:b/>
          <w:i/>
          <w:sz w:val="24"/>
          <w:szCs w:val="24"/>
        </w:rPr>
        <w:tab/>
      </w:r>
    </w:p>
    <w:p w14:paraId="5C6EBE47" w14:textId="77777777" w:rsidR="001211B8" w:rsidRPr="00815AA9" w:rsidRDefault="001211B8" w:rsidP="008948FE">
      <w:pPr>
        <w:spacing w:after="0" w:line="240" w:lineRule="auto"/>
        <w:jc w:val="both"/>
        <w:rPr>
          <w:rFonts w:ascii="Times New Roman" w:hAnsi="Times New Roman" w:cs="Times New Roman"/>
          <w:b/>
          <w:i/>
          <w:sz w:val="24"/>
          <w:szCs w:val="24"/>
        </w:rPr>
      </w:pPr>
      <w:r w:rsidRPr="00815AA9">
        <w:rPr>
          <w:rFonts w:ascii="Times New Roman" w:hAnsi="Times New Roman" w:cs="Times New Roman"/>
          <w:b/>
          <w:i/>
          <w:sz w:val="24"/>
          <w:szCs w:val="24"/>
        </w:rPr>
        <w:t>Descriptive Statistics</w:t>
      </w:r>
    </w:p>
    <w:tbl>
      <w:tblPr>
        <w:tblStyle w:val="TableGrid"/>
        <w:tblW w:w="6179" w:type="dxa"/>
        <w:tblInd w:w="108" w:type="dxa"/>
        <w:tblLook w:val="04A0" w:firstRow="1" w:lastRow="0" w:firstColumn="1" w:lastColumn="0" w:noHBand="0" w:noVBand="1"/>
      </w:tblPr>
      <w:tblGrid>
        <w:gridCol w:w="1483"/>
        <w:gridCol w:w="996"/>
        <w:gridCol w:w="1024"/>
        <w:gridCol w:w="1228"/>
        <w:gridCol w:w="1116"/>
        <w:gridCol w:w="996"/>
      </w:tblGrid>
      <w:tr w:rsidR="001211B8" w:rsidRPr="00815AA9" w14:paraId="1A130E80" w14:textId="77777777" w:rsidTr="00827420">
        <w:trPr>
          <w:trHeight w:val="300"/>
        </w:trPr>
        <w:tc>
          <w:tcPr>
            <w:tcW w:w="819" w:type="dxa"/>
            <w:noWrap/>
            <w:hideMark/>
          </w:tcPr>
          <w:p w14:paraId="1F86892E" w14:textId="77777777" w:rsidR="001211B8" w:rsidRPr="00815AA9" w:rsidRDefault="001211B8" w:rsidP="008948FE">
            <w:pPr>
              <w:spacing w:after="0" w:line="240" w:lineRule="auto"/>
              <w:jc w:val="both"/>
              <w:rPr>
                <w:rFonts w:ascii="Times New Roman" w:hAnsi="Times New Roman" w:cs="Times New Roman"/>
                <w:b/>
                <w:bCs/>
                <w:sz w:val="24"/>
                <w:szCs w:val="24"/>
              </w:rPr>
            </w:pPr>
            <w:r w:rsidRPr="00815AA9">
              <w:rPr>
                <w:rFonts w:ascii="Times New Roman" w:hAnsi="Times New Roman" w:cs="Times New Roman"/>
                <w:b/>
                <w:bCs/>
                <w:sz w:val="24"/>
                <w:szCs w:val="24"/>
              </w:rPr>
              <w:t>Statistic</w:t>
            </w:r>
          </w:p>
        </w:tc>
        <w:tc>
          <w:tcPr>
            <w:tcW w:w="996" w:type="dxa"/>
            <w:noWrap/>
            <w:hideMark/>
          </w:tcPr>
          <w:p w14:paraId="074965F5" w14:textId="77777777" w:rsidR="001211B8" w:rsidRPr="00815AA9" w:rsidRDefault="001211B8" w:rsidP="008948FE">
            <w:pPr>
              <w:spacing w:after="0" w:line="240" w:lineRule="auto"/>
              <w:jc w:val="both"/>
              <w:rPr>
                <w:rFonts w:ascii="Times New Roman" w:hAnsi="Times New Roman" w:cs="Times New Roman"/>
                <w:b/>
                <w:bCs/>
                <w:sz w:val="24"/>
                <w:szCs w:val="24"/>
              </w:rPr>
            </w:pPr>
            <w:r w:rsidRPr="00815AA9">
              <w:rPr>
                <w:rFonts w:ascii="Times New Roman" w:hAnsi="Times New Roman" w:cs="Times New Roman"/>
                <w:b/>
                <w:bCs/>
                <w:sz w:val="24"/>
                <w:szCs w:val="24"/>
              </w:rPr>
              <w:t>DWEG</w:t>
            </w:r>
          </w:p>
        </w:tc>
        <w:tc>
          <w:tcPr>
            <w:tcW w:w="1024" w:type="dxa"/>
            <w:noWrap/>
            <w:hideMark/>
          </w:tcPr>
          <w:p w14:paraId="25D91CFB" w14:textId="77777777" w:rsidR="001211B8" w:rsidRPr="00815AA9" w:rsidRDefault="001211B8" w:rsidP="008948FE">
            <w:pPr>
              <w:spacing w:after="0" w:line="240" w:lineRule="auto"/>
              <w:jc w:val="both"/>
              <w:rPr>
                <w:rFonts w:ascii="Times New Roman" w:hAnsi="Times New Roman" w:cs="Times New Roman"/>
                <w:b/>
                <w:bCs/>
                <w:sz w:val="24"/>
                <w:szCs w:val="24"/>
              </w:rPr>
            </w:pPr>
            <w:r w:rsidRPr="00815AA9">
              <w:rPr>
                <w:rFonts w:ascii="Times New Roman" w:hAnsi="Times New Roman" w:cs="Times New Roman"/>
                <w:b/>
                <w:bCs/>
                <w:sz w:val="24"/>
                <w:szCs w:val="24"/>
              </w:rPr>
              <w:t>COID</w:t>
            </w:r>
          </w:p>
        </w:tc>
        <w:tc>
          <w:tcPr>
            <w:tcW w:w="1228" w:type="dxa"/>
            <w:noWrap/>
            <w:hideMark/>
          </w:tcPr>
          <w:p w14:paraId="15398CC6" w14:textId="77777777" w:rsidR="001211B8" w:rsidRPr="00815AA9" w:rsidRDefault="001211B8" w:rsidP="008948FE">
            <w:pPr>
              <w:spacing w:after="0" w:line="240" w:lineRule="auto"/>
              <w:jc w:val="both"/>
              <w:rPr>
                <w:rFonts w:ascii="Times New Roman" w:hAnsi="Times New Roman" w:cs="Times New Roman"/>
                <w:b/>
                <w:bCs/>
                <w:sz w:val="24"/>
                <w:szCs w:val="24"/>
              </w:rPr>
            </w:pPr>
            <w:r w:rsidRPr="00815AA9">
              <w:rPr>
                <w:rFonts w:ascii="Times New Roman" w:hAnsi="Times New Roman" w:cs="Times New Roman"/>
                <w:b/>
                <w:bCs/>
                <w:sz w:val="24"/>
                <w:szCs w:val="24"/>
              </w:rPr>
              <w:t>TAXP</w:t>
            </w:r>
          </w:p>
        </w:tc>
        <w:tc>
          <w:tcPr>
            <w:tcW w:w="1116" w:type="dxa"/>
            <w:noWrap/>
            <w:hideMark/>
          </w:tcPr>
          <w:p w14:paraId="5BDA3543" w14:textId="77777777" w:rsidR="001211B8" w:rsidRPr="00815AA9" w:rsidRDefault="001211B8" w:rsidP="008948FE">
            <w:pPr>
              <w:spacing w:after="0" w:line="240" w:lineRule="auto"/>
              <w:jc w:val="both"/>
              <w:rPr>
                <w:rFonts w:ascii="Times New Roman" w:hAnsi="Times New Roman" w:cs="Times New Roman"/>
                <w:b/>
                <w:bCs/>
                <w:sz w:val="24"/>
                <w:szCs w:val="24"/>
              </w:rPr>
            </w:pPr>
            <w:r w:rsidRPr="00815AA9">
              <w:rPr>
                <w:rFonts w:ascii="Times New Roman" w:hAnsi="Times New Roman" w:cs="Times New Roman"/>
                <w:b/>
                <w:bCs/>
                <w:sz w:val="24"/>
                <w:szCs w:val="24"/>
              </w:rPr>
              <w:t>TAGS</w:t>
            </w:r>
          </w:p>
        </w:tc>
        <w:tc>
          <w:tcPr>
            <w:tcW w:w="996" w:type="dxa"/>
            <w:noWrap/>
            <w:hideMark/>
          </w:tcPr>
          <w:p w14:paraId="5D3A210E" w14:textId="77777777" w:rsidR="001211B8" w:rsidRPr="00815AA9" w:rsidRDefault="001211B8" w:rsidP="008948FE">
            <w:pPr>
              <w:spacing w:after="0" w:line="240" w:lineRule="auto"/>
              <w:jc w:val="both"/>
              <w:rPr>
                <w:rFonts w:ascii="Times New Roman" w:hAnsi="Times New Roman" w:cs="Times New Roman"/>
                <w:b/>
                <w:bCs/>
                <w:sz w:val="24"/>
                <w:szCs w:val="24"/>
              </w:rPr>
            </w:pPr>
            <w:r w:rsidRPr="00815AA9">
              <w:rPr>
                <w:rFonts w:ascii="Times New Roman" w:hAnsi="Times New Roman" w:cs="Times New Roman"/>
                <w:b/>
                <w:bCs/>
                <w:sz w:val="24"/>
                <w:szCs w:val="24"/>
              </w:rPr>
              <w:t>TIPC</w:t>
            </w:r>
          </w:p>
        </w:tc>
      </w:tr>
      <w:tr w:rsidR="001211B8" w:rsidRPr="00815AA9" w14:paraId="62039779" w14:textId="77777777" w:rsidTr="00827420">
        <w:trPr>
          <w:trHeight w:val="300"/>
        </w:trPr>
        <w:tc>
          <w:tcPr>
            <w:tcW w:w="819" w:type="dxa"/>
            <w:noWrap/>
            <w:hideMark/>
          </w:tcPr>
          <w:p w14:paraId="681FF401" w14:textId="77777777" w:rsidR="001211B8" w:rsidRPr="00815AA9" w:rsidRDefault="001211B8"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Mean</w:t>
            </w:r>
          </w:p>
        </w:tc>
        <w:tc>
          <w:tcPr>
            <w:tcW w:w="996" w:type="dxa"/>
            <w:noWrap/>
            <w:hideMark/>
          </w:tcPr>
          <w:p w14:paraId="2CE0AA59" w14:textId="77777777" w:rsidR="001211B8" w:rsidRPr="00815AA9" w:rsidRDefault="001211B8"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63.99</w:t>
            </w:r>
          </w:p>
        </w:tc>
        <w:tc>
          <w:tcPr>
            <w:tcW w:w="1024" w:type="dxa"/>
            <w:noWrap/>
            <w:hideMark/>
          </w:tcPr>
          <w:p w14:paraId="41F3E5F5" w14:textId="77777777" w:rsidR="001211B8" w:rsidRPr="00815AA9" w:rsidRDefault="001211B8"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367.96</w:t>
            </w:r>
          </w:p>
        </w:tc>
        <w:tc>
          <w:tcPr>
            <w:tcW w:w="1228" w:type="dxa"/>
            <w:noWrap/>
            <w:hideMark/>
          </w:tcPr>
          <w:p w14:paraId="44C9C8BD" w14:textId="77777777" w:rsidR="001211B8" w:rsidRPr="00815AA9" w:rsidRDefault="001211B8"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32.33</w:t>
            </w:r>
          </w:p>
        </w:tc>
        <w:tc>
          <w:tcPr>
            <w:tcW w:w="1116" w:type="dxa"/>
            <w:noWrap/>
            <w:hideMark/>
          </w:tcPr>
          <w:p w14:paraId="0C26C13F" w14:textId="77777777" w:rsidR="001211B8" w:rsidRPr="00815AA9" w:rsidRDefault="001211B8"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970.67</w:t>
            </w:r>
          </w:p>
        </w:tc>
        <w:tc>
          <w:tcPr>
            <w:tcW w:w="996" w:type="dxa"/>
            <w:noWrap/>
            <w:hideMark/>
          </w:tcPr>
          <w:p w14:paraId="45D04569" w14:textId="77777777" w:rsidR="001211B8" w:rsidRPr="00815AA9" w:rsidRDefault="001211B8"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665.16</w:t>
            </w:r>
          </w:p>
        </w:tc>
      </w:tr>
      <w:tr w:rsidR="001211B8" w:rsidRPr="00815AA9" w14:paraId="2D17D0FF" w14:textId="77777777" w:rsidTr="00827420">
        <w:trPr>
          <w:trHeight w:val="300"/>
        </w:trPr>
        <w:tc>
          <w:tcPr>
            <w:tcW w:w="819" w:type="dxa"/>
            <w:noWrap/>
            <w:hideMark/>
          </w:tcPr>
          <w:p w14:paraId="3ED6DDFD" w14:textId="77777777" w:rsidR="001211B8" w:rsidRPr="00815AA9" w:rsidRDefault="001211B8"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Median</w:t>
            </w:r>
          </w:p>
        </w:tc>
        <w:tc>
          <w:tcPr>
            <w:tcW w:w="996" w:type="dxa"/>
            <w:noWrap/>
            <w:hideMark/>
          </w:tcPr>
          <w:p w14:paraId="540F155D" w14:textId="77777777" w:rsidR="001211B8" w:rsidRPr="00815AA9" w:rsidRDefault="001211B8"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66.86</w:t>
            </w:r>
          </w:p>
        </w:tc>
        <w:tc>
          <w:tcPr>
            <w:tcW w:w="1024" w:type="dxa"/>
            <w:noWrap/>
            <w:hideMark/>
          </w:tcPr>
          <w:p w14:paraId="61B3848C" w14:textId="77777777" w:rsidR="001211B8" w:rsidRPr="00815AA9" w:rsidRDefault="001211B8"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48.35</w:t>
            </w:r>
          </w:p>
        </w:tc>
        <w:tc>
          <w:tcPr>
            <w:tcW w:w="1228" w:type="dxa"/>
            <w:noWrap/>
            <w:hideMark/>
          </w:tcPr>
          <w:p w14:paraId="3EF0E10D" w14:textId="77777777" w:rsidR="001211B8" w:rsidRPr="00815AA9" w:rsidRDefault="001211B8"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0.00</w:t>
            </w:r>
          </w:p>
        </w:tc>
        <w:tc>
          <w:tcPr>
            <w:tcW w:w="1116" w:type="dxa"/>
            <w:noWrap/>
            <w:hideMark/>
          </w:tcPr>
          <w:p w14:paraId="39F682AB" w14:textId="77777777" w:rsidR="001211B8" w:rsidRPr="00815AA9" w:rsidRDefault="001211B8"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173.30</w:t>
            </w:r>
          </w:p>
        </w:tc>
        <w:tc>
          <w:tcPr>
            <w:tcW w:w="996" w:type="dxa"/>
            <w:noWrap/>
            <w:hideMark/>
          </w:tcPr>
          <w:p w14:paraId="40FFB6E2" w14:textId="77777777" w:rsidR="001211B8" w:rsidRPr="00815AA9" w:rsidRDefault="001211B8"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158.62</w:t>
            </w:r>
          </w:p>
        </w:tc>
      </w:tr>
      <w:tr w:rsidR="001211B8" w:rsidRPr="00815AA9" w14:paraId="1F5F8441" w14:textId="77777777" w:rsidTr="00827420">
        <w:trPr>
          <w:trHeight w:val="300"/>
        </w:trPr>
        <w:tc>
          <w:tcPr>
            <w:tcW w:w="819" w:type="dxa"/>
            <w:noWrap/>
            <w:hideMark/>
          </w:tcPr>
          <w:p w14:paraId="05B998C3" w14:textId="77777777" w:rsidR="001211B8" w:rsidRPr="00815AA9" w:rsidRDefault="001211B8"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Maximum</w:t>
            </w:r>
          </w:p>
        </w:tc>
        <w:tc>
          <w:tcPr>
            <w:tcW w:w="996" w:type="dxa"/>
            <w:noWrap/>
            <w:hideMark/>
          </w:tcPr>
          <w:p w14:paraId="3C262750" w14:textId="77777777" w:rsidR="001211B8" w:rsidRPr="00815AA9" w:rsidRDefault="001211B8"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78.62</w:t>
            </w:r>
          </w:p>
        </w:tc>
        <w:tc>
          <w:tcPr>
            <w:tcW w:w="1024" w:type="dxa"/>
            <w:noWrap/>
            <w:hideMark/>
          </w:tcPr>
          <w:p w14:paraId="1EBF03ED" w14:textId="77777777" w:rsidR="001211B8" w:rsidRPr="00815AA9" w:rsidRDefault="001211B8"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6044.16</w:t>
            </w:r>
          </w:p>
        </w:tc>
        <w:tc>
          <w:tcPr>
            <w:tcW w:w="1228" w:type="dxa"/>
            <w:noWrap/>
            <w:hideMark/>
          </w:tcPr>
          <w:p w14:paraId="2106691A" w14:textId="77777777" w:rsidR="001211B8" w:rsidRPr="00815AA9" w:rsidRDefault="001211B8"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1901.95</w:t>
            </w:r>
          </w:p>
        </w:tc>
        <w:tc>
          <w:tcPr>
            <w:tcW w:w="1116" w:type="dxa"/>
            <w:noWrap/>
            <w:hideMark/>
          </w:tcPr>
          <w:p w14:paraId="0DFAC14C" w14:textId="77777777" w:rsidR="001211B8" w:rsidRPr="00815AA9" w:rsidRDefault="001211B8"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14336.05</w:t>
            </w:r>
          </w:p>
        </w:tc>
        <w:tc>
          <w:tcPr>
            <w:tcW w:w="996" w:type="dxa"/>
            <w:noWrap/>
            <w:hideMark/>
          </w:tcPr>
          <w:p w14:paraId="67D63296" w14:textId="77777777" w:rsidR="001211B8" w:rsidRPr="00815AA9" w:rsidRDefault="001211B8"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8881.68</w:t>
            </w:r>
          </w:p>
        </w:tc>
      </w:tr>
      <w:tr w:rsidR="001211B8" w:rsidRPr="00815AA9" w14:paraId="5618224D" w14:textId="77777777" w:rsidTr="00827420">
        <w:trPr>
          <w:trHeight w:val="300"/>
        </w:trPr>
        <w:tc>
          <w:tcPr>
            <w:tcW w:w="819" w:type="dxa"/>
            <w:noWrap/>
            <w:hideMark/>
          </w:tcPr>
          <w:p w14:paraId="2E616A56" w14:textId="77777777" w:rsidR="001211B8" w:rsidRPr="00815AA9" w:rsidRDefault="001211B8"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Minimum</w:t>
            </w:r>
          </w:p>
        </w:tc>
        <w:tc>
          <w:tcPr>
            <w:tcW w:w="996" w:type="dxa"/>
            <w:noWrap/>
            <w:hideMark/>
          </w:tcPr>
          <w:p w14:paraId="6A392BF9" w14:textId="77777777" w:rsidR="001211B8" w:rsidRPr="00815AA9" w:rsidRDefault="001211B8"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0.00</w:t>
            </w:r>
          </w:p>
        </w:tc>
        <w:tc>
          <w:tcPr>
            <w:tcW w:w="1024" w:type="dxa"/>
            <w:noWrap/>
            <w:hideMark/>
          </w:tcPr>
          <w:p w14:paraId="2E58DB48" w14:textId="77777777" w:rsidR="001211B8" w:rsidRPr="00815AA9" w:rsidRDefault="001211B8"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0.00</w:t>
            </w:r>
          </w:p>
        </w:tc>
        <w:tc>
          <w:tcPr>
            <w:tcW w:w="1228" w:type="dxa"/>
            <w:noWrap/>
            <w:hideMark/>
          </w:tcPr>
          <w:p w14:paraId="21E11B3F" w14:textId="77777777" w:rsidR="001211B8" w:rsidRPr="00815AA9" w:rsidRDefault="001211B8"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0.00</w:t>
            </w:r>
          </w:p>
        </w:tc>
        <w:tc>
          <w:tcPr>
            <w:tcW w:w="1116" w:type="dxa"/>
            <w:noWrap/>
            <w:hideMark/>
          </w:tcPr>
          <w:p w14:paraId="53DEFB4E" w14:textId="77777777" w:rsidR="001211B8" w:rsidRPr="00815AA9" w:rsidRDefault="001211B8"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0.00</w:t>
            </w:r>
          </w:p>
        </w:tc>
        <w:tc>
          <w:tcPr>
            <w:tcW w:w="996" w:type="dxa"/>
            <w:noWrap/>
            <w:hideMark/>
          </w:tcPr>
          <w:p w14:paraId="2C5BBAC0" w14:textId="77777777" w:rsidR="001211B8" w:rsidRPr="00815AA9" w:rsidRDefault="001211B8"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0.00</w:t>
            </w:r>
          </w:p>
        </w:tc>
      </w:tr>
      <w:tr w:rsidR="001211B8" w:rsidRPr="00815AA9" w14:paraId="11DCE2DA" w14:textId="77777777" w:rsidTr="00827420">
        <w:trPr>
          <w:trHeight w:val="300"/>
        </w:trPr>
        <w:tc>
          <w:tcPr>
            <w:tcW w:w="819" w:type="dxa"/>
            <w:noWrap/>
            <w:hideMark/>
          </w:tcPr>
          <w:p w14:paraId="76E8D9E8" w14:textId="77777777" w:rsidR="001211B8" w:rsidRPr="00815AA9" w:rsidRDefault="001211B8"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Std. Dev.</w:t>
            </w:r>
          </w:p>
        </w:tc>
        <w:tc>
          <w:tcPr>
            <w:tcW w:w="996" w:type="dxa"/>
            <w:noWrap/>
            <w:hideMark/>
          </w:tcPr>
          <w:p w14:paraId="5DFC95BC" w14:textId="77777777" w:rsidR="001211B8" w:rsidRPr="00815AA9" w:rsidRDefault="001211B8"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12.84</w:t>
            </w:r>
          </w:p>
        </w:tc>
        <w:tc>
          <w:tcPr>
            <w:tcW w:w="1024" w:type="dxa"/>
            <w:noWrap/>
            <w:hideMark/>
          </w:tcPr>
          <w:p w14:paraId="3E094243" w14:textId="77777777" w:rsidR="001211B8" w:rsidRPr="00815AA9" w:rsidRDefault="001211B8"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823.75</w:t>
            </w:r>
          </w:p>
        </w:tc>
        <w:tc>
          <w:tcPr>
            <w:tcW w:w="1228" w:type="dxa"/>
            <w:noWrap/>
            <w:hideMark/>
          </w:tcPr>
          <w:p w14:paraId="043FCC93" w14:textId="77777777" w:rsidR="001211B8" w:rsidRPr="00815AA9" w:rsidRDefault="001211B8"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151.18</w:t>
            </w:r>
          </w:p>
        </w:tc>
        <w:tc>
          <w:tcPr>
            <w:tcW w:w="1116" w:type="dxa"/>
            <w:noWrap/>
            <w:hideMark/>
          </w:tcPr>
          <w:p w14:paraId="1E97DAC7" w14:textId="77777777" w:rsidR="001211B8" w:rsidRPr="00815AA9" w:rsidRDefault="001211B8"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2132.05</w:t>
            </w:r>
          </w:p>
        </w:tc>
        <w:tc>
          <w:tcPr>
            <w:tcW w:w="996" w:type="dxa"/>
            <w:noWrap/>
            <w:hideMark/>
          </w:tcPr>
          <w:p w14:paraId="42B0C0AF" w14:textId="77777777" w:rsidR="001211B8" w:rsidRPr="00815AA9" w:rsidRDefault="001211B8"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1334.53</w:t>
            </w:r>
          </w:p>
        </w:tc>
      </w:tr>
      <w:tr w:rsidR="001211B8" w:rsidRPr="00815AA9" w14:paraId="1286C17C" w14:textId="77777777" w:rsidTr="00827420">
        <w:trPr>
          <w:trHeight w:val="300"/>
        </w:trPr>
        <w:tc>
          <w:tcPr>
            <w:tcW w:w="819" w:type="dxa"/>
            <w:noWrap/>
            <w:hideMark/>
          </w:tcPr>
          <w:p w14:paraId="61F78089" w14:textId="77777777" w:rsidR="001211B8" w:rsidRPr="00815AA9" w:rsidRDefault="001211B8"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Skewness</w:t>
            </w:r>
          </w:p>
        </w:tc>
        <w:tc>
          <w:tcPr>
            <w:tcW w:w="996" w:type="dxa"/>
            <w:noWrap/>
            <w:hideMark/>
          </w:tcPr>
          <w:p w14:paraId="6F0B0293" w14:textId="77777777" w:rsidR="001211B8" w:rsidRPr="00815AA9" w:rsidRDefault="001211B8"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-3.15</w:t>
            </w:r>
          </w:p>
        </w:tc>
        <w:tc>
          <w:tcPr>
            <w:tcW w:w="1024" w:type="dxa"/>
            <w:noWrap/>
            <w:hideMark/>
          </w:tcPr>
          <w:p w14:paraId="146EB671" w14:textId="77777777" w:rsidR="001211B8" w:rsidRPr="00815AA9" w:rsidRDefault="001211B8"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3.76</w:t>
            </w:r>
          </w:p>
        </w:tc>
        <w:tc>
          <w:tcPr>
            <w:tcW w:w="1228" w:type="dxa"/>
            <w:noWrap/>
            <w:hideMark/>
          </w:tcPr>
          <w:p w14:paraId="7659DC66" w14:textId="77777777" w:rsidR="001211B8" w:rsidRPr="00815AA9" w:rsidRDefault="001211B8"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7.47</w:t>
            </w:r>
          </w:p>
        </w:tc>
        <w:tc>
          <w:tcPr>
            <w:tcW w:w="1116" w:type="dxa"/>
            <w:noWrap/>
            <w:hideMark/>
          </w:tcPr>
          <w:p w14:paraId="70691C9A" w14:textId="77777777" w:rsidR="001211B8" w:rsidRPr="00815AA9" w:rsidRDefault="001211B8"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3.62</w:t>
            </w:r>
          </w:p>
        </w:tc>
        <w:tc>
          <w:tcPr>
            <w:tcW w:w="996" w:type="dxa"/>
            <w:noWrap/>
            <w:hideMark/>
          </w:tcPr>
          <w:p w14:paraId="0B7B415A" w14:textId="77777777" w:rsidR="001211B8" w:rsidRPr="00815AA9" w:rsidRDefault="001211B8"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3.39</w:t>
            </w:r>
          </w:p>
        </w:tc>
      </w:tr>
      <w:tr w:rsidR="001211B8" w:rsidRPr="00815AA9" w14:paraId="5CC23602" w14:textId="77777777" w:rsidTr="00827420">
        <w:trPr>
          <w:trHeight w:val="300"/>
        </w:trPr>
        <w:tc>
          <w:tcPr>
            <w:tcW w:w="819" w:type="dxa"/>
            <w:noWrap/>
            <w:hideMark/>
          </w:tcPr>
          <w:p w14:paraId="56B976D4" w14:textId="77777777" w:rsidR="001211B8" w:rsidRPr="00815AA9" w:rsidRDefault="001211B8"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Kurtosis</w:t>
            </w:r>
          </w:p>
        </w:tc>
        <w:tc>
          <w:tcPr>
            <w:tcW w:w="996" w:type="dxa"/>
            <w:noWrap/>
            <w:hideMark/>
          </w:tcPr>
          <w:p w14:paraId="2410997B" w14:textId="77777777" w:rsidR="001211B8" w:rsidRPr="00815AA9" w:rsidRDefault="001211B8"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15.60</w:t>
            </w:r>
          </w:p>
        </w:tc>
        <w:tc>
          <w:tcPr>
            <w:tcW w:w="1024" w:type="dxa"/>
            <w:noWrap/>
            <w:hideMark/>
          </w:tcPr>
          <w:p w14:paraId="2BDCBDD4" w14:textId="77777777" w:rsidR="001211B8" w:rsidRPr="00815AA9" w:rsidRDefault="001211B8"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18.85</w:t>
            </w:r>
          </w:p>
        </w:tc>
        <w:tc>
          <w:tcPr>
            <w:tcW w:w="1228" w:type="dxa"/>
            <w:noWrap/>
            <w:hideMark/>
          </w:tcPr>
          <w:p w14:paraId="4E6B460E" w14:textId="77777777" w:rsidR="001211B8" w:rsidRPr="00815AA9" w:rsidRDefault="001211B8"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70.76</w:t>
            </w:r>
          </w:p>
        </w:tc>
        <w:tc>
          <w:tcPr>
            <w:tcW w:w="1116" w:type="dxa"/>
            <w:noWrap/>
            <w:hideMark/>
          </w:tcPr>
          <w:p w14:paraId="046B7157" w14:textId="77777777" w:rsidR="001211B8" w:rsidRPr="00815AA9" w:rsidRDefault="001211B8"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17.29</w:t>
            </w:r>
          </w:p>
        </w:tc>
        <w:tc>
          <w:tcPr>
            <w:tcW w:w="996" w:type="dxa"/>
            <w:noWrap/>
            <w:hideMark/>
          </w:tcPr>
          <w:p w14:paraId="28E7B973" w14:textId="77777777" w:rsidR="001211B8" w:rsidRPr="00815AA9" w:rsidRDefault="001211B8"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15.83</w:t>
            </w:r>
          </w:p>
        </w:tc>
      </w:tr>
      <w:tr w:rsidR="001211B8" w:rsidRPr="00815AA9" w14:paraId="66104CA9" w14:textId="77777777" w:rsidTr="00827420">
        <w:trPr>
          <w:trHeight w:val="300"/>
        </w:trPr>
        <w:tc>
          <w:tcPr>
            <w:tcW w:w="819" w:type="dxa"/>
            <w:noWrap/>
            <w:hideMark/>
          </w:tcPr>
          <w:p w14:paraId="219EE4A3" w14:textId="77777777" w:rsidR="001211B8" w:rsidRPr="00815AA9" w:rsidRDefault="001211B8"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Jarque-Bera</w:t>
            </w:r>
          </w:p>
        </w:tc>
        <w:tc>
          <w:tcPr>
            <w:tcW w:w="996" w:type="dxa"/>
            <w:noWrap/>
            <w:hideMark/>
          </w:tcPr>
          <w:p w14:paraId="67B608FE" w14:textId="77777777" w:rsidR="001211B8" w:rsidRPr="00815AA9" w:rsidRDefault="001211B8"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4749.58</w:t>
            </w:r>
          </w:p>
        </w:tc>
        <w:tc>
          <w:tcPr>
            <w:tcW w:w="1024" w:type="dxa"/>
            <w:noWrap/>
            <w:hideMark/>
          </w:tcPr>
          <w:p w14:paraId="4D83F8ED" w14:textId="77777777" w:rsidR="001211B8" w:rsidRPr="00815AA9" w:rsidRDefault="001211B8"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7363.96</w:t>
            </w:r>
          </w:p>
        </w:tc>
        <w:tc>
          <w:tcPr>
            <w:tcW w:w="1228" w:type="dxa"/>
            <w:noWrap/>
            <w:hideMark/>
          </w:tcPr>
          <w:p w14:paraId="5AF17137" w14:textId="77777777" w:rsidR="001211B8" w:rsidRPr="00815AA9" w:rsidRDefault="001211B8"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115141.80</w:t>
            </w:r>
          </w:p>
        </w:tc>
        <w:tc>
          <w:tcPr>
            <w:tcW w:w="1116" w:type="dxa"/>
            <w:noWrap/>
            <w:hideMark/>
          </w:tcPr>
          <w:p w14:paraId="7B913201" w14:textId="77777777" w:rsidR="001211B8" w:rsidRPr="00815AA9" w:rsidRDefault="001211B8"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6142.62</w:t>
            </w:r>
          </w:p>
        </w:tc>
        <w:tc>
          <w:tcPr>
            <w:tcW w:w="996" w:type="dxa"/>
            <w:noWrap/>
            <w:hideMark/>
          </w:tcPr>
          <w:p w14:paraId="0C384734" w14:textId="77777777" w:rsidR="001211B8" w:rsidRPr="00815AA9" w:rsidRDefault="001211B8"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5035.00</w:t>
            </w:r>
          </w:p>
        </w:tc>
      </w:tr>
      <w:tr w:rsidR="001211B8" w:rsidRPr="00815AA9" w14:paraId="51E256C6" w14:textId="77777777" w:rsidTr="00827420">
        <w:trPr>
          <w:trHeight w:val="300"/>
        </w:trPr>
        <w:tc>
          <w:tcPr>
            <w:tcW w:w="819" w:type="dxa"/>
            <w:noWrap/>
            <w:hideMark/>
          </w:tcPr>
          <w:p w14:paraId="1A59E722" w14:textId="77777777" w:rsidR="001211B8" w:rsidRPr="00815AA9" w:rsidRDefault="001211B8"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Probability</w:t>
            </w:r>
          </w:p>
        </w:tc>
        <w:tc>
          <w:tcPr>
            <w:tcW w:w="996" w:type="dxa"/>
            <w:noWrap/>
            <w:hideMark/>
          </w:tcPr>
          <w:p w14:paraId="0604C0DF" w14:textId="77777777" w:rsidR="001211B8" w:rsidRPr="00815AA9" w:rsidRDefault="001211B8"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0.00</w:t>
            </w:r>
          </w:p>
        </w:tc>
        <w:tc>
          <w:tcPr>
            <w:tcW w:w="1024" w:type="dxa"/>
            <w:noWrap/>
            <w:hideMark/>
          </w:tcPr>
          <w:p w14:paraId="7F67E35B" w14:textId="77777777" w:rsidR="001211B8" w:rsidRPr="00815AA9" w:rsidRDefault="001211B8"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0.00</w:t>
            </w:r>
          </w:p>
        </w:tc>
        <w:tc>
          <w:tcPr>
            <w:tcW w:w="1228" w:type="dxa"/>
            <w:noWrap/>
            <w:hideMark/>
          </w:tcPr>
          <w:p w14:paraId="4F8A0AAD" w14:textId="77777777" w:rsidR="001211B8" w:rsidRPr="00815AA9" w:rsidRDefault="001211B8"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0.00</w:t>
            </w:r>
          </w:p>
        </w:tc>
        <w:tc>
          <w:tcPr>
            <w:tcW w:w="1116" w:type="dxa"/>
            <w:noWrap/>
            <w:hideMark/>
          </w:tcPr>
          <w:p w14:paraId="7DC868FC" w14:textId="77777777" w:rsidR="001211B8" w:rsidRPr="00815AA9" w:rsidRDefault="001211B8"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0.00</w:t>
            </w:r>
          </w:p>
        </w:tc>
        <w:tc>
          <w:tcPr>
            <w:tcW w:w="996" w:type="dxa"/>
            <w:noWrap/>
            <w:hideMark/>
          </w:tcPr>
          <w:p w14:paraId="0C707918" w14:textId="77777777" w:rsidR="001211B8" w:rsidRPr="00815AA9" w:rsidRDefault="001211B8"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0.00</w:t>
            </w:r>
          </w:p>
        </w:tc>
      </w:tr>
      <w:tr w:rsidR="001211B8" w:rsidRPr="00815AA9" w14:paraId="76E155BA" w14:textId="77777777" w:rsidTr="00827420">
        <w:trPr>
          <w:trHeight w:val="300"/>
        </w:trPr>
        <w:tc>
          <w:tcPr>
            <w:tcW w:w="819" w:type="dxa"/>
            <w:noWrap/>
            <w:hideMark/>
          </w:tcPr>
          <w:p w14:paraId="7327C796" w14:textId="77777777" w:rsidR="001211B8" w:rsidRPr="00815AA9" w:rsidRDefault="001211B8"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Observations</w:t>
            </w:r>
          </w:p>
        </w:tc>
        <w:tc>
          <w:tcPr>
            <w:tcW w:w="996" w:type="dxa"/>
            <w:noWrap/>
            <w:hideMark/>
          </w:tcPr>
          <w:p w14:paraId="5820C7A4" w14:textId="77777777" w:rsidR="001211B8" w:rsidRPr="00815AA9" w:rsidRDefault="001211B8"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574</w:t>
            </w:r>
          </w:p>
        </w:tc>
        <w:tc>
          <w:tcPr>
            <w:tcW w:w="1024" w:type="dxa"/>
            <w:noWrap/>
            <w:hideMark/>
          </w:tcPr>
          <w:p w14:paraId="7C97CC0C" w14:textId="77777777" w:rsidR="001211B8" w:rsidRPr="00815AA9" w:rsidRDefault="001211B8"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574</w:t>
            </w:r>
          </w:p>
        </w:tc>
        <w:tc>
          <w:tcPr>
            <w:tcW w:w="1228" w:type="dxa"/>
            <w:noWrap/>
            <w:hideMark/>
          </w:tcPr>
          <w:p w14:paraId="667BD0A8" w14:textId="77777777" w:rsidR="001211B8" w:rsidRPr="00815AA9" w:rsidRDefault="001211B8"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574</w:t>
            </w:r>
          </w:p>
        </w:tc>
        <w:tc>
          <w:tcPr>
            <w:tcW w:w="1116" w:type="dxa"/>
            <w:noWrap/>
            <w:hideMark/>
          </w:tcPr>
          <w:p w14:paraId="3700B73D" w14:textId="77777777" w:rsidR="001211B8" w:rsidRPr="00815AA9" w:rsidRDefault="001211B8"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574</w:t>
            </w:r>
          </w:p>
        </w:tc>
        <w:tc>
          <w:tcPr>
            <w:tcW w:w="996" w:type="dxa"/>
            <w:noWrap/>
            <w:hideMark/>
          </w:tcPr>
          <w:p w14:paraId="318282D1" w14:textId="77777777" w:rsidR="001211B8" w:rsidRPr="00815AA9" w:rsidRDefault="001211B8"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574</w:t>
            </w:r>
          </w:p>
        </w:tc>
      </w:tr>
    </w:tbl>
    <w:p w14:paraId="3DA2BD8D" w14:textId="77777777" w:rsidR="001211B8" w:rsidRPr="00815AA9" w:rsidRDefault="001211B8" w:rsidP="008948FE">
      <w:pPr>
        <w:spacing w:after="0" w:line="240" w:lineRule="auto"/>
        <w:jc w:val="both"/>
        <w:rPr>
          <w:rFonts w:ascii="Times New Roman" w:hAnsi="Times New Roman" w:cs="Times New Roman"/>
          <w:b/>
          <w:sz w:val="24"/>
          <w:szCs w:val="24"/>
        </w:rPr>
      </w:pPr>
      <w:r w:rsidRPr="00815AA9">
        <w:rPr>
          <w:rFonts w:ascii="Times New Roman" w:hAnsi="Times New Roman" w:cs="Times New Roman"/>
          <w:b/>
          <w:sz w:val="24"/>
          <w:szCs w:val="24"/>
        </w:rPr>
        <w:t>Source</w:t>
      </w:r>
      <w:r w:rsidR="008948FE" w:rsidRPr="00815AA9">
        <w:rPr>
          <w:rFonts w:ascii="Times New Roman" w:hAnsi="Times New Roman" w:cs="Times New Roman"/>
          <w:b/>
          <w:sz w:val="24"/>
          <w:szCs w:val="24"/>
        </w:rPr>
        <w:t>: Researcher’s Computation (2026</w:t>
      </w:r>
      <w:r w:rsidRPr="00815AA9">
        <w:rPr>
          <w:rFonts w:ascii="Times New Roman" w:hAnsi="Times New Roman" w:cs="Times New Roman"/>
          <w:b/>
          <w:sz w:val="24"/>
          <w:szCs w:val="24"/>
        </w:rPr>
        <w:t>)</w:t>
      </w:r>
    </w:p>
    <w:bookmarkEnd w:id="2"/>
    <w:p w14:paraId="274EA32A" w14:textId="77777777" w:rsidR="001211B8" w:rsidRPr="00815AA9" w:rsidRDefault="001211B8" w:rsidP="008F354F">
      <w:pPr>
        <w:spacing w:before="240" w:after="0" w:line="240" w:lineRule="auto"/>
        <w:jc w:val="both"/>
        <w:rPr>
          <w:rFonts w:ascii="Times New Roman" w:hAnsi="Times New Roman" w:cs="Times New Roman"/>
          <w:b/>
          <w:i/>
          <w:sz w:val="24"/>
          <w:szCs w:val="24"/>
        </w:rPr>
      </w:pPr>
      <w:r w:rsidRPr="00815AA9">
        <w:rPr>
          <w:rFonts w:ascii="Times New Roman" w:hAnsi="Times New Roman" w:cs="Times New Roman"/>
          <w:b/>
          <w:i/>
          <w:sz w:val="24"/>
          <w:szCs w:val="24"/>
        </w:rPr>
        <w:t>Interpretation</w:t>
      </w:r>
      <w:r w:rsidR="008948FE" w:rsidRPr="00815AA9">
        <w:rPr>
          <w:rFonts w:ascii="Times New Roman" w:hAnsi="Times New Roman" w:cs="Times New Roman"/>
          <w:b/>
          <w:i/>
          <w:sz w:val="24"/>
          <w:szCs w:val="24"/>
        </w:rPr>
        <w:t xml:space="preserve"> of the descriptive statistics</w:t>
      </w:r>
    </w:p>
    <w:p w14:paraId="0ED64D0A" w14:textId="77777777" w:rsidR="001211B8" w:rsidRPr="00815AA9" w:rsidRDefault="001211B8" w:rsidP="00171A84">
      <w:pPr>
        <w:spacing w:before="240" w:line="240" w:lineRule="auto"/>
        <w:jc w:val="both"/>
        <w:rPr>
          <w:rFonts w:ascii="Times New Roman" w:eastAsia="Times New Roman" w:hAnsi="Times New Roman" w:cs="Times New Roman"/>
          <w:sz w:val="24"/>
          <w:szCs w:val="24"/>
          <w:lang w:val="en-GB"/>
        </w:rPr>
      </w:pPr>
      <w:r w:rsidRPr="00815AA9">
        <w:rPr>
          <w:rFonts w:ascii="Times New Roman" w:eastAsia="Times New Roman" w:hAnsi="Times New Roman" w:cs="Times New Roman"/>
          <w:sz w:val="24"/>
          <w:szCs w:val="24"/>
          <w:lang w:val="en-GB"/>
        </w:rPr>
        <w:t>The descriptive analysis results provide a detailed overview of the behaviour and characteristics of all variables used in assessing the effect of tax revenue on the economic sustainability of selected African countries between 2010 and 2023. Decent Work and Economic Growth (DWEG), as expressed in percentage attainment of Sustainable Development Goals, while the tax variables Customs and Other Import Duties (COID), Taxes on Exports (TAXP), Taxes on Goods and Services (TAGS), and Taxes on Income, Profits and Capital Gains (TIPC) are expressed in millions of U.S. dollars.</w:t>
      </w:r>
    </w:p>
    <w:p w14:paraId="4E5636BF" w14:textId="77777777" w:rsidR="001211B8" w:rsidRPr="00815AA9" w:rsidRDefault="001211B8" w:rsidP="00171A84">
      <w:pPr>
        <w:spacing w:line="240" w:lineRule="auto"/>
        <w:jc w:val="both"/>
        <w:rPr>
          <w:rFonts w:ascii="Times New Roman" w:eastAsia="Times New Roman" w:hAnsi="Times New Roman" w:cs="Times New Roman"/>
          <w:sz w:val="24"/>
          <w:szCs w:val="24"/>
          <w:lang w:val="en-GB"/>
        </w:rPr>
      </w:pPr>
      <w:r w:rsidRPr="00815AA9">
        <w:rPr>
          <w:rFonts w:ascii="Times New Roman" w:eastAsia="Times New Roman" w:hAnsi="Times New Roman" w:cs="Times New Roman"/>
          <w:sz w:val="24"/>
          <w:szCs w:val="24"/>
          <w:lang w:val="en-GB"/>
        </w:rPr>
        <w:t>The results show that Decent Work and Economic Growth (DWEG) recorded a mean value of 63.99%, signifying that African countries achieved roughly two-thirds of their SDG goal for decent employment and economic expansion within the study period. The minimum value of 0.00% represents the lowest performance level recorded, while the maximum of 78.62% represents the highest level of goal attainment achieved by any country during the period. A standard deviation of 12.84 indicates moderate variability in performance across the countries. The distribution is negatively skewed (-3.15), meaning that most countries attained relatively high levels of decent work and growth. The high kurtosis value (15.60) indicates a peaked distribution, reflecting concentration around the mean with a few extreme values. The Jarque-Bera statistic of 4749.58 with a probability of 0.00 confirms the variable’s non-normal distribution, implying uneven progress in employment and productivity outcomes.</w:t>
      </w:r>
    </w:p>
    <w:p w14:paraId="5C7F2D7A" w14:textId="77777777" w:rsidR="001211B8" w:rsidRPr="00815AA9" w:rsidRDefault="001211B8" w:rsidP="00171A84">
      <w:pPr>
        <w:spacing w:line="240" w:lineRule="auto"/>
        <w:jc w:val="both"/>
        <w:rPr>
          <w:rFonts w:ascii="Times New Roman" w:eastAsia="Times New Roman" w:hAnsi="Times New Roman" w:cs="Times New Roman"/>
          <w:sz w:val="24"/>
          <w:szCs w:val="24"/>
          <w:lang w:val="en-GB"/>
        </w:rPr>
      </w:pPr>
      <w:r w:rsidRPr="00815AA9">
        <w:rPr>
          <w:rFonts w:ascii="Times New Roman" w:eastAsia="Times New Roman" w:hAnsi="Times New Roman" w:cs="Times New Roman"/>
          <w:sz w:val="24"/>
          <w:szCs w:val="24"/>
          <w:lang w:val="en-GB"/>
        </w:rPr>
        <w:t xml:space="preserve">For the tax revenue variables, Customs and Other Import Duties (COID) recorded a mean value of $367.96 million, representing the average customs revenue generated within the region. The minimum of $0.00 million shows the least customs collection recorded, while the maximum of $6044.16 million represents the highest import duty revenue generated by a </w:t>
      </w:r>
      <w:r w:rsidRPr="00815AA9">
        <w:rPr>
          <w:rFonts w:ascii="Times New Roman" w:eastAsia="Times New Roman" w:hAnsi="Times New Roman" w:cs="Times New Roman"/>
          <w:sz w:val="24"/>
          <w:szCs w:val="24"/>
          <w:lang w:val="en-GB"/>
        </w:rPr>
        <w:lastRenderedPageBreak/>
        <w:t>country during the study period. The large standard deviation (823.75) highlights substantial variation in import tax capacity among African nations. The positive skewness (3.76) and very high kurtosis (18.85) indicate that a few countries generated significantly higher import duty revenues compared to others. The Jarque-Bera statistic (7363.96, p &lt; 0.01) confirms the non-normal nature of the distribution, pointing to high inequality in trade tax performance.</w:t>
      </w:r>
    </w:p>
    <w:p w14:paraId="16009756" w14:textId="77777777" w:rsidR="001211B8" w:rsidRPr="00815AA9" w:rsidRDefault="001211B8" w:rsidP="00171A84">
      <w:pPr>
        <w:spacing w:line="240" w:lineRule="auto"/>
        <w:jc w:val="both"/>
        <w:rPr>
          <w:rFonts w:ascii="Times New Roman" w:eastAsia="Times New Roman" w:hAnsi="Times New Roman" w:cs="Times New Roman"/>
          <w:sz w:val="24"/>
          <w:szCs w:val="24"/>
          <w:lang w:val="en-GB"/>
        </w:rPr>
      </w:pPr>
      <w:r w:rsidRPr="00815AA9">
        <w:rPr>
          <w:rFonts w:ascii="Times New Roman" w:eastAsia="Times New Roman" w:hAnsi="Times New Roman" w:cs="Times New Roman"/>
          <w:sz w:val="24"/>
          <w:szCs w:val="24"/>
          <w:lang w:val="en-GB"/>
        </w:rPr>
        <w:t>Taxes on Exports (TAXP) show a mean of $32.33 million, suggesting that export-based taxation remains a small revenue source for most African countries. The minimum of $0.00 million indicates no export tax collection in some countries, while the maximum of $1901.95 million represents the highest export revenue recorded within the period. The standard deviation of 151.18 reveals wide variability. The high skewness (7.47) and kurtosis (70.76) demonstrate a distribution heavily influenced by outliers, where a few countries with strong export economies dominate. The Jarque-Bera statistic (115141.80, p &lt; 0.01) shows extreme non-normality, confirming vast disparities in export taxation policies and volumes across the region.</w:t>
      </w:r>
    </w:p>
    <w:p w14:paraId="2FBA74F1" w14:textId="77777777" w:rsidR="001211B8" w:rsidRPr="00815AA9" w:rsidRDefault="001211B8" w:rsidP="00171A84">
      <w:pPr>
        <w:spacing w:line="240" w:lineRule="auto"/>
        <w:jc w:val="both"/>
        <w:rPr>
          <w:rFonts w:ascii="Times New Roman" w:eastAsia="Times New Roman" w:hAnsi="Times New Roman" w:cs="Times New Roman"/>
          <w:sz w:val="24"/>
          <w:szCs w:val="24"/>
          <w:lang w:val="en-GB"/>
        </w:rPr>
      </w:pPr>
      <w:r w:rsidRPr="00815AA9">
        <w:rPr>
          <w:rFonts w:ascii="Times New Roman" w:eastAsia="Times New Roman" w:hAnsi="Times New Roman" w:cs="Times New Roman"/>
          <w:sz w:val="24"/>
          <w:szCs w:val="24"/>
          <w:lang w:val="en-GB"/>
        </w:rPr>
        <w:t>Taxes on Goods and Services (TAGS) had a mean value of $970.67 million, highlighting its importance as a key revenue source for most African countries. The minimum value of $0.00 million indicates the lowest amount of tax generated, while the maximum of $14336.05 million shows the highest level of goods and services tax revenue recorded within the study period. The very high standard deviation (2132.05) signifies substantial differences in consumption-based tax revenue generation capacity. The positive skewness (3.62) and high kurtosis (17.29) reveal a highly concentrated distribution, where a few countries dominate revenue generation. The Jarque-Bera statistic (6142.62, p &lt; 0.01) confirms the presence of significant non-normality in TAGS, reflecting variations in tax structure and economic scale.</w:t>
      </w:r>
    </w:p>
    <w:p w14:paraId="1F250BF5" w14:textId="77777777" w:rsidR="001211B8" w:rsidRPr="00815AA9" w:rsidRDefault="001211B8" w:rsidP="00171A84">
      <w:pPr>
        <w:spacing w:line="240" w:lineRule="auto"/>
        <w:jc w:val="both"/>
        <w:rPr>
          <w:rFonts w:ascii="Times New Roman" w:eastAsia="Times New Roman" w:hAnsi="Times New Roman" w:cs="Times New Roman"/>
          <w:sz w:val="24"/>
          <w:szCs w:val="24"/>
          <w:lang w:val="en-GB"/>
        </w:rPr>
      </w:pPr>
      <w:r w:rsidRPr="00815AA9">
        <w:rPr>
          <w:rFonts w:ascii="Times New Roman" w:eastAsia="Times New Roman" w:hAnsi="Times New Roman" w:cs="Times New Roman"/>
          <w:sz w:val="24"/>
          <w:szCs w:val="24"/>
          <w:lang w:val="en-GB"/>
        </w:rPr>
        <w:t>Taxes on Income, Profits and Capital Gains (TIPC) recorded a mean of $665.16 million, showing that income-related taxes contribute significantly to total revenue. The minimum value of $0.00 million represents the least amount generated, while the maximum of $8881.68 million indicates the highest revenue from income and profit taxes during the period. The standard deviation (1334.53) points to large variation in income tax performance among countries. The skewness (3.39) and kurtosis (15.83) confirm a strongly right-skewed and peaked distribution, indicating that a few countries contribute disproportionately to total income tax revenue. The Jarque-Bera value (5035.00, p &lt; 0.01) further validates the non-normal nature of the data.</w:t>
      </w:r>
    </w:p>
    <w:p w14:paraId="6B4877A4" w14:textId="77777777" w:rsidR="001211B8" w:rsidRPr="00815AA9" w:rsidRDefault="008948FE" w:rsidP="00171A84">
      <w:pPr>
        <w:spacing w:line="240" w:lineRule="auto"/>
        <w:jc w:val="both"/>
        <w:rPr>
          <w:rFonts w:ascii="Times New Roman" w:hAnsi="Times New Roman" w:cs="Times New Roman"/>
          <w:b/>
          <w:i/>
          <w:sz w:val="24"/>
          <w:szCs w:val="24"/>
        </w:rPr>
      </w:pPr>
      <w:bookmarkStart w:id="3" w:name="_Toc212215495"/>
      <w:r w:rsidRPr="00815AA9">
        <w:rPr>
          <w:rFonts w:ascii="Times New Roman" w:hAnsi="Times New Roman" w:cs="Times New Roman"/>
          <w:b/>
          <w:i/>
          <w:sz w:val="24"/>
          <w:szCs w:val="24"/>
        </w:rPr>
        <w:t>4.</w:t>
      </w:r>
      <w:r w:rsidR="001211B8" w:rsidRPr="00815AA9">
        <w:rPr>
          <w:rFonts w:ascii="Times New Roman" w:hAnsi="Times New Roman" w:cs="Times New Roman"/>
          <w:b/>
          <w:i/>
          <w:sz w:val="24"/>
          <w:szCs w:val="24"/>
        </w:rPr>
        <w:t>2</w:t>
      </w:r>
      <w:r w:rsidR="001211B8" w:rsidRPr="00815AA9">
        <w:rPr>
          <w:rFonts w:ascii="Times New Roman" w:hAnsi="Times New Roman" w:cs="Times New Roman"/>
          <w:b/>
          <w:i/>
          <w:sz w:val="24"/>
          <w:szCs w:val="24"/>
        </w:rPr>
        <w:tab/>
        <w:t xml:space="preserve">Result of the Correlation </w:t>
      </w:r>
      <w:bookmarkEnd w:id="3"/>
      <w:r w:rsidRPr="00815AA9">
        <w:rPr>
          <w:rFonts w:ascii="Times New Roman" w:hAnsi="Times New Roman" w:cs="Times New Roman"/>
          <w:b/>
          <w:i/>
          <w:sz w:val="24"/>
          <w:szCs w:val="24"/>
        </w:rPr>
        <w:t>Analysis</w:t>
      </w:r>
    </w:p>
    <w:p w14:paraId="5622ACE9" w14:textId="77777777" w:rsidR="001211B8" w:rsidRPr="00815AA9" w:rsidRDefault="001211B8" w:rsidP="00171A84">
      <w:pPr>
        <w:spacing w:line="240" w:lineRule="auto"/>
        <w:jc w:val="both"/>
        <w:rPr>
          <w:rFonts w:ascii="Times New Roman" w:hAnsi="Times New Roman" w:cs="Times New Roman"/>
          <w:sz w:val="24"/>
          <w:szCs w:val="24"/>
        </w:rPr>
      </w:pPr>
      <w:r w:rsidRPr="00815AA9">
        <w:rPr>
          <w:rFonts w:ascii="Times New Roman" w:hAnsi="Times New Roman" w:cs="Times New Roman"/>
          <w:sz w:val="24"/>
          <w:szCs w:val="24"/>
        </w:rPr>
        <w:t>To ensure the robustness of the regression results and verify the absence of multicollinearity among the variables used in this study, a Pearson Product Moment Correlation analysis was conducted. This test examined the degree and direction of linear relationships among the explanatory variables representing the ease of doing business (such as starting a business, getting electricity, registering property, obtaining credit, paying taxes, trading across borders, enforcing contracts, and resolving insolvency), the dependent variables that proxy for tax revenue (namely, taxes from income, profits and capital gains TAIPC; taxes on exports TAXP; taxes on goods and services TAGS; and customs and other import duties COID. The results, presented in Table 4.1.2, provide preliminary insights into the nature of associations between these variables and help to identify any potential issues of high correlation that could bias the regression estimates.</w:t>
      </w:r>
    </w:p>
    <w:p w14:paraId="5F58DD03" w14:textId="77777777" w:rsidR="000E2C5E" w:rsidRDefault="000E2C5E" w:rsidP="008948FE">
      <w:pPr>
        <w:spacing w:after="0" w:line="240" w:lineRule="auto"/>
        <w:jc w:val="both"/>
        <w:rPr>
          <w:rFonts w:ascii="Times New Roman" w:hAnsi="Times New Roman" w:cs="Times New Roman"/>
          <w:b/>
          <w:i/>
          <w:sz w:val="24"/>
          <w:szCs w:val="24"/>
        </w:rPr>
      </w:pPr>
    </w:p>
    <w:p w14:paraId="46C51465" w14:textId="77777777" w:rsidR="000E2C5E" w:rsidRDefault="000E2C5E" w:rsidP="008948FE">
      <w:pPr>
        <w:spacing w:after="0" w:line="240" w:lineRule="auto"/>
        <w:jc w:val="both"/>
        <w:rPr>
          <w:rFonts w:ascii="Times New Roman" w:hAnsi="Times New Roman" w:cs="Times New Roman"/>
          <w:b/>
          <w:i/>
          <w:sz w:val="24"/>
          <w:szCs w:val="24"/>
        </w:rPr>
      </w:pPr>
    </w:p>
    <w:p w14:paraId="1914A8FE" w14:textId="77777777" w:rsidR="000E2C5E" w:rsidRDefault="000E2C5E" w:rsidP="008948FE">
      <w:pPr>
        <w:spacing w:after="0" w:line="240" w:lineRule="auto"/>
        <w:jc w:val="both"/>
        <w:rPr>
          <w:rFonts w:ascii="Times New Roman" w:hAnsi="Times New Roman" w:cs="Times New Roman"/>
          <w:b/>
          <w:i/>
          <w:sz w:val="24"/>
          <w:szCs w:val="24"/>
        </w:rPr>
      </w:pPr>
    </w:p>
    <w:p w14:paraId="0B505ADD" w14:textId="11AC4661" w:rsidR="008948FE" w:rsidRPr="00815AA9" w:rsidRDefault="008948FE" w:rsidP="008948FE">
      <w:pPr>
        <w:spacing w:after="0" w:line="240" w:lineRule="auto"/>
        <w:jc w:val="both"/>
        <w:rPr>
          <w:rFonts w:ascii="Times New Roman" w:hAnsi="Times New Roman" w:cs="Times New Roman"/>
          <w:b/>
          <w:i/>
          <w:sz w:val="24"/>
          <w:szCs w:val="24"/>
        </w:rPr>
      </w:pPr>
      <w:r w:rsidRPr="00815AA9">
        <w:rPr>
          <w:rFonts w:ascii="Times New Roman" w:hAnsi="Times New Roman" w:cs="Times New Roman"/>
          <w:b/>
          <w:i/>
          <w:sz w:val="24"/>
          <w:szCs w:val="24"/>
        </w:rPr>
        <w:lastRenderedPageBreak/>
        <w:t>Table 4.2:</w:t>
      </w:r>
    </w:p>
    <w:p w14:paraId="24BA7933" w14:textId="77777777" w:rsidR="001211B8" w:rsidRPr="00815AA9" w:rsidRDefault="001211B8" w:rsidP="008948FE">
      <w:pPr>
        <w:spacing w:after="0" w:line="240" w:lineRule="auto"/>
        <w:jc w:val="both"/>
        <w:rPr>
          <w:rFonts w:ascii="Times New Roman" w:hAnsi="Times New Roman" w:cs="Times New Roman"/>
          <w:b/>
          <w:i/>
          <w:sz w:val="24"/>
          <w:szCs w:val="24"/>
        </w:rPr>
      </w:pPr>
      <w:r w:rsidRPr="00815AA9">
        <w:rPr>
          <w:rFonts w:ascii="Times New Roman" w:hAnsi="Times New Roman" w:cs="Times New Roman"/>
          <w:b/>
          <w:i/>
          <w:sz w:val="24"/>
          <w:szCs w:val="24"/>
        </w:rPr>
        <w:t>Result of the Pearson Product Moment Correlation Analysis</w:t>
      </w:r>
    </w:p>
    <w:tbl>
      <w:tblPr>
        <w:tblStyle w:val="TableGrid"/>
        <w:tblW w:w="7777" w:type="dxa"/>
        <w:tblInd w:w="108" w:type="dxa"/>
        <w:tblLook w:val="04A0" w:firstRow="1" w:lastRow="0" w:firstColumn="1" w:lastColumn="0" w:noHBand="0" w:noVBand="1"/>
      </w:tblPr>
      <w:tblGrid>
        <w:gridCol w:w="1181"/>
        <w:gridCol w:w="977"/>
        <w:gridCol w:w="843"/>
        <w:gridCol w:w="852"/>
        <w:gridCol w:w="852"/>
        <w:gridCol w:w="790"/>
        <w:gridCol w:w="710"/>
        <w:gridCol w:w="756"/>
        <w:gridCol w:w="816"/>
      </w:tblGrid>
      <w:tr w:rsidR="008948FE" w:rsidRPr="00815AA9" w14:paraId="01B568F5" w14:textId="77777777" w:rsidTr="008948FE">
        <w:trPr>
          <w:trHeight w:val="297"/>
        </w:trPr>
        <w:tc>
          <w:tcPr>
            <w:tcW w:w="1181" w:type="dxa"/>
            <w:hideMark/>
          </w:tcPr>
          <w:p w14:paraId="20C853C0" w14:textId="77777777" w:rsidR="008948FE" w:rsidRPr="00815AA9" w:rsidRDefault="008948FE" w:rsidP="008948FE">
            <w:pPr>
              <w:spacing w:after="0" w:line="240" w:lineRule="auto"/>
              <w:jc w:val="both"/>
              <w:rPr>
                <w:rFonts w:ascii="Times New Roman" w:hAnsi="Times New Roman" w:cs="Times New Roman"/>
                <w:b/>
                <w:bCs/>
                <w:sz w:val="24"/>
                <w:szCs w:val="24"/>
              </w:rPr>
            </w:pPr>
            <w:r w:rsidRPr="00815AA9">
              <w:rPr>
                <w:rFonts w:ascii="Times New Roman" w:hAnsi="Times New Roman" w:cs="Times New Roman"/>
                <w:b/>
                <w:bCs/>
                <w:sz w:val="24"/>
                <w:szCs w:val="24"/>
              </w:rPr>
              <w:t>Variables</w:t>
            </w:r>
          </w:p>
        </w:tc>
        <w:tc>
          <w:tcPr>
            <w:tcW w:w="977" w:type="dxa"/>
            <w:hideMark/>
          </w:tcPr>
          <w:p w14:paraId="4041A565" w14:textId="77777777" w:rsidR="008948FE" w:rsidRPr="00815AA9" w:rsidRDefault="008948FE" w:rsidP="008948FE">
            <w:pPr>
              <w:spacing w:after="0" w:line="240" w:lineRule="auto"/>
              <w:jc w:val="both"/>
              <w:rPr>
                <w:rFonts w:ascii="Times New Roman" w:hAnsi="Times New Roman" w:cs="Times New Roman"/>
                <w:b/>
                <w:bCs/>
                <w:sz w:val="24"/>
                <w:szCs w:val="24"/>
              </w:rPr>
            </w:pPr>
            <w:r w:rsidRPr="00815AA9">
              <w:rPr>
                <w:rFonts w:ascii="Times New Roman" w:hAnsi="Times New Roman" w:cs="Times New Roman"/>
                <w:b/>
                <w:bCs/>
                <w:sz w:val="24"/>
                <w:szCs w:val="24"/>
              </w:rPr>
              <w:t>DWEG</w:t>
            </w:r>
          </w:p>
        </w:tc>
        <w:tc>
          <w:tcPr>
            <w:tcW w:w="843" w:type="dxa"/>
            <w:hideMark/>
          </w:tcPr>
          <w:p w14:paraId="3172F9D2" w14:textId="77777777" w:rsidR="008948FE" w:rsidRPr="00815AA9" w:rsidRDefault="008948FE" w:rsidP="008948FE">
            <w:pPr>
              <w:spacing w:after="0" w:line="240" w:lineRule="auto"/>
              <w:jc w:val="both"/>
              <w:rPr>
                <w:rFonts w:ascii="Times New Roman" w:hAnsi="Times New Roman" w:cs="Times New Roman"/>
                <w:b/>
                <w:bCs/>
                <w:sz w:val="24"/>
                <w:szCs w:val="24"/>
              </w:rPr>
            </w:pPr>
            <w:r w:rsidRPr="00815AA9">
              <w:rPr>
                <w:rFonts w:ascii="Times New Roman" w:hAnsi="Times New Roman" w:cs="Times New Roman"/>
                <w:b/>
                <w:bCs/>
                <w:sz w:val="24"/>
                <w:szCs w:val="24"/>
              </w:rPr>
              <w:t>COID</w:t>
            </w:r>
          </w:p>
        </w:tc>
        <w:tc>
          <w:tcPr>
            <w:tcW w:w="852" w:type="dxa"/>
            <w:hideMark/>
          </w:tcPr>
          <w:p w14:paraId="22E6B6DF" w14:textId="77777777" w:rsidR="008948FE" w:rsidRPr="00815AA9" w:rsidRDefault="008948FE" w:rsidP="008948FE">
            <w:pPr>
              <w:spacing w:after="0" w:line="240" w:lineRule="auto"/>
              <w:jc w:val="both"/>
              <w:rPr>
                <w:rFonts w:ascii="Times New Roman" w:hAnsi="Times New Roman" w:cs="Times New Roman"/>
                <w:b/>
                <w:bCs/>
                <w:sz w:val="24"/>
                <w:szCs w:val="24"/>
              </w:rPr>
            </w:pPr>
            <w:r w:rsidRPr="00815AA9">
              <w:rPr>
                <w:rFonts w:ascii="Times New Roman" w:hAnsi="Times New Roman" w:cs="Times New Roman"/>
                <w:b/>
                <w:bCs/>
                <w:sz w:val="24"/>
                <w:szCs w:val="24"/>
              </w:rPr>
              <w:t>TAXP</w:t>
            </w:r>
          </w:p>
        </w:tc>
        <w:tc>
          <w:tcPr>
            <w:tcW w:w="852" w:type="dxa"/>
            <w:hideMark/>
          </w:tcPr>
          <w:p w14:paraId="08024ABA" w14:textId="77777777" w:rsidR="008948FE" w:rsidRPr="00815AA9" w:rsidRDefault="008948FE" w:rsidP="008948FE">
            <w:pPr>
              <w:spacing w:after="0" w:line="240" w:lineRule="auto"/>
              <w:jc w:val="both"/>
              <w:rPr>
                <w:rFonts w:ascii="Times New Roman" w:hAnsi="Times New Roman" w:cs="Times New Roman"/>
                <w:b/>
                <w:bCs/>
                <w:sz w:val="24"/>
                <w:szCs w:val="24"/>
              </w:rPr>
            </w:pPr>
            <w:r w:rsidRPr="00815AA9">
              <w:rPr>
                <w:rFonts w:ascii="Times New Roman" w:hAnsi="Times New Roman" w:cs="Times New Roman"/>
                <w:b/>
                <w:bCs/>
                <w:sz w:val="24"/>
                <w:szCs w:val="24"/>
              </w:rPr>
              <w:t>TAGS</w:t>
            </w:r>
          </w:p>
        </w:tc>
        <w:tc>
          <w:tcPr>
            <w:tcW w:w="790" w:type="dxa"/>
            <w:hideMark/>
          </w:tcPr>
          <w:p w14:paraId="5AF98082" w14:textId="77777777" w:rsidR="008948FE" w:rsidRPr="00815AA9" w:rsidRDefault="008948FE" w:rsidP="008948FE">
            <w:pPr>
              <w:spacing w:after="0" w:line="240" w:lineRule="auto"/>
              <w:jc w:val="both"/>
              <w:rPr>
                <w:rFonts w:ascii="Times New Roman" w:hAnsi="Times New Roman" w:cs="Times New Roman"/>
                <w:b/>
                <w:bCs/>
                <w:sz w:val="24"/>
                <w:szCs w:val="24"/>
              </w:rPr>
            </w:pPr>
            <w:r w:rsidRPr="00815AA9">
              <w:rPr>
                <w:rFonts w:ascii="Times New Roman" w:hAnsi="Times New Roman" w:cs="Times New Roman"/>
                <w:b/>
                <w:bCs/>
                <w:sz w:val="24"/>
                <w:szCs w:val="24"/>
              </w:rPr>
              <w:t>TIPC</w:t>
            </w:r>
          </w:p>
        </w:tc>
        <w:tc>
          <w:tcPr>
            <w:tcW w:w="710" w:type="dxa"/>
            <w:hideMark/>
          </w:tcPr>
          <w:p w14:paraId="30C3EB3F" w14:textId="77777777" w:rsidR="008948FE" w:rsidRPr="00815AA9" w:rsidRDefault="008948FE" w:rsidP="008948FE">
            <w:pPr>
              <w:spacing w:after="0" w:line="240" w:lineRule="auto"/>
              <w:jc w:val="both"/>
              <w:rPr>
                <w:rFonts w:ascii="Times New Roman" w:hAnsi="Times New Roman" w:cs="Times New Roman"/>
                <w:b/>
                <w:bCs/>
                <w:sz w:val="24"/>
                <w:szCs w:val="24"/>
              </w:rPr>
            </w:pPr>
            <w:r w:rsidRPr="00815AA9">
              <w:rPr>
                <w:rFonts w:ascii="Times New Roman" w:hAnsi="Times New Roman" w:cs="Times New Roman"/>
                <w:b/>
                <w:bCs/>
                <w:sz w:val="24"/>
                <w:szCs w:val="24"/>
              </w:rPr>
              <w:t>EDB</w:t>
            </w:r>
          </w:p>
        </w:tc>
        <w:tc>
          <w:tcPr>
            <w:tcW w:w="756" w:type="dxa"/>
          </w:tcPr>
          <w:p w14:paraId="67249891" w14:textId="77777777" w:rsidR="008948FE" w:rsidRPr="00815AA9" w:rsidRDefault="008948FE" w:rsidP="008948FE">
            <w:pPr>
              <w:spacing w:after="0" w:line="240" w:lineRule="auto"/>
              <w:jc w:val="both"/>
              <w:rPr>
                <w:rFonts w:ascii="Times New Roman" w:hAnsi="Times New Roman" w:cs="Times New Roman"/>
                <w:b/>
                <w:bCs/>
                <w:sz w:val="24"/>
                <w:szCs w:val="24"/>
              </w:rPr>
            </w:pPr>
            <w:r w:rsidRPr="00815AA9">
              <w:rPr>
                <w:rFonts w:ascii="Times New Roman" w:hAnsi="Times New Roman" w:cs="Times New Roman"/>
                <w:b/>
                <w:bCs/>
                <w:sz w:val="24"/>
                <w:szCs w:val="24"/>
              </w:rPr>
              <w:t>VIF</w:t>
            </w:r>
          </w:p>
        </w:tc>
        <w:tc>
          <w:tcPr>
            <w:tcW w:w="816" w:type="dxa"/>
          </w:tcPr>
          <w:p w14:paraId="01FDD3DD" w14:textId="77777777" w:rsidR="008948FE" w:rsidRPr="00815AA9" w:rsidRDefault="008948FE" w:rsidP="008948FE">
            <w:pPr>
              <w:spacing w:after="0" w:line="240" w:lineRule="auto"/>
              <w:jc w:val="both"/>
              <w:rPr>
                <w:rFonts w:ascii="Times New Roman" w:hAnsi="Times New Roman" w:cs="Times New Roman"/>
                <w:b/>
                <w:bCs/>
                <w:sz w:val="24"/>
                <w:szCs w:val="24"/>
              </w:rPr>
            </w:pPr>
            <w:r w:rsidRPr="00815AA9">
              <w:rPr>
                <w:rFonts w:ascii="Times New Roman" w:hAnsi="Times New Roman" w:cs="Times New Roman"/>
                <w:b/>
                <w:bCs/>
                <w:sz w:val="24"/>
                <w:szCs w:val="24"/>
              </w:rPr>
              <w:t>1/VIF</w:t>
            </w:r>
          </w:p>
        </w:tc>
      </w:tr>
      <w:tr w:rsidR="008948FE" w:rsidRPr="00815AA9" w14:paraId="4E69DCF7" w14:textId="77777777" w:rsidTr="008948FE">
        <w:trPr>
          <w:trHeight w:val="300"/>
        </w:trPr>
        <w:tc>
          <w:tcPr>
            <w:tcW w:w="1181" w:type="dxa"/>
            <w:hideMark/>
          </w:tcPr>
          <w:p w14:paraId="27881DCE" w14:textId="77777777" w:rsidR="008948FE" w:rsidRPr="00815AA9" w:rsidRDefault="008948FE" w:rsidP="008948FE">
            <w:pPr>
              <w:spacing w:after="0" w:line="240" w:lineRule="auto"/>
              <w:jc w:val="both"/>
              <w:rPr>
                <w:rFonts w:ascii="Times New Roman" w:hAnsi="Times New Roman" w:cs="Times New Roman"/>
                <w:b/>
                <w:bCs/>
                <w:sz w:val="24"/>
                <w:szCs w:val="24"/>
              </w:rPr>
            </w:pPr>
            <w:r w:rsidRPr="00815AA9">
              <w:rPr>
                <w:rFonts w:ascii="Times New Roman" w:hAnsi="Times New Roman" w:cs="Times New Roman"/>
                <w:b/>
                <w:bCs/>
                <w:sz w:val="24"/>
                <w:szCs w:val="24"/>
              </w:rPr>
              <w:t>DWEG</w:t>
            </w:r>
          </w:p>
        </w:tc>
        <w:tc>
          <w:tcPr>
            <w:tcW w:w="977" w:type="dxa"/>
            <w:hideMark/>
          </w:tcPr>
          <w:p w14:paraId="2BEC250D" w14:textId="77777777" w:rsidR="008948FE" w:rsidRPr="00815AA9" w:rsidRDefault="008948FE"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1.00</w:t>
            </w:r>
          </w:p>
        </w:tc>
        <w:tc>
          <w:tcPr>
            <w:tcW w:w="843" w:type="dxa"/>
            <w:hideMark/>
          </w:tcPr>
          <w:p w14:paraId="1D561EEB" w14:textId="77777777" w:rsidR="008948FE" w:rsidRPr="00815AA9" w:rsidRDefault="008948FE" w:rsidP="008948FE">
            <w:pPr>
              <w:spacing w:after="0" w:line="240" w:lineRule="auto"/>
              <w:jc w:val="both"/>
              <w:rPr>
                <w:rFonts w:ascii="Times New Roman" w:hAnsi="Times New Roman" w:cs="Times New Roman"/>
                <w:sz w:val="24"/>
                <w:szCs w:val="24"/>
              </w:rPr>
            </w:pPr>
          </w:p>
        </w:tc>
        <w:tc>
          <w:tcPr>
            <w:tcW w:w="852" w:type="dxa"/>
            <w:hideMark/>
          </w:tcPr>
          <w:p w14:paraId="0BECE3E2" w14:textId="77777777" w:rsidR="008948FE" w:rsidRPr="00815AA9" w:rsidRDefault="008948FE" w:rsidP="008948FE">
            <w:pPr>
              <w:spacing w:after="0" w:line="240" w:lineRule="auto"/>
              <w:jc w:val="both"/>
              <w:rPr>
                <w:rFonts w:ascii="Times New Roman" w:hAnsi="Times New Roman" w:cs="Times New Roman"/>
                <w:sz w:val="24"/>
                <w:szCs w:val="24"/>
              </w:rPr>
            </w:pPr>
          </w:p>
        </w:tc>
        <w:tc>
          <w:tcPr>
            <w:tcW w:w="852" w:type="dxa"/>
            <w:hideMark/>
          </w:tcPr>
          <w:p w14:paraId="19EF05A8" w14:textId="77777777" w:rsidR="008948FE" w:rsidRPr="00815AA9" w:rsidRDefault="008948FE" w:rsidP="008948FE">
            <w:pPr>
              <w:spacing w:after="0" w:line="240" w:lineRule="auto"/>
              <w:jc w:val="both"/>
              <w:rPr>
                <w:rFonts w:ascii="Times New Roman" w:hAnsi="Times New Roman" w:cs="Times New Roman"/>
                <w:sz w:val="24"/>
                <w:szCs w:val="24"/>
              </w:rPr>
            </w:pPr>
          </w:p>
        </w:tc>
        <w:tc>
          <w:tcPr>
            <w:tcW w:w="790" w:type="dxa"/>
            <w:hideMark/>
          </w:tcPr>
          <w:p w14:paraId="01B8CC7C" w14:textId="77777777" w:rsidR="008948FE" w:rsidRPr="00815AA9" w:rsidRDefault="008948FE" w:rsidP="008948FE">
            <w:pPr>
              <w:spacing w:after="0" w:line="240" w:lineRule="auto"/>
              <w:jc w:val="both"/>
              <w:rPr>
                <w:rFonts w:ascii="Times New Roman" w:hAnsi="Times New Roman" w:cs="Times New Roman"/>
                <w:sz w:val="24"/>
                <w:szCs w:val="24"/>
              </w:rPr>
            </w:pPr>
          </w:p>
        </w:tc>
        <w:tc>
          <w:tcPr>
            <w:tcW w:w="710" w:type="dxa"/>
            <w:hideMark/>
          </w:tcPr>
          <w:p w14:paraId="29896B58" w14:textId="77777777" w:rsidR="008948FE" w:rsidRPr="00815AA9" w:rsidRDefault="008948FE" w:rsidP="008948FE">
            <w:pPr>
              <w:spacing w:after="0" w:line="240" w:lineRule="auto"/>
              <w:jc w:val="both"/>
              <w:rPr>
                <w:rFonts w:ascii="Times New Roman" w:hAnsi="Times New Roman" w:cs="Times New Roman"/>
                <w:sz w:val="24"/>
                <w:szCs w:val="24"/>
              </w:rPr>
            </w:pPr>
          </w:p>
        </w:tc>
        <w:tc>
          <w:tcPr>
            <w:tcW w:w="756" w:type="dxa"/>
          </w:tcPr>
          <w:p w14:paraId="17E7CE97" w14:textId="77777777" w:rsidR="008948FE" w:rsidRPr="00815AA9" w:rsidRDefault="008948FE" w:rsidP="008948FE">
            <w:pPr>
              <w:spacing w:after="0" w:line="240" w:lineRule="auto"/>
              <w:jc w:val="both"/>
              <w:rPr>
                <w:rFonts w:ascii="Times New Roman" w:hAnsi="Times New Roman" w:cs="Times New Roman"/>
                <w:sz w:val="24"/>
                <w:szCs w:val="24"/>
              </w:rPr>
            </w:pPr>
          </w:p>
        </w:tc>
        <w:tc>
          <w:tcPr>
            <w:tcW w:w="816" w:type="dxa"/>
          </w:tcPr>
          <w:p w14:paraId="32ED2324" w14:textId="77777777" w:rsidR="008948FE" w:rsidRPr="00815AA9" w:rsidRDefault="008948FE" w:rsidP="008948FE">
            <w:pPr>
              <w:spacing w:after="0" w:line="240" w:lineRule="auto"/>
              <w:jc w:val="both"/>
              <w:rPr>
                <w:rFonts w:ascii="Times New Roman" w:hAnsi="Times New Roman" w:cs="Times New Roman"/>
                <w:sz w:val="24"/>
                <w:szCs w:val="24"/>
              </w:rPr>
            </w:pPr>
          </w:p>
        </w:tc>
      </w:tr>
      <w:tr w:rsidR="008948FE" w:rsidRPr="00815AA9" w14:paraId="1D4A31EC" w14:textId="77777777" w:rsidTr="008948FE">
        <w:trPr>
          <w:trHeight w:val="300"/>
        </w:trPr>
        <w:tc>
          <w:tcPr>
            <w:tcW w:w="1181" w:type="dxa"/>
            <w:hideMark/>
          </w:tcPr>
          <w:p w14:paraId="4E4ED51C" w14:textId="77777777" w:rsidR="008948FE" w:rsidRPr="00815AA9" w:rsidRDefault="008948FE" w:rsidP="008948FE">
            <w:pPr>
              <w:spacing w:after="0" w:line="240" w:lineRule="auto"/>
              <w:jc w:val="both"/>
              <w:rPr>
                <w:rFonts w:ascii="Times New Roman" w:hAnsi="Times New Roman" w:cs="Times New Roman"/>
                <w:b/>
                <w:bCs/>
                <w:sz w:val="24"/>
                <w:szCs w:val="24"/>
              </w:rPr>
            </w:pPr>
            <w:r w:rsidRPr="00815AA9">
              <w:rPr>
                <w:rFonts w:ascii="Times New Roman" w:hAnsi="Times New Roman" w:cs="Times New Roman"/>
                <w:b/>
                <w:bCs/>
                <w:sz w:val="24"/>
                <w:szCs w:val="24"/>
              </w:rPr>
              <w:t>COID</w:t>
            </w:r>
          </w:p>
        </w:tc>
        <w:tc>
          <w:tcPr>
            <w:tcW w:w="977" w:type="dxa"/>
            <w:hideMark/>
          </w:tcPr>
          <w:p w14:paraId="415263CC" w14:textId="77777777" w:rsidR="008948FE" w:rsidRPr="00815AA9" w:rsidRDefault="008948FE"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0.20</w:t>
            </w:r>
          </w:p>
        </w:tc>
        <w:tc>
          <w:tcPr>
            <w:tcW w:w="843" w:type="dxa"/>
            <w:hideMark/>
          </w:tcPr>
          <w:p w14:paraId="10CB4DAC" w14:textId="77777777" w:rsidR="008948FE" w:rsidRPr="00815AA9" w:rsidRDefault="008948FE"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1.00</w:t>
            </w:r>
          </w:p>
        </w:tc>
        <w:tc>
          <w:tcPr>
            <w:tcW w:w="852" w:type="dxa"/>
            <w:hideMark/>
          </w:tcPr>
          <w:p w14:paraId="626F7AAD" w14:textId="77777777" w:rsidR="008948FE" w:rsidRPr="00815AA9" w:rsidRDefault="008948FE" w:rsidP="008948FE">
            <w:pPr>
              <w:spacing w:after="0" w:line="240" w:lineRule="auto"/>
              <w:jc w:val="both"/>
              <w:rPr>
                <w:rFonts w:ascii="Times New Roman" w:hAnsi="Times New Roman" w:cs="Times New Roman"/>
                <w:sz w:val="24"/>
                <w:szCs w:val="24"/>
              </w:rPr>
            </w:pPr>
          </w:p>
        </w:tc>
        <w:tc>
          <w:tcPr>
            <w:tcW w:w="852" w:type="dxa"/>
            <w:hideMark/>
          </w:tcPr>
          <w:p w14:paraId="69C22BB7" w14:textId="77777777" w:rsidR="008948FE" w:rsidRPr="00815AA9" w:rsidRDefault="008948FE" w:rsidP="008948FE">
            <w:pPr>
              <w:spacing w:after="0" w:line="240" w:lineRule="auto"/>
              <w:jc w:val="both"/>
              <w:rPr>
                <w:rFonts w:ascii="Times New Roman" w:hAnsi="Times New Roman" w:cs="Times New Roman"/>
                <w:sz w:val="24"/>
                <w:szCs w:val="24"/>
              </w:rPr>
            </w:pPr>
          </w:p>
        </w:tc>
        <w:tc>
          <w:tcPr>
            <w:tcW w:w="790" w:type="dxa"/>
            <w:hideMark/>
          </w:tcPr>
          <w:p w14:paraId="591408C2" w14:textId="77777777" w:rsidR="008948FE" w:rsidRPr="00815AA9" w:rsidRDefault="008948FE" w:rsidP="008948FE">
            <w:pPr>
              <w:spacing w:after="0" w:line="240" w:lineRule="auto"/>
              <w:jc w:val="both"/>
              <w:rPr>
                <w:rFonts w:ascii="Times New Roman" w:hAnsi="Times New Roman" w:cs="Times New Roman"/>
                <w:sz w:val="24"/>
                <w:szCs w:val="24"/>
              </w:rPr>
            </w:pPr>
          </w:p>
        </w:tc>
        <w:tc>
          <w:tcPr>
            <w:tcW w:w="710" w:type="dxa"/>
            <w:hideMark/>
          </w:tcPr>
          <w:p w14:paraId="70A0EF4A" w14:textId="77777777" w:rsidR="008948FE" w:rsidRPr="00815AA9" w:rsidRDefault="008948FE" w:rsidP="008948FE">
            <w:pPr>
              <w:spacing w:after="0" w:line="240" w:lineRule="auto"/>
              <w:jc w:val="both"/>
              <w:rPr>
                <w:rFonts w:ascii="Times New Roman" w:hAnsi="Times New Roman" w:cs="Times New Roman"/>
                <w:sz w:val="24"/>
                <w:szCs w:val="24"/>
              </w:rPr>
            </w:pPr>
          </w:p>
        </w:tc>
        <w:tc>
          <w:tcPr>
            <w:tcW w:w="756" w:type="dxa"/>
          </w:tcPr>
          <w:p w14:paraId="6908CA8A" w14:textId="77777777" w:rsidR="008948FE" w:rsidRPr="00815AA9" w:rsidRDefault="008948FE"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9.87</w:t>
            </w:r>
          </w:p>
        </w:tc>
        <w:tc>
          <w:tcPr>
            <w:tcW w:w="816" w:type="dxa"/>
          </w:tcPr>
          <w:p w14:paraId="114EF643" w14:textId="77777777" w:rsidR="008948FE" w:rsidRPr="00815AA9" w:rsidRDefault="008948FE"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0.101</w:t>
            </w:r>
          </w:p>
        </w:tc>
      </w:tr>
      <w:tr w:rsidR="008948FE" w:rsidRPr="00815AA9" w14:paraId="59C32471" w14:textId="77777777" w:rsidTr="008948FE">
        <w:trPr>
          <w:trHeight w:val="300"/>
        </w:trPr>
        <w:tc>
          <w:tcPr>
            <w:tcW w:w="1181" w:type="dxa"/>
            <w:hideMark/>
          </w:tcPr>
          <w:p w14:paraId="4269EC72" w14:textId="77777777" w:rsidR="008948FE" w:rsidRPr="00815AA9" w:rsidRDefault="008948FE" w:rsidP="008948FE">
            <w:pPr>
              <w:spacing w:after="0" w:line="240" w:lineRule="auto"/>
              <w:jc w:val="both"/>
              <w:rPr>
                <w:rFonts w:ascii="Times New Roman" w:hAnsi="Times New Roman" w:cs="Times New Roman"/>
                <w:b/>
                <w:bCs/>
                <w:sz w:val="24"/>
                <w:szCs w:val="24"/>
              </w:rPr>
            </w:pPr>
            <w:r w:rsidRPr="00815AA9">
              <w:rPr>
                <w:rFonts w:ascii="Times New Roman" w:hAnsi="Times New Roman" w:cs="Times New Roman"/>
                <w:b/>
                <w:bCs/>
                <w:sz w:val="24"/>
                <w:szCs w:val="24"/>
              </w:rPr>
              <w:t>TAXP</w:t>
            </w:r>
          </w:p>
        </w:tc>
        <w:tc>
          <w:tcPr>
            <w:tcW w:w="977" w:type="dxa"/>
            <w:hideMark/>
          </w:tcPr>
          <w:p w14:paraId="74A0B6B7" w14:textId="77777777" w:rsidR="008948FE" w:rsidRPr="00815AA9" w:rsidRDefault="008948FE"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0.12</w:t>
            </w:r>
          </w:p>
        </w:tc>
        <w:tc>
          <w:tcPr>
            <w:tcW w:w="843" w:type="dxa"/>
            <w:hideMark/>
          </w:tcPr>
          <w:p w14:paraId="548E7A7F" w14:textId="77777777" w:rsidR="008948FE" w:rsidRPr="00815AA9" w:rsidRDefault="008948FE"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0.49</w:t>
            </w:r>
          </w:p>
        </w:tc>
        <w:tc>
          <w:tcPr>
            <w:tcW w:w="852" w:type="dxa"/>
            <w:hideMark/>
          </w:tcPr>
          <w:p w14:paraId="78FE4941" w14:textId="77777777" w:rsidR="008948FE" w:rsidRPr="00815AA9" w:rsidRDefault="008948FE"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1.00</w:t>
            </w:r>
          </w:p>
        </w:tc>
        <w:tc>
          <w:tcPr>
            <w:tcW w:w="852" w:type="dxa"/>
            <w:hideMark/>
          </w:tcPr>
          <w:p w14:paraId="4E4D2AC3" w14:textId="77777777" w:rsidR="008948FE" w:rsidRPr="00815AA9" w:rsidRDefault="008948FE" w:rsidP="008948FE">
            <w:pPr>
              <w:spacing w:after="0" w:line="240" w:lineRule="auto"/>
              <w:jc w:val="both"/>
              <w:rPr>
                <w:rFonts w:ascii="Times New Roman" w:hAnsi="Times New Roman" w:cs="Times New Roman"/>
                <w:sz w:val="24"/>
                <w:szCs w:val="24"/>
              </w:rPr>
            </w:pPr>
          </w:p>
        </w:tc>
        <w:tc>
          <w:tcPr>
            <w:tcW w:w="790" w:type="dxa"/>
            <w:hideMark/>
          </w:tcPr>
          <w:p w14:paraId="016E6744" w14:textId="77777777" w:rsidR="008948FE" w:rsidRPr="00815AA9" w:rsidRDefault="008948FE" w:rsidP="008948FE">
            <w:pPr>
              <w:spacing w:after="0" w:line="240" w:lineRule="auto"/>
              <w:jc w:val="both"/>
              <w:rPr>
                <w:rFonts w:ascii="Times New Roman" w:hAnsi="Times New Roman" w:cs="Times New Roman"/>
                <w:sz w:val="24"/>
                <w:szCs w:val="24"/>
              </w:rPr>
            </w:pPr>
          </w:p>
        </w:tc>
        <w:tc>
          <w:tcPr>
            <w:tcW w:w="710" w:type="dxa"/>
            <w:hideMark/>
          </w:tcPr>
          <w:p w14:paraId="037C48D0" w14:textId="77777777" w:rsidR="008948FE" w:rsidRPr="00815AA9" w:rsidRDefault="008948FE" w:rsidP="008948FE">
            <w:pPr>
              <w:spacing w:after="0" w:line="240" w:lineRule="auto"/>
              <w:jc w:val="both"/>
              <w:rPr>
                <w:rFonts w:ascii="Times New Roman" w:hAnsi="Times New Roman" w:cs="Times New Roman"/>
                <w:sz w:val="24"/>
                <w:szCs w:val="24"/>
              </w:rPr>
            </w:pPr>
          </w:p>
        </w:tc>
        <w:tc>
          <w:tcPr>
            <w:tcW w:w="756" w:type="dxa"/>
          </w:tcPr>
          <w:p w14:paraId="52021460" w14:textId="77777777" w:rsidR="008948FE" w:rsidRPr="00815AA9" w:rsidRDefault="008948FE"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1.87</w:t>
            </w:r>
          </w:p>
        </w:tc>
        <w:tc>
          <w:tcPr>
            <w:tcW w:w="816" w:type="dxa"/>
          </w:tcPr>
          <w:p w14:paraId="34D490C8" w14:textId="77777777" w:rsidR="008948FE" w:rsidRPr="00815AA9" w:rsidRDefault="008948FE"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0.535</w:t>
            </w:r>
          </w:p>
        </w:tc>
      </w:tr>
      <w:tr w:rsidR="008948FE" w:rsidRPr="00815AA9" w14:paraId="270A0817" w14:textId="77777777" w:rsidTr="008948FE">
        <w:trPr>
          <w:trHeight w:val="300"/>
        </w:trPr>
        <w:tc>
          <w:tcPr>
            <w:tcW w:w="1181" w:type="dxa"/>
            <w:hideMark/>
          </w:tcPr>
          <w:p w14:paraId="2E59F073" w14:textId="77777777" w:rsidR="008948FE" w:rsidRPr="00815AA9" w:rsidRDefault="008948FE" w:rsidP="008948FE">
            <w:pPr>
              <w:spacing w:after="0" w:line="240" w:lineRule="auto"/>
              <w:jc w:val="both"/>
              <w:rPr>
                <w:rFonts w:ascii="Times New Roman" w:hAnsi="Times New Roman" w:cs="Times New Roman"/>
                <w:b/>
                <w:bCs/>
                <w:sz w:val="24"/>
                <w:szCs w:val="24"/>
              </w:rPr>
            </w:pPr>
            <w:r w:rsidRPr="00815AA9">
              <w:rPr>
                <w:rFonts w:ascii="Times New Roman" w:hAnsi="Times New Roman" w:cs="Times New Roman"/>
                <w:b/>
                <w:bCs/>
                <w:sz w:val="24"/>
                <w:szCs w:val="24"/>
              </w:rPr>
              <w:t>TAGS</w:t>
            </w:r>
          </w:p>
        </w:tc>
        <w:tc>
          <w:tcPr>
            <w:tcW w:w="977" w:type="dxa"/>
            <w:hideMark/>
          </w:tcPr>
          <w:p w14:paraId="4B6A26BF" w14:textId="77777777" w:rsidR="008948FE" w:rsidRPr="00815AA9" w:rsidRDefault="008948FE"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0.20</w:t>
            </w:r>
          </w:p>
        </w:tc>
        <w:tc>
          <w:tcPr>
            <w:tcW w:w="843" w:type="dxa"/>
            <w:hideMark/>
          </w:tcPr>
          <w:p w14:paraId="425D455A" w14:textId="77777777" w:rsidR="008948FE" w:rsidRPr="00815AA9" w:rsidRDefault="008948FE"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0.95</w:t>
            </w:r>
          </w:p>
        </w:tc>
        <w:tc>
          <w:tcPr>
            <w:tcW w:w="852" w:type="dxa"/>
            <w:hideMark/>
          </w:tcPr>
          <w:p w14:paraId="0F3A70FB" w14:textId="77777777" w:rsidR="008948FE" w:rsidRPr="00815AA9" w:rsidRDefault="008948FE"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0.54</w:t>
            </w:r>
          </w:p>
        </w:tc>
        <w:tc>
          <w:tcPr>
            <w:tcW w:w="852" w:type="dxa"/>
            <w:hideMark/>
          </w:tcPr>
          <w:p w14:paraId="500CF425" w14:textId="77777777" w:rsidR="008948FE" w:rsidRPr="00815AA9" w:rsidRDefault="008948FE"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1.00</w:t>
            </w:r>
          </w:p>
        </w:tc>
        <w:tc>
          <w:tcPr>
            <w:tcW w:w="790" w:type="dxa"/>
            <w:hideMark/>
          </w:tcPr>
          <w:p w14:paraId="1BFF1AAB" w14:textId="77777777" w:rsidR="008948FE" w:rsidRPr="00815AA9" w:rsidRDefault="008948FE" w:rsidP="008948FE">
            <w:pPr>
              <w:spacing w:after="0" w:line="240" w:lineRule="auto"/>
              <w:jc w:val="both"/>
              <w:rPr>
                <w:rFonts w:ascii="Times New Roman" w:hAnsi="Times New Roman" w:cs="Times New Roman"/>
                <w:sz w:val="24"/>
                <w:szCs w:val="24"/>
              </w:rPr>
            </w:pPr>
          </w:p>
        </w:tc>
        <w:tc>
          <w:tcPr>
            <w:tcW w:w="710" w:type="dxa"/>
            <w:hideMark/>
          </w:tcPr>
          <w:p w14:paraId="24AEC2D4" w14:textId="77777777" w:rsidR="008948FE" w:rsidRPr="00815AA9" w:rsidRDefault="008948FE" w:rsidP="008948FE">
            <w:pPr>
              <w:spacing w:after="0" w:line="240" w:lineRule="auto"/>
              <w:jc w:val="both"/>
              <w:rPr>
                <w:rFonts w:ascii="Times New Roman" w:hAnsi="Times New Roman" w:cs="Times New Roman"/>
                <w:sz w:val="24"/>
                <w:szCs w:val="24"/>
              </w:rPr>
            </w:pPr>
          </w:p>
        </w:tc>
        <w:tc>
          <w:tcPr>
            <w:tcW w:w="756" w:type="dxa"/>
          </w:tcPr>
          <w:p w14:paraId="5F74F50A" w14:textId="77777777" w:rsidR="008948FE" w:rsidRPr="00815AA9" w:rsidRDefault="008948FE"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12.02</w:t>
            </w:r>
          </w:p>
        </w:tc>
        <w:tc>
          <w:tcPr>
            <w:tcW w:w="816" w:type="dxa"/>
          </w:tcPr>
          <w:p w14:paraId="24E9590D" w14:textId="77777777" w:rsidR="008948FE" w:rsidRPr="00815AA9" w:rsidRDefault="008948FE"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0.083</w:t>
            </w:r>
          </w:p>
        </w:tc>
      </w:tr>
      <w:tr w:rsidR="008948FE" w:rsidRPr="00815AA9" w14:paraId="4AF488CF" w14:textId="77777777" w:rsidTr="008948FE">
        <w:trPr>
          <w:trHeight w:val="300"/>
        </w:trPr>
        <w:tc>
          <w:tcPr>
            <w:tcW w:w="1181" w:type="dxa"/>
            <w:hideMark/>
          </w:tcPr>
          <w:p w14:paraId="46E50EF4" w14:textId="77777777" w:rsidR="008948FE" w:rsidRPr="00815AA9" w:rsidRDefault="008948FE" w:rsidP="008948FE">
            <w:pPr>
              <w:spacing w:after="0" w:line="240" w:lineRule="auto"/>
              <w:jc w:val="both"/>
              <w:rPr>
                <w:rFonts w:ascii="Times New Roman" w:hAnsi="Times New Roman" w:cs="Times New Roman"/>
                <w:b/>
                <w:bCs/>
                <w:sz w:val="24"/>
                <w:szCs w:val="24"/>
              </w:rPr>
            </w:pPr>
            <w:r w:rsidRPr="00815AA9">
              <w:rPr>
                <w:rFonts w:ascii="Times New Roman" w:hAnsi="Times New Roman" w:cs="Times New Roman"/>
                <w:b/>
                <w:bCs/>
                <w:sz w:val="24"/>
                <w:szCs w:val="24"/>
              </w:rPr>
              <w:t>TIPC</w:t>
            </w:r>
          </w:p>
        </w:tc>
        <w:tc>
          <w:tcPr>
            <w:tcW w:w="977" w:type="dxa"/>
            <w:hideMark/>
          </w:tcPr>
          <w:p w14:paraId="5C7B941C" w14:textId="77777777" w:rsidR="008948FE" w:rsidRPr="00815AA9" w:rsidRDefault="008948FE"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0.19</w:t>
            </w:r>
          </w:p>
        </w:tc>
        <w:tc>
          <w:tcPr>
            <w:tcW w:w="843" w:type="dxa"/>
            <w:hideMark/>
          </w:tcPr>
          <w:p w14:paraId="0BEDDE7A" w14:textId="77777777" w:rsidR="008948FE" w:rsidRPr="00815AA9" w:rsidRDefault="008948FE"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0.82</w:t>
            </w:r>
          </w:p>
        </w:tc>
        <w:tc>
          <w:tcPr>
            <w:tcW w:w="852" w:type="dxa"/>
            <w:hideMark/>
          </w:tcPr>
          <w:p w14:paraId="3F7C9BCD" w14:textId="77777777" w:rsidR="008948FE" w:rsidRPr="00815AA9" w:rsidRDefault="008948FE"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0.21</w:t>
            </w:r>
          </w:p>
        </w:tc>
        <w:tc>
          <w:tcPr>
            <w:tcW w:w="852" w:type="dxa"/>
            <w:hideMark/>
          </w:tcPr>
          <w:p w14:paraId="2A71EB21" w14:textId="77777777" w:rsidR="008948FE" w:rsidRPr="00815AA9" w:rsidRDefault="008948FE"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0.83</w:t>
            </w:r>
          </w:p>
        </w:tc>
        <w:tc>
          <w:tcPr>
            <w:tcW w:w="790" w:type="dxa"/>
            <w:hideMark/>
          </w:tcPr>
          <w:p w14:paraId="6F561ACA" w14:textId="77777777" w:rsidR="008948FE" w:rsidRPr="00815AA9" w:rsidRDefault="008948FE"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1.00</w:t>
            </w:r>
          </w:p>
        </w:tc>
        <w:tc>
          <w:tcPr>
            <w:tcW w:w="710" w:type="dxa"/>
            <w:hideMark/>
          </w:tcPr>
          <w:p w14:paraId="554EB45D" w14:textId="77777777" w:rsidR="008948FE" w:rsidRPr="00815AA9" w:rsidRDefault="008948FE" w:rsidP="008948FE">
            <w:pPr>
              <w:spacing w:after="0" w:line="240" w:lineRule="auto"/>
              <w:jc w:val="both"/>
              <w:rPr>
                <w:rFonts w:ascii="Times New Roman" w:hAnsi="Times New Roman" w:cs="Times New Roman"/>
                <w:sz w:val="24"/>
                <w:szCs w:val="24"/>
              </w:rPr>
            </w:pPr>
          </w:p>
        </w:tc>
        <w:tc>
          <w:tcPr>
            <w:tcW w:w="756" w:type="dxa"/>
          </w:tcPr>
          <w:p w14:paraId="476A2CBA" w14:textId="77777777" w:rsidR="008948FE" w:rsidRPr="00815AA9" w:rsidRDefault="008948FE"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4.36</w:t>
            </w:r>
          </w:p>
        </w:tc>
        <w:tc>
          <w:tcPr>
            <w:tcW w:w="816" w:type="dxa"/>
          </w:tcPr>
          <w:p w14:paraId="4F42A659" w14:textId="77777777" w:rsidR="008948FE" w:rsidRPr="00815AA9" w:rsidRDefault="008948FE"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0.229</w:t>
            </w:r>
          </w:p>
        </w:tc>
      </w:tr>
      <w:tr w:rsidR="008948FE" w:rsidRPr="00815AA9" w14:paraId="4B4A2DC1" w14:textId="77777777" w:rsidTr="008948FE">
        <w:trPr>
          <w:trHeight w:val="300"/>
        </w:trPr>
        <w:tc>
          <w:tcPr>
            <w:tcW w:w="1181" w:type="dxa"/>
            <w:hideMark/>
          </w:tcPr>
          <w:p w14:paraId="22315D4B" w14:textId="77777777" w:rsidR="008948FE" w:rsidRPr="00815AA9" w:rsidRDefault="008948FE" w:rsidP="008948FE">
            <w:pPr>
              <w:spacing w:after="0" w:line="240" w:lineRule="auto"/>
              <w:jc w:val="both"/>
              <w:rPr>
                <w:rFonts w:ascii="Times New Roman" w:hAnsi="Times New Roman" w:cs="Times New Roman"/>
                <w:b/>
                <w:bCs/>
                <w:sz w:val="24"/>
                <w:szCs w:val="24"/>
              </w:rPr>
            </w:pPr>
            <w:r w:rsidRPr="00815AA9">
              <w:rPr>
                <w:rFonts w:ascii="Times New Roman" w:hAnsi="Times New Roman" w:cs="Times New Roman"/>
                <w:b/>
                <w:bCs/>
                <w:sz w:val="24"/>
                <w:szCs w:val="24"/>
              </w:rPr>
              <w:t>EDB</w:t>
            </w:r>
          </w:p>
        </w:tc>
        <w:tc>
          <w:tcPr>
            <w:tcW w:w="977" w:type="dxa"/>
            <w:hideMark/>
          </w:tcPr>
          <w:p w14:paraId="5AD4D5E5" w14:textId="77777777" w:rsidR="008948FE" w:rsidRPr="00815AA9" w:rsidRDefault="008948FE"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-0.06</w:t>
            </w:r>
          </w:p>
        </w:tc>
        <w:tc>
          <w:tcPr>
            <w:tcW w:w="843" w:type="dxa"/>
            <w:hideMark/>
          </w:tcPr>
          <w:p w14:paraId="321E8F41" w14:textId="77777777" w:rsidR="008948FE" w:rsidRPr="00815AA9" w:rsidRDefault="008948FE"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0.00</w:t>
            </w:r>
          </w:p>
        </w:tc>
        <w:tc>
          <w:tcPr>
            <w:tcW w:w="852" w:type="dxa"/>
            <w:hideMark/>
          </w:tcPr>
          <w:p w14:paraId="596A7B04" w14:textId="77777777" w:rsidR="008948FE" w:rsidRPr="00815AA9" w:rsidRDefault="008948FE"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-0.01</w:t>
            </w:r>
          </w:p>
        </w:tc>
        <w:tc>
          <w:tcPr>
            <w:tcW w:w="852" w:type="dxa"/>
            <w:hideMark/>
          </w:tcPr>
          <w:p w14:paraId="64FE3074" w14:textId="77777777" w:rsidR="008948FE" w:rsidRPr="00815AA9" w:rsidRDefault="008948FE"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0.01</w:t>
            </w:r>
          </w:p>
        </w:tc>
        <w:tc>
          <w:tcPr>
            <w:tcW w:w="790" w:type="dxa"/>
            <w:hideMark/>
          </w:tcPr>
          <w:p w14:paraId="0695B07B" w14:textId="77777777" w:rsidR="008948FE" w:rsidRPr="00815AA9" w:rsidRDefault="008948FE"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0.00</w:t>
            </w:r>
          </w:p>
        </w:tc>
        <w:tc>
          <w:tcPr>
            <w:tcW w:w="710" w:type="dxa"/>
            <w:hideMark/>
          </w:tcPr>
          <w:p w14:paraId="37A00619" w14:textId="77777777" w:rsidR="008948FE" w:rsidRPr="00815AA9" w:rsidRDefault="008948FE"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1.00</w:t>
            </w:r>
          </w:p>
        </w:tc>
        <w:tc>
          <w:tcPr>
            <w:tcW w:w="756" w:type="dxa"/>
          </w:tcPr>
          <w:p w14:paraId="1116B564" w14:textId="77777777" w:rsidR="008948FE" w:rsidRPr="00815AA9" w:rsidRDefault="008948FE"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1.00</w:t>
            </w:r>
          </w:p>
        </w:tc>
        <w:tc>
          <w:tcPr>
            <w:tcW w:w="816" w:type="dxa"/>
          </w:tcPr>
          <w:p w14:paraId="2F397BAB" w14:textId="77777777" w:rsidR="008948FE" w:rsidRPr="00815AA9" w:rsidRDefault="008948FE"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0.999</w:t>
            </w:r>
          </w:p>
        </w:tc>
      </w:tr>
      <w:tr w:rsidR="008948FE" w:rsidRPr="00815AA9" w14:paraId="2CC04360" w14:textId="77777777" w:rsidTr="008948FE">
        <w:trPr>
          <w:trHeight w:val="300"/>
        </w:trPr>
        <w:tc>
          <w:tcPr>
            <w:tcW w:w="1181" w:type="dxa"/>
          </w:tcPr>
          <w:p w14:paraId="77CA2EC2" w14:textId="77777777" w:rsidR="008948FE" w:rsidRPr="00815AA9" w:rsidRDefault="008948FE" w:rsidP="008948FE">
            <w:pPr>
              <w:spacing w:after="0" w:line="240" w:lineRule="auto"/>
              <w:jc w:val="both"/>
              <w:rPr>
                <w:rFonts w:ascii="Times New Roman" w:hAnsi="Times New Roman" w:cs="Times New Roman"/>
                <w:b/>
                <w:bCs/>
                <w:sz w:val="24"/>
                <w:szCs w:val="24"/>
              </w:rPr>
            </w:pPr>
          </w:p>
        </w:tc>
        <w:tc>
          <w:tcPr>
            <w:tcW w:w="977" w:type="dxa"/>
          </w:tcPr>
          <w:p w14:paraId="2270CD07" w14:textId="77777777" w:rsidR="008948FE" w:rsidRPr="00815AA9" w:rsidRDefault="008948FE" w:rsidP="008948FE">
            <w:pPr>
              <w:spacing w:after="0" w:line="240" w:lineRule="auto"/>
              <w:jc w:val="both"/>
              <w:rPr>
                <w:rFonts w:ascii="Times New Roman" w:hAnsi="Times New Roman" w:cs="Times New Roman"/>
                <w:sz w:val="24"/>
                <w:szCs w:val="24"/>
              </w:rPr>
            </w:pPr>
          </w:p>
        </w:tc>
        <w:tc>
          <w:tcPr>
            <w:tcW w:w="843" w:type="dxa"/>
          </w:tcPr>
          <w:p w14:paraId="5C764575" w14:textId="77777777" w:rsidR="008948FE" w:rsidRPr="00815AA9" w:rsidRDefault="008948FE" w:rsidP="008948FE">
            <w:pPr>
              <w:spacing w:after="0" w:line="240" w:lineRule="auto"/>
              <w:jc w:val="both"/>
              <w:rPr>
                <w:rFonts w:ascii="Times New Roman" w:hAnsi="Times New Roman" w:cs="Times New Roman"/>
                <w:sz w:val="24"/>
                <w:szCs w:val="24"/>
              </w:rPr>
            </w:pPr>
          </w:p>
        </w:tc>
        <w:tc>
          <w:tcPr>
            <w:tcW w:w="852" w:type="dxa"/>
          </w:tcPr>
          <w:p w14:paraId="40537105" w14:textId="77777777" w:rsidR="008948FE" w:rsidRPr="00815AA9" w:rsidRDefault="008948FE" w:rsidP="008948FE">
            <w:pPr>
              <w:spacing w:after="0" w:line="240" w:lineRule="auto"/>
              <w:jc w:val="both"/>
              <w:rPr>
                <w:rFonts w:ascii="Times New Roman" w:hAnsi="Times New Roman" w:cs="Times New Roman"/>
                <w:sz w:val="24"/>
                <w:szCs w:val="24"/>
              </w:rPr>
            </w:pPr>
          </w:p>
        </w:tc>
        <w:tc>
          <w:tcPr>
            <w:tcW w:w="852" w:type="dxa"/>
          </w:tcPr>
          <w:p w14:paraId="5C23ACA6" w14:textId="77777777" w:rsidR="008948FE" w:rsidRPr="00815AA9" w:rsidRDefault="008948FE" w:rsidP="008948FE">
            <w:pPr>
              <w:spacing w:after="0" w:line="240" w:lineRule="auto"/>
              <w:jc w:val="both"/>
              <w:rPr>
                <w:rFonts w:ascii="Times New Roman" w:hAnsi="Times New Roman" w:cs="Times New Roman"/>
                <w:sz w:val="24"/>
                <w:szCs w:val="24"/>
              </w:rPr>
            </w:pPr>
          </w:p>
        </w:tc>
        <w:tc>
          <w:tcPr>
            <w:tcW w:w="790" w:type="dxa"/>
          </w:tcPr>
          <w:p w14:paraId="5FA3425B" w14:textId="77777777" w:rsidR="008948FE" w:rsidRPr="00815AA9" w:rsidRDefault="008948FE" w:rsidP="008948FE">
            <w:pPr>
              <w:spacing w:after="0" w:line="240" w:lineRule="auto"/>
              <w:jc w:val="both"/>
              <w:rPr>
                <w:rFonts w:ascii="Times New Roman" w:hAnsi="Times New Roman" w:cs="Times New Roman"/>
                <w:sz w:val="24"/>
                <w:szCs w:val="24"/>
              </w:rPr>
            </w:pPr>
          </w:p>
        </w:tc>
        <w:tc>
          <w:tcPr>
            <w:tcW w:w="710" w:type="dxa"/>
          </w:tcPr>
          <w:p w14:paraId="15358609" w14:textId="77777777" w:rsidR="008948FE" w:rsidRPr="00815AA9" w:rsidRDefault="008948FE" w:rsidP="008948FE">
            <w:pPr>
              <w:spacing w:after="0" w:line="240" w:lineRule="auto"/>
              <w:jc w:val="both"/>
              <w:rPr>
                <w:rFonts w:ascii="Times New Roman" w:hAnsi="Times New Roman" w:cs="Times New Roman"/>
                <w:sz w:val="24"/>
                <w:szCs w:val="24"/>
              </w:rPr>
            </w:pPr>
          </w:p>
        </w:tc>
        <w:tc>
          <w:tcPr>
            <w:tcW w:w="1572" w:type="dxa"/>
            <w:gridSpan w:val="2"/>
          </w:tcPr>
          <w:p w14:paraId="4163CD1A" w14:textId="77777777" w:rsidR="008948FE" w:rsidRPr="00815AA9" w:rsidRDefault="008948FE" w:rsidP="008948FE">
            <w:pPr>
              <w:spacing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Mean = 5.82</w:t>
            </w:r>
          </w:p>
        </w:tc>
      </w:tr>
    </w:tbl>
    <w:p w14:paraId="66E5870D" w14:textId="77777777" w:rsidR="001211B8" w:rsidRPr="00815AA9" w:rsidRDefault="001211B8" w:rsidP="008948FE">
      <w:pPr>
        <w:spacing w:after="0" w:line="240" w:lineRule="auto"/>
        <w:jc w:val="both"/>
        <w:rPr>
          <w:rFonts w:ascii="Times New Roman" w:hAnsi="Times New Roman" w:cs="Times New Roman"/>
          <w:b/>
          <w:sz w:val="24"/>
          <w:szCs w:val="24"/>
        </w:rPr>
      </w:pPr>
      <w:bookmarkStart w:id="4" w:name="_Toc189165835"/>
      <w:r w:rsidRPr="00815AA9">
        <w:rPr>
          <w:rFonts w:ascii="Times New Roman" w:hAnsi="Times New Roman" w:cs="Times New Roman"/>
          <w:b/>
          <w:sz w:val="24"/>
          <w:szCs w:val="24"/>
        </w:rPr>
        <w:t>Source</w:t>
      </w:r>
      <w:r w:rsidR="008948FE" w:rsidRPr="00815AA9">
        <w:rPr>
          <w:rFonts w:ascii="Times New Roman" w:hAnsi="Times New Roman" w:cs="Times New Roman"/>
          <w:b/>
          <w:sz w:val="24"/>
          <w:szCs w:val="24"/>
        </w:rPr>
        <w:t>: Researcher’s Computation (2026</w:t>
      </w:r>
      <w:r w:rsidRPr="00815AA9">
        <w:rPr>
          <w:rFonts w:ascii="Times New Roman" w:hAnsi="Times New Roman" w:cs="Times New Roman"/>
          <w:b/>
          <w:sz w:val="24"/>
          <w:szCs w:val="24"/>
        </w:rPr>
        <w:t>)</w:t>
      </w:r>
    </w:p>
    <w:bookmarkEnd w:id="4"/>
    <w:p w14:paraId="0E7ADB03" w14:textId="77777777" w:rsidR="001211B8" w:rsidRPr="00815AA9" w:rsidRDefault="001211B8" w:rsidP="00171A84">
      <w:pPr>
        <w:spacing w:before="240" w:after="0" w:line="240" w:lineRule="auto"/>
        <w:jc w:val="both"/>
        <w:rPr>
          <w:rFonts w:ascii="Times New Roman" w:hAnsi="Times New Roman" w:cs="Times New Roman"/>
          <w:b/>
          <w:i/>
          <w:sz w:val="24"/>
          <w:szCs w:val="24"/>
        </w:rPr>
      </w:pPr>
      <w:r w:rsidRPr="00815AA9">
        <w:rPr>
          <w:rFonts w:ascii="Times New Roman" w:hAnsi="Times New Roman" w:cs="Times New Roman"/>
          <w:b/>
          <w:i/>
          <w:sz w:val="24"/>
          <w:szCs w:val="24"/>
        </w:rPr>
        <w:t>Interpretation</w:t>
      </w:r>
      <w:r w:rsidR="008948FE" w:rsidRPr="00815AA9">
        <w:rPr>
          <w:rFonts w:ascii="Times New Roman" w:hAnsi="Times New Roman" w:cs="Times New Roman"/>
          <w:b/>
          <w:i/>
          <w:sz w:val="24"/>
          <w:szCs w:val="24"/>
        </w:rPr>
        <w:t xml:space="preserve"> of the correlation analysis results</w:t>
      </w:r>
    </w:p>
    <w:p w14:paraId="1A30BB0A" w14:textId="77777777" w:rsidR="001211B8" w:rsidRPr="00815AA9" w:rsidRDefault="001211B8" w:rsidP="00171A84">
      <w:pPr>
        <w:spacing w:before="240" w:after="0" w:line="240" w:lineRule="auto"/>
        <w:jc w:val="both"/>
        <w:rPr>
          <w:rFonts w:ascii="Times New Roman" w:hAnsi="Times New Roman" w:cs="Times New Roman"/>
          <w:sz w:val="24"/>
          <w:szCs w:val="24"/>
          <w:lang w:val="en-GB"/>
        </w:rPr>
      </w:pPr>
      <w:r w:rsidRPr="00815AA9">
        <w:rPr>
          <w:rFonts w:ascii="Times New Roman" w:hAnsi="Times New Roman" w:cs="Times New Roman"/>
          <w:sz w:val="24"/>
          <w:szCs w:val="24"/>
          <w:lang w:val="en-GB"/>
        </w:rPr>
        <w:t xml:space="preserve">The correlation analysis reveals that </w:t>
      </w:r>
      <w:r w:rsidRPr="00815AA9">
        <w:rPr>
          <w:rFonts w:ascii="Times New Roman" w:hAnsi="Times New Roman" w:cs="Times New Roman"/>
          <w:bCs/>
          <w:sz w:val="24"/>
          <w:szCs w:val="24"/>
          <w:lang w:val="en-GB"/>
        </w:rPr>
        <w:t>Decent Work and Economic Growth (DWEG)</w:t>
      </w:r>
      <w:r w:rsidRPr="00815AA9">
        <w:rPr>
          <w:rFonts w:ascii="Times New Roman" w:hAnsi="Times New Roman" w:cs="Times New Roman"/>
          <w:sz w:val="24"/>
          <w:szCs w:val="24"/>
          <w:lang w:val="en-GB"/>
        </w:rPr>
        <w:t xml:space="preserve"> is </w:t>
      </w:r>
      <w:r w:rsidRPr="00815AA9">
        <w:rPr>
          <w:rFonts w:ascii="Times New Roman" w:hAnsi="Times New Roman" w:cs="Times New Roman"/>
          <w:bCs/>
          <w:sz w:val="24"/>
          <w:szCs w:val="24"/>
          <w:lang w:val="en-GB"/>
        </w:rPr>
        <w:t>weakly and positively correlated</w:t>
      </w:r>
      <w:r w:rsidRPr="00815AA9">
        <w:rPr>
          <w:rFonts w:ascii="Times New Roman" w:hAnsi="Times New Roman" w:cs="Times New Roman"/>
          <w:sz w:val="24"/>
          <w:szCs w:val="24"/>
          <w:lang w:val="en-GB"/>
        </w:rPr>
        <w:t xml:space="preserve"> with </w:t>
      </w:r>
      <w:r w:rsidRPr="00815AA9">
        <w:rPr>
          <w:rFonts w:ascii="Times New Roman" w:hAnsi="Times New Roman" w:cs="Times New Roman"/>
          <w:bCs/>
          <w:sz w:val="24"/>
          <w:szCs w:val="24"/>
          <w:lang w:val="en-GB"/>
        </w:rPr>
        <w:t>Customs and Other Import Duties (COID, r = 0.20)</w:t>
      </w:r>
      <w:r w:rsidRPr="00815AA9">
        <w:rPr>
          <w:rFonts w:ascii="Times New Roman" w:hAnsi="Times New Roman" w:cs="Times New Roman"/>
          <w:sz w:val="24"/>
          <w:szCs w:val="24"/>
          <w:lang w:val="en-GB"/>
        </w:rPr>
        <w:t xml:space="preserve">, </w:t>
      </w:r>
      <w:r w:rsidRPr="00815AA9">
        <w:rPr>
          <w:rFonts w:ascii="Times New Roman" w:hAnsi="Times New Roman" w:cs="Times New Roman"/>
          <w:bCs/>
          <w:sz w:val="24"/>
          <w:szCs w:val="24"/>
          <w:lang w:val="en-GB"/>
        </w:rPr>
        <w:t>Taxes on Goods and Services (TAGS, r = 0.20)</w:t>
      </w:r>
      <w:r w:rsidRPr="00815AA9">
        <w:rPr>
          <w:rFonts w:ascii="Times New Roman" w:hAnsi="Times New Roman" w:cs="Times New Roman"/>
          <w:sz w:val="24"/>
          <w:szCs w:val="24"/>
          <w:lang w:val="en-GB"/>
        </w:rPr>
        <w:t xml:space="preserve">, and </w:t>
      </w:r>
      <w:r w:rsidRPr="00815AA9">
        <w:rPr>
          <w:rFonts w:ascii="Times New Roman" w:hAnsi="Times New Roman" w:cs="Times New Roman"/>
          <w:bCs/>
          <w:sz w:val="24"/>
          <w:szCs w:val="24"/>
          <w:lang w:val="en-GB"/>
        </w:rPr>
        <w:t>Taxes on Income, Profits, and Capital Gains (TIPC, r = 0.19)</w:t>
      </w:r>
      <w:r w:rsidRPr="00815AA9">
        <w:rPr>
          <w:rFonts w:ascii="Times New Roman" w:hAnsi="Times New Roman" w:cs="Times New Roman"/>
          <w:sz w:val="24"/>
          <w:szCs w:val="24"/>
          <w:lang w:val="en-GB"/>
        </w:rPr>
        <w:t xml:space="preserve">, implying that increases in these tax components are associated with modest improvements in decent work outcomes. A </w:t>
      </w:r>
      <w:r w:rsidRPr="00815AA9">
        <w:rPr>
          <w:rFonts w:ascii="Times New Roman" w:hAnsi="Times New Roman" w:cs="Times New Roman"/>
          <w:bCs/>
          <w:sz w:val="24"/>
          <w:szCs w:val="24"/>
          <w:lang w:val="en-GB"/>
        </w:rPr>
        <w:t>weak positive relationship</w:t>
      </w:r>
      <w:r w:rsidRPr="00815AA9">
        <w:rPr>
          <w:rFonts w:ascii="Times New Roman" w:hAnsi="Times New Roman" w:cs="Times New Roman"/>
          <w:sz w:val="24"/>
          <w:szCs w:val="24"/>
          <w:lang w:val="en-GB"/>
        </w:rPr>
        <w:t xml:space="preserve"> is also observed between DWEG and </w:t>
      </w:r>
      <w:r w:rsidRPr="00815AA9">
        <w:rPr>
          <w:rFonts w:ascii="Times New Roman" w:hAnsi="Times New Roman" w:cs="Times New Roman"/>
          <w:bCs/>
          <w:sz w:val="24"/>
          <w:szCs w:val="24"/>
          <w:lang w:val="en-GB"/>
        </w:rPr>
        <w:t>Taxes on Exports (TAXP, r = 0.12)</w:t>
      </w:r>
      <w:r w:rsidRPr="00815AA9">
        <w:rPr>
          <w:rFonts w:ascii="Times New Roman" w:hAnsi="Times New Roman" w:cs="Times New Roman"/>
          <w:sz w:val="24"/>
          <w:szCs w:val="24"/>
          <w:lang w:val="en-GB"/>
        </w:rPr>
        <w:t xml:space="preserve">, suggesting a limited link between export-related tax inflows and decent employment conditions. </w:t>
      </w:r>
    </w:p>
    <w:p w14:paraId="5A8423E8" w14:textId="77777777" w:rsidR="001211B8" w:rsidRPr="00815AA9" w:rsidRDefault="001211B8" w:rsidP="00171A84">
      <w:pPr>
        <w:spacing w:before="240" w:after="0" w:line="240" w:lineRule="auto"/>
        <w:jc w:val="both"/>
        <w:rPr>
          <w:rFonts w:ascii="Times New Roman" w:hAnsi="Times New Roman" w:cs="Times New Roman"/>
          <w:sz w:val="24"/>
          <w:szCs w:val="24"/>
          <w:lang w:val="en-GB"/>
        </w:rPr>
      </w:pPr>
      <w:r w:rsidRPr="00815AA9">
        <w:rPr>
          <w:rFonts w:ascii="Times New Roman" w:hAnsi="Times New Roman" w:cs="Times New Roman"/>
          <w:sz w:val="24"/>
          <w:szCs w:val="24"/>
          <w:lang w:val="en-GB"/>
        </w:rPr>
        <w:t xml:space="preserve">For </w:t>
      </w:r>
      <w:r w:rsidRPr="00815AA9">
        <w:rPr>
          <w:rFonts w:ascii="Times New Roman" w:hAnsi="Times New Roman" w:cs="Times New Roman"/>
          <w:bCs/>
          <w:sz w:val="24"/>
          <w:szCs w:val="24"/>
          <w:lang w:val="en-GB"/>
        </w:rPr>
        <w:t>Customs and Other Import Duties (COID)</w:t>
      </w:r>
      <w:r w:rsidRPr="00815AA9">
        <w:rPr>
          <w:rFonts w:ascii="Times New Roman" w:hAnsi="Times New Roman" w:cs="Times New Roman"/>
          <w:sz w:val="24"/>
          <w:szCs w:val="24"/>
          <w:lang w:val="en-GB"/>
        </w:rPr>
        <w:t xml:space="preserve">, the results reveal </w:t>
      </w:r>
      <w:r w:rsidRPr="00815AA9">
        <w:rPr>
          <w:rFonts w:ascii="Times New Roman" w:hAnsi="Times New Roman" w:cs="Times New Roman"/>
          <w:bCs/>
          <w:sz w:val="24"/>
          <w:szCs w:val="24"/>
          <w:lang w:val="en-GB"/>
        </w:rPr>
        <w:t>very strong positive correlations</w:t>
      </w:r>
      <w:r w:rsidRPr="00815AA9">
        <w:rPr>
          <w:rFonts w:ascii="Times New Roman" w:hAnsi="Times New Roman" w:cs="Times New Roman"/>
          <w:sz w:val="24"/>
          <w:szCs w:val="24"/>
          <w:lang w:val="en-GB"/>
        </w:rPr>
        <w:t xml:space="preserve"> with </w:t>
      </w:r>
      <w:r w:rsidRPr="00815AA9">
        <w:rPr>
          <w:rFonts w:ascii="Times New Roman" w:hAnsi="Times New Roman" w:cs="Times New Roman"/>
          <w:bCs/>
          <w:sz w:val="24"/>
          <w:szCs w:val="24"/>
          <w:lang w:val="en-GB"/>
        </w:rPr>
        <w:t>TAGS (r = 0.95)</w:t>
      </w:r>
      <w:r w:rsidRPr="00815AA9">
        <w:rPr>
          <w:rFonts w:ascii="Times New Roman" w:hAnsi="Times New Roman" w:cs="Times New Roman"/>
          <w:sz w:val="24"/>
          <w:szCs w:val="24"/>
          <w:lang w:val="en-GB"/>
        </w:rPr>
        <w:t xml:space="preserve"> and </w:t>
      </w:r>
      <w:r w:rsidRPr="00815AA9">
        <w:rPr>
          <w:rFonts w:ascii="Times New Roman" w:hAnsi="Times New Roman" w:cs="Times New Roman"/>
          <w:bCs/>
          <w:sz w:val="24"/>
          <w:szCs w:val="24"/>
          <w:lang w:val="en-GB"/>
        </w:rPr>
        <w:t>TIPC (r = 0.82)</w:t>
      </w:r>
      <w:r w:rsidRPr="00815AA9">
        <w:rPr>
          <w:rFonts w:ascii="Times New Roman" w:hAnsi="Times New Roman" w:cs="Times New Roman"/>
          <w:sz w:val="24"/>
          <w:szCs w:val="24"/>
          <w:lang w:val="en-GB"/>
        </w:rPr>
        <w:t xml:space="preserve">, implying that movements in import duties are closely aligned with changes in goods and services taxes and income-related taxes across African countries. COID also has a </w:t>
      </w:r>
      <w:r w:rsidRPr="00815AA9">
        <w:rPr>
          <w:rFonts w:ascii="Times New Roman" w:hAnsi="Times New Roman" w:cs="Times New Roman"/>
          <w:bCs/>
          <w:sz w:val="24"/>
          <w:szCs w:val="24"/>
          <w:lang w:val="en-GB"/>
        </w:rPr>
        <w:t>moderate positive relationship</w:t>
      </w:r>
      <w:r w:rsidRPr="00815AA9">
        <w:rPr>
          <w:rFonts w:ascii="Times New Roman" w:hAnsi="Times New Roman" w:cs="Times New Roman"/>
          <w:sz w:val="24"/>
          <w:szCs w:val="24"/>
          <w:lang w:val="en-GB"/>
        </w:rPr>
        <w:t xml:space="preserve"> with </w:t>
      </w:r>
      <w:r w:rsidRPr="00815AA9">
        <w:rPr>
          <w:rFonts w:ascii="Times New Roman" w:hAnsi="Times New Roman" w:cs="Times New Roman"/>
          <w:bCs/>
          <w:sz w:val="24"/>
          <w:szCs w:val="24"/>
          <w:lang w:val="en-GB"/>
        </w:rPr>
        <w:t>TAXP (r = 0.49)</w:t>
      </w:r>
      <w:r w:rsidRPr="00815AA9">
        <w:rPr>
          <w:rFonts w:ascii="Times New Roman" w:hAnsi="Times New Roman" w:cs="Times New Roman"/>
          <w:sz w:val="24"/>
          <w:szCs w:val="24"/>
          <w:lang w:val="en-GB"/>
        </w:rPr>
        <w:t xml:space="preserve">, showing some degree of association among trade-related tax categories. However, COID’s correlations with </w:t>
      </w:r>
      <w:r w:rsidRPr="00815AA9">
        <w:rPr>
          <w:rFonts w:ascii="Times New Roman" w:hAnsi="Times New Roman" w:cs="Times New Roman"/>
          <w:bCs/>
          <w:sz w:val="24"/>
          <w:szCs w:val="24"/>
          <w:lang w:val="en-GB"/>
        </w:rPr>
        <w:t>DWEG (r = 0.20)</w:t>
      </w:r>
      <w:r w:rsidRPr="00815AA9">
        <w:rPr>
          <w:rFonts w:ascii="Times New Roman" w:hAnsi="Times New Roman" w:cs="Times New Roman"/>
          <w:sz w:val="24"/>
          <w:szCs w:val="24"/>
          <w:lang w:val="en-GB"/>
        </w:rPr>
        <w:t xml:space="preserve"> indicates limited association with employment-related outcomes.</w:t>
      </w:r>
    </w:p>
    <w:p w14:paraId="1A625ABE" w14:textId="77777777" w:rsidR="001211B8" w:rsidRPr="00815AA9" w:rsidRDefault="001211B8" w:rsidP="00171A84">
      <w:pPr>
        <w:spacing w:before="240" w:after="0" w:line="240" w:lineRule="auto"/>
        <w:jc w:val="both"/>
        <w:rPr>
          <w:rFonts w:ascii="Times New Roman" w:hAnsi="Times New Roman" w:cs="Times New Roman"/>
          <w:sz w:val="24"/>
          <w:szCs w:val="24"/>
          <w:lang w:val="en-GB"/>
        </w:rPr>
      </w:pPr>
      <w:r w:rsidRPr="00815AA9">
        <w:rPr>
          <w:rFonts w:ascii="Times New Roman" w:hAnsi="Times New Roman" w:cs="Times New Roman"/>
          <w:sz w:val="24"/>
          <w:szCs w:val="24"/>
          <w:lang w:val="en-GB"/>
        </w:rPr>
        <w:t xml:space="preserve">The correlation of </w:t>
      </w:r>
      <w:r w:rsidRPr="00815AA9">
        <w:rPr>
          <w:rFonts w:ascii="Times New Roman" w:hAnsi="Times New Roman" w:cs="Times New Roman"/>
          <w:bCs/>
          <w:sz w:val="24"/>
          <w:szCs w:val="24"/>
          <w:lang w:val="en-GB"/>
        </w:rPr>
        <w:t>Taxes on Exports (TAXP)</w:t>
      </w:r>
      <w:r w:rsidRPr="00815AA9">
        <w:rPr>
          <w:rFonts w:ascii="Times New Roman" w:hAnsi="Times New Roman" w:cs="Times New Roman"/>
          <w:sz w:val="24"/>
          <w:szCs w:val="24"/>
          <w:lang w:val="en-GB"/>
        </w:rPr>
        <w:t xml:space="preserve"> with other variables shows a </w:t>
      </w:r>
      <w:r w:rsidRPr="00815AA9">
        <w:rPr>
          <w:rFonts w:ascii="Times New Roman" w:hAnsi="Times New Roman" w:cs="Times New Roman"/>
          <w:bCs/>
          <w:sz w:val="24"/>
          <w:szCs w:val="24"/>
          <w:lang w:val="en-GB"/>
        </w:rPr>
        <w:t>moderate positive association</w:t>
      </w:r>
      <w:r w:rsidRPr="00815AA9">
        <w:rPr>
          <w:rFonts w:ascii="Times New Roman" w:hAnsi="Times New Roman" w:cs="Times New Roman"/>
          <w:sz w:val="24"/>
          <w:szCs w:val="24"/>
          <w:lang w:val="en-GB"/>
        </w:rPr>
        <w:t xml:space="preserve"> with </w:t>
      </w:r>
      <w:r w:rsidRPr="00815AA9">
        <w:rPr>
          <w:rFonts w:ascii="Times New Roman" w:hAnsi="Times New Roman" w:cs="Times New Roman"/>
          <w:bCs/>
          <w:sz w:val="24"/>
          <w:szCs w:val="24"/>
          <w:lang w:val="en-GB"/>
        </w:rPr>
        <w:t>COID (r = 0.49)</w:t>
      </w:r>
      <w:r w:rsidRPr="00815AA9">
        <w:rPr>
          <w:rFonts w:ascii="Times New Roman" w:hAnsi="Times New Roman" w:cs="Times New Roman"/>
          <w:sz w:val="24"/>
          <w:szCs w:val="24"/>
          <w:lang w:val="en-GB"/>
        </w:rPr>
        <w:t xml:space="preserve"> and </w:t>
      </w:r>
      <w:r w:rsidRPr="00815AA9">
        <w:rPr>
          <w:rFonts w:ascii="Times New Roman" w:hAnsi="Times New Roman" w:cs="Times New Roman"/>
          <w:bCs/>
          <w:sz w:val="24"/>
          <w:szCs w:val="24"/>
          <w:lang w:val="en-GB"/>
        </w:rPr>
        <w:t>TAGS (r = 0.54)</w:t>
      </w:r>
      <w:r w:rsidRPr="00815AA9">
        <w:rPr>
          <w:rFonts w:ascii="Times New Roman" w:hAnsi="Times New Roman" w:cs="Times New Roman"/>
          <w:sz w:val="24"/>
          <w:szCs w:val="24"/>
          <w:lang w:val="en-GB"/>
        </w:rPr>
        <w:t xml:space="preserve">, indicating that export and import tax revenues generally move together. TAXP is </w:t>
      </w:r>
      <w:r w:rsidRPr="00815AA9">
        <w:rPr>
          <w:rFonts w:ascii="Times New Roman" w:hAnsi="Times New Roman" w:cs="Times New Roman"/>
          <w:bCs/>
          <w:sz w:val="24"/>
          <w:szCs w:val="24"/>
          <w:lang w:val="en-GB"/>
        </w:rPr>
        <w:t>weakly and positively correlated</w:t>
      </w:r>
      <w:r w:rsidRPr="00815AA9">
        <w:rPr>
          <w:rFonts w:ascii="Times New Roman" w:hAnsi="Times New Roman" w:cs="Times New Roman"/>
          <w:sz w:val="24"/>
          <w:szCs w:val="24"/>
          <w:lang w:val="en-GB"/>
        </w:rPr>
        <w:t xml:space="preserve"> with sustainability proxies such as </w:t>
      </w:r>
      <w:r w:rsidRPr="00815AA9">
        <w:rPr>
          <w:rFonts w:ascii="Times New Roman" w:hAnsi="Times New Roman" w:cs="Times New Roman"/>
          <w:bCs/>
          <w:sz w:val="24"/>
          <w:szCs w:val="24"/>
          <w:lang w:val="en-GB"/>
        </w:rPr>
        <w:t>DWEG (r = 0.12)</w:t>
      </w:r>
      <w:r w:rsidRPr="00815AA9">
        <w:rPr>
          <w:rFonts w:ascii="Times New Roman" w:hAnsi="Times New Roman" w:cs="Times New Roman"/>
          <w:sz w:val="24"/>
          <w:szCs w:val="24"/>
          <w:lang w:val="en-GB"/>
        </w:rPr>
        <w:t>, This shows that export tax levels are related to decent work and economic develop. but have minimal connection with industrial development and ease of doing business.</w:t>
      </w:r>
    </w:p>
    <w:p w14:paraId="4A3FEE3C" w14:textId="77777777" w:rsidR="001211B8" w:rsidRPr="00815AA9" w:rsidRDefault="001211B8" w:rsidP="00171A84">
      <w:pPr>
        <w:spacing w:before="240" w:after="0" w:line="240" w:lineRule="auto"/>
        <w:jc w:val="both"/>
        <w:rPr>
          <w:rFonts w:ascii="Times New Roman" w:hAnsi="Times New Roman" w:cs="Times New Roman"/>
          <w:sz w:val="24"/>
          <w:szCs w:val="24"/>
          <w:lang w:val="en-GB"/>
        </w:rPr>
      </w:pPr>
      <w:r w:rsidRPr="00815AA9">
        <w:rPr>
          <w:rFonts w:ascii="Times New Roman" w:hAnsi="Times New Roman" w:cs="Times New Roman"/>
          <w:sz w:val="24"/>
          <w:szCs w:val="24"/>
          <w:lang w:val="en-GB"/>
        </w:rPr>
        <w:t xml:space="preserve">The relationships involving </w:t>
      </w:r>
      <w:r w:rsidRPr="00815AA9">
        <w:rPr>
          <w:rFonts w:ascii="Times New Roman" w:hAnsi="Times New Roman" w:cs="Times New Roman"/>
          <w:bCs/>
          <w:sz w:val="24"/>
          <w:szCs w:val="24"/>
          <w:lang w:val="en-GB"/>
        </w:rPr>
        <w:t>Taxes on Goods and Services (TAGS)</w:t>
      </w:r>
      <w:r w:rsidRPr="00815AA9">
        <w:rPr>
          <w:rFonts w:ascii="Times New Roman" w:hAnsi="Times New Roman" w:cs="Times New Roman"/>
          <w:sz w:val="24"/>
          <w:szCs w:val="24"/>
          <w:lang w:val="en-GB"/>
        </w:rPr>
        <w:t xml:space="preserve"> show </w:t>
      </w:r>
      <w:r w:rsidRPr="00815AA9">
        <w:rPr>
          <w:rFonts w:ascii="Times New Roman" w:hAnsi="Times New Roman" w:cs="Times New Roman"/>
          <w:bCs/>
          <w:sz w:val="24"/>
          <w:szCs w:val="24"/>
          <w:lang w:val="en-GB"/>
        </w:rPr>
        <w:t>very strong positive correlations</w:t>
      </w:r>
      <w:r w:rsidRPr="00815AA9">
        <w:rPr>
          <w:rFonts w:ascii="Times New Roman" w:hAnsi="Times New Roman" w:cs="Times New Roman"/>
          <w:sz w:val="24"/>
          <w:szCs w:val="24"/>
          <w:lang w:val="en-GB"/>
        </w:rPr>
        <w:t xml:space="preserve"> with </w:t>
      </w:r>
      <w:r w:rsidRPr="00815AA9">
        <w:rPr>
          <w:rFonts w:ascii="Times New Roman" w:hAnsi="Times New Roman" w:cs="Times New Roman"/>
          <w:bCs/>
          <w:sz w:val="24"/>
          <w:szCs w:val="24"/>
          <w:lang w:val="en-GB"/>
        </w:rPr>
        <w:t>COID (r = 0.95)</w:t>
      </w:r>
      <w:r w:rsidRPr="00815AA9">
        <w:rPr>
          <w:rFonts w:ascii="Times New Roman" w:hAnsi="Times New Roman" w:cs="Times New Roman"/>
          <w:sz w:val="24"/>
          <w:szCs w:val="24"/>
          <w:lang w:val="en-GB"/>
        </w:rPr>
        <w:t xml:space="preserve"> and </w:t>
      </w:r>
      <w:r w:rsidRPr="00815AA9">
        <w:rPr>
          <w:rFonts w:ascii="Times New Roman" w:hAnsi="Times New Roman" w:cs="Times New Roman"/>
          <w:bCs/>
          <w:sz w:val="24"/>
          <w:szCs w:val="24"/>
          <w:lang w:val="en-GB"/>
        </w:rPr>
        <w:t>TIPC (r = 0.83)</w:t>
      </w:r>
      <w:r w:rsidRPr="00815AA9">
        <w:rPr>
          <w:rFonts w:ascii="Times New Roman" w:hAnsi="Times New Roman" w:cs="Times New Roman"/>
          <w:sz w:val="24"/>
          <w:szCs w:val="24"/>
          <w:lang w:val="en-GB"/>
        </w:rPr>
        <w:t xml:space="preserve">, revealing a highly integrated tax revenue structure among these fiscal components. TAGS also exhibits </w:t>
      </w:r>
      <w:r w:rsidRPr="00815AA9">
        <w:rPr>
          <w:rFonts w:ascii="Times New Roman" w:hAnsi="Times New Roman" w:cs="Times New Roman"/>
          <w:bCs/>
          <w:sz w:val="24"/>
          <w:szCs w:val="24"/>
          <w:lang w:val="en-GB"/>
        </w:rPr>
        <w:t>weak positive correlations</w:t>
      </w:r>
      <w:r w:rsidRPr="00815AA9">
        <w:rPr>
          <w:rFonts w:ascii="Times New Roman" w:hAnsi="Times New Roman" w:cs="Times New Roman"/>
          <w:sz w:val="24"/>
          <w:szCs w:val="24"/>
          <w:lang w:val="en-GB"/>
        </w:rPr>
        <w:t xml:space="preserve"> with </w:t>
      </w:r>
      <w:r w:rsidRPr="00815AA9">
        <w:rPr>
          <w:rFonts w:ascii="Times New Roman" w:hAnsi="Times New Roman" w:cs="Times New Roman"/>
          <w:bCs/>
          <w:sz w:val="24"/>
          <w:szCs w:val="24"/>
          <w:lang w:val="en-GB"/>
        </w:rPr>
        <w:t>DWEG (r = 0.20)</w:t>
      </w:r>
      <w:r w:rsidRPr="00815AA9">
        <w:rPr>
          <w:rFonts w:ascii="Times New Roman" w:hAnsi="Times New Roman" w:cs="Times New Roman"/>
          <w:sz w:val="24"/>
          <w:szCs w:val="24"/>
          <w:lang w:val="en-GB"/>
        </w:rPr>
        <w:t xml:space="preserve">, indicating that higher goods and services tax revenues tend to align modestly with improvements in employment, equity, and economic growth. The variable </w:t>
      </w:r>
      <w:r w:rsidRPr="00815AA9">
        <w:rPr>
          <w:rFonts w:ascii="Times New Roman" w:hAnsi="Times New Roman" w:cs="Times New Roman"/>
          <w:bCs/>
          <w:sz w:val="24"/>
          <w:szCs w:val="24"/>
          <w:lang w:val="en-GB"/>
        </w:rPr>
        <w:t>Taxes on Income, Profits, and Capital Gains (TIPC)</w:t>
      </w:r>
      <w:r w:rsidRPr="00815AA9">
        <w:rPr>
          <w:rFonts w:ascii="Times New Roman" w:hAnsi="Times New Roman" w:cs="Times New Roman"/>
          <w:sz w:val="24"/>
          <w:szCs w:val="24"/>
          <w:lang w:val="en-GB"/>
        </w:rPr>
        <w:t xml:space="preserve"> also shows </w:t>
      </w:r>
      <w:r w:rsidRPr="00815AA9">
        <w:rPr>
          <w:rFonts w:ascii="Times New Roman" w:hAnsi="Times New Roman" w:cs="Times New Roman"/>
          <w:bCs/>
          <w:sz w:val="24"/>
          <w:szCs w:val="24"/>
          <w:lang w:val="en-GB"/>
        </w:rPr>
        <w:t>strong positive relationships</w:t>
      </w:r>
      <w:r w:rsidRPr="00815AA9">
        <w:rPr>
          <w:rFonts w:ascii="Times New Roman" w:hAnsi="Times New Roman" w:cs="Times New Roman"/>
          <w:sz w:val="24"/>
          <w:szCs w:val="24"/>
          <w:lang w:val="en-GB"/>
        </w:rPr>
        <w:t xml:space="preserve"> with </w:t>
      </w:r>
      <w:r w:rsidRPr="00815AA9">
        <w:rPr>
          <w:rFonts w:ascii="Times New Roman" w:hAnsi="Times New Roman" w:cs="Times New Roman"/>
          <w:bCs/>
          <w:sz w:val="24"/>
          <w:szCs w:val="24"/>
          <w:lang w:val="en-GB"/>
        </w:rPr>
        <w:t>TAGS (r = 0.83)</w:t>
      </w:r>
      <w:r w:rsidRPr="00815AA9">
        <w:rPr>
          <w:rFonts w:ascii="Times New Roman" w:hAnsi="Times New Roman" w:cs="Times New Roman"/>
          <w:sz w:val="24"/>
          <w:szCs w:val="24"/>
          <w:lang w:val="en-GB"/>
        </w:rPr>
        <w:t xml:space="preserve"> and </w:t>
      </w:r>
      <w:r w:rsidRPr="00815AA9">
        <w:rPr>
          <w:rFonts w:ascii="Times New Roman" w:hAnsi="Times New Roman" w:cs="Times New Roman"/>
          <w:bCs/>
          <w:sz w:val="24"/>
          <w:szCs w:val="24"/>
          <w:lang w:val="en-GB"/>
        </w:rPr>
        <w:t>COID (r = 0.82)</w:t>
      </w:r>
      <w:r w:rsidRPr="00815AA9">
        <w:rPr>
          <w:rFonts w:ascii="Times New Roman" w:hAnsi="Times New Roman" w:cs="Times New Roman"/>
          <w:sz w:val="24"/>
          <w:szCs w:val="24"/>
          <w:lang w:val="en-GB"/>
        </w:rPr>
        <w:t xml:space="preserve">, indicating that these major tax sources are strongly interrelated. TIPC is </w:t>
      </w:r>
      <w:r w:rsidRPr="00815AA9">
        <w:rPr>
          <w:rFonts w:ascii="Times New Roman" w:hAnsi="Times New Roman" w:cs="Times New Roman"/>
          <w:bCs/>
          <w:sz w:val="24"/>
          <w:szCs w:val="24"/>
          <w:lang w:val="en-GB"/>
        </w:rPr>
        <w:t>weakly and positively correlated</w:t>
      </w:r>
      <w:r w:rsidRPr="00815AA9">
        <w:rPr>
          <w:rFonts w:ascii="Times New Roman" w:hAnsi="Times New Roman" w:cs="Times New Roman"/>
          <w:sz w:val="24"/>
          <w:szCs w:val="24"/>
          <w:lang w:val="en-GB"/>
        </w:rPr>
        <w:t xml:space="preserve"> with </w:t>
      </w:r>
      <w:r w:rsidRPr="00815AA9">
        <w:rPr>
          <w:rFonts w:ascii="Times New Roman" w:hAnsi="Times New Roman" w:cs="Times New Roman"/>
          <w:bCs/>
          <w:sz w:val="24"/>
          <w:szCs w:val="24"/>
          <w:lang w:val="en-GB"/>
        </w:rPr>
        <w:t>DWEG (r = 0.19)</w:t>
      </w:r>
      <w:r w:rsidRPr="00815AA9">
        <w:rPr>
          <w:rFonts w:ascii="Times New Roman" w:hAnsi="Times New Roman" w:cs="Times New Roman"/>
          <w:sz w:val="24"/>
          <w:szCs w:val="24"/>
          <w:lang w:val="en-GB"/>
        </w:rPr>
        <w:t>, reflecting a modest association between income-related taxes and SDG 8 attainment among African countries.</w:t>
      </w:r>
    </w:p>
    <w:p w14:paraId="11A34B04" w14:textId="4650382E" w:rsidR="001211B8" w:rsidRPr="00815AA9" w:rsidRDefault="001211B8" w:rsidP="00171A84">
      <w:pPr>
        <w:spacing w:before="240" w:after="0" w:line="240" w:lineRule="auto"/>
        <w:jc w:val="both"/>
        <w:rPr>
          <w:rFonts w:ascii="Times New Roman" w:hAnsi="Times New Roman" w:cs="Times New Roman"/>
          <w:sz w:val="24"/>
          <w:szCs w:val="24"/>
          <w:lang w:val="en-GB"/>
        </w:rPr>
      </w:pPr>
      <w:r w:rsidRPr="00815AA9">
        <w:rPr>
          <w:rFonts w:ascii="Times New Roman" w:hAnsi="Times New Roman" w:cs="Times New Roman"/>
          <w:sz w:val="24"/>
          <w:szCs w:val="24"/>
          <w:lang w:val="en-GB"/>
        </w:rPr>
        <w:t xml:space="preserve">To test the presence of multicollinearity among the explanatory variables, particularly the tax components and ease of doing business indicators, the Variance Inflation Factor (VIF) </w:t>
      </w:r>
      <w:r w:rsidRPr="00815AA9">
        <w:rPr>
          <w:rFonts w:ascii="Times New Roman" w:hAnsi="Times New Roman" w:cs="Times New Roman"/>
          <w:sz w:val="24"/>
          <w:szCs w:val="24"/>
          <w:lang w:val="en-GB"/>
        </w:rPr>
        <w:lastRenderedPageBreak/>
        <w:t xml:space="preserve">analysis was conducted. A high VIF indicates that a variable is highly correlated with other explanatory variables, which can distort coefficient estimates and reduce the reliability of regression results. Conventionally, VIF values less than 5 indicate low or no multicollinearity (James et al., 2013), From the result, the Mean VIF is </w:t>
      </w:r>
      <w:r w:rsidRPr="00815AA9">
        <w:rPr>
          <w:rFonts w:ascii="Times New Roman" w:hAnsi="Times New Roman" w:cs="Times New Roman"/>
          <w:bCs/>
          <w:sz w:val="24"/>
          <w:szCs w:val="24"/>
          <w:lang w:val="en-GB"/>
        </w:rPr>
        <w:t>5.82</w:t>
      </w:r>
      <w:r w:rsidRPr="00815AA9">
        <w:rPr>
          <w:rFonts w:ascii="Times New Roman" w:hAnsi="Times New Roman" w:cs="Times New Roman"/>
          <w:sz w:val="24"/>
          <w:szCs w:val="24"/>
          <w:lang w:val="en-GB"/>
        </w:rPr>
        <w:t>, which indicates a moderate level of multicollinearity among the explanatory variables. This suggests that, although some of the tax revenue variables share significant correlations, the level of multicollinearity is not excessively high to undermine the regression estimates.</w:t>
      </w:r>
    </w:p>
    <w:p w14:paraId="40819C6A" w14:textId="77777777" w:rsidR="001211B8" w:rsidRPr="00815AA9" w:rsidRDefault="008948FE" w:rsidP="00171A84">
      <w:pPr>
        <w:spacing w:before="240" w:after="0" w:line="240" w:lineRule="auto"/>
        <w:jc w:val="both"/>
        <w:rPr>
          <w:rFonts w:ascii="Times New Roman" w:hAnsi="Times New Roman" w:cs="Times New Roman"/>
          <w:b/>
          <w:bCs/>
          <w:i/>
          <w:sz w:val="24"/>
          <w:szCs w:val="24"/>
        </w:rPr>
      </w:pPr>
      <w:bookmarkStart w:id="5" w:name="_Toc189165836"/>
      <w:bookmarkStart w:id="6" w:name="_Toc212215496"/>
      <w:r w:rsidRPr="00815AA9">
        <w:rPr>
          <w:rFonts w:ascii="Times New Roman" w:hAnsi="Times New Roman" w:cs="Times New Roman"/>
          <w:b/>
          <w:i/>
          <w:sz w:val="24"/>
          <w:szCs w:val="24"/>
        </w:rPr>
        <w:t>4.</w:t>
      </w:r>
      <w:r w:rsidR="001211B8" w:rsidRPr="00815AA9">
        <w:rPr>
          <w:rFonts w:ascii="Times New Roman" w:hAnsi="Times New Roman" w:cs="Times New Roman"/>
          <w:b/>
          <w:i/>
          <w:sz w:val="24"/>
          <w:szCs w:val="24"/>
        </w:rPr>
        <w:t>3</w:t>
      </w:r>
      <w:r w:rsidR="001211B8" w:rsidRPr="00815AA9">
        <w:rPr>
          <w:rFonts w:ascii="Times New Roman" w:hAnsi="Times New Roman" w:cs="Times New Roman"/>
          <w:b/>
          <w:i/>
          <w:sz w:val="24"/>
          <w:szCs w:val="24"/>
        </w:rPr>
        <w:tab/>
        <w:t>Result of the Stationary Test</w:t>
      </w:r>
      <w:bookmarkEnd w:id="5"/>
      <w:bookmarkEnd w:id="6"/>
    </w:p>
    <w:p w14:paraId="475A5EAE" w14:textId="77777777" w:rsidR="001211B8" w:rsidRPr="00815AA9" w:rsidRDefault="001211B8" w:rsidP="00171A84">
      <w:pPr>
        <w:spacing w:before="240"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Stationary test is conducted to examine the time series patterns of series over time, so as to determine the behaviour of the series if it follows an upward or downward trend. In this study, using the Augmented Dickey-Fuller (ADF) Unit Root Test was used to test for stationary in the series and the r</w:t>
      </w:r>
      <w:r w:rsidR="008948FE" w:rsidRPr="00815AA9">
        <w:rPr>
          <w:rFonts w:ascii="Times New Roman" w:hAnsi="Times New Roman" w:cs="Times New Roman"/>
          <w:sz w:val="24"/>
          <w:szCs w:val="24"/>
        </w:rPr>
        <w:t xml:space="preserve">esult is presented in Table </w:t>
      </w:r>
      <w:r w:rsidRPr="00815AA9">
        <w:rPr>
          <w:rFonts w:ascii="Times New Roman" w:hAnsi="Times New Roman" w:cs="Times New Roman"/>
          <w:sz w:val="24"/>
          <w:szCs w:val="24"/>
        </w:rPr>
        <w:t xml:space="preserve">3. </w:t>
      </w:r>
    </w:p>
    <w:p w14:paraId="70EF20AF" w14:textId="77777777" w:rsidR="008948FE" w:rsidRPr="00815AA9" w:rsidRDefault="001211B8" w:rsidP="00171A84">
      <w:pPr>
        <w:spacing w:before="240" w:after="0" w:line="240" w:lineRule="auto"/>
        <w:jc w:val="both"/>
        <w:rPr>
          <w:rFonts w:ascii="Times New Roman" w:hAnsi="Times New Roman" w:cs="Times New Roman"/>
          <w:b/>
          <w:bCs/>
          <w:i/>
          <w:sz w:val="24"/>
          <w:szCs w:val="24"/>
        </w:rPr>
      </w:pPr>
      <w:bookmarkStart w:id="7" w:name="_Hlk189072848"/>
      <w:r w:rsidRPr="00815AA9">
        <w:rPr>
          <w:rFonts w:ascii="Times New Roman" w:hAnsi="Times New Roman" w:cs="Times New Roman"/>
          <w:b/>
          <w:bCs/>
          <w:i/>
          <w:sz w:val="24"/>
          <w:szCs w:val="24"/>
        </w:rPr>
        <w:t>Table</w:t>
      </w:r>
      <w:r w:rsidRPr="00815AA9">
        <w:rPr>
          <w:rFonts w:ascii="Times New Roman" w:hAnsi="Times New Roman" w:cs="Times New Roman"/>
          <w:i/>
          <w:sz w:val="24"/>
          <w:szCs w:val="24"/>
        </w:rPr>
        <w:t xml:space="preserve"> </w:t>
      </w:r>
      <w:r w:rsidRPr="00815AA9">
        <w:rPr>
          <w:rFonts w:ascii="Times New Roman" w:hAnsi="Times New Roman" w:cs="Times New Roman"/>
          <w:b/>
          <w:bCs/>
          <w:i/>
          <w:sz w:val="24"/>
          <w:szCs w:val="24"/>
        </w:rPr>
        <w:t>3</w:t>
      </w:r>
      <w:r w:rsidR="008948FE" w:rsidRPr="00815AA9">
        <w:rPr>
          <w:rFonts w:ascii="Times New Roman" w:hAnsi="Times New Roman" w:cs="Times New Roman"/>
          <w:b/>
          <w:bCs/>
          <w:i/>
          <w:sz w:val="24"/>
          <w:szCs w:val="24"/>
        </w:rPr>
        <w:t>:</w:t>
      </w:r>
      <w:r w:rsidRPr="00815AA9">
        <w:rPr>
          <w:rFonts w:ascii="Times New Roman" w:hAnsi="Times New Roman" w:cs="Times New Roman"/>
          <w:b/>
          <w:bCs/>
          <w:i/>
          <w:sz w:val="24"/>
          <w:szCs w:val="24"/>
        </w:rPr>
        <w:tab/>
      </w:r>
    </w:p>
    <w:p w14:paraId="20C5D3DC" w14:textId="77777777" w:rsidR="001211B8" w:rsidRPr="00815AA9" w:rsidRDefault="001211B8" w:rsidP="008948FE">
      <w:pPr>
        <w:spacing w:after="0" w:line="240" w:lineRule="auto"/>
        <w:jc w:val="both"/>
        <w:rPr>
          <w:rFonts w:ascii="Times New Roman" w:hAnsi="Times New Roman" w:cs="Times New Roman"/>
          <w:b/>
          <w:bCs/>
          <w:i/>
          <w:sz w:val="24"/>
          <w:szCs w:val="24"/>
        </w:rPr>
      </w:pPr>
      <w:r w:rsidRPr="00815AA9">
        <w:rPr>
          <w:rFonts w:ascii="Times New Roman" w:hAnsi="Times New Roman" w:cs="Times New Roman"/>
          <w:b/>
          <w:bCs/>
          <w:i/>
          <w:sz w:val="24"/>
          <w:szCs w:val="24"/>
        </w:rPr>
        <w:t xml:space="preserve">Result of the Stationary and </w:t>
      </w:r>
      <w:r w:rsidRPr="00815AA9">
        <w:rPr>
          <w:rFonts w:ascii="Times New Roman" w:hAnsi="Times New Roman" w:cs="Times New Roman"/>
          <w:b/>
          <w:bCs/>
          <w:i/>
          <w:sz w:val="24"/>
          <w:szCs w:val="24"/>
          <w:lang w:val="en-GB"/>
        </w:rPr>
        <w:t>Endogeneity</w:t>
      </w:r>
      <w:r w:rsidRPr="00815AA9">
        <w:rPr>
          <w:rFonts w:ascii="Times New Roman" w:hAnsi="Times New Roman" w:cs="Times New Roman"/>
          <w:b/>
          <w:bCs/>
          <w:i/>
          <w:sz w:val="24"/>
          <w:szCs w:val="24"/>
        </w:rPr>
        <w:t xml:space="preserve"> Tests</w:t>
      </w:r>
    </w:p>
    <w:tbl>
      <w:tblPr>
        <w:tblStyle w:val="TableGrid"/>
        <w:tblW w:w="0" w:type="auto"/>
        <w:tblLook w:val="04A0" w:firstRow="1" w:lastRow="0" w:firstColumn="1" w:lastColumn="0" w:noHBand="0" w:noVBand="1"/>
      </w:tblPr>
      <w:tblGrid>
        <w:gridCol w:w="1181"/>
        <w:gridCol w:w="953"/>
        <w:gridCol w:w="1150"/>
        <w:gridCol w:w="1150"/>
        <w:gridCol w:w="1278"/>
        <w:gridCol w:w="1150"/>
        <w:gridCol w:w="1150"/>
        <w:gridCol w:w="1056"/>
      </w:tblGrid>
      <w:tr w:rsidR="001211B8" w:rsidRPr="00815AA9" w14:paraId="352AF07F" w14:textId="77777777" w:rsidTr="00827420">
        <w:trPr>
          <w:trHeight w:val="150"/>
        </w:trPr>
        <w:tc>
          <w:tcPr>
            <w:tcW w:w="1181" w:type="dxa"/>
            <w:hideMark/>
          </w:tcPr>
          <w:p w14:paraId="605D632E" w14:textId="77777777" w:rsidR="001211B8" w:rsidRPr="00815AA9" w:rsidRDefault="001211B8" w:rsidP="008948FE">
            <w:pPr>
              <w:spacing w:after="0" w:line="240" w:lineRule="auto"/>
              <w:jc w:val="both"/>
              <w:rPr>
                <w:rFonts w:ascii="Times New Roman" w:hAnsi="Times New Roman" w:cs="Times New Roman"/>
                <w:b/>
                <w:bCs/>
                <w:sz w:val="24"/>
                <w:szCs w:val="24"/>
              </w:rPr>
            </w:pPr>
            <w:r w:rsidRPr="00815AA9">
              <w:rPr>
                <w:rFonts w:ascii="Times New Roman" w:hAnsi="Times New Roman" w:cs="Times New Roman"/>
                <w:b/>
                <w:bCs/>
                <w:sz w:val="24"/>
                <w:szCs w:val="24"/>
              </w:rPr>
              <w:t>Variables</w:t>
            </w:r>
          </w:p>
        </w:tc>
        <w:tc>
          <w:tcPr>
            <w:tcW w:w="3253" w:type="dxa"/>
            <w:gridSpan w:val="3"/>
            <w:hideMark/>
          </w:tcPr>
          <w:p w14:paraId="79B2C7C1" w14:textId="77777777" w:rsidR="001211B8" w:rsidRPr="00815AA9" w:rsidRDefault="001211B8" w:rsidP="008948FE">
            <w:pPr>
              <w:spacing w:after="0" w:line="240" w:lineRule="auto"/>
              <w:jc w:val="both"/>
              <w:rPr>
                <w:rFonts w:ascii="Times New Roman" w:hAnsi="Times New Roman" w:cs="Times New Roman"/>
                <w:b/>
                <w:bCs/>
                <w:sz w:val="24"/>
                <w:szCs w:val="24"/>
              </w:rPr>
            </w:pPr>
            <w:r w:rsidRPr="00815AA9">
              <w:rPr>
                <w:rFonts w:ascii="Times New Roman" w:hAnsi="Times New Roman" w:cs="Times New Roman"/>
                <w:b/>
                <w:bCs/>
                <w:sz w:val="24"/>
                <w:szCs w:val="24"/>
              </w:rPr>
              <w:t>At Level (I(0)) @ 5%</w:t>
            </w:r>
          </w:p>
        </w:tc>
        <w:tc>
          <w:tcPr>
            <w:tcW w:w="3578" w:type="dxa"/>
            <w:gridSpan w:val="3"/>
            <w:hideMark/>
          </w:tcPr>
          <w:p w14:paraId="5AA63478" w14:textId="77777777" w:rsidR="001211B8" w:rsidRPr="00815AA9" w:rsidRDefault="001211B8" w:rsidP="008948FE">
            <w:pPr>
              <w:spacing w:after="0" w:line="240" w:lineRule="auto"/>
              <w:jc w:val="both"/>
              <w:rPr>
                <w:rFonts w:ascii="Times New Roman" w:hAnsi="Times New Roman" w:cs="Times New Roman"/>
                <w:b/>
                <w:bCs/>
                <w:sz w:val="24"/>
                <w:szCs w:val="24"/>
              </w:rPr>
            </w:pPr>
            <w:r w:rsidRPr="00815AA9">
              <w:rPr>
                <w:rFonts w:ascii="Times New Roman" w:hAnsi="Times New Roman" w:cs="Times New Roman"/>
                <w:b/>
                <w:bCs/>
                <w:sz w:val="24"/>
                <w:szCs w:val="24"/>
              </w:rPr>
              <w:t>At First Difference (I(1)) @ 5%</w:t>
            </w:r>
          </w:p>
        </w:tc>
        <w:tc>
          <w:tcPr>
            <w:tcW w:w="1056" w:type="dxa"/>
            <w:hideMark/>
          </w:tcPr>
          <w:p w14:paraId="3537B517" w14:textId="77777777" w:rsidR="001211B8" w:rsidRPr="00815AA9" w:rsidRDefault="001211B8" w:rsidP="008948FE">
            <w:pPr>
              <w:spacing w:after="0" w:line="240" w:lineRule="auto"/>
              <w:jc w:val="both"/>
              <w:rPr>
                <w:rFonts w:ascii="Times New Roman" w:hAnsi="Times New Roman" w:cs="Times New Roman"/>
                <w:b/>
                <w:bCs/>
                <w:sz w:val="24"/>
                <w:szCs w:val="24"/>
              </w:rPr>
            </w:pPr>
            <w:r w:rsidRPr="00815AA9">
              <w:rPr>
                <w:rFonts w:ascii="Times New Roman" w:hAnsi="Times New Roman" w:cs="Times New Roman"/>
                <w:b/>
                <w:bCs/>
                <w:sz w:val="24"/>
                <w:szCs w:val="24"/>
              </w:rPr>
              <w:t>Remark</w:t>
            </w:r>
          </w:p>
        </w:tc>
      </w:tr>
      <w:tr w:rsidR="001211B8" w:rsidRPr="00815AA9" w14:paraId="26C88C02" w14:textId="77777777" w:rsidTr="00827420">
        <w:trPr>
          <w:trHeight w:val="900"/>
        </w:trPr>
        <w:tc>
          <w:tcPr>
            <w:tcW w:w="1181" w:type="dxa"/>
            <w:hideMark/>
          </w:tcPr>
          <w:p w14:paraId="4B591A5E" w14:textId="77777777" w:rsidR="001211B8" w:rsidRPr="00815AA9" w:rsidRDefault="001211B8" w:rsidP="008948FE">
            <w:pPr>
              <w:spacing w:after="0" w:line="240" w:lineRule="auto"/>
              <w:jc w:val="both"/>
              <w:rPr>
                <w:rFonts w:ascii="Times New Roman" w:hAnsi="Times New Roman" w:cs="Times New Roman"/>
                <w:bCs/>
                <w:sz w:val="24"/>
                <w:szCs w:val="24"/>
              </w:rPr>
            </w:pPr>
          </w:p>
        </w:tc>
        <w:tc>
          <w:tcPr>
            <w:tcW w:w="953" w:type="dxa"/>
            <w:hideMark/>
          </w:tcPr>
          <w:p w14:paraId="34556702" w14:textId="77777777" w:rsidR="001211B8" w:rsidRPr="00815AA9" w:rsidRDefault="001211B8" w:rsidP="008948FE">
            <w:pPr>
              <w:spacing w:after="0" w:line="240" w:lineRule="auto"/>
              <w:jc w:val="both"/>
              <w:rPr>
                <w:rFonts w:ascii="Times New Roman" w:hAnsi="Times New Roman" w:cs="Times New Roman"/>
                <w:b/>
                <w:bCs/>
                <w:sz w:val="24"/>
                <w:szCs w:val="24"/>
              </w:rPr>
            </w:pPr>
            <w:r w:rsidRPr="00815AA9">
              <w:rPr>
                <w:rFonts w:ascii="Times New Roman" w:hAnsi="Times New Roman" w:cs="Times New Roman"/>
                <w:b/>
                <w:bCs/>
                <w:sz w:val="24"/>
                <w:szCs w:val="24"/>
              </w:rPr>
              <w:t>None (Prob.)</w:t>
            </w:r>
          </w:p>
        </w:tc>
        <w:tc>
          <w:tcPr>
            <w:tcW w:w="1150" w:type="dxa"/>
            <w:hideMark/>
          </w:tcPr>
          <w:p w14:paraId="4B5D8FEB" w14:textId="77777777" w:rsidR="001211B8" w:rsidRPr="00815AA9" w:rsidRDefault="001211B8" w:rsidP="008948FE">
            <w:pPr>
              <w:spacing w:after="0" w:line="240" w:lineRule="auto"/>
              <w:jc w:val="both"/>
              <w:rPr>
                <w:rFonts w:ascii="Times New Roman" w:hAnsi="Times New Roman" w:cs="Times New Roman"/>
                <w:b/>
                <w:bCs/>
                <w:sz w:val="24"/>
                <w:szCs w:val="24"/>
              </w:rPr>
            </w:pPr>
            <w:r w:rsidRPr="00815AA9">
              <w:rPr>
                <w:rFonts w:ascii="Times New Roman" w:hAnsi="Times New Roman" w:cs="Times New Roman"/>
                <w:b/>
                <w:bCs/>
                <w:sz w:val="24"/>
                <w:szCs w:val="24"/>
              </w:rPr>
              <w:t>Constant (Prob.)</w:t>
            </w:r>
          </w:p>
        </w:tc>
        <w:tc>
          <w:tcPr>
            <w:tcW w:w="1150" w:type="dxa"/>
            <w:hideMark/>
          </w:tcPr>
          <w:p w14:paraId="5F66FC31" w14:textId="77777777" w:rsidR="001211B8" w:rsidRPr="00815AA9" w:rsidRDefault="001211B8" w:rsidP="008948FE">
            <w:pPr>
              <w:spacing w:after="0" w:line="240" w:lineRule="auto"/>
              <w:jc w:val="both"/>
              <w:rPr>
                <w:rFonts w:ascii="Times New Roman" w:hAnsi="Times New Roman" w:cs="Times New Roman"/>
                <w:b/>
                <w:bCs/>
                <w:sz w:val="24"/>
                <w:szCs w:val="24"/>
              </w:rPr>
            </w:pPr>
            <w:r w:rsidRPr="00815AA9">
              <w:rPr>
                <w:rFonts w:ascii="Times New Roman" w:hAnsi="Times New Roman" w:cs="Times New Roman"/>
                <w:b/>
                <w:bCs/>
                <w:sz w:val="24"/>
                <w:szCs w:val="24"/>
              </w:rPr>
              <w:t>Constant &amp; Trend (Prob.)</w:t>
            </w:r>
          </w:p>
        </w:tc>
        <w:tc>
          <w:tcPr>
            <w:tcW w:w="1278" w:type="dxa"/>
            <w:hideMark/>
          </w:tcPr>
          <w:p w14:paraId="0CE5CB21" w14:textId="77777777" w:rsidR="001211B8" w:rsidRPr="00815AA9" w:rsidRDefault="001211B8" w:rsidP="008948FE">
            <w:pPr>
              <w:spacing w:after="0" w:line="240" w:lineRule="auto"/>
              <w:jc w:val="both"/>
              <w:rPr>
                <w:rFonts w:ascii="Times New Roman" w:hAnsi="Times New Roman" w:cs="Times New Roman"/>
                <w:b/>
                <w:bCs/>
                <w:sz w:val="24"/>
                <w:szCs w:val="24"/>
              </w:rPr>
            </w:pPr>
            <w:r w:rsidRPr="00815AA9">
              <w:rPr>
                <w:rFonts w:ascii="Times New Roman" w:hAnsi="Times New Roman" w:cs="Times New Roman"/>
                <w:b/>
                <w:bCs/>
                <w:sz w:val="24"/>
                <w:szCs w:val="24"/>
              </w:rPr>
              <w:t>None (Prob.)</w:t>
            </w:r>
          </w:p>
        </w:tc>
        <w:tc>
          <w:tcPr>
            <w:tcW w:w="1150" w:type="dxa"/>
            <w:hideMark/>
          </w:tcPr>
          <w:p w14:paraId="66AE76F8" w14:textId="77777777" w:rsidR="001211B8" w:rsidRPr="00815AA9" w:rsidRDefault="001211B8" w:rsidP="008948FE">
            <w:pPr>
              <w:spacing w:after="0" w:line="240" w:lineRule="auto"/>
              <w:jc w:val="both"/>
              <w:rPr>
                <w:rFonts w:ascii="Times New Roman" w:hAnsi="Times New Roman" w:cs="Times New Roman"/>
                <w:b/>
                <w:bCs/>
                <w:sz w:val="24"/>
                <w:szCs w:val="24"/>
              </w:rPr>
            </w:pPr>
            <w:r w:rsidRPr="00815AA9">
              <w:rPr>
                <w:rFonts w:ascii="Times New Roman" w:hAnsi="Times New Roman" w:cs="Times New Roman"/>
                <w:b/>
                <w:bCs/>
                <w:sz w:val="24"/>
                <w:szCs w:val="24"/>
              </w:rPr>
              <w:t>Constant (Prob.)</w:t>
            </w:r>
          </w:p>
        </w:tc>
        <w:tc>
          <w:tcPr>
            <w:tcW w:w="1150" w:type="dxa"/>
            <w:hideMark/>
          </w:tcPr>
          <w:p w14:paraId="4E16FAF5" w14:textId="77777777" w:rsidR="001211B8" w:rsidRPr="00815AA9" w:rsidRDefault="001211B8" w:rsidP="008948FE">
            <w:pPr>
              <w:spacing w:after="0" w:line="240" w:lineRule="auto"/>
              <w:jc w:val="both"/>
              <w:rPr>
                <w:rFonts w:ascii="Times New Roman" w:hAnsi="Times New Roman" w:cs="Times New Roman"/>
                <w:b/>
                <w:bCs/>
                <w:sz w:val="24"/>
                <w:szCs w:val="24"/>
              </w:rPr>
            </w:pPr>
            <w:r w:rsidRPr="00815AA9">
              <w:rPr>
                <w:rFonts w:ascii="Times New Roman" w:hAnsi="Times New Roman" w:cs="Times New Roman"/>
                <w:b/>
                <w:bCs/>
                <w:sz w:val="24"/>
                <w:szCs w:val="24"/>
              </w:rPr>
              <w:t>Constant &amp; Trend (Prob.)</w:t>
            </w:r>
          </w:p>
        </w:tc>
        <w:tc>
          <w:tcPr>
            <w:tcW w:w="1056" w:type="dxa"/>
            <w:hideMark/>
          </w:tcPr>
          <w:p w14:paraId="62A6744D" w14:textId="77777777" w:rsidR="001211B8" w:rsidRPr="00815AA9" w:rsidRDefault="001211B8" w:rsidP="008948FE">
            <w:pPr>
              <w:spacing w:after="0" w:line="240" w:lineRule="auto"/>
              <w:jc w:val="both"/>
              <w:rPr>
                <w:rFonts w:ascii="Times New Roman" w:hAnsi="Times New Roman" w:cs="Times New Roman"/>
                <w:bCs/>
                <w:sz w:val="24"/>
                <w:szCs w:val="24"/>
              </w:rPr>
            </w:pPr>
          </w:p>
        </w:tc>
      </w:tr>
      <w:tr w:rsidR="001211B8" w:rsidRPr="00815AA9" w14:paraId="605273CC" w14:textId="77777777" w:rsidTr="00827420">
        <w:trPr>
          <w:trHeight w:val="300"/>
        </w:trPr>
        <w:tc>
          <w:tcPr>
            <w:tcW w:w="1181" w:type="dxa"/>
            <w:hideMark/>
          </w:tcPr>
          <w:p w14:paraId="76B000FD" w14:textId="77777777" w:rsidR="001211B8" w:rsidRPr="00815AA9" w:rsidRDefault="001211B8" w:rsidP="008948FE">
            <w:pPr>
              <w:spacing w:after="0" w:line="240" w:lineRule="auto"/>
              <w:jc w:val="both"/>
              <w:rPr>
                <w:rFonts w:ascii="Times New Roman" w:hAnsi="Times New Roman" w:cs="Times New Roman"/>
                <w:bCs/>
                <w:sz w:val="24"/>
                <w:szCs w:val="24"/>
              </w:rPr>
            </w:pPr>
            <w:r w:rsidRPr="00815AA9">
              <w:rPr>
                <w:rFonts w:ascii="Times New Roman" w:hAnsi="Times New Roman" w:cs="Times New Roman"/>
                <w:bCs/>
                <w:sz w:val="24"/>
                <w:szCs w:val="24"/>
              </w:rPr>
              <w:t>DWEG</w:t>
            </w:r>
          </w:p>
        </w:tc>
        <w:tc>
          <w:tcPr>
            <w:tcW w:w="953" w:type="dxa"/>
            <w:hideMark/>
          </w:tcPr>
          <w:p w14:paraId="5922E910" w14:textId="77777777" w:rsidR="001211B8" w:rsidRPr="00815AA9" w:rsidRDefault="001211B8" w:rsidP="008948FE">
            <w:pPr>
              <w:spacing w:after="0" w:line="240" w:lineRule="auto"/>
              <w:jc w:val="both"/>
              <w:rPr>
                <w:rFonts w:ascii="Times New Roman" w:hAnsi="Times New Roman" w:cs="Times New Roman"/>
                <w:bCs/>
                <w:sz w:val="24"/>
                <w:szCs w:val="24"/>
              </w:rPr>
            </w:pPr>
            <w:r w:rsidRPr="00815AA9">
              <w:rPr>
                <w:rFonts w:ascii="Times New Roman" w:hAnsi="Times New Roman" w:cs="Times New Roman"/>
                <w:bCs/>
                <w:sz w:val="24"/>
                <w:szCs w:val="24"/>
              </w:rPr>
              <w:t>0.492</w:t>
            </w:r>
          </w:p>
        </w:tc>
        <w:tc>
          <w:tcPr>
            <w:tcW w:w="1150" w:type="dxa"/>
            <w:hideMark/>
          </w:tcPr>
          <w:p w14:paraId="2B53EE18" w14:textId="77777777" w:rsidR="001211B8" w:rsidRPr="00815AA9" w:rsidRDefault="001211B8" w:rsidP="008948FE">
            <w:pPr>
              <w:spacing w:after="0" w:line="240" w:lineRule="auto"/>
              <w:jc w:val="both"/>
              <w:rPr>
                <w:rFonts w:ascii="Times New Roman" w:hAnsi="Times New Roman" w:cs="Times New Roman"/>
                <w:bCs/>
                <w:sz w:val="24"/>
                <w:szCs w:val="24"/>
              </w:rPr>
            </w:pPr>
            <w:r w:rsidRPr="00815AA9">
              <w:rPr>
                <w:rFonts w:ascii="Times New Roman" w:hAnsi="Times New Roman" w:cs="Times New Roman"/>
                <w:bCs/>
                <w:sz w:val="24"/>
                <w:szCs w:val="24"/>
              </w:rPr>
              <w:t>0.000</w:t>
            </w:r>
          </w:p>
        </w:tc>
        <w:tc>
          <w:tcPr>
            <w:tcW w:w="1150" w:type="dxa"/>
            <w:hideMark/>
          </w:tcPr>
          <w:p w14:paraId="4DE1DC0B" w14:textId="77777777" w:rsidR="001211B8" w:rsidRPr="00815AA9" w:rsidRDefault="001211B8" w:rsidP="008948FE">
            <w:pPr>
              <w:spacing w:after="0" w:line="240" w:lineRule="auto"/>
              <w:jc w:val="both"/>
              <w:rPr>
                <w:rFonts w:ascii="Times New Roman" w:hAnsi="Times New Roman" w:cs="Times New Roman"/>
                <w:bCs/>
                <w:sz w:val="24"/>
                <w:szCs w:val="24"/>
              </w:rPr>
            </w:pPr>
            <w:r w:rsidRPr="00815AA9">
              <w:rPr>
                <w:rFonts w:ascii="Times New Roman" w:hAnsi="Times New Roman" w:cs="Times New Roman"/>
                <w:bCs/>
                <w:sz w:val="24"/>
                <w:szCs w:val="24"/>
              </w:rPr>
              <w:t>0.002</w:t>
            </w:r>
          </w:p>
        </w:tc>
        <w:tc>
          <w:tcPr>
            <w:tcW w:w="1278" w:type="dxa"/>
            <w:hideMark/>
          </w:tcPr>
          <w:p w14:paraId="6CC37D37" w14:textId="77777777" w:rsidR="001211B8" w:rsidRPr="00815AA9" w:rsidRDefault="001211B8" w:rsidP="008948FE">
            <w:pPr>
              <w:spacing w:after="0" w:line="240" w:lineRule="auto"/>
              <w:jc w:val="both"/>
              <w:rPr>
                <w:rFonts w:ascii="Times New Roman" w:hAnsi="Times New Roman" w:cs="Times New Roman"/>
                <w:bCs/>
                <w:sz w:val="24"/>
                <w:szCs w:val="24"/>
              </w:rPr>
            </w:pPr>
            <w:r w:rsidRPr="00815AA9">
              <w:rPr>
                <w:rFonts w:ascii="Times New Roman" w:hAnsi="Times New Roman" w:cs="Times New Roman"/>
                <w:bCs/>
                <w:sz w:val="24"/>
                <w:szCs w:val="24"/>
              </w:rPr>
              <w:t>0.000</w:t>
            </w:r>
          </w:p>
        </w:tc>
        <w:tc>
          <w:tcPr>
            <w:tcW w:w="1150" w:type="dxa"/>
            <w:hideMark/>
          </w:tcPr>
          <w:p w14:paraId="22A7A46A" w14:textId="77777777" w:rsidR="001211B8" w:rsidRPr="00815AA9" w:rsidRDefault="001211B8" w:rsidP="008948FE">
            <w:pPr>
              <w:spacing w:after="0" w:line="240" w:lineRule="auto"/>
              <w:jc w:val="both"/>
              <w:rPr>
                <w:rFonts w:ascii="Times New Roman" w:hAnsi="Times New Roman" w:cs="Times New Roman"/>
                <w:bCs/>
                <w:sz w:val="24"/>
                <w:szCs w:val="24"/>
              </w:rPr>
            </w:pPr>
            <w:r w:rsidRPr="00815AA9">
              <w:rPr>
                <w:rFonts w:ascii="Times New Roman" w:hAnsi="Times New Roman" w:cs="Times New Roman"/>
                <w:bCs/>
                <w:sz w:val="24"/>
                <w:szCs w:val="24"/>
              </w:rPr>
              <w:t>0.000</w:t>
            </w:r>
          </w:p>
        </w:tc>
        <w:tc>
          <w:tcPr>
            <w:tcW w:w="1150" w:type="dxa"/>
            <w:hideMark/>
          </w:tcPr>
          <w:p w14:paraId="145B2CAF" w14:textId="77777777" w:rsidR="001211B8" w:rsidRPr="00815AA9" w:rsidRDefault="001211B8" w:rsidP="008948FE">
            <w:pPr>
              <w:spacing w:after="0" w:line="240" w:lineRule="auto"/>
              <w:jc w:val="both"/>
              <w:rPr>
                <w:rFonts w:ascii="Times New Roman" w:hAnsi="Times New Roman" w:cs="Times New Roman"/>
                <w:bCs/>
                <w:sz w:val="24"/>
                <w:szCs w:val="24"/>
              </w:rPr>
            </w:pPr>
            <w:r w:rsidRPr="00815AA9">
              <w:rPr>
                <w:rFonts w:ascii="Times New Roman" w:hAnsi="Times New Roman" w:cs="Times New Roman"/>
                <w:bCs/>
                <w:sz w:val="24"/>
                <w:szCs w:val="24"/>
              </w:rPr>
              <w:t>0.000</w:t>
            </w:r>
          </w:p>
        </w:tc>
        <w:tc>
          <w:tcPr>
            <w:tcW w:w="1056" w:type="dxa"/>
            <w:hideMark/>
          </w:tcPr>
          <w:p w14:paraId="08CDF591" w14:textId="77777777" w:rsidR="001211B8" w:rsidRPr="00815AA9" w:rsidRDefault="001211B8" w:rsidP="008948FE">
            <w:pPr>
              <w:spacing w:after="0" w:line="240" w:lineRule="auto"/>
              <w:jc w:val="both"/>
              <w:rPr>
                <w:rFonts w:ascii="Times New Roman" w:hAnsi="Times New Roman" w:cs="Times New Roman"/>
                <w:bCs/>
                <w:sz w:val="24"/>
                <w:szCs w:val="24"/>
              </w:rPr>
            </w:pPr>
            <w:r w:rsidRPr="00815AA9">
              <w:rPr>
                <w:rFonts w:ascii="Times New Roman" w:hAnsi="Times New Roman" w:cs="Times New Roman"/>
                <w:bCs/>
                <w:sz w:val="24"/>
                <w:szCs w:val="24"/>
              </w:rPr>
              <w:t>I(0)</w:t>
            </w:r>
          </w:p>
        </w:tc>
      </w:tr>
      <w:tr w:rsidR="001211B8" w:rsidRPr="00815AA9" w14:paraId="2A864832" w14:textId="77777777" w:rsidTr="00827420">
        <w:trPr>
          <w:trHeight w:val="300"/>
        </w:trPr>
        <w:tc>
          <w:tcPr>
            <w:tcW w:w="1181" w:type="dxa"/>
            <w:hideMark/>
          </w:tcPr>
          <w:p w14:paraId="563134D2" w14:textId="77777777" w:rsidR="001211B8" w:rsidRPr="00815AA9" w:rsidRDefault="001211B8" w:rsidP="008948FE">
            <w:pPr>
              <w:spacing w:after="0" w:line="240" w:lineRule="auto"/>
              <w:jc w:val="both"/>
              <w:rPr>
                <w:rFonts w:ascii="Times New Roman" w:hAnsi="Times New Roman" w:cs="Times New Roman"/>
                <w:bCs/>
                <w:sz w:val="24"/>
                <w:szCs w:val="24"/>
              </w:rPr>
            </w:pPr>
            <w:r w:rsidRPr="00815AA9">
              <w:rPr>
                <w:rFonts w:ascii="Times New Roman" w:hAnsi="Times New Roman" w:cs="Times New Roman"/>
                <w:bCs/>
                <w:sz w:val="24"/>
                <w:szCs w:val="24"/>
              </w:rPr>
              <w:t>COID</w:t>
            </w:r>
          </w:p>
        </w:tc>
        <w:tc>
          <w:tcPr>
            <w:tcW w:w="953" w:type="dxa"/>
            <w:hideMark/>
          </w:tcPr>
          <w:p w14:paraId="38C442B8" w14:textId="77777777" w:rsidR="001211B8" w:rsidRPr="00815AA9" w:rsidRDefault="001211B8" w:rsidP="008948FE">
            <w:pPr>
              <w:spacing w:after="0" w:line="240" w:lineRule="auto"/>
              <w:jc w:val="both"/>
              <w:rPr>
                <w:rFonts w:ascii="Times New Roman" w:hAnsi="Times New Roman" w:cs="Times New Roman"/>
                <w:bCs/>
                <w:sz w:val="24"/>
                <w:szCs w:val="24"/>
              </w:rPr>
            </w:pPr>
            <w:r w:rsidRPr="00815AA9">
              <w:rPr>
                <w:rFonts w:ascii="Times New Roman" w:hAnsi="Times New Roman" w:cs="Times New Roman"/>
                <w:bCs/>
                <w:sz w:val="24"/>
                <w:szCs w:val="24"/>
              </w:rPr>
              <w:t>0.000</w:t>
            </w:r>
          </w:p>
        </w:tc>
        <w:tc>
          <w:tcPr>
            <w:tcW w:w="1150" w:type="dxa"/>
            <w:hideMark/>
          </w:tcPr>
          <w:p w14:paraId="5C404BEF" w14:textId="77777777" w:rsidR="001211B8" w:rsidRPr="00815AA9" w:rsidRDefault="001211B8" w:rsidP="008948FE">
            <w:pPr>
              <w:spacing w:after="0" w:line="240" w:lineRule="auto"/>
              <w:jc w:val="both"/>
              <w:rPr>
                <w:rFonts w:ascii="Times New Roman" w:hAnsi="Times New Roman" w:cs="Times New Roman"/>
                <w:bCs/>
                <w:sz w:val="24"/>
                <w:szCs w:val="24"/>
              </w:rPr>
            </w:pPr>
            <w:r w:rsidRPr="00815AA9">
              <w:rPr>
                <w:rFonts w:ascii="Times New Roman" w:hAnsi="Times New Roman" w:cs="Times New Roman"/>
                <w:bCs/>
                <w:sz w:val="24"/>
                <w:szCs w:val="24"/>
              </w:rPr>
              <w:t>0.000</w:t>
            </w:r>
          </w:p>
        </w:tc>
        <w:tc>
          <w:tcPr>
            <w:tcW w:w="1150" w:type="dxa"/>
            <w:hideMark/>
          </w:tcPr>
          <w:p w14:paraId="29ADE76B" w14:textId="77777777" w:rsidR="001211B8" w:rsidRPr="00815AA9" w:rsidRDefault="001211B8" w:rsidP="008948FE">
            <w:pPr>
              <w:spacing w:after="0" w:line="240" w:lineRule="auto"/>
              <w:jc w:val="both"/>
              <w:rPr>
                <w:rFonts w:ascii="Times New Roman" w:hAnsi="Times New Roman" w:cs="Times New Roman"/>
                <w:bCs/>
                <w:sz w:val="24"/>
                <w:szCs w:val="24"/>
              </w:rPr>
            </w:pPr>
            <w:r w:rsidRPr="00815AA9">
              <w:rPr>
                <w:rFonts w:ascii="Times New Roman" w:hAnsi="Times New Roman" w:cs="Times New Roman"/>
                <w:bCs/>
                <w:sz w:val="24"/>
                <w:szCs w:val="24"/>
              </w:rPr>
              <w:t>0.000</w:t>
            </w:r>
          </w:p>
        </w:tc>
        <w:tc>
          <w:tcPr>
            <w:tcW w:w="1278" w:type="dxa"/>
            <w:hideMark/>
          </w:tcPr>
          <w:p w14:paraId="0F93B450" w14:textId="77777777" w:rsidR="001211B8" w:rsidRPr="00815AA9" w:rsidRDefault="001211B8" w:rsidP="008948FE">
            <w:pPr>
              <w:spacing w:after="0" w:line="240" w:lineRule="auto"/>
              <w:jc w:val="both"/>
              <w:rPr>
                <w:rFonts w:ascii="Times New Roman" w:hAnsi="Times New Roman" w:cs="Times New Roman"/>
                <w:bCs/>
                <w:sz w:val="24"/>
                <w:szCs w:val="24"/>
              </w:rPr>
            </w:pPr>
            <w:r w:rsidRPr="00815AA9">
              <w:rPr>
                <w:rFonts w:ascii="Times New Roman" w:hAnsi="Times New Roman" w:cs="Times New Roman"/>
                <w:bCs/>
                <w:sz w:val="24"/>
                <w:szCs w:val="24"/>
              </w:rPr>
              <w:t>0.000</w:t>
            </w:r>
          </w:p>
        </w:tc>
        <w:tc>
          <w:tcPr>
            <w:tcW w:w="1150" w:type="dxa"/>
            <w:hideMark/>
          </w:tcPr>
          <w:p w14:paraId="30791CA2" w14:textId="77777777" w:rsidR="001211B8" w:rsidRPr="00815AA9" w:rsidRDefault="001211B8" w:rsidP="008948FE">
            <w:pPr>
              <w:spacing w:after="0" w:line="240" w:lineRule="auto"/>
              <w:jc w:val="both"/>
              <w:rPr>
                <w:rFonts w:ascii="Times New Roman" w:hAnsi="Times New Roman" w:cs="Times New Roman"/>
                <w:bCs/>
                <w:sz w:val="24"/>
                <w:szCs w:val="24"/>
              </w:rPr>
            </w:pPr>
            <w:r w:rsidRPr="00815AA9">
              <w:rPr>
                <w:rFonts w:ascii="Times New Roman" w:hAnsi="Times New Roman" w:cs="Times New Roman"/>
                <w:bCs/>
                <w:sz w:val="24"/>
                <w:szCs w:val="24"/>
              </w:rPr>
              <w:t>0.000</w:t>
            </w:r>
          </w:p>
        </w:tc>
        <w:tc>
          <w:tcPr>
            <w:tcW w:w="1150" w:type="dxa"/>
            <w:hideMark/>
          </w:tcPr>
          <w:p w14:paraId="314C35D7" w14:textId="77777777" w:rsidR="001211B8" w:rsidRPr="00815AA9" w:rsidRDefault="001211B8" w:rsidP="008948FE">
            <w:pPr>
              <w:spacing w:after="0" w:line="240" w:lineRule="auto"/>
              <w:jc w:val="both"/>
              <w:rPr>
                <w:rFonts w:ascii="Times New Roman" w:hAnsi="Times New Roman" w:cs="Times New Roman"/>
                <w:bCs/>
                <w:sz w:val="24"/>
                <w:szCs w:val="24"/>
              </w:rPr>
            </w:pPr>
            <w:r w:rsidRPr="00815AA9">
              <w:rPr>
                <w:rFonts w:ascii="Times New Roman" w:hAnsi="Times New Roman" w:cs="Times New Roman"/>
                <w:bCs/>
                <w:sz w:val="24"/>
                <w:szCs w:val="24"/>
              </w:rPr>
              <w:t>0.000</w:t>
            </w:r>
          </w:p>
        </w:tc>
        <w:tc>
          <w:tcPr>
            <w:tcW w:w="1056" w:type="dxa"/>
            <w:hideMark/>
          </w:tcPr>
          <w:p w14:paraId="53BA3B6B" w14:textId="77777777" w:rsidR="001211B8" w:rsidRPr="00815AA9" w:rsidRDefault="001211B8" w:rsidP="008948FE">
            <w:pPr>
              <w:spacing w:after="0" w:line="240" w:lineRule="auto"/>
              <w:jc w:val="both"/>
              <w:rPr>
                <w:rFonts w:ascii="Times New Roman" w:hAnsi="Times New Roman" w:cs="Times New Roman"/>
                <w:bCs/>
                <w:sz w:val="24"/>
                <w:szCs w:val="24"/>
              </w:rPr>
            </w:pPr>
            <w:r w:rsidRPr="00815AA9">
              <w:rPr>
                <w:rFonts w:ascii="Times New Roman" w:hAnsi="Times New Roman" w:cs="Times New Roman"/>
                <w:bCs/>
                <w:sz w:val="24"/>
                <w:szCs w:val="24"/>
              </w:rPr>
              <w:t>I(0)</w:t>
            </w:r>
          </w:p>
        </w:tc>
      </w:tr>
      <w:tr w:rsidR="001211B8" w:rsidRPr="00815AA9" w14:paraId="2FA95A7A" w14:textId="77777777" w:rsidTr="00827420">
        <w:trPr>
          <w:trHeight w:val="300"/>
        </w:trPr>
        <w:tc>
          <w:tcPr>
            <w:tcW w:w="1181" w:type="dxa"/>
            <w:hideMark/>
          </w:tcPr>
          <w:p w14:paraId="7C8C7536" w14:textId="77777777" w:rsidR="001211B8" w:rsidRPr="00815AA9" w:rsidRDefault="001211B8" w:rsidP="008948FE">
            <w:pPr>
              <w:spacing w:after="0" w:line="240" w:lineRule="auto"/>
              <w:jc w:val="both"/>
              <w:rPr>
                <w:rFonts w:ascii="Times New Roman" w:hAnsi="Times New Roman" w:cs="Times New Roman"/>
                <w:bCs/>
                <w:sz w:val="24"/>
                <w:szCs w:val="24"/>
              </w:rPr>
            </w:pPr>
            <w:r w:rsidRPr="00815AA9">
              <w:rPr>
                <w:rFonts w:ascii="Times New Roman" w:hAnsi="Times New Roman" w:cs="Times New Roman"/>
                <w:bCs/>
                <w:sz w:val="24"/>
                <w:szCs w:val="24"/>
              </w:rPr>
              <w:t>TAXP</w:t>
            </w:r>
          </w:p>
        </w:tc>
        <w:tc>
          <w:tcPr>
            <w:tcW w:w="953" w:type="dxa"/>
            <w:hideMark/>
          </w:tcPr>
          <w:p w14:paraId="33798AA9" w14:textId="77777777" w:rsidR="001211B8" w:rsidRPr="00815AA9" w:rsidRDefault="001211B8" w:rsidP="008948FE">
            <w:pPr>
              <w:spacing w:after="0" w:line="240" w:lineRule="auto"/>
              <w:jc w:val="both"/>
              <w:rPr>
                <w:rFonts w:ascii="Times New Roman" w:hAnsi="Times New Roman" w:cs="Times New Roman"/>
                <w:bCs/>
                <w:sz w:val="24"/>
                <w:szCs w:val="24"/>
              </w:rPr>
            </w:pPr>
            <w:r w:rsidRPr="00815AA9">
              <w:rPr>
                <w:rFonts w:ascii="Times New Roman" w:hAnsi="Times New Roman" w:cs="Times New Roman"/>
                <w:bCs/>
                <w:sz w:val="24"/>
                <w:szCs w:val="24"/>
              </w:rPr>
              <w:t>0.000</w:t>
            </w:r>
          </w:p>
        </w:tc>
        <w:tc>
          <w:tcPr>
            <w:tcW w:w="1150" w:type="dxa"/>
            <w:hideMark/>
          </w:tcPr>
          <w:p w14:paraId="58C93A8D" w14:textId="77777777" w:rsidR="001211B8" w:rsidRPr="00815AA9" w:rsidRDefault="001211B8" w:rsidP="008948FE">
            <w:pPr>
              <w:spacing w:after="0" w:line="240" w:lineRule="auto"/>
              <w:jc w:val="both"/>
              <w:rPr>
                <w:rFonts w:ascii="Times New Roman" w:hAnsi="Times New Roman" w:cs="Times New Roman"/>
                <w:bCs/>
                <w:sz w:val="24"/>
                <w:szCs w:val="24"/>
              </w:rPr>
            </w:pPr>
            <w:r w:rsidRPr="00815AA9">
              <w:rPr>
                <w:rFonts w:ascii="Times New Roman" w:hAnsi="Times New Roman" w:cs="Times New Roman"/>
                <w:bCs/>
                <w:sz w:val="24"/>
                <w:szCs w:val="24"/>
              </w:rPr>
              <w:t>0.000</w:t>
            </w:r>
          </w:p>
        </w:tc>
        <w:tc>
          <w:tcPr>
            <w:tcW w:w="1150" w:type="dxa"/>
            <w:hideMark/>
          </w:tcPr>
          <w:p w14:paraId="3AD8262A" w14:textId="77777777" w:rsidR="001211B8" w:rsidRPr="00815AA9" w:rsidRDefault="001211B8" w:rsidP="008948FE">
            <w:pPr>
              <w:spacing w:after="0" w:line="240" w:lineRule="auto"/>
              <w:jc w:val="both"/>
              <w:rPr>
                <w:rFonts w:ascii="Times New Roman" w:hAnsi="Times New Roman" w:cs="Times New Roman"/>
                <w:bCs/>
                <w:sz w:val="24"/>
                <w:szCs w:val="24"/>
              </w:rPr>
            </w:pPr>
            <w:r w:rsidRPr="00815AA9">
              <w:rPr>
                <w:rFonts w:ascii="Times New Roman" w:hAnsi="Times New Roman" w:cs="Times New Roman"/>
                <w:bCs/>
                <w:sz w:val="24"/>
                <w:szCs w:val="24"/>
              </w:rPr>
              <w:t>0.000</w:t>
            </w:r>
          </w:p>
        </w:tc>
        <w:tc>
          <w:tcPr>
            <w:tcW w:w="1278" w:type="dxa"/>
            <w:hideMark/>
          </w:tcPr>
          <w:p w14:paraId="113CE52A" w14:textId="77777777" w:rsidR="001211B8" w:rsidRPr="00815AA9" w:rsidRDefault="001211B8" w:rsidP="008948FE">
            <w:pPr>
              <w:spacing w:after="0" w:line="240" w:lineRule="auto"/>
              <w:jc w:val="both"/>
              <w:rPr>
                <w:rFonts w:ascii="Times New Roman" w:hAnsi="Times New Roman" w:cs="Times New Roman"/>
                <w:bCs/>
                <w:sz w:val="24"/>
                <w:szCs w:val="24"/>
              </w:rPr>
            </w:pPr>
            <w:r w:rsidRPr="00815AA9">
              <w:rPr>
                <w:rFonts w:ascii="Times New Roman" w:hAnsi="Times New Roman" w:cs="Times New Roman"/>
                <w:bCs/>
                <w:sz w:val="24"/>
                <w:szCs w:val="24"/>
              </w:rPr>
              <w:t>0.000</w:t>
            </w:r>
          </w:p>
        </w:tc>
        <w:tc>
          <w:tcPr>
            <w:tcW w:w="1150" w:type="dxa"/>
            <w:hideMark/>
          </w:tcPr>
          <w:p w14:paraId="68302FCE" w14:textId="77777777" w:rsidR="001211B8" w:rsidRPr="00815AA9" w:rsidRDefault="001211B8" w:rsidP="008948FE">
            <w:pPr>
              <w:spacing w:after="0" w:line="240" w:lineRule="auto"/>
              <w:jc w:val="both"/>
              <w:rPr>
                <w:rFonts w:ascii="Times New Roman" w:hAnsi="Times New Roman" w:cs="Times New Roman"/>
                <w:bCs/>
                <w:sz w:val="24"/>
                <w:szCs w:val="24"/>
              </w:rPr>
            </w:pPr>
            <w:r w:rsidRPr="00815AA9">
              <w:rPr>
                <w:rFonts w:ascii="Times New Roman" w:hAnsi="Times New Roman" w:cs="Times New Roman"/>
                <w:bCs/>
                <w:sz w:val="24"/>
                <w:szCs w:val="24"/>
              </w:rPr>
              <w:t>0.000</w:t>
            </w:r>
          </w:p>
        </w:tc>
        <w:tc>
          <w:tcPr>
            <w:tcW w:w="1150" w:type="dxa"/>
            <w:hideMark/>
          </w:tcPr>
          <w:p w14:paraId="1BA6F0D8" w14:textId="77777777" w:rsidR="001211B8" w:rsidRPr="00815AA9" w:rsidRDefault="001211B8" w:rsidP="008948FE">
            <w:pPr>
              <w:spacing w:after="0" w:line="240" w:lineRule="auto"/>
              <w:jc w:val="both"/>
              <w:rPr>
                <w:rFonts w:ascii="Times New Roman" w:hAnsi="Times New Roman" w:cs="Times New Roman"/>
                <w:bCs/>
                <w:sz w:val="24"/>
                <w:szCs w:val="24"/>
              </w:rPr>
            </w:pPr>
            <w:r w:rsidRPr="00815AA9">
              <w:rPr>
                <w:rFonts w:ascii="Times New Roman" w:hAnsi="Times New Roman" w:cs="Times New Roman"/>
                <w:bCs/>
                <w:sz w:val="24"/>
                <w:szCs w:val="24"/>
              </w:rPr>
              <w:t>0.000</w:t>
            </w:r>
          </w:p>
        </w:tc>
        <w:tc>
          <w:tcPr>
            <w:tcW w:w="1056" w:type="dxa"/>
            <w:hideMark/>
          </w:tcPr>
          <w:p w14:paraId="6E723D5F" w14:textId="77777777" w:rsidR="001211B8" w:rsidRPr="00815AA9" w:rsidRDefault="001211B8" w:rsidP="008948FE">
            <w:pPr>
              <w:spacing w:after="0" w:line="240" w:lineRule="auto"/>
              <w:jc w:val="both"/>
              <w:rPr>
                <w:rFonts w:ascii="Times New Roman" w:hAnsi="Times New Roman" w:cs="Times New Roman"/>
                <w:bCs/>
                <w:sz w:val="24"/>
                <w:szCs w:val="24"/>
              </w:rPr>
            </w:pPr>
            <w:r w:rsidRPr="00815AA9">
              <w:rPr>
                <w:rFonts w:ascii="Times New Roman" w:hAnsi="Times New Roman" w:cs="Times New Roman"/>
                <w:bCs/>
                <w:sz w:val="24"/>
                <w:szCs w:val="24"/>
              </w:rPr>
              <w:t>I(0)</w:t>
            </w:r>
          </w:p>
        </w:tc>
      </w:tr>
      <w:tr w:rsidR="001211B8" w:rsidRPr="00815AA9" w14:paraId="04E9BD85" w14:textId="77777777" w:rsidTr="00827420">
        <w:trPr>
          <w:trHeight w:val="300"/>
        </w:trPr>
        <w:tc>
          <w:tcPr>
            <w:tcW w:w="1181" w:type="dxa"/>
            <w:hideMark/>
          </w:tcPr>
          <w:p w14:paraId="0F00C2A1" w14:textId="77777777" w:rsidR="001211B8" w:rsidRPr="00815AA9" w:rsidRDefault="001211B8" w:rsidP="008948FE">
            <w:pPr>
              <w:spacing w:after="0" w:line="240" w:lineRule="auto"/>
              <w:jc w:val="both"/>
              <w:rPr>
                <w:rFonts w:ascii="Times New Roman" w:hAnsi="Times New Roman" w:cs="Times New Roman"/>
                <w:bCs/>
                <w:sz w:val="24"/>
                <w:szCs w:val="24"/>
              </w:rPr>
            </w:pPr>
            <w:r w:rsidRPr="00815AA9">
              <w:rPr>
                <w:rFonts w:ascii="Times New Roman" w:hAnsi="Times New Roman" w:cs="Times New Roman"/>
                <w:bCs/>
                <w:sz w:val="24"/>
                <w:szCs w:val="24"/>
              </w:rPr>
              <w:t>TAGS</w:t>
            </w:r>
          </w:p>
        </w:tc>
        <w:tc>
          <w:tcPr>
            <w:tcW w:w="953" w:type="dxa"/>
            <w:hideMark/>
          </w:tcPr>
          <w:p w14:paraId="2B3758D5" w14:textId="77777777" w:rsidR="001211B8" w:rsidRPr="00815AA9" w:rsidRDefault="001211B8" w:rsidP="008948FE">
            <w:pPr>
              <w:spacing w:after="0" w:line="240" w:lineRule="auto"/>
              <w:jc w:val="both"/>
              <w:rPr>
                <w:rFonts w:ascii="Times New Roman" w:hAnsi="Times New Roman" w:cs="Times New Roman"/>
                <w:bCs/>
                <w:sz w:val="24"/>
                <w:szCs w:val="24"/>
              </w:rPr>
            </w:pPr>
            <w:r w:rsidRPr="00815AA9">
              <w:rPr>
                <w:rFonts w:ascii="Times New Roman" w:hAnsi="Times New Roman" w:cs="Times New Roman"/>
                <w:bCs/>
                <w:sz w:val="24"/>
                <w:szCs w:val="24"/>
              </w:rPr>
              <w:t>0.000</w:t>
            </w:r>
          </w:p>
        </w:tc>
        <w:tc>
          <w:tcPr>
            <w:tcW w:w="1150" w:type="dxa"/>
            <w:hideMark/>
          </w:tcPr>
          <w:p w14:paraId="05579BA7" w14:textId="77777777" w:rsidR="001211B8" w:rsidRPr="00815AA9" w:rsidRDefault="001211B8" w:rsidP="008948FE">
            <w:pPr>
              <w:spacing w:after="0" w:line="240" w:lineRule="auto"/>
              <w:jc w:val="both"/>
              <w:rPr>
                <w:rFonts w:ascii="Times New Roman" w:hAnsi="Times New Roman" w:cs="Times New Roman"/>
                <w:bCs/>
                <w:sz w:val="24"/>
                <w:szCs w:val="24"/>
              </w:rPr>
            </w:pPr>
            <w:r w:rsidRPr="00815AA9">
              <w:rPr>
                <w:rFonts w:ascii="Times New Roman" w:hAnsi="Times New Roman" w:cs="Times New Roman"/>
                <w:bCs/>
                <w:sz w:val="24"/>
                <w:szCs w:val="24"/>
              </w:rPr>
              <w:t>0.000</w:t>
            </w:r>
          </w:p>
        </w:tc>
        <w:tc>
          <w:tcPr>
            <w:tcW w:w="1150" w:type="dxa"/>
            <w:hideMark/>
          </w:tcPr>
          <w:p w14:paraId="0CFB18F5" w14:textId="77777777" w:rsidR="001211B8" w:rsidRPr="00815AA9" w:rsidRDefault="001211B8" w:rsidP="008948FE">
            <w:pPr>
              <w:spacing w:after="0" w:line="240" w:lineRule="auto"/>
              <w:jc w:val="both"/>
              <w:rPr>
                <w:rFonts w:ascii="Times New Roman" w:hAnsi="Times New Roman" w:cs="Times New Roman"/>
                <w:bCs/>
                <w:sz w:val="24"/>
                <w:szCs w:val="24"/>
              </w:rPr>
            </w:pPr>
            <w:r w:rsidRPr="00815AA9">
              <w:rPr>
                <w:rFonts w:ascii="Times New Roman" w:hAnsi="Times New Roman" w:cs="Times New Roman"/>
                <w:bCs/>
                <w:sz w:val="24"/>
                <w:szCs w:val="24"/>
              </w:rPr>
              <w:t>0.000</w:t>
            </w:r>
          </w:p>
        </w:tc>
        <w:tc>
          <w:tcPr>
            <w:tcW w:w="1278" w:type="dxa"/>
            <w:hideMark/>
          </w:tcPr>
          <w:p w14:paraId="17F926D4" w14:textId="77777777" w:rsidR="001211B8" w:rsidRPr="00815AA9" w:rsidRDefault="001211B8" w:rsidP="008948FE">
            <w:pPr>
              <w:spacing w:after="0" w:line="240" w:lineRule="auto"/>
              <w:jc w:val="both"/>
              <w:rPr>
                <w:rFonts w:ascii="Times New Roman" w:hAnsi="Times New Roman" w:cs="Times New Roman"/>
                <w:bCs/>
                <w:sz w:val="24"/>
                <w:szCs w:val="24"/>
              </w:rPr>
            </w:pPr>
            <w:r w:rsidRPr="00815AA9">
              <w:rPr>
                <w:rFonts w:ascii="Times New Roman" w:hAnsi="Times New Roman" w:cs="Times New Roman"/>
                <w:bCs/>
                <w:sz w:val="24"/>
                <w:szCs w:val="24"/>
              </w:rPr>
              <w:t>0.000</w:t>
            </w:r>
          </w:p>
        </w:tc>
        <w:tc>
          <w:tcPr>
            <w:tcW w:w="1150" w:type="dxa"/>
            <w:hideMark/>
          </w:tcPr>
          <w:p w14:paraId="4C5352DB" w14:textId="77777777" w:rsidR="001211B8" w:rsidRPr="00815AA9" w:rsidRDefault="001211B8" w:rsidP="008948FE">
            <w:pPr>
              <w:spacing w:after="0" w:line="240" w:lineRule="auto"/>
              <w:jc w:val="both"/>
              <w:rPr>
                <w:rFonts w:ascii="Times New Roman" w:hAnsi="Times New Roman" w:cs="Times New Roman"/>
                <w:bCs/>
                <w:sz w:val="24"/>
                <w:szCs w:val="24"/>
              </w:rPr>
            </w:pPr>
            <w:r w:rsidRPr="00815AA9">
              <w:rPr>
                <w:rFonts w:ascii="Times New Roman" w:hAnsi="Times New Roman" w:cs="Times New Roman"/>
                <w:bCs/>
                <w:sz w:val="24"/>
                <w:szCs w:val="24"/>
              </w:rPr>
              <w:t>0.000</w:t>
            </w:r>
          </w:p>
        </w:tc>
        <w:tc>
          <w:tcPr>
            <w:tcW w:w="1150" w:type="dxa"/>
            <w:hideMark/>
          </w:tcPr>
          <w:p w14:paraId="339E6C1C" w14:textId="77777777" w:rsidR="001211B8" w:rsidRPr="00815AA9" w:rsidRDefault="001211B8" w:rsidP="008948FE">
            <w:pPr>
              <w:spacing w:after="0" w:line="240" w:lineRule="auto"/>
              <w:jc w:val="both"/>
              <w:rPr>
                <w:rFonts w:ascii="Times New Roman" w:hAnsi="Times New Roman" w:cs="Times New Roman"/>
                <w:bCs/>
                <w:sz w:val="24"/>
                <w:szCs w:val="24"/>
              </w:rPr>
            </w:pPr>
            <w:r w:rsidRPr="00815AA9">
              <w:rPr>
                <w:rFonts w:ascii="Times New Roman" w:hAnsi="Times New Roman" w:cs="Times New Roman"/>
                <w:bCs/>
                <w:sz w:val="24"/>
                <w:szCs w:val="24"/>
              </w:rPr>
              <w:t>0.000</w:t>
            </w:r>
          </w:p>
        </w:tc>
        <w:tc>
          <w:tcPr>
            <w:tcW w:w="1056" w:type="dxa"/>
            <w:hideMark/>
          </w:tcPr>
          <w:p w14:paraId="5FA62BC3" w14:textId="77777777" w:rsidR="001211B8" w:rsidRPr="00815AA9" w:rsidRDefault="001211B8" w:rsidP="008948FE">
            <w:pPr>
              <w:spacing w:after="0" w:line="240" w:lineRule="auto"/>
              <w:jc w:val="both"/>
              <w:rPr>
                <w:rFonts w:ascii="Times New Roman" w:hAnsi="Times New Roman" w:cs="Times New Roman"/>
                <w:bCs/>
                <w:sz w:val="24"/>
                <w:szCs w:val="24"/>
              </w:rPr>
            </w:pPr>
            <w:r w:rsidRPr="00815AA9">
              <w:rPr>
                <w:rFonts w:ascii="Times New Roman" w:hAnsi="Times New Roman" w:cs="Times New Roman"/>
                <w:bCs/>
                <w:sz w:val="24"/>
                <w:szCs w:val="24"/>
              </w:rPr>
              <w:t>I(0)</w:t>
            </w:r>
          </w:p>
        </w:tc>
      </w:tr>
      <w:tr w:rsidR="001211B8" w:rsidRPr="00815AA9" w14:paraId="1A61597F" w14:textId="77777777" w:rsidTr="00827420">
        <w:trPr>
          <w:trHeight w:val="300"/>
        </w:trPr>
        <w:tc>
          <w:tcPr>
            <w:tcW w:w="1181" w:type="dxa"/>
            <w:hideMark/>
          </w:tcPr>
          <w:p w14:paraId="16185D74" w14:textId="77777777" w:rsidR="001211B8" w:rsidRPr="00815AA9" w:rsidRDefault="001211B8" w:rsidP="008948FE">
            <w:pPr>
              <w:spacing w:after="0" w:line="240" w:lineRule="auto"/>
              <w:jc w:val="both"/>
              <w:rPr>
                <w:rFonts w:ascii="Times New Roman" w:hAnsi="Times New Roman" w:cs="Times New Roman"/>
                <w:bCs/>
                <w:sz w:val="24"/>
                <w:szCs w:val="24"/>
              </w:rPr>
            </w:pPr>
            <w:r w:rsidRPr="00815AA9">
              <w:rPr>
                <w:rFonts w:ascii="Times New Roman" w:hAnsi="Times New Roman" w:cs="Times New Roman"/>
                <w:bCs/>
                <w:sz w:val="24"/>
                <w:szCs w:val="24"/>
              </w:rPr>
              <w:t>TIPC</w:t>
            </w:r>
          </w:p>
        </w:tc>
        <w:tc>
          <w:tcPr>
            <w:tcW w:w="953" w:type="dxa"/>
            <w:hideMark/>
          </w:tcPr>
          <w:p w14:paraId="3FC5DF37" w14:textId="77777777" w:rsidR="001211B8" w:rsidRPr="00815AA9" w:rsidRDefault="001211B8" w:rsidP="008948FE">
            <w:pPr>
              <w:spacing w:after="0" w:line="240" w:lineRule="auto"/>
              <w:jc w:val="both"/>
              <w:rPr>
                <w:rFonts w:ascii="Times New Roman" w:hAnsi="Times New Roman" w:cs="Times New Roman"/>
                <w:bCs/>
                <w:sz w:val="24"/>
                <w:szCs w:val="24"/>
              </w:rPr>
            </w:pPr>
            <w:r w:rsidRPr="00815AA9">
              <w:rPr>
                <w:rFonts w:ascii="Times New Roman" w:hAnsi="Times New Roman" w:cs="Times New Roman"/>
                <w:bCs/>
                <w:sz w:val="24"/>
                <w:szCs w:val="24"/>
              </w:rPr>
              <w:t>0.000</w:t>
            </w:r>
          </w:p>
        </w:tc>
        <w:tc>
          <w:tcPr>
            <w:tcW w:w="1150" w:type="dxa"/>
            <w:hideMark/>
          </w:tcPr>
          <w:p w14:paraId="2511240A" w14:textId="77777777" w:rsidR="001211B8" w:rsidRPr="00815AA9" w:rsidRDefault="001211B8" w:rsidP="008948FE">
            <w:pPr>
              <w:spacing w:after="0" w:line="240" w:lineRule="auto"/>
              <w:jc w:val="both"/>
              <w:rPr>
                <w:rFonts w:ascii="Times New Roman" w:hAnsi="Times New Roman" w:cs="Times New Roman"/>
                <w:bCs/>
                <w:sz w:val="24"/>
                <w:szCs w:val="24"/>
              </w:rPr>
            </w:pPr>
            <w:r w:rsidRPr="00815AA9">
              <w:rPr>
                <w:rFonts w:ascii="Times New Roman" w:hAnsi="Times New Roman" w:cs="Times New Roman"/>
                <w:bCs/>
                <w:sz w:val="24"/>
                <w:szCs w:val="24"/>
              </w:rPr>
              <w:t>0.000</w:t>
            </w:r>
          </w:p>
        </w:tc>
        <w:tc>
          <w:tcPr>
            <w:tcW w:w="1150" w:type="dxa"/>
            <w:hideMark/>
          </w:tcPr>
          <w:p w14:paraId="1DA04C0E" w14:textId="77777777" w:rsidR="001211B8" w:rsidRPr="00815AA9" w:rsidRDefault="001211B8" w:rsidP="008948FE">
            <w:pPr>
              <w:spacing w:after="0" w:line="240" w:lineRule="auto"/>
              <w:jc w:val="both"/>
              <w:rPr>
                <w:rFonts w:ascii="Times New Roman" w:hAnsi="Times New Roman" w:cs="Times New Roman"/>
                <w:bCs/>
                <w:sz w:val="24"/>
                <w:szCs w:val="24"/>
              </w:rPr>
            </w:pPr>
            <w:r w:rsidRPr="00815AA9">
              <w:rPr>
                <w:rFonts w:ascii="Times New Roman" w:hAnsi="Times New Roman" w:cs="Times New Roman"/>
                <w:bCs/>
                <w:sz w:val="24"/>
                <w:szCs w:val="24"/>
              </w:rPr>
              <w:t>0.000</w:t>
            </w:r>
          </w:p>
        </w:tc>
        <w:tc>
          <w:tcPr>
            <w:tcW w:w="1278" w:type="dxa"/>
            <w:hideMark/>
          </w:tcPr>
          <w:p w14:paraId="2992864F" w14:textId="77777777" w:rsidR="001211B8" w:rsidRPr="00815AA9" w:rsidRDefault="001211B8" w:rsidP="008948FE">
            <w:pPr>
              <w:spacing w:after="0" w:line="240" w:lineRule="auto"/>
              <w:jc w:val="both"/>
              <w:rPr>
                <w:rFonts w:ascii="Times New Roman" w:hAnsi="Times New Roman" w:cs="Times New Roman"/>
                <w:bCs/>
                <w:sz w:val="24"/>
                <w:szCs w:val="24"/>
              </w:rPr>
            </w:pPr>
            <w:r w:rsidRPr="00815AA9">
              <w:rPr>
                <w:rFonts w:ascii="Times New Roman" w:hAnsi="Times New Roman" w:cs="Times New Roman"/>
                <w:bCs/>
                <w:sz w:val="24"/>
                <w:szCs w:val="24"/>
              </w:rPr>
              <w:t>0.000</w:t>
            </w:r>
          </w:p>
        </w:tc>
        <w:tc>
          <w:tcPr>
            <w:tcW w:w="1150" w:type="dxa"/>
            <w:hideMark/>
          </w:tcPr>
          <w:p w14:paraId="75375AA4" w14:textId="77777777" w:rsidR="001211B8" w:rsidRPr="00815AA9" w:rsidRDefault="001211B8" w:rsidP="008948FE">
            <w:pPr>
              <w:spacing w:after="0" w:line="240" w:lineRule="auto"/>
              <w:jc w:val="both"/>
              <w:rPr>
                <w:rFonts w:ascii="Times New Roman" w:hAnsi="Times New Roman" w:cs="Times New Roman"/>
                <w:bCs/>
                <w:sz w:val="24"/>
                <w:szCs w:val="24"/>
              </w:rPr>
            </w:pPr>
            <w:r w:rsidRPr="00815AA9">
              <w:rPr>
                <w:rFonts w:ascii="Times New Roman" w:hAnsi="Times New Roman" w:cs="Times New Roman"/>
                <w:bCs/>
                <w:sz w:val="24"/>
                <w:szCs w:val="24"/>
              </w:rPr>
              <w:t>0.000</w:t>
            </w:r>
          </w:p>
        </w:tc>
        <w:tc>
          <w:tcPr>
            <w:tcW w:w="1150" w:type="dxa"/>
            <w:hideMark/>
          </w:tcPr>
          <w:p w14:paraId="679D2C87" w14:textId="77777777" w:rsidR="001211B8" w:rsidRPr="00815AA9" w:rsidRDefault="001211B8" w:rsidP="008948FE">
            <w:pPr>
              <w:spacing w:after="0" w:line="240" w:lineRule="auto"/>
              <w:jc w:val="both"/>
              <w:rPr>
                <w:rFonts w:ascii="Times New Roman" w:hAnsi="Times New Roman" w:cs="Times New Roman"/>
                <w:bCs/>
                <w:sz w:val="24"/>
                <w:szCs w:val="24"/>
              </w:rPr>
            </w:pPr>
            <w:r w:rsidRPr="00815AA9">
              <w:rPr>
                <w:rFonts w:ascii="Times New Roman" w:hAnsi="Times New Roman" w:cs="Times New Roman"/>
                <w:bCs/>
                <w:sz w:val="24"/>
                <w:szCs w:val="24"/>
              </w:rPr>
              <w:t>0.000</w:t>
            </w:r>
          </w:p>
        </w:tc>
        <w:tc>
          <w:tcPr>
            <w:tcW w:w="1056" w:type="dxa"/>
            <w:hideMark/>
          </w:tcPr>
          <w:p w14:paraId="13C22710" w14:textId="77777777" w:rsidR="001211B8" w:rsidRPr="00815AA9" w:rsidRDefault="001211B8" w:rsidP="008948FE">
            <w:pPr>
              <w:spacing w:after="0" w:line="240" w:lineRule="auto"/>
              <w:jc w:val="both"/>
              <w:rPr>
                <w:rFonts w:ascii="Times New Roman" w:hAnsi="Times New Roman" w:cs="Times New Roman"/>
                <w:bCs/>
                <w:sz w:val="24"/>
                <w:szCs w:val="24"/>
              </w:rPr>
            </w:pPr>
            <w:r w:rsidRPr="00815AA9">
              <w:rPr>
                <w:rFonts w:ascii="Times New Roman" w:hAnsi="Times New Roman" w:cs="Times New Roman"/>
                <w:bCs/>
                <w:sz w:val="24"/>
                <w:szCs w:val="24"/>
              </w:rPr>
              <w:t>I(0)</w:t>
            </w:r>
          </w:p>
        </w:tc>
      </w:tr>
      <w:tr w:rsidR="001211B8" w:rsidRPr="00815AA9" w14:paraId="3DC80A6E" w14:textId="77777777" w:rsidTr="00827420">
        <w:trPr>
          <w:trHeight w:val="300"/>
        </w:trPr>
        <w:tc>
          <w:tcPr>
            <w:tcW w:w="9068" w:type="dxa"/>
            <w:gridSpan w:val="8"/>
          </w:tcPr>
          <w:p w14:paraId="23B317F5" w14:textId="77777777" w:rsidR="001211B8" w:rsidRPr="00815AA9" w:rsidRDefault="001211B8" w:rsidP="008948FE">
            <w:pPr>
              <w:spacing w:after="0" w:line="240" w:lineRule="auto"/>
              <w:jc w:val="both"/>
              <w:rPr>
                <w:rFonts w:ascii="Times New Roman" w:hAnsi="Times New Roman" w:cs="Times New Roman"/>
                <w:bCs/>
                <w:sz w:val="24"/>
                <w:szCs w:val="24"/>
                <w:lang w:val="en-GB"/>
              </w:rPr>
            </w:pPr>
            <w:r w:rsidRPr="00815AA9">
              <w:rPr>
                <w:rFonts w:ascii="Times New Roman" w:hAnsi="Times New Roman" w:cs="Times New Roman"/>
                <w:bCs/>
                <w:sz w:val="24"/>
                <w:szCs w:val="24"/>
                <w:lang w:val="en-GB"/>
              </w:rPr>
              <w:t>Test of endogeneity (orthogonality conditions)</w:t>
            </w:r>
          </w:p>
          <w:p w14:paraId="28AADC09" w14:textId="77777777" w:rsidR="001211B8" w:rsidRPr="00815AA9" w:rsidRDefault="001211B8" w:rsidP="008948FE">
            <w:pPr>
              <w:spacing w:after="0" w:line="240" w:lineRule="auto"/>
              <w:jc w:val="both"/>
              <w:rPr>
                <w:rFonts w:ascii="Times New Roman" w:hAnsi="Times New Roman" w:cs="Times New Roman"/>
                <w:bCs/>
                <w:sz w:val="24"/>
                <w:szCs w:val="24"/>
                <w:lang w:val="en-GB"/>
              </w:rPr>
            </w:pPr>
            <w:r w:rsidRPr="00815AA9">
              <w:rPr>
                <w:rFonts w:ascii="Times New Roman" w:hAnsi="Times New Roman" w:cs="Times New Roman"/>
                <w:bCs/>
                <w:sz w:val="24"/>
                <w:szCs w:val="24"/>
                <w:lang w:val="en-GB"/>
              </w:rPr>
              <w:t xml:space="preserve">    GMM C statistic chi2(1) =  .031906  (p = 0.858)</w:t>
            </w:r>
          </w:p>
        </w:tc>
      </w:tr>
    </w:tbl>
    <w:bookmarkEnd w:id="7"/>
    <w:p w14:paraId="3E44EA8A" w14:textId="77777777" w:rsidR="001211B8" w:rsidRPr="00815AA9" w:rsidRDefault="001211B8" w:rsidP="008948FE">
      <w:pPr>
        <w:spacing w:after="0" w:line="240" w:lineRule="auto"/>
        <w:jc w:val="both"/>
        <w:rPr>
          <w:rFonts w:ascii="Times New Roman" w:hAnsi="Times New Roman" w:cs="Times New Roman"/>
          <w:b/>
          <w:sz w:val="24"/>
          <w:szCs w:val="24"/>
        </w:rPr>
      </w:pPr>
      <w:r w:rsidRPr="00815AA9">
        <w:rPr>
          <w:rFonts w:ascii="Times New Roman" w:hAnsi="Times New Roman" w:cs="Times New Roman"/>
          <w:b/>
          <w:sz w:val="24"/>
          <w:szCs w:val="24"/>
        </w:rPr>
        <w:t xml:space="preserve">Source: </w:t>
      </w:r>
      <w:r w:rsidR="008948FE" w:rsidRPr="00815AA9">
        <w:rPr>
          <w:rFonts w:ascii="Times New Roman" w:hAnsi="Times New Roman" w:cs="Times New Roman"/>
          <w:b/>
          <w:sz w:val="24"/>
          <w:szCs w:val="24"/>
        </w:rPr>
        <w:t>Researcher’s Computation (2026</w:t>
      </w:r>
      <w:r w:rsidRPr="00815AA9">
        <w:rPr>
          <w:rFonts w:ascii="Times New Roman" w:hAnsi="Times New Roman" w:cs="Times New Roman"/>
          <w:b/>
          <w:sz w:val="24"/>
          <w:szCs w:val="24"/>
        </w:rPr>
        <w:t>)</w:t>
      </w:r>
    </w:p>
    <w:p w14:paraId="74E67C08" w14:textId="77777777" w:rsidR="008948FE" w:rsidRPr="00815AA9" w:rsidRDefault="008948FE" w:rsidP="00171A84">
      <w:pPr>
        <w:spacing w:before="240" w:after="0" w:line="240" w:lineRule="auto"/>
        <w:jc w:val="both"/>
        <w:rPr>
          <w:rFonts w:ascii="Times New Roman" w:hAnsi="Times New Roman" w:cs="Times New Roman"/>
          <w:b/>
          <w:i/>
          <w:sz w:val="24"/>
          <w:szCs w:val="24"/>
          <w:lang w:val="en-GB"/>
        </w:rPr>
      </w:pPr>
      <w:r w:rsidRPr="00815AA9">
        <w:rPr>
          <w:rFonts w:ascii="Times New Roman" w:hAnsi="Times New Roman" w:cs="Times New Roman"/>
          <w:b/>
          <w:i/>
          <w:sz w:val="24"/>
          <w:szCs w:val="24"/>
          <w:lang w:val="en-GB"/>
        </w:rPr>
        <w:t xml:space="preserve">Interpretation of </w:t>
      </w:r>
      <w:r w:rsidRPr="00815AA9">
        <w:rPr>
          <w:rFonts w:ascii="Times New Roman" w:hAnsi="Times New Roman" w:cs="Times New Roman"/>
          <w:b/>
          <w:bCs/>
          <w:i/>
          <w:sz w:val="24"/>
          <w:szCs w:val="24"/>
        </w:rPr>
        <w:t xml:space="preserve">Stationary and </w:t>
      </w:r>
      <w:r w:rsidRPr="00815AA9">
        <w:rPr>
          <w:rFonts w:ascii="Times New Roman" w:hAnsi="Times New Roman" w:cs="Times New Roman"/>
          <w:b/>
          <w:bCs/>
          <w:i/>
          <w:sz w:val="24"/>
          <w:szCs w:val="24"/>
          <w:lang w:val="en-GB"/>
        </w:rPr>
        <w:t>Endogeneity</w:t>
      </w:r>
      <w:r w:rsidRPr="00815AA9">
        <w:rPr>
          <w:rFonts w:ascii="Times New Roman" w:hAnsi="Times New Roman" w:cs="Times New Roman"/>
          <w:b/>
          <w:bCs/>
          <w:i/>
          <w:sz w:val="24"/>
          <w:szCs w:val="24"/>
        </w:rPr>
        <w:t xml:space="preserve"> Tests</w:t>
      </w:r>
      <w:r w:rsidRPr="00815AA9">
        <w:rPr>
          <w:rFonts w:ascii="Times New Roman" w:hAnsi="Times New Roman" w:cs="Times New Roman"/>
          <w:b/>
          <w:i/>
          <w:sz w:val="24"/>
          <w:szCs w:val="24"/>
          <w:lang w:val="en-GB"/>
        </w:rPr>
        <w:t xml:space="preserve"> results</w:t>
      </w:r>
    </w:p>
    <w:p w14:paraId="49313F2F" w14:textId="77777777" w:rsidR="001211B8" w:rsidRPr="00815AA9" w:rsidRDefault="001211B8" w:rsidP="00171A84">
      <w:pPr>
        <w:spacing w:before="240" w:after="0" w:line="240" w:lineRule="auto"/>
        <w:jc w:val="both"/>
        <w:rPr>
          <w:rFonts w:ascii="Times New Roman" w:hAnsi="Times New Roman" w:cs="Times New Roman"/>
          <w:sz w:val="24"/>
          <w:szCs w:val="24"/>
          <w:lang w:val="en-GB"/>
        </w:rPr>
      </w:pPr>
      <w:r w:rsidRPr="00815AA9">
        <w:rPr>
          <w:rFonts w:ascii="Times New Roman" w:hAnsi="Times New Roman" w:cs="Times New Roman"/>
          <w:sz w:val="24"/>
          <w:szCs w:val="24"/>
          <w:lang w:val="en-GB"/>
        </w:rPr>
        <w:t>The Augmented Dickey-Fuller (ADF) unit root test was carried out to examine the stationarity properties of the variables employed in the study, namely DWEG, COID, TAXP, TAGS, and TIPC. The test was conducted at level I(0) and first difference I(1) under three model specifications none, constant, and constant with trend at a 5% level of significance. The null hypothesis of the ADF test states that a variable has a unit root (is non-stationary), while the alternative hypothesis indicates that the variable is stationary.</w:t>
      </w:r>
    </w:p>
    <w:p w14:paraId="0151C6B8" w14:textId="77777777" w:rsidR="001211B8" w:rsidRPr="00815AA9" w:rsidRDefault="001211B8" w:rsidP="00171A84">
      <w:pPr>
        <w:spacing w:before="240" w:after="0" w:line="240" w:lineRule="auto"/>
        <w:jc w:val="both"/>
        <w:rPr>
          <w:rFonts w:ascii="Times New Roman" w:hAnsi="Times New Roman" w:cs="Times New Roman"/>
          <w:sz w:val="24"/>
          <w:szCs w:val="24"/>
        </w:rPr>
      </w:pPr>
      <w:r w:rsidRPr="00815AA9">
        <w:rPr>
          <w:rFonts w:ascii="Times New Roman" w:hAnsi="Times New Roman" w:cs="Times New Roman"/>
          <w:sz w:val="24"/>
          <w:szCs w:val="24"/>
          <w:lang w:val="en-GB"/>
        </w:rPr>
        <w:t xml:space="preserve">The results reveal that all the variables are stationary at level I(0) across the model specifications, as their respective probability values are statistically significant at the 5% level. This implies that the series do not contain unit roots and are integrated of order zero, I(0). Consequently, the variables do not exhibit stochastic trends, indicating stability in their mean and variance over time. Therefore, the use of </w:t>
      </w:r>
      <w:r w:rsidRPr="00815AA9">
        <w:rPr>
          <w:rFonts w:ascii="Times New Roman" w:hAnsi="Times New Roman" w:cs="Times New Roman"/>
          <w:bCs/>
          <w:sz w:val="24"/>
          <w:szCs w:val="24"/>
          <w:lang w:val="en-GB"/>
        </w:rPr>
        <w:t>Ordinary Least Squares (OLS)</w:t>
      </w:r>
      <w:r w:rsidRPr="00815AA9">
        <w:rPr>
          <w:rFonts w:ascii="Times New Roman" w:hAnsi="Times New Roman" w:cs="Times New Roman"/>
          <w:sz w:val="24"/>
          <w:szCs w:val="24"/>
          <w:lang w:val="en-GB"/>
        </w:rPr>
        <w:t xml:space="preserve"> regression becomes appropriate for estimating the relationships among the variables, as the stationarity of the series satisfies one of the key assumptions for reliable OLS estimation</w:t>
      </w:r>
      <w:r w:rsidRPr="00815AA9">
        <w:rPr>
          <w:rFonts w:ascii="Times New Roman" w:hAnsi="Times New Roman" w:cs="Times New Roman"/>
          <w:sz w:val="24"/>
          <w:szCs w:val="24"/>
        </w:rPr>
        <w:t>.</w:t>
      </w:r>
    </w:p>
    <w:p w14:paraId="39412FC0" w14:textId="77777777" w:rsidR="001211B8" w:rsidRPr="00815AA9" w:rsidRDefault="001211B8" w:rsidP="00171A84">
      <w:pPr>
        <w:spacing w:before="240" w:after="0" w:line="240" w:lineRule="auto"/>
        <w:jc w:val="both"/>
        <w:rPr>
          <w:rFonts w:ascii="Times New Roman" w:hAnsi="Times New Roman" w:cs="Times New Roman"/>
          <w:sz w:val="24"/>
          <w:szCs w:val="24"/>
          <w:lang w:val="en-GB"/>
        </w:rPr>
      </w:pPr>
      <w:r w:rsidRPr="00815AA9">
        <w:rPr>
          <w:rFonts w:ascii="Times New Roman" w:hAnsi="Times New Roman" w:cs="Times New Roman"/>
          <w:sz w:val="24"/>
          <w:szCs w:val="24"/>
          <w:lang w:val="en-GB"/>
        </w:rPr>
        <w:t xml:space="preserve">The endogeneity test was conducted to determine the suitability of the estimation technique for the study, specifically, whether the </w:t>
      </w:r>
      <w:r w:rsidRPr="00815AA9">
        <w:rPr>
          <w:rFonts w:ascii="Times New Roman" w:hAnsi="Times New Roman" w:cs="Times New Roman"/>
          <w:bCs/>
          <w:sz w:val="24"/>
          <w:szCs w:val="24"/>
          <w:lang w:val="en-GB"/>
        </w:rPr>
        <w:t>System Generalized Method of Moments (SGMM)</w:t>
      </w:r>
      <w:r w:rsidRPr="00815AA9">
        <w:rPr>
          <w:rFonts w:ascii="Times New Roman" w:hAnsi="Times New Roman" w:cs="Times New Roman"/>
          <w:sz w:val="24"/>
          <w:szCs w:val="24"/>
          <w:lang w:val="en-GB"/>
        </w:rPr>
        <w:t xml:space="preserve"> or the </w:t>
      </w:r>
      <w:r w:rsidRPr="00815AA9">
        <w:rPr>
          <w:rFonts w:ascii="Times New Roman" w:hAnsi="Times New Roman" w:cs="Times New Roman"/>
          <w:bCs/>
          <w:sz w:val="24"/>
          <w:szCs w:val="24"/>
          <w:lang w:val="en-GB"/>
        </w:rPr>
        <w:t>Ordinary Least Squares (OLS)</w:t>
      </w:r>
      <w:r w:rsidRPr="00815AA9">
        <w:rPr>
          <w:rFonts w:ascii="Times New Roman" w:hAnsi="Times New Roman" w:cs="Times New Roman"/>
          <w:sz w:val="24"/>
          <w:szCs w:val="24"/>
          <w:lang w:val="en-GB"/>
        </w:rPr>
        <w:t xml:space="preserve"> regression model would provide more reliable results. In </w:t>
      </w:r>
      <w:r w:rsidRPr="00815AA9">
        <w:rPr>
          <w:rFonts w:ascii="Times New Roman" w:hAnsi="Times New Roman" w:cs="Times New Roman"/>
          <w:sz w:val="24"/>
          <w:szCs w:val="24"/>
          <w:lang w:val="en-GB"/>
        </w:rPr>
        <w:lastRenderedPageBreak/>
        <w:t xml:space="preserve">this study, the endogeneity test with a </w:t>
      </w:r>
      <w:r w:rsidRPr="00815AA9">
        <w:rPr>
          <w:rFonts w:ascii="Times New Roman" w:hAnsi="Times New Roman" w:cs="Times New Roman"/>
          <w:bCs/>
          <w:sz w:val="24"/>
          <w:szCs w:val="24"/>
          <w:lang w:val="en-GB"/>
        </w:rPr>
        <w:t>probability value of 0.858</w:t>
      </w:r>
      <w:r w:rsidRPr="00815AA9">
        <w:rPr>
          <w:rFonts w:ascii="Times New Roman" w:hAnsi="Times New Roman" w:cs="Times New Roman"/>
          <w:sz w:val="24"/>
          <w:szCs w:val="24"/>
          <w:lang w:val="en-GB"/>
        </w:rPr>
        <w:t xml:space="preserve">, which is greater than the 5% significance level, indicated that the </w:t>
      </w:r>
      <w:r w:rsidRPr="00815AA9">
        <w:rPr>
          <w:rFonts w:ascii="Times New Roman" w:hAnsi="Times New Roman" w:cs="Times New Roman"/>
          <w:bCs/>
          <w:sz w:val="24"/>
          <w:szCs w:val="24"/>
          <w:lang w:val="en-GB"/>
        </w:rPr>
        <w:t>null hypothesis</w:t>
      </w:r>
      <w:r w:rsidRPr="00815AA9">
        <w:rPr>
          <w:rFonts w:ascii="Times New Roman" w:hAnsi="Times New Roman" w:cs="Times New Roman"/>
          <w:sz w:val="24"/>
          <w:szCs w:val="24"/>
          <w:lang w:val="en-GB"/>
        </w:rPr>
        <w:t xml:space="preserve">, “the explanatory variables are exogenous”, </w:t>
      </w:r>
      <w:r w:rsidRPr="00815AA9">
        <w:rPr>
          <w:rFonts w:ascii="Times New Roman" w:hAnsi="Times New Roman" w:cs="Times New Roman"/>
          <w:bCs/>
          <w:sz w:val="24"/>
          <w:szCs w:val="24"/>
          <w:lang w:val="en-GB"/>
        </w:rPr>
        <w:t>could not be rejected.</w:t>
      </w:r>
      <w:r w:rsidRPr="00815AA9">
        <w:rPr>
          <w:rFonts w:ascii="Times New Roman" w:hAnsi="Times New Roman" w:cs="Times New Roman"/>
          <w:sz w:val="24"/>
          <w:szCs w:val="24"/>
          <w:lang w:val="en-GB"/>
        </w:rPr>
        <w:t xml:space="preserve"> In other words, there is no statistical evidence of endogeneity in the model. Consequently, this result validates the use of </w:t>
      </w:r>
      <w:r w:rsidRPr="00815AA9">
        <w:rPr>
          <w:rFonts w:ascii="Times New Roman" w:hAnsi="Times New Roman" w:cs="Times New Roman"/>
          <w:bCs/>
          <w:sz w:val="24"/>
          <w:szCs w:val="24"/>
          <w:lang w:val="en-GB"/>
        </w:rPr>
        <w:t>Ordinary Least Squares (OLS)</w:t>
      </w:r>
      <w:r w:rsidRPr="00815AA9">
        <w:rPr>
          <w:rFonts w:ascii="Times New Roman" w:hAnsi="Times New Roman" w:cs="Times New Roman"/>
          <w:sz w:val="24"/>
          <w:szCs w:val="24"/>
          <w:lang w:val="en-GB"/>
        </w:rPr>
        <w:t xml:space="preserve"> as the most appropriate estimation technique for the analysis. The absence of endogeneity ensures that the estimated relationships between variables are reliable, consistent, and can be confidently interpreted as reflecting true associations rather than biased effects caused by omitted variables or reverse causality.</w:t>
      </w:r>
    </w:p>
    <w:p w14:paraId="14D1A75B" w14:textId="77777777" w:rsidR="0022161C" w:rsidRPr="00815AA9" w:rsidRDefault="008948FE" w:rsidP="00171A84">
      <w:pPr>
        <w:spacing w:before="240" w:after="0" w:line="240" w:lineRule="auto"/>
        <w:jc w:val="both"/>
        <w:rPr>
          <w:rFonts w:ascii="Times New Roman" w:hAnsi="Times New Roman" w:cs="Times New Roman"/>
          <w:b/>
          <w:i/>
          <w:sz w:val="24"/>
          <w:szCs w:val="24"/>
        </w:rPr>
      </w:pPr>
      <w:r w:rsidRPr="00815AA9">
        <w:rPr>
          <w:rFonts w:ascii="Times New Roman" w:hAnsi="Times New Roman" w:cs="Times New Roman"/>
          <w:b/>
          <w:i/>
          <w:sz w:val="24"/>
          <w:szCs w:val="24"/>
        </w:rPr>
        <w:t>4.4</w:t>
      </w:r>
      <w:r w:rsidR="0022161C" w:rsidRPr="00815AA9">
        <w:rPr>
          <w:rFonts w:ascii="Times New Roman" w:hAnsi="Times New Roman" w:cs="Times New Roman"/>
          <w:b/>
          <w:i/>
          <w:sz w:val="24"/>
          <w:szCs w:val="24"/>
        </w:rPr>
        <w:tab/>
      </w:r>
      <w:bookmarkEnd w:id="0"/>
      <w:bookmarkEnd w:id="1"/>
      <w:r w:rsidR="001211B8" w:rsidRPr="00815AA9">
        <w:rPr>
          <w:rFonts w:ascii="Times New Roman" w:hAnsi="Times New Roman" w:cs="Times New Roman"/>
          <w:b/>
          <w:i/>
          <w:sz w:val="24"/>
          <w:szCs w:val="24"/>
        </w:rPr>
        <w:t>Regression Analysis Result</w:t>
      </w:r>
    </w:p>
    <w:p w14:paraId="4A0DFB64" w14:textId="77777777" w:rsidR="008948FE" w:rsidRPr="00815AA9" w:rsidRDefault="008948FE" w:rsidP="00171A84">
      <w:pPr>
        <w:spacing w:before="240" w:after="0" w:line="240" w:lineRule="auto"/>
        <w:jc w:val="both"/>
        <w:rPr>
          <w:rFonts w:ascii="Times New Roman" w:hAnsi="Times New Roman" w:cs="Times New Roman"/>
          <w:sz w:val="24"/>
          <w:szCs w:val="24"/>
        </w:rPr>
      </w:pPr>
      <w:r w:rsidRPr="00815AA9">
        <w:rPr>
          <w:rFonts w:ascii="Times New Roman" w:hAnsi="Times New Roman" w:cs="Times New Roman"/>
          <w:sz w:val="24"/>
          <w:szCs w:val="24"/>
        </w:rPr>
        <w:t xml:space="preserve">The test of hypothesis “Tax revenue has no significant effect on SDG 8 (decent work and economic growth)” was carried out using multiple linear regression analysis and the outcome of the analysis is presented </w:t>
      </w:r>
      <w:r w:rsidR="00171A84" w:rsidRPr="00815AA9">
        <w:rPr>
          <w:rFonts w:ascii="Times New Roman" w:hAnsi="Times New Roman" w:cs="Times New Roman"/>
          <w:sz w:val="24"/>
          <w:szCs w:val="24"/>
        </w:rPr>
        <w:t>in Table 4.</w:t>
      </w:r>
    </w:p>
    <w:p w14:paraId="1572010D" w14:textId="77777777" w:rsidR="008948FE" w:rsidRPr="00815AA9" w:rsidRDefault="008948FE" w:rsidP="00171A84">
      <w:pPr>
        <w:spacing w:before="240" w:after="0" w:line="240" w:lineRule="auto"/>
        <w:rPr>
          <w:rFonts w:ascii="Times New Roman" w:hAnsi="Times New Roman" w:cs="Times New Roman"/>
          <w:b/>
          <w:i/>
          <w:sz w:val="24"/>
          <w:szCs w:val="24"/>
        </w:rPr>
      </w:pPr>
      <w:bookmarkStart w:id="8" w:name="_Hlk187660510"/>
      <w:r w:rsidRPr="00815AA9">
        <w:rPr>
          <w:rFonts w:ascii="Times New Roman" w:hAnsi="Times New Roman" w:cs="Times New Roman"/>
          <w:b/>
          <w:i/>
          <w:sz w:val="24"/>
          <w:szCs w:val="24"/>
        </w:rPr>
        <w:t>Table 4</w:t>
      </w:r>
      <w:r w:rsidR="0022161C" w:rsidRPr="00815AA9">
        <w:rPr>
          <w:rFonts w:ascii="Times New Roman" w:hAnsi="Times New Roman" w:cs="Times New Roman"/>
          <w:b/>
          <w:i/>
          <w:sz w:val="24"/>
          <w:szCs w:val="24"/>
        </w:rPr>
        <w:t xml:space="preserve">: </w:t>
      </w:r>
    </w:p>
    <w:p w14:paraId="519EFB68" w14:textId="77777777" w:rsidR="0022161C" w:rsidRPr="00815AA9" w:rsidRDefault="0022161C" w:rsidP="00764836">
      <w:pPr>
        <w:spacing w:after="0" w:line="240" w:lineRule="auto"/>
        <w:rPr>
          <w:rFonts w:ascii="Times New Roman" w:hAnsi="Times New Roman" w:cs="Times New Roman"/>
          <w:b/>
          <w:i/>
          <w:sz w:val="24"/>
          <w:szCs w:val="24"/>
        </w:rPr>
      </w:pPr>
      <w:r w:rsidRPr="00815AA9">
        <w:rPr>
          <w:rFonts w:ascii="Times New Roman" w:hAnsi="Times New Roman" w:cs="Times New Roman"/>
          <w:b/>
          <w:i/>
          <w:sz w:val="24"/>
          <w:szCs w:val="24"/>
        </w:rPr>
        <w:t xml:space="preserve">Regression and Diagnostic Tests’ Results for Hypothesis </w:t>
      </w:r>
    </w:p>
    <w:tbl>
      <w:tblPr>
        <w:tblW w:w="8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0"/>
        <w:gridCol w:w="1336"/>
        <w:gridCol w:w="1251"/>
        <w:gridCol w:w="1276"/>
        <w:gridCol w:w="1451"/>
      </w:tblGrid>
      <w:tr w:rsidR="009E7A21" w:rsidRPr="00815AA9" w14:paraId="667CB249" w14:textId="77777777" w:rsidTr="00827420">
        <w:trPr>
          <w:trHeight w:hRule="exact" w:val="284"/>
        </w:trPr>
        <w:tc>
          <w:tcPr>
            <w:tcW w:w="8534" w:type="dxa"/>
            <w:gridSpan w:val="5"/>
            <w:noWrap/>
            <w:vAlign w:val="bottom"/>
          </w:tcPr>
          <w:p w14:paraId="5B1F9AA6" w14:textId="77777777" w:rsidR="0022161C" w:rsidRPr="00815AA9" w:rsidRDefault="0022161C" w:rsidP="00764836">
            <w:pPr>
              <w:spacing w:after="0" w:line="240" w:lineRule="auto"/>
              <w:rPr>
                <w:rFonts w:ascii="Times New Roman" w:hAnsi="Times New Roman" w:cs="Times New Roman"/>
                <w:sz w:val="24"/>
                <w:szCs w:val="24"/>
                <w:lang w:val="zh-CN" w:eastAsia="zh-CN"/>
                <w14:ligatures w14:val="none"/>
              </w:rPr>
            </w:pPr>
            <w:r w:rsidRPr="00815AA9">
              <w:rPr>
                <w:rFonts w:ascii="Times New Roman" w:hAnsi="Times New Roman" w:cs="Times New Roman"/>
                <w:sz w:val="24"/>
                <w:szCs w:val="24"/>
                <w:lang w:val="zh-CN" w:eastAsia="zh-CN"/>
                <w14:ligatures w14:val="none"/>
              </w:rPr>
              <w:t>Linear Regression with Panel-Corrected Standard Errors (PCSEs)</w:t>
            </w:r>
          </w:p>
        </w:tc>
      </w:tr>
      <w:tr w:rsidR="009E7A21" w:rsidRPr="00815AA9" w14:paraId="51BC7486" w14:textId="77777777" w:rsidTr="00827420">
        <w:trPr>
          <w:trHeight w:hRule="exact" w:val="284"/>
        </w:trPr>
        <w:tc>
          <w:tcPr>
            <w:tcW w:w="3220" w:type="dxa"/>
            <w:noWrap/>
            <w:vAlign w:val="center"/>
          </w:tcPr>
          <w:p w14:paraId="58D08E82" w14:textId="77777777" w:rsidR="0022161C" w:rsidRPr="00815AA9" w:rsidRDefault="0022161C" w:rsidP="00764836">
            <w:pPr>
              <w:spacing w:after="0" w:line="240" w:lineRule="auto"/>
              <w:jc w:val="center"/>
              <w:rPr>
                <w:rFonts w:ascii="Times New Roman" w:hAnsi="Times New Roman" w:cs="Times New Roman"/>
                <w:b/>
                <w:bCs/>
                <w:sz w:val="24"/>
                <w:szCs w:val="24"/>
                <w:lang w:val="zh-CN" w:eastAsia="zh-CN"/>
                <w14:ligatures w14:val="none"/>
              </w:rPr>
            </w:pPr>
            <w:r w:rsidRPr="00815AA9">
              <w:rPr>
                <w:rFonts w:ascii="Times New Roman" w:hAnsi="Times New Roman" w:cs="Times New Roman"/>
                <w:b/>
                <w:bCs/>
                <w:sz w:val="24"/>
                <w:szCs w:val="24"/>
                <w:lang w:val="zh-CN" w:eastAsia="zh-CN"/>
                <w14:ligatures w14:val="none"/>
              </w:rPr>
              <w:t>Variables</w:t>
            </w:r>
          </w:p>
        </w:tc>
        <w:tc>
          <w:tcPr>
            <w:tcW w:w="1336" w:type="dxa"/>
            <w:vAlign w:val="center"/>
          </w:tcPr>
          <w:p w14:paraId="53F7F1F5" w14:textId="77777777" w:rsidR="0022161C" w:rsidRPr="00815AA9" w:rsidRDefault="0022161C" w:rsidP="00764836">
            <w:pPr>
              <w:spacing w:after="0" w:line="240" w:lineRule="auto"/>
              <w:jc w:val="center"/>
              <w:rPr>
                <w:rFonts w:ascii="Times New Roman" w:hAnsi="Times New Roman" w:cs="Times New Roman"/>
                <w:b/>
                <w:bCs/>
                <w:sz w:val="24"/>
                <w:szCs w:val="24"/>
                <w:lang w:val="zh-CN" w:eastAsia="zh-CN"/>
                <w14:ligatures w14:val="none"/>
              </w:rPr>
            </w:pPr>
            <w:r w:rsidRPr="00815AA9">
              <w:rPr>
                <w:rFonts w:ascii="Times New Roman" w:hAnsi="Times New Roman" w:cs="Times New Roman"/>
                <w:b/>
                <w:bCs/>
                <w:sz w:val="24"/>
                <w:szCs w:val="24"/>
                <w:lang w:val="zh-CN" w:eastAsia="zh-CN"/>
                <w14:ligatures w14:val="none"/>
              </w:rPr>
              <w:t>Coefficient</w:t>
            </w:r>
          </w:p>
        </w:tc>
        <w:tc>
          <w:tcPr>
            <w:tcW w:w="1251" w:type="dxa"/>
            <w:vAlign w:val="center"/>
          </w:tcPr>
          <w:p w14:paraId="6A0A30F3" w14:textId="77777777" w:rsidR="0022161C" w:rsidRPr="00815AA9" w:rsidRDefault="0022161C" w:rsidP="00764836">
            <w:pPr>
              <w:spacing w:after="0" w:line="240" w:lineRule="auto"/>
              <w:jc w:val="center"/>
              <w:rPr>
                <w:rFonts w:ascii="Times New Roman" w:hAnsi="Times New Roman" w:cs="Times New Roman"/>
                <w:b/>
                <w:bCs/>
                <w:sz w:val="24"/>
                <w:szCs w:val="24"/>
                <w:lang w:val="zh-CN" w:eastAsia="zh-CN"/>
                <w14:ligatures w14:val="none"/>
              </w:rPr>
            </w:pPr>
            <w:r w:rsidRPr="00815AA9">
              <w:rPr>
                <w:rFonts w:ascii="Times New Roman" w:hAnsi="Times New Roman" w:cs="Times New Roman"/>
                <w:b/>
                <w:bCs/>
                <w:sz w:val="24"/>
                <w:szCs w:val="24"/>
                <w:lang w:val="zh-CN" w:eastAsia="zh-CN"/>
                <w14:ligatures w14:val="none"/>
              </w:rPr>
              <w:t>Std. Err</w:t>
            </w:r>
          </w:p>
        </w:tc>
        <w:tc>
          <w:tcPr>
            <w:tcW w:w="1276" w:type="dxa"/>
            <w:vAlign w:val="center"/>
          </w:tcPr>
          <w:p w14:paraId="2404B82A" w14:textId="77777777" w:rsidR="0022161C" w:rsidRPr="00815AA9" w:rsidRDefault="0022161C" w:rsidP="00764836">
            <w:pPr>
              <w:spacing w:after="0" w:line="240" w:lineRule="auto"/>
              <w:jc w:val="center"/>
              <w:rPr>
                <w:rFonts w:ascii="Times New Roman" w:hAnsi="Times New Roman" w:cs="Times New Roman"/>
                <w:b/>
                <w:bCs/>
                <w:sz w:val="24"/>
                <w:szCs w:val="24"/>
                <w:lang w:val="zh-CN" w:eastAsia="zh-CN"/>
                <w14:ligatures w14:val="none"/>
              </w:rPr>
            </w:pPr>
            <w:r w:rsidRPr="00815AA9">
              <w:rPr>
                <w:rFonts w:ascii="Times New Roman" w:hAnsi="Times New Roman" w:cs="Times New Roman"/>
                <w:b/>
                <w:bCs/>
                <w:sz w:val="24"/>
                <w:szCs w:val="24"/>
                <w:lang w:val="zh-CN" w:eastAsia="zh-CN"/>
                <w14:ligatures w14:val="none"/>
              </w:rPr>
              <w:t>z</w:t>
            </w:r>
          </w:p>
        </w:tc>
        <w:tc>
          <w:tcPr>
            <w:tcW w:w="1451" w:type="dxa"/>
            <w:vAlign w:val="center"/>
          </w:tcPr>
          <w:p w14:paraId="6419ED96" w14:textId="77777777" w:rsidR="0022161C" w:rsidRPr="00815AA9" w:rsidRDefault="0022161C" w:rsidP="00764836">
            <w:pPr>
              <w:spacing w:after="0" w:line="240" w:lineRule="auto"/>
              <w:jc w:val="center"/>
              <w:rPr>
                <w:rFonts w:ascii="Times New Roman" w:hAnsi="Times New Roman" w:cs="Times New Roman"/>
                <w:b/>
                <w:bCs/>
                <w:sz w:val="24"/>
                <w:szCs w:val="24"/>
                <w:lang w:val="zh-CN" w:eastAsia="zh-CN"/>
                <w14:ligatures w14:val="none"/>
              </w:rPr>
            </w:pPr>
            <w:r w:rsidRPr="00815AA9">
              <w:rPr>
                <w:rFonts w:ascii="Times New Roman" w:hAnsi="Times New Roman" w:cs="Times New Roman"/>
                <w:b/>
                <w:bCs/>
                <w:sz w:val="24"/>
                <w:szCs w:val="24"/>
                <w:lang w:val="zh-CN" w:eastAsia="zh-CN"/>
                <w14:ligatures w14:val="none"/>
              </w:rPr>
              <w:t>P&gt;z</w:t>
            </w:r>
          </w:p>
        </w:tc>
      </w:tr>
      <w:tr w:rsidR="009E7A21" w:rsidRPr="00815AA9" w14:paraId="7102B451" w14:textId="77777777" w:rsidTr="00827420">
        <w:trPr>
          <w:trHeight w:hRule="exact" w:val="284"/>
        </w:trPr>
        <w:tc>
          <w:tcPr>
            <w:tcW w:w="3220" w:type="dxa"/>
            <w:noWrap/>
            <w:vAlign w:val="bottom"/>
          </w:tcPr>
          <w:p w14:paraId="45CF1B23" w14:textId="77777777" w:rsidR="0022161C" w:rsidRPr="00815AA9" w:rsidRDefault="0022161C" w:rsidP="00764836">
            <w:pPr>
              <w:spacing w:line="240" w:lineRule="auto"/>
              <w:rPr>
                <w:rFonts w:ascii="Times New Roman" w:hAnsi="Times New Roman" w:cs="Times New Roman"/>
                <w:sz w:val="24"/>
                <w:szCs w:val="24"/>
              </w:rPr>
            </w:pPr>
            <w:r w:rsidRPr="00815AA9">
              <w:rPr>
                <w:rFonts w:ascii="Times New Roman" w:hAnsi="Times New Roman" w:cs="Times New Roman"/>
                <w:sz w:val="24"/>
                <w:szCs w:val="24"/>
              </w:rPr>
              <w:t>DWEG(-1)</w:t>
            </w:r>
          </w:p>
        </w:tc>
        <w:tc>
          <w:tcPr>
            <w:tcW w:w="1336" w:type="dxa"/>
            <w:vAlign w:val="bottom"/>
          </w:tcPr>
          <w:p w14:paraId="3550DB1E" w14:textId="77777777" w:rsidR="0022161C" w:rsidRPr="00815AA9" w:rsidRDefault="0022161C" w:rsidP="00764836">
            <w:pPr>
              <w:spacing w:line="240" w:lineRule="auto"/>
              <w:jc w:val="right"/>
              <w:rPr>
                <w:rFonts w:ascii="Times New Roman" w:hAnsi="Times New Roman" w:cs="Times New Roman"/>
                <w:sz w:val="24"/>
                <w:szCs w:val="24"/>
              </w:rPr>
            </w:pPr>
            <w:r w:rsidRPr="00815AA9">
              <w:rPr>
                <w:rFonts w:ascii="Times New Roman" w:hAnsi="Times New Roman" w:cs="Times New Roman"/>
                <w:sz w:val="24"/>
                <w:szCs w:val="24"/>
              </w:rPr>
              <w:t>0.764</w:t>
            </w:r>
          </w:p>
        </w:tc>
        <w:tc>
          <w:tcPr>
            <w:tcW w:w="1251" w:type="dxa"/>
            <w:vAlign w:val="bottom"/>
          </w:tcPr>
          <w:p w14:paraId="79F2D9B9" w14:textId="77777777" w:rsidR="0022161C" w:rsidRPr="00815AA9" w:rsidRDefault="0022161C" w:rsidP="00764836">
            <w:pPr>
              <w:spacing w:line="240" w:lineRule="auto"/>
              <w:jc w:val="right"/>
              <w:rPr>
                <w:rFonts w:ascii="Times New Roman" w:hAnsi="Times New Roman" w:cs="Times New Roman"/>
                <w:sz w:val="24"/>
                <w:szCs w:val="24"/>
              </w:rPr>
            </w:pPr>
            <w:r w:rsidRPr="00815AA9">
              <w:rPr>
                <w:rFonts w:ascii="Times New Roman" w:hAnsi="Times New Roman" w:cs="Times New Roman"/>
                <w:sz w:val="24"/>
                <w:szCs w:val="24"/>
              </w:rPr>
              <w:t>0.099</w:t>
            </w:r>
          </w:p>
        </w:tc>
        <w:tc>
          <w:tcPr>
            <w:tcW w:w="1276" w:type="dxa"/>
            <w:vAlign w:val="bottom"/>
          </w:tcPr>
          <w:p w14:paraId="74978783" w14:textId="77777777" w:rsidR="0022161C" w:rsidRPr="00815AA9" w:rsidRDefault="0022161C" w:rsidP="00764836">
            <w:pPr>
              <w:spacing w:line="240" w:lineRule="auto"/>
              <w:jc w:val="right"/>
              <w:rPr>
                <w:rFonts w:ascii="Times New Roman" w:hAnsi="Times New Roman" w:cs="Times New Roman"/>
                <w:sz w:val="24"/>
                <w:szCs w:val="24"/>
              </w:rPr>
            </w:pPr>
            <w:r w:rsidRPr="00815AA9">
              <w:rPr>
                <w:rFonts w:ascii="Times New Roman" w:hAnsi="Times New Roman" w:cs="Times New Roman"/>
                <w:sz w:val="24"/>
                <w:szCs w:val="24"/>
              </w:rPr>
              <w:t>7.730</w:t>
            </w:r>
          </w:p>
        </w:tc>
        <w:tc>
          <w:tcPr>
            <w:tcW w:w="1451" w:type="dxa"/>
            <w:vAlign w:val="bottom"/>
          </w:tcPr>
          <w:p w14:paraId="7436AFC9" w14:textId="77777777" w:rsidR="0022161C" w:rsidRPr="00815AA9" w:rsidRDefault="0022161C" w:rsidP="00764836">
            <w:pPr>
              <w:spacing w:line="240" w:lineRule="auto"/>
              <w:jc w:val="right"/>
              <w:rPr>
                <w:rFonts w:ascii="Times New Roman" w:hAnsi="Times New Roman" w:cs="Times New Roman"/>
                <w:sz w:val="24"/>
                <w:szCs w:val="24"/>
              </w:rPr>
            </w:pPr>
            <w:r w:rsidRPr="00815AA9">
              <w:rPr>
                <w:rFonts w:ascii="Times New Roman" w:hAnsi="Times New Roman" w:cs="Times New Roman"/>
                <w:sz w:val="24"/>
                <w:szCs w:val="24"/>
              </w:rPr>
              <w:t>0.000*</w:t>
            </w:r>
          </w:p>
        </w:tc>
      </w:tr>
      <w:tr w:rsidR="009E7A21" w:rsidRPr="00815AA9" w14:paraId="2ECDF56B" w14:textId="77777777" w:rsidTr="00827420">
        <w:trPr>
          <w:trHeight w:hRule="exact" w:val="284"/>
        </w:trPr>
        <w:tc>
          <w:tcPr>
            <w:tcW w:w="3220" w:type="dxa"/>
            <w:noWrap/>
            <w:vAlign w:val="bottom"/>
          </w:tcPr>
          <w:p w14:paraId="0FCC82D6" w14:textId="77777777" w:rsidR="0022161C" w:rsidRPr="00815AA9" w:rsidRDefault="0022161C" w:rsidP="00764836">
            <w:pPr>
              <w:spacing w:line="240" w:lineRule="auto"/>
              <w:rPr>
                <w:rFonts w:ascii="Times New Roman" w:hAnsi="Times New Roman" w:cs="Times New Roman"/>
                <w:sz w:val="24"/>
                <w:szCs w:val="24"/>
              </w:rPr>
            </w:pPr>
            <w:r w:rsidRPr="00815AA9">
              <w:rPr>
                <w:rFonts w:ascii="Times New Roman" w:hAnsi="Times New Roman" w:cs="Times New Roman"/>
                <w:sz w:val="24"/>
                <w:szCs w:val="24"/>
              </w:rPr>
              <w:t>LCOID</w:t>
            </w:r>
          </w:p>
        </w:tc>
        <w:tc>
          <w:tcPr>
            <w:tcW w:w="1336" w:type="dxa"/>
            <w:vAlign w:val="bottom"/>
          </w:tcPr>
          <w:p w14:paraId="33C40583" w14:textId="77777777" w:rsidR="0022161C" w:rsidRPr="00815AA9" w:rsidRDefault="0022161C" w:rsidP="00764836">
            <w:pPr>
              <w:spacing w:line="240" w:lineRule="auto"/>
              <w:jc w:val="right"/>
              <w:rPr>
                <w:rFonts w:ascii="Times New Roman" w:hAnsi="Times New Roman" w:cs="Times New Roman"/>
                <w:sz w:val="24"/>
                <w:szCs w:val="24"/>
              </w:rPr>
            </w:pPr>
            <w:r w:rsidRPr="00815AA9">
              <w:rPr>
                <w:rFonts w:ascii="Times New Roman" w:hAnsi="Times New Roman" w:cs="Times New Roman"/>
                <w:sz w:val="24"/>
                <w:szCs w:val="24"/>
              </w:rPr>
              <w:t>-0.279</w:t>
            </w:r>
          </w:p>
        </w:tc>
        <w:tc>
          <w:tcPr>
            <w:tcW w:w="1251" w:type="dxa"/>
            <w:vAlign w:val="bottom"/>
          </w:tcPr>
          <w:p w14:paraId="02144E28" w14:textId="77777777" w:rsidR="0022161C" w:rsidRPr="00815AA9" w:rsidRDefault="0022161C" w:rsidP="00764836">
            <w:pPr>
              <w:spacing w:line="240" w:lineRule="auto"/>
              <w:jc w:val="right"/>
              <w:rPr>
                <w:rFonts w:ascii="Times New Roman" w:hAnsi="Times New Roman" w:cs="Times New Roman"/>
                <w:sz w:val="24"/>
                <w:szCs w:val="24"/>
              </w:rPr>
            </w:pPr>
            <w:r w:rsidRPr="00815AA9">
              <w:rPr>
                <w:rFonts w:ascii="Times New Roman" w:hAnsi="Times New Roman" w:cs="Times New Roman"/>
                <w:sz w:val="24"/>
                <w:szCs w:val="24"/>
              </w:rPr>
              <w:t>0.066</w:t>
            </w:r>
          </w:p>
        </w:tc>
        <w:tc>
          <w:tcPr>
            <w:tcW w:w="1276" w:type="dxa"/>
            <w:vAlign w:val="bottom"/>
          </w:tcPr>
          <w:p w14:paraId="600706A8" w14:textId="77777777" w:rsidR="0022161C" w:rsidRPr="00815AA9" w:rsidRDefault="0022161C" w:rsidP="00764836">
            <w:pPr>
              <w:spacing w:line="240" w:lineRule="auto"/>
              <w:jc w:val="right"/>
              <w:rPr>
                <w:rFonts w:ascii="Times New Roman" w:hAnsi="Times New Roman" w:cs="Times New Roman"/>
                <w:sz w:val="24"/>
                <w:szCs w:val="24"/>
              </w:rPr>
            </w:pPr>
            <w:r w:rsidRPr="00815AA9">
              <w:rPr>
                <w:rFonts w:ascii="Times New Roman" w:hAnsi="Times New Roman" w:cs="Times New Roman"/>
                <w:sz w:val="24"/>
                <w:szCs w:val="24"/>
              </w:rPr>
              <w:t>-4.210</w:t>
            </w:r>
          </w:p>
        </w:tc>
        <w:tc>
          <w:tcPr>
            <w:tcW w:w="1451" w:type="dxa"/>
            <w:vAlign w:val="bottom"/>
          </w:tcPr>
          <w:p w14:paraId="089748BB" w14:textId="77777777" w:rsidR="0022161C" w:rsidRPr="00815AA9" w:rsidRDefault="0022161C" w:rsidP="00764836">
            <w:pPr>
              <w:spacing w:line="240" w:lineRule="auto"/>
              <w:jc w:val="right"/>
              <w:rPr>
                <w:rFonts w:ascii="Times New Roman" w:hAnsi="Times New Roman" w:cs="Times New Roman"/>
                <w:sz w:val="24"/>
                <w:szCs w:val="24"/>
              </w:rPr>
            </w:pPr>
            <w:r w:rsidRPr="00815AA9">
              <w:rPr>
                <w:rFonts w:ascii="Times New Roman" w:hAnsi="Times New Roman" w:cs="Times New Roman"/>
                <w:sz w:val="24"/>
                <w:szCs w:val="24"/>
              </w:rPr>
              <w:t>0.001*</w:t>
            </w:r>
          </w:p>
        </w:tc>
      </w:tr>
      <w:tr w:rsidR="009E7A21" w:rsidRPr="00815AA9" w14:paraId="2B44C4BE" w14:textId="77777777" w:rsidTr="00827420">
        <w:trPr>
          <w:trHeight w:hRule="exact" w:val="284"/>
        </w:trPr>
        <w:tc>
          <w:tcPr>
            <w:tcW w:w="3220" w:type="dxa"/>
            <w:noWrap/>
            <w:vAlign w:val="bottom"/>
          </w:tcPr>
          <w:p w14:paraId="2E4CC84A" w14:textId="77777777" w:rsidR="0022161C" w:rsidRPr="00815AA9" w:rsidRDefault="0022161C" w:rsidP="00764836">
            <w:pPr>
              <w:spacing w:line="240" w:lineRule="auto"/>
              <w:rPr>
                <w:rFonts w:ascii="Times New Roman" w:hAnsi="Times New Roman" w:cs="Times New Roman"/>
                <w:sz w:val="24"/>
                <w:szCs w:val="24"/>
              </w:rPr>
            </w:pPr>
            <w:r w:rsidRPr="00815AA9">
              <w:rPr>
                <w:rFonts w:ascii="Times New Roman" w:hAnsi="Times New Roman" w:cs="Times New Roman"/>
                <w:sz w:val="24"/>
                <w:szCs w:val="24"/>
              </w:rPr>
              <w:t>LTAXP</w:t>
            </w:r>
          </w:p>
        </w:tc>
        <w:tc>
          <w:tcPr>
            <w:tcW w:w="1336" w:type="dxa"/>
            <w:vAlign w:val="bottom"/>
          </w:tcPr>
          <w:p w14:paraId="52AC7E1F" w14:textId="77777777" w:rsidR="0022161C" w:rsidRPr="00815AA9" w:rsidRDefault="0022161C" w:rsidP="00764836">
            <w:pPr>
              <w:spacing w:line="240" w:lineRule="auto"/>
              <w:jc w:val="right"/>
              <w:rPr>
                <w:rFonts w:ascii="Times New Roman" w:hAnsi="Times New Roman" w:cs="Times New Roman"/>
                <w:sz w:val="24"/>
                <w:szCs w:val="24"/>
              </w:rPr>
            </w:pPr>
            <w:r w:rsidRPr="00815AA9">
              <w:rPr>
                <w:rFonts w:ascii="Times New Roman" w:hAnsi="Times New Roman" w:cs="Times New Roman"/>
                <w:sz w:val="24"/>
                <w:szCs w:val="24"/>
              </w:rPr>
              <w:t>-0.007</w:t>
            </w:r>
          </w:p>
        </w:tc>
        <w:tc>
          <w:tcPr>
            <w:tcW w:w="1251" w:type="dxa"/>
            <w:vAlign w:val="bottom"/>
          </w:tcPr>
          <w:p w14:paraId="3E6F50CA" w14:textId="77777777" w:rsidR="0022161C" w:rsidRPr="00815AA9" w:rsidRDefault="0022161C" w:rsidP="00764836">
            <w:pPr>
              <w:spacing w:line="240" w:lineRule="auto"/>
              <w:jc w:val="right"/>
              <w:rPr>
                <w:rFonts w:ascii="Times New Roman" w:hAnsi="Times New Roman" w:cs="Times New Roman"/>
                <w:sz w:val="24"/>
                <w:szCs w:val="24"/>
              </w:rPr>
            </w:pPr>
            <w:r w:rsidRPr="00815AA9">
              <w:rPr>
                <w:rFonts w:ascii="Times New Roman" w:hAnsi="Times New Roman" w:cs="Times New Roman"/>
                <w:sz w:val="24"/>
                <w:szCs w:val="24"/>
              </w:rPr>
              <w:t>0.021</w:t>
            </w:r>
          </w:p>
        </w:tc>
        <w:tc>
          <w:tcPr>
            <w:tcW w:w="1276" w:type="dxa"/>
            <w:vAlign w:val="bottom"/>
          </w:tcPr>
          <w:p w14:paraId="4F7B33F1" w14:textId="77777777" w:rsidR="0022161C" w:rsidRPr="00815AA9" w:rsidRDefault="0022161C" w:rsidP="00764836">
            <w:pPr>
              <w:spacing w:line="240" w:lineRule="auto"/>
              <w:jc w:val="right"/>
              <w:rPr>
                <w:rFonts w:ascii="Times New Roman" w:hAnsi="Times New Roman" w:cs="Times New Roman"/>
                <w:sz w:val="24"/>
                <w:szCs w:val="24"/>
              </w:rPr>
            </w:pPr>
            <w:r w:rsidRPr="00815AA9">
              <w:rPr>
                <w:rFonts w:ascii="Times New Roman" w:hAnsi="Times New Roman" w:cs="Times New Roman"/>
                <w:sz w:val="24"/>
                <w:szCs w:val="24"/>
              </w:rPr>
              <w:t>-0.350</w:t>
            </w:r>
          </w:p>
        </w:tc>
        <w:tc>
          <w:tcPr>
            <w:tcW w:w="1451" w:type="dxa"/>
            <w:vAlign w:val="bottom"/>
          </w:tcPr>
          <w:p w14:paraId="4484873B" w14:textId="77777777" w:rsidR="0022161C" w:rsidRPr="00815AA9" w:rsidRDefault="0022161C" w:rsidP="00764836">
            <w:pPr>
              <w:spacing w:line="240" w:lineRule="auto"/>
              <w:jc w:val="right"/>
              <w:rPr>
                <w:rFonts w:ascii="Times New Roman" w:hAnsi="Times New Roman" w:cs="Times New Roman"/>
                <w:sz w:val="24"/>
                <w:szCs w:val="24"/>
              </w:rPr>
            </w:pPr>
            <w:r w:rsidRPr="00815AA9">
              <w:rPr>
                <w:rFonts w:ascii="Times New Roman" w:hAnsi="Times New Roman" w:cs="Times New Roman"/>
                <w:sz w:val="24"/>
                <w:szCs w:val="24"/>
              </w:rPr>
              <w:t>0.730</w:t>
            </w:r>
          </w:p>
        </w:tc>
      </w:tr>
      <w:tr w:rsidR="009E7A21" w:rsidRPr="00815AA9" w14:paraId="2B091C89" w14:textId="77777777" w:rsidTr="00827420">
        <w:trPr>
          <w:trHeight w:hRule="exact" w:val="284"/>
        </w:trPr>
        <w:tc>
          <w:tcPr>
            <w:tcW w:w="3220" w:type="dxa"/>
            <w:noWrap/>
            <w:vAlign w:val="bottom"/>
          </w:tcPr>
          <w:p w14:paraId="083C6C7E" w14:textId="77777777" w:rsidR="0022161C" w:rsidRPr="00815AA9" w:rsidRDefault="0022161C" w:rsidP="00764836">
            <w:pPr>
              <w:spacing w:line="240" w:lineRule="auto"/>
              <w:rPr>
                <w:rFonts w:ascii="Times New Roman" w:hAnsi="Times New Roman" w:cs="Times New Roman"/>
                <w:sz w:val="24"/>
                <w:szCs w:val="24"/>
              </w:rPr>
            </w:pPr>
            <w:r w:rsidRPr="00815AA9">
              <w:rPr>
                <w:rFonts w:ascii="Times New Roman" w:hAnsi="Times New Roman" w:cs="Times New Roman"/>
                <w:sz w:val="24"/>
                <w:szCs w:val="24"/>
              </w:rPr>
              <w:t>LTAGS</w:t>
            </w:r>
          </w:p>
        </w:tc>
        <w:tc>
          <w:tcPr>
            <w:tcW w:w="1336" w:type="dxa"/>
            <w:vAlign w:val="bottom"/>
          </w:tcPr>
          <w:p w14:paraId="111ACB7C" w14:textId="77777777" w:rsidR="0022161C" w:rsidRPr="00815AA9" w:rsidRDefault="0022161C" w:rsidP="00764836">
            <w:pPr>
              <w:spacing w:line="240" w:lineRule="auto"/>
              <w:jc w:val="right"/>
              <w:rPr>
                <w:rFonts w:ascii="Times New Roman" w:hAnsi="Times New Roman" w:cs="Times New Roman"/>
                <w:sz w:val="24"/>
                <w:szCs w:val="24"/>
              </w:rPr>
            </w:pPr>
            <w:r w:rsidRPr="00815AA9">
              <w:rPr>
                <w:rFonts w:ascii="Times New Roman" w:hAnsi="Times New Roman" w:cs="Times New Roman"/>
                <w:sz w:val="24"/>
                <w:szCs w:val="24"/>
              </w:rPr>
              <w:t>0.388</w:t>
            </w:r>
          </w:p>
        </w:tc>
        <w:tc>
          <w:tcPr>
            <w:tcW w:w="1251" w:type="dxa"/>
            <w:vAlign w:val="bottom"/>
          </w:tcPr>
          <w:p w14:paraId="4BFCFFE1" w14:textId="77777777" w:rsidR="0022161C" w:rsidRPr="00815AA9" w:rsidRDefault="0022161C" w:rsidP="00764836">
            <w:pPr>
              <w:spacing w:line="240" w:lineRule="auto"/>
              <w:jc w:val="right"/>
              <w:rPr>
                <w:rFonts w:ascii="Times New Roman" w:hAnsi="Times New Roman" w:cs="Times New Roman"/>
                <w:sz w:val="24"/>
                <w:szCs w:val="24"/>
              </w:rPr>
            </w:pPr>
            <w:r w:rsidRPr="00815AA9">
              <w:rPr>
                <w:rFonts w:ascii="Times New Roman" w:hAnsi="Times New Roman" w:cs="Times New Roman"/>
                <w:sz w:val="24"/>
                <w:szCs w:val="24"/>
              </w:rPr>
              <w:t>0.086</w:t>
            </w:r>
          </w:p>
        </w:tc>
        <w:tc>
          <w:tcPr>
            <w:tcW w:w="1276" w:type="dxa"/>
            <w:vAlign w:val="bottom"/>
          </w:tcPr>
          <w:p w14:paraId="43F13E8B" w14:textId="77777777" w:rsidR="0022161C" w:rsidRPr="00815AA9" w:rsidRDefault="0022161C" w:rsidP="00764836">
            <w:pPr>
              <w:spacing w:line="240" w:lineRule="auto"/>
              <w:jc w:val="right"/>
              <w:rPr>
                <w:rFonts w:ascii="Times New Roman" w:hAnsi="Times New Roman" w:cs="Times New Roman"/>
                <w:sz w:val="24"/>
                <w:szCs w:val="24"/>
              </w:rPr>
            </w:pPr>
            <w:r w:rsidRPr="00815AA9">
              <w:rPr>
                <w:rFonts w:ascii="Times New Roman" w:hAnsi="Times New Roman" w:cs="Times New Roman"/>
                <w:sz w:val="24"/>
                <w:szCs w:val="24"/>
              </w:rPr>
              <w:t>4.500</w:t>
            </w:r>
          </w:p>
        </w:tc>
        <w:tc>
          <w:tcPr>
            <w:tcW w:w="1451" w:type="dxa"/>
            <w:vAlign w:val="bottom"/>
          </w:tcPr>
          <w:p w14:paraId="18F9323D" w14:textId="77777777" w:rsidR="0022161C" w:rsidRPr="00815AA9" w:rsidRDefault="0022161C" w:rsidP="00764836">
            <w:pPr>
              <w:spacing w:line="240" w:lineRule="auto"/>
              <w:jc w:val="right"/>
              <w:rPr>
                <w:rFonts w:ascii="Times New Roman" w:hAnsi="Times New Roman" w:cs="Times New Roman"/>
                <w:sz w:val="24"/>
                <w:szCs w:val="24"/>
              </w:rPr>
            </w:pPr>
            <w:r w:rsidRPr="00815AA9">
              <w:rPr>
                <w:rFonts w:ascii="Times New Roman" w:hAnsi="Times New Roman" w:cs="Times New Roman"/>
                <w:sz w:val="24"/>
                <w:szCs w:val="24"/>
              </w:rPr>
              <w:t>0.001*</w:t>
            </w:r>
          </w:p>
        </w:tc>
      </w:tr>
      <w:tr w:rsidR="009E7A21" w:rsidRPr="00815AA9" w14:paraId="08D118B1" w14:textId="77777777" w:rsidTr="00827420">
        <w:trPr>
          <w:trHeight w:hRule="exact" w:val="284"/>
        </w:trPr>
        <w:tc>
          <w:tcPr>
            <w:tcW w:w="3220" w:type="dxa"/>
            <w:noWrap/>
            <w:vAlign w:val="bottom"/>
          </w:tcPr>
          <w:p w14:paraId="17988D76" w14:textId="77777777" w:rsidR="0022161C" w:rsidRPr="00815AA9" w:rsidRDefault="0022161C" w:rsidP="00764836">
            <w:pPr>
              <w:spacing w:line="240" w:lineRule="auto"/>
              <w:rPr>
                <w:rFonts w:ascii="Times New Roman" w:hAnsi="Times New Roman" w:cs="Times New Roman"/>
                <w:sz w:val="24"/>
                <w:szCs w:val="24"/>
              </w:rPr>
            </w:pPr>
            <w:r w:rsidRPr="00815AA9">
              <w:rPr>
                <w:rFonts w:ascii="Times New Roman" w:hAnsi="Times New Roman" w:cs="Times New Roman"/>
                <w:sz w:val="24"/>
                <w:szCs w:val="24"/>
              </w:rPr>
              <w:t>LTIPC</w:t>
            </w:r>
          </w:p>
        </w:tc>
        <w:tc>
          <w:tcPr>
            <w:tcW w:w="1336" w:type="dxa"/>
            <w:vAlign w:val="bottom"/>
          </w:tcPr>
          <w:p w14:paraId="5277AB9A" w14:textId="77777777" w:rsidR="0022161C" w:rsidRPr="00815AA9" w:rsidRDefault="0022161C" w:rsidP="00764836">
            <w:pPr>
              <w:spacing w:line="240" w:lineRule="auto"/>
              <w:jc w:val="right"/>
              <w:rPr>
                <w:rFonts w:ascii="Times New Roman" w:hAnsi="Times New Roman" w:cs="Times New Roman"/>
                <w:sz w:val="24"/>
                <w:szCs w:val="24"/>
              </w:rPr>
            </w:pPr>
            <w:r w:rsidRPr="00815AA9">
              <w:rPr>
                <w:rFonts w:ascii="Times New Roman" w:hAnsi="Times New Roman" w:cs="Times New Roman"/>
                <w:sz w:val="24"/>
                <w:szCs w:val="24"/>
              </w:rPr>
              <w:t>-0.130</w:t>
            </w:r>
          </w:p>
        </w:tc>
        <w:tc>
          <w:tcPr>
            <w:tcW w:w="1251" w:type="dxa"/>
            <w:vAlign w:val="bottom"/>
          </w:tcPr>
          <w:p w14:paraId="53FF1493" w14:textId="77777777" w:rsidR="0022161C" w:rsidRPr="00815AA9" w:rsidRDefault="0022161C" w:rsidP="00764836">
            <w:pPr>
              <w:spacing w:line="240" w:lineRule="auto"/>
              <w:jc w:val="right"/>
              <w:rPr>
                <w:rFonts w:ascii="Times New Roman" w:hAnsi="Times New Roman" w:cs="Times New Roman"/>
                <w:sz w:val="24"/>
                <w:szCs w:val="24"/>
              </w:rPr>
            </w:pPr>
            <w:r w:rsidRPr="00815AA9">
              <w:rPr>
                <w:rFonts w:ascii="Times New Roman" w:hAnsi="Times New Roman" w:cs="Times New Roman"/>
                <w:sz w:val="24"/>
                <w:szCs w:val="24"/>
              </w:rPr>
              <w:t>0.087</w:t>
            </w:r>
          </w:p>
        </w:tc>
        <w:tc>
          <w:tcPr>
            <w:tcW w:w="1276" w:type="dxa"/>
            <w:vAlign w:val="bottom"/>
          </w:tcPr>
          <w:p w14:paraId="7BC53F3D" w14:textId="77777777" w:rsidR="0022161C" w:rsidRPr="00815AA9" w:rsidRDefault="0022161C" w:rsidP="00764836">
            <w:pPr>
              <w:spacing w:line="240" w:lineRule="auto"/>
              <w:jc w:val="right"/>
              <w:rPr>
                <w:rFonts w:ascii="Times New Roman" w:hAnsi="Times New Roman" w:cs="Times New Roman"/>
                <w:sz w:val="24"/>
                <w:szCs w:val="24"/>
              </w:rPr>
            </w:pPr>
            <w:r w:rsidRPr="00815AA9">
              <w:rPr>
                <w:rFonts w:ascii="Times New Roman" w:hAnsi="Times New Roman" w:cs="Times New Roman"/>
                <w:sz w:val="24"/>
                <w:szCs w:val="24"/>
              </w:rPr>
              <w:t>-1.490</w:t>
            </w:r>
          </w:p>
        </w:tc>
        <w:tc>
          <w:tcPr>
            <w:tcW w:w="1451" w:type="dxa"/>
            <w:vAlign w:val="bottom"/>
          </w:tcPr>
          <w:p w14:paraId="59180051" w14:textId="77777777" w:rsidR="0022161C" w:rsidRPr="00815AA9" w:rsidRDefault="0022161C" w:rsidP="00764836">
            <w:pPr>
              <w:spacing w:line="240" w:lineRule="auto"/>
              <w:jc w:val="right"/>
              <w:rPr>
                <w:rFonts w:ascii="Times New Roman" w:hAnsi="Times New Roman" w:cs="Times New Roman"/>
                <w:sz w:val="24"/>
                <w:szCs w:val="24"/>
              </w:rPr>
            </w:pPr>
            <w:r w:rsidRPr="00815AA9">
              <w:rPr>
                <w:rFonts w:ascii="Times New Roman" w:hAnsi="Times New Roman" w:cs="Times New Roman"/>
                <w:sz w:val="24"/>
                <w:szCs w:val="24"/>
              </w:rPr>
              <w:t>0.162</w:t>
            </w:r>
          </w:p>
        </w:tc>
      </w:tr>
      <w:tr w:rsidR="009E7A21" w:rsidRPr="00815AA9" w14:paraId="6E917011" w14:textId="77777777" w:rsidTr="00827420">
        <w:trPr>
          <w:trHeight w:hRule="exact" w:val="284"/>
        </w:trPr>
        <w:tc>
          <w:tcPr>
            <w:tcW w:w="3220" w:type="dxa"/>
            <w:noWrap/>
            <w:vAlign w:val="bottom"/>
          </w:tcPr>
          <w:p w14:paraId="58ACFC0A" w14:textId="77777777" w:rsidR="0022161C" w:rsidRPr="00815AA9" w:rsidRDefault="0022161C" w:rsidP="00764836">
            <w:pPr>
              <w:spacing w:line="240" w:lineRule="auto"/>
              <w:rPr>
                <w:rFonts w:ascii="Times New Roman" w:hAnsi="Times New Roman" w:cs="Times New Roman"/>
                <w:sz w:val="24"/>
                <w:szCs w:val="24"/>
              </w:rPr>
            </w:pPr>
            <w:r w:rsidRPr="00815AA9">
              <w:rPr>
                <w:rFonts w:ascii="Times New Roman" w:hAnsi="Times New Roman" w:cs="Times New Roman"/>
                <w:sz w:val="24"/>
                <w:szCs w:val="24"/>
              </w:rPr>
              <w:t>CONSTANT</w:t>
            </w:r>
          </w:p>
        </w:tc>
        <w:tc>
          <w:tcPr>
            <w:tcW w:w="1336" w:type="dxa"/>
            <w:vAlign w:val="bottom"/>
          </w:tcPr>
          <w:p w14:paraId="7F4DFF3E" w14:textId="77777777" w:rsidR="0022161C" w:rsidRPr="00815AA9" w:rsidRDefault="0022161C" w:rsidP="00764836">
            <w:pPr>
              <w:spacing w:line="240" w:lineRule="auto"/>
              <w:jc w:val="right"/>
              <w:rPr>
                <w:rFonts w:ascii="Times New Roman" w:hAnsi="Times New Roman" w:cs="Times New Roman"/>
                <w:sz w:val="24"/>
                <w:szCs w:val="24"/>
              </w:rPr>
            </w:pPr>
            <w:r w:rsidRPr="00815AA9">
              <w:rPr>
                <w:rFonts w:ascii="Times New Roman" w:hAnsi="Times New Roman" w:cs="Times New Roman"/>
                <w:sz w:val="24"/>
                <w:szCs w:val="24"/>
              </w:rPr>
              <w:t>15.573</w:t>
            </w:r>
          </w:p>
        </w:tc>
        <w:tc>
          <w:tcPr>
            <w:tcW w:w="1251" w:type="dxa"/>
            <w:vAlign w:val="bottom"/>
          </w:tcPr>
          <w:p w14:paraId="6E45F823" w14:textId="77777777" w:rsidR="0022161C" w:rsidRPr="00815AA9" w:rsidRDefault="0022161C" w:rsidP="00764836">
            <w:pPr>
              <w:spacing w:line="240" w:lineRule="auto"/>
              <w:jc w:val="right"/>
              <w:rPr>
                <w:rFonts w:ascii="Times New Roman" w:hAnsi="Times New Roman" w:cs="Times New Roman"/>
                <w:sz w:val="24"/>
                <w:szCs w:val="24"/>
              </w:rPr>
            </w:pPr>
            <w:r w:rsidRPr="00815AA9">
              <w:rPr>
                <w:rFonts w:ascii="Times New Roman" w:hAnsi="Times New Roman" w:cs="Times New Roman"/>
                <w:sz w:val="24"/>
                <w:szCs w:val="24"/>
              </w:rPr>
              <w:t>6.474</w:t>
            </w:r>
          </w:p>
        </w:tc>
        <w:tc>
          <w:tcPr>
            <w:tcW w:w="1276" w:type="dxa"/>
            <w:vAlign w:val="bottom"/>
          </w:tcPr>
          <w:p w14:paraId="0D4D586B" w14:textId="77777777" w:rsidR="0022161C" w:rsidRPr="00815AA9" w:rsidRDefault="0022161C" w:rsidP="00764836">
            <w:pPr>
              <w:spacing w:line="240" w:lineRule="auto"/>
              <w:jc w:val="right"/>
              <w:rPr>
                <w:rFonts w:ascii="Times New Roman" w:hAnsi="Times New Roman" w:cs="Times New Roman"/>
                <w:sz w:val="24"/>
                <w:szCs w:val="24"/>
              </w:rPr>
            </w:pPr>
            <w:r w:rsidRPr="00815AA9">
              <w:rPr>
                <w:rFonts w:ascii="Times New Roman" w:hAnsi="Times New Roman" w:cs="Times New Roman"/>
                <w:sz w:val="24"/>
                <w:szCs w:val="24"/>
              </w:rPr>
              <w:t>2.410</w:t>
            </w:r>
          </w:p>
        </w:tc>
        <w:tc>
          <w:tcPr>
            <w:tcW w:w="1451" w:type="dxa"/>
            <w:vAlign w:val="bottom"/>
          </w:tcPr>
          <w:p w14:paraId="6B45C487" w14:textId="77777777" w:rsidR="0022161C" w:rsidRPr="00815AA9" w:rsidRDefault="0022161C" w:rsidP="00764836">
            <w:pPr>
              <w:spacing w:line="240" w:lineRule="auto"/>
              <w:jc w:val="right"/>
              <w:rPr>
                <w:rFonts w:ascii="Times New Roman" w:hAnsi="Times New Roman" w:cs="Times New Roman"/>
                <w:sz w:val="24"/>
                <w:szCs w:val="24"/>
              </w:rPr>
            </w:pPr>
            <w:r w:rsidRPr="00815AA9">
              <w:rPr>
                <w:rFonts w:ascii="Times New Roman" w:hAnsi="Times New Roman" w:cs="Times New Roman"/>
                <w:sz w:val="24"/>
                <w:szCs w:val="24"/>
              </w:rPr>
              <w:t>0.033</w:t>
            </w:r>
          </w:p>
        </w:tc>
      </w:tr>
      <w:tr w:rsidR="009E7A21" w:rsidRPr="00815AA9" w14:paraId="7D33B4F3" w14:textId="77777777" w:rsidTr="00827420">
        <w:trPr>
          <w:trHeight w:hRule="exact" w:val="284"/>
        </w:trPr>
        <w:tc>
          <w:tcPr>
            <w:tcW w:w="8534" w:type="dxa"/>
            <w:gridSpan w:val="5"/>
            <w:noWrap/>
            <w:vAlign w:val="bottom"/>
          </w:tcPr>
          <w:p w14:paraId="5C853449" w14:textId="77777777" w:rsidR="0022161C" w:rsidRPr="00815AA9" w:rsidRDefault="0022161C" w:rsidP="00764836">
            <w:pPr>
              <w:spacing w:after="0" w:line="240" w:lineRule="auto"/>
              <w:rPr>
                <w:rFonts w:ascii="Times New Roman" w:hAnsi="Times New Roman" w:cs="Times New Roman"/>
                <w:sz w:val="24"/>
                <w:szCs w:val="24"/>
                <w:lang w:eastAsia="zh-CN"/>
                <w14:ligatures w14:val="none"/>
              </w:rPr>
            </w:pPr>
            <w:r w:rsidRPr="00815AA9">
              <w:rPr>
                <w:rFonts w:ascii="Times New Roman" w:hAnsi="Times New Roman" w:cs="Times New Roman"/>
                <w:sz w:val="24"/>
                <w:szCs w:val="24"/>
                <w:lang w:val="zh-CN" w:eastAsia="zh-CN"/>
                <w14:ligatures w14:val="none"/>
              </w:rPr>
              <w:t>Within R-squared</w:t>
            </w:r>
            <w:r w:rsidRPr="00815AA9">
              <w:rPr>
                <w:rFonts w:ascii="Times New Roman" w:hAnsi="Times New Roman" w:cs="Times New Roman"/>
                <w:sz w:val="24"/>
                <w:szCs w:val="24"/>
                <w:lang w:val="zh-CN" w:eastAsia="zh-CN"/>
                <w14:ligatures w14:val="none"/>
              </w:rPr>
              <w:tab/>
              <w:t>0.590</w:t>
            </w:r>
          </w:p>
        </w:tc>
      </w:tr>
      <w:tr w:rsidR="009E7A21" w:rsidRPr="00815AA9" w14:paraId="15FAC5A4" w14:textId="77777777" w:rsidTr="00827420">
        <w:trPr>
          <w:trHeight w:hRule="exact" w:val="284"/>
        </w:trPr>
        <w:tc>
          <w:tcPr>
            <w:tcW w:w="8534" w:type="dxa"/>
            <w:gridSpan w:val="5"/>
            <w:noWrap/>
            <w:vAlign w:val="bottom"/>
          </w:tcPr>
          <w:p w14:paraId="43B1C5B7" w14:textId="77777777" w:rsidR="0022161C" w:rsidRPr="00815AA9" w:rsidRDefault="0022161C" w:rsidP="00764836">
            <w:pPr>
              <w:spacing w:after="0" w:line="240" w:lineRule="auto"/>
              <w:rPr>
                <w:rFonts w:ascii="Times New Roman" w:hAnsi="Times New Roman" w:cs="Times New Roman"/>
                <w:sz w:val="24"/>
                <w:szCs w:val="24"/>
                <w:lang w:val="zh-CN" w:eastAsia="zh-CN"/>
                <w14:ligatures w14:val="none"/>
              </w:rPr>
            </w:pPr>
            <w:r w:rsidRPr="00815AA9">
              <w:rPr>
                <w:rFonts w:ascii="Times New Roman" w:hAnsi="Times New Roman" w:cs="Times New Roman"/>
                <w:bCs/>
                <w:sz w:val="24"/>
                <w:szCs w:val="24"/>
                <w:lang w:val="zh-CN" w:eastAsia="zh-CN"/>
                <w14:ligatures w14:val="none"/>
              </w:rPr>
              <w:t xml:space="preserve">F(5, </w:t>
            </w:r>
            <w:r w:rsidRPr="00815AA9">
              <w:rPr>
                <w:rFonts w:ascii="Times New Roman" w:hAnsi="Times New Roman" w:cs="Times New Roman"/>
                <w:bCs/>
                <w:sz w:val="24"/>
                <w:szCs w:val="24"/>
                <w:lang w:eastAsia="zh-CN"/>
                <w14:ligatures w14:val="none"/>
              </w:rPr>
              <w:t>569</w:t>
            </w:r>
            <w:r w:rsidRPr="00815AA9">
              <w:rPr>
                <w:rFonts w:ascii="Times New Roman" w:hAnsi="Times New Roman" w:cs="Times New Roman"/>
                <w:bCs/>
                <w:sz w:val="24"/>
                <w:szCs w:val="24"/>
                <w:lang w:val="zh-CN" w:eastAsia="zh-CN"/>
                <w14:ligatures w14:val="none"/>
              </w:rPr>
              <w:t>)</w:t>
            </w:r>
            <w:r w:rsidRPr="00815AA9">
              <w:rPr>
                <w:rFonts w:ascii="Times New Roman" w:hAnsi="Times New Roman" w:cs="Times New Roman"/>
                <w:bCs/>
                <w:sz w:val="24"/>
                <w:szCs w:val="24"/>
                <w:lang w:val="zh-CN" w:eastAsia="zh-CN"/>
                <w14:ligatures w14:val="none"/>
              </w:rPr>
              <w:tab/>
              <w:t>37.110</w:t>
            </w:r>
            <w:r w:rsidRPr="00815AA9">
              <w:rPr>
                <w:rFonts w:ascii="Times New Roman" w:hAnsi="Times New Roman" w:cs="Times New Roman"/>
                <w:sz w:val="24"/>
                <w:szCs w:val="24"/>
                <w:lang w:val="zh-CN" w:eastAsia="zh-CN"/>
                <w14:ligatures w14:val="none"/>
              </w:rPr>
              <w:t>, p = 0.0000</w:t>
            </w:r>
          </w:p>
        </w:tc>
      </w:tr>
      <w:tr w:rsidR="009E7A21" w:rsidRPr="00815AA9" w14:paraId="2BF53394" w14:textId="77777777" w:rsidTr="00827420">
        <w:trPr>
          <w:trHeight w:val="1697"/>
        </w:trPr>
        <w:tc>
          <w:tcPr>
            <w:tcW w:w="8534" w:type="dxa"/>
            <w:gridSpan w:val="5"/>
            <w:noWrap/>
            <w:vAlign w:val="bottom"/>
          </w:tcPr>
          <w:p w14:paraId="507CD4FB" w14:textId="77777777" w:rsidR="0022161C" w:rsidRPr="00815AA9" w:rsidRDefault="0022161C" w:rsidP="00764836">
            <w:pPr>
              <w:spacing w:after="0" w:line="240" w:lineRule="auto"/>
              <w:rPr>
                <w:rFonts w:ascii="Times New Roman" w:hAnsi="Times New Roman" w:cs="Times New Roman"/>
                <w:bCs/>
                <w:sz w:val="24"/>
                <w:szCs w:val="24"/>
                <w:lang w:eastAsia="zh-CN"/>
                <w14:ligatures w14:val="none"/>
              </w:rPr>
            </w:pPr>
            <w:r w:rsidRPr="00815AA9">
              <w:rPr>
                <w:rFonts w:ascii="Times New Roman" w:hAnsi="Times New Roman" w:cs="Times New Roman"/>
                <w:bCs/>
                <w:sz w:val="24"/>
                <w:szCs w:val="24"/>
                <w:lang w:val="zh-CN" w:eastAsia="zh-CN"/>
                <w14:ligatures w14:val="none"/>
              </w:rPr>
              <w:t>Diagnostic Tests</w:t>
            </w:r>
            <w:r w:rsidRPr="00815AA9">
              <w:rPr>
                <w:rFonts w:ascii="Times New Roman" w:hAnsi="Times New Roman" w:cs="Times New Roman"/>
                <w:bCs/>
                <w:sz w:val="24"/>
                <w:szCs w:val="24"/>
                <w:lang w:eastAsia="zh-CN"/>
                <w14:ligatures w14:val="none"/>
              </w:rPr>
              <w:t>:</w:t>
            </w:r>
          </w:p>
          <w:p w14:paraId="6003880F" w14:textId="77777777" w:rsidR="0022161C" w:rsidRPr="00815AA9" w:rsidRDefault="0022161C" w:rsidP="00764836">
            <w:pPr>
              <w:spacing w:after="0" w:line="240" w:lineRule="auto"/>
              <w:rPr>
                <w:rFonts w:ascii="Times New Roman" w:hAnsi="Times New Roman" w:cs="Times New Roman"/>
                <w:bCs/>
                <w:sz w:val="24"/>
                <w:szCs w:val="24"/>
                <w:lang w:val="zh-CN" w:eastAsia="zh-CN"/>
                <w14:ligatures w14:val="none"/>
              </w:rPr>
            </w:pPr>
            <w:r w:rsidRPr="00815AA9">
              <w:rPr>
                <w:rFonts w:ascii="Times New Roman" w:hAnsi="Times New Roman" w:cs="Times New Roman"/>
                <w:bCs/>
                <w:sz w:val="24"/>
                <w:szCs w:val="24"/>
                <w:lang w:val="zh-CN" w:eastAsia="zh-CN"/>
                <w14:ligatures w14:val="none"/>
              </w:rPr>
              <w:t>Hausman Test (FE vs RE)</w:t>
            </w:r>
            <w:r w:rsidRPr="00815AA9">
              <w:rPr>
                <w:rFonts w:ascii="Times New Roman" w:hAnsi="Times New Roman" w:cs="Times New Roman"/>
                <w:bCs/>
                <w:sz w:val="24"/>
                <w:szCs w:val="24"/>
                <w:lang w:val="zh-CN" w:eastAsia="zh-CN"/>
                <w14:ligatures w14:val="none"/>
              </w:rPr>
              <w:tab/>
            </w:r>
            <w:r w:rsidRPr="00815AA9">
              <w:rPr>
                <w:rFonts w:ascii="Times New Roman" w:hAnsi="Times New Roman" w:cs="Times New Roman"/>
                <w:sz w:val="24"/>
                <w:szCs w:val="24"/>
              </w:rPr>
              <w:t>chi</w:t>
            </w:r>
            <w:r w:rsidRPr="00815AA9">
              <w:rPr>
                <w:rFonts w:ascii="Times New Roman" w:hAnsi="Times New Roman" w:cs="Times New Roman"/>
                <w:bCs/>
                <w:sz w:val="24"/>
                <w:szCs w:val="24"/>
                <w:lang w:val="zh-CN" w:eastAsia="zh-CN"/>
                <w14:ligatures w14:val="none"/>
              </w:rPr>
              <w:t>²(4) = 18.62</w:t>
            </w:r>
            <w:r w:rsidRPr="00815AA9">
              <w:rPr>
                <w:rFonts w:ascii="Times New Roman" w:hAnsi="Times New Roman" w:cs="Times New Roman"/>
                <w:bCs/>
                <w:sz w:val="24"/>
                <w:szCs w:val="24"/>
                <w:lang w:val="zh-CN" w:eastAsia="zh-CN"/>
                <w14:ligatures w14:val="none"/>
              </w:rPr>
              <w:tab/>
            </w:r>
            <w:r w:rsidRPr="00815AA9">
              <w:rPr>
                <w:rFonts w:ascii="Times New Roman" w:hAnsi="Times New Roman" w:cs="Times New Roman"/>
                <w:bCs/>
                <w:sz w:val="24"/>
                <w:szCs w:val="24"/>
                <w:lang w:eastAsia="zh-CN"/>
                <w14:ligatures w14:val="none"/>
              </w:rPr>
              <w:t xml:space="preserve">                        </w:t>
            </w:r>
            <w:r w:rsidRPr="00815AA9">
              <w:rPr>
                <w:rFonts w:ascii="Times New Roman" w:hAnsi="Times New Roman" w:cs="Times New Roman"/>
                <w:sz w:val="24"/>
                <w:szCs w:val="24"/>
                <w:lang w:val="zh-CN" w:eastAsia="zh-CN"/>
                <w14:ligatures w14:val="none"/>
              </w:rPr>
              <w:t>p =</w:t>
            </w:r>
            <w:r w:rsidRPr="00815AA9">
              <w:rPr>
                <w:rFonts w:ascii="Times New Roman" w:hAnsi="Times New Roman" w:cs="Times New Roman"/>
                <w:sz w:val="24"/>
                <w:szCs w:val="24"/>
                <w:lang w:eastAsia="zh-CN"/>
                <w14:ligatures w14:val="none"/>
              </w:rPr>
              <w:t xml:space="preserve"> </w:t>
            </w:r>
            <w:r w:rsidRPr="00815AA9">
              <w:rPr>
                <w:rFonts w:ascii="Times New Roman" w:hAnsi="Times New Roman" w:cs="Times New Roman"/>
                <w:bCs/>
                <w:sz w:val="24"/>
                <w:szCs w:val="24"/>
                <w:lang w:val="zh-CN" w:eastAsia="zh-CN"/>
                <w14:ligatures w14:val="none"/>
              </w:rPr>
              <w:t>0.001</w:t>
            </w:r>
          </w:p>
          <w:p w14:paraId="0287905A" w14:textId="77777777" w:rsidR="0022161C" w:rsidRPr="00815AA9" w:rsidRDefault="0022161C" w:rsidP="00764836">
            <w:pPr>
              <w:spacing w:after="0" w:line="240" w:lineRule="auto"/>
              <w:rPr>
                <w:rFonts w:ascii="Times New Roman" w:hAnsi="Times New Roman" w:cs="Times New Roman"/>
                <w:bCs/>
                <w:sz w:val="24"/>
                <w:szCs w:val="24"/>
                <w:lang w:val="zh-CN" w:eastAsia="zh-CN"/>
                <w14:ligatures w14:val="none"/>
              </w:rPr>
            </w:pPr>
            <w:r w:rsidRPr="00815AA9">
              <w:rPr>
                <w:rFonts w:ascii="Times New Roman" w:hAnsi="Times New Roman" w:cs="Times New Roman"/>
                <w:bCs/>
                <w:sz w:val="24"/>
                <w:szCs w:val="24"/>
                <w:lang w:val="zh-CN" w:eastAsia="zh-CN"/>
                <w14:ligatures w14:val="none"/>
              </w:rPr>
              <w:t>Year Effects Test (Joint Significance)</w:t>
            </w:r>
            <w:r w:rsidRPr="00815AA9">
              <w:rPr>
                <w:rFonts w:ascii="Times New Roman" w:hAnsi="Times New Roman" w:cs="Times New Roman"/>
                <w:bCs/>
                <w:sz w:val="24"/>
                <w:szCs w:val="24"/>
                <w:lang w:val="zh-CN" w:eastAsia="zh-CN"/>
                <w14:ligatures w14:val="none"/>
              </w:rPr>
              <w:tab/>
              <w:t>F(13, 516) = 16.90</w:t>
            </w:r>
            <w:r w:rsidRPr="00815AA9">
              <w:rPr>
                <w:rFonts w:ascii="Times New Roman" w:hAnsi="Times New Roman" w:cs="Times New Roman"/>
                <w:bCs/>
                <w:sz w:val="24"/>
                <w:szCs w:val="24"/>
                <w:lang w:val="zh-CN" w:eastAsia="zh-CN"/>
                <w14:ligatures w14:val="none"/>
              </w:rPr>
              <w:tab/>
            </w:r>
            <w:r w:rsidRPr="00815AA9">
              <w:rPr>
                <w:rFonts w:ascii="Times New Roman" w:hAnsi="Times New Roman" w:cs="Times New Roman"/>
                <w:bCs/>
                <w:sz w:val="24"/>
                <w:szCs w:val="24"/>
                <w:lang w:eastAsia="zh-CN"/>
                <w14:ligatures w14:val="none"/>
              </w:rPr>
              <w:t xml:space="preserve">            </w:t>
            </w:r>
            <w:r w:rsidRPr="00815AA9">
              <w:rPr>
                <w:rFonts w:ascii="Times New Roman" w:hAnsi="Times New Roman" w:cs="Times New Roman"/>
                <w:sz w:val="24"/>
                <w:szCs w:val="24"/>
                <w:lang w:val="zh-CN" w:eastAsia="zh-CN"/>
                <w14:ligatures w14:val="none"/>
              </w:rPr>
              <w:t>p =</w:t>
            </w:r>
            <w:r w:rsidRPr="00815AA9">
              <w:rPr>
                <w:rFonts w:ascii="Times New Roman" w:hAnsi="Times New Roman" w:cs="Times New Roman"/>
                <w:sz w:val="24"/>
                <w:szCs w:val="24"/>
                <w:lang w:eastAsia="zh-CN"/>
                <w14:ligatures w14:val="none"/>
              </w:rPr>
              <w:t xml:space="preserve"> </w:t>
            </w:r>
            <w:r w:rsidRPr="00815AA9">
              <w:rPr>
                <w:rFonts w:ascii="Times New Roman" w:hAnsi="Times New Roman" w:cs="Times New Roman"/>
                <w:bCs/>
                <w:sz w:val="24"/>
                <w:szCs w:val="24"/>
                <w:lang w:val="zh-CN" w:eastAsia="zh-CN"/>
                <w14:ligatures w14:val="none"/>
              </w:rPr>
              <w:t>0.000</w:t>
            </w:r>
          </w:p>
          <w:p w14:paraId="25B98B90" w14:textId="77777777" w:rsidR="0022161C" w:rsidRPr="00815AA9" w:rsidRDefault="0022161C" w:rsidP="00764836">
            <w:pPr>
              <w:spacing w:after="0" w:line="240" w:lineRule="auto"/>
              <w:rPr>
                <w:rFonts w:ascii="Times New Roman" w:hAnsi="Times New Roman" w:cs="Times New Roman"/>
                <w:bCs/>
                <w:sz w:val="24"/>
                <w:szCs w:val="24"/>
                <w:lang w:val="zh-CN" w:eastAsia="zh-CN"/>
                <w14:ligatures w14:val="none"/>
              </w:rPr>
            </w:pPr>
            <w:r w:rsidRPr="00815AA9">
              <w:rPr>
                <w:rFonts w:ascii="Times New Roman" w:hAnsi="Times New Roman" w:cs="Times New Roman"/>
                <w:bCs/>
                <w:sz w:val="24"/>
                <w:szCs w:val="24"/>
                <w:lang w:val="zh-CN" w:eastAsia="zh-CN"/>
                <w14:ligatures w14:val="none"/>
              </w:rPr>
              <w:t>Heteroskedasticity Test (Modified Wald)</w:t>
            </w:r>
            <w:r w:rsidRPr="00815AA9">
              <w:rPr>
                <w:rFonts w:ascii="Times New Roman" w:hAnsi="Times New Roman" w:cs="Times New Roman"/>
                <w:bCs/>
                <w:sz w:val="24"/>
                <w:szCs w:val="24"/>
                <w:lang w:val="zh-CN" w:eastAsia="zh-CN"/>
                <w14:ligatures w14:val="none"/>
              </w:rPr>
              <w:tab/>
            </w:r>
            <w:r w:rsidRPr="00815AA9">
              <w:rPr>
                <w:rFonts w:ascii="Times New Roman" w:hAnsi="Times New Roman" w:cs="Times New Roman"/>
                <w:sz w:val="24"/>
                <w:szCs w:val="24"/>
              </w:rPr>
              <w:t>chi</w:t>
            </w:r>
            <w:r w:rsidRPr="00815AA9">
              <w:rPr>
                <w:rFonts w:ascii="Times New Roman" w:hAnsi="Times New Roman" w:cs="Times New Roman"/>
                <w:bCs/>
                <w:sz w:val="24"/>
                <w:szCs w:val="24"/>
                <w:lang w:val="zh-CN" w:eastAsia="zh-CN"/>
                <w14:ligatures w14:val="none"/>
              </w:rPr>
              <w:t>² (41) = 7768.92</w:t>
            </w:r>
            <w:r w:rsidRPr="00815AA9">
              <w:rPr>
                <w:rFonts w:ascii="Times New Roman" w:hAnsi="Times New Roman" w:cs="Times New Roman"/>
                <w:bCs/>
                <w:sz w:val="24"/>
                <w:szCs w:val="24"/>
                <w:lang w:val="zh-CN" w:eastAsia="zh-CN"/>
                <w14:ligatures w14:val="none"/>
              </w:rPr>
              <w:tab/>
            </w:r>
            <w:r w:rsidRPr="00815AA9">
              <w:rPr>
                <w:rFonts w:ascii="Times New Roman" w:hAnsi="Times New Roman" w:cs="Times New Roman"/>
                <w:sz w:val="24"/>
                <w:szCs w:val="24"/>
                <w:lang w:val="zh-CN" w:eastAsia="zh-CN"/>
                <w14:ligatures w14:val="none"/>
              </w:rPr>
              <w:t>p =</w:t>
            </w:r>
            <w:r w:rsidRPr="00815AA9">
              <w:rPr>
                <w:rFonts w:ascii="Times New Roman" w:hAnsi="Times New Roman" w:cs="Times New Roman"/>
                <w:sz w:val="24"/>
                <w:szCs w:val="24"/>
                <w:lang w:eastAsia="zh-CN"/>
                <w14:ligatures w14:val="none"/>
              </w:rPr>
              <w:t xml:space="preserve"> </w:t>
            </w:r>
            <w:r w:rsidRPr="00815AA9">
              <w:rPr>
                <w:rFonts w:ascii="Times New Roman" w:hAnsi="Times New Roman" w:cs="Times New Roman"/>
                <w:bCs/>
                <w:sz w:val="24"/>
                <w:szCs w:val="24"/>
                <w:lang w:val="zh-CN" w:eastAsia="zh-CN"/>
                <w14:ligatures w14:val="none"/>
              </w:rPr>
              <w:t>0.000</w:t>
            </w:r>
          </w:p>
          <w:p w14:paraId="5A2BD600" w14:textId="77777777" w:rsidR="0022161C" w:rsidRPr="00815AA9" w:rsidRDefault="0022161C" w:rsidP="00764836">
            <w:pPr>
              <w:spacing w:after="0" w:line="240" w:lineRule="auto"/>
              <w:rPr>
                <w:rFonts w:ascii="Times New Roman" w:hAnsi="Times New Roman" w:cs="Times New Roman"/>
                <w:bCs/>
                <w:sz w:val="24"/>
                <w:szCs w:val="24"/>
                <w:lang w:val="zh-CN" w:eastAsia="zh-CN"/>
                <w14:ligatures w14:val="none"/>
              </w:rPr>
            </w:pPr>
            <w:r w:rsidRPr="00815AA9">
              <w:rPr>
                <w:rFonts w:ascii="Times New Roman" w:hAnsi="Times New Roman" w:cs="Times New Roman"/>
                <w:bCs/>
                <w:sz w:val="24"/>
                <w:szCs w:val="24"/>
                <w:lang w:val="zh-CN" w:eastAsia="zh-CN"/>
                <w14:ligatures w14:val="none"/>
              </w:rPr>
              <w:t>Serial Correlation Test (Wooldridge)</w:t>
            </w:r>
            <w:r w:rsidRPr="00815AA9">
              <w:rPr>
                <w:rFonts w:ascii="Times New Roman" w:hAnsi="Times New Roman" w:cs="Times New Roman"/>
                <w:bCs/>
                <w:sz w:val="24"/>
                <w:szCs w:val="24"/>
                <w:lang w:val="zh-CN" w:eastAsia="zh-CN"/>
                <w14:ligatures w14:val="none"/>
              </w:rPr>
              <w:tab/>
              <w:t>F(1, 40) = 98.056</w:t>
            </w:r>
            <w:r w:rsidRPr="00815AA9">
              <w:rPr>
                <w:rFonts w:ascii="Times New Roman" w:hAnsi="Times New Roman" w:cs="Times New Roman"/>
                <w:bCs/>
                <w:sz w:val="24"/>
                <w:szCs w:val="24"/>
                <w:lang w:val="zh-CN" w:eastAsia="zh-CN"/>
                <w14:ligatures w14:val="none"/>
              </w:rPr>
              <w:tab/>
            </w:r>
            <w:r w:rsidRPr="00815AA9">
              <w:rPr>
                <w:rFonts w:ascii="Times New Roman" w:hAnsi="Times New Roman" w:cs="Times New Roman"/>
                <w:bCs/>
                <w:sz w:val="24"/>
                <w:szCs w:val="24"/>
                <w:lang w:eastAsia="zh-CN"/>
                <w14:ligatures w14:val="none"/>
              </w:rPr>
              <w:t xml:space="preserve">            </w:t>
            </w:r>
            <w:r w:rsidRPr="00815AA9">
              <w:rPr>
                <w:rFonts w:ascii="Times New Roman" w:hAnsi="Times New Roman" w:cs="Times New Roman"/>
                <w:sz w:val="24"/>
                <w:szCs w:val="24"/>
                <w:lang w:val="zh-CN" w:eastAsia="zh-CN"/>
                <w14:ligatures w14:val="none"/>
              </w:rPr>
              <w:t>p =</w:t>
            </w:r>
            <w:r w:rsidRPr="00815AA9">
              <w:rPr>
                <w:rFonts w:ascii="Times New Roman" w:hAnsi="Times New Roman" w:cs="Times New Roman"/>
                <w:sz w:val="24"/>
                <w:szCs w:val="24"/>
                <w:lang w:eastAsia="zh-CN"/>
                <w14:ligatures w14:val="none"/>
              </w:rPr>
              <w:t xml:space="preserve"> </w:t>
            </w:r>
            <w:r w:rsidRPr="00815AA9">
              <w:rPr>
                <w:rFonts w:ascii="Times New Roman" w:hAnsi="Times New Roman" w:cs="Times New Roman"/>
                <w:bCs/>
                <w:sz w:val="24"/>
                <w:szCs w:val="24"/>
                <w:lang w:val="zh-CN" w:eastAsia="zh-CN"/>
                <w14:ligatures w14:val="none"/>
              </w:rPr>
              <w:t>0.000</w:t>
            </w:r>
          </w:p>
          <w:p w14:paraId="5EBDA1CE" w14:textId="77777777" w:rsidR="0022161C" w:rsidRPr="00815AA9" w:rsidRDefault="0022161C" w:rsidP="00764836">
            <w:pPr>
              <w:spacing w:after="0" w:line="240" w:lineRule="auto"/>
              <w:rPr>
                <w:rFonts w:ascii="Times New Roman" w:hAnsi="Times New Roman" w:cs="Times New Roman"/>
                <w:bCs/>
                <w:sz w:val="24"/>
                <w:szCs w:val="24"/>
                <w:lang w:val="zh-CN" w:eastAsia="zh-CN"/>
                <w14:ligatures w14:val="none"/>
              </w:rPr>
            </w:pPr>
            <w:r w:rsidRPr="00815AA9">
              <w:rPr>
                <w:rFonts w:ascii="Times New Roman" w:hAnsi="Times New Roman" w:cs="Times New Roman"/>
                <w:bCs/>
                <w:sz w:val="24"/>
                <w:szCs w:val="24"/>
                <w:lang w:val="zh-CN" w:eastAsia="zh-CN"/>
                <w14:ligatures w14:val="none"/>
              </w:rPr>
              <w:t>Cross-Sectional Dependence (Pesaran’s Test)</w:t>
            </w:r>
            <w:r w:rsidRPr="00815AA9">
              <w:rPr>
                <w:rFonts w:ascii="Times New Roman" w:hAnsi="Times New Roman" w:cs="Times New Roman"/>
                <w:bCs/>
                <w:sz w:val="24"/>
                <w:szCs w:val="24"/>
                <w:lang w:val="zh-CN" w:eastAsia="zh-CN"/>
                <w14:ligatures w14:val="none"/>
              </w:rPr>
              <w:tab/>
              <w:t>z = -0.760</w:t>
            </w:r>
            <w:r w:rsidRPr="00815AA9">
              <w:rPr>
                <w:rFonts w:ascii="Times New Roman" w:hAnsi="Times New Roman" w:cs="Times New Roman"/>
                <w:bCs/>
                <w:sz w:val="24"/>
                <w:szCs w:val="24"/>
                <w:lang w:val="zh-CN" w:eastAsia="zh-CN"/>
                <w14:ligatures w14:val="none"/>
              </w:rPr>
              <w:tab/>
            </w:r>
            <w:r w:rsidRPr="00815AA9">
              <w:rPr>
                <w:rFonts w:ascii="Times New Roman" w:hAnsi="Times New Roman" w:cs="Times New Roman"/>
                <w:sz w:val="24"/>
                <w:szCs w:val="24"/>
                <w:lang w:val="zh-CN" w:eastAsia="zh-CN"/>
                <w14:ligatures w14:val="none"/>
              </w:rPr>
              <w:t>p =</w:t>
            </w:r>
            <w:r w:rsidRPr="00815AA9">
              <w:rPr>
                <w:rFonts w:ascii="Times New Roman" w:hAnsi="Times New Roman" w:cs="Times New Roman"/>
                <w:sz w:val="24"/>
                <w:szCs w:val="24"/>
                <w:lang w:eastAsia="zh-CN"/>
                <w14:ligatures w14:val="none"/>
              </w:rPr>
              <w:t xml:space="preserve"> </w:t>
            </w:r>
            <w:r w:rsidRPr="00815AA9">
              <w:rPr>
                <w:rFonts w:ascii="Times New Roman" w:hAnsi="Times New Roman" w:cs="Times New Roman"/>
                <w:bCs/>
                <w:sz w:val="24"/>
                <w:szCs w:val="24"/>
                <w:lang w:val="zh-CN" w:eastAsia="zh-CN"/>
                <w14:ligatures w14:val="none"/>
              </w:rPr>
              <w:t>0.447</w:t>
            </w:r>
          </w:p>
        </w:tc>
      </w:tr>
    </w:tbl>
    <w:p w14:paraId="78C88323" w14:textId="77777777" w:rsidR="0022161C" w:rsidRPr="00815AA9" w:rsidRDefault="0022161C" w:rsidP="00764836">
      <w:pPr>
        <w:spacing w:after="0" w:line="240" w:lineRule="auto"/>
        <w:rPr>
          <w:rFonts w:ascii="Times New Roman" w:hAnsi="Times New Roman" w:cs="Times New Roman"/>
          <w:b/>
          <w:sz w:val="24"/>
          <w:szCs w:val="24"/>
        </w:rPr>
      </w:pPr>
      <w:r w:rsidRPr="00815AA9">
        <w:rPr>
          <w:rFonts w:ascii="Times New Roman" w:hAnsi="Times New Roman" w:cs="Times New Roman"/>
          <w:b/>
          <w:sz w:val="24"/>
          <w:szCs w:val="24"/>
        </w:rPr>
        <w:t>Dependent Variable: DWEG</w:t>
      </w:r>
      <w:r w:rsidR="00171A84" w:rsidRPr="00815AA9">
        <w:rPr>
          <w:rFonts w:ascii="Times New Roman" w:hAnsi="Times New Roman" w:cs="Times New Roman"/>
          <w:b/>
          <w:sz w:val="24"/>
          <w:szCs w:val="24"/>
          <w:lang w:val="en-GB"/>
        </w:rPr>
        <w:tab/>
      </w:r>
      <w:r w:rsidR="00171A84" w:rsidRPr="00815AA9">
        <w:rPr>
          <w:rFonts w:ascii="Times New Roman" w:hAnsi="Times New Roman" w:cs="Times New Roman"/>
          <w:b/>
          <w:sz w:val="24"/>
          <w:szCs w:val="24"/>
          <w:lang w:val="en-GB"/>
        </w:rPr>
        <w:tab/>
      </w:r>
      <w:r w:rsidR="00171A84" w:rsidRPr="00815AA9">
        <w:rPr>
          <w:rFonts w:ascii="Times New Roman" w:hAnsi="Times New Roman" w:cs="Times New Roman"/>
          <w:b/>
          <w:sz w:val="24"/>
          <w:szCs w:val="24"/>
          <w:lang w:val="en-GB"/>
        </w:rPr>
        <w:tab/>
      </w:r>
      <w:r w:rsidRPr="00815AA9">
        <w:rPr>
          <w:rFonts w:ascii="Times New Roman" w:hAnsi="Times New Roman" w:cs="Times New Roman"/>
          <w:b/>
          <w:sz w:val="24"/>
          <w:szCs w:val="24"/>
        </w:rPr>
        <w:t>@5% significance level</w:t>
      </w:r>
    </w:p>
    <w:p w14:paraId="3F5BD5C5" w14:textId="77777777" w:rsidR="0022161C" w:rsidRPr="00815AA9" w:rsidRDefault="0022161C" w:rsidP="00764836">
      <w:pPr>
        <w:spacing w:after="0" w:line="240" w:lineRule="auto"/>
        <w:rPr>
          <w:rFonts w:ascii="Times New Roman" w:hAnsi="Times New Roman" w:cs="Times New Roman"/>
          <w:b/>
          <w:sz w:val="24"/>
          <w:szCs w:val="24"/>
        </w:rPr>
      </w:pPr>
      <w:r w:rsidRPr="00815AA9">
        <w:rPr>
          <w:rFonts w:ascii="Times New Roman" w:hAnsi="Times New Roman" w:cs="Times New Roman"/>
          <w:b/>
          <w:sz w:val="24"/>
          <w:szCs w:val="24"/>
        </w:rPr>
        <w:t>Source: Researcher’s Work (202</w:t>
      </w:r>
      <w:r w:rsidR="00171A84" w:rsidRPr="00815AA9">
        <w:rPr>
          <w:rFonts w:ascii="Times New Roman" w:hAnsi="Times New Roman" w:cs="Times New Roman"/>
          <w:b/>
          <w:sz w:val="24"/>
          <w:szCs w:val="24"/>
        </w:rPr>
        <w:t>6</w:t>
      </w:r>
      <w:r w:rsidRPr="00815AA9">
        <w:rPr>
          <w:rFonts w:ascii="Times New Roman" w:hAnsi="Times New Roman" w:cs="Times New Roman"/>
          <w:b/>
          <w:sz w:val="24"/>
          <w:szCs w:val="24"/>
        </w:rPr>
        <w:t xml:space="preserve">) </w:t>
      </w:r>
    </w:p>
    <w:p w14:paraId="4124AA60" w14:textId="77777777" w:rsidR="0022161C" w:rsidRPr="00815AA9" w:rsidRDefault="0022161C" w:rsidP="00764836">
      <w:pPr>
        <w:spacing w:before="240" w:line="240" w:lineRule="auto"/>
        <w:jc w:val="both"/>
        <w:rPr>
          <w:rFonts w:ascii="Times New Roman" w:hAnsi="Times New Roman" w:cs="Times New Roman"/>
          <w:b/>
          <w:sz w:val="24"/>
          <w:szCs w:val="24"/>
        </w:rPr>
      </w:pPr>
      <w:r w:rsidRPr="00815AA9">
        <w:rPr>
          <w:rFonts w:ascii="Times New Roman" w:hAnsi="Times New Roman" w:cs="Times New Roman"/>
          <w:b/>
          <w:sz w:val="24"/>
          <w:szCs w:val="24"/>
        </w:rPr>
        <w:t xml:space="preserve">Interpretation of </w:t>
      </w:r>
      <w:r w:rsidR="00171A84" w:rsidRPr="00815AA9">
        <w:rPr>
          <w:rFonts w:ascii="Times New Roman" w:hAnsi="Times New Roman" w:cs="Times New Roman"/>
          <w:b/>
          <w:sz w:val="24"/>
          <w:szCs w:val="24"/>
        </w:rPr>
        <w:t>the regression</w:t>
      </w:r>
      <w:r w:rsidRPr="00815AA9">
        <w:rPr>
          <w:rFonts w:ascii="Times New Roman" w:hAnsi="Times New Roman" w:cs="Times New Roman"/>
          <w:b/>
          <w:sz w:val="24"/>
          <w:szCs w:val="24"/>
        </w:rPr>
        <w:t xml:space="preserve"> </w:t>
      </w:r>
      <w:r w:rsidR="00171A84" w:rsidRPr="00815AA9">
        <w:rPr>
          <w:rFonts w:ascii="Times New Roman" w:hAnsi="Times New Roman" w:cs="Times New Roman"/>
          <w:b/>
          <w:sz w:val="24"/>
          <w:szCs w:val="24"/>
        </w:rPr>
        <w:t>result</w:t>
      </w:r>
      <w:r w:rsidRPr="00815AA9">
        <w:rPr>
          <w:rFonts w:ascii="Times New Roman" w:hAnsi="Times New Roman" w:cs="Times New Roman"/>
          <w:b/>
          <w:sz w:val="24"/>
          <w:szCs w:val="24"/>
        </w:rPr>
        <w:t>:</w:t>
      </w:r>
    </w:p>
    <w:bookmarkEnd w:id="8"/>
    <w:p w14:paraId="36A90D7A" w14:textId="77777777" w:rsidR="0022161C" w:rsidRPr="00815AA9" w:rsidRDefault="0022161C" w:rsidP="00764836">
      <w:pPr>
        <w:spacing w:after="0" w:line="240" w:lineRule="auto"/>
        <w:jc w:val="both"/>
        <w:rPr>
          <w:rFonts w:ascii="Times New Roman" w:hAnsi="Times New Roman" w:cs="Times New Roman"/>
          <w:b/>
          <w:bCs/>
          <w:i/>
          <w:sz w:val="24"/>
          <w:szCs w:val="24"/>
          <w:lang w:val="zh-CN"/>
        </w:rPr>
      </w:pPr>
      <w:r w:rsidRPr="00815AA9">
        <w:rPr>
          <w:rFonts w:ascii="Times New Roman" w:hAnsi="Times New Roman" w:cs="Times New Roman"/>
          <w:b/>
          <w:bCs/>
          <w:i/>
          <w:sz w:val="24"/>
          <w:szCs w:val="24"/>
          <w:lang w:val="zh-CN"/>
        </w:rPr>
        <w:t>Diagnostic Results</w:t>
      </w:r>
    </w:p>
    <w:p w14:paraId="0E76CAAE" w14:textId="77777777" w:rsidR="0022161C" w:rsidRPr="00815AA9" w:rsidRDefault="0022161C" w:rsidP="00764836">
      <w:pPr>
        <w:spacing w:before="240" w:after="0" w:line="240" w:lineRule="auto"/>
        <w:jc w:val="both"/>
        <w:rPr>
          <w:rFonts w:ascii="Times New Roman" w:hAnsi="Times New Roman" w:cs="Times New Roman"/>
          <w:bCs/>
          <w:sz w:val="24"/>
          <w:szCs w:val="24"/>
          <w:lang w:val="en-GB"/>
        </w:rPr>
      </w:pPr>
      <w:r w:rsidRPr="00815AA9">
        <w:rPr>
          <w:rFonts w:ascii="Times New Roman" w:hAnsi="Times New Roman" w:cs="Times New Roman"/>
          <w:bCs/>
          <w:sz w:val="24"/>
          <w:szCs w:val="24"/>
          <w:lang w:val="en-GB"/>
        </w:rPr>
        <w:t xml:space="preserve">Prior to interpreting the coefficients, diagnostic checks were conducted to verify the reliability of the regression model. The Modified Wald Test for groupwise heteroskedasticity test yielded a p-value of 0.000, which is below the 5% significance level, indicating the existence of heteroskedasticity among the panels. This means that the variance of the error terms is not constant across countries, suggesting some degree of data dispersion within the model. Wooldridge test for autocorrelation with a p-value of 0.000, confirmed the presence of first-order serial correlation. This implies that past error terms are correlated with current ones, which could bias standard errors if not corrected.  </w:t>
      </w:r>
      <w:r w:rsidRPr="00815AA9">
        <w:rPr>
          <w:rFonts w:ascii="Times New Roman" w:hAnsi="Times New Roman" w:cs="Times New Roman"/>
          <w:bCs/>
          <w:sz w:val="24"/>
          <w:szCs w:val="24"/>
        </w:rPr>
        <w:t>Pesaran’s cross-sectional dependence (CD) test returned z = −0.760 with p = 0.447, so the study fail to reject the null hypothesis of cross-sectional independence at conventional levels; this means there is no statistical evidence that the model residuals are correlated across countries in the</w:t>
      </w:r>
      <w:r w:rsidR="00827420" w:rsidRPr="00815AA9">
        <w:rPr>
          <w:rFonts w:ascii="Times New Roman" w:hAnsi="Times New Roman" w:cs="Times New Roman"/>
          <w:bCs/>
          <w:sz w:val="24"/>
          <w:szCs w:val="24"/>
        </w:rPr>
        <w:t xml:space="preserve"> panel.</w:t>
      </w:r>
      <w:r w:rsidRPr="00815AA9">
        <w:rPr>
          <w:rFonts w:ascii="Times New Roman" w:hAnsi="Times New Roman" w:cs="Times New Roman"/>
          <w:bCs/>
          <w:sz w:val="24"/>
          <w:szCs w:val="24"/>
        </w:rPr>
        <w:t xml:space="preserve"> </w:t>
      </w:r>
    </w:p>
    <w:p w14:paraId="7E4A2204" w14:textId="77777777" w:rsidR="0022161C" w:rsidRPr="00815AA9" w:rsidRDefault="0022161C" w:rsidP="00764836">
      <w:pPr>
        <w:spacing w:before="240" w:after="0" w:line="240" w:lineRule="auto"/>
        <w:jc w:val="both"/>
        <w:rPr>
          <w:rFonts w:ascii="Times New Roman" w:hAnsi="Times New Roman" w:cs="Times New Roman"/>
          <w:bCs/>
          <w:sz w:val="24"/>
          <w:szCs w:val="24"/>
          <w:lang w:val="en-GB"/>
        </w:rPr>
      </w:pPr>
      <w:r w:rsidRPr="00815AA9">
        <w:rPr>
          <w:rFonts w:ascii="Times New Roman" w:hAnsi="Times New Roman" w:cs="Times New Roman"/>
          <w:bCs/>
          <w:sz w:val="24"/>
          <w:szCs w:val="24"/>
          <w:lang w:val="en-GB"/>
        </w:rPr>
        <w:lastRenderedPageBreak/>
        <w:t>To address these concerns, the study applied the Panel-Corrected Standard Errors (PCSE) estimation technique, which provides robust and efficient coefficient estimates even in the presence of heteroskedasticity and serial correlation.</w:t>
      </w:r>
    </w:p>
    <w:p w14:paraId="7D07E51E" w14:textId="77777777" w:rsidR="0022161C" w:rsidRPr="00815AA9" w:rsidRDefault="0022161C" w:rsidP="00764836">
      <w:pPr>
        <w:spacing w:before="240" w:after="0" w:line="240" w:lineRule="auto"/>
        <w:jc w:val="both"/>
        <w:rPr>
          <w:rFonts w:ascii="Times New Roman" w:hAnsi="Times New Roman" w:cs="Times New Roman"/>
          <w:bCs/>
          <w:sz w:val="24"/>
          <w:szCs w:val="24"/>
          <w:lang w:val="en-GB"/>
        </w:rPr>
      </w:pPr>
      <w:r w:rsidRPr="00815AA9">
        <w:rPr>
          <w:rFonts w:ascii="Times New Roman" w:hAnsi="Times New Roman" w:cs="Times New Roman"/>
          <w:bCs/>
          <w:sz w:val="24"/>
          <w:szCs w:val="24"/>
          <w:lang w:val="en-GB"/>
        </w:rPr>
        <w:t>Hausman test yielded a χ²(4) value of 18.62 (p = 0.001), indicating that the fixed effects model was preferred over the random effects alternative, suggesting that unobserved country-specific effects are correlated with the regressors. The test of year dummies was also significant (F(13, 516) = 16.90; p = 0.000), implying that time effects matter in explaining variations in decent work and economic growth  across the years which justified the appropriateness of fixed-effects over the Pooled Ordinary Least Square regression analysis estimation technique. Overall, the diagnostic results validate the robustness of the PCSE approach for estimating the relationship between various forms of tax revenues and decent work and economic growth in the sampled countries.</w:t>
      </w:r>
    </w:p>
    <w:p w14:paraId="32ED9EDE" w14:textId="77777777" w:rsidR="0022161C" w:rsidRPr="00815AA9" w:rsidRDefault="0022161C" w:rsidP="00764836">
      <w:pPr>
        <w:spacing w:after="0" w:line="240" w:lineRule="auto"/>
        <w:jc w:val="both"/>
        <w:rPr>
          <w:rFonts w:ascii="Times New Roman" w:hAnsi="Times New Roman" w:cs="Times New Roman"/>
          <w:bCs/>
          <w:sz w:val="24"/>
          <w:szCs w:val="24"/>
          <w:lang w:val="zh-CN"/>
        </w:rPr>
      </w:pPr>
      <w:r w:rsidRPr="00815AA9">
        <w:rPr>
          <w:rFonts w:ascii="Times New Roman" w:hAnsi="Times New Roman" w:cs="Times New Roman"/>
          <w:bCs/>
          <w:sz w:val="24"/>
          <w:szCs w:val="24"/>
          <w:lang w:val="zh-CN"/>
        </w:rPr>
        <w:t>.</w:t>
      </w:r>
    </w:p>
    <w:p w14:paraId="60F484EF" w14:textId="77777777" w:rsidR="0022161C" w:rsidRPr="00815AA9" w:rsidRDefault="0022161C" w:rsidP="00764836">
      <w:pPr>
        <w:spacing w:line="240" w:lineRule="auto"/>
        <w:jc w:val="both"/>
        <w:rPr>
          <w:rFonts w:ascii="Times New Roman" w:hAnsi="Times New Roman" w:cs="Times New Roman"/>
          <w:bCs/>
          <w:iCs/>
          <w:sz w:val="24"/>
          <w:szCs w:val="24"/>
          <w:lang w:val="en-GB"/>
        </w:rPr>
      </w:pPr>
      <w:r w:rsidRPr="00815AA9">
        <w:rPr>
          <w:rFonts w:ascii="Times New Roman" w:hAnsi="Times New Roman" w:cs="Times New Roman"/>
          <w:b/>
          <w:bCs/>
          <w:iCs/>
          <w:sz w:val="24"/>
          <w:szCs w:val="24"/>
          <w:lang w:val="en-GB"/>
        </w:rPr>
        <w:t>Regression Equation</w:t>
      </w:r>
      <w:r w:rsidRPr="00815AA9">
        <w:rPr>
          <w:rFonts w:ascii="Times New Roman" w:hAnsi="Times New Roman" w:cs="Times New Roman"/>
          <w:bCs/>
          <w:iCs/>
          <w:sz w:val="24"/>
          <w:szCs w:val="24"/>
          <w:lang w:val="en-GB"/>
        </w:rPr>
        <w:t>:</w:t>
      </w:r>
    </w:p>
    <w:p w14:paraId="1F9CC04F" w14:textId="77777777" w:rsidR="0022161C" w:rsidRPr="00815AA9" w:rsidRDefault="0022161C" w:rsidP="00764836">
      <w:pPr>
        <w:spacing w:line="240" w:lineRule="auto"/>
        <w:jc w:val="both"/>
        <w:rPr>
          <w:rFonts w:ascii="Times New Roman" w:hAnsi="Times New Roman" w:cs="Times New Roman"/>
          <w:bCs/>
          <w:iCs/>
          <w:sz w:val="20"/>
          <w:szCs w:val="24"/>
          <w:lang w:val="en-GB"/>
        </w:rPr>
      </w:pPr>
      <w:r w:rsidRPr="00815AA9">
        <w:rPr>
          <w:rFonts w:ascii="Times New Roman" w:hAnsi="Times New Roman" w:cs="Times New Roman"/>
          <w:bCs/>
          <w:iCs/>
          <w:sz w:val="20"/>
          <w:szCs w:val="24"/>
          <w:lang w:val="en-GB"/>
        </w:rPr>
        <w:t>DWEG</w:t>
      </w:r>
      <w:r w:rsidRPr="00815AA9">
        <w:rPr>
          <w:rFonts w:ascii="Times New Roman" w:hAnsi="Times New Roman" w:cs="Times New Roman"/>
          <w:bCs/>
          <w:iCs/>
          <w:sz w:val="20"/>
          <w:szCs w:val="24"/>
          <w:vertAlign w:val="subscript"/>
          <w:lang w:val="en-GB"/>
        </w:rPr>
        <w:t>it</w:t>
      </w:r>
      <w:r w:rsidRPr="00815AA9">
        <w:rPr>
          <w:rFonts w:ascii="Times New Roman" w:hAnsi="Times New Roman" w:cs="Times New Roman"/>
          <w:bCs/>
          <w:iCs/>
          <w:sz w:val="20"/>
          <w:szCs w:val="24"/>
          <w:lang w:val="en-GB"/>
        </w:rPr>
        <w:t xml:space="preserve"> = β</w:t>
      </w:r>
      <w:r w:rsidRPr="00815AA9">
        <w:rPr>
          <w:rFonts w:ascii="Times New Roman" w:hAnsi="Times New Roman" w:cs="Times New Roman"/>
          <w:bCs/>
          <w:iCs/>
          <w:sz w:val="20"/>
          <w:szCs w:val="24"/>
          <w:vertAlign w:val="subscript"/>
          <w:lang w:val="en-GB"/>
        </w:rPr>
        <w:t>0</w:t>
      </w:r>
      <w:r w:rsidRPr="00815AA9">
        <w:rPr>
          <w:rFonts w:ascii="Times New Roman" w:hAnsi="Times New Roman" w:cs="Times New Roman"/>
          <w:bCs/>
          <w:iCs/>
          <w:sz w:val="20"/>
          <w:szCs w:val="24"/>
          <w:lang w:val="en-GB"/>
        </w:rPr>
        <w:t xml:space="preserve"> + β</w:t>
      </w:r>
      <w:r w:rsidRPr="00815AA9">
        <w:rPr>
          <w:rFonts w:ascii="Times New Roman" w:hAnsi="Times New Roman" w:cs="Times New Roman"/>
          <w:bCs/>
          <w:iCs/>
          <w:sz w:val="20"/>
          <w:szCs w:val="24"/>
          <w:vertAlign w:val="subscript"/>
          <w:lang w:val="en-GB"/>
        </w:rPr>
        <w:t>1</w:t>
      </w:r>
      <w:r w:rsidRPr="00815AA9">
        <w:rPr>
          <w:rFonts w:ascii="Times New Roman" w:hAnsi="Times New Roman" w:cs="Times New Roman"/>
          <w:bCs/>
          <w:iCs/>
          <w:sz w:val="20"/>
          <w:szCs w:val="24"/>
          <w:lang w:val="en-GB"/>
        </w:rPr>
        <w:t>DWEG</w:t>
      </w:r>
      <w:r w:rsidRPr="00815AA9">
        <w:rPr>
          <w:rFonts w:ascii="Times New Roman" w:hAnsi="Times New Roman" w:cs="Times New Roman"/>
          <w:bCs/>
          <w:iCs/>
          <w:sz w:val="20"/>
          <w:szCs w:val="24"/>
          <w:vertAlign w:val="subscript"/>
          <w:lang w:val="en-GB"/>
        </w:rPr>
        <w:t>it-1</w:t>
      </w:r>
      <w:r w:rsidRPr="00815AA9">
        <w:rPr>
          <w:rFonts w:ascii="Times New Roman" w:hAnsi="Times New Roman" w:cs="Times New Roman"/>
          <w:bCs/>
          <w:iCs/>
          <w:sz w:val="20"/>
          <w:szCs w:val="24"/>
          <w:lang w:val="en-GB"/>
        </w:rPr>
        <w:t xml:space="preserve"> + β</w:t>
      </w:r>
      <w:r w:rsidRPr="00815AA9">
        <w:rPr>
          <w:rFonts w:ascii="Times New Roman" w:hAnsi="Times New Roman" w:cs="Times New Roman"/>
          <w:bCs/>
          <w:iCs/>
          <w:sz w:val="20"/>
          <w:szCs w:val="24"/>
          <w:vertAlign w:val="subscript"/>
          <w:lang w:val="en-GB"/>
        </w:rPr>
        <w:t>2</w:t>
      </w:r>
      <w:r w:rsidRPr="00815AA9">
        <w:rPr>
          <w:rFonts w:ascii="Times New Roman" w:hAnsi="Times New Roman" w:cs="Times New Roman"/>
          <w:bCs/>
          <w:iCs/>
          <w:sz w:val="20"/>
          <w:szCs w:val="24"/>
          <w:lang w:val="en-GB"/>
        </w:rPr>
        <w:t>LCOID</w:t>
      </w:r>
      <w:r w:rsidRPr="00815AA9">
        <w:rPr>
          <w:rFonts w:ascii="Times New Roman" w:hAnsi="Times New Roman" w:cs="Times New Roman"/>
          <w:bCs/>
          <w:iCs/>
          <w:sz w:val="20"/>
          <w:szCs w:val="24"/>
          <w:vertAlign w:val="subscript"/>
          <w:lang w:val="en-GB"/>
        </w:rPr>
        <w:t>it</w:t>
      </w:r>
      <w:r w:rsidRPr="00815AA9">
        <w:rPr>
          <w:rFonts w:ascii="Times New Roman" w:hAnsi="Times New Roman" w:cs="Times New Roman"/>
          <w:bCs/>
          <w:iCs/>
          <w:sz w:val="20"/>
          <w:szCs w:val="24"/>
          <w:lang w:val="en-GB"/>
        </w:rPr>
        <w:t xml:space="preserve"> + β</w:t>
      </w:r>
      <w:r w:rsidRPr="00815AA9">
        <w:rPr>
          <w:rFonts w:ascii="Times New Roman" w:hAnsi="Times New Roman" w:cs="Times New Roman"/>
          <w:bCs/>
          <w:iCs/>
          <w:sz w:val="20"/>
          <w:szCs w:val="24"/>
          <w:vertAlign w:val="subscript"/>
          <w:lang w:val="en-GB"/>
        </w:rPr>
        <w:t>3</w:t>
      </w:r>
      <w:r w:rsidRPr="00815AA9">
        <w:rPr>
          <w:rFonts w:ascii="Times New Roman" w:hAnsi="Times New Roman" w:cs="Times New Roman"/>
          <w:bCs/>
          <w:iCs/>
          <w:sz w:val="20"/>
          <w:szCs w:val="24"/>
          <w:lang w:val="en-GB"/>
        </w:rPr>
        <w:t>LTAXP</w:t>
      </w:r>
      <w:r w:rsidRPr="00815AA9">
        <w:rPr>
          <w:rFonts w:ascii="Times New Roman" w:hAnsi="Times New Roman" w:cs="Times New Roman"/>
          <w:bCs/>
          <w:iCs/>
          <w:sz w:val="20"/>
          <w:szCs w:val="24"/>
          <w:vertAlign w:val="subscript"/>
          <w:lang w:val="en-GB"/>
        </w:rPr>
        <w:t>it</w:t>
      </w:r>
      <w:r w:rsidRPr="00815AA9">
        <w:rPr>
          <w:rFonts w:ascii="Times New Roman" w:hAnsi="Times New Roman" w:cs="Times New Roman"/>
          <w:bCs/>
          <w:iCs/>
          <w:sz w:val="20"/>
          <w:szCs w:val="24"/>
          <w:lang w:val="en-GB"/>
        </w:rPr>
        <w:t xml:space="preserve"> + β</w:t>
      </w:r>
      <w:r w:rsidRPr="00815AA9">
        <w:rPr>
          <w:rFonts w:ascii="Times New Roman" w:hAnsi="Times New Roman" w:cs="Times New Roman"/>
          <w:bCs/>
          <w:iCs/>
          <w:sz w:val="20"/>
          <w:szCs w:val="24"/>
          <w:vertAlign w:val="subscript"/>
          <w:lang w:val="en-GB"/>
        </w:rPr>
        <w:t>4</w:t>
      </w:r>
      <w:r w:rsidRPr="00815AA9">
        <w:rPr>
          <w:rFonts w:ascii="Times New Roman" w:hAnsi="Times New Roman" w:cs="Times New Roman"/>
          <w:bCs/>
          <w:iCs/>
          <w:sz w:val="20"/>
          <w:szCs w:val="24"/>
          <w:lang w:val="en-GB"/>
        </w:rPr>
        <w:t>LTAGS</w:t>
      </w:r>
      <w:r w:rsidRPr="00815AA9">
        <w:rPr>
          <w:rFonts w:ascii="Times New Roman" w:hAnsi="Times New Roman" w:cs="Times New Roman"/>
          <w:bCs/>
          <w:iCs/>
          <w:sz w:val="20"/>
          <w:szCs w:val="24"/>
          <w:vertAlign w:val="subscript"/>
          <w:lang w:val="en-GB"/>
        </w:rPr>
        <w:t>it</w:t>
      </w:r>
      <w:r w:rsidRPr="00815AA9">
        <w:rPr>
          <w:rFonts w:ascii="Times New Roman" w:hAnsi="Times New Roman" w:cs="Times New Roman"/>
          <w:bCs/>
          <w:iCs/>
          <w:sz w:val="20"/>
          <w:szCs w:val="24"/>
          <w:lang w:val="en-GB"/>
        </w:rPr>
        <w:t xml:space="preserve"> + β</w:t>
      </w:r>
      <w:r w:rsidRPr="00815AA9">
        <w:rPr>
          <w:rFonts w:ascii="Times New Roman" w:hAnsi="Times New Roman" w:cs="Times New Roman"/>
          <w:bCs/>
          <w:iCs/>
          <w:sz w:val="20"/>
          <w:szCs w:val="24"/>
          <w:vertAlign w:val="subscript"/>
          <w:lang w:val="en-GB"/>
        </w:rPr>
        <w:t>5</w:t>
      </w:r>
      <w:r w:rsidRPr="00815AA9">
        <w:rPr>
          <w:rFonts w:ascii="Times New Roman" w:hAnsi="Times New Roman" w:cs="Times New Roman"/>
          <w:bCs/>
          <w:iCs/>
          <w:sz w:val="20"/>
          <w:szCs w:val="24"/>
          <w:lang w:val="en-GB"/>
        </w:rPr>
        <w:t>LTIPC</w:t>
      </w:r>
      <w:r w:rsidRPr="00815AA9">
        <w:rPr>
          <w:rFonts w:ascii="Times New Roman" w:hAnsi="Times New Roman" w:cs="Times New Roman"/>
          <w:bCs/>
          <w:iCs/>
          <w:sz w:val="20"/>
          <w:szCs w:val="24"/>
          <w:vertAlign w:val="subscript"/>
          <w:lang w:val="en-GB"/>
        </w:rPr>
        <w:t>it</w:t>
      </w:r>
      <w:r w:rsidRPr="00815AA9">
        <w:rPr>
          <w:rFonts w:ascii="Times New Roman" w:hAnsi="Times New Roman" w:cs="Times New Roman"/>
          <w:bCs/>
          <w:iCs/>
          <w:sz w:val="20"/>
          <w:szCs w:val="24"/>
          <w:lang w:val="en-GB"/>
        </w:rPr>
        <w:t xml:space="preserve"> + ε</w:t>
      </w:r>
      <w:r w:rsidRPr="00815AA9">
        <w:rPr>
          <w:rFonts w:ascii="Times New Roman" w:hAnsi="Times New Roman" w:cs="Times New Roman"/>
          <w:bCs/>
          <w:iCs/>
          <w:sz w:val="20"/>
          <w:szCs w:val="24"/>
          <w:vertAlign w:val="subscript"/>
          <w:lang w:val="en-GB"/>
        </w:rPr>
        <w:t>it</w:t>
      </w:r>
      <w:r w:rsidR="00171A84" w:rsidRPr="00815AA9">
        <w:rPr>
          <w:rFonts w:ascii="Times New Roman" w:hAnsi="Times New Roman" w:cs="Times New Roman"/>
          <w:bCs/>
          <w:iCs/>
          <w:sz w:val="20"/>
          <w:szCs w:val="24"/>
          <w:vertAlign w:val="subscript"/>
          <w:lang w:val="en-GB"/>
        </w:rPr>
        <w:tab/>
      </w:r>
      <w:r w:rsidR="00171A84" w:rsidRPr="00815AA9">
        <w:rPr>
          <w:rFonts w:ascii="Times New Roman" w:hAnsi="Times New Roman" w:cs="Times New Roman"/>
          <w:bCs/>
          <w:iCs/>
          <w:sz w:val="20"/>
          <w:szCs w:val="24"/>
          <w:lang w:val="en-GB"/>
        </w:rPr>
        <w:t>- Model (1a)</w:t>
      </w:r>
    </w:p>
    <w:p w14:paraId="5B8A575C" w14:textId="77777777" w:rsidR="0022161C" w:rsidRPr="00815AA9" w:rsidRDefault="0022161C" w:rsidP="00764836">
      <w:pPr>
        <w:spacing w:line="240" w:lineRule="auto"/>
        <w:jc w:val="both"/>
        <w:rPr>
          <w:rFonts w:ascii="Times New Roman" w:hAnsi="Times New Roman" w:cs="Times New Roman"/>
          <w:bCs/>
          <w:iCs/>
          <w:sz w:val="24"/>
          <w:szCs w:val="24"/>
          <w:lang w:val="en-GB"/>
        </w:rPr>
      </w:pPr>
      <w:r w:rsidRPr="00815AA9">
        <w:rPr>
          <w:rFonts w:ascii="Times New Roman" w:hAnsi="Times New Roman" w:cs="Times New Roman"/>
          <w:b/>
          <w:bCs/>
          <w:iCs/>
          <w:sz w:val="24"/>
          <w:szCs w:val="24"/>
          <w:lang w:val="en-GB"/>
        </w:rPr>
        <w:t>Restated Equation:</w:t>
      </w:r>
    </w:p>
    <w:p w14:paraId="65465B42" w14:textId="77777777" w:rsidR="0022161C" w:rsidRPr="00815AA9" w:rsidRDefault="0022161C" w:rsidP="00764836">
      <w:pPr>
        <w:spacing w:line="240" w:lineRule="auto"/>
        <w:jc w:val="both"/>
        <w:rPr>
          <w:rFonts w:ascii="Times New Roman" w:hAnsi="Times New Roman" w:cs="Times New Roman"/>
          <w:bCs/>
          <w:iCs/>
          <w:sz w:val="18"/>
          <w:szCs w:val="24"/>
          <w:lang w:val="en-GB"/>
        </w:rPr>
      </w:pPr>
      <w:r w:rsidRPr="00815AA9">
        <w:rPr>
          <w:rFonts w:ascii="Times New Roman" w:hAnsi="Times New Roman" w:cs="Times New Roman"/>
          <w:bCs/>
          <w:iCs/>
          <w:sz w:val="18"/>
          <w:szCs w:val="24"/>
          <w:lang w:val="en-GB"/>
        </w:rPr>
        <w:t>DWEG</w:t>
      </w:r>
      <w:r w:rsidRPr="00815AA9">
        <w:rPr>
          <w:rFonts w:ascii="Times New Roman" w:hAnsi="Times New Roman" w:cs="Times New Roman"/>
          <w:bCs/>
          <w:iCs/>
          <w:sz w:val="18"/>
          <w:szCs w:val="24"/>
          <w:vertAlign w:val="subscript"/>
          <w:lang w:val="en-GB"/>
        </w:rPr>
        <w:t>it</w:t>
      </w:r>
      <w:r w:rsidRPr="00815AA9">
        <w:rPr>
          <w:rFonts w:ascii="Times New Roman" w:hAnsi="Times New Roman" w:cs="Times New Roman"/>
          <w:bCs/>
          <w:iCs/>
          <w:sz w:val="18"/>
          <w:szCs w:val="24"/>
          <w:lang w:val="en-GB"/>
        </w:rPr>
        <w:t xml:space="preserve"> = 15.573 + 0.764DWEG</w:t>
      </w:r>
      <w:r w:rsidRPr="00815AA9">
        <w:rPr>
          <w:rFonts w:ascii="Times New Roman" w:hAnsi="Times New Roman" w:cs="Times New Roman"/>
          <w:bCs/>
          <w:iCs/>
          <w:sz w:val="18"/>
          <w:szCs w:val="24"/>
          <w:vertAlign w:val="subscript"/>
          <w:lang w:val="en-GB"/>
        </w:rPr>
        <w:t xml:space="preserve">it-1 </w:t>
      </w:r>
      <w:r w:rsidRPr="00815AA9">
        <w:rPr>
          <w:rFonts w:ascii="Times New Roman" w:hAnsi="Times New Roman" w:cs="Times New Roman"/>
          <w:bCs/>
          <w:iCs/>
          <w:sz w:val="18"/>
          <w:szCs w:val="24"/>
          <w:lang w:val="en-GB"/>
        </w:rPr>
        <w:t>– 0.279LCOID</w:t>
      </w:r>
      <w:r w:rsidRPr="00815AA9">
        <w:rPr>
          <w:rFonts w:ascii="Times New Roman" w:hAnsi="Times New Roman" w:cs="Times New Roman"/>
          <w:bCs/>
          <w:iCs/>
          <w:sz w:val="18"/>
          <w:szCs w:val="24"/>
          <w:vertAlign w:val="subscript"/>
          <w:lang w:val="en-GB"/>
        </w:rPr>
        <w:t>it</w:t>
      </w:r>
      <w:r w:rsidRPr="00815AA9">
        <w:rPr>
          <w:rFonts w:ascii="Times New Roman" w:hAnsi="Times New Roman" w:cs="Times New Roman"/>
          <w:bCs/>
          <w:iCs/>
          <w:sz w:val="18"/>
          <w:szCs w:val="24"/>
          <w:lang w:val="en-GB"/>
        </w:rPr>
        <w:t xml:space="preserve"> – 0.007LTAXP</w:t>
      </w:r>
      <w:r w:rsidRPr="00815AA9">
        <w:rPr>
          <w:rFonts w:ascii="Times New Roman" w:hAnsi="Times New Roman" w:cs="Times New Roman"/>
          <w:bCs/>
          <w:iCs/>
          <w:sz w:val="18"/>
          <w:szCs w:val="24"/>
          <w:vertAlign w:val="subscript"/>
          <w:lang w:val="en-GB"/>
        </w:rPr>
        <w:t>it</w:t>
      </w:r>
      <w:r w:rsidRPr="00815AA9">
        <w:rPr>
          <w:rFonts w:ascii="Times New Roman" w:hAnsi="Times New Roman" w:cs="Times New Roman"/>
          <w:bCs/>
          <w:iCs/>
          <w:sz w:val="18"/>
          <w:szCs w:val="24"/>
          <w:lang w:val="en-GB"/>
        </w:rPr>
        <w:t xml:space="preserve"> + 0.388LTAGS</w:t>
      </w:r>
      <w:r w:rsidRPr="00815AA9">
        <w:rPr>
          <w:rFonts w:ascii="Times New Roman" w:hAnsi="Times New Roman" w:cs="Times New Roman"/>
          <w:bCs/>
          <w:iCs/>
          <w:sz w:val="18"/>
          <w:szCs w:val="24"/>
          <w:vertAlign w:val="subscript"/>
          <w:lang w:val="en-GB"/>
        </w:rPr>
        <w:t>it</w:t>
      </w:r>
      <w:r w:rsidRPr="00815AA9">
        <w:rPr>
          <w:rFonts w:ascii="Times New Roman" w:hAnsi="Times New Roman" w:cs="Times New Roman"/>
          <w:bCs/>
          <w:iCs/>
          <w:sz w:val="18"/>
          <w:szCs w:val="24"/>
          <w:lang w:val="en-GB"/>
        </w:rPr>
        <w:t xml:space="preserve"> – 0.130LTIPC</w:t>
      </w:r>
      <w:r w:rsidRPr="00815AA9">
        <w:rPr>
          <w:rFonts w:ascii="Times New Roman" w:hAnsi="Times New Roman" w:cs="Times New Roman"/>
          <w:bCs/>
          <w:iCs/>
          <w:sz w:val="18"/>
          <w:szCs w:val="24"/>
          <w:vertAlign w:val="subscript"/>
          <w:lang w:val="en-GB"/>
        </w:rPr>
        <w:t>it</w:t>
      </w:r>
      <w:r w:rsidR="00171A84" w:rsidRPr="00815AA9">
        <w:rPr>
          <w:rFonts w:ascii="Times New Roman" w:hAnsi="Times New Roman" w:cs="Times New Roman"/>
          <w:bCs/>
          <w:iCs/>
          <w:sz w:val="18"/>
          <w:szCs w:val="24"/>
          <w:lang w:val="en-GB"/>
        </w:rPr>
        <w:t xml:space="preserve"> -</w:t>
      </w:r>
      <w:r w:rsidRPr="00815AA9">
        <w:rPr>
          <w:rFonts w:ascii="Times New Roman" w:hAnsi="Times New Roman" w:cs="Times New Roman"/>
          <w:bCs/>
          <w:sz w:val="18"/>
          <w:szCs w:val="24"/>
          <w:lang w:val="zh-CN"/>
        </w:rPr>
        <w:t xml:space="preserve">Model </w:t>
      </w:r>
      <w:r w:rsidR="00171A84" w:rsidRPr="00815AA9">
        <w:rPr>
          <w:rFonts w:ascii="Times New Roman" w:hAnsi="Times New Roman" w:cs="Times New Roman"/>
          <w:bCs/>
          <w:sz w:val="18"/>
          <w:szCs w:val="24"/>
        </w:rPr>
        <w:t>(</w:t>
      </w:r>
      <w:r w:rsidRPr="00815AA9">
        <w:rPr>
          <w:rFonts w:ascii="Times New Roman" w:hAnsi="Times New Roman" w:cs="Times New Roman"/>
          <w:bCs/>
          <w:sz w:val="18"/>
          <w:szCs w:val="24"/>
          <w:lang w:val="zh-CN"/>
        </w:rPr>
        <w:t>1</w:t>
      </w:r>
      <w:r w:rsidR="00171A84" w:rsidRPr="00815AA9">
        <w:rPr>
          <w:rFonts w:ascii="Times New Roman" w:hAnsi="Times New Roman" w:cs="Times New Roman"/>
          <w:bCs/>
          <w:sz w:val="18"/>
          <w:szCs w:val="24"/>
        </w:rPr>
        <w:t>b)</w:t>
      </w:r>
    </w:p>
    <w:p w14:paraId="5727CFF6" w14:textId="77777777" w:rsidR="0022161C" w:rsidRPr="00815AA9" w:rsidRDefault="0022161C" w:rsidP="00764836">
      <w:pPr>
        <w:spacing w:before="240" w:after="0" w:line="240" w:lineRule="auto"/>
        <w:jc w:val="both"/>
        <w:rPr>
          <w:rFonts w:ascii="Times New Roman" w:hAnsi="Times New Roman" w:cs="Times New Roman"/>
          <w:b/>
          <w:bCs/>
          <w:i/>
          <w:sz w:val="24"/>
          <w:szCs w:val="24"/>
          <w:lang w:val="zh-CN"/>
        </w:rPr>
      </w:pPr>
      <w:r w:rsidRPr="00815AA9">
        <w:rPr>
          <w:rFonts w:ascii="Times New Roman" w:hAnsi="Times New Roman" w:cs="Times New Roman"/>
          <w:b/>
          <w:bCs/>
          <w:i/>
          <w:iCs/>
          <w:sz w:val="24"/>
          <w:szCs w:val="24"/>
          <w:lang w:val="en-GB"/>
        </w:rPr>
        <w:t xml:space="preserve">Interpretation of the </w:t>
      </w:r>
      <w:r w:rsidRPr="00815AA9">
        <w:rPr>
          <w:rFonts w:ascii="Times New Roman" w:hAnsi="Times New Roman" w:cs="Times New Roman"/>
          <w:b/>
          <w:bCs/>
          <w:i/>
          <w:sz w:val="24"/>
          <w:szCs w:val="24"/>
          <w:lang w:val="zh-CN"/>
        </w:rPr>
        <w:t>Regression Results</w:t>
      </w:r>
    </w:p>
    <w:p w14:paraId="2D61FA2B" w14:textId="77777777" w:rsidR="0022161C" w:rsidRPr="00815AA9" w:rsidRDefault="0022161C" w:rsidP="00764836">
      <w:pPr>
        <w:spacing w:before="240" w:after="0" w:line="240" w:lineRule="auto"/>
        <w:jc w:val="both"/>
        <w:rPr>
          <w:rFonts w:ascii="Times New Roman" w:hAnsi="Times New Roman" w:cs="Times New Roman"/>
          <w:bCs/>
          <w:sz w:val="24"/>
          <w:szCs w:val="24"/>
          <w:lang w:val="en-GB"/>
        </w:rPr>
      </w:pPr>
      <w:r w:rsidRPr="00815AA9">
        <w:rPr>
          <w:rFonts w:ascii="Times New Roman" w:hAnsi="Times New Roman" w:cs="Times New Roman"/>
          <w:bCs/>
          <w:sz w:val="24"/>
          <w:szCs w:val="24"/>
          <w:lang w:val="en-GB"/>
        </w:rPr>
        <w:t>The regression results presented in Table 4.2.1 reveal the dynamic effects of tax revenue measures on decent work and economic growth across Selected African countries.</w:t>
      </w:r>
    </w:p>
    <w:p w14:paraId="22C70962" w14:textId="77777777" w:rsidR="0022161C" w:rsidRPr="00815AA9" w:rsidRDefault="0022161C" w:rsidP="00764836">
      <w:pPr>
        <w:spacing w:before="240" w:after="0" w:line="240" w:lineRule="auto"/>
        <w:jc w:val="both"/>
        <w:rPr>
          <w:rFonts w:ascii="Times New Roman" w:hAnsi="Times New Roman" w:cs="Times New Roman"/>
          <w:bCs/>
          <w:sz w:val="24"/>
          <w:szCs w:val="24"/>
          <w:lang w:val="en-GB"/>
        </w:rPr>
      </w:pPr>
      <w:r w:rsidRPr="00815AA9">
        <w:rPr>
          <w:rFonts w:ascii="Times New Roman" w:hAnsi="Times New Roman" w:cs="Times New Roman"/>
          <w:bCs/>
          <w:sz w:val="24"/>
          <w:szCs w:val="24"/>
          <w:lang w:val="en-GB"/>
        </w:rPr>
        <w:t>The coefficient of the lagged value of decent work and economic growth (DWEG(-1)) is 0.764 (p = 0.000), which is positive and statistically significant at the 5% level. This suggests a strong persistence effect, meaning that previous attainment achieved in decent work and economic growth has a substantial influence on current decent work and economic growth levels. The coefficient value of 0.764 implies that a 1% increase in past decent work and economic growth levels contributes to approximately 0.76% rise in current decent work and economic growth rate, reflecting economic momentum within the region.</w:t>
      </w:r>
    </w:p>
    <w:p w14:paraId="48BFAC33" w14:textId="77777777" w:rsidR="0022161C" w:rsidRPr="00815AA9" w:rsidRDefault="0022161C" w:rsidP="00764836">
      <w:pPr>
        <w:spacing w:before="240" w:after="0" w:line="240" w:lineRule="auto"/>
        <w:jc w:val="both"/>
        <w:rPr>
          <w:rFonts w:ascii="Times New Roman" w:hAnsi="Times New Roman" w:cs="Times New Roman"/>
          <w:bCs/>
          <w:sz w:val="24"/>
          <w:szCs w:val="24"/>
          <w:lang w:val="en-GB"/>
        </w:rPr>
      </w:pPr>
      <w:r w:rsidRPr="00815AA9">
        <w:rPr>
          <w:rFonts w:ascii="Times New Roman" w:hAnsi="Times New Roman" w:cs="Times New Roman"/>
          <w:bCs/>
          <w:sz w:val="24"/>
          <w:szCs w:val="24"/>
          <w:lang w:val="en-GB"/>
        </w:rPr>
        <w:t>The coefficient of LCOID (log of customs and other import duties) is -0.279 (p = 0.001), indicating a statistically significant negative effect of customs and other import duties on decent work and economic growth; indicating that a 1% increase in customs and import duties is associated with a 0.279 percentage point reduction in the attainment of decent work and economic growth. This finding implies that excessive reliance on import taxation may hinder production and trade competitiveness, potentially constraining overall growth.</w:t>
      </w:r>
    </w:p>
    <w:p w14:paraId="7C3DF1D2" w14:textId="77777777" w:rsidR="0022161C" w:rsidRPr="00815AA9" w:rsidRDefault="0022161C" w:rsidP="00764836">
      <w:pPr>
        <w:spacing w:before="240" w:after="0" w:line="240" w:lineRule="auto"/>
        <w:jc w:val="both"/>
        <w:rPr>
          <w:rFonts w:ascii="Times New Roman" w:hAnsi="Times New Roman" w:cs="Times New Roman"/>
          <w:bCs/>
          <w:sz w:val="24"/>
          <w:szCs w:val="24"/>
          <w:lang w:val="en-GB"/>
        </w:rPr>
      </w:pPr>
      <w:r w:rsidRPr="00815AA9">
        <w:rPr>
          <w:rFonts w:ascii="Times New Roman" w:hAnsi="Times New Roman" w:cs="Times New Roman"/>
          <w:bCs/>
          <w:sz w:val="24"/>
          <w:szCs w:val="24"/>
          <w:lang w:val="en-GB"/>
        </w:rPr>
        <w:t>The coefficient for LTAXP (log of taxes on exports) is -0.007 with a p-value of 0.730, indicating a negative but statistically insignificant relationship with decent work and economic growth (DWEG) at the 5% significance level. This means that, holding other variables constant, a 1% increase in taxes on exports is associated with a 0.007% decrease in decent work and economic growth, though this effect is not statistically significant because the p-value (0.730) is greater than 0.05, this implies that variations in export taxes do not exert a significant impact on the percentage change in decent work and economic growth  among the sampled African countries. The weak and statistically insignificant coefficient implies that export taxation policies may not be a key driver of short-term growth performance, possibly because export taxes represent a relatively small share of total revenue or have offsetting effects on trade competitiveness and output.</w:t>
      </w:r>
    </w:p>
    <w:p w14:paraId="6F730890" w14:textId="77777777" w:rsidR="0022161C" w:rsidRPr="00815AA9" w:rsidRDefault="0022161C" w:rsidP="00764836">
      <w:pPr>
        <w:spacing w:before="240" w:after="0" w:line="240" w:lineRule="auto"/>
        <w:jc w:val="both"/>
        <w:rPr>
          <w:rFonts w:ascii="Times New Roman" w:hAnsi="Times New Roman" w:cs="Times New Roman"/>
          <w:bCs/>
          <w:sz w:val="24"/>
          <w:szCs w:val="24"/>
          <w:lang w:val="en-GB"/>
        </w:rPr>
      </w:pPr>
      <w:r w:rsidRPr="00815AA9">
        <w:rPr>
          <w:rFonts w:ascii="Times New Roman" w:hAnsi="Times New Roman" w:cs="Times New Roman"/>
          <w:bCs/>
          <w:sz w:val="24"/>
          <w:szCs w:val="24"/>
          <w:lang w:val="en-GB"/>
        </w:rPr>
        <w:lastRenderedPageBreak/>
        <w:t>For LTAGS (log of taxes on goods and services), the coefficient is 0.388 (p = 0.001), indicating a positive and significant relationship with decent work and economic growth. This indicates that a 1% rise in taxes on goods and services contributes to a 0.388% increase in decent work and economic growth. This result aligns with the notion that consumption-based taxes, when efficiently administered, can provide stable revenue sources for financing public infrastructure and stimulating domestic demand without heavily distorting production incentives.</w:t>
      </w:r>
    </w:p>
    <w:p w14:paraId="2B1C5F25" w14:textId="77777777" w:rsidR="0022161C" w:rsidRPr="00815AA9" w:rsidRDefault="0022161C" w:rsidP="00764836">
      <w:pPr>
        <w:spacing w:before="240" w:after="0" w:line="240" w:lineRule="auto"/>
        <w:jc w:val="both"/>
        <w:rPr>
          <w:rFonts w:ascii="Times New Roman" w:hAnsi="Times New Roman" w:cs="Times New Roman"/>
          <w:bCs/>
          <w:sz w:val="24"/>
          <w:szCs w:val="24"/>
          <w:lang w:val="en-GB"/>
        </w:rPr>
      </w:pPr>
      <w:r w:rsidRPr="00815AA9">
        <w:rPr>
          <w:rFonts w:ascii="Times New Roman" w:hAnsi="Times New Roman" w:cs="Times New Roman"/>
          <w:bCs/>
          <w:sz w:val="24"/>
          <w:szCs w:val="24"/>
          <w:lang w:val="en-GB"/>
        </w:rPr>
        <w:t>The coefficient of LTIPC (log of taxes on income, profit, and capital gains) is -0.130 with a p-value of 0.162, indicating a negative but statistically insignificant effect of taxes on income, profit, and capital gains on decent work and economic growth (DWEG) at the 5% significance level. This implies that, holding other factors constant, a 1% increase in income, profit, and capital gains taxes would result to estimated 0.13% reduction in decent work and economic growth attainment, although this effect is not statistically significant. This implies that while the negative coefficient suggests that higher income and profit taxation might discourage investment and reduce economic expansion, the lack of statistical significance means that such taxes do not have a measurable or consistent impact on the rate of decent work and economic growth across the countries studied. The constant term (15.573; p = 0.033) represents the baseline decent work and economic growth  rate, expressed in percentages, when all logged tax variables are held at zero. It is statistically significant and provides a meaningful reference for the overall model fit.</w:t>
      </w:r>
    </w:p>
    <w:p w14:paraId="7A7AD864" w14:textId="32CCD910" w:rsidR="0022161C" w:rsidRPr="00815AA9" w:rsidRDefault="0022161C" w:rsidP="00764836">
      <w:pPr>
        <w:spacing w:before="240" w:after="0" w:line="240" w:lineRule="auto"/>
        <w:jc w:val="both"/>
        <w:rPr>
          <w:rFonts w:ascii="Times New Roman" w:hAnsi="Times New Roman" w:cs="Times New Roman"/>
          <w:bCs/>
          <w:sz w:val="24"/>
          <w:szCs w:val="24"/>
          <w:lang w:val="en-GB"/>
        </w:rPr>
      </w:pPr>
      <w:r w:rsidRPr="00815AA9">
        <w:rPr>
          <w:rFonts w:ascii="Times New Roman" w:hAnsi="Times New Roman" w:cs="Times New Roman"/>
          <w:bCs/>
          <w:sz w:val="24"/>
          <w:szCs w:val="24"/>
          <w:lang w:val="en-GB"/>
        </w:rPr>
        <w:t xml:space="preserve">The within R-squared value of 0.590 indicates that approximately 59% of the variations in decent work and economic growth  among the countries and over time are explained by the included tax revenue variables and the lagged dependent variable while the remaining variations of 41% are caused by </w:t>
      </w:r>
      <w:r w:rsidR="00BC103E" w:rsidRPr="00815AA9">
        <w:rPr>
          <w:rFonts w:ascii="Times New Roman" w:hAnsi="Times New Roman" w:cs="Times New Roman"/>
          <w:bCs/>
          <w:sz w:val="24"/>
          <w:szCs w:val="24"/>
          <w:lang w:val="en-GB"/>
        </w:rPr>
        <w:t>other</w:t>
      </w:r>
      <w:r w:rsidR="00827420" w:rsidRPr="00815AA9">
        <w:rPr>
          <w:rFonts w:ascii="Times New Roman" w:hAnsi="Times New Roman" w:cs="Times New Roman"/>
          <w:bCs/>
          <w:sz w:val="24"/>
          <w:szCs w:val="24"/>
          <w:lang w:val="en-GB"/>
        </w:rPr>
        <w:t xml:space="preserve"> factors outside the scope </w:t>
      </w:r>
      <w:r w:rsidRPr="00815AA9">
        <w:rPr>
          <w:rFonts w:ascii="Times New Roman" w:hAnsi="Times New Roman" w:cs="Times New Roman"/>
          <w:bCs/>
          <w:sz w:val="24"/>
          <w:szCs w:val="24"/>
          <w:lang w:val="en-GB"/>
        </w:rPr>
        <w:t>of this study. The F-statistic (F(5, 569) = 37.11, p = 0.000) confirms that the model is jointly significant, meaning that the explanatory variables collectively exert a significant influence on decent work and economic growth. Therefore, the study rejected the null hypothesis that “tax revenues have no significant effect on decent work and economic growth” which implies that tax revenue measures significantly affect decent work and economic growth in selected African countries.</w:t>
      </w:r>
    </w:p>
    <w:p w14:paraId="55CC7F3F" w14:textId="77777777" w:rsidR="0022161C" w:rsidRPr="00815AA9" w:rsidRDefault="0022161C" w:rsidP="00764836">
      <w:pPr>
        <w:spacing w:before="240" w:after="0" w:line="240" w:lineRule="auto"/>
        <w:jc w:val="both"/>
        <w:rPr>
          <w:rFonts w:ascii="Times New Roman" w:hAnsi="Times New Roman" w:cs="Times New Roman"/>
          <w:b/>
          <w:bCs/>
          <w:sz w:val="24"/>
          <w:szCs w:val="24"/>
        </w:rPr>
      </w:pPr>
      <w:r w:rsidRPr="00815AA9">
        <w:rPr>
          <w:rFonts w:ascii="Times New Roman" w:hAnsi="Times New Roman" w:cs="Times New Roman"/>
          <w:bCs/>
          <w:sz w:val="24"/>
          <w:szCs w:val="24"/>
          <w:lang w:val="zh-CN"/>
        </w:rPr>
        <w:t>.</w:t>
      </w:r>
      <w:r w:rsidRPr="00815AA9">
        <w:rPr>
          <w:rFonts w:ascii="Times New Roman" w:hAnsi="Times New Roman" w:cs="Times New Roman"/>
          <w:b/>
          <w:bCs/>
          <w:i/>
          <w:sz w:val="24"/>
          <w:szCs w:val="24"/>
        </w:rPr>
        <w:t>Discussion of Findings</w:t>
      </w:r>
      <w:r w:rsidRPr="00815AA9">
        <w:rPr>
          <w:rFonts w:ascii="Times New Roman" w:hAnsi="Times New Roman" w:cs="Times New Roman"/>
          <w:b/>
          <w:bCs/>
          <w:sz w:val="24"/>
          <w:szCs w:val="24"/>
        </w:rPr>
        <w:t xml:space="preserve"> </w:t>
      </w:r>
    </w:p>
    <w:p w14:paraId="213A64BD" w14:textId="77777777" w:rsidR="0022161C" w:rsidRPr="00815AA9" w:rsidRDefault="0022161C" w:rsidP="00764836">
      <w:pPr>
        <w:spacing w:before="240" w:after="0" w:line="240" w:lineRule="auto"/>
        <w:jc w:val="both"/>
        <w:rPr>
          <w:rFonts w:ascii="Times New Roman" w:hAnsi="Times New Roman" w:cs="Times New Roman"/>
          <w:bCs/>
          <w:sz w:val="24"/>
          <w:szCs w:val="24"/>
          <w:lang w:val="en-GB"/>
        </w:rPr>
      </w:pPr>
      <w:r w:rsidRPr="00815AA9">
        <w:rPr>
          <w:rFonts w:ascii="Times New Roman" w:hAnsi="Times New Roman" w:cs="Times New Roman"/>
          <w:bCs/>
          <w:sz w:val="24"/>
          <w:szCs w:val="24"/>
          <w:lang w:val="en-GB"/>
        </w:rPr>
        <w:t xml:space="preserve">The findings from </w:t>
      </w:r>
      <w:r w:rsidR="00171A84" w:rsidRPr="00815AA9">
        <w:rPr>
          <w:rFonts w:ascii="Times New Roman" w:hAnsi="Times New Roman" w:cs="Times New Roman"/>
          <w:bCs/>
          <w:sz w:val="24"/>
          <w:szCs w:val="24"/>
          <w:lang w:val="en-GB"/>
        </w:rPr>
        <w:t>the regression result</w:t>
      </w:r>
      <w:r w:rsidRPr="00815AA9">
        <w:rPr>
          <w:rFonts w:ascii="Times New Roman" w:hAnsi="Times New Roman" w:cs="Times New Roman"/>
          <w:bCs/>
          <w:sz w:val="24"/>
          <w:szCs w:val="24"/>
          <w:lang w:val="en-GB"/>
        </w:rPr>
        <w:t xml:space="preserve"> reveal a nuanced relationship between various components of tax revenue and </w:t>
      </w:r>
      <w:r w:rsidRPr="00815AA9">
        <w:rPr>
          <w:rFonts w:ascii="Times New Roman" w:hAnsi="Times New Roman" w:cs="Times New Roman"/>
          <w:bCs/>
          <w:iCs/>
          <w:sz w:val="24"/>
          <w:szCs w:val="24"/>
          <w:lang w:val="en-GB"/>
        </w:rPr>
        <w:t>decent work and economic growth (DWEG)</w:t>
      </w:r>
      <w:r w:rsidRPr="00815AA9">
        <w:rPr>
          <w:rFonts w:ascii="Times New Roman" w:hAnsi="Times New Roman" w:cs="Times New Roman"/>
          <w:bCs/>
          <w:sz w:val="24"/>
          <w:szCs w:val="24"/>
          <w:lang w:val="en-GB"/>
        </w:rPr>
        <w:t xml:space="preserve"> in selected African countries. The coefficient of the lagged dependent variable, DWEG(-1), is positive and highly significant (0.764; p = 0.000), indicating strong persistence in economic performance that is, countries with improved decent work and growth levels in previous periods tend to sustain or build upon those achievements in subsequent periods. Among the tax components, the coefficient of LCOID (customs and import duties) is negative and statistically significant (-0.279; p = 0.001), suggesting that excessive reliance on import duties undermines economic performance by constraining productive activity and trade competitiveness. LTAGS (taxes on goods and services) has a positive and significant effect (0.388; p = 0.001), showing that consumption-based taxes promote growth when efficiently managed, while LTIPC (income, profit, and capital gains taxes) and LTAXP (export taxes) have negative but statistically insignificant effects (-0.130; p = 0.162 and -0.007; p = 0.730, respectively), implying limited or weak growth effects. Collectively, the model indicates that the structure and efficiency of taxation not merely the magnitude determine its impact on economic progress in Africa.</w:t>
      </w:r>
    </w:p>
    <w:p w14:paraId="583759C3" w14:textId="77777777" w:rsidR="0022161C" w:rsidRPr="00815AA9" w:rsidRDefault="0022161C" w:rsidP="00764836">
      <w:pPr>
        <w:spacing w:before="240" w:after="0" w:line="240" w:lineRule="auto"/>
        <w:jc w:val="both"/>
        <w:rPr>
          <w:rFonts w:ascii="Times New Roman" w:hAnsi="Times New Roman" w:cs="Times New Roman"/>
          <w:bCs/>
          <w:sz w:val="24"/>
          <w:szCs w:val="24"/>
          <w:lang w:val="en-GB"/>
        </w:rPr>
      </w:pPr>
      <w:r w:rsidRPr="00815AA9">
        <w:rPr>
          <w:rFonts w:ascii="Times New Roman" w:hAnsi="Times New Roman" w:cs="Times New Roman"/>
          <w:bCs/>
          <w:sz w:val="24"/>
          <w:szCs w:val="24"/>
          <w:lang w:val="en-GB"/>
        </w:rPr>
        <w:lastRenderedPageBreak/>
        <w:t xml:space="preserve">These results align with and partially diverge from previous empirical findings. For instance, Atuma et al. (2024) found that corporate income tax (CIT) and value-added tax (VAT) positively influence GDP growth, while petroleum profit tax has mixed effects. </w:t>
      </w:r>
      <w:r w:rsidR="00171A84" w:rsidRPr="00815AA9">
        <w:rPr>
          <w:rFonts w:ascii="Times New Roman" w:hAnsi="Times New Roman" w:cs="Times New Roman"/>
          <w:bCs/>
          <w:sz w:val="24"/>
          <w:szCs w:val="24"/>
          <w:lang w:val="en-GB"/>
        </w:rPr>
        <w:t>The result</w:t>
      </w:r>
      <w:r w:rsidRPr="00815AA9">
        <w:rPr>
          <w:rFonts w:ascii="Times New Roman" w:hAnsi="Times New Roman" w:cs="Times New Roman"/>
          <w:bCs/>
          <w:sz w:val="24"/>
          <w:szCs w:val="24"/>
          <w:lang w:val="en-GB"/>
        </w:rPr>
        <w:t xml:space="preserve"> aligns partially with this finding the positive and significant impact of LTAGS (representing VAT and related consumption taxes) supports Atuma et al. (2024) evidence that consumption-based taxes enhance economic performance. However, the negative and insignificant coefficient of LTIPC (income and profit taxes) in </w:t>
      </w:r>
      <w:r w:rsidR="00171A84" w:rsidRPr="00815AA9">
        <w:rPr>
          <w:rFonts w:ascii="Times New Roman" w:hAnsi="Times New Roman" w:cs="Times New Roman"/>
          <w:bCs/>
          <w:sz w:val="24"/>
          <w:szCs w:val="24"/>
          <w:lang w:val="en-GB"/>
        </w:rPr>
        <w:t>the result</w:t>
      </w:r>
      <w:r w:rsidRPr="00815AA9">
        <w:rPr>
          <w:rFonts w:ascii="Times New Roman" w:hAnsi="Times New Roman" w:cs="Times New Roman"/>
          <w:bCs/>
          <w:sz w:val="24"/>
          <w:szCs w:val="24"/>
          <w:lang w:val="en-GB"/>
        </w:rPr>
        <w:t xml:space="preserve"> contradicts their finding of a positive CIT effect, suggesting that in the sampled African countries, direct taxation may still carry distortive effects or suffer from inefficiencies in administration and allocation.</w:t>
      </w:r>
    </w:p>
    <w:p w14:paraId="5E7B6308" w14:textId="77777777" w:rsidR="0022161C" w:rsidRPr="00815AA9" w:rsidRDefault="0022161C" w:rsidP="00764836">
      <w:pPr>
        <w:spacing w:before="240" w:after="0" w:line="240" w:lineRule="auto"/>
        <w:jc w:val="both"/>
        <w:rPr>
          <w:rFonts w:ascii="Times New Roman" w:hAnsi="Times New Roman" w:cs="Times New Roman"/>
          <w:bCs/>
          <w:sz w:val="24"/>
          <w:szCs w:val="24"/>
          <w:lang w:val="en-GB"/>
        </w:rPr>
      </w:pPr>
      <w:r w:rsidRPr="00815AA9">
        <w:rPr>
          <w:rFonts w:ascii="Times New Roman" w:hAnsi="Times New Roman" w:cs="Times New Roman"/>
          <w:bCs/>
          <w:sz w:val="24"/>
          <w:szCs w:val="24"/>
          <w:lang w:val="en-GB"/>
        </w:rPr>
        <w:t>Similarly, Ayeni et al. (2022) observed that VAT and PPT contribute positively to growth, while CIT exerts a negative influence. T</w:t>
      </w:r>
      <w:r w:rsidR="00171A84" w:rsidRPr="00815AA9">
        <w:rPr>
          <w:rFonts w:ascii="Times New Roman" w:hAnsi="Times New Roman" w:cs="Times New Roman"/>
          <w:bCs/>
          <w:sz w:val="24"/>
          <w:szCs w:val="24"/>
          <w:lang w:val="en-GB"/>
        </w:rPr>
        <w:t>his pattern is consistent with the result</w:t>
      </w:r>
      <w:r w:rsidRPr="00815AA9">
        <w:rPr>
          <w:rFonts w:ascii="Times New Roman" w:hAnsi="Times New Roman" w:cs="Times New Roman"/>
          <w:bCs/>
          <w:sz w:val="24"/>
          <w:szCs w:val="24"/>
          <w:lang w:val="en-GB"/>
        </w:rPr>
        <w:t>, where LTAGS is positive and LTIPC is negative. Both findings compliment the idea that consumption taxes stimulate growth through stable revenue generation, while high income or profit taxes may dis</w:t>
      </w:r>
      <w:r w:rsidR="00171A84" w:rsidRPr="00815AA9">
        <w:rPr>
          <w:rFonts w:ascii="Times New Roman" w:hAnsi="Times New Roman" w:cs="Times New Roman"/>
          <w:bCs/>
          <w:sz w:val="24"/>
          <w:szCs w:val="24"/>
          <w:lang w:val="en-GB"/>
        </w:rPr>
        <w:t>-</w:t>
      </w:r>
      <w:r w:rsidRPr="00815AA9">
        <w:rPr>
          <w:rFonts w:ascii="Times New Roman" w:hAnsi="Times New Roman" w:cs="Times New Roman"/>
          <w:bCs/>
          <w:sz w:val="24"/>
          <w:szCs w:val="24"/>
          <w:lang w:val="en-GB"/>
        </w:rPr>
        <w:t xml:space="preserve">incentivize investment and employment. The findings of Ayana et al. (2023) emphasized that institutional quality mediates the tax–growth relationship. </w:t>
      </w:r>
      <w:r w:rsidR="00171A84" w:rsidRPr="00815AA9">
        <w:rPr>
          <w:rFonts w:ascii="Times New Roman" w:hAnsi="Times New Roman" w:cs="Times New Roman"/>
          <w:bCs/>
          <w:sz w:val="24"/>
          <w:szCs w:val="24"/>
          <w:lang w:val="en-GB"/>
        </w:rPr>
        <w:t xml:space="preserve">The regression result’s </w:t>
      </w:r>
      <w:r w:rsidRPr="00815AA9">
        <w:rPr>
          <w:rFonts w:ascii="Times New Roman" w:hAnsi="Times New Roman" w:cs="Times New Roman"/>
          <w:bCs/>
          <w:sz w:val="24"/>
          <w:szCs w:val="24"/>
          <w:lang w:val="en-GB"/>
        </w:rPr>
        <w:t>mixed results support this argument the positive effect of LTAGS and negative impact of LCOID indicate that institutional efficiency and trade facilitation shape how taxes translate into growth. Poor governance and administrative inefficiencies in customs systems may explain why import duties harm growth, echoing Ayana et al. (2023) observation that institutional weaknesses distort the fiscal-growth channel.</w:t>
      </w:r>
    </w:p>
    <w:p w14:paraId="3E9317E7" w14:textId="77777777" w:rsidR="0022161C" w:rsidRPr="00815AA9" w:rsidRDefault="00171A84" w:rsidP="00764836">
      <w:pPr>
        <w:spacing w:before="240" w:after="0" w:line="240" w:lineRule="auto"/>
        <w:jc w:val="both"/>
        <w:rPr>
          <w:rFonts w:ascii="Times New Roman" w:hAnsi="Times New Roman" w:cs="Times New Roman"/>
          <w:bCs/>
          <w:sz w:val="24"/>
          <w:szCs w:val="24"/>
          <w:lang w:val="en-GB"/>
        </w:rPr>
      </w:pPr>
      <w:r w:rsidRPr="00815AA9">
        <w:rPr>
          <w:rFonts w:ascii="Times New Roman" w:hAnsi="Times New Roman" w:cs="Times New Roman"/>
          <w:bCs/>
          <w:sz w:val="24"/>
          <w:szCs w:val="24"/>
          <w:lang w:val="en-GB"/>
        </w:rPr>
        <w:t>The</w:t>
      </w:r>
      <w:r w:rsidR="0022161C" w:rsidRPr="00815AA9">
        <w:rPr>
          <w:rFonts w:ascii="Times New Roman" w:hAnsi="Times New Roman" w:cs="Times New Roman"/>
          <w:bCs/>
          <w:sz w:val="24"/>
          <w:szCs w:val="24"/>
          <w:lang w:val="en-GB"/>
        </w:rPr>
        <w:t xml:space="preserve"> results also agree with Jean et al. (2024), who found that effective revenue mobilization, even amid tax evasion challenges, can sustain economic activity. The strong persistence effect of DWEG(-1) and the positive coefficient for LTAGS reflect that stable and well-managed tax inflows support long-term economic performance, consistent with Jean et al. (2024) conclusions. However, the negative and significant coefficient of LCOID in </w:t>
      </w:r>
      <w:r w:rsidRPr="00815AA9">
        <w:rPr>
          <w:rFonts w:ascii="Times New Roman" w:hAnsi="Times New Roman" w:cs="Times New Roman"/>
          <w:bCs/>
          <w:sz w:val="24"/>
          <w:szCs w:val="24"/>
          <w:lang w:val="en-GB"/>
        </w:rPr>
        <w:t>result</w:t>
      </w:r>
      <w:r w:rsidR="0022161C" w:rsidRPr="00815AA9">
        <w:rPr>
          <w:rFonts w:ascii="Times New Roman" w:hAnsi="Times New Roman" w:cs="Times New Roman"/>
          <w:bCs/>
          <w:sz w:val="24"/>
          <w:szCs w:val="24"/>
          <w:lang w:val="en-GB"/>
        </w:rPr>
        <w:t xml:space="preserve"> contradicts the optimistic results of Ho et al. (2023), who reported that tax reforms combined with trade openness enhanced growth. The contradiction implies that, while trade openness can complement tax policy in some contexts, import duties in African economies may act as barriers rather than catalysts for productive expansion.</w:t>
      </w:r>
    </w:p>
    <w:p w14:paraId="2C08C545" w14:textId="77777777" w:rsidR="0022161C" w:rsidRPr="00815AA9" w:rsidRDefault="0022161C" w:rsidP="00764836">
      <w:pPr>
        <w:spacing w:before="240" w:after="0" w:line="240" w:lineRule="auto"/>
        <w:jc w:val="both"/>
        <w:rPr>
          <w:rFonts w:ascii="Times New Roman" w:hAnsi="Times New Roman" w:cs="Times New Roman"/>
          <w:bCs/>
          <w:sz w:val="24"/>
          <w:szCs w:val="24"/>
          <w:lang w:val="en-GB"/>
        </w:rPr>
      </w:pPr>
      <w:r w:rsidRPr="00815AA9">
        <w:rPr>
          <w:rFonts w:ascii="Times New Roman" w:hAnsi="Times New Roman" w:cs="Times New Roman"/>
          <w:bCs/>
          <w:sz w:val="24"/>
          <w:szCs w:val="24"/>
          <w:lang w:val="en-GB"/>
        </w:rPr>
        <w:t xml:space="preserve">The findings align with Ify and Iroh (2024), who reported that VAT and PPT have substantial effects on GDP, while CIT and CED have adverse long-run effects. The positive LTAGS and negative LTIPC in </w:t>
      </w:r>
      <w:r w:rsidR="00171A84" w:rsidRPr="00815AA9">
        <w:rPr>
          <w:rFonts w:ascii="Times New Roman" w:hAnsi="Times New Roman" w:cs="Times New Roman"/>
          <w:bCs/>
          <w:sz w:val="24"/>
          <w:szCs w:val="24"/>
          <w:lang w:val="en-GB"/>
        </w:rPr>
        <w:t>the result</w:t>
      </w:r>
      <w:r w:rsidRPr="00815AA9">
        <w:rPr>
          <w:rFonts w:ascii="Times New Roman" w:hAnsi="Times New Roman" w:cs="Times New Roman"/>
          <w:bCs/>
          <w:sz w:val="24"/>
          <w:szCs w:val="24"/>
          <w:lang w:val="en-GB"/>
        </w:rPr>
        <w:t xml:space="preserve"> reaffirm this duality, indicating that indirect taxes can boost growth when effectively utilized, whereas direct taxes can hinder productivity. Similarly, Oto and Wayas (2024) found that VAT significantly drives revenue and GDP, which supports positive LTAGS outcome. This further validates the argument that consumption-based taxes are vital for financing productive sectors and sustaining decent work levels.</w:t>
      </w:r>
    </w:p>
    <w:p w14:paraId="6784C56D" w14:textId="77777777" w:rsidR="0022161C" w:rsidRPr="00815AA9" w:rsidRDefault="0022161C" w:rsidP="00764836">
      <w:pPr>
        <w:spacing w:before="240" w:after="0" w:line="240" w:lineRule="auto"/>
        <w:jc w:val="both"/>
        <w:rPr>
          <w:rFonts w:ascii="Times New Roman" w:hAnsi="Times New Roman" w:cs="Times New Roman"/>
          <w:bCs/>
          <w:sz w:val="24"/>
          <w:szCs w:val="24"/>
          <w:lang w:val="en-GB"/>
        </w:rPr>
      </w:pPr>
      <w:r w:rsidRPr="00815AA9">
        <w:rPr>
          <w:rFonts w:ascii="Times New Roman" w:hAnsi="Times New Roman" w:cs="Times New Roman"/>
          <w:bCs/>
          <w:sz w:val="24"/>
          <w:szCs w:val="24"/>
          <w:lang w:val="en-GB"/>
        </w:rPr>
        <w:t xml:space="preserve">The negative coefficient for LTIPC is also consistent with Narciz et al. (2023), who documented that corporate taxation exerts a negative effect on growth in European countries. Both results reflect the broader empirical consensus that high direct taxation can discourage private investment and innovation, which are critical elements of endogenous growth. Conversely, Adesanya et al. (2024) and Raphael et al. (2024) found that tax revenues have strong positive long-term effects on growth, contrasting partially with </w:t>
      </w:r>
      <w:r w:rsidR="00827420" w:rsidRPr="00815AA9">
        <w:rPr>
          <w:rFonts w:ascii="Times New Roman" w:hAnsi="Times New Roman" w:cs="Times New Roman"/>
          <w:bCs/>
          <w:sz w:val="24"/>
          <w:szCs w:val="24"/>
          <w:lang w:val="en-GB"/>
        </w:rPr>
        <w:t>the</w:t>
      </w:r>
      <w:r w:rsidRPr="00815AA9">
        <w:rPr>
          <w:rFonts w:ascii="Times New Roman" w:hAnsi="Times New Roman" w:cs="Times New Roman"/>
          <w:bCs/>
          <w:sz w:val="24"/>
          <w:szCs w:val="24"/>
          <w:lang w:val="en-GB"/>
        </w:rPr>
        <w:t xml:space="preserve"> mixed results. This divergence could stem from structural differences between African and more diversified economies, where tax proceeds are more effectively channelled into productive public investments.</w:t>
      </w:r>
    </w:p>
    <w:p w14:paraId="6B96CCDF" w14:textId="77777777" w:rsidR="0022161C" w:rsidRPr="00815AA9" w:rsidRDefault="00827420" w:rsidP="00764836">
      <w:pPr>
        <w:spacing w:before="240" w:after="0" w:line="240" w:lineRule="auto"/>
        <w:jc w:val="both"/>
        <w:rPr>
          <w:rFonts w:ascii="Times New Roman" w:hAnsi="Times New Roman" w:cs="Times New Roman"/>
          <w:bCs/>
          <w:sz w:val="24"/>
          <w:szCs w:val="24"/>
          <w:lang w:val="en-GB"/>
        </w:rPr>
      </w:pPr>
      <w:r w:rsidRPr="00815AA9">
        <w:rPr>
          <w:rFonts w:ascii="Times New Roman" w:hAnsi="Times New Roman" w:cs="Times New Roman"/>
          <w:bCs/>
          <w:sz w:val="24"/>
          <w:szCs w:val="24"/>
          <w:lang w:val="en-GB"/>
        </w:rPr>
        <w:lastRenderedPageBreak/>
        <w:t xml:space="preserve">The </w:t>
      </w:r>
      <w:r w:rsidR="0022161C" w:rsidRPr="00815AA9">
        <w:rPr>
          <w:rFonts w:ascii="Times New Roman" w:hAnsi="Times New Roman" w:cs="Times New Roman"/>
          <w:bCs/>
          <w:sz w:val="24"/>
          <w:szCs w:val="24"/>
          <w:lang w:val="en-GB"/>
        </w:rPr>
        <w:t xml:space="preserve">insignificant effects of export taxes (LTAXP) are consistent with Osamor et al. (2023) and Fang (2024), who found minimal or negative effects of export and corporate taxes on growth. This similarity suggests that taxes on external trade are less effective as growth instruments in developing economies where export bases are narrow and dependent on volatile commodities. The results also agree with Ajeigbe et al. (2023), who emphasized that sustainable tax systems and prudent public expenditure promote growth. The positive and significant LTAGS coefficient reflects how stable consumption tax revenue can underpin sustainable financing for infrastructure and employment programmes that enhance decent work outcomes. </w:t>
      </w:r>
      <w:r w:rsidRPr="00815AA9">
        <w:rPr>
          <w:rFonts w:ascii="Times New Roman" w:hAnsi="Times New Roman" w:cs="Times New Roman"/>
          <w:bCs/>
          <w:sz w:val="24"/>
          <w:szCs w:val="24"/>
          <w:lang w:val="en-GB"/>
        </w:rPr>
        <w:t>It</w:t>
      </w:r>
      <w:r w:rsidR="0022161C" w:rsidRPr="00815AA9">
        <w:rPr>
          <w:rFonts w:ascii="Times New Roman" w:hAnsi="Times New Roman" w:cs="Times New Roman"/>
          <w:bCs/>
          <w:sz w:val="24"/>
          <w:szCs w:val="24"/>
          <w:lang w:val="en-GB"/>
        </w:rPr>
        <w:t xml:space="preserve"> supports the findings of Zehri et al. (2024), who linked decent work and inclusive growth as mutually reinforcing. The result suggests that prior improvements in decent work conditions translate into higher subsequent economic growth, consistent with the virtuous cycle proposed by endogenous growth theory.</w:t>
      </w:r>
    </w:p>
    <w:p w14:paraId="133E84E5" w14:textId="77777777" w:rsidR="0022161C" w:rsidRPr="00815AA9" w:rsidRDefault="0022161C" w:rsidP="00764836">
      <w:pPr>
        <w:spacing w:before="240" w:after="0" w:line="240" w:lineRule="auto"/>
        <w:jc w:val="both"/>
        <w:rPr>
          <w:rFonts w:ascii="Times New Roman" w:hAnsi="Times New Roman" w:cs="Times New Roman"/>
          <w:bCs/>
          <w:sz w:val="24"/>
          <w:szCs w:val="24"/>
          <w:lang w:val="en-GB"/>
        </w:rPr>
      </w:pPr>
      <w:r w:rsidRPr="00815AA9">
        <w:rPr>
          <w:rFonts w:ascii="Times New Roman" w:hAnsi="Times New Roman" w:cs="Times New Roman"/>
          <w:bCs/>
          <w:sz w:val="24"/>
          <w:szCs w:val="24"/>
          <w:lang w:val="en-GB"/>
        </w:rPr>
        <w:t>The findings validate the Endogenous Growth Theory, which posits that long-term economic growth results from internal factors such as innovation, human capital, and productive investment all of which are influenced by fiscal policy. The positive and significant impact of LTAGS implies that when tax revenues are channelled into productive uses (such as education, health, or infrastructure), they can stimulate innovation and enhance productivity, consistent with the theory’s assumption that public investment raises the marginal productivity of private capital.</w:t>
      </w:r>
    </w:p>
    <w:p w14:paraId="607CFEA9" w14:textId="77777777" w:rsidR="0022161C" w:rsidRPr="00815AA9" w:rsidRDefault="0022161C" w:rsidP="00764836">
      <w:pPr>
        <w:spacing w:before="240" w:after="0" w:line="240" w:lineRule="auto"/>
        <w:jc w:val="both"/>
        <w:rPr>
          <w:rFonts w:ascii="Times New Roman" w:hAnsi="Times New Roman" w:cs="Times New Roman"/>
          <w:bCs/>
          <w:sz w:val="24"/>
          <w:szCs w:val="24"/>
          <w:lang w:val="en-GB"/>
        </w:rPr>
      </w:pPr>
      <w:r w:rsidRPr="00815AA9">
        <w:rPr>
          <w:rFonts w:ascii="Times New Roman" w:hAnsi="Times New Roman" w:cs="Times New Roman"/>
          <w:bCs/>
          <w:sz w:val="24"/>
          <w:szCs w:val="24"/>
          <w:lang w:val="en-GB"/>
        </w:rPr>
        <w:t>Conversely, the negative effects of LCOID and LTIPC illustrate the distortionary side of taxation highlighted by the theory when taxes discourage trade or reduce investment incentives, they weaken the growth process. The persistence of DWEG(-1) confirms that growth in decent work and economic output is path-dependent, a hallmark of endogenous models where past accumulation of knowledge, labour skills, and institutional quality continues to shape future performance.</w:t>
      </w:r>
    </w:p>
    <w:p w14:paraId="36427F73" w14:textId="77777777" w:rsidR="00827420" w:rsidRPr="00815AA9" w:rsidRDefault="00827420" w:rsidP="00764836">
      <w:pPr>
        <w:spacing w:before="240" w:after="0" w:line="240" w:lineRule="auto"/>
        <w:jc w:val="both"/>
        <w:rPr>
          <w:rFonts w:ascii="Times New Roman" w:hAnsi="Times New Roman" w:cs="Times New Roman"/>
          <w:bCs/>
          <w:sz w:val="24"/>
          <w:szCs w:val="24"/>
          <w:lang w:val="en-GB"/>
        </w:rPr>
      </w:pPr>
      <w:r w:rsidRPr="00815AA9">
        <w:rPr>
          <w:rFonts w:ascii="Times New Roman" w:hAnsi="Times New Roman" w:cs="Times New Roman"/>
          <w:bCs/>
          <w:sz w:val="24"/>
          <w:szCs w:val="24"/>
          <w:lang w:val="en-GB"/>
        </w:rPr>
        <w:t>The</w:t>
      </w:r>
      <w:r w:rsidR="0022161C" w:rsidRPr="00815AA9">
        <w:rPr>
          <w:rFonts w:ascii="Times New Roman" w:hAnsi="Times New Roman" w:cs="Times New Roman"/>
          <w:bCs/>
          <w:sz w:val="24"/>
          <w:szCs w:val="24"/>
          <w:lang w:val="en-GB"/>
        </w:rPr>
        <w:t xml:space="preserve"> results integrate well with the central premise of the endogenous growth framework: tax policy can be a driver or inhibitor of sustainable economic growth depending on its composition, efficiency, and the productive use of revenue in fostering decent employment and long-term development in African economies.</w:t>
      </w:r>
    </w:p>
    <w:p w14:paraId="30202164" w14:textId="77777777" w:rsidR="00DD76A6" w:rsidRPr="00815AA9" w:rsidRDefault="00DD76A6" w:rsidP="00764836">
      <w:pPr>
        <w:spacing w:before="240" w:after="0" w:line="240" w:lineRule="auto"/>
        <w:jc w:val="both"/>
        <w:rPr>
          <w:rFonts w:ascii="Times New Roman" w:hAnsi="Times New Roman" w:cs="Times New Roman"/>
          <w:b/>
          <w:bCs/>
          <w:i/>
          <w:sz w:val="24"/>
          <w:szCs w:val="24"/>
          <w:lang w:val="en-GB"/>
        </w:rPr>
      </w:pPr>
      <w:r w:rsidRPr="00815AA9">
        <w:rPr>
          <w:rFonts w:ascii="Times New Roman" w:hAnsi="Times New Roman" w:cs="Times New Roman"/>
          <w:b/>
          <w:bCs/>
          <w:i/>
          <w:sz w:val="24"/>
          <w:szCs w:val="24"/>
          <w:lang w:val="en-GB"/>
        </w:rPr>
        <w:t>Implications of Findings</w:t>
      </w:r>
    </w:p>
    <w:p w14:paraId="5BADBF29" w14:textId="77777777" w:rsidR="00DD76A6" w:rsidRPr="00815AA9" w:rsidRDefault="00DD76A6" w:rsidP="00764836">
      <w:pPr>
        <w:spacing w:before="240" w:after="0" w:line="240" w:lineRule="auto"/>
        <w:jc w:val="both"/>
        <w:rPr>
          <w:rFonts w:ascii="Times New Roman" w:hAnsi="Times New Roman" w:cs="Times New Roman"/>
          <w:bCs/>
          <w:sz w:val="24"/>
          <w:szCs w:val="24"/>
          <w:lang w:val="en-GB"/>
        </w:rPr>
      </w:pPr>
      <w:r w:rsidRPr="00815AA9">
        <w:rPr>
          <w:rFonts w:ascii="Times New Roman" w:hAnsi="Times New Roman" w:cs="Times New Roman"/>
          <w:bCs/>
          <w:sz w:val="24"/>
          <w:szCs w:val="24"/>
          <w:lang w:val="en-GB"/>
        </w:rPr>
        <w:t xml:space="preserve">From the outcome of </w:t>
      </w:r>
      <w:r w:rsidR="00827420" w:rsidRPr="00815AA9">
        <w:rPr>
          <w:rFonts w:ascii="Times New Roman" w:hAnsi="Times New Roman" w:cs="Times New Roman"/>
          <w:bCs/>
          <w:sz w:val="24"/>
          <w:szCs w:val="24"/>
          <w:lang w:val="en-GB"/>
        </w:rPr>
        <w:t>regression analysis</w:t>
      </w:r>
      <w:r w:rsidRPr="00815AA9">
        <w:rPr>
          <w:rFonts w:ascii="Times New Roman" w:hAnsi="Times New Roman" w:cs="Times New Roman"/>
          <w:bCs/>
          <w:sz w:val="24"/>
          <w:szCs w:val="24"/>
          <w:lang w:val="en-GB"/>
        </w:rPr>
        <w:t xml:space="preserve"> which examined the effect of tax revenue on decent work and economic growth, the implications of the findings to various stakeholders are:</w:t>
      </w:r>
    </w:p>
    <w:p w14:paraId="338B6CD3" w14:textId="77777777" w:rsidR="00DD76A6" w:rsidRPr="00815AA9" w:rsidRDefault="00DD76A6" w:rsidP="00764836">
      <w:pPr>
        <w:spacing w:before="240" w:after="0" w:line="240" w:lineRule="auto"/>
        <w:jc w:val="both"/>
        <w:rPr>
          <w:rFonts w:ascii="Times New Roman" w:hAnsi="Times New Roman" w:cs="Times New Roman"/>
          <w:bCs/>
          <w:sz w:val="24"/>
          <w:szCs w:val="24"/>
          <w:lang w:val="en-GB"/>
        </w:rPr>
      </w:pPr>
      <w:r w:rsidRPr="00815AA9">
        <w:rPr>
          <w:rFonts w:ascii="Times New Roman" w:hAnsi="Times New Roman" w:cs="Times New Roman"/>
          <w:bCs/>
          <w:sz w:val="24"/>
          <w:szCs w:val="24"/>
          <w:lang w:val="en-GB"/>
        </w:rPr>
        <w:t>On the citizens, the results imply that the structure and burden of taxation indirectly influence the living standards of citizens. The negative relationship between customs and import duties (LCOID) and decent work and economic growth suggests that higher import duties tend to raise the cost of imported goods, which can lead to higher prices for essential commodities and reduced purchasing power. Consequently, citizens experience a decline in real income as inflationary pressures mount. On the other hand, the positive effect of taxes on goods and services (LTAGS) implies that economies with more efficient value-added tax systems may generate revenue without severely distorting consumption or production decisions, allowing for smoother circulation of goods and services that benefits consumers. However, excessive reliance on consumption taxes may still widen income inequality, as low-income households bear a disproportionate share of indirect taxes.</w:t>
      </w:r>
    </w:p>
    <w:p w14:paraId="06DAA7D5" w14:textId="77777777" w:rsidR="00DD76A6" w:rsidRPr="00815AA9" w:rsidRDefault="00DD76A6" w:rsidP="00764836">
      <w:pPr>
        <w:spacing w:before="240" w:after="0" w:line="240" w:lineRule="auto"/>
        <w:jc w:val="both"/>
        <w:rPr>
          <w:rFonts w:ascii="Times New Roman" w:hAnsi="Times New Roman" w:cs="Times New Roman"/>
          <w:bCs/>
          <w:sz w:val="24"/>
          <w:szCs w:val="24"/>
          <w:lang w:val="en-GB"/>
        </w:rPr>
      </w:pPr>
      <w:r w:rsidRPr="00815AA9">
        <w:rPr>
          <w:rFonts w:ascii="Times New Roman" w:hAnsi="Times New Roman" w:cs="Times New Roman"/>
          <w:bCs/>
          <w:sz w:val="24"/>
          <w:szCs w:val="24"/>
          <w:lang w:val="en-GB"/>
        </w:rPr>
        <w:lastRenderedPageBreak/>
        <w:t>For national governments, the findings demonstrated the delicate balance between tax policy design and economic performance. The negative and significant impact of customs and import duties suggests that protectionist or revenue-driven import policies could inadvertently stifle economic activity by increasing trade costs and discouraging both imports and exports. Governments, therefore, face the implication that overdependence on border taxes may limit economic diversification and slow down industrial growth. Conversely, the insignificance of export taxes (LTAXP) and income taxes (LTIPC) in influencing economic growth indicates that these tax sources may not be efficiently structured or may lack sufficient enforcement mechanisms to stimulate productive investments. Thus, governments must interpret these results as evidence that the composition and efficiency of tax collection, not just the rates, are critical in determining how taxes affect macroeconomic performance.</w:t>
      </w:r>
    </w:p>
    <w:p w14:paraId="0D654D4E" w14:textId="77777777" w:rsidR="00DD76A6" w:rsidRPr="00815AA9" w:rsidRDefault="00DD76A6" w:rsidP="00764836">
      <w:pPr>
        <w:spacing w:before="240" w:after="0" w:line="240" w:lineRule="auto"/>
        <w:jc w:val="both"/>
        <w:rPr>
          <w:rFonts w:ascii="Times New Roman" w:hAnsi="Times New Roman" w:cs="Times New Roman"/>
          <w:bCs/>
          <w:sz w:val="24"/>
          <w:szCs w:val="24"/>
          <w:lang w:val="en-GB"/>
        </w:rPr>
      </w:pPr>
      <w:r w:rsidRPr="00815AA9">
        <w:rPr>
          <w:rFonts w:ascii="Times New Roman" w:hAnsi="Times New Roman" w:cs="Times New Roman"/>
          <w:bCs/>
          <w:sz w:val="24"/>
          <w:szCs w:val="24"/>
          <w:lang w:val="en-GB"/>
        </w:rPr>
        <w:t>At the macroeconomic level of the economy, the results imply that tax composition affects the overall growth trajectory of African economies. The significant positive coefficient of taxes on goods and services (LTAGS) suggests that economies with well-administered consumption taxes tend to exhibit stronger and more stable growth patterns. This could be due to the wider tax base and relatively easier compliance associated with VAT-type taxes. Conversely, the negative effects of customs duties and income taxes suggest that heavy reliance on trade and direct taxes may impede productivity, reduce investment incentives, and slow capital formation. The results reflect an economy where the structure of taxation influences trade openness, investment flows, and overall competitiveness, all of which are crucial determinants of sustainable growth.</w:t>
      </w:r>
    </w:p>
    <w:p w14:paraId="02536249" w14:textId="77777777" w:rsidR="00DD76A6" w:rsidRPr="00815AA9" w:rsidRDefault="00DD76A6" w:rsidP="00764836">
      <w:pPr>
        <w:spacing w:before="240" w:after="0" w:line="240" w:lineRule="auto"/>
        <w:jc w:val="both"/>
        <w:rPr>
          <w:rFonts w:ascii="Times New Roman" w:hAnsi="Times New Roman" w:cs="Times New Roman"/>
          <w:bCs/>
          <w:sz w:val="24"/>
          <w:szCs w:val="24"/>
          <w:lang w:val="en-GB"/>
        </w:rPr>
      </w:pPr>
      <w:r w:rsidRPr="00815AA9">
        <w:rPr>
          <w:rFonts w:ascii="Times New Roman" w:hAnsi="Times New Roman" w:cs="Times New Roman"/>
          <w:bCs/>
          <w:sz w:val="24"/>
          <w:szCs w:val="24"/>
          <w:lang w:val="en-GB"/>
        </w:rPr>
        <w:t>For merchants and trading firms, the negative coefficient of customs and import duties (LCOID) has direct implications for operational costs and market competitiveness. Higher import taxes increase the cost of raw materials and intermediate goods, squeezing profit margins and limiting the ability of firms to expand or innovate. This creates a less favorable environment for international trade and cross-border business, leading some merchants to seek informal trade routes to evade taxes. Consequently, trade volumes could shift from formal to informal channels, reducing overall tax compliance and creating distortions in the domestic market.</w:t>
      </w:r>
    </w:p>
    <w:p w14:paraId="53EE3FCB" w14:textId="77777777" w:rsidR="00DD76A6" w:rsidRPr="00815AA9" w:rsidRDefault="00DD76A6" w:rsidP="00764836">
      <w:pPr>
        <w:spacing w:before="240" w:after="0" w:line="240" w:lineRule="auto"/>
        <w:jc w:val="both"/>
        <w:rPr>
          <w:rFonts w:ascii="Times New Roman" w:hAnsi="Times New Roman" w:cs="Times New Roman"/>
          <w:bCs/>
          <w:sz w:val="24"/>
          <w:szCs w:val="24"/>
          <w:lang w:val="en-GB"/>
        </w:rPr>
      </w:pPr>
      <w:r w:rsidRPr="00815AA9">
        <w:rPr>
          <w:rFonts w:ascii="Times New Roman" w:hAnsi="Times New Roman" w:cs="Times New Roman"/>
          <w:bCs/>
          <w:sz w:val="24"/>
          <w:szCs w:val="24"/>
          <w:lang w:val="en-GB"/>
        </w:rPr>
        <w:t>For tax authorities, the findings imply that administrative efficiency and tax mix optimization are essential for maximizing revenue without undermining economic stability. The insignificance of export and income taxes suggests potential inefficiencies in tax administration, leakages, or an inadequate tax base in these areas. The significant negative effect of import duties also implies that excessive reliance on customs revenue could harm trade growth, thereby reducing long-term revenue potential. Thus, the results highlight the need for tax authorities to understand that the sustainability of revenue generation depends on aligning tax structures with growth-promoting activities, even though this implication does not equate to a recommendation for reform.</w:t>
      </w:r>
    </w:p>
    <w:p w14:paraId="76122E34" w14:textId="77777777" w:rsidR="00DD76A6" w:rsidRPr="00815AA9" w:rsidRDefault="00DD76A6" w:rsidP="00764836">
      <w:pPr>
        <w:spacing w:before="240" w:after="0" w:line="240" w:lineRule="auto"/>
        <w:jc w:val="both"/>
        <w:rPr>
          <w:rFonts w:ascii="Times New Roman" w:hAnsi="Times New Roman" w:cs="Times New Roman"/>
          <w:bCs/>
          <w:sz w:val="24"/>
          <w:szCs w:val="24"/>
          <w:lang w:val="en-GB"/>
        </w:rPr>
      </w:pPr>
      <w:r w:rsidRPr="00815AA9">
        <w:rPr>
          <w:rFonts w:ascii="Times New Roman" w:hAnsi="Times New Roman" w:cs="Times New Roman"/>
          <w:bCs/>
          <w:sz w:val="24"/>
          <w:szCs w:val="24"/>
          <w:lang w:val="en-GB"/>
        </w:rPr>
        <w:t>Policy makers are faced with the implication that fiscal policy choices have deep structural impacts on economic performance. The evidence that import and income taxes negatively affect growth while consumption taxes support it implies that the design of fiscal frameworks directly shapes economic incentives. Poorly designed tax systems can deter investment, encourage tax evasion, and weaken formal economic activity. Therefore, these results suggest that the growth elasticity of different tax types should be a central consideration in future policy planning, as not all tax instruments yield equivalent economic outcomes.</w:t>
      </w:r>
    </w:p>
    <w:p w14:paraId="32838178" w14:textId="77777777" w:rsidR="00DD76A6" w:rsidRPr="00815AA9" w:rsidRDefault="00DD76A6" w:rsidP="00764836">
      <w:pPr>
        <w:spacing w:before="240" w:after="0" w:line="240" w:lineRule="auto"/>
        <w:jc w:val="both"/>
        <w:rPr>
          <w:rFonts w:ascii="Times New Roman" w:hAnsi="Times New Roman" w:cs="Times New Roman"/>
          <w:bCs/>
          <w:sz w:val="24"/>
          <w:szCs w:val="24"/>
          <w:lang w:val="en-GB"/>
        </w:rPr>
      </w:pPr>
      <w:r w:rsidRPr="00815AA9">
        <w:rPr>
          <w:rFonts w:ascii="Times New Roman" w:hAnsi="Times New Roman" w:cs="Times New Roman"/>
          <w:bCs/>
          <w:sz w:val="24"/>
          <w:szCs w:val="24"/>
          <w:lang w:val="en-GB"/>
        </w:rPr>
        <w:lastRenderedPageBreak/>
        <w:t>The findings have important implications for both domestic and foreign investors. The negative and insignificant effects of income-related taxes (LTIPC) and export taxes (LTAXP) indicate that the tax environment in many African countries may lack predictability and consistency, factors that investors typically prioritize when making capital allocation decisions. The negative impact of import duties further suggests that production relying on imported inputs could be less competitive, potentially discouraging new investment in manufacturing and export-oriented sectors. However, the positive association between consumption-based taxes and growth implies that markets with stable consumption tax regimes may offer relatively favorable environments for retail and service-sector investment.</w:t>
      </w:r>
    </w:p>
    <w:p w14:paraId="7A0AA6BE" w14:textId="4042AF6C" w:rsidR="00DD76A6" w:rsidRPr="00815AA9" w:rsidRDefault="00DD76A6" w:rsidP="00764836">
      <w:pPr>
        <w:spacing w:before="240" w:after="0" w:line="240" w:lineRule="auto"/>
        <w:jc w:val="both"/>
        <w:rPr>
          <w:rFonts w:ascii="Times New Roman" w:hAnsi="Times New Roman" w:cs="Times New Roman"/>
          <w:bCs/>
          <w:sz w:val="24"/>
          <w:szCs w:val="24"/>
          <w:lang w:val="en-GB"/>
        </w:rPr>
      </w:pPr>
      <w:r w:rsidRPr="00815AA9">
        <w:rPr>
          <w:rFonts w:ascii="Times New Roman" w:hAnsi="Times New Roman" w:cs="Times New Roman"/>
          <w:bCs/>
          <w:sz w:val="24"/>
          <w:szCs w:val="24"/>
          <w:lang w:val="en-GB"/>
        </w:rPr>
        <w:t xml:space="preserve">For international organizations such as the World Bank, IMF, and UNCTAD, and international financial institutions and creditors, the findings reveal significant implications regarding the structural and fiscal dynamics of African economies. The presence of heteroskedasticity and serial correlation in the data reflects inherent economic volatility and policy inconsistency across the countries studied. The negative relationship between import duties and economic growth implies that trade-related taxes may be impeding competitiveness and efficiency, </w:t>
      </w:r>
      <w:r w:rsidR="00B90C1C" w:rsidRPr="00815AA9">
        <w:rPr>
          <w:rFonts w:ascii="Times New Roman" w:hAnsi="Times New Roman" w:cs="Times New Roman"/>
          <w:bCs/>
          <w:sz w:val="24"/>
          <w:szCs w:val="24"/>
          <w:lang w:val="en-GB"/>
        </w:rPr>
        <w:t>signalling</w:t>
      </w:r>
      <w:r w:rsidRPr="00815AA9">
        <w:rPr>
          <w:rFonts w:ascii="Times New Roman" w:hAnsi="Times New Roman" w:cs="Times New Roman"/>
          <w:bCs/>
          <w:sz w:val="24"/>
          <w:szCs w:val="24"/>
          <w:lang w:val="en-GB"/>
        </w:rPr>
        <w:t xml:space="preserve"> systemic challenges within regional trade integration and tariff structures. These institutions may interpret such evidence as an indication that African countries are still undergoing fiscal transitions toward growth-aligned and sustainable revenue models, reflecting the developmental stage of their tax systems and institutional capacities.</w:t>
      </w:r>
    </w:p>
    <w:p w14:paraId="05ABB22D" w14:textId="77777777" w:rsidR="00DD76A6" w:rsidRPr="00815AA9" w:rsidRDefault="00DD76A6" w:rsidP="00764836">
      <w:pPr>
        <w:spacing w:before="240" w:after="0" w:line="240" w:lineRule="auto"/>
        <w:jc w:val="both"/>
        <w:rPr>
          <w:rFonts w:ascii="Times New Roman" w:hAnsi="Times New Roman" w:cs="Times New Roman"/>
          <w:bCs/>
          <w:sz w:val="24"/>
          <w:szCs w:val="24"/>
          <w:lang w:val="en-GB"/>
        </w:rPr>
      </w:pPr>
      <w:r w:rsidRPr="00815AA9">
        <w:rPr>
          <w:rFonts w:ascii="Times New Roman" w:hAnsi="Times New Roman" w:cs="Times New Roman"/>
          <w:bCs/>
          <w:sz w:val="24"/>
          <w:szCs w:val="24"/>
          <w:lang w:val="en-GB"/>
        </w:rPr>
        <w:t>The structure of tax revenue is shown to have direct implications for fiscal sustainability and debt repayment capacity across African economies. The observed negative correlation between import duties and economic growth suggests that excessive reliance on such taxes could erode long-term growth potential and weaken fiscal resilience. The mixed effects of various tax categories further indicate disparities in macroeconomic stability and fiscal discipline among the countries. These variations have implications for sovereign credit ratings, borrowing costs, and overall investment attractiveness. For these international organizations and creditors, the results signal that economic growth in many African nations remains sensitive to the structure and composition of their tax systems, shaping perceptions of fiscal strength, debt sustainability, and the reliability of public financial management within the region.</w:t>
      </w:r>
    </w:p>
    <w:p w14:paraId="26DF123C" w14:textId="77777777" w:rsidR="00DD76A6" w:rsidRPr="00815AA9" w:rsidRDefault="00DD76A6" w:rsidP="00764836">
      <w:pPr>
        <w:spacing w:before="240" w:after="0" w:line="240" w:lineRule="auto"/>
        <w:jc w:val="both"/>
        <w:rPr>
          <w:rFonts w:ascii="Times New Roman" w:hAnsi="Times New Roman" w:cs="Times New Roman"/>
          <w:bCs/>
          <w:sz w:val="24"/>
          <w:szCs w:val="24"/>
          <w:lang w:val="en-GB"/>
        </w:rPr>
      </w:pPr>
      <w:r w:rsidRPr="00815AA9">
        <w:rPr>
          <w:rFonts w:ascii="Times New Roman" w:hAnsi="Times New Roman" w:cs="Times New Roman"/>
          <w:bCs/>
          <w:sz w:val="24"/>
          <w:szCs w:val="24"/>
          <w:lang w:val="en-GB"/>
        </w:rPr>
        <w:t>From the findings of the effect of tax revenue on decent work and economic growth, it can be deduced that the structure and composition of tax revenue not merely the level shape the direction and strength of economic growth in African economies. While consumption-based taxation appears to support growth, reliance on import and direct taxes can hinder it. These outcomes have far-reaching implications for how citizens experience cost of living, how governments manage fiscal stability, how businesses operate, and how international bodies engage with African economies.</w:t>
      </w:r>
    </w:p>
    <w:p w14:paraId="56CB4FE0" w14:textId="77777777" w:rsidR="00DD76A6" w:rsidRPr="00815AA9" w:rsidRDefault="00764836" w:rsidP="00764836">
      <w:pPr>
        <w:spacing w:before="240" w:after="0" w:line="240" w:lineRule="auto"/>
        <w:jc w:val="both"/>
        <w:rPr>
          <w:rFonts w:ascii="Times New Roman" w:hAnsi="Times New Roman" w:cs="Times New Roman"/>
          <w:b/>
          <w:bCs/>
          <w:sz w:val="24"/>
          <w:szCs w:val="24"/>
          <w:lang w:val="en-GB"/>
        </w:rPr>
      </w:pPr>
      <w:r w:rsidRPr="00815AA9">
        <w:rPr>
          <w:rFonts w:ascii="Times New Roman" w:hAnsi="Times New Roman" w:cs="Times New Roman"/>
          <w:b/>
          <w:bCs/>
          <w:sz w:val="24"/>
          <w:szCs w:val="24"/>
          <w:lang w:val="en-GB"/>
        </w:rPr>
        <w:t>5.0</w:t>
      </w:r>
      <w:r w:rsidRPr="00815AA9">
        <w:rPr>
          <w:rFonts w:ascii="Times New Roman" w:hAnsi="Times New Roman" w:cs="Times New Roman"/>
          <w:b/>
          <w:bCs/>
          <w:sz w:val="24"/>
          <w:szCs w:val="24"/>
          <w:lang w:val="en-GB"/>
        </w:rPr>
        <w:tab/>
      </w:r>
      <w:r w:rsidR="006E7954" w:rsidRPr="00815AA9">
        <w:rPr>
          <w:rFonts w:ascii="Times New Roman" w:hAnsi="Times New Roman" w:cs="Times New Roman"/>
          <w:b/>
          <w:bCs/>
          <w:sz w:val="24"/>
          <w:szCs w:val="24"/>
          <w:lang w:val="en-GB"/>
        </w:rPr>
        <w:t xml:space="preserve">Conclusion </w:t>
      </w:r>
      <w:r w:rsidR="007A39F3" w:rsidRPr="00815AA9">
        <w:rPr>
          <w:rFonts w:ascii="Times New Roman" w:hAnsi="Times New Roman" w:cs="Times New Roman"/>
          <w:b/>
          <w:bCs/>
          <w:sz w:val="24"/>
          <w:szCs w:val="24"/>
          <w:lang w:val="en-GB"/>
        </w:rPr>
        <w:t>and Recommendations</w:t>
      </w:r>
    </w:p>
    <w:p w14:paraId="50C43A89" w14:textId="77777777" w:rsidR="006E7954" w:rsidRPr="00815AA9" w:rsidRDefault="006E7954" w:rsidP="006E7954">
      <w:pPr>
        <w:spacing w:before="240" w:after="0" w:line="240" w:lineRule="auto"/>
        <w:jc w:val="both"/>
        <w:rPr>
          <w:rFonts w:ascii="Times New Roman" w:eastAsia="Times New Roman" w:hAnsi="Times New Roman" w:cs="Times New Roman"/>
          <w:kern w:val="0"/>
          <w:sz w:val="24"/>
          <w:szCs w:val="24"/>
          <w:lang w:val="en-GB" w:eastAsia="en-GB"/>
          <w14:ligatures w14:val="none"/>
        </w:rPr>
      </w:pPr>
      <w:r w:rsidRPr="00815AA9">
        <w:rPr>
          <w:rFonts w:ascii="Times New Roman" w:eastAsia="Times New Roman" w:hAnsi="Times New Roman" w:cs="Times New Roman"/>
          <w:kern w:val="0"/>
          <w:sz w:val="24"/>
          <w:szCs w:val="24"/>
          <w:lang w:val="en-GB" w:eastAsia="en-GB"/>
          <w14:ligatures w14:val="none"/>
        </w:rPr>
        <w:t>The outcome of the analytical procedures employed sh</w:t>
      </w:r>
      <w:r w:rsidR="007F10F0" w:rsidRPr="00815AA9">
        <w:rPr>
          <w:rFonts w:ascii="Times New Roman" w:eastAsia="Times New Roman" w:hAnsi="Times New Roman" w:cs="Times New Roman"/>
          <w:kern w:val="0"/>
          <w:sz w:val="24"/>
          <w:szCs w:val="24"/>
          <w:lang w:val="en-GB" w:eastAsia="en-GB"/>
          <w14:ligatures w14:val="none"/>
        </w:rPr>
        <w:t>o</w:t>
      </w:r>
      <w:r w:rsidRPr="00815AA9">
        <w:rPr>
          <w:rFonts w:ascii="Times New Roman" w:eastAsia="Times New Roman" w:hAnsi="Times New Roman" w:cs="Times New Roman"/>
          <w:kern w:val="0"/>
          <w:sz w:val="24"/>
          <w:szCs w:val="24"/>
          <w:lang w:val="en-GB" w:eastAsia="en-GB"/>
          <w14:ligatures w14:val="none"/>
        </w:rPr>
        <w:t xml:space="preserve">wed that tax revenue measures significantly affect the extent of attainment of SDG 8 among the selected African countries. </w:t>
      </w:r>
      <w:r w:rsidR="007F10F0" w:rsidRPr="00815AA9">
        <w:rPr>
          <w:rFonts w:ascii="Times New Roman" w:eastAsia="Times New Roman" w:hAnsi="Times New Roman" w:cs="Times New Roman"/>
          <w:kern w:val="0"/>
          <w:sz w:val="24"/>
          <w:szCs w:val="24"/>
          <w:lang w:val="en-GB" w:eastAsia="en-GB"/>
          <w14:ligatures w14:val="none"/>
        </w:rPr>
        <w:t xml:space="preserve">From a theoretical standpoint, the results affirm the propositions of the </w:t>
      </w:r>
      <w:r w:rsidR="007F10F0" w:rsidRPr="00815AA9">
        <w:rPr>
          <w:rFonts w:ascii="Times New Roman" w:eastAsia="Times New Roman" w:hAnsi="Times New Roman" w:cs="Times New Roman"/>
          <w:bCs/>
          <w:kern w:val="0"/>
          <w:sz w:val="24"/>
          <w:szCs w:val="24"/>
          <w:lang w:val="en-GB" w:eastAsia="en-GB"/>
          <w14:ligatures w14:val="none"/>
        </w:rPr>
        <w:t>Endogenous Growth Theory</w:t>
      </w:r>
      <w:r w:rsidR="007F10F0" w:rsidRPr="00815AA9">
        <w:rPr>
          <w:rFonts w:ascii="Times New Roman" w:eastAsia="Times New Roman" w:hAnsi="Times New Roman" w:cs="Times New Roman"/>
          <w:kern w:val="0"/>
          <w:sz w:val="24"/>
          <w:szCs w:val="24"/>
          <w:lang w:val="en-GB" w:eastAsia="en-GB"/>
          <w14:ligatures w14:val="none"/>
        </w:rPr>
        <w:t xml:space="preserve">, which emphasizes that long-term economic growth is driven by internal factors especially financial resources through effective tax revenue generation. </w:t>
      </w:r>
      <w:r w:rsidRPr="00815AA9">
        <w:rPr>
          <w:rFonts w:ascii="Times New Roman" w:eastAsia="Times New Roman" w:hAnsi="Times New Roman" w:cs="Times New Roman"/>
          <w:kern w:val="0"/>
          <w:sz w:val="24"/>
          <w:szCs w:val="24"/>
          <w:lang w:val="en-GB" w:eastAsia="en-GB"/>
          <w14:ligatures w14:val="none"/>
        </w:rPr>
        <w:t xml:space="preserve">Therefore, the paper concluded that </w:t>
      </w:r>
      <w:r w:rsidRPr="00815AA9">
        <w:rPr>
          <w:rFonts w:ascii="Times New Roman" w:eastAsia="Times New Roman" w:hAnsi="Times New Roman" w:cs="Times New Roman"/>
          <w:bCs/>
          <w:kern w:val="0"/>
          <w:sz w:val="24"/>
          <w:szCs w:val="24"/>
          <w:lang w:val="en-GB" w:eastAsia="en-GB"/>
          <w14:ligatures w14:val="none"/>
        </w:rPr>
        <w:t>tax revenue remains a vital instrument for financing sustainable development</w:t>
      </w:r>
      <w:r w:rsidRPr="00815AA9">
        <w:rPr>
          <w:rFonts w:ascii="Times New Roman" w:eastAsia="Times New Roman" w:hAnsi="Times New Roman" w:cs="Times New Roman"/>
          <w:kern w:val="0"/>
          <w:sz w:val="24"/>
          <w:szCs w:val="24"/>
          <w:lang w:val="en-GB" w:eastAsia="en-GB"/>
          <w14:ligatures w14:val="none"/>
        </w:rPr>
        <w:t xml:space="preserve">. Taxes on goods and services consistently showed a positive effect, reinforcing their role as </w:t>
      </w:r>
      <w:r w:rsidRPr="00815AA9">
        <w:rPr>
          <w:rFonts w:ascii="Times New Roman" w:eastAsia="Times New Roman" w:hAnsi="Times New Roman" w:cs="Times New Roman"/>
          <w:kern w:val="0"/>
          <w:sz w:val="24"/>
          <w:szCs w:val="24"/>
          <w:lang w:val="en-GB" w:eastAsia="en-GB"/>
          <w14:ligatures w14:val="none"/>
        </w:rPr>
        <w:lastRenderedPageBreak/>
        <w:t xml:space="preserve">stable sources of revenue that can stimulate employment generation, and </w:t>
      </w:r>
      <w:r w:rsidR="007F10F0" w:rsidRPr="00815AA9">
        <w:rPr>
          <w:rFonts w:ascii="Times New Roman" w:eastAsia="Times New Roman" w:hAnsi="Times New Roman" w:cs="Times New Roman"/>
          <w:kern w:val="0"/>
          <w:sz w:val="24"/>
          <w:szCs w:val="24"/>
          <w:lang w:val="en-GB" w:eastAsia="en-GB"/>
          <w14:ligatures w14:val="none"/>
        </w:rPr>
        <w:t>economic growth</w:t>
      </w:r>
      <w:r w:rsidRPr="00815AA9">
        <w:rPr>
          <w:rFonts w:ascii="Times New Roman" w:eastAsia="Times New Roman" w:hAnsi="Times New Roman" w:cs="Times New Roman"/>
          <w:kern w:val="0"/>
          <w:sz w:val="24"/>
          <w:szCs w:val="24"/>
          <w:lang w:val="en-GB" w:eastAsia="en-GB"/>
          <w14:ligatures w14:val="none"/>
        </w:rPr>
        <w:t xml:space="preserve">. On the other hand, excessive reliance on customs, export, and income taxes exhibited negative impact, suggesting that such taxes, when poorly structured, may hinder innovation, competitiveness, and inclusive growth. These outcomes highlight the need for </w:t>
      </w:r>
      <w:r w:rsidRPr="00815AA9">
        <w:rPr>
          <w:rFonts w:ascii="Times New Roman" w:eastAsia="Times New Roman" w:hAnsi="Times New Roman" w:cs="Times New Roman"/>
          <w:bCs/>
          <w:kern w:val="0"/>
          <w:sz w:val="24"/>
          <w:szCs w:val="24"/>
          <w:lang w:val="en-GB" w:eastAsia="en-GB"/>
          <w14:ligatures w14:val="none"/>
        </w:rPr>
        <w:t>balanced and growth-oriented tax reforms</w:t>
      </w:r>
      <w:r w:rsidRPr="00815AA9">
        <w:rPr>
          <w:rFonts w:ascii="Times New Roman" w:eastAsia="Times New Roman" w:hAnsi="Times New Roman" w:cs="Times New Roman"/>
          <w:kern w:val="0"/>
          <w:sz w:val="24"/>
          <w:szCs w:val="24"/>
          <w:lang w:val="en-GB" w:eastAsia="en-GB"/>
          <w14:ligatures w14:val="none"/>
        </w:rPr>
        <w:t xml:space="preserve"> that minimize economic distortions while maximizing revenue mobilization to fund </w:t>
      </w:r>
      <w:r w:rsidR="007F10F0" w:rsidRPr="00815AA9">
        <w:rPr>
          <w:rFonts w:ascii="Times New Roman" w:eastAsia="Times New Roman" w:hAnsi="Times New Roman" w:cs="Times New Roman"/>
          <w:kern w:val="0"/>
          <w:sz w:val="24"/>
          <w:szCs w:val="24"/>
          <w:lang w:val="en-GB" w:eastAsia="en-GB"/>
          <w14:ligatures w14:val="none"/>
        </w:rPr>
        <w:t>job creation</w:t>
      </w:r>
      <w:r w:rsidRPr="00815AA9">
        <w:rPr>
          <w:rFonts w:ascii="Times New Roman" w:eastAsia="Times New Roman" w:hAnsi="Times New Roman" w:cs="Times New Roman"/>
          <w:kern w:val="0"/>
          <w:sz w:val="24"/>
          <w:szCs w:val="24"/>
          <w:lang w:val="en-GB" w:eastAsia="en-GB"/>
          <w14:ligatures w14:val="none"/>
        </w:rPr>
        <w:t xml:space="preserve"> and </w:t>
      </w:r>
      <w:r w:rsidR="007F10F0" w:rsidRPr="00815AA9">
        <w:rPr>
          <w:rFonts w:ascii="Times New Roman" w:eastAsia="Times New Roman" w:hAnsi="Times New Roman" w:cs="Times New Roman"/>
          <w:kern w:val="0"/>
          <w:sz w:val="24"/>
          <w:szCs w:val="24"/>
          <w:lang w:val="en-GB" w:eastAsia="en-GB"/>
          <w14:ligatures w14:val="none"/>
        </w:rPr>
        <w:t>inclusive growth</w:t>
      </w:r>
      <w:r w:rsidRPr="00815AA9">
        <w:rPr>
          <w:rFonts w:ascii="Times New Roman" w:eastAsia="Times New Roman" w:hAnsi="Times New Roman" w:cs="Times New Roman"/>
          <w:kern w:val="0"/>
          <w:sz w:val="24"/>
          <w:szCs w:val="24"/>
          <w:lang w:val="en-GB" w:eastAsia="en-GB"/>
          <w14:ligatures w14:val="none"/>
        </w:rPr>
        <w:t>.</w:t>
      </w:r>
    </w:p>
    <w:p w14:paraId="130684C5" w14:textId="77777777" w:rsidR="007A39F3" w:rsidRPr="00815AA9" w:rsidRDefault="007A39F3" w:rsidP="00764836">
      <w:pPr>
        <w:spacing w:before="240" w:after="0" w:line="240" w:lineRule="auto"/>
        <w:jc w:val="both"/>
        <w:rPr>
          <w:rFonts w:ascii="Times New Roman" w:hAnsi="Times New Roman" w:cs="Times New Roman"/>
          <w:bCs/>
          <w:sz w:val="24"/>
          <w:szCs w:val="24"/>
          <w:lang w:val="en-GB"/>
        </w:rPr>
      </w:pPr>
      <w:r w:rsidRPr="00815AA9">
        <w:rPr>
          <w:rFonts w:ascii="Times New Roman" w:hAnsi="Times New Roman" w:cs="Times New Roman"/>
          <w:bCs/>
          <w:sz w:val="24"/>
          <w:szCs w:val="24"/>
          <w:lang w:val="en-GB"/>
        </w:rPr>
        <w:t>Given that taxes on goods and services had a significant positive effect on decent work and economic growth, governments should prioritize strength</w:t>
      </w:r>
      <w:r w:rsidR="00815AA9" w:rsidRPr="00815AA9">
        <w:rPr>
          <w:rFonts w:ascii="Times New Roman" w:hAnsi="Times New Roman" w:cs="Times New Roman"/>
          <w:bCs/>
          <w:sz w:val="24"/>
          <w:szCs w:val="24"/>
          <w:lang w:val="en-GB"/>
        </w:rPr>
        <w:t>ening VAT and other consumption-</w:t>
      </w:r>
      <w:r w:rsidRPr="00815AA9">
        <w:rPr>
          <w:rFonts w:ascii="Times New Roman" w:hAnsi="Times New Roman" w:cs="Times New Roman"/>
          <w:bCs/>
          <w:sz w:val="24"/>
          <w:szCs w:val="24"/>
          <w:lang w:val="en-GB"/>
        </w:rPr>
        <w:t>based tax systems through efficient administration and digitalization to ensure consistent revenue flows that support job creation and inclusive economic growth. However, the negative influence of customs and import duties highlights the need for tax authorities to streamline border taxes and reduce trade barriers that could stifle production, competitiveness, and employment generation across African economies</w:t>
      </w:r>
      <w:r w:rsidR="006E7954" w:rsidRPr="00815AA9">
        <w:rPr>
          <w:rFonts w:ascii="Times New Roman" w:hAnsi="Times New Roman" w:cs="Times New Roman"/>
          <w:bCs/>
          <w:sz w:val="24"/>
          <w:szCs w:val="24"/>
          <w:lang w:val="en-GB"/>
        </w:rPr>
        <w:t xml:space="preserve">. Government of the African countries should not only enhance their </w:t>
      </w:r>
      <w:r w:rsidR="006E7954" w:rsidRPr="00815AA9">
        <w:rPr>
          <w:rFonts w:ascii="Times New Roman" w:eastAsia="Times New Roman" w:hAnsi="Times New Roman" w:cs="Times New Roman"/>
          <w:kern w:val="0"/>
          <w:sz w:val="24"/>
          <w:szCs w:val="24"/>
          <w:lang w:val="en-GB" w:eastAsia="en-GB"/>
          <w14:ligatures w14:val="none"/>
        </w:rPr>
        <w:t>domestic revenue mobilization strategies but also ensure it improves employment generation and that growth is inclusive, resilient, and sustainable over the long term.</w:t>
      </w:r>
    </w:p>
    <w:p w14:paraId="7C203BBA" w14:textId="77777777" w:rsidR="007A39F3" w:rsidRPr="00815AA9" w:rsidRDefault="007A39F3" w:rsidP="00764836">
      <w:pPr>
        <w:spacing w:before="240" w:after="0" w:line="240" w:lineRule="auto"/>
        <w:jc w:val="both"/>
        <w:rPr>
          <w:rFonts w:ascii="Times New Roman" w:hAnsi="Times New Roman" w:cs="Times New Roman"/>
          <w:bCs/>
          <w:sz w:val="24"/>
          <w:szCs w:val="24"/>
          <w:lang w:val="en-GB"/>
        </w:rPr>
      </w:pPr>
      <w:r w:rsidRPr="00815AA9">
        <w:rPr>
          <w:rFonts w:ascii="Times New Roman" w:hAnsi="Times New Roman" w:cs="Times New Roman"/>
          <w:b/>
          <w:bCs/>
          <w:sz w:val="24"/>
          <w:szCs w:val="24"/>
          <w:lang w:val="en-GB"/>
        </w:rPr>
        <w:t>Conflict of interest</w:t>
      </w:r>
      <w:r w:rsidRPr="00815AA9">
        <w:rPr>
          <w:rFonts w:ascii="Times New Roman" w:hAnsi="Times New Roman" w:cs="Times New Roman"/>
          <w:bCs/>
          <w:sz w:val="24"/>
          <w:szCs w:val="24"/>
          <w:lang w:val="en-GB"/>
        </w:rPr>
        <w:t>: The study declares that there is no conflict of interest as all the authors contributed to the production of the manuscript and they are all in approval of its publication.</w:t>
      </w:r>
    </w:p>
    <w:p w14:paraId="7BA03751" w14:textId="6890D260" w:rsidR="007A39F3" w:rsidRPr="00815AA9" w:rsidRDefault="007A39F3" w:rsidP="00764836">
      <w:pPr>
        <w:spacing w:before="240" w:after="0" w:line="240" w:lineRule="auto"/>
        <w:jc w:val="both"/>
        <w:rPr>
          <w:rFonts w:ascii="Times New Roman" w:hAnsi="Times New Roman" w:cs="Times New Roman"/>
          <w:bCs/>
          <w:sz w:val="24"/>
          <w:szCs w:val="24"/>
          <w:lang w:val="en-GB"/>
        </w:rPr>
      </w:pPr>
      <w:r w:rsidRPr="00815AA9">
        <w:rPr>
          <w:rFonts w:ascii="Times New Roman" w:hAnsi="Times New Roman" w:cs="Times New Roman"/>
          <w:b/>
          <w:bCs/>
          <w:sz w:val="24"/>
          <w:szCs w:val="24"/>
          <w:lang w:val="en-GB"/>
        </w:rPr>
        <w:t>Funding</w:t>
      </w:r>
      <w:r w:rsidRPr="00815AA9">
        <w:rPr>
          <w:rFonts w:ascii="Times New Roman" w:hAnsi="Times New Roman" w:cs="Times New Roman"/>
          <w:bCs/>
          <w:sz w:val="24"/>
          <w:szCs w:val="24"/>
          <w:lang w:val="en-GB"/>
        </w:rPr>
        <w:t>: No funding support received fro</w:t>
      </w:r>
      <w:r w:rsidR="003E0635">
        <w:rPr>
          <w:rFonts w:ascii="Times New Roman" w:hAnsi="Times New Roman" w:cs="Times New Roman"/>
          <w:bCs/>
          <w:sz w:val="24"/>
          <w:szCs w:val="24"/>
          <w:lang w:val="en-GB"/>
        </w:rPr>
        <w:t>m</w:t>
      </w:r>
      <w:r w:rsidRPr="00815AA9">
        <w:rPr>
          <w:rFonts w:ascii="Times New Roman" w:hAnsi="Times New Roman" w:cs="Times New Roman"/>
          <w:bCs/>
          <w:sz w:val="24"/>
          <w:szCs w:val="24"/>
          <w:lang w:val="en-GB"/>
        </w:rPr>
        <w:t xml:space="preserve"> the production and development of this manuscript</w:t>
      </w:r>
    </w:p>
    <w:p w14:paraId="4C771C3B" w14:textId="77777777" w:rsidR="007A39F3" w:rsidRPr="00815AA9" w:rsidRDefault="007A39F3" w:rsidP="00764836">
      <w:pPr>
        <w:spacing w:before="240" w:after="0" w:line="240" w:lineRule="auto"/>
        <w:jc w:val="both"/>
        <w:rPr>
          <w:rFonts w:ascii="Times New Roman" w:hAnsi="Times New Roman" w:cs="Times New Roman"/>
          <w:bCs/>
          <w:sz w:val="24"/>
          <w:szCs w:val="24"/>
          <w:lang w:val="en-GB"/>
        </w:rPr>
      </w:pPr>
      <w:r w:rsidRPr="00815AA9">
        <w:rPr>
          <w:rFonts w:ascii="Times New Roman" w:hAnsi="Times New Roman" w:cs="Times New Roman"/>
          <w:b/>
          <w:bCs/>
          <w:sz w:val="24"/>
          <w:szCs w:val="24"/>
          <w:lang w:val="en-GB"/>
        </w:rPr>
        <w:t>Author’s Contribution</w:t>
      </w:r>
      <w:r w:rsidRPr="00815AA9">
        <w:rPr>
          <w:rFonts w:ascii="Times New Roman" w:hAnsi="Times New Roman" w:cs="Times New Roman"/>
          <w:bCs/>
          <w:sz w:val="24"/>
          <w:szCs w:val="24"/>
          <w:lang w:val="en-GB"/>
        </w:rPr>
        <w:t>: All authors jointly and equally contributed to the production of the manuscript.</w:t>
      </w:r>
    </w:p>
    <w:p w14:paraId="1082DC60" w14:textId="77777777" w:rsidR="007A39F3" w:rsidRPr="00815AA9" w:rsidRDefault="007A39F3" w:rsidP="00764836">
      <w:pPr>
        <w:spacing w:before="240" w:after="0" w:line="240" w:lineRule="auto"/>
        <w:jc w:val="both"/>
        <w:rPr>
          <w:rFonts w:ascii="Times New Roman" w:hAnsi="Times New Roman" w:cs="Times New Roman"/>
          <w:bCs/>
          <w:sz w:val="24"/>
          <w:szCs w:val="24"/>
          <w:lang w:val="en-GB"/>
        </w:rPr>
      </w:pPr>
      <w:r w:rsidRPr="00815AA9">
        <w:rPr>
          <w:rFonts w:ascii="Times New Roman" w:hAnsi="Times New Roman" w:cs="Times New Roman"/>
          <w:b/>
          <w:bCs/>
          <w:sz w:val="24"/>
          <w:szCs w:val="24"/>
          <w:lang w:val="en-GB"/>
        </w:rPr>
        <w:t>Ethical Clearance</w:t>
      </w:r>
      <w:r w:rsidRPr="00815AA9">
        <w:rPr>
          <w:rFonts w:ascii="Times New Roman" w:hAnsi="Times New Roman" w:cs="Times New Roman"/>
          <w:bCs/>
          <w:sz w:val="24"/>
          <w:szCs w:val="24"/>
          <w:lang w:val="en-GB"/>
        </w:rPr>
        <w:t>: This manuscript passed through established ethical committee for scrutiny and was granted ethical permission to publish.</w:t>
      </w:r>
    </w:p>
    <w:p w14:paraId="074D19A8" w14:textId="77777777" w:rsidR="001E582D" w:rsidRPr="00815AA9" w:rsidRDefault="001E582D" w:rsidP="00764836">
      <w:pPr>
        <w:spacing w:before="240" w:after="0" w:line="240" w:lineRule="auto"/>
        <w:jc w:val="both"/>
        <w:rPr>
          <w:rFonts w:ascii="Times New Roman" w:hAnsi="Times New Roman" w:cs="Times New Roman"/>
          <w:b/>
          <w:bCs/>
          <w:sz w:val="24"/>
          <w:szCs w:val="24"/>
          <w:lang w:val="en-GB"/>
        </w:rPr>
      </w:pPr>
      <w:r w:rsidRPr="00815AA9">
        <w:rPr>
          <w:rFonts w:ascii="Times New Roman" w:hAnsi="Times New Roman" w:cs="Times New Roman"/>
          <w:b/>
          <w:bCs/>
          <w:sz w:val="24"/>
          <w:szCs w:val="24"/>
          <w:lang w:val="en-GB"/>
        </w:rPr>
        <w:t>References</w:t>
      </w:r>
    </w:p>
    <w:p w14:paraId="33DE0026" w14:textId="77777777" w:rsidR="002E7A3D" w:rsidRPr="00815AA9" w:rsidRDefault="002E7A3D" w:rsidP="007F10F0">
      <w:pPr>
        <w:spacing w:after="0" w:line="240" w:lineRule="auto"/>
        <w:ind w:left="720" w:hanging="720"/>
        <w:jc w:val="both"/>
        <w:rPr>
          <w:rFonts w:ascii="Times New Roman" w:hAnsi="Times New Roman" w:cs="Times New Roman"/>
          <w:bCs/>
          <w:sz w:val="24"/>
          <w:szCs w:val="24"/>
          <w:lang w:val="en-GB"/>
        </w:rPr>
      </w:pPr>
      <w:r w:rsidRPr="00815AA9">
        <w:rPr>
          <w:rFonts w:ascii="Times New Roman" w:hAnsi="Times New Roman" w:cs="Times New Roman"/>
          <w:bCs/>
          <w:sz w:val="24"/>
          <w:szCs w:val="24"/>
          <w:lang w:val="en-GB"/>
        </w:rPr>
        <w:t xml:space="preserve">Acemoglu, D. (2009). </w:t>
      </w:r>
      <w:r w:rsidRPr="00815AA9">
        <w:rPr>
          <w:rFonts w:ascii="Times New Roman" w:hAnsi="Times New Roman" w:cs="Times New Roman"/>
          <w:bCs/>
          <w:i/>
          <w:iCs/>
          <w:sz w:val="24"/>
          <w:szCs w:val="24"/>
          <w:lang w:val="en-GB"/>
        </w:rPr>
        <w:t>Introduction to modern economic growth</w:t>
      </w:r>
      <w:r w:rsidRPr="00815AA9">
        <w:rPr>
          <w:rFonts w:ascii="Times New Roman" w:hAnsi="Times New Roman" w:cs="Times New Roman"/>
          <w:bCs/>
          <w:sz w:val="24"/>
          <w:szCs w:val="24"/>
          <w:lang w:val="en-GB"/>
        </w:rPr>
        <w:t>. Princeton University Press.</w:t>
      </w:r>
      <w:r w:rsidRPr="00815AA9">
        <w:rPr>
          <w:rFonts w:ascii="Times New Roman" w:hAnsi="Times New Roman" w:cs="Times New Roman"/>
          <w:bCs/>
          <w:sz w:val="24"/>
          <w:szCs w:val="24"/>
          <w:lang w:val="en-GB"/>
        </w:rPr>
        <w:br/>
        <w:t>https://doi.org/10.1515/9781400835775</w:t>
      </w:r>
    </w:p>
    <w:p w14:paraId="66B87B88" w14:textId="77777777" w:rsidR="002E7A3D" w:rsidRPr="00815AA9" w:rsidRDefault="002E7A3D" w:rsidP="007F10F0">
      <w:pPr>
        <w:spacing w:after="0" w:line="240" w:lineRule="auto"/>
        <w:ind w:left="720" w:hanging="720"/>
        <w:jc w:val="both"/>
        <w:rPr>
          <w:rFonts w:ascii="Times New Roman" w:hAnsi="Times New Roman" w:cs="Times New Roman"/>
          <w:bCs/>
          <w:sz w:val="24"/>
          <w:szCs w:val="24"/>
        </w:rPr>
      </w:pPr>
      <w:r w:rsidRPr="00815AA9">
        <w:rPr>
          <w:rFonts w:ascii="Times New Roman" w:hAnsi="Times New Roman" w:cs="Times New Roman"/>
          <w:bCs/>
          <w:sz w:val="24"/>
          <w:szCs w:val="24"/>
          <w:lang w:val="pt-BR"/>
        </w:rPr>
        <w:t xml:space="preserve">Adefulu, A., Olubisi, G. M., Olarnewaju, A., &amp; Idowu, N. (2024). </w:t>
      </w:r>
      <w:r w:rsidRPr="00815AA9">
        <w:rPr>
          <w:rFonts w:ascii="Times New Roman" w:hAnsi="Times New Roman" w:cs="Times New Roman"/>
          <w:bCs/>
          <w:sz w:val="24"/>
          <w:szCs w:val="24"/>
        </w:rPr>
        <w:t xml:space="preserve">Tax digitalisation and revenue tax compliance: The empirical approach. </w:t>
      </w:r>
      <w:r w:rsidRPr="00815AA9">
        <w:rPr>
          <w:rFonts w:ascii="Times New Roman" w:hAnsi="Times New Roman" w:cs="Times New Roman"/>
          <w:bCs/>
          <w:i/>
          <w:iCs/>
          <w:sz w:val="24"/>
          <w:szCs w:val="24"/>
        </w:rPr>
        <w:t>International Journal of Entrepreneurial Development, Education and Science Research, 8</w:t>
      </w:r>
      <w:r w:rsidRPr="00815AA9">
        <w:rPr>
          <w:rFonts w:ascii="Times New Roman" w:hAnsi="Times New Roman" w:cs="Times New Roman"/>
          <w:bCs/>
          <w:sz w:val="24"/>
          <w:szCs w:val="24"/>
        </w:rPr>
        <w:t>(1), 110-133. doi:10.48028/iiprds/ijedesr.v8.i1.06</w:t>
      </w:r>
    </w:p>
    <w:p w14:paraId="4E68066B" w14:textId="77777777" w:rsidR="002E7A3D" w:rsidRPr="00815AA9" w:rsidRDefault="002E7A3D" w:rsidP="007F10F0">
      <w:pPr>
        <w:spacing w:after="0" w:line="240" w:lineRule="auto"/>
        <w:ind w:left="720" w:hanging="720"/>
        <w:jc w:val="both"/>
        <w:rPr>
          <w:rFonts w:ascii="Times New Roman" w:hAnsi="Times New Roman" w:cs="Times New Roman"/>
          <w:bCs/>
          <w:sz w:val="24"/>
          <w:szCs w:val="24"/>
        </w:rPr>
      </w:pPr>
      <w:r w:rsidRPr="00815AA9">
        <w:rPr>
          <w:rFonts w:ascii="Times New Roman" w:hAnsi="Times New Roman" w:cs="Times New Roman"/>
          <w:bCs/>
          <w:sz w:val="24"/>
          <w:szCs w:val="24"/>
          <w:lang w:val="it-IT"/>
        </w:rPr>
        <w:t xml:space="preserve">Adesanya, O. R., Anene, E., Bosah, V., Bankole, O., &amp; Ogundele, O. S. (2024). </w:t>
      </w:r>
      <w:r w:rsidRPr="00815AA9">
        <w:rPr>
          <w:rFonts w:ascii="Times New Roman" w:hAnsi="Times New Roman" w:cs="Times New Roman"/>
          <w:bCs/>
          <w:sz w:val="24"/>
          <w:szCs w:val="24"/>
        </w:rPr>
        <w:t xml:space="preserve">Tax revenue and economic growth in Nigeria: A bi-directional approach. </w:t>
      </w:r>
      <w:r w:rsidRPr="00815AA9">
        <w:rPr>
          <w:rFonts w:ascii="Times New Roman" w:hAnsi="Times New Roman" w:cs="Times New Roman"/>
          <w:bCs/>
          <w:i/>
          <w:iCs/>
          <w:sz w:val="24"/>
          <w:szCs w:val="24"/>
        </w:rPr>
        <w:t>International Journal of Scientific Research and Management (IJSRM), 12</w:t>
      </w:r>
      <w:r w:rsidRPr="00815AA9">
        <w:rPr>
          <w:rFonts w:ascii="Times New Roman" w:hAnsi="Times New Roman" w:cs="Times New Roman"/>
          <w:bCs/>
          <w:sz w:val="24"/>
          <w:szCs w:val="24"/>
        </w:rPr>
        <w:t>(2), 5880-5887.</w:t>
      </w:r>
    </w:p>
    <w:p w14:paraId="07CB13F0" w14:textId="77777777" w:rsidR="002E7A3D" w:rsidRPr="00815AA9" w:rsidRDefault="002E7A3D" w:rsidP="007F10F0">
      <w:pPr>
        <w:spacing w:after="0" w:line="240" w:lineRule="auto"/>
        <w:ind w:left="720" w:hanging="720"/>
        <w:jc w:val="both"/>
        <w:rPr>
          <w:rFonts w:ascii="Times New Roman" w:hAnsi="Times New Roman" w:cs="Times New Roman"/>
          <w:bCs/>
          <w:sz w:val="24"/>
          <w:szCs w:val="24"/>
        </w:rPr>
      </w:pPr>
      <w:r w:rsidRPr="00815AA9">
        <w:rPr>
          <w:rFonts w:ascii="Times New Roman" w:hAnsi="Times New Roman" w:cs="Times New Roman"/>
          <w:bCs/>
          <w:sz w:val="24"/>
          <w:szCs w:val="24"/>
        </w:rPr>
        <w:t xml:space="preserve">African Development Bank. (2021). </w:t>
      </w:r>
      <w:r w:rsidRPr="00815AA9">
        <w:rPr>
          <w:rFonts w:ascii="Times New Roman" w:hAnsi="Times New Roman" w:cs="Times New Roman"/>
          <w:bCs/>
          <w:i/>
          <w:iCs/>
          <w:sz w:val="24"/>
          <w:szCs w:val="24"/>
        </w:rPr>
        <w:t>African economic outlook 2021: From recovery to resilience</w:t>
      </w:r>
      <w:r w:rsidRPr="00815AA9">
        <w:rPr>
          <w:rFonts w:ascii="Times New Roman" w:hAnsi="Times New Roman" w:cs="Times New Roman"/>
          <w:bCs/>
          <w:sz w:val="24"/>
          <w:szCs w:val="24"/>
        </w:rPr>
        <w:t xml:space="preserve">. </w:t>
      </w:r>
      <w:hyperlink r:id="rId8" w:tgtFrame="_new" w:history="1">
        <w:r w:rsidRPr="00815AA9">
          <w:rPr>
            <w:rStyle w:val="Hyperlink"/>
            <w:rFonts w:ascii="Times New Roman" w:hAnsi="Times New Roman" w:cs="Times New Roman"/>
            <w:bCs/>
            <w:color w:val="auto"/>
            <w:sz w:val="24"/>
            <w:szCs w:val="24"/>
          </w:rPr>
          <w:t>https://www.afdb.org/en/documents/african-economic-outlook-2021</w:t>
        </w:r>
      </w:hyperlink>
    </w:p>
    <w:p w14:paraId="14C8823B" w14:textId="77777777" w:rsidR="002E7A3D" w:rsidRPr="00815AA9" w:rsidRDefault="002E7A3D" w:rsidP="007F10F0">
      <w:pPr>
        <w:spacing w:after="0" w:line="240" w:lineRule="auto"/>
        <w:ind w:left="720" w:hanging="720"/>
        <w:jc w:val="both"/>
        <w:rPr>
          <w:rFonts w:ascii="Times New Roman" w:hAnsi="Times New Roman" w:cs="Times New Roman"/>
          <w:bCs/>
          <w:sz w:val="24"/>
          <w:szCs w:val="24"/>
        </w:rPr>
      </w:pPr>
      <w:r w:rsidRPr="00815AA9">
        <w:rPr>
          <w:rFonts w:ascii="Times New Roman" w:hAnsi="Times New Roman" w:cs="Times New Roman"/>
          <w:bCs/>
          <w:sz w:val="24"/>
          <w:szCs w:val="24"/>
        </w:rPr>
        <w:t xml:space="preserve">African Development Bank. (2022). </w:t>
      </w:r>
      <w:r w:rsidRPr="00815AA9">
        <w:rPr>
          <w:rFonts w:ascii="Times New Roman" w:hAnsi="Times New Roman" w:cs="Times New Roman"/>
          <w:bCs/>
          <w:i/>
          <w:iCs/>
          <w:sz w:val="24"/>
          <w:szCs w:val="24"/>
        </w:rPr>
        <w:t>2022 Africa sustainable development report</w:t>
      </w:r>
      <w:r w:rsidRPr="00815AA9">
        <w:rPr>
          <w:rFonts w:ascii="Times New Roman" w:hAnsi="Times New Roman" w:cs="Times New Roman"/>
          <w:bCs/>
          <w:sz w:val="24"/>
          <w:szCs w:val="24"/>
        </w:rPr>
        <w:t>. Retrieved October 12th, 2023, from https://www.afdb.org/en/documents/2022-africa-sustainable-development-report</w:t>
      </w:r>
    </w:p>
    <w:p w14:paraId="6B38D312" w14:textId="77777777" w:rsidR="002E7A3D" w:rsidRPr="00815AA9" w:rsidRDefault="002E7A3D" w:rsidP="007F10F0">
      <w:pPr>
        <w:spacing w:after="0" w:line="240" w:lineRule="auto"/>
        <w:ind w:left="720" w:hanging="720"/>
        <w:jc w:val="both"/>
        <w:rPr>
          <w:rFonts w:ascii="Times New Roman" w:hAnsi="Times New Roman" w:cs="Times New Roman"/>
          <w:bCs/>
          <w:sz w:val="24"/>
          <w:szCs w:val="24"/>
        </w:rPr>
      </w:pPr>
      <w:r w:rsidRPr="00815AA9">
        <w:rPr>
          <w:rFonts w:ascii="Times New Roman" w:hAnsi="Times New Roman" w:cs="Times New Roman"/>
          <w:bCs/>
          <w:sz w:val="24"/>
          <w:szCs w:val="24"/>
        </w:rPr>
        <w:t xml:space="preserve">African Development Bank. (2022). </w:t>
      </w:r>
      <w:r w:rsidRPr="00815AA9">
        <w:rPr>
          <w:rFonts w:ascii="Times New Roman" w:hAnsi="Times New Roman" w:cs="Times New Roman"/>
          <w:bCs/>
          <w:i/>
          <w:iCs/>
          <w:sz w:val="24"/>
          <w:szCs w:val="24"/>
        </w:rPr>
        <w:t>African economic outlook 2022: Financing for a sustainable recovery</w:t>
      </w:r>
      <w:r w:rsidRPr="00815AA9">
        <w:rPr>
          <w:rFonts w:ascii="Times New Roman" w:hAnsi="Times New Roman" w:cs="Times New Roman"/>
          <w:bCs/>
          <w:sz w:val="24"/>
          <w:szCs w:val="24"/>
        </w:rPr>
        <w:t>. https://www.afdb.org/en/documents/african-economic-outlook-2022</w:t>
      </w:r>
    </w:p>
    <w:p w14:paraId="7E0637DF" w14:textId="77777777" w:rsidR="002E7A3D" w:rsidRPr="00815AA9" w:rsidRDefault="002E7A3D" w:rsidP="007F10F0">
      <w:pPr>
        <w:spacing w:after="0" w:line="240" w:lineRule="auto"/>
        <w:ind w:left="720" w:hanging="720"/>
        <w:jc w:val="both"/>
        <w:rPr>
          <w:rFonts w:ascii="Times New Roman" w:hAnsi="Times New Roman" w:cs="Times New Roman"/>
          <w:bCs/>
          <w:sz w:val="24"/>
          <w:szCs w:val="24"/>
        </w:rPr>
      </w:pPr>
      <w:r w:rsidRPr="00815AA9">
        <w:rPr>
          <w:rFonts w:ascii="Times New Roman" w:hAnsi="Times New Roman" w:cs="Times New Roman"/>
          <w:bCs/>
          <w:sz w:val="24"/>
          <w:szCs w:val="24"/>
        </w:rPr>
        <w:t xml:space="preserve">African Development Bank. (2022). </w:t>
      </w:r>
      <w:r w:rsidRPr="00815AA9">
        <w:rPr>
          <w:rFonts w:ascii="Times New Roman" w:hAnsi="Times New Roman" w:cs="Times New Roman"/>
          <w:bCs/>
          <w:i/>
          <w:iCs/>
          <w:sz w:val="24"/>
          <w:szCs w:val="24"/>
        </w:rPr>
        <w:t>Annual report 2021: Climate finance</w:t>
      </w:r>
      <w:r w:rsidRPr="00815AA9">
        <w:rPr>
          <w:rFonts w:ascii="Times New Roman" w:hAnsi="Times New Roman" w:cs="Times New Roman"/>
          <w:bCs/>
          <w:sz w:val="24"/>
          <w:szCs w:val="24"/>
        </w:rPr>
        <w:t>. https://www.afdb.org/en/documents/annual-report-2021-climate-finance</w:t>
      </w:r>
    </w:p>
    <w:p w14:paraId="4F9A5A3A" w14:textId="77777777" w:rsidR="002E7A3D" w:rsidRPr="00815AA9" w:rsidRDefault="002E7A3D" w:rsidP="007F10F0">
      <w:pPr>
        <w:spacing w:after="0" w:line="240" w:lineRule="auto"/>
        <w:ind w:left="720" w:hanging="720"/>
        <w:jc w:val="both"/>
        <w:rPr>
          <w:rFonts w:ascii="Times New Roman" w:hAnsi="Times New Roman" w:cs="Times New Roman"/>
          <w:bCs/>
          <w:sz w:val="24"/>
          <w:szCs w:val="24"/>
          <w:lang w:val="en-GB"/>
        </w:rPr>
      </w:pPr>
      <w:r w:rsidRPr="00815AA9">
        <w:rPr>
          <w:rFonts w:ascii="Times New Roman" w:hAnsi="Times New Roman" w:cs="Times New Roman"/>
          <w:bCs/>
          <w:sz w:val="24"/>
          <w:szCs w:val="24"/>
          <w:lang w:val="en-GB"/>
        </w:rPr>
        <w:lastRenderedPageBreak/>
        <w:t xml:space="preserve">Aghion, P., &amp; Howitt, P. (1998). </w:t>
      </w:r>
      <w:r w:rsidRPr="00815AA9">
        <w:rPr>
          <w:rFonts w:ascii="Times New Roman" w:hAnsi="Times New Roman" w:cs="Times New Roman"/>
          <w:bCs/>
          <w:i/>
          <w:iCs/>
          <w:sz w:val="24"/>
          <w:szCs w:val="24"/>
          <w:lang w:val="en-GB"/>
        </w:rPr>
        <w:t>Endogenous growth theory</w:t>
      </w:r>
      <w:r w:rsidRPr="00815AA9">
        <w:rPr>
          <w:rFonts w:ascii="Times New Roman" w:hAnsi="Times New Roman" w:cs="Times New Roman"/>
          <w:bCs/>
          <w:sz w:val="24"/>
          <w:szCs w:val="24"/>
          <w:lang w:val="en-GB"/>
        </w:rPr>
        <w:t>. MIT Press.</w:t>
      </w:r>
      <w:r w:rsidRPr="00815AA9">
        <w:rPr>
          <w:rFonts w:ascii="Times New Roman" w:hAnsi="Times New Roman" w:cs="Times New Roman"/>
          <w:bCs/>
          <w:sz w:val="24"/>
          <w:szCs w:val="24"/>
          <w:lang w:val="en-GB"/>
        </w:rPr>
        <w:br/>
      </w:r>
      <w:hyperlink r:id="rId9" w:tgtFrame="_new" w:history="1">
        <w:r w:rsidRPr="00815AA9">
          <w:rPr>
            <w:rStyle w:val="Hyperlink"/>
            <w:rFonts w:ascii="Times New Roman" w:hAnsi="Times New Roman" w:cs="Times New Roman"/>
            <w:bCs/>
            <w:color w:val="auto"/>
            <w:sz w:val="24"/>
            <w:szCs w:val="24"/>
            <w:lang w:val="en-GB"/>
          </w:rPr>
          <w:t>https://mitpress.mit.edu/9780262011662/endogenous-growth-theory/</w:t>
        </w:r>
      </w:hyperlink>
    </w:p>
    <w:p w14:paraId="6F84326B" w14:textId="77777777" w:rsidR="002E7A3D" w:rsidRPr="00815AA9" w:rsidRDefault="002E7A3D" w:rsidP="00815AA9">
      <w:pPr>
        <w:spacing w:after="0" w:line="240" w:lineRule="auto"/>
        <w:ind w:left="720" w:hanging="720"/>
        <w:jc w:val="both"/>
        <w:rPr>
          <w:rFonts w:ascii="Times New Roman" w:hAnsi="Times New Roman" w:cs="Times New Roman"/>
          <w:bCs/>
          <w:sz w:val="24"/>
          <w:szCs w:val="24"/>
          <w:lang w:val="en-GB"/>
        </w:rPr>
      </w:pPr>
      <w:r w:rsidRPr="00815AA9">
        <w:rPr>
          <w:rFonts w:ascii="Times New Roman" w:hAnsi="Times New Roman" w:cs="Times New Roman"/>
          <w:bCs/>
          <w:sz w:val="24"/>
          <w:szCs w:val="24"/>
          <w:lang w:val="en-GB"/>
        </w:rPr>
        <w:t xml:space="preserve">Ahmed, Z., Bashir, Y., Ahmed, B., Rocha, Á., &amp; Tan-Hwang Yau, J. (2025). Role of country governance between sustainable development and firm value in emerging markets. </w:t>
      </w:r>
      <w:r w:rsidRPr="00815AA9">
        <w:rPr>
          <w:rFonts w:ascii="Times New Roman" w:hAnsi="Times New Roman" w:cs="Times New Roman"/>
          <w:bCs/>
          <w:i/>
          <w:iCs/>
          <w:sz w:val="24"/>
          <w:szCs w:val="24"/>
          <w:lang w:val="en-GB"/>
        </w:rPr>
        <w:t>Discover Sustainability, 6</w:t>
      </w:r>
      <w:r w:rsidRPr="00815AA9">
        <w:rPr>
          <w:rFonts w:ascii="Times New Roman" w:hAnsi="Times New Roman" w:cs="Times New Roman"/>
          <w:bCs/>
          <w:sz w:val="24"/>
          <w:szCs w:val="24"/>
          <w:lang w:val="en-GB"/>
        </w:rPr>
        <w:t xml:space="preserve">, 261. https://doi.org/10.1007/s43621-025-01097-w </w:t>
      </w:r>
    </w:p>
    <w:p w14:paraId="3D8F1A6C" w14:textId="77777777" w:rsidR="002E7A3D" w:rsidRPr="00815AA9" w:rsidRDefault="002E7A3D" w:rsidP="007F10F0">
      <w:pPr>
        <w:spacing w:after="0" w:line="240" w:lineRule="auto"/>
        <w:ind w:left="720" w:hanging="720"/>
        <w:jc w:val="both"/>
        <w:rPr>
          <w:rFonts w:ascii="Times New Roman" w:hAnsi="Times New Roman" w:cs="Times New Roman"/>
          <w:bCs/>
          <w:sz w:val="24"/>
          <w:szCs w:val="24"/>
        </w:rPr>
      </w:pPr>
      <w:r w:rsidRPr="00815AA9">
        <w:rPr>
          <w:rFonts w:ascii="Times New Roman" w:hAnsi="Times New Roman" w:cs="Times New Roman"/>
          <w:bCs/>
          <w:sz w:val="24"/>
          <w:szCs w:val="24"/>
        </w:rPr>
        <w:t xml:space="preserve">Ajeigbe, K. B., Ganda, F., &amp; Rawlings, O. E. (2023). Impact of sustainable tax revenue and expenditure on the achievement of sustainable development goals in some selected African countries. </w:t>
      </w:r>
      <w:r w:rsidRPr="00815AA9">
        <w:rPr>
          <w:rFonts w:ascii="Times New Roman" w:hAnsi="Times New Roman" w:cs="Times New Roman"/>
          <w:bCs/>
          <w:i/>
          <w:iCs/>
          <w:sz w:val="24"/>
          <w:szCs w:val="24"/>
        </w:rPr>
        <w:t>Environment, Development and Sustainability, 1</w:t>
      </w:r>
      <w:r w:rsidRPr="00815AA9">
        <w:rPr>
          <w:rFonts w:ascii="Times New Roman" w:hAnsi="Times New Roman" w:cs="Times New Roman"/>
          <w:bCs/>
          <w:sz w:val="24"/>
          <w:szCs w:val="24"/>
        </w:rPr>
        <w:t>(2), 1-10. doi:10.1007/s10668-023-03730-y</w:t>
      </w:r>
    </w:p>
    <w:p w14:paraId="35F57C46" w14:textId="77777777" w:rsidR="002E7A3D" w:rsidRPr="00815AA9" w:rsidRDefault="002E7A3D" w:rsidP="007F10F0">
      <w:pPr>
        <w:spacing w:after="0" w:line="240" w:lineRule="auto"/>
        <w:ind w:left="720" w:hanging="720"/>
        <w:jc w:val="both"/>
        <w:rPr>
          <w:rFonts w:ascii="Times New Roman" w:hAnsi="Times New Roman" w:cs="Times New Roman"/>
          <w:bCs/>
          <w:sz w:val="24"/>
          <w:szCs w:val="24"/>
          <w:lang w:val="en-GB"/>
        </w:rPr>
      </w:pPr>
      <w:r w:rsidRPr="00815AA9">
        <w:rPr>
          <w:rFonts w:ascii="Times New Roman" w:hAnsi="Times New Roman" w:cs="Times New Roman"/>
          <w:bCs/>
          <w:sz w:val="24"/>
          <w:szCs w:val="24"/>
          <w:lang w:val="en-GB"/>
        </w:rPr>
        <w:t xml:space="preserve">Ajeigbe, K. B., Okafor, I. G., &amp; Adedoyin, F. F. (2023). Tax revenue mobilisation and economic growth in developing economies. </w:t>
      </w:r>
      <w:r w:rsidRPr="00815AA9">
        <w:rPr>
          <w:rFonts w:ascii="Times New Roman" w:hAnsi="Times New Roman" w:cs="Times New Roman"/>
          <w:bCs/>
          <w:i/>
          <w:iCs/>
          <w:sz w:val="24"/>
          <w:szCs w:val="24"/>
          <w:lang w:val="en-GB"/>
        </w:rPr>
        <w:t>Heliyon, 9</w:t>
      </w:r>
      <w:r w:rsidRPr="00815AA9">
        <w:rPr>
          <w:rFonts w:ascii="Times New Roman" w:hAnsi="Times New Roman" w:cs="Times New Roman"/>
          <w:bCs/>
          <w:sz w:val="24"/>
          <w:szCs w:val="24"/>
          <w:lang w:val="en-GB"/>
        </w:rPr>
        <w:t>(3), e14189.</w:t>
      </w:r>
      <w:r w:rsidRPr="00815AA9">
        <w:rPr>
          <w:rFonts w:ascii="Times New Roman" w:hAnsi="Times New Roman" w:cs="Times New Roman"/>
          <w:bCs/>
          <w:sz w:val="24"/>
          <w:szCs w:val="24"/>
          <w:lang w:val="en-GB"/>
        </w:rPr>
        <w:br/>
      </w:r>
      <w:hyperlink r:id="rId10" w:tgtFrame="_new" w:history="1">
        <w:r w:rsidRPr="00815AA9">
          <w:rPr>
            <w:rStyle w:val="Hyperlink"/>
            <w:rFonts w:ascii="Times New Roman" w:hAnsi="Times New Roman" w:cs="Times New Roman"/>
            <w:bCs/>
            <w:color w:val="auto"/>
            <w:sz w:val="24"/>
            <w:szCs w:val="24"/>
            <w:lang w:val="en-GB"/>
          </w:rPr>
          <w:t>https://doi.org/10.1016/j.heliyon.2023.e14189</w:t>
        </w:r>
      </w:hyperlink>
    </w:p>
    <w:p w14:paraId="25AD5782" w14:textId="77777777" w:rsidR="002E7A3D" w:rsidRPr="00815AA9" w:rsidRDefault="002E7A3D" w:rsidP="007F10F0">
      <w:pPr>
        <w:spacing w:after="0" w:line="240" w:lineRule="auto"/>
        <w:ind w:left="720" w:hanging="720"/>
        <w:jc w:val="both"/>
        <w:rPr>
          <w:rFonts w:ascii="Times New Roman" w:hAnsi="Times New Roman" w:cs="Times New Roman"/>
          <w:bCs/>
          <w:sz w:val="24"/>
          <w:szCs w:val="24"/>
        </w:rPr>
      </w:pPr>
      <w:r w:rsidRPr="00815AA9">
        <w:rPr>
          <w:rFonts w:ascii="Times New Roman" w:hAnsi="Times New Roman" w:cs="Times New Roman"/>
          <w:bCs/>
          <w:sz w:val="24"/>
          <w:szCs w:val="24"/>
        </w:rPr>
        <w:t xml:space="preserve">Amoah, A., &amp; Amoako, G. K. (2022). Taxation, government revenue, and economic sustainability: Evidence from Africa. </w:t>
      </w:r>
      <w:r w:rsidRPr="00815AA9">
        <w:rPr>
          <w:rFonts w:ascii="Times New Roman" w:hAnsi="Times New Roman" w:cs="Times New Roman"/>
          <w:bCs/>
          <w:i/>
          <w:iCs/>
          <w:sz w:val="24"/>
          <w:szCs w:val="24"/>
        </w:rPr>
        <w:t>African Journal of Economic and Management Studies, 13</w:t>
      </w:r>
      <w:r w:rsidRPr="00815AA9">
        <w:rPr>
          <w:rFonts w:ascii="Times New Roman" w:hAnsi="Times New Roman" w:cs="Times New Roman"/>
          <w:bCs/>
          <w:sz w:val="24"/>
          <w:szCs w:val="24"/>
        </w:rPr>
        <w:t>(1), 1-15. https://doi.org/10.1108/AJEMS-05-2021-0221</w:t>
      </w:r>
    </w:p>
    <w:p w14:paraId="0602D40C" w14:textId="77777777" w:rsidR="002E7A3D" w:rsidRPr="00815AA9" w:rsidRDefault="002E7A3D" w:rsidP="007F10F0">
      <w:pPr>
        <w:spacing w:after="0" w:line="240" w:lineRule="auto"/>
        <w:ind w:left="720" w:hanging="720"/>
        <w:jc w:val="both"/>
        <w:rPr>
          <w:rFonts w:ascii="Times New Roman" w:hAnsi="Times New Roman" w:cs="Times New Roman"/>
          <w:bCs/>
          <w:sz w:val="24"/>
          <w:szCs w:val="24"/>
        </w:rPr>
      </w:pPr>
      <w:r w:rsidRPr="00815AA9">
        <w:rPr>
          <w:rFonts w:ascii="Times New Roman" w:hAnsi="Times New Roman" w:cs="Times New Roman"/>
          <w:bCs/>
          <w:sz w:val="24"/>
          <w:szCs w:val="24"/>
        </w:rPr>
        <w:t xml:space="preserve">Amoah, C., &amp; Jehu-Appiah, J. (2022). Factors driving industrialization in Africa: A panel two-stage least square approach. </w:t>
      </w:r>
      <w:r w:rsidRPr="00815AA9">
        <w:rPr>
          <w:rFonts w:ascii="Times New Roman" w:hAnsi="Times New Roman" w:cs="Times New Roman"/>
          <w:bCs/>
          <w:i/>
          <w:iCs/>
          <w:sz w:val="24"/>
          <w:szCs w:val="24"/>
        </w:rPr>
        <w:t>Modern Economy, 13</w:t>
      </w:r>
      <w:r w:rsidRPr="00815AA9">
        <w:rPr>
          <w:rFonts w:ascii="Times New Roman" w:hAnsi="Times New Roman" w:cs="Times New Roman"/>
          <w:bCs/>
          <w:sz w:val="24"/>
          <w:szCs w:val="24"/>
        </w:rPr>
        <w:t>(2), 144-158. doi:10.4236/me.2022.132010</w:t>
      </w:r>
    </w:p>
    <w:p w14:paraId="358D7E37" w14:textId="77777777" w:rsidR="002E7A3D" w:rsidRPr="00815AA9" w:rsidRDefault="002E7A3D" w:rsidP="007F10F0">
      <w:pPr>
        <w:spacing w:after="0" w:line="240" w:lineRule="auto"/>
        <w:ind w:left="720" w:hanging="720"/>
        <w:jc w:val="both"/>
        <w:rPr>
          <w:rFonts w:ascii="Times New Roman" w:hAnsi="Times New Roman" w:cs="Times New Roman"/>
          <w:bCs/>
          <w:sz w:val="24"/>
          <w:szCs w:val="24"/>
        </w:rPr>
      </w:pPr>
      <w:r w:rsidRPr="00815AA9">
        <w:rPr>
          <w:rFonts w:ascii="Times New Roman" w:hAnsi="Times New Roman" w:cs="Times New Roman"/>
          <w:bCs/>
          <w:sz w:val="24"/>
          <w:szCs w:val="24"/>
        </w:rPr>
        <w:t xml:space="preserve">Amoah, J. K. (2021). Progressive taxation and income inequality in Ghana: Implications for social welfare. </w:t>
      </w:r>
      <w:r w:rsidRPr="00815AA9">
        <w:rPr>
          <w:rFonts w:ascii="Times New Roman" w:hAnsi="Times New Roman" w:cs="Times New Roman"/>
          <w:bCs/>
          <w:i/>
          <w:iCs/>
          <w:sz w:val="24"/>
          <w:szCs w:val="24"/>
        </w:rPr>
        <w:t>Journal of African Studies, 30</w:t>
      </w:r>
      <w:r w:rsidRPr="00815AA9">
        <w:rPr>
          <w:rFonts w:ascii="Times New Roman" w:hAnsi="Times New Roman" w:cs="Times New Roman"/>
          <w:bCs/>
          <w:sz w:val="24"/>
          <w:szCs w:val="24"/>
        </w:rPr>
        <w:t>(3), 245-262. https://doi.org/10.1080/17531055.2021.1927691</w:t>
      </w:r>
    </w:p>
    <w:p w14:paraId="102FE41E" w14:textId="77777777" w:rsidR="002E7A3D" w:rsidRPr="00815AA9" w:rsidRDefault="002E7A3D" w:rsidP="007F10F0">
      <w:pPr>
        <w:spacing w:after="0" w:line="240" w:lineRule="auto"/>
        <w:ind w:left="720" w:hanging="720"/>
        <w:jc w:val="both"/>
        <w:rPr>
          <w:rFonts w:ascii="Times New Roman" w:hAnsi="Times New Roman" w:cs="Times New Roman"/>
          <w:bCs/>
          <w:sz w:val="24"/>
          <w:szCs w:val="24"/>
        </w:rPr>
      </w:pPr>
      <w:r w:rsidRPr="00815AA9">
        <w:rPr>
          <w:rFonts w:ascii="Times New Roman" w:hAnsi="Times New Roman" w:cs="Times New Roman"/>
          <w:bCs/>
          <w:sz w:val="24"/>
          <w:szCs w:val="24"/>
        </w:rPr>
        <w:t xml:space="preserve">Anas, I. A., &amp; David, F. (2023). Does tax revenue enhance economic growth in Nigeria? </w:t>
      </w:r>
      <w:r w:rsidRPr="00815AA9">
        <w:rPr>
          <w:rFonts w:ascii="Times New Roman" w:hAnsi="Times New Roman" w:cs="Times New Roman"/>
          <w:bCs/>
          <w:i/>
          <w:iCs/>
          <w:sz w:val="24"/>
          <w:szCs w:val="24"/>
        </w:rPr>
        <w:t>African Journal of Management and Business Research, 10</w:t>
      </w:r>
      <w:r w:rsidRPr="00815AA9">
        <w:rPr>
          <w:rFonts w:ascii="Times New Roman" w:hAnsi="Times New Roman" w:cs="Times New Roman"/>
          <w:bCs/>
          <w:sz w:val="24"/>
          <w:szCs w:val="24"/>
        </w:rPr>
        <w:t>(1), 47-57.</w:t>
      </w:r>
    </w:p>
    <w:p w14:paraId="184F081A" w14:textId="77777777" w:rsidR="002E7A3D" w:rsidRPr="00815AA9" w:rsidRDefault="002E7A3D" w:rsidP="007F10F0">
      <w:pPr>
        <w:spacing w:after="0" w:line="240" w:lineRule="auto"/>
        <w:ind w:left="720" w:hanging="720"/>
        <w:jc w:val="both"/>
        <w:rPr>
          <w:rFonts w:ascii="Times New Roman" w:hAnsi="Times New Roman" w:cs="Times New Roman"/>
          <w:bCs/>
          <w:sz w:val="24"/>
          <w:szCs w:val="24"/>
        </w:rPr>
      </w:pPr>
      <w:r w:rsidRPr="00815AA9">
        <w:rPr>
          <w:rFonts w:ascii="Times New Roman" w:hAnsi="Times New Roman" w:cs="Times New Roman"/>
          <w:bCs/>
          <w:sz w:val="24"/>
          <w:szCs w:val="24"/>
        </w:rPr>
        <w:t xml:space="preserve">Atuma, E., Amarachi, D. G., Fidelia, N. N., Nkwagu, C. C., Udenta, B. N., Njim, S., &amp; Uwaeke, G. U. (2024). Evaluation of revenue effect from tax components and economic growth in Nigeria. </w:t>
      </w:r>
      <w:r w:rsidRPr="00815AA9">
        <w:rPr>
          <w:rFonts w:ascii="Times New Roman" w:hAnsi="Times New Roman" w:cs="Times New Roman"/>
          <w:bCs/>
          <w:i/>
          <w:iCs/>
          <w:sz w:val="24"/>
          <w:szCs w:val="24"/>
        </w:rPr>
        <w:t>African Journal of Politics and Administrative Studies (AJPAS), 17</w:t>
      </w:r>
      <w:r w:rsidRPr="00815AA9">
        <w:rPr>
          <w:rFonts w:ascii="Times New Roman" w:hAnsi="Times New Roman" w:cs="Times New Roman"/>
          <w:bCs/>
          <w:sz w:val="24"/>
          <w:szCs w:val="24"/>
        </w:rPr>
        <w:t>(1), 341-352. doi:10.4314/ajpas.v17i1.17</w:t>
      </w:r>
    </w:p>
    <w:p w14:paraId="2AF67F93" w14:textId="77777777" w:rsidR="002E7A3D" w:rsidRPr="00815AA9" w:rsidRDefault="002E7A3D" w:rsidP="007F10F0">
      <w:pPr>
        <w:spacing w:after="0" w:line="240" w:lineRule="auto"/>
        <w:ind w:left="720" w:hanging="720"/>
        <w:jc w:val="both"/>
        <w:rPr>
          <w:rFonts w:ascii="Times New Roman" w:hAnsi="Times New Roman" w:cs="Times New Roman"/>
          <w:bCs/>
          <w:sz w:val="24"/>
          <w:szCs w:val="24"/>
        </w:rPr>
      </w:pPr>
      <w:r w:rsidRPr="00815AA9">
        <w:rPr>
          <w:rFonts w:ascii="Times New Roman" w:hAnsi="Times New Roman" w:cs="Times New Roman"/>
          <w:bCs/>
          <w:sz w:val="24"/>
          <w:szCs w:val="24"/>
        </w:rPr>
        <w:t xml:space="preserve">Ayana, D. I., Demissie, W. M., &amp; Atnafu, G. S. (2023). Effect of government revenue on economic growth of sub-Saharan Africa: Does institutional quality matter? </w:t>
      </w:r>
      <w:r w:rsidRPr="00815AA9">
        <w:rPr>
          <w:rFonts w:ascii="Times New Roman" w:hAnsi="Times New Roman" w:cs="Times New Roman"/>
          <w:bCs/>
          <w:i/>
          <w:iCs/>
          <w:sz w:val="24"/>
          <w:szCs w:val="24"/>
        </w:rPr>
        <w:t>PLoS One, 18</w:t>
      </w:r>
      <w:r w:rsidRPr="00815AA9">
        <w:rPr>
          <w:rFonts w:ascii="Times New Roman" w:hAnsi="Times New Roman" w:cs="Times New Roman"/>
          <w:bCs/>
          <w:sz w:val="24"/>
          <w:szCs w:val="24"/>
        </w:rPr>
        <w:t>(11), e0293847. doi:10.1371%2Fjournal.pone.0293847</w:t>
      </w:r>
    </w:p>
    <w:p w14:paraId="4D88F1BC" w14:textId="77777777" w:rsidR="002E7A3D" w:rsidRPr="00815AA9" w:rsidRDefault="002E7A3D" w:rsidP="007F10F0">
      <w:pPr>
        <w:spacing w:after="0" w:line="240" w:lineRule="auto"/>
        <w:ind w:left="720" w:hanging="720"/>
        <w:jc w:val="both"/>
        <w:rPr>
          <w:rFonts w:ascii="Times New Roman" w:hAnsi="Times New Roman" w:cs="Times New Roman"/>
          <w:bCs/>
          <w:sz w:val="24"/>
          <w:szCs w:val="24"/>
        </w:rPr>
      </w:pPr>
      <w:r w:rsidRPr="00815AA9">
        <w:rPr>
          <w:rFonts w:ascii="Times New Roman" w:hAnsi="Times New Roman" w:cs="Times New Roman"/>
          <w:bCs/>
          <w:sz w:val="24"/>
          <w:szCs w:val="24"/>
        </w:rPr>
        <w:t xml:space="preserve">Ayeni, O. A., &amp; Omodeo, C. O. (2022). Tax revenue and economic growth in Nigeria. </w:t>
      </w:r>
      <w:r w:rsidRPr="00815AA9">
        <w:rPr>
          <w:rFonts w:ascii="Times New Roman" w:hAnsi="Times New Roman" w:cs="Times New Roman"/>
          <w:bCs/>
          <w:i/>
          <w:iCs/>
          <w:sz w:val="24"/>
          <w:szCs w:val="24"/>
        </w:rPr>
        <w:t>Cogent Business &amp; Management, 9</w:t>
      </w:r>
      <w:r w:rsidRPr="00815AA9">
        <w:rPr>
          <w:rFonts w:ascii="Times New Roman" w:hAnsi="Times New Roman" w:cs="Times New Roman"/>
          <w:bCs/>
          <w:sz w:val="24"/>
          <w:szCs w:val="24"/>
        </w:rPr>
        <w:t>(1), 1-20. doi:10.1080/23311975.2022.2115282</w:t>
      </w:r>
    </w:p>
    <w:p w14:paraId="19AE9024" w14:textId="77777777" w:rsidR="002E7A3D" w:rsidRPr="00815AA9" w:rsidRDefault="002E7A3D" w:rsidP="007F10F0">
      <w:pPr>
        <w:spacing w:after="0" w:line="240" w:lineRule="auto"/>
        <w:ind w:left="720" w:hanging="720"/>
        <w:jc w:val="both"/>
        <w:rPr>
          <w:rFonts w:ascii="Times New Roman" w:hAnsi="Times New Roman" w:cs="Times New Roman"/>
          <w:bCs/>
          <w:sz w:val="24"/>
          <w:szCs w:val="24"/>
        </w:rPr>
      </w:pPr>
      <w:r w:rsidRPr="00815AA9">
        <w:rPr>
          <w:rFonts w:ascii="Times New Roman" w:hAnsi="Times New Roman" w:cs="Times New Roman"/>
          <w:bCs/>
          <w:sz w:val="24"/>
          <w:szCs w:val="24"/>
        </w:rPr>
        <w:t xml:space="preserve">Ayeni, O. D., &amp; Afolabi, O. J. (2020). </w:t>
      </w:r>
      <w:r w:rsidRPr="00815AA9">
        <w:rPr>
          <w:rFonts w:ascii="Times New Roman" w:hAnsi="Times New Roman" w:cs="Times New Roman"/>
          <w:bCs/>
          <w:i/>
          <w:iCs/>
          <w:sz w:val="24"/>
          <w:szCs w:val="24"/>
        </w:rPr>
        <w:t>Tax revenue, infrastructural development and economic growth in Nigeria.</w:t>
      </w:r>
      <w:r w:rsidRPr="00815AA9">
        <w:rPr>
          <w:rFonts w:ascii="Times New Roman" w:hAnsi="Times New Roman" w:cs="Times New Roman"/>
          <w:bCs/>
          <w:sz w:val="24"/>
          <w:szCs w:val="24"/>
        </w:rPr>
        <w:t xml:space="preserve"> Nigeria: Munich Personal RePEc Archive.</w:t>
      </w:r>
    </w:p>
    <w:p w14:paraId="58DC7C8F" w14:textId="77777777" w:rsidR="002E7A3D" w:rsidRPr="00815AA9" w:rsidRDefault="002E7A3D" w:rsidP="007F10F0">
      <w:pPr>
        <w:spacing w:after="0" w:line="240" w:lineRule="auto"/>
        <w:ind w:left="720" w:hanging="720"/>
        <w:jc w:val="both"/>
        <w:rPr>
          <w:rFonts w:ascii="Times New Roman" w:hAnsi="Times New Roman" w:cs="Times New Roman"/>
          <w:bCs/>
          <w:sz w:val="24"/>
          <w:szCs w:val="24"/>
          <w:lang w:val="en-GB"/>
        </w:rPr>
      </w:pPr>
      <w:r w:rsidRPr="00815AA9">
        <w:rPr>
          <w:rFonts w:ascii="Times New Roman" w:hAnsi="Times New Roman" w:cs="Times New Roman"/>
          <w:bCs/>
          <w:sz w:val="24"/>
          <w:szCs w:val="24"/>
          <w:lang w:val="en-GB"/>
        </w:rPr>
        <w:t xml:space="preserve">Barro, R. J. (1990). Government spending in a simple model of endogenous growth. </w:t>
      </w:r>
      <w:r w:rsidRPr="00815AA9">
        <w:rPr>
          <w:rFonts w:ascii="Times New Roman" w:hAnsi="Times New Roman" w:cs="Times New Roman"/>
          <w:bCs/>
          <w:i/>
          <w:iCs/>
          <w:sz w:val="24"/>
          <w:szCs w:val="24"/>
          <w:lang w:val="en-GB"/>
        </w:rPr>
        <w:t>Journal of Political Economy, 98</w:t>
      </w:r>
      <w:r w:rsidRPr="00815AA9">
        <w:rPr>
          <w:rFonts w:ascii="Times New Roman" w:hAnsi="Times New Roman" w:cs="Times New Roman"/>
          <w:bCs/>
          <w:sz w:val="24"/>
          <w:szCs w:val="24"/>
          <w:lang w:val="en-GB"/>
        </w:rPr>
        <w:t>(5), S103–S125.</w:t>
      </w:r>
      <w:r w:rsidRPr="00815AA9">
        <w:rPr>
          <w:rFonts w:ascii="Times New Roman" w:hAnsi="Times New Roman" w:cs="Times New Roman"/>
          <w:bCs/>
          <w:sz w:val="24"/>
          <w:szCs w:val="24"/>
          <w:lang w:val="en-GB"/>
        </w:rPr>
        <w:br/>
      </w:r>
      <w:hyperlink r:id="rId11" w:tgtFrame="_new" w:history="1">
        <w:r w:rsidRPr="00815AA9">
          <w:rPr>
            <w:rStyle w:val="Hyperlink"/>
            <w:rFonts w:ascii="Times New Roman" w:hAnsi="Times New Roman" w:cs="Times New Roman"/>
            <w:bCs/>
            <w:color w:val="auto"/>
            <w:sz w:val="24"/>
            <w:szCs w:val="24"/>
            <w:lang w:val="en-GB"/>
          </w:rPr>
          <w:t>https://doi.org/10.1086/261726</w:t>
        </w:r>
      </w:hyperlink>
      <w:r w:rsidRPr="00815AA9">
        <w:rPr>
          <w:rFonts w:ascii="Times New Roman" w:hAnsi="Times New Roman" w:cs="Times New Roman"/>
          <w:bCs/>
          <w:sz w:val="24"/>
          <w:szCs w:val="24"/>
          <w:lang w:val="en-GB"/>
        </w:rPr>
        <w:t xml:space="preserve"> </w:t>
      </w:r>
    </w:p>
    <w:p w14:paraId="1DA35EBB" w14:textId="77777777" w:rsidR="002E7A3D" w:rsidRPr="00815AA9" w:rsidRDefault="002E7A3D" w:rsidP="007F10F0">
      <w:pPr>
        <w:spacing w:after="0" w:line="240" w:lineRule="auto"/>
        <w:ind w:left="720" w:hanging="720"/>
        <w:jc w:val="both"/>
        <w:rPr>
          <w:rFonts w:ascii="Times New Roman" w:hAnsi="Times New Roman" w:cs="Times New Roman"/>
          <w:bCs/>
          <w:sz w:val="24"/>
          <w:szCs w:val="24"/>
        </w:rPr>
      </w:pPr>
      <w:r w:rsidRPr="00815AA9">
        <w:rPr>
          <w:rFonts w:ascii="Times New Roman" w:hAnsi="Times New Roman" w:cs="Times New Roman"/>
          <w:bCs/>
          <w:sz w:val="24"/>
          <w:szCs w:val="24"/>
        </w:rPr>
        <w:t xml:space="preserve">Eseosa, O., Brian-Kufre, O., &amp; Ayeni, A. (2024). The impact of tax revenue on economic growth in Nigeria. </w:t>
      </w:r>
      <w:r w:rsidRPr="00815AA9">
        <w:rPr>
          <w:rFonts w:ascii="Times New Roman" w:hAnsi="Times New Roman" w:cs="Times New Roman"/>
          <w:bCs/>
          <w:i/>
          <w:iCs/>
          <w:sz w:val="24"/>
          <w:szCs w:val="24"/>
        </w:rPr>
        <w:t>International Journal of Multidisciplinary Research and Growth Evaluation, 5</w:t>
      </w:r>
      <w:r w:rsidRPr="00815AA9">
        <w:rPr>
          <w:rFonts w:ascii="Times New Roman" w:hAnsi="Times New Roman" w:cs="Times New Roman"/>
          <w:bCs/>
          <w:sz w:val="24"/>
          <w:szCs w:val="24"/>
        </w:rPr>
        <w:t>(1), 566-571.</w:t>
      </w:r>
    </w:p>
    <w:p w14:paraId="1F75EB2D" w14:textId="77777777" w:rsidR="002E7A3D" w:rsidRPr="00815AA9" w:rsidRDefault="002E7A3D" w:rsidP="007F10F0">
      <w:pPr>
        <w:spacing w:after="0" w:line="240" w:lineRule="auto"/>
        <w:ind w:left="720" w:hanging="720"/>
        <w:jc w:val="both"/>
        <w:rPr>
          <w:rFonts w:ascii="Times New Roman" w:hAnsi="Times New Roman" w:cs="Times New Roman"/>
          <w:bCs/>
          <w:sz w:val="24"/>
          <w:szCs w:val="24"/>
        </w:rPr>
      </w:pPr>
      <w:r w:rsidRPr="00815AA9">
        <w:rPr>
          <w:rFonts w:ascii="Times New Roman" w:hAnsi="Times New Roman" w:cs="Times New Roman"/>
          <w:bCs/>
          <w:sz w:val="24"/>
          <w:szCs w:val="24"/>
        </w:rPr>
        <w:t xml:space="preserve">European Commission. (2022). </w:t>
      </w:r>
      <w:r w:rsidRPr="00815AA9">
        <w:rPr>
          <w:rFonts w:ascii="Times New Roman" w:hAnsi="Times New Roman" w:cs="Times New Roman"/>
          <w:bCs/>
          <w:i/>
          <w:iCs/>
          <w:sz w:val="24"/>
          <w:szCs w:val="24"/>
        </w:rPr>
        <w:t>Taxation trends in the European Union: Data for the EU member states, Iceland and Norway</w:t>
      </w:r>
      <w:r w:rsidRPr="00815AA9">
        <w:rPr>
          <w:rFonts w:ascii="Times New Roman" w:hAnsi="Times New Roman" w:cs="Times New Roman"/>
          <w:bCs/>
          <w:sz w:val="24"/>
          <w:szCs w:val="24"/>
        </w:rPr>
        <w:t xml:space="preserve">. </w:t>
      </w:r>
      <w:hyperlink r:id="rId12" w:tgtFrame="_new" w:history="1">
        <w:r w:rsidRPr="00815AA9">
          <w:rPr>
            <w:rStyle w:val="Hyperlink"/>
            <w:rFonts w:ascii="Times New Roman" w:hAnsi="Times New Roman" w:cs="Times New Roman"/>
            <w:bCs/>
            <w:color w:val="auto"/>
            <w:sz w:val="24"/>
            <w:szCs w:val="24"/>
          </w:rPr>
          <w:t>https://ec.europa.eu/taxation_customs/publications/taxation-trends-eu-2022_en</w:t>
        </w:r>
      </w:hyperlink>
    </w:p>
    <w:p w14:paraId="09CBDC84" w14:textId="77777777" w:rsidR="002E7A3D" w:rsidRPr="00815AA9" w:rsidRDefault="002E7A3D" w:rsidP="007F10F0">
      <w:pPr>
        <w:spacing w:after="0" w:line="240" w:lineRule="auto"/>
        <w:ind w:left="720" w:hanging="720"/>
        <w:jc w:val="both"/>
        <w:rPr>
          <w:rFonts w:ascii="Times New Roman" w:hAnsi="Times New Roman" w:cs="Times New Roman"/>
          <w:bCs/>
          <w:sz w:val="24"/>
          <w:szCs w:val="24"/>
        </w:rPr>
      </w:pPr>
      <w:r w:rsidRPr="00815AA9">
        <w:rPr>
          <w:rFonts w:ascii="Times New Roman" w:hAnsi="Times New Roman" w:cs="Times New Roman"/>
          <w:bCs/>
          <w:sz w:val="24"/>
          <w:szCs w:val="24"/>
        </w:rPr>
        <w:t xml:space="preserve">Fang, W. (2024). Negative Impact of income tax on economic growth. </w:t>
      </w:r>
      <w:r w:rsidRPr="00815AA9">
        <w:rPr>
          <w:rFonts w:ascii="Times New Roman" w:hAnsi="Times New Roman" w:cs="Times New Roman"/>
          <w:bCs/>
          <w:i/>
          <w:iCs/>
          <w:sz w:val="24"/>
          <w:szCs w:val="24"/>
        </w:rPr>
        <w:t>SHS Web of Conferences, 188</w:t>
      </w:r>
      <w:r w:rsidRPr="00815AA9">
        <w:rPr>
          <w:rFonts w:ascii="Times New Roman" w:hAnsi="Times New Roman" w:cs="Times New Roman"/>
          <w:bCs/>
          <w:sz w:val="24"/>
          <w:szCs w:val="24"/>
        </w:rPr>
        <w:t>(1), 1-10. Retrieved from https://doi.org/10.1051/shsconf/202418802003</w:t>
      </w:r>
    </w:p>
    <w:p w14:paraId="6CD76C26" w14:textId="77777777" w:rsidR="002E7A3D" w:rsidRPr="00815AA9" w:rsidRDefault="002E7A3D" w:rsidP="007F10F0">
      <w:pPr>
        <w:spacing w:after="0" w:line="240" w:lineRule="auto"/>
        <w:ind w:left="720" w:hanging="720"/>
        <w:jc w:val="both"/>
        <w:rPr>
          <w:rFonts w:ascii="Times New Roman" w:hAnsi="Times New Roman" w:cs="Times New Roman"/>
          <w:bCs/>
          <w:sz w:val="24"/>
          <w:szCs w:val="24"/>
        </w:rPr>
      </w:pPr>
      <w:r w:rsidRPr="00815AA9">
        <w:rPr>
          <w:rFonts w:ascii="Times New Roman" w:hAnsi="Times New Roman" w:cs="Times New Roman"/>
          <w:bCs/>
          <w:sz w:val="24"/>
          <w:szCs w:val="24"/>
        </w:rPr>
        <w:t xml:space="preserve">Ha, M. N., Pham, T., &amp; Quan, M. Q. (2022). The determinants of tax revenue: A study of Southeast Asia. </w:t>
      </w:r>
      <w:r w:rsidRPr="00815AA9">
        <w:rPr>
          <w:rFonts w:ascii="Times New Roman" w:hAnsi="Times New Roman" w:cs="Times New Roman"/>
          <w:bCs/>
          <w:i/>
          <w:iCs/>
          <w:sz w:val="24"/>
          <w:szCs w:val="24"/>
        </w:rPr>
        <w:t>Cogent Economics &amp; Finance, 10</w:t>
      </w:r>
      <w:r w:rsidRPr="00815AA9">
        <w:rPr>
          <w:rFonts w:ascii="Times New Roman" w:hAnsi="Times New Roman" w:cs="Times New Roman"/>
          <w:bCs/>
          <w:sz w:val="24"/>
          <w:szCs w:val="24"/>
        </w:rPr>
        <w:t>(1), 1-20. doi:10.1080/23322039.2022.2026660</w:t>
      </w:r>
    </w:p>
    <w:p w14:paraId="1F5CD07D" w14:textId="77777777" w:rsidR="002E7A3D" w:rsidRPr="00815AA9" w:rsidRDefault="002E7A3D" w:rsidP="007F10F0">
      <w:pPr>
        <w:spacing w:after="0" w:line="240" w:lineRule="auto"/>
        <w:ind w:left="720" w:hanging="720"/>
        <w:jc w:val="both"/>
        <w:rPr>
          <w:rFonts w:ascii="Times New Roman" w:hAnsi="Times New Roman" w:cs="Times New Roman"/>
          <w:bCs/>
          <w:sz w:val="24"/>
          <w:szCs w:val="24"/>
          <w:lang w:val="en-GB"/>
        </w:rPr>
      </w:pPr>
      <w:r w:rsidRPr="00815AA9">
        <w:rPr>
          <w:rFonts w:ascii="Times New Roman" w:hAnsi="Times New Roman" w:cs="Times New Roman"/>
          <w:bCs/>
          <w:sz w:val="24"/>
          <w:szCs w:val="24"/>
          <w:lang w:val="en-GB"/>
        </w:rPr>
        <w:lastRenderedPageBreak/>
        <w:t xml:space="preserve">Ho, C., Iyke, B. N., &amp; Odhiambo, N. M. (2023). Tax revenue and economic growth: Evidence from developing countries. </w:t>
      </w:r>
      <w:r w:rsidRPr="00815AA9">
        <w:rPr>
          <w:rFonts w:ascii="Times New Roman" w:hAnsi="Times New Roman" w:cs="Times New Roman"/>
          <w:bCs/>
          <w:i/>
          <w:iCs/>
          <w:sz w:val="24"/>
          <w:szCs w:val="24"/>
          <w:lang w:val="en-GB"/>
        </w:rPr>
        <w:t>Economic Analysis and Policy, 77</w:t>
      </w:r>
      <w:r w:rsidRPr="00815AA9">
        <w:rPr>
          <w:rFonts w:ascii="Times New Roman" w:hAnsi="Times New Roman" w:cs="Times New Roman"/>
          <w:bCs/>
          <w:sz w:val="24"/>
          <w:szCs w:val="24"/>
          <w:lang w:val="en-GB"/>
        </w:rPr>
        <w:t>, 590–603.</w:t>
      </w:r>
      <w:r w:rsidRPr="00815AA9">
        <w:rPr>
          <w:rFonts w:ascii="Times New Roman" w:hAnsi="Times New Roman" w:cs="Times New Roman"/>
          <w:bCs/>
          <w:sz w:val="24"/>
          <w:szCs w:val="24"/>
          <w:lang w:val="en-GB"/>
        </w:rPr>
        <w:br/>
      </w:r>
      <w:hyperlink r:id="rId13" w:tgtFrame="_new" w:history="1">
        <w:r w:rsidRPr="00815AA9">
          <w:rPr>
            <w:rStyle w:val="Hyperlink"/>
            <w:rFonts w:ascii="Times New Roman" w:hAnsi="Times New Roman" w:cs="Times New Roman"/>
            <w:bCs/>
            <w:color w:val="auto"/>
            <w:sz w:val="24"/>
            <w:szCs w:val="24"/>
            <w:lang w:val="en-GB"/>
          </w:rPr>
          <w:t>https://doi.org/10.1016/j.eap.2022.12.014</w:t>
        </w:r>
      </w:hyperlink>
    </w:p>
    <w:p w14:paraId="46B7076D" w14:textId="77777777" w:rsidR="002E7A3D" w:rsidRPr="00815AA9" w:rsidRDefault="002E7A3D" w:rsidP="007F10F0">
      <w:pPr>
        <w:spacing w:after="0" w:line="240" w:lineRule="auto"/>
        <w:ind w:left="720" w:hanging="720"/>
        <w:jc w:val="both"/>
        <w:rPr>
          <w:rFonts w:ascii="Times New Roman" w:hAnsi="Times New Roman" w:cs="Times New Roman"/>
          <w:bCs/>
          <w:sz w:val="24"/>
          <w:szCs w:val="24"/>
        </w:rPr>
      </w:pPr>
      <w:r w:rsidRPr="00815AA9">
        <w:rPr>
          <w:rFonts w:ascii="Times New Roman" w:hAnsi="Times New Roman" w:cs="Times New Roman"/>
          <w:bCs/>
          <w:sz w:val="24"/>
          <w:szCs w:val="24"/>
        </w:rPr>
        <w:t xml:space="preserve">Ho, T. T., Tran, H., &amp; Nguyen, K. Q. (2023). Tax revenue-economic growth relationship and the role of trade openness in developing countries. </w:t>
      </w:r>
      <w:r w:rsidRPr="00815AA9">
        <w:rPr>
          <w:rFonts w:ascii="Times New Roman" w:hAnsi="Times New Roman" w:cs="Times New Roman"/>
          <w:bCs/>
          <w:i/>
          <w:iCs/>
          <w:sz w:val="24"/>
          <w:szCs w:val="24"/>
        </w:rPr>
        <w:t>Cogent Business &amp; Management, 10</w:t>
      </w:r>
      <w:r w:rsidRPr="00815AA9">
        <w:rPr>
          <w:rFonts w:ascii="Times New Roman" w:hAnsi="Times New Roman" w:cs="Times New Roman"/>
          <w:bCs/>
          <w:sz w:val="24"/>
          <w:szCs w:val="24"/>
        </w:rPr>
        <w:t>(1), 1-14. doi:10.1080/23311975.2023.2213959</w:t>
      </w:r>
    </w:p>
    <w:p w14:paraId="76A4CD64" w14:textId="77777777" w:rsidR="002E7A3D" w:rsidRPr="00815AA9" w:rsidRDefault="002E7A3D" w:rsidP="007F10F0">
      <w:pPr>
        <w:spacing w:after="0" w:line="240" w:lineRule="auto"/>
        <w:ind w:left="720" w:hanging="720"/>
        <w:jc w:val="both"/>
        <w:rPr>
          <w:rFonts w:ascii="Times New Roman" w:hAnsi="Times New Roman" w:cs="Times New Roman"/>
          <w:bCs/>
          <w:sz w:val="24"/>
          <w:szCs w:val="24"/>
        </w:rPr>
      </w:pPr>
      <w:r w:rsidRPr="00815AA9">
        <w:rPr>
          <w:rFonts w:ascii="Times New Roman" w:hAnsi="Times New Roman" w:cs="Times New Roman"/>
          <w:bCs/>
          <w:sz w:val="24"/>
          <w:szCs w:val="24"/>
        </w:rPr>
        <w:t xml:space="preserve">Ify, C. M., &amp; Iroh, E. (2024). Tax revenue and economic growth in Nigeria. </w:t>
      </w:r>
      <w:r w:rsidRPr="00815AA9">
        <w:rPr>
          <w:rFonts w:ascii="Times New Roman" w:hAnsi="Times New Roman" w:cs="Times New Roman"/>
          <w:bCs/>
          <w:i/>
          <w:iCs/>
          <w:sz w:val="24"/>
          <w:szCs w:val="24"/>
        </w:rPr>
        <w:t>Journal of Economics and Development Studies, 7</w:t>
      </w:r>
      <w:r w:rsidRPr="00815AA9">
        <w:rPr>
          <w:rFonts w:ascii="Times New Roman" w:hAnsi="Times New Roman" w:cs="Times New Roman"/>
          <w:bCs/>
          <w:sz w:val="24"/>
          <w:szCs w:val="24"/>
        </w:rPr>
        <w:t>(1), 164-186.</w:t>
      </w:r>
    </w:p>
    <w:p w14:paraId="2B686BA4" w14:textId="77777777" w:rsidR="002E7A3D" w:rsidRPr="00815AA9" w:rsidRDefault="002E7A3D" w:rsidP="007F10F0">
      <w:pPr>
        <w:spacing w:after="0" w:line="240" w:lineRule="auto"/>
        <w:ind w:left="720" w:hanging="720"/>
        <w:jc w:val="both"/>
        <w:rPr>
          <w:rFonts w:ascii="Times New Roman" w:hAnsi="Times New Roman" w:cs="Times New Roman"/>
          <w:bCs/>
          <w:sz w:val="24"/>
          <w:szCs w:val="24"/>
        </w:rPr>
      </w:pPr>
      <w:r w:rsidRPr="00815AA9">
        <w:rPr>
          <w:rFonts w:ascii="Times New Roman" w:hAnsi="Times New Roman" w:cs="Times New Roman"/>
          <w:bCs/>
          <w:sz w:val="24"/>
          <w:szCs w:val="24"/>
        </w:rPr>
        <w:t xml:space="preserve">International Labour Organization. (2015). </w:t>
      </w:r>
      <w:r w:rsidRPr="00815AA9">
        <w:rPr>
          <w:rFonts w:ascii="Times New Roman" w:hAnsi="Times New Roman" w:cs="Times New Roman"/>
          <w:bCs/>
          <w:i/>
          <w:iCs/>
          <w:sz w:val="24"/>
          <w:szCs w:val="24"/>
        </w:rPr>
        <w:t>Decent work and the 2030 Agenda for sustainable development</w:t>
      </w:r>
      <w:r w:rsidRPr="00815AA9">
        <w:rPr>
          <w:rFonts w:ascii="Times New Roman" w:hAnsi="Times New Roman" w:cs="Times New Roman"/>
          <w:bCs/>
          <w:sz w:val="24"/>
          <w:szCs w:val="24"/>
        </w:rPr>
        <w:t>.</w:t>
      </w:r>
      <w:r w:rsidRPr="00815AA9">
        <w:rPr>
          <w:rFonts w:ascii="Times New Roman" w:hAnsi="Times New Roman" w:cs="Times New Roman"/>
          <w:bCs/>
          <w:sz w:val="24"/>
          <w:szCs w:val="24"/>
        </w:rPr>
        <w:br/>
      </w:r>
      <w:hyperlink r:id="rId14" w:tgtFrame="_new" w:history="1">
        <w:r w:rsidRPr="00815AA9">
          <w:rPr>
            <w:rStyle w:val="Hyperlink"/>
            <w:rFonts w:ascii="Times New Roman" w:hAnsi="Times New Roman" w:cs="Times New Roman"/>
            <w:bCs/>
            <w:color w:val="auto"/>
            <w:sz w:val="24"/>
            <w:szCs w:val="24"/>
          </w:rPr>
          <w:t>https://www.ilo.org/publications/decent-work-key-2030-agenda-sustainable-development</w:t>
        </w:r>
      </w:hyperlink>
    </w:p>
    <w:p w14:paraId="5FF64539" w14:textId="77777777" w:rsidR="002E7A3D" w:rsidRPr="00815AA9" w:rsidRDefault="002E7A3D" w:rsidP="007F10F0">
      <w:pPr>
        <w:spacing w:after="0" w:line="240" w:lineRule="auto"/>
        <w:ind w:left="720" w:hanging="720"/>
        <w:jc w:val="both"/>
        <w:rPr>
          <w:rFonts w:ascii="Times New Roman" w:hAnsi="Times New Roman" w:cs="Times New Roman"/>
          <w:bCs/>
          <w:sz w:val="24"/>
          <w:szCs w:val="24"/>
        </w:rPr>
      </w:pPr>
      <w:r w:rsidRPr="00815AA9">
        <w:rPr>
          <w:rFonts w:ascii="Times New Roman" w:hAnsi="Times New Roman" w:cs="Times New Roman"/>
          <w:bCs/>
          <w:sz w:val="24"/>
          <w:szCs w:val="24"/>
        </w:rPr>
        <w:t xml:space="preserve">Itumo, S. O., Ogbonna, C., &amp; Atuma, E. (2022). Trade policies and industrial sector performance in Nigeria 1970 - 2019. </w:t>
      </w:r>
      <w:r w:rsidRPr="00815AA9">
        <w:rPr>
          <w:rFonts w:ascii="Times New Roman" w:hAnsi="Times New Roman" w:cs="Times New Roman"/>
          <w:bCs/>
          <w:i/>
          <w:iCs/>
          <w:sz w:val="24"/>
          <w:szCs w:val="24"/>
        </w:rPr>
        <w:t>Economic &amp; Business Review, 3</w:t>
      </w:r>
      <w:r w:rsidRPr="00815AA9">
        <w:rPr>
          <w:rFonts w:ascii="Times New Roman" w:hAnsi="Times New Roman" w:cs="Times New Roman"/>
          <w:bCs/>
          <w:sz w:val="24"/>
          <w:szCs w:val="24"/>
        </w:rPr>
        <w:t>(3), 120-131.</w:t>
      </w:r>
    </w:p>
    <w:p w14:paraId="05CA82F6" w14:textId="77777777" w:rsidR="002E7A3D" w:rsidRPr="00815AA9" w:rsidRDefault="002E7A3D" w:rsidP="007F10F0">
      <w:pPr>
        <w:spacing w:after="0" w:line="240" w:lineRule="auto"/>
        <w:ind w:left="720" w:hanging="720"/>
        <w:jc w:val="both"/>
        <w:rPr>
          <w:rFonts w:ascii="Times New Roman" w:hAnsi="Times New Roman" w:cs="Times New Roman"/>
          <w:bCs/>
          <w:sz w:val="24"/>
          <w:szCs w:val="24"/>
        </w:rPr>
      </w:pPr>
      <w:r w:rsidRPr="00815AA9">
        <w:rPr>
          <w:rFonts w:ascii="Times New Roman" w:hAnsi="Times New Roman" w:cs="Times New Roman"/>
          <w:bCs/>
          <w:sz w:val="24"/>
          <w:szCs w:val="24"/>
          <w:lang w:val="it-IT"/>
        </w:rPr>
        <w:t xml:space="preserve">Jean, D. M., Bomi, N., &amp; Ferina, M. (2024). </w:t>
      </w:r>
      <w:r w:rsidRPr="00815AA9">
        <w:rPr>
          <w:rFonts w:ascii="Times New Roman" w:hAnsi="Times New Roman" w:cs="Times New Roman"/>
          <w:bCs/>
          <w:sz w:val="24"/>
          <w:szCs w:val="24"/>
        </w:rPr>
        <w:t xml:space="preserve">The effect of tax avoidance and tax evasion on the performance of South African economy. </w:t>
      </w:r>
      <w:r w:rsidRPr="00815AA9">
        <w:rPr>
          <w:rFonts w:ascii="Times New Roman" w:hAnsi="Times New Roman" w:cs="Times New Roman"/>
          <w:bCs/>
          <w:i/>
          <w:iCs/>
          <w:sz w:val="24"/>
          <w:szCs w:val="24"/>
        </w:rPr>
        <w:t>International Journal of Economics and Financial Issues, 14</w:t>
      </w:r>
      <w:r w:rsidRPr="00815AA9">
        <w:rPr>
          <w:rFonts w:ascii="Times New Roman" w:hAnsi="Times New Roman" w:cs="Times New Roman"/>
          <w:bCs/>
          <w:sz w:val="24"/>
          <w:szCs w:val="24"/>
        </w:rPr>
        <w:t>(1), 52-63. doi:10.32479/ijefi.15221</w:t>
      </w:r>
    </w:p>
    <w:p w14:paraId="450ED662" w14:textId="77777777" w:rsidR="002E7A3D" w:rsidRPr="00815AA9" w:rsidRDefault="002E7A3D" w:rsidP="007F10F0">
      <w:pPr>
        <w:spacing w:after="0" w:line="240" w:lineRule="auto"/>
        <w:ind w:left="720" w:hanging="720"/>
        <w:jc w:val="both"/>
        <w:rPr>
          <w:rFonts w:ascii="Times New Roman" w:hAnsi="Times New Roman" w:cs="Times New Roman"/>
          <w:bCs/>
          <w:sz w:val="24"/>
          <w:szCs w:val="24"/>
        </w:rPr>
      </w:pPr>
      <w:r w:rsidRPr="00815AA9">
        <w:rPr>
          <w:rFonts w:ascii="Times New Roman" w:hAnsi="Times New Roman" w:cs="Times New Roman"/>
          <w:bCs/>
          <w:sz w:val="24"/>
          <w:szCs w:val="24"/>
        </w:rPr>
        <w:t xml:space="preserve">Jeanne, T., Dawie, L. D., &amp; Hylton, H. (2024). Fiscal policy and dimensions of inequality in South Africa: A time-varying coefficient approach. </w:t>
      </w:r>
      <w:r w:rsidRPr="00815AA9">
        <w:rPr>
          <w:rFonts w:ascii="Times New Roman" w:hAnsi="Times New Roman" w:cs="Times New Roman"/>
          <w:bCs/>
          <w:i/>
          <w:iCs/>
          <w:sz w:val="24"/>
          <w:szCs w:val="24"/>
        </w:rPr>
        <w:t>Economic Society of South Africa Biennial Meeting Special Issue, 92</w:t>
      </w:r>
      <w:r w:rsidRPr="00815AA9">
        <w:rPr>
          <w:rFonts w:ascii="Times New Roman" w:hAnsi="Times New Roman" w:cs="Times New Roman"/>
          <w:bCs/>
          <w:sz w:val="24"/>
          <w:szCs w:val="24"/>
        </w:rPr>
        <w:t>(1), 105-119. doi:10.1111/saje.12369</w:t>
      </w:r>
    </w:p>
    <w:p w14:paraId="65433E39" w14:textId="77777777" w:rsidR="002E7A3D" w:rsidRPr="00815AA9" w:rsidRDefault="002E7A3D" w:rsidP="007F10F0">
      <w:pPr>
        <w:spacing w:after="0" w:line="240" w:lineRule="auto"/>
        <w:ind w:left="720" w:hanging="720"/>
        <w:jc w:val="both"/>
        <w:rPr>
          <w:rFonts w:ascii="Times New Roman" w:hAnsi="Times New Roman" w:cs="Times New Roman"/>
          <w:bCs/>
          <w:sz w:val="24"/>
          <w:szCs w:val="24"/>
          <w:lang w:val="en-GB"/>
        </w:rPr>
      </w:pPr>
      <w:r w:rsidRPr="00815AA9">
        <w:rPr>
          <w:rFonts w:ascii="Times New Roman" w:hAnsi="Times New Roman" w:cs="Times New Roman"/>
          <w:bCs/>
          <w:sz w:val="24"/>
          <w:szCs w:val="24"/>
          <w:lang w:val="en-GB"/>
        </w:rPr>
        <w:t xml:space="preserve">Lucas, R. E., Jr. (1988). On the mechanics of economic development. </w:t>
      </w:r>
      <w:r w:rsidRPr="00815AA9">
        <w:rPr>
          <w:rFonts w:ascii="Times New Roman" w:hAnsi="Times New Roman" w:cs="Times New Roman"/>
          <w:bCs/>
          <w:i/>
          <w:iCs/>
          <w:sz w:val="24"/>
          <w:szCs w:val="24"/>
          <w:lang w:val="en-GB"/>
        </w:rPr>
        <w:t>Journal of Monetary Economics, 22</w:t>
      </w:r>
      <w:r w:rsidRPr="00815AA9">
        <w:rPr>
          <w:rFonts w:ascii="Times New Roman" w:hAnsi="Times New Roman" w:cs="Times New Roman"/>
          <w:bCs/>
          <w:sz w:val="24"/>
          <w:szCs w:val="24"/>
          <w:lang w:val="en-GB"/>
        </w:rPr>
        <w:t>(1), 3–42.</w:t>
      </w:r>
      <w:r w:rsidRPr="00815AA9">
        <w:rPr>
          <w:rFonts w:ascii="Times New Roman" w:hAnsi="Times New Roman" w:cs="Times New Roman"/>
          <w:bCs/>
          <w:sz w:val="24"/>
          <w:szCs w:val="24"/>
          <w:lang w:val="en-GB"/>
        </w:rPr>
        <w:br/>
        <w:t xml:space="preserve">https://doi.org/10.1016/0304-3932(88)90168-7 </w:t>
      </w:r>
    </w:p>
    <w:p w14:paraId="5FB6FBA1" w14:textId="77777777" w:rsidR="002E7A3D" w:rsidRPr="00815AA9" w:rsidRDefault="002E7A3D" w:rsidP="007F10F0">
      <w:pPr>
        <w:spacing w:after="0" w:line="240" w:lineRule="auto"/>
        <w:ind w:left="720" w:hanging="720"/>
        <w:jc w:val="both"/>
        <w:rPr>
          <w:rFonts w:ascii="Times New Roman" w:hAnsi="Times New Roman" w:cs="Times New Roman"/>
          <w:bCs/>
          <w:sz w:val="24"/>
          <w:szCs w:val="24"/>
        </w:rPr>
      </w:pPr>
      <w:r w:rsidRPr="00815AA9">
        <w:rPr>
          <w:rFonts w:ascii="Times New Roman" w:hAnsi="Times New Roman" w:cs="Times New Roman"/>
          <w:bCs/>
          <w:sz w:val="24"/>
          <w:szCs w:val="24"/>
        </w:rPr>
        <w:t xml:space="preserve">Muriithi, M., Muturi, W., &amp; Ngahu, L. (2022). The influence of tax policies on economic sustainability in Africa: A review. </w:t>
      </w:r>
      <w:r w:rsidRPr="00815AA9">
        <w:rPr>
          <w:rFonts w:ascii="Times New Roman" w:hAnsi="Times New Roman" w:cs="Times New Roman"/>
          <w:bCs/>
          <w:i/>
          <w:iCs/>
          <w:sz w:val="24"/>
          <w:szCs w:val="24"/>
        </w:rPr>
        <w:t>International Journal of Economics and Finance, 14</w:t>
      </w:r>
      <w:r w:rsidRPr="00815AA9">
        <w:rPr>
          <w:rFonts w:ascii="Times New Roman" w:hAnsi="Times New Roman" w:cs="Times New Roman"/>
          <w:bCs/>
          <w:sz w:val="24"/>
          <w:szCs w:val="24"/>
        </w:rPr>
        <w:t>(2), 55-67. https://doi.org/10.5539/ijef.v14n2p55</w:t>
      </w:r>
    </w:p>
    <w:p w14:paraId="09E0310C" w14:textId="77777777" w:rsidR="002E7A3D" w:rsidRPr="00815AA9" w:rsidRDefault="002E7A3D" w:rsidP="007F10F0">
      <w:pPr>
        <w:spacing w:after="0" w:line="240" w:lineRule="auto"/>
        <w:ind w:left="720" w:hanging="720"/>
        <w:jc w:val="both"/>
        <w:rPr>
          <w:rFonts w:ascii="Times New Roman" w:hAnsi="Times New Roman" w:cs="Times New Roman"/>
          <w:bCs/>
          <w:sz w:val="24"/>
          <w:szCs w:val="24"/>
        </w:rPr>
      </w:pPr>
      <w:r w:rsidRPr="00815AA9">
        <w:rPr>
          <w:rFonts w:ascii="Times New Roman" w:hAnsi="Times New Roman" w:cs="Times New Roman"/>
          <w:bCs/>
          <w:sz w:val="24"/>
          <w:szCs w:val="24"/>
        </w:rPr>
        <w:t xml:space="preserve">Musgrave, R. A., &amp; Musgrave, P. B. (1989). </w:t>
      </w:r>
      <w:r w:rsidRPr="00815AA9">
        <w:rPr>
          <w:rFonts w:ascii="Times New Roman" w:hAnsi="Times New Roman" w:cs="Times New Roman"/>
          <w:bCs/>
          <w:i/>
          <w:iCs/>
          <w:sz w:val="24"/>
          <w:szCs w:val="24"/>
        </w:rPr>
        <w:t>Public finance in theory and practice</w:t>
      </w:r>
      <w:r w:rsidRPr="00815AA9">
        <w:rPr>
          <w:rFonts w:ascii="Times New Roman" w:hAnsi="Times New Roman" w:cs="Times New Roman"/>
          <w:bCs/>
          <w:sz w:val="24"/>
          <w:szCs w:val="24"/>
        </w:rPr>
        <w:t xml:space="preserve"> (5th ed.). Public Finance in Theory and Practice McGraw-Hill.</w:t>
      </w:r>
      <w:r w:rsidRPr="00815AA9">
        <w:rPr>
          <w:rFonts w:ascii="Times New Roman" w:hAnsi="Times New Roman" w:cs="Times New Roman"/>
          <w:bCs/>
          <w:sz w:val="24"/>
          <w:szCs w:val="24"/>
        </w:rPr>
        <w:br/>
      </w:r>
      <w:hyperlink r:id="rId15" w:tgtFrame="_new" w:history="1">
        <w:r w:rsidRPr="00815AA9">
          <w:rPr>
            <w:rStyle w:val="Hyperlink"/>
            <w:rFonts w:ascii="Times New Roman" w:hAnsi="Times New Roman" w:cs="Times New Roman"/>
            <w:bCs/>
            <w:color w:val="auto"/>
            <w:sz w:val="24"/>
            <w:szCs w:val="24"/>
          </w:rPr>
          <w:t>https://openlibrary.org/books/OL2037066M/Public_finance_in_theory_and_practice</w:t>
        </w:r>
      </w:hyperlink>
    </w:p>
    <w:p w14:paraId="78C65FDD" w14:textId="77777777" w:rsidR="002E7A3D" w:rsidRPr="00815AA9" w:rsidRDefault="002E7A3D" w:rsidP="007F10F0">
      <w:pPr>
        <w:spacing w:after="0" w:line="240" w:lineRule="auto"/>
        <w:ind w:left="720" w:hanging="720"/>
        <w:jc w:val="both"/>
        <w:rPr>
          <w:rFonts w:ascii="Times New Roman" w:hAnsi="Times New Roman" w:cs="Times New Roman"/>
          <w:bCs/>
          <w:sz w:val="24"/>
          <w:szCs w:val="24"/>
        </w:rPr>
      </w:pPr>
      <w:r w:rsidRPr="00815AA9">
        <w:rPr>
          <w:rFonts w:ascii="Times New Roman" w:hAnsi="Times New Roman" w:cs="Times New Roman"/>
          <w:bCs/>
          <w:sz w:val="24"/>
          <w:szCs w:val="24"/>
        </w:rPr>
        <w:t xml:space="preserve">Myoda, Y., Park, D., Jinjarak, Y., Tian, S., Estrada, S., Breunig, R., . . . Joas, T. J. (2023). </w:t>
      </w:r>
      <w:r w:rsidRPr="00815AA9">
        <w:rPr>
          <w:rFonts w:ascii="Times New Roman" w:hAnsi="Times New Roman" w:cs="Times New Roman"/>
          <w:bCs/>
          <w:i/>
          <w:iCs/>
          <w:sz w:val="24"/>
          <w:szCs w:val="24"/>
        </w:rPr>
        <w:t>Mobilising tax revenue for sustainable development in Asia</w:t>
      </w:r>
      <w:r w:rsidRPr="00815AA9">
        <w:rPr>
          <w:rFonts w:ascii="Times New Roman" w:hAnsi="Times New Roman" w:cs="Times New Roman"/>
          <w:bCs/>
          <w:sz w:val="24"/>
          <w:szCs w:val="24"/>
        </w:rPr>
        <w:t>. Retrieved October 12th, 2023, from https://t20ind.org/research/mobilising-tax-revenue-for-sustainable-development-in-asia/</w:t>
      </w:r>
    </w:p>
    <w:p w14:paraId="6D589E90" w14:textId="77777777" w:rsidR="002E7A3D" w:rsidRPr="00815AA9" w:rsidRDefault="002E7A3D" w:rsidP="007F10F0">
      <w:pPr>
        <w:spacing w:after="0" w:line="240" w:lineRule="auto"/>
        <w:ind w:left="720" w:hanging="720"/>
        <w:jc w:val="both"/>
        <w:rPr>
          <w:rFonts w:ascii="Times New Roman" w:hAnsi="Times New Roman" w:cs="Times New Roman"/>
          <w:bCs/>
          <w:sz w:val="24"/>
          <w:szCs w:val="24"/>
        </w:rPr>
      </w:pPr>
      <w:r w:rsidRPr="00815AA9">
        <w:rPr>
          <w:rFonts w:ascii="Times New Roman" w:hAnsi="Times New Roman" w:cs="Times New Roman"/>
          <w:bCs/>
          <w:sz w:val="24"/>
          <w:szCs w:val="24"/>
          <w:lang w:val="it-IT"/>
        </w:rPr>
        <w:t xml:space="preserve">Narciz, B., Chifu, I., &amp; Marian, O. (2023). </w:t>
      </w:r>
      <w:r w:rsidRPr="00815AA9">
        <w:rPr>
          <w:rFonts w:ascii="Times New Roman" w:hAnsi="Times New Roman" w:cs="Times New Roman"/>
          <w:bCs/>
          <w:sz w:val="24"/>
          <w:szCs w:val="24"/>
        </w:rPr>
        <w:t xml:space="preserve">Impact of direct taxation on economic growth: empirical evidence based on panel data regression analysis at the level of EU countries. </w:t>
      </w:r>
      <w:r w:rsidRPr="00815AA9">
        <w:rPr>
          <w:rFonts w:ascii="Times New Roman" w:hAnsi="Times New Roman" w:cs="Times New Roman"/>
          <w:bCs/>
          <w:i/>
          <w:iCs/>
          <w:sz w:val="24"/>
          <w:szCs w:val="24"/>
        </w:rPr>
        <w:t>Sustainability, 15</w:t>
      </w:r>
      <w:r w:rsidRPr="00815AA9">
        <w:rPr>
          <w:rFonts w:ascii="Times New Roman" w:hAnsi="Times New Roman" w:cs="Times New Roman"/>
          <w:bCs/>
          <w:sz w:val="24"/>
          <w:szCs w:val="24"/>
        </w:rPr>
        <w:t>(9), 7146-7154. doi:10.3390/su15097146</w:t>
      </w:r>
    </w:p>
    <w:p w14:paraId="7BC7EF1F" w14:textId="77777777" w:rsidR="002E7A3D" w:rsidRPr="00815AA9" w:rsidRDefault="002E7A3D" w:rsidP="00815AA9">
      <w:pPr>
        <w:spacing w:after="0" w:line="240" w:lineRule="auto"/>
        <w:ind w:left="720" w:hanging="720"/>
        <w:jc w:val="both"/>
        <w:rPr>
          <w:rFonts w:ascii="Times New Roman" w:hAnsi="Times New Roman" w:cs="Times New Roman"/>
          <w:bCs/>
          <w:sz w:val="24"/>
          <w:szCs w:val="24"/>
          <w:lang w:val="en-GB"/>
        </w:rPr>
      </w:pPr>
      <w:r w:rsidRPr="00815AA9">
        <w:rPr>
          <w:rFonts w:ascii="Times New Roman" w:hAnsi="Times New Roman" w:cs="Times New Roman"/>
          <w:bCs/>
          <w:sz w:val="24"/>
          <w:szCs w:val="24"/>
          <w:lang w:val="en-GB"/>
        </w:rPr>
        <w:t xml:space="preserve">Ndiaye, S. N., Harouna, Z.-Y. D., Badji, A. S., &amp; Sène, B. (2026). Governance and fiscal sustainability: Evidence from developed and emerging economies. </w:t>
      </w:r>
      <w:r w:rsidRPr="00815AA9">
        <w:rPr>
          <w:rFonts w:ascii="Times New Roman" w:hAnsi="Times New Roman" w:cs="Times New Roman"/>
          <w:bCs/>
          <w:i/>
          <w:iCs/>
          <w:sz w:val="24"/>
          <w:szCs w:val="24"/>
          <w:lang w:val="en-GB"/>
        </w:rPr>
        <w:t>International Journal of Financial Studies, 14</w:t>
      </w:r>
      <w:r w:rsidRPr="00815AA9">
        <w:rPr>
          <w:rFonts w:ascii="Times New Roman" w:hAnsi="Times New Roman" w:cs="Times New Roman"/>
          <w:bCs/>
          <w:sz w:val="24"/>
          <w:szCs w:val="24"/>
          <w:lang w:val="en-GB"/>
        </w:rPr>
        <w:t>(3), 70. https://doi.org/10.3390/ijfs14030070</w:t>
      </w:r>
    </w:p>
    <w:p w14:paraId="402D7F5C" w14:textId="77777777" w:rsidR="002E7A3D" w:rsidRPr="00815AA9" w:rsidRDefault="002E7A3D" w:rsidP="007F10F0">
      <w:pPr>
        <w:spacing w:after="0" w:line="240" w:lineRule="auto"/>
        <w:ind w:left="720" w:hanging="720"/>
        <w:jc w:val="both"/>
        <w:rPr>
          <w:rFonts w:ascii="Times New Roman" w:hAnsi="Times New Roman" w:cs="Times New Roman"/>
          <w:bCs/>
          <w:sz w:val="24"/>
          <w:szCs w:val="24"/>
          <w:lang w:val="it-IT"/>
        </w:rPr>
      </w:pPr>
      <w:r w:rsidRPr="00815AA9">
        <w:rPr>
          <w:rFonts w:ascii="Times New Roman" w:hAnsi="Times New Roman" w:cs="Times New Roman"/>
          <w:bCs/>
          <w:sz w:val="24"/>
          <w:szCs w:val="24"/>
        </w:rPr>
        <w:t xml:space="preserve">OECD. </w:t>
      </w:r>
      <w:r w:rsidRPr="00815AA9">
        <w:rPr>
          <w:rFonts w:ascii="Times New Roman" w:hAnsi="Times New Roman" w:cs="Times New Roman"/>
          <w:bCs/>
          <w:sz w:val="24"/>
          <w:szCs w:val="24"/>
          <w:lang w:val="it-IT"/>
        </w:rPr>
        <w:t xml:space="preserve">(2020). </w:t>
      </w:r>
      <w:r w:rsidRPr="00815AA9">
        <w:rPr>
          <w:rFonts w:ascii="Times New Roman" w:hAnsi="Times New Roman" w:cs="Times New Roman"/>
          <w:bCs/>
          <w:i/>
          <w:iCs/>
          <w:sz w:val="24"/>
          <w:szCs w:val="24"/>
          <w:lang w:val="it-IT"/>
        </w:rPr>
        <w:t>Tax</w:t>
      </w:r>
      <w:r w:rsidRPr="00815AA9">
        <w:rPr>
          <w:rFonts w:ascii="Times New Roman" w:hAnsi="Times New Roman" w:cs="Times New Roman"/>
          <w:bCs/>
          <w:sz w:val="24"/>
          <w:szCs w:val="24"/>
          <w:lang w:val="it-IT"/>
        </w:rPr>
        <w:t>. doi:10.1787/76e12892-en</w:t>
      </w:r>
    </w:p>
    <w:p w14:paraId="2C7BB315" w14:textId="77777777" w:rsidR="002E7A3D" w:rsidRPr="00815AA9" w:rsidRDefault="002E7A3D" w:rsidP="007F10F0">
      <w:pPr>
        <w:spacing w:after="0" w:line="240" w:lineRule="auto"/>
        <w:ind w:left="720" w:hanging="720"/>
        <w:jc w:val="both"/>
        <w:rPr>
          <w:rFonts w:ascii="Times New Roman" w:hAnsi="Times New Roman" w:cs="Times New Roman"/>
          <w:bCs/>
          <w:sz w:val="24"/>
          <w:szCs w:val="24"/>
        </w:rPr>
      </w:pPr>
      <w:r w:rsidRPr="00815AA9">
        <w:rPr>
          <w:rFonts w:ascii="Times New Roman" w:hAnsi="Times New Roman" w:cs="Times New Roman"/>
          <w:bCs/>
          <w:sz w:val="24"/>
          <w:szCs w:val="24"/>
          <w:lang w:val="it-IT"/>
        </w:rPr>
        <w:t xml:space="preserve">OECD. </w:t>
      </w:r>
      <w:r w:rsidRPr="00815AA9">
        <w:rPr>
          <w:rFonts w:ascii="Times New Roman" w:hAnsi="Times New Roman" w:cs="Times New Roman"/>
          <w:bCs/>
          <w:sz w:val="24"/>
          <w:szCs w:val="24"/>
        </w:rPr>
        <w:t xml:space="preserve">(2023). </w:t>
      </w:r>
      <w:r w:rsidRPr="00815AA9">
        <w:rPr>
          <w:rFonts w:ascii="Times New Roman" w:hAnsi="Times New Roman" w:cs="Times New Roman"/>
          <w:bCs/>
          <w:i/>
          <w:iCs/>
          <w:sz w:val="24"/>
          <w:szCs w:val="24"/>
        </w:rPr>
        <w:t>Revenue Statistics in Africa</w:t>
      </w:r>
      <w:r w:rsidRPr="00815AA9">
        <w:rPr>
          <w:rFonts w:ascii="Times New Roman" w:hAnsi="Times New Roman" w:cs="Times New Roman"/>
          <w:bCs/>
          <w:sz w:val="24"/>
          <w:szCs w:val="24"/>
        </w:rPr>
        <w:t>. Retrieved October 12th, 2023</w:t>
      </w:r>
    </w:p>
    <w:p w14:paraId="2091EB1F" w14:textId="77777777" w:rsidR="002E7A3D" w:rsidRPr="00815AA9" w:rsidRDefault="002E7A3D" w:rsidP="007F10F0">
      <w:pPr>
        <w:spacing w:after="0" w:line="240" w:lineRule="auto"/>
        <w:ind w:left="720" w:hanging="720"/>
        <w:jc w:val="both"/>
        <w:rPr>
          <w:rFonts w:ascii="Times New Roman" w:hAnsi="Times New Roman" w:cs="Times New Roman"/>
          <w:bCs/>
          <w:sz w:val="24"/>
          <w:szCs w:val="24"/>
          <w:lang w:val="en-GB"/>
        </w:rPr>
      </w:pPr>
      <w:r w:rsidRPr="00815AA9">
        <w:rPr>
          <w:rFonts w:ascii="Times New Roman" w:hAnsi="Times New Roman" w:cs="Times New Roman"/>
          <w:bCs/>
          <w:sz w:val="24"/>
          <w:szCs w:val="24"/>
          <w:lang w:val="pt-BR"/>
        </w:rPr>
        <w:t xml:space="preserve">Olabisi, O. E., Aderibigbe, O., &amp; Sadibo, O. V. (2025). </w:t>
      </w:r>
      <w:r w:rsidRPr="00815AA9">
        <w:rPr>
          <w:rFonts w:ascii="Times New Roman" w:hAnsi="Times New Roman" w:cs="Times New Roman"/>
          <w:bCs/>
          <w:sz w:val="24"/>
          <w:szCs w:val="24"/>
          <w:lang w:val="en-GB"/>
        </w:rPr>
        <w:t xml:space="preserve">Evaluating the United Nations Sustainable Development Goal 8 and economic growth in Nigeria. </w:t>
      </w:r>
      <w:r w:rsidRPr="00815AA9">
        <w:rPr>
          <w:rFonts w:ascii="Times New Roman" w:hAnsi="Times New Roman" w:cs="Times New Roman"/>
          <w:bCs/>
          <w:i/>
          <w:iCs/>
          <w:sz w:val="24"/>
          <w:szCs w:val="24"/>
          <w:lang w:val="en-GB"/>
        </w:rPr>
        <w:t>South Asian Journal of Social Studies and Economics, 22</w:t>
      </w:r>
      <w:r w:rsidRPr="00815AA9">
        <w:rPr>
          <w:rFonts w:ascii="Times New Roman" w:hAnsi="Times New Roman" w:cs="Times New Roman"/>
          <w:bCs/>
          <w:sz w:val="24"/>
          <w:szCs w:val="24"/>
          <w:lang w:val="en-GB"/>
        </w:rPr>
        <w:t>(4), 36–47. https://doi.org/10.9734/sajsse/2025/v22i4983</w:t>
      </w:r>
    </w:p>
    <w:p w14:paraId="18F5CA79" w14:textId="77777777" w:rsidR="002E7A3D" w:rsidRPr="00815AA9" w:rsidRDefault="002E7A3D" w:rsidP="007F10F0">
      <w:pPr>
        <w:spacing w:after="0" w:line="240" w:lineRule="auto"/>
        <w:ind w:left="720" w:hanging="720"/>
        <w:jc w:val="both"/>
        <w:rPr>
          <w:rFonts w:ascii="Times New Roman" w:hAnsi="Times New Roman" w:cs="Times New Roman"/>
          <w:bCs/>
          <w:sz w:val="24"/>
          <w:szCs w:val="24"/>
        </w:rPr>
      </w:pPr>
      <w:r w:rsidRPr="00815AA9">
        <w:rPr>
          <w:rFonts w:ascii="Times New Roman" w:hAnsi="Times New Roman" w:cs="Times New Roman"/>
          <w:bCs/>
          <w:sz w:val="24"/>
          <w:szCs w:val="24"/>
          <w:lang w:val="pt-BR"/>
        </w:rPr>
        <w:t xml:space="preserve">Osamor, I., Godwin, O., Ajasa-Adeoye, F., &amp; Josephine, L. O. (2023). </w:t>
      </w:r>
      <w:r w:rsidRPr="00815AA9">
        <w:rPr>
          <w:rFonts w:ascii="Times New Roman" w:hAnsi="Times New Roman" w:cs="Times New Roman"/>
          <w:bCs/>
          <w:sz w:val="24"/>
          <w:szCs w:val="24"/>
        </w:rPr>
        <w:t xml:space="preserve">Tax Revenue and Economic Growth: Empirical Evidence from Nigeria. </w:t>
      </w:r>
      <w:r w:rsidRPr="00815AA9">
        <w:rPr>
          <w:rFonts w:ascii="Times New Roman" w:hAnsi="Times New Roman" w:cs="Times New Roman"/>
          <w:bCs/>
          <w:i/>
          <w:iCs/>
          <w:sz w:val="24"/>
          <w:szCs w:val="24"/>
        </w:rPr>
        <w:t>Journal of Economics and Behavioral Studies, 15</w:t>
      </w:r>
      <w:r w:rsidRPr="00815AA9">
        <w:rPr>
          <w:rFonts w:ascii="Times New Roman" w:hAnsi="Times New Roman" w:cs="Times New Roman"/>
          <w:bCs/>
          <w:sz w:val="24"/>
          <w:szCs w:val="24"/>
        </w:rPr>
        <w:t>(1), 15-26. doi:10.22610/jebs.v15i1(J).3355</w:t>
      </w:r>
    </w:p>
    <w:p w14:paraId="28653F01" w14:textId="77777777" w:rsidR="002E7A3D" w:rsidRPr="00815AA9" w:rsidRDefault="002E7A3D" w:rsidP="007F10F0">
      <w:pPr>
        <w:spacing w:after="0" w:line="240" w:lineRule="auto"/>
        <w:ind w:left="720" w:hanging="720"/>
        <w:jc w:val="both"/>
        <w:rPr>
          <w:rFonts w:ascii="Times New Roman" w:hAnsi="Times New Roman" w:cs="Times New Roman"/>
          <w:bCs/>
          <w:sz w:val="24"/>
          <w:szCs w:val="24"/>
        </w:rPr>
      </w:pPr>
      <w:r w:rsidRPr="00815AA9">
        <w:rPr>
          <w:rFonts w:ascii="Times New Roman" w:hAnsi="Times New Roman" w:cs="Times New Roman"/>
          <w:bCs/>
          <w:sz w:val="24"/>
          <w:szCs w:val="24"/>
        </w:rPr>
        <w:lastRenderedPageBreak/>
        <w:t xml:space="preserve">Oto, E. T., &amp; Wayas, S. (2023). Value added tax and economic growth of Nigeria (2003-2022). </w:t>
      </w:r>
      <w:r w:rsidRPr="00815AA9">
        <w:rPr>
          <w:rFonts w:ascii="Times New Roman" w:hAnsi="Times New Roman" w:cs="Times New Roman"/>
          <w:bCs/>
          <w:i/>
          <w:iCs/>
          <w:sz w:val="24"/>
          <w:szCs w:val="24"/>
        </w:rPr>
        <w:t>FUDMA Journal of Accounting and Finance Research [FUJAFR], 2</w:t>
      </w:r>
      <w:r w:rsidRPr="00815AA9">
        <w:rPr>
          <w:rFonts w:ascii="Times New Roman" w:hAnsi="Times New Roman" w:cs="Times New Roman"/>
          <w:bCs/>
          <w:sz w:val="24"/>
          <w:szCs w:val="24"/>
        </w:rPr>
        <w:t>(1), 16-30. doi:10.33003/fujafr-2024.v2i1.74.16-30</w:t>
      </w:r>
    </w:p>
    <w:p w14:paraId="4F2EC1EF" w14:textId="77777777" w:rsidR="002E7A3D" w:rsidRPr="00815AA9" w:rsidRDefault="002E7A3D" w:rsidP="007F10F0">
      <w:pPr>
        <w:spacing w:after="0" w:line="240" w:lineRule="auto"/>
        <w:ind w:left="720" w:hanging="720"/>
        <w:jc w:val="both"/>
        <w:rPr>
          <w:rFonts w:ascii="Times New Roman" w:hAnsi="Times New Roman" w:cs="Times New Roman"/>
          <w:bCs/>
          <w:sz w:val="24"/>
          <w:szCs w:val="24"/>
        </w:rPr>
      </w:pPr>
      <w:r w:rsidRPr="00815AA9">
        <w:rPr>
          <w:rFonts w:ascii="Times New Roman" w:hAnsi="Times New Roman" w:cs="Times New Roman"/>
          <w:bCs/>
          <w:sz w:val="24"/>
          <w:szCs w:val="24"/>
          <w:lang w:val="it-IT"/>
        </w:rPr>
        <w:t xml:space="preserve">Raphael, A., Peter, O. I., &amp; Ikporo, K. (2024). </w:t>
      </w:r>
      <w:r w:rsidRPr="00815AA9">
        <w:rPr>
          <w:rFonts w:ascii="Times New Roman" w:hAnsi="Times New Roman" w:cs="Times New Roman"/>
          <w:bCs/>
          <w:sz w:val="24"/>
          <w:szCs w:val="24"/>
        </w:rPr>
        <w:t xml:space="preserve">The effect of tax revenue on macroeconomic performance in Nigeria. </w:t>
      </w:r>
      <w:r w:rsidRPr="00815AA9">
        <w:rPr>
          <w:rFonts w:ascii="Times New Roman" w:hAnsi="Times New Roman" w:cs="Times New Roman"/>
          <w:bCs/>
          <w:i/>
          <w:iCs/>
          <w:sz w:val="24"/>
          <w:szCs w:val="24"/>
        </w:rPr>
        <w:t>GPH-International Journal of Business Management, 7</w:t>
      </w:r>
      <w:r w:rsidRPr="00815AA9">
        <w:rPr>
          <w:rFonts w:ascii="Times New Roman" w:hAnsi="Times New Roman" w:cs="Times New Roman"/>
          <w:bCs/>
          <w:sz w:val="24"/>
          <w:szCs w:val="24"/>
        </w:rPr>
        <w:t>(4), 20-35.</w:t>
      </w:r>
    </w:p>
    <w:p w14:paraId="4FD2CCFC" w14:textId="193AEA6B" w:rsidR="002E7A3D" w:rsidRPr="00815AA9" w:rsidRDefault="002E7A3D" w:rsidP="007F10F0">
      <w:pPr>
        <w:spacing w:after="0" w:line="240" w:lineRule="auto"/>
        <w:ind w:left="720" w:hanging="720"/>
        <w:jc w:val="both"/>
        <w:rPr>
          <w:rFonts w:ascii="Times New Roman" w:hAnsi="Times New Roman" w:cs="Times New Roman"/>
          <w:bCs/>
          <w:sz w:val="24"/>
          <w:szCs w:val="24"/>
          <w:lang w:val="en-GB"/>
        </w:rPr>
      </w:pPr>
      <w:r w:rsidRPr="00815AA9">
        <w:rPr>
          <w:rFonts w:ascii="Times New Roman" w:hAnsi="Times New Roman" w:cs="Times New Roman"/>
          <w:bCs/>
          <w:sz w:val="24"/>
          <w:szCs w:val="24"/>
          <w:lang w:val="en-GB"/>
        </w:rPr>
        <w:t xml:space="preserve">Romer, P. M. (1986). Increasing returns and long-run growth. </w:t>
      </w:r>
      <w:r w:rsidRPr="00815AA9">
        <w:rPr>
          <w:rFonts w:ascii="Times New Roman" w:hAnsi="Times New Roman" w:cs="Times New Roman"/>
          <w:bCs/>
          <w:i/>
          <w:iCs/>
          <w:sz w:val="24"/>
          <w:szCs w:val="24"/>
          <w:lang w:val="en-GB"/>
        </w:rPr>
        <w:t>Journal of Political Economy, 94</w:t>
      </w:r>
      <w:r w:rsidRPr="00815AA9">
        <w:rPr>
          <w:rFonts w:ascii="Times New Roman" w:hAnsi="Times New Roman" w:cs="Times New Roman"/>
          <w:bCs/>
          <w:sz w:val="24"/>
          <w:szCs w:val="24"/>
          <w:lang w:val="en-GB"/>
        </w:rPr>
        <w:t>(5),1002–1037.</w:t>
      </w:r>
      <w:r w:rsidRPr="00815AA9">
        <w:rPr>
          <w:rFonts w:ascii="Times New Roman" w:hAnsi="Times New Roman" w:cs="Times New Roman"/>
          <w:bCs/>
          <w:sz w:val="24"/>
          <w:szCs w:val="24"/>
          <w:lang w:val="en-GB"/>
        </w:rPr>
        <w:br/>
      </w:r>
      <w:hyperlink r:id="rId16" w:tgtFrame="_new" w:history="1">
        <w:r w:rsidRPr="00815AA9">
          <w:rPr>
            <w:rStyle w:val="Hyperlink"/>
            <w:rFonts w:ascii="Times New Roman" w:hAnsi="Times New Roman" w:cs="Times New Roman"/>
            <w:bCs/>
            <w:color w:val="auto"/>
            <w:sz w:val="24"/>
            <w:szCs w:val="24"/>
            <w:lang w:val="en-GB"/>
          </w:rPr>
          <w:t>https://doi.org/10.1086/261420</w:t>
        </w:r>
      </w:hyperlink>
      <w:r w:rsidRPr="00815AA9">
        <w:rPr>
          <w:rFonts w:ascii="Times New Roman" w:hAnsi="Times New Roman" w:cs="Times New Roman"/>
          <w:bCs/>
          <w:sz w:val="24"/>
          <w:szCs w:val="24"/>
          <w:lang w:val="en-GB"/>
        </w:rPr>
        <w:t xml:space="preserve"> </w:t>
      </w:r>
    </w:p>
    <w:p w14:paraId="650EAD3F" w14:textId="77777777" w:rsidR="002E7A3D" w:rsidRPr="00815AA9" w:rsidRDefault="002E7A3D" w:rsidP="007F10F0">
      <w:pPr>
        <w:spacing w:after="0" w:line="240" w:lineRule="auto"/>
        <w:ind w:left="720" w:hanging="720"/>
        <w:jc w:val="both"/>
        <w:rPr>
          <w:rFonts w:ascii="Times New Roman" w:hAnsi="Times New Roman" w:cs="Times New Roman"/>
          <w:bCs/>
          <w:sz w:val="24"/>
          <w:szCs w:val="24"/>
        </w:rPr>
      </w:pPr>
      <w:r w:rsidRPr="00815AA9">
        <w:rPr>
          <w:rFonts w:ascii="Times New Roman" w:hAnsi="Times New Roman" w:cs="Times New Roman"/>
          <w:bCs/>
          <w:sz w:val="24"/>
          <w:szCs w:val="24"/>
        </w:rPr>
        <w:t xml:space="preserve">Rossi, M. A., &amp; Zambon, I. (2022). Sustainable economic growth: A new framework integrating resource management, social equity, and environmental sustainability. </w:t>
      </w:r>
      <w:r w:rsidRPr="00815AA9">
        <w:rPr>
          <w:rFonts w:ascii="Times New Roman" w:hAnsi="Times New Roman" w:cs="Times New Roman"/>
          <w:bCs/>
          <w:i/>
          <w:iCs/>
          <w:sz w:val="24"/>
          <w:szCs w:val="24"/>
        </w:rPr>
        <w:t>Sustainability, 14</w:t>
      </w:r>
      <w:r w:rsidRPr="00815AA9">
        <w:rPr>
          <w:rFonts w:ascii="Times New Roman" w:hAnsi="Times New Roman" w:cs="Times New Roman"/>
          <w:bCs/>
          <w:sz w:val="24"/>
          <w:szCs w:val="24"/>
        </w:rPr>
        <w:t>(4), 2156. https://doi.org/10.3390/su14042156</w:t>
      </w:r>
    </w:p>
    <w:p w14:paraId="7F193195" w14:textId="77777777" w:rsidR="002E7A3D" w:rsidRPr="00815AA9" w:rsidRDefault="002E7A3D" w:rsidP="007F10F0">
      <w:pPr>
        <w:spacing w:after="0" w:line="240" w:lineRule="auto"/>
        <w:ind w:left="720" w:hanging="720"/>
        <w:jc w:val="both"/>
        <w:rPr>
          <w:rFonts w:ascii="Times New Roman" w:hAnsi="Times New Roman" w:cs="Times New Roman"/>
          <w:bCs/>
          <w:sz w:val="24"/>
          <w:szCs w:val="24"/>
        </w:rPr>
      </w:pPr>
      <w:r w:rsidRPr="00815AA9">
        <w:rPr>
          <w:rFonts w:ascii="Times New Roman" w:hAnsi="Times New Roman" w:cs="Times New Roman"/>
          <w:bCs/>
          <w:sz w:val="24"/>
          <w:szCs w:val="24"/>
        </w:rPr>
        <w:t xml:space="preserve">Sang, Y., &amp; Wang, C. (2023). Promoting sustainable development: The relationship between environmental protection, social equity, and economic growth. </w:t>
      </w:r>
      <w:r w:rsidRPr="00815AA9">
        <w:rPr>
          <w:rFonts w:ascii="Times New Roman" w:hAnsi="Times New Roman" w:cs="Times New Roman"/>
          <w:bCs/>
          <w:i/>
          <w:iCs/>
          <w:sz w:val="24"/>
          <w:szCs w:val="24"/>
        </w:rPr>
        <w:t>Sustainability, 15</w:t>
      </w:r>
      <w:r w:rsidRPr="00815AA9">
        <w:rPr>
          <w:rFonts w:ascii="Times New Roman" w:hAnsi="Times New Roman" w:cs="Times New Roman"/>
          <w:bCs/>
          <w:sz w:val="24"/>
          <w:szCs w:val="24"/>
        </w:rPr>
        <w:t>(1), 34. https://doi.org/10.3390/su15010034</w:t>
      </w:r>
    </w:p>
    <w:p w14:paraId="04903052" w14:textId="77777777" w:rsidR="002E7A3D" w:rsidRPr="00815AA9" w:rsidRDefault="002E7A3D" w:rsidP="007F10F0">
      <w:pPr>
        <w:spacing w:after="0" w:line="240" w:lineRule="auto"/>
        <w:ind w:left="720" w:hanging="720"/>
        <w:jc w:val="both"/>
        <w:rPr>
          <w:rFonts w:ascii="Times New Roman" w:hAnsi="Times New Roman" w:cs="Times New Roman"/>
          <w:bCs/>
          <w:sz w:val="24"/>
          <w:szCs w:val="24"/>
        </w:rPr>
      </w:pPr>
      <w:r w:rsidRPr="00815AA9">
        <w:rPr>
          <w:rFonts w:ascii="Times New Roman" w:hAnsi="Times New Roman" w:cs="Times New Roman"/>
          <w:bCs/>
          <w:sz w:val="24"/>
          <w:szCs w:val="24"/>
        </w:rPr>
        <w:t xml:space="preserve">Tala, L. (2024). Economic growth effects of fiscal policy in South Africa: Empirical evidence from personal income tax. </w:t>
      </w:r>
      <w:r w:rsidRPr="00815AA9">
        <w:rPr>
          <w:rFonts w:ascii="Times New Roman" w:hAnsi="Times New Roman" w:cs="Times New Roman"/>
          <w:bCs/>
          <w:i/>
          <w:iCs/>
          <w:sz w:val="24"/>
          <w:szCs w:val="24"/>
        </w:rPr>
        <w:t>International Journal of Economics and Financial Issues, 14</w:t>
      </w:r>
      <w:r w:rsidRPr="00815AA9">
        <w:rPr>
          <w:rFonts w:ascii="Times New Roman" w:hAnsi="Times New Roman" w:cs="Times New Roman"/>
          <w:bCs/>
          <w:sz w:val="24"/>
          <w:szCs w:val="24"/>
        </w:rPr>
        <w:t>(3), 1-11. Retrieved from https://doi.org/10.32479/ijefi.15795</w:t>
      </w:r>
    </w:p>
    <w:p w14:paraId="2A9A71C3" w14:textId="77777777" w:rsidR="002E7A3D" w:rsidRPr="00815AA9" w:rsidRDefault="002E7A3D" w:rsidP="007F10F0">
      <w:pPr>
        <w:spacing w:after="0" w:line="240" w:lineRule="auto"/>
        <w:ind w:left="720" w:hanging="720"/>
        <w:jc w:val="both"/>
        <w:rPr>
          <w:rFonts w:ascii="Times New Roman" w:hAnsi="Times New Roman" w:cs="Times New Roman"/>
          <w:bCs/>
          <w:sz w:val="24"/>
          <w:szCs w:val="24"/>
          <w:lang w:val="en-GB"/>
        </w:rPr>
      </w:pPr>
      <w:r w:rsidRPr="00815AA9">
        <w:rPr>
          <w:rFonts w:ascii="Times New Roman" w:hAnsi="Times New Roman" w:cs="Times New Roman"/>
          <w:bCs/>
          <w:sz w:val="24"/>
          <w:szCs w:val="24"/>
          <w:lang w:val="en-GB"/>
        </w:rPr>
        <w:t>UN High</w:t>
      </w:r>
      <w:r w:rsidRPr="00815AA9">
        <w:rPr>
          <w:rFonts w:ascii="Times New Roman" w:hAnsi="Times New Roman" w:cs="Times New Roman"/>
          <w:bCs/>
          <w:sz w:val="24"/>
          <w:szCs w:val="24"/>
          <w:lang w:val="en-GB"/>
        </w:rPr>
        <w:noBreakHyphen/>
        <w:t xml:space="preserve">Level Political Forum. (2025). </w:t>
      </w:r>
      <w:r w:rsidRPr="00815AA9">
        <w:rPr>
          <w:rFonts w:ascii="Times New Roman" w:hAnsi="Times New Roman" w:cs="Times New Roman"/>
          <w:bCs/>
          <w:i/>
          <w:iCs/>
          <w:sz w:val="24"/>
          <w:szCs w:val="24"/>
          <w:lang w:val="en-GB"/>
        </w:rPr>
        <w:t>Nigeria’s 2025 voluntary national review on sustainable development</w:t>
      </w:r>
      <w:r w:rsidRPr="00815AA9">
        <w:rPr>
          <w:rFonts w:ascii="Times New Roman" w:hAnsi="Times New Roman" w:cs="Times New Roman"/>
          <w:bCs/>
          <w:sz w:val="24"/>
          <w:szCs w:val="24"/>
          <w:lang w:val="en-GB"/>
        </w:rPr>
        <w:t>. United Nations. [Main message briefing]</w:t>
      </w:r>
    </w:p>
    <w:p w14:paraId="020B139F" w14:textId="77777777" w:rsidR="002E7A3D" w:rsidRPr="00815AA9" w:rsidRDefault="002E7A3D" w:rsidP="007F10F0">
      <w:pPr>
        <w:spacing w:after="0" w:line="240" w:lineRule="auto"/>
        <w:ind w:left="720" w:hanging="720"/>
        <w:jc w:val="both"/>
        <w:rPr>
          <w:rFonts w:ascii="Times New Roman" w:hAnsi="Times New Roman" w:cs="Times New Roman"/>
          <w:bCs/>
          <w:sz w:val="24"/>
          <w:szCs w:val="24"/>
          <w:lang w:val="en-GB"/>
        </w:rPr>
      </w:pPr>
      <w:r w:rsidRPr="00815AA9">
        <w:rPr>
          <w:rFonts w:ascii="Times New Roman" w:hAnsi="Times New Roman" w:cs="Times New Roman"/>
          <w:bCs/>
          <w:sz w:val="24"/>
          <w:szCs w:val="24"/>
          <w:lang w:val="en-GB"/>
        </w:rPr>
        <w:t>UN Sustainable Development Knowledge Platform. (2025). Nigeria .:. Sustainable Development Knowledge Platform. Retrieved from https://sustainabledevelopment.un.org/memberstates/nigeria </w:t>
      </w:r>
    </w:p>
    <w:p w14:paraId="7DFC5CB3" w14:textId="6531E2CD" w:rsidR="002E7A3D" w:rsidRPr="00815AA9" w:rsidRDefault="002E7A3D" w:rsidP="007F10F0">
      <w:pPr>
        <w:spacing w:after="0" w:line="240" w:lineRule="auto"/>
        <w:ind w:left="720" w:hanging="720"/>
        <w:jc w:val="both"/>
        <w:rPr>
          <w:rFonts w:ascii="Times New Roman" w:hAnsi="Times New Roman" w:cs="Times New Roman"/>
          <w:bCs/>
          <w:sz w:val="24"/>
          <w:szCs w:val="24"/>
        </w:rPr>
      </w:pPr>
      <w:r w:rsidRPr="00815AA9">
        <w:rPr>
          <w:rFonts w:ascii="Times New Roman" w:hAnsi="Times New Roman" w:cs="Times New Roman"/>
          <w:bCs/>
          <w:sz w:val="24"/>
          <w:szCs w:val="24"/>
        </w:rPr>
        <w:t xml:space="preserve">United Nations Development Programme. (2024). </w:t>
      </w:r>
      <w:r w:rsidRPr="00815AA9">
        <w:rPr>
          <w:rFonts w:ascii="Times New Roman" w:hAnsi="Times New Roman" w:cs="Times New Roman"/>
          <w:bCs/>
          <w:i/>
          <w:iCs/>
          <w:sz w:val="24"/>
          <w:szCs w:val="24"/>
        </w:rPr>
        <w:t>Annual report</w:t>
      </w:r>
      <w:r w:rsidRPr="00815AA9">
        <w:rPr>
          <w:rFonts w:ascii="Times New Roman" w:hAnsi="Times New Roman" w:cs="Times New Roman"/>
          <w:bCs/>
          <w:sz w:val="24"/>
          <w:szCs w:val="24"/>
        </w:rPr>
        <w:t>. Retrieved June 23rd, 2024, from https://www.undp.org/sites/g/files/zskgke326/files/2024-05/undp-tax-for-sustainable-development-goals-initiative-annual-report-2023-v2.pdf</w:t>
      </w:r>
    </w:p>
    <w:p w14:paraId="557D4A18" w14:textId="77777777" w:rsidR="002E7A3D" w:rsidRPr="00815AA9" w:rsidRDefault="002E7A3D" w:rsidP="007F10F0">
      <w:pPr>
        <w:spacing w:after="0" w:line="240" w:lineRule="auto"/>
        <w:ind w:left="720" w:hanging="720"/>
        <w:jc w:val="both"/>
        <w:rPr>
          <w:rFonts w:ascii="Times New Roman" w:hAnsi="Times New Roman" w:cs="Times New Roman"/>
          <w:bCs/>
          <w:sz w:val="24"/>
          <w:szCs w:val="24"/>
        </w:rPr>
      </w:pPr>
      <w:r w:rsidRPr="00815AA9">
        <w:rPr>
          <w:rFonts w:ascii="Times New Roman" w:hAnsi="Times New Roman" w:cs="Times New Roman"/>
          <w:bCs/>
          <w:sz w:val="24"/>
          <w:szCs w:val="24"/>
        </w:rPr>
        <w:t xml:space="preserve">United Nations Economic Commission for Africa. (2022). </w:t>
      </w:r>
      <w:r w:rsidRPr="00815AA9">
        <w:rPr>
          <w:rFonts w:ascii="Times New Roman" w:hAnsi="Times New Roman" w:cs="Times New Roman"/>
          <w:bCs/>
          <w:i/>
          <w:iCs/>
          <w:sz w:val="24"/>
          <w:szCs w:val="24"/>
        </w:rPr>
        <w:t>Economic report on Africa 2022: Transforming Africa’s economy through innovation</w:t>
      </w:r>
      <w:r w:rsidRPr="00815AA9">
        <w:rPr>
          <w:rFonts w:ascii="Times New Roman" w:hAnsi="Times New Roman" w:cs="Times New Roman"/>
          <w:bCs/>
          <w:sz w:val="24"/>
          <w:szCs w:val="24"/>
        </w:rPr>
        <w:t>. https://www.uneca.org/publications/economic-report-africa-2022</w:t>
      </w:r>
    </w:p>
    <w:p w14:paraId="4290706E" w14:textId="77777777" w:rsidR="002E7A3D" w:rsidRPr="00815AA9" w:rsidRDefault="002E7A3D" w:rsidP="007F10F0">
      <w:pPr>
        <w:spacing w:after="0" w:line="240" w:lineRule="auto"/>
        <w:ind w:left="720" w:hanging="720"/>
        <w:jc w:val="both"/>
        <w:rPr>
          <w:rFonts w:ascii="Times New Roman" w:hAnsi="Times New Roman" w:cs="Times New Roman"/>
          <w:bCs/>
          <w:sz w:val="24"/>
          <w:szCs w:val="24"/>
        </w:rPr>
      </w:pPr>
      <w:r w:rsidRPr="00815AA9">
        <w:rPr>
          <w:rFonts w:ascii="Times New Roman" w:hAnsi="Times New Roman" w:cs="Times New Roman"/>
          <w:bCs/>
          <w:sz w:val="24"/>
          <w:szCs w:val="24"/>
        </w:rPr>
        <w:t xml:space="preserve">United Nations, South Africa. (2023). </w:t>
      </w:r>
      <w:r w:rsidRPr="00815AA9">
        <w:rPr>
          <w:rFonts w:ascii="Times New Roman" w:hAnsi="Times New Roman" w:cs="Times New Roman"/>
          <w:bCs/>
          <w:i/>
          <w:iCs/>
          <w:sz w:val="24"/>
          <w:szCs w:val="24"/>
        </w:rPr>
        <w:t>Decent Work and Economic Growth</w:t>
      </w:r>
      <w:r w:rsidRPr="00815AA9">
        <w:rPr>
          <w:rFonts w:ascii="Times New Roman" w:hAnsi="Times New Roman" w:cs="Times New Roman"/>
          <w:bCs/>
          <w:sz w:val="24"/>
          <w:szCs w:val="24"/>
        </w:rPr>
        <w:t>. Retrieved June 23rd, 2024, from https://southafrica.un.org/en/sdgs/8</w:t>
      </w:r>
    </w:p>
    <w:p w14:paraId="3A361383" w14:textId="77777777" w:rsidR="002E7A3D" w:rsidRPr="00815AA9" w:rsidRDefault="002E7A3D" w:rsidP="007F10F0">
      <w:pPr>
        <w:spacing w:after="0" w:line="240" w:lineRule="auto"/>
        <w:ind w:left="720" w:hanging="720"/>
        <w:jc w:val="both"/>
        <w:rPr>
          <w:rFonts w:ascii="Times New Roman" w:hAnsi="Times New Roman" w:cs="Times New Roman"/>
          <w:bCs/>
          <w:sz w:val="24"/>
          <w:szCs w:val="24"/>
        </w:rPr>
      </w:pPr>
      <w:r w:rsidRPr="00815AA9">
        <w:rPr>
          <w:rFonts w:ascii="Times New Roman" w:hAnsi="Times New Roman" w:cs="Times New Roman"/>
          <w:bCs/>
          <w:sz w:val="24"/>
          <w:szCs w:val="24"/>
        </w:rPr>
        <w:t xml:space="preserve">United Nations. (2021). </w:t>
      </w:r>
      <w:r w:rsidRPr="00815AA9">
        <w:rPr>
          <w:rFonts w:ascii="Times New Roman" w:hAnsi="Times New Roman" w:cs="Times New Roman"/>
          <w:bCs/>
          <w:i/>
          <w:iCs/>
          <w:sz w:val="24"/>
          <w:szCs w:val="24"/>
        </w:rPr>
        <w:t>Sustainable development goals</w:t>
      </w:r>
      <w:r w:rsidRPr="00815AA9">
        <w:rPr>
          <w:rFonts w:ascii="Times New Roman" w:hAnsi="Times New Roman" w:cs="Times New Roman"/>
          <w:bCs/>
          <w:sz w:val="24"/>
          <w:szCs w:val="24"/>
        </w:rPr>
        <w:t xml:space="preserve">. </w:t>
      </w:r>
      <w:hyperlink r:id="rId17" w:tgtFrame="_new" w:history="1">
        <w:r w:rsidRPr="00815AA9">
          <w:rPr>
            <w:rStyle w:val="Hyperlink"/>
            <w:rFonts w:ascii="Times New Roman" w:hAnsi="Times New Roman" w:cs="Times New Roman"/>
            <w:bCs/>
            <w:color w:val="auto"/>
            <w:sz w:val="24"/>
            <w:szCs w:val="24"/>
          </w:rPr>
          <w:t>https://www.un.org/sustainabledevelopment/sustainable-development-goals/</w:t>
        </w:r>
      </w:hyperlink>
    </w:p>
    <w:p w14:paraId="4797637A" w14:textId="77777777" w:rsidR="002E7A3D" w:rsidRPr="00815AA9" w:rsidRDefault="002E7A3D" w:rsidP="007F10F0">
      <w:pPr>
        <w:spacing w:after="0" w:line="240" w:lineRule="auto"/>
        <w:ind w:left="720" w:hanging="720"/>
        <w:jc w:val="both"/>
        <w:rPr>
          <w:rFonts w:ascii="Times New Roman" w:hAnsi="Times New Roman" w:cs="Times New Roman"/>
          <w:bCs/>
          <w:sz w:val="24"/>
          <w:szCs w:val="24"/>
        </w:rPr>
      </w:pPr>
      <w:r w:rsidRPr="00815AA9">
        <w:rPr>
          <w:rFonts w:ascii="Times New Roman" w:hAnsi="Times New Roman" w:cs="Times New Roman"/>
          <w:bCs/>
          <w:sz w:val="24"/>
          <w:szCs w:val="24"/>
        </w:rPr>
        <w:t xml:space="preserve">United Nations. (2023). </w:t>
      </w:r>
      <w:r w:rsidRPr="00815AA9">
        <w:rPr>
          <w:rFonts w:ascii="Times New Roman" w:hAnsi="Times New Roman" w:cs="Times New Roman"/>
          <w:bCs/>
          <w:i/>
          <w:iCs/>
          <w:sz w:val="24"/>
          <w:szCs w:val="24"/>
        </w:rPr>
        <w:t>Decent work and economic growth</w:t>
      </w:r>
      <w:r w:rsidRPr="00815AA9">
        <w:rPr>
          <w:rFonts w:ascii="Times New Roman" w:hAnsi="Times New Roman" w:cs="Times New Roman"/>
          <w:bCs/>
          <w:sz w:val="24"/>
          <w:szCs w:val="24"/>
        </w:rPr>
        <w:t>. Retrieved July 2nd, 2024, from https://www.closethegapfoundation.org/glossary/decent-work-and-economic-growth</w:t>
      </w:r>
    </w:p>
    <w:p w14:paraId="15D025D3" w14:textId="748991CE" w:rsidR="002E7A3D" w:rsidRPr="00815AA9" w:rsidRDefault="002E7A3D" w:rsidP="007F10F0">
      <w:pPr>
        <w:spacing w:after="0" w:line="240" w:lineRule="auto"/>
        <w:ind w:left="720" w:hanging="720"/>
        <w:jc w:val="both"/>
        <w:rPr>
          <w:rFonts w:ascii="Times New Roman" w:hAnsi="Times New Roman" w:cs="Times New Roman"/>
          <w:bCs/>
          <w:sz w:val="24"/>
          <w:szCs w:val="24"/>
        </w:rPr>
      </w:pPr>
      <w:r w:rsidRPr="00815AA9">
        <w:rPr>
          <w:rFonts w:ascii="Times New Roman" w:hAnsi="Times New Roman" w:cs="Times New Roman"/>
          <w:bCs/>
          <w:sz w:val="24"/>
          <w:szCs w:val="24"/>
        </w:rPr>
        <w:t xml:space="preserve">United Nations. (2023). </w:t>
      </w:r>
      <w:r w:rsidRPr="00815AA9">
        <w:rPr>
          <w:rFonts w:ascii="Times New Roman" w:hAnsi="Times New Roman" w:cs="Times New Roman"/>
          <w:bCs/>
          <w:i/>
          <w:iCs/>
          <w:sz w:val="24"/>
          <w:szCs w:val="24"/>
        </w:rPr>
        <w:t>Launch of the 2023 report "the impact of disasters on agriculture and food security</w:t>
      </w:r>
      <w:r w:rsidRPr="00815AA9">
        <w:rPr>
          <w:rFonts w:ascii="Times New Roman" w:hAnsi="Times New Roman" w:cs="Times New Roman"/>
          <w:bCs/>
          <w:sz w:val="24"/>
          <w:szCs w:val="24"/>
        </w:rPr>
        <w:t>. Retrieved Septembe</w:t>
      </w:r>
      <w:r w:rsidR="005A7A21">
        <w:rPr>
          <w:rFonts w:ascii="Times New Roman" w:hAnsi="Times New Roman" w:cs="Times New Roman"/>
          <w:bCs/>
          <w:sz w:val="24"/>
          <w:szCs w:val="24"/>
        </w:rPr>
        <w:t>r</w:t>
      </w:r>
      <w:r w:rsidRPr="00815AA9">
        <w:rPr>
          <w:rFonts w:ascii="Times New Roman" w:hAnsi="Times New Roman" w:cs="Times New Roman"/>
          <w:bCs/>
          <w:sz w:val="24"/>
          <w:szCs w:val="24"/>
        </w:rPr>
        <w:t xml:space="preserve"> 12th, 2023, from https://www.fao.org/statistics/events/detail-events/en/c/1652517/</w:t>
      </w:r>
    </w:p>
    <w:p w14:paraId="6D47D5B5" w14:textId="77777777" w:rsidR="002E7A3D" w:rsidRPr="00815AA9" w:rsidRDefault="002E7A3D" w:rsidP="007F10F0">
      <w:pPr>
        <w:spacing w:after="0" w:line="240" w:lineRule="auto"/>
        <w:ind w:left="720" w:hanging="720"/>
        <w:jc w:val="both"/>
        <w:rPr>
          <w:rFonts w:ascii="Times New Roman" w:hAnsi="Times New Roman" w:cs="Times New Roman"/>
          <w:bCs/>
          <w:sz w:val="24"/>
          <w:szCs w:val="24"/>
        </w:rPr>
      </w:pPr>
      <w:r w:rsidRPr="00815AA9">
        <w:rPr>
          <w:rFonts w:ascii="Times New Roman" w:hAnsi="Times New Roman" w:cs="Times New Roman"/>
          <w:bCs/>
          <w:sz w:val="24"/>
          <w:szCs w:val="24"/>
        </w:rPr>
        <w:t xml:space="preserve">Zehri, C., Mohammed, E. A., Amina, K., &amp; Habib, S. (2024). Decent work, financial inclusion, and economic growth: Analysis under the SDG 8. </w:t>
      </w:r>
      <w:r w:rsidRPr="00815AA9">
        <w:rPr>
          <w:rFonts w:ascii="Times New Roman" w:hAnsi="Times New Roman" w:cs="Times New Roman"/>
          <w:bCs/>
          <w:i/>
          <w:iCs/>
          <w:sz w:val="24"/>
          <w:szCs w:val="24"/>
        </w:rPr>
        <w:t>Heritage and Sustainable Development, 6</w:t>
      </w:r>
      <w:r w:rsidRPr="00815AA9">
        <w:rPr>
          <w:rFonts w:ascii="Times New Roman" w:hAnsi="Times New Roman" w:cs="Times New Roman"/>
          <w:bCs/>
          <w:sz w:val="24"/>
          <w:szCs w:val="24"/>
        </w:rPr>
        <w:t>(1), 197-218. Retrieved from http://dx.doi.org/10.37868/hsd.v6i1.370</w:t>
      </w:r>
    </w:p>
    <w:p w14:paraId="77DE7A96" w14:textId="77777777" w:rsidR="001E582D" w:rsidRPr="00815AA9" w:rsidRDefault="001E582D" w:rsidP="00764836">
      <w:pPr>
        <w:spacing w:before="240" w:after="0" w:line="240" w:lineRule="auto"/>
        <w:jc w:val="both"/>
        <w:rPr>
          <w:rFonts w:ascii="Times New Roman" w:hAnsi="Times New Roman" w:cs="Times New Roman"/>
          <w:bCs/>
          <w:sz w:val="24"/>
          <w:szCs w:val="24"/>
          <w:lang w:val="en-GB"/>
        </w:rPr>
      </w:pPr>
    </w:p>
    <w:p w14:paraId="2D11B3D2" w14:textId="77777777" w:rsidR="00DD76A6" w:rsidRPr="00815AA9" w:rsidRDefault="00DD76A6" w:rsidP="00764836">
      <w:pPr>
        <w:spacing w:line="240" w:lineRule="auto"/>
        <w:rPr>
          <w:rFonts w:ascii="Times New Roman" w:hAnsi="Times New Roman" w:cs="Times New Roman"/>
        </w:rPr>
      </w:pPr>
    </w:p>
    <w:sectPr w:rsidR="00DD76A6" w:rsidRPr="00815AA9">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97C86" w14:textId="77777777" w:rsidR="00822418" w:rsidRDefault="00822418" w:rsidP="000E5C1F">
      <w:pPr>
        <w:spacing w:after="0" w:line="240" w:lineRule="auto"/>
      </w:pPr>
      <w:r>
        <w:separator/>
      </w:r>
    </w:p>
  </w:endnote>
  <w:endnote w:type="continuationSeparator" w:id="0">
    <w:p w14:paraId="0307B548" w14:textId="77777777" w:rsidR="00822418" w:rsidRDefault="00822418" w:rsidP="000E5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408982"/>
      <w:docPartObj>
        <w:docPartGallery w:val="Page Numbers (Bottom of Page)"/>
        <w:docPartUnique/>
      </w:docPartObj>
    </w:sdtPr>
    <w:sdtEndPr>
      <w:rPr>
        <w:noProof/>
      </w:rPr>
    </w:sdtEndPr>
    <w:sdtContent>
      <w:p w14:paraId="53319448" w14:textId="77777777" w:rsidR="000E5C1F" w:rsidRDefault="000E5C1F">
        <w:pPr>
          <w:pStyle w:val="Footer"/>
          <w:jc w:val="center"/>
        </w:pPr>
        <w:r>
          <w:fldChar w:fldCharType="begin"/>
        </w:r>
        <w:r>
          <w:instrText xml:space="preserve"> PAGE   \* MERGEFORMAT </w:instrText>
        </w:r>
        <w:r>
          <w:fldChar w:fldCharType="separate"/>
        </w:r>
        <w:r w:rsidR="003E2AE5">
          <w:rPr>
            <w:noProof/>
          </w:rPr>
          <w:t>1</w:t>
        </w:r>
        <w:r>
          <w:rPr>
            <w:noProof/>
          </w:rPr>
          <w:fldChar w:fldCharType="end"/>
        </w:r>
      </w:p>
    </w:sdtContent>
  </w:sdt>
  <w:p w14:paraId="301262C0" w14:textId="77777777" w:rsidR="000E5C1F" w:rsidRDefault="000E5C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4AB6D" w14:textId="77777777" w:rsidR="00822418" w:rsidRDefault="00822418" w:rsidP="000E5C1F">
      <w:pPr>
        <w:spacing w:after="0" w:line="240" w:lineRule="auto"/>
      </w:pPr>
      <w:r>
        <w:separator/>
      </w:r>
    </w:p>
  </w:footnote>
  <w:footnote w:type="continuationSeparator" w:id="0">
    <w:p w14:paraId="5C89A095" w14:textId="77777777" w:rsidR="00822418" w:rsidRDefault="00822418" w:rsidP="000E5C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ED1CD4"/>
    <w:multiLevelType w:val="multilevel"/>
    <w:tmpl w:val="52FE4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331C93"/>
    <w:multiLevelType w:val="hybridMultilevel"/>
    <w:tmpl w:val="B3461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5727328">
    <w:abstractNumId w:val="0"/>
  </w:num>
  <w:num w:numId="2" w16cid:durableId="1215119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161C"/>
    <w:rsid w:val="000E2C5E"/>
    <w:rsid w:val="000E5C1F"/>
    <w:rsid w:val="001211B8"/>
    <w:rsid w:val="001234F4"/>
    <w:rsid w:val="00161997"/>
    <w:rsid w:val="00171A84"/>
    <w:rsid w:val="0017202D"/>
    <w:rsid w:val="001964A8"/>
    <w:rsid w:val="001E582D"/>
    <w:rsid w:val="0022161C"/>
    <w:rsid w:val="00271936"/>
    <w:rsid w:val="00282DEA"/>
    <w:rsid w:val="002E7A3D"/>
    <w:rsid w:val="0036363C"/>
    <w:rsid w:val="00366910"/>
    <w:rsid w:val="003E0635"/>
    <w:rsid w:val="003E2AE5"/>
    <w:rsid w:val="00521791"/>
    <w:rsid w:val="00570413"/>
    <w:rsid w:val="005A1F93"/>
    <w:rsid w:val="005A7A21"/>
    <w:rsid w:val="005B0C5B"/>
    <w:rsid w:val="005F712B"/>
    <w:rsid w:val="0066510C"/>
    <w:rsid w:val="00691333"/>
    <w:rsid w:val="006E7954"/>
    <w:rsid w:val="00764836"/>
    <w:rsid w:val="007A39F3"/>
    <w:rsid w:val="007B5F69"/>
    <w:rsid w:val="007F10F0"/>
    <w:rsid w:val="00815AA9"/>
    <w:rsid w:val="00822418"/>
    <w:rsid w:val="00827420"/>
    <w:rsid w:val="00873041"/>
    <w:rsid w:val="008948FE"/>
    <w:rsid w:val="008F354F"/>
    <w:rsid w:val="009B5140"/>
    <w:rsid w:val="009E7A21"/>
    <w:rsid w:val="00A1638F"/>
    <w:rsid w:val="00A27459"/>
    <w:rsid w:val="00AD218A"/>
    <w:rsid w:val="00B63B16"/>
    <w:rsid w:val="00B66A7D"/>
    <w:rsid w:val="00B90C1C"/>
    <w:rsid w:val="00BC103E"/>
    <w:rsid w:val="00DD76A6"/>
    <w:rsid w:val="00E84F70"/>
    <w:rsid w:val="00E913A1"/>
    <w:rsid w:val="00EC12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7EB0D"/>
  <w15:docId w15:val="{8B77C36B-D867-488F-859A-0F09758D0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61C"/>
    <w:pPr>
      <w:spacing w:after="160" w:line="259" w:lineRule="auto"/>
    </w:pPr>
    <w:rPr>
      <w:rFonts w:ascii="Calibri" w:eastAsia="Calibri" w:hAnsi="Calibri" w:cs="SimSun"/>
      <w:kern w:val="2"/>
      <w:lang w:val="en-US"/>
      <w14:ligatures w14:val="standardContextual"/>
    </w:rPr>
  </w:style>
  <w:style w:type="paragraph" w:styleId="Heading1">
    <w:name w:val="heading 1"/>
    <w:basedOn w:val="Normal"/>
    <w:next w:val="Normal"/>
    <w:link w:val="Heading1Char"/>
    <w:uiPriority w:val="9"/>
    <w:qFormat/>
    <w:rsid w:val="0022161C"/>
    <w:pPr>
      <w:keepNext/>
      <w:keepLines/>
      <w:spacing w:before="480" w:after="0" w:line="276" w:lineRule="auto"/>
      <w:outlineLvl w:val="0"/>
    </w:pPr>
    <w:rPr>
      <w:rFonts w:ascii="Cambria" w:eastAsia="SimSun" w:hAnsi="Cambria"/>
      <w:b/>
      <w:bCs/>
      <w:color w:val="365F91"/>
      <w:kern w:val="0"/>
      <w:sz w:val="28"/>
      <w:szCs w:val="28"/>
    </w:rPr>
  </w:style>
  <w:style w:type="paragraph" w:styleId="Heading3">
    <w:name w:val="heading 3"/>
    <w:basedOn w:val="Normal"/>
    <w:next w:val="Normal"/>
    <w:link w:val="Heading3Char"/>
    <w:uiPriority w:val="9"/>
    <w:semiHidden/>
    <w:unhideWhenUsed/>
    <w:qFormat/>
    <w:rsid w:val="005B0C5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22161C"/>
    <w:rPr>
      <w:rFonts w:ascii="Cambria" w:eastAsia="SimSun" w:hAnsi="Cambria" w:cs="SimSun"/>
      <w:b/>
      <w:bCs/>
      <w:color w:val="365F91"/>
      <w:sz w:val="28"/>
      <w:szCs w:val="28"/>
      <w:lang w:val="en-US"/>
      <w14:ligatures w14:val="standardContextual"/>
    </w:rPr>
  </w:style>
  <w:style w:type="character" w:customStyle="1" w:styleId="Heading3Char">
    <w:name w:val="Heading 3 Char"/>
    <w:basedOn w:val="DefaultParagraphFont"/>
    <w:link w:val="Heading3"/>
    <w:uiPriority w:val="9"/>
    <w:semiHidden/>
    <w:rsid w:val="005B0C5B"/>
    <w:rPr>
      <w:rFonts w:asciiTheme="majorHAnsi" w:eastAsiaTheme="majorEastAsia" w:hAnsiTheme="majorHAnsi" w:cstheme="majorBidi"/>
      <w:b/>
      <w:bCs/>
      <w:color w:val="4F81BD" w:themeColor="accent1"/>
      <w:kern w:val="2"/>
      <w:lang w:val="en-US"/>
      <w14:ligatures w14:val="standardContextual"/>
    </w:rPr>
  </w:style>
  <w:style w:type="paragraph" w:styleId="ListParagraph">
    <w:name w:val="List Paragraph"/>
    <w:basedOn w:val="Normal"/>
    <w:uiPriority w:val="34"/>
    <w:qFormat/>
    <w:rsid w:val="009E7A21"/>
    <w:pPr>
      <w:ind w:left="720"/>
      <w:contextualSpacing/>
    </w:pPr>
  </w:style>
  <w:style w:type="table" w:styleId="TableGrid">
    <w:name w:val="Table Grid"/>
    <w:basedOn w:val="TableNormal"/>
    <w:uiPriority w:val="39"/>
    <w:qFormat/>
    <w:rsid w:val="001211B8"/>
    <w:pPr>
      <w:spacing w:after="0" w:line="240" w:lineRule="auto"/>
    </w:pPr>
    <w:rPr>
      <w:rFonts w:ascii="Calibri" w:eastAsia="Calibri" w:hAnsi="Calibri" w:cs="SimSu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70413"/>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styleId="Strong">
    <w:name w:val="Strong"/>
    <w:basedOn w:val="DefaultParagraphFont"/>
    <w:uiPriority w:val="22"/>
    <w:qFormat/>
    <w:rsid w:val="00570413"/>
    <w:rPr>
      <w:b/>
      <w:bCs/>
    </w:rPr>
  </w:style>
  <w:style w:type="character" w:styleId="Hyperlink">
    <w:name w:val="Hyperlink"/>
    <w:basedOn w:val="DefaultParagraphFont"/>
    <w:uiPriority w:val="99"/>
    <w:unhideWhenUsed/>
    <w:rsid w:val="001E582D"/>
    <w:rPr>
      <w:color w:val="0000FF" w:themeColor="hyperlink"/>
      <w:u w:val="single"/>
    </w:rPr>
  </w:style>
  <w:style w:type="paragraph" w:styleId="Header">
    <w:name w:val="header"/>
    <w:basedOn w:val="Normal"/>
    <w:link w:val="HeaderChar"/>
    <w:uiPriority w:val="99"/>
    <w:unhideWhenUsed/>
    <w:rsid w:val="000E5C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5C1F"/>
    <w:rPr>
      <w:rFonts w:ascii="Calibri" w:eastAsia="Calibri" w:hAnsi="Calibri" w:cs="SimSun"/>
      <w:kern w:val="2"/>
      <w:lang w:val="en-US"/>
      <w14:ligatures w14:val="standardContextual"/>
    </w:rPr>
  </w:style>
  <w:style w:type="paragraph" w:styleId="Footer">
    <w:name w:val="footer"/>
    <w:basedOn w:val="Normal"/>
    <w:link w:val="FooterChar"/>
    <w:uiPriority w:val="99"/>
    <w:unhideWhenUsed/>
    <w:rsid w:val="000E5C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5C1F"/>
    <w:rPr>
      <w:rFonts w:ascii="Calibri" w:eastAsia="Calibri" w:hAnsi="Calibri" w:cs="SimSun"/>
      <w:kern w:val="2"/>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542952">
      <w:bodyDiv w:val="1"/>
      <w:marLeft w:val="0"/>
      <w:marRight w:val="0"/>
      <w:marTop w:val="0"/>
      <w:marBottom w:val="0"/>
      <w:divBdr>
        <w:top w:val="none" w:sz="0" w:space="0" w:color="auto"/>
        <w:left w:val="none" w:sz="0" w:space="0" w:color="auto"/>
        <w:bottom w:val="none" w:sz="0" w:space="0" w:color="auto"/>
        <w:right w:val="none" w:sz="0" w:space="0" w:color="auto"/>
      </w:divBdr>
    </w:div>
    <w:div w:id="340006648">
      <w:bodyDiv w:val="1"/>
      <w:marLeft w:val="0"/>
      <w:marRight w:val="0"/>
      <w:marTop w:val="0"/>
      <w:marBottom w:val="0"/>
      <w:divBdr>
        <w:top w:val="none" w:sz="0" w:space="0" w:color="auto"/>
        <w:left w:val="none" w:sz="0" w:space="0" w:color="auto"/>
        <w:bottom w:val="none" w:sz="0" w:space="0" w:color="auto"/>
        <w:right w:val="none" w:sz="0" w:space="0" w:color="auto"/>
      </w:divBdr>
    </w:div>
    <w:div w:id="619411860">
      <w:bodyDiv w:val="1"/>
      <w:marLeft w:val="0"/>
      <w:marRight w:val="0"/>
      <w:marTop w:val="0"/>
      <w:marBottom w:val="0"/>
      <w:divBdr>
        <w:top w:val="none" w:sz="0" w:space="0" w:color="auto"/>
        <w:left w:val="none" w:sz="0" w:space="0" w:color="auto"/>
        <w:bottom w:val="none" w:sz="0" w:space="0" w:color="auto"/>
        <w:right w:val="none" w:sz="0" w:space="0" w:color="auto"/>
      </w:divBdr>
    </w:div>
    <w:div w:id="911231813">
      <w:bodyDiv w:val="1"/>
      <w:marLeft w:val="0"/>
      <w:marRight w:val="0"/>
      <w:marTop w:val="0"/>
      <w:marBottom w:val="0"/>
      <w:divBdr>
        <w:top w:val="none" w:sz="0" w:space="0" w:color="auto"/>
        <w:left w:val="none" w:sz="0" w:space="0" w:color="auto"/>
        <w:bottom w:val="none" w:sz="0" w:space="0" w:color="auto"/>
        <w:right w:val="none" w:sz="0" w:space="0" w:color="auto"/>
      </w:divBdr>
    </w:div>
    <w:div w:id="921329962">
      <w:bodyDiv w:val="1"/>
      <w:marLeft w:val="0"/>
      <w:marRight w:val="0"/>
      <w:marTop w:val="0"/>
      <w:marBottom w:val="0"/>
      <w:divBdr>
        <w:top w:val="none" w:sz="0" w:space="0" w:color="auto"/>
        <w:left w:val="none" w:sz="0" w:space="0" w:color="auto"/>
        <w:bottom w:val="none" w:sz="0" w:space="0" w:color="auto"/>
        <w:right w:val="none" w:sz="0" w:space="0" w:color="auto"/>
      </w:divBdr>
    </w:div>
    <w:div w:id="1945570987">
      <w:bodyDiv w:val="1"/>
      <w:marLeft w:val="0"/>
      <w:marRight w:val="0"/>
      <w:marTop w:val="0"/>
      <w:marBottom w:val="0"/>
      <w:divBdr>
        <w:top w:val="none" w:sz="0" w:space="0" w:color="auto"/>
        <w:left w:val="none" w:sz="0" w:space="0" w:color="auto"/>
        <w:bottom w:val="none" w:sz="0" w:space="0" w:color="auto"/>
        <w:right w:val="none" w:sz="0" w:space="0" w:color="auto"/>
      </w:divBdr>
    </w:div>
    <w:div w:id="213883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fdb.org/en/documents/african-economic-outlook-2021" TargetMode="External"/><Relationship Id="rId13" Type="http://schemas.openxmlformats.org/officeDocument/2006/relationships/hyperlink" Target="https://doi.org/10.1016/j.eap.2022.12.014"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europa.eu/taxation_customs/publications/taxation-trends-eu-2022_en" TargetMode="External"/><Relationship Id="rId17" Type="http://schemas.openxmlformats.org/officeDocument/2006/relationships/hyperlink" Target="https://www.un.org/sustainabledevelopment/sustainable-development-goals/" TargetMode="External"/><Relationship Id="rId2" Type="http://schemas.openxmlformats.org/officeDocument/2006/relationships/numbering" Target="numbering.xml"/><Relationship Id="rId16" Type="http://schemas.openxmlformats.org/officeDocument/2006/relationships/hyperlink" Target="https://doi.org/10.1086/26142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6/261726" TargetMode="External"/><Relationship Id="rId5" Type="http://schemas.openxmlformats.org/officeDocument/2006/relationships/webSettings" Target="webSettings.xml"/><Relationship Id="rId15" Type="http://schemas.openxmlformats.org/officeDocument/2006/relationships/hyperlink" Target="https://openlibrary.org/books/OL2037066M/Public_finance_in_theory_and_practice" TargetMode="External"/><Relationship Id="rId10" Type="http://schemas.openxmlformats.org/officeDocument/2006/relationships/hyperlink" Target="https://doi.org/10.1016/j.heliyon.2023.e14189"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itpress.mit.edu/9780262011662/endogenous-growth-theory/" TargetMode="External"/><Relationship Id="rId14" Type="http://schemas.openxmlformats.org/officeDocument/2006/relationships/hyperlink" Target="https://www.ilo.org/publications/decent-work-key-2030-agenda-sustainable-development?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54DA9B9A-B3ED-4671-9B11-57E233EFE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23</Pages>
  <Words>12130</Words>
  <Characters>69143</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USER</dc:creator>
  <cp:lastModifiedBy>Biodun Davies</cp:lastModifiedBy>
  <cp:revision>18</cp:revision>
  <dcterms:created xsi:type="dcterms:W3CDTF">2026-03-13T15:04:00Z</dcterms:created>
  <dcterms:modified xsi:type="dcterms:W3CDTF">2026-03-18T15:41:00Z</dcterms:modified>
</cp:coreProperties>
</file>