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4E49" w14:textId="77777777" w:rsidR="0066149A" w:rsidRDefault="00000000" w:rsidP="003F4629">
      <w:pPr>
        <w:spacing w:after="0" w:line="360" w:lineRule="auto"/>
        <w:jc w:val="center"/>
      </w:pPr>
      <w:r>
        <w:rPr>
          <w:rFonts w:ascii="Times New Roman" w:hAnsi="Times New Roman"/>
          <w:b/>
          <w:sz w:val="28"/>
        </w:rPr>
        <w:t>Strategic Hedging Under Systemic Pressure: ASEAN's Foreign Policy Responses to Middle East Conflicts and the Decline of US Hegemony</w:t>
      </w:r>
    </w:p>
    <w:p w14:paraId="445019FD" w14:textId="77777777" w:rsidR="0066149A" w:rsidRDefault="00000000" w:rsidP="003F4629">
      <w:pPr>
        <w:spacing w:after="0" w:line="360" w:lineRule="auto"/>
        <w:jc w:val="center"/>
      </w:pPr>
      <w:r>
        <w:rPr>
          <w:rFonts w:ascii="Times New Roman" w:hAnsi="Times New Roman"/>
          <w:sz w:val="24"/>
        </w:rPr>
        <w:t/>
      </w:r>
    </w:p>
    <w:p w14:paraId="5001E616" w14:textId="77777777" w:rsidR="0066149A" w:rsidRDefault="00000000" w:rsidP="003F4629">
      <w:pPr>
        <w:spacing w:after="0" w:line="360" w:lineRule="auto"/>
        <w:jc w:val="center"/>
      </w:pPr>
      <w:r>
        <w:rPr>
          <w:rFonts w:ascii="Times New Roman" w:hAnsi="Times New Roman"/>
          <w:i/>
        </w:rPr>
        <w:t/>
      </w:r>
    </w:p>
    <w:p w14:paraId="73E4B866" w14:textId="06AA1D21" w:rsidR="0066149A" w:rsidRDefault="003F4629" w:rsidP="003F4629">
      <w:pPr>
        <w:spacing w:after="0" w:line="360" w:lineRule="auto"/>
        <w:jc w:val="center"/>
      </w:pPr>
      <w:r>
        <w:rPr>
          <w:rFonts w:ascii="Times New Roman" w:hAnsi="Times New Roman"/>
        </w:rPr>
        <w:t xml:space="preserve"/>
      </w:r>
      <w:r w:rsidR="00000000">
        <w:rPr>
          <w:rFonts w:ascii="Times New Roman" w:hAnsi="Times New Roman"/>
        </w:rPr>
        <w:t/>
      </w:r>
    </w:p>
    <w:p w14:paraId="48DC3B84" w14:textId="77777777" w:rsidR="0066149A" w:rsidRDefault="00000000" w:rsidP="003F4629">
      <w:pPr>
        <w:spacing w:after="0" w:line="360" w:lineRule="auto"/>
      </w:pPr>
      <w:r>
        <w:rPr>
          <w:rFonts w:ascii="Times New Roman" w:hAnsi="Times New Roman"/>
          <w:b/>
          <w:sz w:val="24"/>
        </w:rPr>
        <w:t>Abstract</w:t>
      </w:r>
    </w:p>
    <w:p w14:paraId="22660321" w14:textId="77777777" w:rsidR="003F4629" w:rsidRDefault="00D45EF1" w:rsidP="003F4629">
      <w:pPr>
        <w:pStyle w:val="font-claude-response-body"/>
        <w:spacing w:before="0" w:beforeAutospacing="0" w:after="0" w:afterAutospacing="0" w:line="360" w:lineRule="auto"/>
        <w:jc w:val="both"/>
      </w:pPr>
      <w:r>
        <w:t>This paper examines ASEAN states' responses to the 2026 US-Israeli military operations against Iran. It advances three original theoretical contributions: systemic rupture events, survivalist realignment as a distinct foreign policy mode, and the polarity accelerant function of hegemonic unilateralism.</w:t>
      </w:r>
      <w:r w:rsidR="003F4629">
        <w:t xml:space="preserve"> </w:t>
      </w:r>
      <w:r>
        <w:t>A qualitative comparative case study applies structured, focused comparison across Thailand, Indonesia, and Malaysia, selected for variation in energy profiles, domestic political contexts, and institutional positioning. Process tracing maps causal pathways from systemic rupture to observable foreign policy outputs within a nine-day window.</w:t>
      </w:r>
    </w:p>
    <w:p w14:paraId="466D7E47" w14:textId="431058AA" w:rsidR="00D45EF1" w:rsidRDefault="00D45EF1" w:rsidP="003F4629">
      <w:pPr>
        <w:pStyle w:val="font-claude-response-body"/>
        <w:spacing w:before="0" w:beforeAutospacing="0" w:after="0" w:afterAutospacing="0" w:line="360" w:lineRule="auto"/>
        <w:jc w:val="both"/>
      </w:pPr>
      <w:r>
        <w:t xml:space="preserve">Energy vulnerability, migrant worker crises, and normative ruptures </w:t>
      </w:r>
      <w:r w:rsidR="003F4629">
        <w:t xml:space="preserve">serve as strategic </w:t>
      </w:r>
      <w:proofErr w:type="spellStart"/>
      <w:r w:rsidR="00CC5F03">
        <w:t>compellents</w:t>
      </w:r>
      <w:proofErr w:type="spellEnd"/>
      <w:r w:rsidR="003F4629">
        <w:t xml:space="preserve"> that push</w:t>
      </w:r>
      <w:r>
        <w:t xml:space="preserve"> ASEAN states beyond conventional hedging postures. The ASEAN Foreign Ministers' Statement of 4 March 2026, naming the United States and Israel as conflict initiators without precedent in ASEAN's 60-year history, confirms survivalist realignment, with state-level variation consistent with theoretical predictions.</w:t>
      </w:r>
      <w:r w:rsidR="003F4629">
        <w:t xml:space="preserve"> </w:t>
      </w:r>
      <w:r>
        <w:t>The nine-day window captures only initial response patterns; longitudinal follow-up is required to assess durability. The three-case design limits generalization across the full ASEAN membership, and restricted access to classified deliberations confines analysis to observable outputs.</w:t>
      </w:r>
      <w:r w:rsidR="003F4629">
        <w:t xml:space="preserve"> </w:t>
      </w:r>
      <w:r>
        <w:t>ASEAN states require deeper strategic energy reserves and credible alternative supply infrastructure. The March 2026 consensus establishes a normative precedent for future collective responses to great-power unilateralism.</w:t>
      </w:r>
      <w:r w:rsidR="003F4629">
        <w:t xml:space="preserve"> </w:t>
      </w:r>
      <w:r>
        <w:t>The paper introduces survivalist realignment as a theoretically distinct foreign policy mode not captured by existing hedging frameworks</w:t>
      </w:r>
      <w:r w:rsidR="003F4629">
        <w:t xml:space="preserve"> and shows that systemic rupture events produce discontinuous shifts in regional order that gradual transition models cannot predict</w:t>
      </w:r>
      <w:r>
        <w:t>.</w:t>
      </w:r>
    </w:p>
    <w:p w14:paraId="6CE7019A" w14:textId="77777777" w:rsidR="0066149A" w:rsidRDefault="00000000" w:rsidP="003F4629">
      <w:pPr>
        <w:spacing w:before="120" w:after="0" w:line="360" w:lineRule="auto"/>
        <w:jc w:val="both"/>
        <w:rPr>
          <w:rFonts w:ascii="Times New Roman" w:hAnsi="Times New Roman"/>
          <w:i/>
        </w:rPr>
      </w:pPr>
      <w:r>
        <w:rPr>
          <w:rFonts w:ascii="Times New Roman" w:hAnsi="Times New Roman"/>
          <w:b/>
        </w:rPr>
        <w:t xml:space="preserve">Keywords: </w:t>
      </w:r>
      <w:r>
        <w:rPr>
          <w:rFonts w:ascii="Times New Roman" w:hAnsi="Times New Roman"/>
          <w:i/>
        </w:rPr>
        <w:t>ASEAN; strategic hedging; survivalist realignment; 2026 Iran war; hegemonic decline; systemic rupture; Southeast Asia</w:t>
      </w:r>
    </w:p>
    <w:p w14:paraId="6D44DCF0" w14:textId="77777777" w:rsidR="0066149A" w:rsidRDefault="00000000" w:rsidP="003F4629">
      <w:pPr>
        <w:pStyle w:val="Heading1"/>
        <w:spacing w:line="360" w:lineRule="auto"/>
      </w:pPr>
      <w:r>
        <w:lastRenderedPageBreak/>
        <w:t>1. Introduction</w:t>
      </w:r>
    </w:p>
    <w:p w14:paraId="05DCDA1A" w14:textId="1F4AB63E" w:rsidR="0066149A" w:rsidRDefault="00000000" w:rsidP="003F4629">
      <w:pPr>
        <w:spacing w:after="0" w:line="360" w:lineRule="auto"/>
        <w:jc w:val="both"/>
      </w:pPr>
      <w:r>
        <w:rPr>
          <w:rFonts w:ascii="Times New Roman" w:hAnsi="Times New Roman"/>
          <w:sz w:val="24"/>
        </w:rPr>
        <w:t xml:space="preserve">Something unusual occurred on 27 February 2026. Oman's Foreign Minister announced that Iran had agreed to full </w:t>
      </w:r>
      <w:r w:rsidR="00C437ED">
        <w:rPr>
          <w:rFonts w:ascii="Times New Roman" w:hAnsi="Times New Roman"/>
          <w:sz w:val="24"/>
        </w:rPr>
        <w:t>IAEA verification of its nuclear program</w:t>
      </w:r>
      <w:r w:rsidR="003F4629">
        <w:rPr>
          <w:rFonts w:ascii="Times New Roman" w:hAnsi="Times New Roman"/>
          <w:sz w:val="24"/>
        </w:rPr>
        <w:t>,</w:t>
      </w:r>
      <w:r>
        <w:rPr>
          <w:rFonts w:ascii="Times New Roman" w:hAnsi="Times New Roman"/>
          <w:sz w:val="24"/>
        </w:rPr>
        <w:t xml:space="preserve"> a genuine diplomatic breakthrough. Iran's own Foreign Minister described a historic agreement as "within reach." Less than twenty-four hours later, the United States and Israel launched nearly 900 strikes in the opening twelve hours of coordinated military operations against Iran (Britannica, 2026; GlobalSecurity.org, 2026).</w:t>
      </w:r>
    </w:p>
    <w:p w14:paraId="04A7D51E" w14:textId="77777777" w:rsidR="0066149A" w:rsidRDefault="00000000" w:rsidP="003F4629">
      <w:pPr>
        <w:spacing w:after="0" w:line="360" w:lineRule="auto"/>
        <w:jc w:val="both"/>
      </w:pPr>
      <w:r>
        <w:rPr>
          <w:rFonts w:ascii="Times New Roman" w:hAnsi="Times New Roman"/>
          <w:sz w:val="24"/>
        </w:rPr>
        <w:t>Operations Epic Fury (US) and Lion's Roar (Israel) were not a response to diplomatic failure; they were a decision to abort diplomacy at its most promising moment. Supreme Leader Ali Khamenei was killed in the opening strikes. Iran retaliated with over 500 ballistic missiles and approximately 2,000 drones across nine countries (Al Jazeera, 2026a). By the time the smoke cleared, Dubai International Airport had suspended operations, Brent crude had surged more than 25%, and Thailand's stock exchange had halted trading after an 8% freefall (Bloomberg (2026a); The Diplomat (2026a)).</w:t>
      </w:r>
    </w:p>
    <w:p w14:paraId="0D01698B" w14:textId="768F9062" w:rsidR="00550022" w:rsidRPr="00550022" w:rsidRDefault="00550022" w:rsidP="003F4629">
      <w:pPr>
        <w:spacing w:before="40" w:after="0" w:line="360" w:lineRule="auto"/>
        <w:jc w:val="both"/>
      </w:pPr>
      <w:r>
        <w:rPr>
          <w:rFonts w:ascii="Times New Roman" w:hAnsi="Times New Roman"/>
          <w:sz w:val="24"/>
        </w:rPr>
        <w:t>The ASEAN Foreign Ministers' Statement of 4 March 2026 expressed "serious concern over the escalation of conflict in the Middle East following the attacks initiated by Israel and the United States" (ASEAN, 2026). For an organization that has avoided attributing responsibility in great-power disputes for six decades, this language is extraordinary, reached by consensus, meaning every ASEAN foreign minister endorsed it. The statement characterized the escalation as "particularly regrettable as it occurred amid ongoing diplomatic efforts, including mediation initiatives led by Oman" (ASEAN, 2026), implicitly aligning with Oman's and Iran's accounts of events.</w:t>
      </w:r>
    </w:p>
    <w:p w14:paraId="35A77FD2" w14:textId="6DEBE01B" w:rsidR="0066149A" w:rsidRDefault="00000000" w:rsidP="003F4629">
      <w:pPr>
        <w:spacing w:after="0" w:line="360" w:lineRule="auto"/>
        <w:jc w:val="both"/>
      </w:pPr>
      <w:r>
        <w:rPr>
          <w:rFonts w:ascii="Times New Roman" w:hAnsi="Times New Roman"/>
          <w:sz w:val="24"/>
        </w:rPr>
        <w:t>The 2026 Iran war raises questions that existing frameworks struggle to answer. How do small and middle powers respond to sudden, catastrophic systemic shocks that compress decision time to hours? What happens when the political costs of hedging's studied ambiguity become untenable overnight? What does ASEAN's collective response reveal about regional order in a world where American hegemony is visibly in retreat?</w:t>
      </w:r>
    </w:p>
    <w:p w14:paraId="75DF5D4C" w14:textId="6DA2ECF8" w:rsidR="0066149A" w:rsidRPr="00F53859" w:rsidRDefault="00000000" w:rsidP="003F4629">
      <w:pPr>
        <w:spacing w:after="0" w:line="360" w:lineRule="auto"/>
        <w:jc w:val="both"/>
        <w:rPr>
          <w:rFonts w:ascii="Times New Roman" w:hAnsi="Times New Roman"/>
          <w:sz w:val="24"/>
        </w:rPr>
      </w:pPr>
      <w:r>
        <w:rPr>
          <w:rFonts w:ascii="Times New Roman" w:hAnsi="Times New Roman"/>
          <w:sz w:val="24"/>
        </w:rPr>
        <w:t xml:space="preserve">This paper addresses three questions: whether the 2026 Iran war constitutes a "systemic rupture event" </w:t>
      </w:r>
      <w:r w:rsidR="00C437ED">
        <w:rPr>
          <w:rFonts w:ascii="Times New Roman" w:hAnsi="Times New Roman"/>
          <w:sz w:val="24"/>
        </w:rPr>
        <w:t>that generates imperatives that existing frameworks cannot capture; how ASEAN states responded;</w:t>
      </w:r>
      <w:r>
        <w:rPr>
          <w:rFonts w:ascii="Times New Roman" w:hAnsi="Times New Roman"/>
          <w:sz w:val="24"/>
        </w:rPr>
        <w:t xml:space="preserve"> whether their responses constitute a theoretically coherent mode of adaptation; and what the implications are for hedging theory and hegemonic transition </w:t>
      </w:r>
      <w:r>
        <w:rPr>
          <w:rFonts w:ascii="Times New Roman" w:hAnsi="Times New Roman"/>
          <w:sz w:val="24"/>
        </w:rPr>
        <w:lastRenderedPageBreak/>
        <w:t>in the Indo-Pacific. Section 2 reviews relevant literature; Section 3 develops the theoretical framework; Sections 4–5 present research design and findings; Sections 6–7 discuss implications and conclude.</w:t>
      </w:r>
    </w:p>
    <w:p w14:paraId="150B2DCA" w14:textId="77777777" w:rsidR="0066149A" w:rsidRDefault="00000000" w:rsidP="003F4629">
      <w:pPr>
        <w:pStyle w:val="Heading1"/>
        <w:spacing w:line="360" w:lineRule="auto"/>
      </w:pPr>
      <w:r>
        <w:t>2. Literature Review</w:t>
      </w:r>
    </w:p>
    <w:p w14:paraId="68E8578D" w14:textId="77777777" w:rsidR="0066149A" w:rsidRDefault="00000000" w:rsidP="003F4629">
      <w:pPr>
        <w:spacing w:before="200" w:after="0" w:line="360" w:lineRule="auto"/>
        <w:jc w:val="both"/>
      </w:pPr>
      <w:r>
        <w:rPr>
          <w:rFonts w:ascii="Times New Roman" w:hAnsi="Times New Roman"/>
          <w:b/>
          <w:i/>
          <w:sz w:val="24"/>
        </w:rPr>
        <w:t>2.1 Hegemonic Stability Theory and Its Discontents</w:t>
      </w:r>
    </w:p>
    <w:p w14:paraId="3473ACC4" w14:textId="77777777" w:rsidR="0066149A" w:rsidRDefault="00000000" w:rsidP="003F4629">
      <w:pPr>
        <w:spacing w:after="0" w:line="360" w:lineRule="auto"/>
        <w:jc w:val="both"/>
      </w:pPr>
      <w:r>
        <w:rPr>
          <w:rFonts w:ascii="Times New Roman" w:hAnsi="Times New Roman"/>
          <w:sz w:val="24"/>
        </w:rPr>
        <w:t>Hegemonic Stability Theory provides the structural backdrop for this analysis. Kindleberger (1973) and Gilpin (1981) established the core proposition: stable international orders require a dominant power willing and able to supply collective goods that self-interested states would otherwise underprovide. Ikenberry (2011) argued that the US-led liberal order proved durable precisely because it operated through legitimate institutional frameworks, generating voluntary compliance even from resistant states.</w:t>
      </w:r>
    </w:p>
    <w:p w14:paraId="54B7AE4C" w14:textId="6DD02092" w:rsidR="0066149A" w:rsidRDefault="00000000" w:rsidP="003F4629">
      <w:pPr>
        <w:spacing w:after="0" w:line="360" w:lineRule="auto"/>
        <w:jc w:val="both"/>
      </w:pPr>
      <w:r>
        <w:rPr>
          <w:rFonts w:ascii="Times New Roman" w:hAnsi="Times New Roman"/>
          <w:sz w:val="24"/>
        </w:rPr>
        <w:t xml:space="preserve">Mearsheimer (2001), Mearsheimer (2014), and Mearsheimer (2019) remained unpersuaded: American hegemony rests ultimately on coercive capacity, and its erosion will be disorderly. The 2026 Iran war constitutes a critical test. The deliberate </w:t>
      </w:r>
      <w:r w:rsidR="003F4629">
        <w:rPr>
          <w:rFonts w:ascii="Times New Roman" w:hAnsi="Times New Roman"/>
          <w:sz w:val="24"/>
        </w:rPr>
        <w:t xml:space="preserve">abandonment of nuclear negotiations generates legitimacy costs consistent with Ikenberry's predictions, yet simultaneously reveals the coercive logic Mearsheimer anticipated, </w:t>
      </w:r>
      <w:r>
        <w:rPr>
          <w:rFonts w:ascii="Times New Roman" w:hAnsi="Times New Roman"/>
          <w:sz w:val="24"/>
        </w:rPr>
        <w:t>and the ASEAN evidence points more strongly toward the latter reading. Norrlof (2014) demonstrates that dollar hegemony's erosion follows a distinct logic from military decline; Nexon (2025) argues structural power in a multipolar era operates through relational rather than positional mechanisms; and Walt (1987) anticipates the counter-coalition dynamics the Iran war accelerated.</w:t>
      </w:r>
    </w:p>
    <w:p w14:paraId="25A6844F" w14:textId="77777777" w:rsidR="0066149A" w:rsidRDefault="00000000" w:rsidP="003F4629">
      <w:pPr>
        <w:spacing w:before="200" w:after="0" w:line="360" w:lineRule="auto"/>
        <w:jc w:val="both"/>
      </w:pPr>
      <w:r>
        <w:rPr>
          <w:rFonts w:ascii="Times New Roman" w:hAnsi="Times New Roman"/>
          <w:b/>
          <w:i/>
          <w:sz w:val="24"/>
        </w:rPr>
        <w:t>2.2 Strategic Hedging in Southeast Asia: Achievements and Limits</w:t>
      </w:r>
    </w:p>
    <w:p w14:paraId="002E975B" w14:textId="77777777" w:rsidR="0066149A" w:rsidRDefault="00000000" w:rsidP="003F4629">
      <w:pPr>
        <w:spacing w:after="0" w:line="360" w:lineRule="auto"/>
        <w:jc w:val="both"/>
      </w:pPr>
      <w:r>
        <w:rPr>
          <w:rFonts w:ascii="Times New Roman" w:hAnsi="Times New Roman"/>
          <w:sz w:val="24"/>
        </w:rPr>
        <w:t xml:space="preserve">The hedging literature has been one of the most productive research programs in Southeast Asian studies. Goh (2005) and Goh (2007) characterized ASEAN hedging as "enmeshment"; Kuik (2008), Kuik (2016), Kuik (2021), and Kuik (2023) refined and extended this framework to address riskification dynamics; and Marston (2024) operationalized a neoclassical realist approach. He and Feng (2023) argue that deepening US-China competition is forcing harder choices that conventional frameworks cannot </w:t>
      </w:r>
      <w:r>
        <w:rPr>
          <w:rFonts w:ascii="Times New Roman" w:hAnsi="Times New Roman"/>
          <w:sz w:val="24"/>
        </w:rPr>
        <w:lastRenderedPageBreak/>
        <w:t>navigate; Lim and Cooper (2015) and Haacke (2019) raised related questions about hedging's sustainability under intensifying competition.</w:t>
      </w:r>
    </w:p>
    <w:p w14:paraId="16712A92" w14:textId="31239756" w:rsidR="0066149A" w:rsidRDefault="00000000" w:rsidP="003F4629">
      <w:pPr>
        <w:spacing w:after="0" w:line="360" w:lineRule="auto"/>
        <w:jc w:val="both"/>
      </w:pPr>
      <w:r>
        <w:rPr>
          <w:rFonts w:ascii="Times New Roman" w:hAnsi="Times New Roman"/>
          <w:sz w:val="24"/>
        </w:rPr>
        <w:t xml:space="preserve">something qualitatively different from hedging was demanded. Jones and Jenne (2022) anticipate this precisely: as great power competition intensifies, the room for ASEAN's ambiguous </w:t>
      </w:r>
      <w:r w:rsidR="003F4629">
        <w:rPr>
          <w:rFonts w:ascii="Times New Roman" w:hAnsi="Times New Roman"/>
          <w:sz w:val="24"/>
        </w:rPr>
        <w:t>maneuvering</w:t>
      </w:r>
      <w:r>
        <w:rPr>
          <w:rFonts w:ascii="Times New Roman" w:hAnsi="Times New Roman"/>
          <w:sz w:val="24"/>
        </w:rPr>
        <w:t xml:space="preserve"> becomes ever more constrained. Kuik and Tso (2022) demonstrate that institutional hedging faces structural limits under acute systemic pressure, while Strangio (2020) and ISEAS-Yusof Ishak Institute (2024) document the structural vulnerabilities preceding the 2026 rupture.</w:t>
      </w:r>
    </w:p>
    <w:p w14:paraId="0E7AD279" w14:textId="77777777" w:rsidR="0066149A" w:rsidRDefault="00000000" w:rsidP="003F4629">
      <w:pPr>
        <w:spacing w:before="200" w:after="0" w:line="360" w:lineRule="auto"/>
        <w:jc w:val="both"/>
      </w:pPr>
      <w:r>
        <w:rPr>
          <w:rFonts w:ascii="Times New Roman" w:hAnsi="Times New Roman"/>
          <w:b/>
          <w:i/>
          <w:sz w:val="24"/>
        </w:rPr>
        <w:t>2.3 ASEAN Structural Vulnerabilities: Energy and Labor</w:t>
      </w:r>
    </w:p>
    <w:p w14:paraId="18E92CFB" w14:textId="01BA7A6E" w:rsidR="0066149A" w:rsidRDefault="00000000" w:rsidP="003F4629">
      <w:pPr>
        <w:spacing w:after="0" w:line="360" w:lineRule="auto"/>
        <w:jc w:val="both"/>
      </w:pPr>
      <w:r>
        <w:rPr>
          <w:rFonts w:ascii="Times New Roman" w:hAnsi="Times New Roman"/>
          <w:sz w:val="24"/>
        </w:rPr>
        <w:t>Two structural vulnerabilities constrain ASEAN states in Middle Eastern crises. Approximately 80% of Strait of Hormuz oil flows to Asia; Southeast Asian states are among the most exposed, given limited domestic production (Kpler, 2026a; Eco-Business, 2026). Hirschman's (1980) "influence effect" operates here with full force. Migrant labor constitutes the second dimension: some 4 million Southeast Asian workers reside in Gulf states, including over 110,000 Thai nationals concentrated largely in Israel (Mai &amp; Poling, 2026)</w:t>
      </w:r>
      <w:r w:rsidR="00D75E08">
        <w:rPr>
          <w:rFonts w:ascii="Times New Roman" w:hAnsi="Times New Roman"/>
          <w:sz w:val="24"/>
        </w:rPr>
        <w:t>,</w:t>
      </w:r>
      <w:r>
        <w:rPr>
          <w:rFonts w:ascii="Times New Roman" w:hAnsi="Times New Roman"/>
          <w:sz w:val="24"/>
        </w:rPr>
        <w:t xml:space="preserve"> a domestic political concern no government can manage through strategic silence.</w:t>
      </w:r>
    </w:p>
    <w:p w14:paraId="446F479F" w14:textId="77777777" w:rsidR="0066149A" w:rsidRDefault="00000000" w:rsidP="003F4629">
      <w:pPr>
        <w:pStyle w:val="Heading1"/>
        <w:spacing w:line="360" w:lineRule="auto"/>
      </w:pPr>
      <w:r>
        <w:t>3. Theoretical Framework</w:t>
      </w:r>
    </w:p>
    <w:p w14:paraId="7C1B71C3" w14:textId="77777777" w:rsidR="0066149A" w:rsidRDefault="00000000" w:rsidP="003F4629">
      <w:pPr>
        <w:spacing w:before="200" w:after="0" w:line="360" w:lineRule="auto"/>
        <w:jc w:val="both"/>
      </w:pPr>
      <w:r>
        <w:rPr>
          <w:rFonts w:ascii="Times New Roman" w:hAnsi="Times New Roman"/>
          <w:b/>
          <w:i/>
          <w:sz w:val="24"/>
        </w:rPr>
        <w:t>3.1 Systemic Rupture Events</w:t>
      </w:r>
    </w:p>
    <w:p w14:paraId="43E83170" w14:textId="77777777" w:rsidR="0066149A" w:rsidRDefault="00000000" w:rsidP="003F4629">
      <w:pPr>
        <w:spacing w:after="0" w:line="360" w:lineRule="auto"/>
        <w:jc w:val="both"/>
      </w:pPr>
      <w:r>
        <w:rPr>
          <w:rFonts w:ascii="Times New Roman" w:hAnsi="Times New Roman"/>
          <w:sz w:val="24"/>
        </w:rPr>
        <w:t>Not all crises are equal. Some international disruptions are absorbable within existing frameworks; others rupture the structural conditions those strategies presuppose. We term these "systemic rupture events" and define them by three features: multi-domain simultaneity (normative, economic, and security disruptions landing together and amplifying each other); irreversibility of legitimacy damage (normative authority shattered by systemic rupture cannot be rebuilt by subsequent repair); and compression of decision-making time. The US-Israeli operations of 28 February 2026 satisfy all three conditions.</w:t>
      </w:r>
    </w:p>
    <w:p w14:paraId="3DBD693C" w14:textId="78DBA88A" w:rsidR="0066149A" w:rsidRDefault="00000000" w:rsidP="003F4629">
      <w:pPr>
        <w:spacing w:after="0" w:line="360" w:lineRule="auto"/>
        <w:jc w:val="both"/>
      </w:pPr>
      <w:r>
        <w:rPr>
          <w:rFonts w:ascii="Times New Roman" w:hAnsi="Times New Roman"/>
          <w:sz w:val="24"/>
        </w:rPr>
        <w:t xml:space="preserve">The concept departs from existing treatments. Taleb's (2007) "black swan" captures unpredictability but not structural </w:t>
      </w:r>
      <w:r w:rsidR="00C437ED">
        <w:rPr>
          <w:rFonts w:ascii="Times New Roman" w:hAnsi="Times New Roman"/>
          <w:sz w:val="24"/>
        </w:rPr>
        <w:t>mechanisms</w:t>
      </w:r>
      <w:r>
        <w:rPr>
          <w:rFonts w:ascii="Times New Roman" w:hAnsi="Times New Roman"/>
          <w:sz w:val="24"/>
        </w:rPr>
        <w:t xml:space="preserve">. Rose's (1998) neoclassical realism addresses domestic transmission of structural pressures but not their temporal compression. Organski and Kugler's (1980) power transition theory treats hegemonic instability as </w:t>
      </w:r>
      <w:r>
        <w:rPr>
          <w:rFonts w:ascii="Times New Roman" w:hAnsi="Times New Roman"/>
          <w:sz w:val="24"/>
        </w:rPr>
        <w:lastRenderedPageBreak/>
        <w:t>gradual. Systemic rupture events add the recognition that hegemonic transitions can be punctuated by discrete, threshold-crossing occurrences that alter structural trajectories discontinuously. Drawing on Waltz's (1979) structural realism, this paper treats the distribution of capabilities as the primary determinant of state behavior under systemic pressure.</w:t>
      </w:r>
    </w:p>
    <w:p w14:paraId="267AEA94" w14:textId="77777777" w:rsidR="0066149A" w:rsidRDefault="00000000" w:rsidP="003F4629">
      <w:pPr>
        <w:spacing w:before="200" w:after="0" w:line="360" w:lineRule="auto"/>
        <w:jc w:val="both"/>
      </w:pPr>
      <w:r>
        <w:rPr>
          <w:rFonts w:ascii="Times New Roman" w:hAnsi="Times New Roman"/>
          <w:b/>
          <w:i/>
          <w:sz w:val="24"/>
        </w:rPr>
        <w:t>3.2 The Polarity Accelerant Function</w:t>
      </w:r>
    </w:p>
    <w:p w14:paraId="54860A0E" w14:textId="4AA6D9F3" w:rsidR="0066149A" w:rsidRDefault="00000000" w:rsidP="003F4629">
      <w:pPr>
        <w:spacing w:after="0" w:line="360" w:lineRule="auto"/>
        <w:jc w:val="both"/>
      </w:pPr>
      <w:r>
        <w:rPr>
          <w:rFonts w:ascii="Times New Roman" w:hAnsi="Times New Roman"/>
          <w:sz w:val="24"/>
        </w:rPr>
        <w:t>Operations Epic Fury and Lion's Roar function as a "polarity accelerant" through three mechanisms. First, legitimacy transfer: by aborting viable diplomacy and assassinating a head of state during ongoing negotiations, the United States transferred normative legitimacy to China and Russia</w:t>
      </w:r>
      <w:r w:rsidR="00C437ED">
        <w:rPr>
          <w:rFonts w:ascii="Times New Roman" w:hAnsi="Times New Roman"/>
          <w:sz w:val="24"/>
        </w:rPr>
        <w:t>,</w:t>
      </w:r>
      <w:r>
        <w:rPr>
          <w:rFonts w:ascii="Times New Roman" w:hAnsi="Times New Roman"/>
          <w:sz w:val="24"/>
        </w:rPr>
        <w:t xml:space="preserve"> and when condemnation from states with coercive records is widely received as credible, something structural has shifted. Second, counter-coalition incentivization: the operations lowered barriers for Global South states </w:t>
      </w:r>
      <w:r w:rsidR="00C437ED">
        <w:rPr>
          <w:rFonts w:ascii="Times New Roman" w:hAnsi="Times New Roman"/>
          <w:sz w:val="24"/>
        </w:rPr>
        <w:t xml:space="preserve">that previously considered open anti-hegemonic positioning </w:t>
      </w:r>
      <w:r>
        <w:rPr>
          <w:rFonts w:ascii="Times New Roman" w:hAnsi="Times New Roman"/>
          <w:sz w:val="24"/>
        </w:rPr>
        <w:t>too risky. Third, credibility erosion: the 30% reduction in US South China Sea reconnaissance sorties (Mai &amp; Poling, 2026) gave observable form to what ASEAN governments had long suspected about American Indo-Pacific commitments.</w:t>
      </w:r>
    </w:p>
    <w:p w14:paraId="353C9035" w14:textId="77777777" w:rsidR="0066149A" w:rsidRDefault="00000000" w:rsidP="003F4629">
      <w:pPr>
        <w:spacing w:before="200" w:after="0" w:line="360" w:lineRule="auto"/>
        <w:jc w:val="both"/>
      </w:pPr>
      <w:r>
        <w:rPr>
          <w:rFonts w:ascii="Times New Roman" w:hAnsi="Times New Roman"/>
          <w:b/>
          <w:i/>
          <w:sz w:val="24"/>
        </w:rPr>
        <w:t>3.3 Survivalist Realignment</w:t>
      </w:r>
    </w:p>
    <w:p w14:paraId="6F7501EA" w14:textId="370D5B10" w:rsidR="0066149A" w:rsidRDefault="00000000" w:rsidP="003F4629">
      <w:pPr>
        <w:spacing w:after="0" w:line="360" w:lineRule="auto"/>
        <w:jc w:val="both"/>
      </w:pPr>
      <w:r>
        <w:rPr>
          <w:rFonts w:ascii="Times New Roman" w:hAnsi="Times New Roman"/>
          <w:sz w:val="24"/>
        </w:rPr>
        <w:t>We introduce "survivalist realignment" as a theoretically distinct mode of foreign policy adaptation differing from conventional hedging along four axes: (1) necessity-driven motivation rather than strategic opportunity; (2) collective institutional frameworks as the primary unit of action; (3) selective de-risking from hegemonic dependencies through supply and financial diversification; and (4) explicit normative distancing from the declining hegemon's unilateral actions the clearest departure from hedging's studied ambiguity.</w:t>
      </w:r>
    </w:p>
    <w:p w14:paraId="76D764D7" w14:textId="77777777" w:rsidR="0066149A" w:rsidRDefault="00000000" w:rsidP="003F4629">
      <w:pPr>
        <w:spacing w:after="0" w:line="360" w:lineRule="auto"/>
        <w:jc w:val="both"/>
      </w:pPr>
      <w:r>
        <w:rPr>
          <w:rFonts w:ascii="Times New Roman" w:hAnsi="Times New Roman"/>
          <w:sz w:val="24"/>
        </w:rPr>
        <w:t>Four analytical propositions follow. P1: The 2026 Iran war activates all three polarity accelerant mechanisms simultaneously. P2: Acute energy vulnerability drives ASEAN recalibration beyond conventional hedging postures. P3: Migrant worker crises generate domestic pressure that overrides strategic ambiguity preferences. P4: ASEAN state responses exhibit all four survivalist realignment characteristics, with state-level variation shaped by energy profile, domestic politics, and institutional positioning (see Figure 1).</w:t>
      </w:r>
    </w:p>
    <w:p w14:paraId="40448F9B" w14:textId="77777777" w:rsidR="0066149A" w:rsidRDefault="00000000" w:rsidP="003F4629">
      <w:pPr>
        <w:spacing w:before="160" w:after="0" w:line="360" w:lineRule="auto"/>
        <w:jc w:val="center"/>
      </w:pPr>
      <w:r>
        <w:rPr>
          <w:rFonts w:ascii="Times New Roman" w:hAnsi="Times New Roman"/>
          <w:b/>
        </w:rPr>
        <w:lastRenderedPageBreak/>
        <w:t>Figure 1.</w:t>
      </w:r>
      <w:r>
        <w:rPr>
          <w:rFonts w:ascii="Times New Roman" w:hAnsi="Times New Roman"/>
          <w:i/>
        </w:rPr>
        <w:t xml:space="preserve"> Survivalist realignment framework: causal pathway from systemic rupture to foreign policy adaptation with moderating variables.</w:t>
      </w:r>
    </w:p>
    <w:tbl>
      <w:tblPr>
        <w:tblStyle w:val="TableGrid"/>
        <w:tblW w:w="0" w:type="auto"/>
        <w:jc w:val="center"/>
        <w:tblLook w:val="04A0" w:firstRow="1" w:lastRow="0" w:firstColumn="1" w:lastColumn="0" w:noHBand="0" w:noVBand="1"/>
      </w:tblPr>
      <w:tblGrid>
        <w:gridCol w:w="1701"/>
        <w:gridCol w:w="396"/>
        <w:gridCol w:w="1701"/>
        <w:gridCol w:w="396"/>
        <w:gridCol w:w="1701"/>
      </w:tblGrid>
      <w:tr w:rsidR="0066149A" w14:paraId="6D8735BC" w14:textId="77777777">
        <w:trPr>
          <w:jc w:val="center"/>
        </w:trPr>
        <w:tc>
          <w:tcPr>
            <w:tcW w:w="1701" w:type="dxa"/>
            <w:tcBorders>
              <w:top w:val="single" w:sz="4" w:space="0" w:color="4A4A4A"/>
              <w:left w:val="single" w:sz="4" w:space="0" w:color="4A4A4A"/>
              <w:bottom w:val="single" w:sz="4" w:space="0" w:color="4A4A4A"/>
              <w:right w:val="single" w:sz="4" w:space="0" w:color="4A4A4A"/>
            </w:tcBorders>
            <w:shd w:val="clear" w:color="auto" w:fill="D6E4F0"/>
          </w:tcPr>
          <w:p w14:paraId="2145FEC2" w14:textId="77777777" w:rsidR="0066149A" w:rsidRDefault="00000000" w:rsidP="003F4629">
            <w:pPr>
              <w:spacing w:before="60" w:line="360" w:lineRule="auto"/>
            </w:pPr>
            <w:r>
              <w:rPr>
                <w:rFonts w:ascii="Times New Roman" w:hAnsi="Times New Roman"/>
                <w:b/>
                <w:sz w:val="18"/>
              </w:rPr>
              <w:t>Systemic Rupture Event</w:t>
            </w:r>
            <w:r>
              <w:rPr>
                <w:rFonts w:ascii="Times New Roman" w:hAnsi="Times New Roman"/>
                <w:b/>
                <w:sz w:val="18"/>
              </w:rPr>
              <w:br/>
              <w:t>(28 Feb 2026)</w:t>
            </w:r>
          </w:p>
        </w:tc>
        <w:tc>
          <w:tcPr>
            <w:tcW w:w="340" w:type="dxa"/>
            <w:shd w:val="clear" w:color="auto" w:fill="FFFFFF"/>
          </w:tcPr>
          <w:p w14:paraId="154B1CF7" w14:textId="77777777" w:rsidR="0066149A" w:rsidRDefault="00000000" w:rsidP="003F4629">
            <w:pPr>
              <w:spacing w:before="60" w:line="360" w:lineRule="auto"/>
            </w:pPr>
            <w:r>
              <w:rPr>
                <w:rFonts w:ascii="Times New Roman" w:hAnsi="Times New Roman"/>
                <w:sz w:val="18"/>
              </w:rPr>
              <w:t>→</w:t>
            </w:r>
          </w:p>
        </w:tc>
        <w:tc>
          <w:tcPr>
            <w:tcW w:w="1701" w:type="dxa"/>
            <w:tcBorders>
              <w:top w:val="single" w:sz="4" w:space="0" w:color="4A4A4A"/>
              <w:left w:val="single" w:sz="4" w:space="0" w:color="4A4A4A"/>
              <w:bottom w:val="single" w:sz="4" w:space="0" w:color="4A4A4A"/>
              <w:right w:val="single" w:sz="4" w:space="0" w:color="4A4A4A"/>
            </w:tcBorders>
            <w:shd w:val="clear" w:color="auto" w:fill="D6ECD2"/>
          </w:tcPr>
          <w:p w14:paraId="7DA2E3F4" w14:textId="77777777" w:rsidR="0066149A" w:rsidRDefault="00000000" w:rsidP="003F4629">
            <w:pPr>
              <w:spacing w:before="60" w:line="360" w:lineRule="auto"/>
            </w:pPr>
            <w:r>
              <w:rPr>
                <w:rFonts w:ascii="Times New Roman" w:hAnsi="Times New Roman"/>
                <w:b/>
                <w:sz w:val="18"/>
              </w:rPr>
              <w:t>Polarity Accelerant</w:t>
            </w:r>
            <w:r>
              <w:rPr>
                <w:rFonts w:ascii="Times New Roman" w:hAnsi="Times New Roman"/>
                <w:b/>
                <w:sz w:val="18"/>
              </w:rPr>
              <w:br/>
              <w:t>Mechanisms (P1)</w:t>
            </w:r>
          </w:p>
        </w:tc>
        <w:tc>
          <w:tcPr>
            <w:tcW w:w="340" w:type="dxa"/>
            <w:shd w:val="clear" w:color="auto" w:fill="FFFFFF"/>
          </w:tcPr>
          <w:p w14:paraId="6D0FF8A1" w14:textId="77777777" w:rsidR="0066149A" w:rsidRDefault="00000000" w:rsidP="003F4629">
            <w:pPr>
              <w:spacing w:before="60" w:line="360" w:lineRule="auto"/>
            </w:pPr>
            <w:r>
              <w:rPr>
                <w:rFonts w:ascii="Times New Roman" w:hAnsi="Times New Roman"/>
                <w:sz w:val="18"/>
              </w:rPr>
              <w:t>→</w:t>
            </w:r>
          </w:p>
        </w:tc>
        <w:tc>
          <w:tcPr>
            <w:tcW w:w="1701" w:type="dxa"/>
            <w:tcBorders>
              <w:top w:val="single" w:sz="4" w:space="0" w:color="4A4A4A"/>
              <w:left w:val="single" w:sz="4" w:space="0" w:color="4A4A4A"/>
              <w:bottom w:val="single" w:sz="4" w:space="0" w:color="4A4A4A"/>
              <w:right w:val="single" w:sz="4" w:space="0" w:color="4A4A4A"/>
            </w:tcBorders>
            <w:shd w:val="clear" w:color="auto" w:fill="FAE5D3"/>
          </w:tcPr>
          <w:p w14:paraId="18C23565" w14:textId="77777777" w:rsidR="0066149A" w:rsidRDefault="00000000" w:rsidP="003F4629">
            <w:pPr>
              <w:spacing w:before="60" w:line="360" w:lineRule="auto"/>
            </w:pPr>
            <w:r>
              <w:rPr>
                <w:rFonts w:ascii="Times New Roman" w:hAnsi="Times New Roman"/>
                <w:b/>
                <w:sz w:val="18"/>
              </w:rPr>
              <w:t>Survivalist</w:t>
            </w:r>
            <w:r>
              <w:rPr>
                <w:rFonts w:ascii="Times New Roman" w:hAnsi="Times New Roman"/>
                <w:b/>
                <w:sz w:val="18"/>
              </w:rPr>
              <w:br/>
              <w:t>Realignment (P4)</w:t>
            </w:r>
          </w:p>
        </w:tc>
      </w:tr>
      <w:tr w:rsidR="0066149A" w14:paraId="1614E34C" w14:textId="77777777">
        <w:trPr>
          <w:jc w:val="center"/>
        </w:trPr>
        <w:tc>
          <w:tcPr>
            <w:tcW w:w="1701" w:type="dxa"/>
            <w:tcBorders>
              <w:top w:val="single" w:sz="4" w:space="0" w:color="4A4A4A"/>
              <w:left w:val="single" w:sz="4" w:space="0" w:color="4A4A4A"/>
              <w:bottom w:val="single" w:sz="4" w:space="0" w:color="4A4A4A"/>
              <w:right w:val="single" w:sz="4" w:space="0" w:color="4A4A4A"/>
            </w:tcBorders>
            <w:shd w:val="clear" w:color="auto" w:fill="EBD5F5"/>
          </w:tcPr>
          <w:p w14:paraId="77256986" w14:textId="77777777" w:rsidR="0066149A" w:rsidRDefault="00000000" w:rsidP="003F4629">
            <w:pPr>
              <w:spacing w:before="60" w:line="360" w:lineRule="auto"/>
            </w:pPr>
            <w:r>
              <w:rPr>
                <w:rFonts w:ascii="Times New Roman" w:hAnsi="Times New Roman"/>
                <w:b/>
                <w:sz w:val="18"/>
              </w:rPr>
              <w:t>Economic &amp; Social</w:t>
            </w:r>
            <w:r>
              <w:rPr>
                <w:rFonts w:ascii="Times New Roman" w:hAnsi="Times New Roman"/>
                <w:b/>
                <w:sz w:val="18"/>
              </w:rPr>
              <w:br/>
              <w:t>Compellents (P2, P3)</w:t>
            </w:r>
          </w:p>
        </w:tc>
        <w:tc>
          <w:tcPr>
            <w:tcW w:w="340" w:type="dxa"/>
            <w:shd w:val="clear" w:color="auto" w:fill="FFFFFF"/>
          </w:tcPr>
          <w:p w14:paraId="714E402C" w14:textId="77777777" w:rsidR="0066149A" w:rsidRDefault="00000000" w:rsidP="003F4629">
            <w:pPr>
              <w:spacing w:before="60" w:line="360" w:lineRule="auto"/>
            </w:pPr>
            <w:r>
              <w:rPr>
                <w:rFonts w:ascii="Times New Roman" w:hAnsi="Times New Roman"/>
                <w:sz w:val="18"/>
              </w:rPr>
              <w:t>→</w:t>
            </w:r>
          </w:p>
        </w:tc>
        <w:tc>
          <w:tcPr>
            <w:tcW w:w="1701" w:type="dxa"/>
            <w:tcBorders>
              <w:top w:val="single" w:sz="4" w:space="0" w:color="4A4A4A"/>
              <w:left w:val="single" w:sz="4" w:space="0" w:color="4A4A4A"/>
              <w:bottom w:val="single" w:sz="4" w:space="0" w:color="4A4A4A"/>
              <w:right w:val="single" w:sz="4" w:space="0" w:color="4A4A4A"/>
            </w:tcBorders>
            <w:shd w:val="clear" w:color="auto" w:fill="FEF9E7"/>
          </w:tcPr>
          <w:p w14:paraId="6200D9FC" w14:textId="77777777" w:rsidR="0066149A" w:rsidRDefault="00000000" w:rsidP="003F4629">
            <w:pPr>
              <w:spacing w:before="60" w:line="360" w:lineRule="auto"/>
            </w:pPr>
            <w:r>
              <w:rPr>
                <w:rFonts w:ascii="Times New Roman" w:hAnsi="Times New Roman"/>
                <w:b/>
                <w:sz w:val="18"/>
              </w:rPr>
              <w:t>Moderating Variables:</w:t>
            </w:r>
            <w:r>
              <w:rPr>
                <w:rFonts w:ascii="Times New Roman" w:hAnsi="Times New Roman"/>
                <w:b/>
                <w:sz w:val="18"/>
              </w:rPr>
              <w:br/>
              <w:t>Energy · Politics</w:t>
            </w:r>
            <w:r>
              <w:rPr>
                <w:rFonts w:ascii="Times New Roman" w:hAnsi="Times New Roman"/>
                <w:b/>
                <w:sz w:val="18"/>
              </w:rPr>
              <w:br/>
              <w:t>Institutions</w:t>
            </w:r>
          </w:p>
        </w:tc>
        <w:tc>
          <w:tcPr>
            <w:tcW w:w="340" w:type="dxa"/>
            <w:shd w:val="clear" w:color="auto" w:fill="FFFFFF"/>
          </w:tcPr>
          <w:p w14:paraId="55B77814" w14:textId="77777777" w:rsidR="0066149A" w:rsidRDefault="00000000" w:rsidP="003F4629">
            <w:pPr>
              <w:spacing w:before="60" w:line="360" w:lineRule="auto"/>
            </w:pPr>
            <w:r>
              <w:rPr>
                <w:rFonts w:ascii="Times New Roman" w:hAnsi="Times New Roman"/>
                <w:sz w:val="18"/>
              </w:rPr>
              <w:t>→</w:t>
            </w:r>
          </w:p>
        </w:tc>
        <w:tc>
          <w:tcPr>
            <w:tcW w:w="1701" w:type="dxa"/>
            <w:tcBorders>
              <w:top w:val="single" w:sz="4" w:space="0" w:color="4A4A4A"/>
              <w:left w:val="single" w:sz="4" w:space="0" w:color="4A4A4A"/>
              <w:bottom w:val="single" w:sz="4" w:space="0" w:color="4A4A4A"/>
              <w:right w:val="single" w:sz="4" w:space="0" w:color="4A4A4A"/>
            </w:tcBorders>
            <w:shd w:val="clear" w:color="auto" w:fill="FAE5D3"/>
          </w:tcPr>
          <w:p w14:paraId="7A8687CE" w14:textId="77777777" w:rsidR="0066149A" w:rsidRDefault="00000000" w:rsidP="003F4629">
            <w:pPr>
              <w:spacing w:before="60" w:line="360" w:lineRule="auto"/>
            </w:pPr>
            <w:r>
              <w:rPr>
                <w:rFonts w:ascii="Times New Roman" w:hAnsi="Times New Roman"/>
                <w:b/>
                <w:sz w:val="18"/>
              </w:rPr>
              <w:t>State-level intensity</w:t>
            </w:r>
            <w:r>
              <w:rPr>
                <w:rFonts w:ascii="Times New Roman" w:hAnsi="Times New Roman"/>
                <w:b/>
                <w:sz w:val="18"/>
              </w:rPr>
              <w:br/>
              <w:t>variation</w:t>
            </w:r>
          </w:p>
        </w:tc>
      </w:tr>
    </w:tbl>
    <w:p w14:paraId="3A609F05" w14:textId="77777777" w:rsidR="0066149A" w:rsidRDefault="00000000" w:rsidP="003F4629">
      <w:pPr>
        <w:spacing w:before="60" w:after="0" w:line="360" w:lineRule="auto"/>
        <w:jc w:val="center"/>
      </w:pPr>
      <w:r>
        <w:rPr>
          <w:rFonts w:ascii="Times New Roman" w:hAnsi="Times New Roman"/>
          <w:i/>
          <w:sz w:val="18"/>
        </w:rPr>
        <w:t>Note: P1–P4 = analytical propositions. Arrows indicate directional causal relationships. Moderating variables shape state-level intensity of realignment.</w:t>
      </w:r>
    </w:p>
    <w:p w14:paraId="27C15670" w14:textId="77777777" w:rsidR="0066149A" w:rsidRDefault="00000000" w:rsidP="003F4629">
      <w:pPr>
        <w:pStyle w:val="Heading1"/>
        <w:spacing w:line="360" w:lineRule="auto"/>
      </w:pPr>
      <w:r>
        <w:t>4. Research Methodology</w:t>
      </w:r>
    </w:p>
    <w:p w14:paraId="3F1DD570" w14:textId="77777777" w:rsidR="0066149A" w:rsidRDefault="00000000" w:rsidP="003F4629">
      <w:pPr>
        <w:spacing w:before="200" w:after="0" w:line="360" w:lineRule="auto"/>
      </w:pPr>
      <w:r>
        <w:rPr>
          <w:rFonts w:ascii="Times New Roman" w:hAnsi="Times New Roman"/>
          <w:b/>
          <w:i/>
          <w:sz w:val="24"/>
        </w:rPr>
        <w:t>4.1 Research Design and Case Selection</w:t>
      </w:r>
    </w:p>
    <w:p w14:paraId="7691FFDA" w14:textId="29A3C474" w:rsidR="0066149A" w:rsidRDefault="00000000" w:rsidP="003F4629">
      <w:pPr>
        <w:spacing w:after="0" w:line="360" w:lineRule="auto"/>
        <w:jc w:val="both"/>
      </w:pPr>
      <w:r>
        <w:rPr>
          <w:rFonts w:ascii="Times New Roman" w:hAnsi="Times New Roman"/>
          <w:sz w:val="24"/>
        </w:rPr>
        <w:t xml:space="preserve">This study employs a qualitative comparative case study design following structured, focused comparison (George &amp; Bennett, 2005; Gerring, 2007), with case selection following the "most similar systems" logic (Lijphart, 1971; Przeworski &amp; Teune, 1970) and causal inference standards following King, Keohane, and Verba (1994). Process tracing integration draws on Brady and Collier (2010) and Mahoney (2001). This approach enables examination of causal mechanisms </w:t>
      </w:r>
      <w:r w:rsidR="00C437ED">
        <w:rPr>
          <w:rFonts w:ascii="Times New Roman" w:hAnsi="Times New Roman"/>
          <w:sz w:val="24"/>
        </w:rPr>
        <w:t>that quantitative methods cannot capture,</w:t>
      </w:r>
      <w:r>
        <w:rPr>
          <w:rFonts w:ascii="Times New Roman" w:hAnsi="Times New Roman"/>
          <w:sz w:val="24"/>
        </w:rPr>
        <w:t xml:space="preserve"> given the recency of events, allows identification of both patterns and variation, and is epistemologically consistent with the theoretical synthesis employed (Yin, 2018).</w:t>
      </w:r>
    </w:p>
    <w:p w14:paraId="5A114A0D" w14:textId="0691E8AF" w:rsidR="0066149A" w:rsidRDefault="00000000" w:rsidP="003F4629">
      <w:pPr>
        <w:spacing w:after="0" w:line="360" w:lineRule="auto"/>
        <w:jc w:val="both"/>
      </w:pPr>
      <w:r>
        <w:rPr>
          <w:rFonts w:ascii="Times New Roman" w:hAnsi="Times New Roman"/>
          <w:sz w:val="24"/>
        </w:rPr>
        <w:t xml:space="preserve">Thailand, Indonesia, and Malaysia are selected because their differences are theoretically productive: Thailand </w:t>
      </w:r>
      <w:r w:rsidR="00550022">
        <w:rPr>
          <w:rFonts w:ascii="Times New Roman" w:hAnsi="Times New Roman"/>
          <w:sz w:val="24"/>
        </w:rPr>
        <w:t xml:space="preserve">is the most severely energy-import-exposed mainland state; Indonesia is a partial exporter with contradictory incentives; Malaysia is </w:t>
      </w:r>
      <w:r>
        <w:rPr>
          <w:rFonts w:ascii="Times New Roman" w:hAnsi="Times New Roman"/>
          <w:sz w:val="24"/>
        </w:rPr>
        <w:t>a net exporter with favorable fiscal space. Indonesia and Malaysia, as Muslim-majority states, face domestic pressure that constrains foreign policy in ways Thailand's context does not. The Philippines is excluded because its US bilateral treaty alliance introduces a structural variable absent from the other cases.</w:t>
      </w:r>
    </w:p>
    <w:p w14:paraId="6452B84D" w14:textId="77777777" w:rsidR="0066149A" w:rsidRDefault="00000000" w:rsidP="003F4629">
      <w:pPr>
        <w:spacing w:before="200" w:after="0" w:line="360" w:lineRule="auto"/>
        <w:jc w:val="both"/>
      </w:pPr>
      <w:r>
        <w:rPr>
          <w:rFonts w:ascii="Times New Roman" w:hAnsi="Times New Roman"/>
          <w:b/>
          <w:i/>
          <w:sz w:val="24"/>
        </w:rPr>
        <w:t>4.2 Data Sources and Analytical Approach</w:t>
      </w:r>
    </w:p>
    <w:p w14:paraId="54754B2C" w14:textId="77777777" w:rsidR="0066149A" w:rsidRDefault="00000000" w:rsidP="003F4629">
      <w:pPr>
        <w:spacing w:after="0" w:line="360" w:lineRule="auto"/>
        <w:jc w:val="both"/>
      </w:pPr>
      <w:r>
        <w:rPr>
          <w:rFonts w:ascii="Times New Roman" w:hAnsi="Times New Roman"/>
          <w:sz w:val="24"/>
        </w:rPr>
        <w:t xml:space="preserve">Data collection draws on official government documents; economic and financial data (Bloomberg, 2026a; Oxford Economics, 2026a; Allianz Research, 2026; Kpler, 2026a); </w:t>
      </w:r>
      <w:r>
        <w:rPr>
          <w:rFonts w:ascii="Times New Roman" w:hAnsi="Times New Roman"/>
          <w:sz w:val="24"/>
        </w:rPr>
        <w:lastRenderedPageBreak/>
        <w:t>expert analysis (Chatham House, CSIS, Yacoubian, 2026); and cross-verified media sources (Al Jazeera; Strangio, 2026a, 2026b; The Diplomat). Process tracing (Bennett &amp; Checkel, 2015; Beach &amp; Pedersen, 2013) identifies causal pathways from systemic rupture to observable foreign policy outputs, complemented by thematic analysis coded according to the four survivalist realignment characteristics (Table 1). Two limitations apply: the nine-day window captures only initial patterns, and the absence of classified deliberations limits analysis to observable outputs.</w:t>
      </w:r>
    </w:p>
    <w:p w14:paraId="32D1B1B9" w14:textId="77777777" w:rsidR="0066149A" w:rsidRDefault="00000000" w:rsidP="003F4629">
      <w:pPr>
        <w:spacing w:before="200" w:after="0" w:line="360" w:lineRule="auto"/>
      </w:pPr>
      <w:r>
        <w:rPr>
          <w:rFonts w:ascii="Times New Roman" w:hAnsi="Times New Roman"/>
          <w:b/>
        </w:rPr>
        <w:t>Table 1.</w:t>
      </w:r>
      <w:r>
        <w:rPr>
          <w:rFonts w:ascii="Times New Roman" w:hAnsi="Times New Roman"/>
          <w:i/>
        </w:rPr>
        <w:t xml:space="preserve"> Operationalization of analytical propositions</w:t>
      </w:r>
    </w:p>
    <w:tbl>
      <w:tblPr>
        <w:tblStyle w:val="TableGrid"/>
        <w:tblW w:w="0" w:type="auto"/>
        <w:jc w:val="center"/>
        <w:tblLook w:val="04A0" w:firstRow="1" w:lastRow="0" w:firstColumn="1" w:lastColumn="0" w:noHBand="0" w:noVBand="1"/>
      </w:tblPr>
      <w:tblGrid>
        <w:gridCol w:w="510"/>
        <w:gridCol w:w="1701"/>
        <w:gridCol w:w="1757"/>
        <w:gridCol w:w="1644"/>
        <w:gridCol w:w="1531"/>
      </w:tblGrid>
      <w:tr w:rsidR="0066149A" w14:paraId="48939E93" w14:textId="77777777">
        <w:trPr>
          <w:jc w:val="center"/>
        </w:trPr>
        <w:tc>
          <w:tcPr>
            <w:tcW w:w="510" w:type="dxa"/>
            <w:tcBorders>
              <w:top w:val="single" w:sz="4" w:space="0" w:color="4A4A4A"/>
              <w:left w:val="single" w:sz="4" w:space="0" w:color="4A4A4A"/>
              <w:bottom w:val="single" w:sz="4" w:space="0" w:color="4A4A4A"/>
              <w:right w:val="single" w:sz="4" w:space="0" w:color="4A4A4A"/>
            </w:tcBorders>
            <w:shd w:val="clear" w:color="auto" w:fill="2C3E50"/>
          </w:tcPr>
          <w:p w14:paraId="319BDEC6" w14:textId="77777777" w:rsidR="0066149A" w:rsidRDefault="00000000" w:rsidP="003F4629">
            <w:pPr>
              <w:spacing w:before="40" w:line="360" w:lineRule="auto"/>
            </w:pPr>
            <w:r>
              <w:rPr>
                <w:rFonts w:ascii="Times New Roman" w:hAnsi="Times New Roman"/>
                <w:b/>
                <w:color w:val="FFFFFF"/>
                <w:sz w:val="17"/>
              </w:rPr>
              <w:t>P#</w:t>
            </w:r>
          </w:p>
        </w:tc>
        <w:tc>
          <w:tcPr>
            <w:tcW w:w="1701" w:type="dxa"/>
            <w:tcBorders>
              <w:top w:val="single" w:sz="4" w:space="0" w:color="4A4A4A"/>
              <w:left w:val="single" w:sz="4" w:space="0" w:color="4A4A4A"/>
              <w:bottom w:val="single" w:sz="4" w:space="0" w:color="4A4A4A"/>
              <w:right w:val="single" w:sz="4" w:space="0" w:color="4A4A4A"/>
            </w:tcBorders>
            <w:shd w:val="clear" w:color="auto" w:fill="2C3E50"/>
          </w:tcPr>
          <w:p w14:paraId="43BE203B" w14:textId="77777777" w:rsidR="0066149A" w:rsidRDefault="00000000" w:rsidP="003F4629">
            <w:pPr>
              <w:spacing w:before="40" w:line="360" w:lineRule="auto"/>
            </w:pPr>
            <w:r>
              <w:rPr>
                <w:rFonts w:ascii="Times New Roman" w:hAnsi="Times New Roman"/>
                <w:b/>
                <w:color w:val="FFFFFF"/>
                <w:sz w:val="17"/>
              </w:rPr>
              <w:t>Analytical Proposition</w:t>
            </w:r>
          </w:p>
        </w:tc>
        <w:tc>
          <w:tcPr>
            <w:tcW w:w="1757" w:type="dxa"/>
            <w:tcBorders>
              <w:top w:val="single" w:sz="4" w:space="0" w:color="4A4A4A"/>
              <w:left w:val="single" w:sz="4" w:space="0" w:color="4A4A4A"/>
              <w:bottom w:val="single" w:sz="4" w:space="0" w:color="4A4A4A"/>
              <w:right w:val="single" w:sz="4" w:space="0" w:color="4A4A4A"/>
            </w:tcBorders>
            <w:shd w:val="clear" w:color="auto" w:fill="2C3E50"/>
          </w:tcPr>
          <w:p w14:paraId="6FE74A27" w14:textId="77777777" w:rsidR="0066149A" w:rsidRDefault="00000000" w:rsidP="003F4629">
            <w:pPr>
              <w:spacing w:before="40" w:line="360" w:lineRule="auto"/>
            </w:pPr>
            <w:r>
              <w:rPr>
                <w:rFonts w:ascii="Times New Roman" w:hAnsi="Times New Roman"/>
                <w:b/>
                <w:color w:val="FFFFFF"/>
                <w:sz w:val="17"/>
              </w:rPr>
              <w:t>Empirical Indicators</w:t>
            </w:r>
          </w:p>
        </w:tc>
        <w:tc>
          <w:tcPr>
            <w:tcW w:w="1644" w:type="dxa"/>
            <w:tcBorders>
              <w:top w:val="single" w:sz="4" w:space="0" w:color="4A4A4A"/>
              <w:left w:val="single" w:sz="4" w:space="0" w:color="4A4A4A"/>
              <w:bottom w:val="single" w:sz="4" w:space="0" w:color="4A4A4A"/>
              <w:right w:val="single" w:sz="4" w:space="0" w:color="4A4A4A"/>
            </w:tcBorders>
            <w:shd w:val="clear" w:color="auto" w:fill="2C3E50"/>
          </w:tcPr>
          <w:p w14:paraId="1714A864" w14:textId="77777777" w:rsidR="0066149A" w:rsidRDefault="00000000" w:rsidP="003F4629">
            <w:pPr>
              <w:spacing w:before="40" w:line="360" w:lineRule="auto"/>
            </w:pPr>
            <w:r>
              <w:rPr>
                <w:rFonts w:ascii="Times New Roman" w:hAnsi="Times New Roman"/>
                <w:b/>
                <w:color w:val="FFFFFF"/>
                <w:sz w:val="17"/>
              </w:rPr>
              <w:t>Data Sources</w:t>
            </w:r>
          </w:p>
        </w:tc>
        <w:tc>
          <w:tcPr>
            <w:tcW w:w="1531" w:type="dxa"/>
            <w:tcBorders>
              <w:top w:val="single" w:sz="4" w:space="0" w:color="4A4A4A"/>
              <w:left w:val="single" w:sz="4" w:space="0" w:color="4A4A4A"/>
              <w:bottom w:val="single" w:sz="4" w:space="0" w:color="4A4A4A"/>
              <w:right w:val="single" w:sz="4" w:space="0" w:color="4A4A4A"/>
            </w:tcBorders>
            <w:shd w:val="clear" w:color="auto" w:fill="2C3E50"/>
          </w:tcPr>
          <w:p w14:paraId="0E8CBF4D" w14:textId="77777777" w:rsidR="0066149A" w:rsidRDefault="00000000" w:rsidP="003F4629">
            <w:pPr>
              <w:spacing w:before="40" w:line="360" w:lineRule="auto"/>
            </w:pPr>
            <w:r>
              <w:rPr>
                <w:rFonts w:ascii="Times New Roman" w:hAnsi="Times New Roman"/>
                <w:b/>
                <w:color w:val="FFFFFF"/>
                <w:sz w:val="17"/>
              </w:rPr>
              <w:t>Confirmation Criteria</w:t>
            </w:r>
          </w:p>
        </w:tc>
      </w:tr>
      <w:tr w:rsidR="0066149A" w14:paraId="1D99C982" w14:textId="77777777">
        <w:trPr>
          <w:jc w:val="center"/>
        </w:trPr>
        <w:tc>
          <w:tcPr>
            <w:tcW w:w="510" w:type="dxa"/>
            <w:tcBorders>
              <w:top w:val="single" w:sz="4" w:space="0" w:color="4A4A4A"/>
              <w:left w:val="single" w:sz="4" w:space="0" w:color="4A4A4A"/>
              <w:bottom w:val="single" w:sz="4" w:space="0" w:color="4A4A4A"/>
              <w:right w:val="single" w:sz="4" w:space="0" w:color="4A4A4A"/>
            </w:tcBorders>
            <w:shd w:val="clear" w:color="auto" w:fill="D6E8F7"/>
          </w:tcPr>
          <w:p w14:paraId="623750AE" w14:textId="77777777" w:rsidR="0066149A" w:rsidRDefault="00000000" w:rsidP="003F4629">
            <w:pPr>
              <w:spacing w:before="40" w:line="360" w:lineRule="auto"/>
            </w:pPr>
            <w:r>
              <w:rPr>
                <w:rFonts w:ascii="Times New Roman" w:hAnsi="Times New Roman"/>
                <w:b/>
                <w:sz w:val="16"/>
              </w:rPr>
              <w:t>P1</w:t>
            </w:r>
          </w:p>
        </w:tc>
        <w:tc>
          <w:tcPr>
            <w:tcW w:w="1701" w:type="dxa"/>
            <w:tcBorders>
              <w:top w:val="single" w:sz="4" w:space="0" w:color="4A4A4A"/>
              <w:left w:val="single" w:sz="4" w:space="0" w:color="4A4A4A"/>
              <w:bottom w:val="single" w:sz="4" w:space="0" w:color="4A4A4A"/>
              <w:right w:val="single" w:sz="4" w:space="0" w:color="4A4A4A"/>
            </w:tcBorders>
            <w:shd w:val="clear" w:color="auto" w:fill="D6E8F7"/>
          </w:tcPr>
          <w:p w14:paraId="7F1F16E6" w14:textId="77777777" w:rsidR="0066149A" w:rsidRDefault="00000000" w:rsidP="003F4629">
            <w:pPr>
              <w:spacing w:before="40" w:line="360" w:lineRule="auto"/>
            </w:pPr>
            <w:r>
              <w:rPr>
                <w:rFonts w:ascii="Times New Roman" w:hAnsi="Times New Roman"/>
                <w:sz w:val="16"/>
              </w:rPr>
              <w:t>Activates all three polarity accelerant mechanisms simultaneously</w:t>
            </w:r>
          </w:p>
        </w:tc>
        <w:tc>
          <w:tcPr>
            <w:tcW w:w="1757" w:type="dxa"/>
            <w:tcBorders>
              <w:top w:val="single" w:sz="4" w:space="0" w:color="4A4A4A"/>
              <w:left w:val="single" w:sz="4" w:space="0" w:color="4A4A4A"/>
              <w:bottom w:val="single" w:sz="4" w:space="0" w:color="4A4A4A"/>
              <w:right w:val="single" w:sz="4" w:space="0" w:color="4A4A4A"/>
            </w:tcBorders>
            <w:shd w:val="clear" w:color="auto" w:fill="D6E8F7"/>
          </w:tcPr>
          <w:p w14:paraId="66BE60C6" w14:textId="77777777" w:rsidR="0066149A" w:rsidRDefault="00000000" w:rsidP="003F4629">
            <w:pPr>
              <w:spacing w:before="40" w:line="360" w:lineRule="auto"/>
            </w:pPr>
            <w:r>
              <w:rPr>
                <w:rFonts w:ascii="Times New Roman" w:hAnsi="Times New Roman"/>
                <w:sz w:val="16"/>
              </w:rPr>
              <w:t>(a) Condemnation credibility; (b) counter-coalition signaling; (c) US Indo-Pacific presence reduction</w:t>
            </w:r>
          </w:p>
        </w:tc>
        <w:tc>
          <w:tcPr>
            <w:tcW w:w="1644" w:type="dxa"/>
            <w:tcBorders>
              <w:top w:val="single" w:sz="4" w:space="0" w:color="4A4A4A"/>
              <w:left w:val="single" w:sz="4" w:space="0" w:color="4A4A4A"/>
              <w:bottom w:val="single" w:sz="4" w:space="0" w:color="4A4A4A"/>
              <w:right w:val="single" w:sz="4" w:space="0" w:color="4A4A4A"/>
            </w:tcBorders>
            <w:shd w:val="clear" w:color="auto" w:fill="D6E8F7"/>
          </w:tcPr>
          <w:p w14:paraId="30938970" w14:textId="77777777" w:rsidR="0066149A" w:rsidRDefault="00000000" w:rsidP="003F4629">
            <w:pPr>
              <w:spacing w:before="40" w:line="360" w:lineRule="auto"/>
            </w:pPr>
            <w:r>
              <w:rPr>
                <w:rFonts w:ascii="Times New Roman" w:hAnsi="Times New Roman"/>
                <w:sz w:val="16"/>
              </w:rPr>
              <w:t>UN Security Council; GlobalSecurity.org; Chatham House</w:t>
            </w:r>
          </w:p>
        </w:tc>
        <w:tc>
          <w:tcPr>
            <w:tcW w:w="1531" w:type="dxa"/>
            <w:tcBorders>
              <w:top w:val="single" w:sz="4" w:space="0" w:color="4A4A4A"/>
              <w:left w:val="single" w:sz="4" w:space="0" w:color="4A4A4A"/>
              <w:bottom w:val="single" w:sz="4" w:space="0" w:color="4A4A4A"/>
              <w:right w:val="single" w:sz="4" w:space="0" w:color="4A4A4A"/>
            </w:tcBorders>
            <w:shd w:val="clear" w:color="auto" w:fill="D6E8F7"/>
          </w:tcPr>
          <w:p w14:paraId="270C4AAE" w14:textId="5A1E011E" w:rsidR="0066149A" w:rsidRDefault="00000000" w:rsidP="003F4629">
            <w:pPr>
              <w:spacing w:before="40" w:line="360" w:lineRule="auto"/>
            </w:pPr>
            <w:r>
              <w:rPr>
                <w:rFonts w:ascii="Times New Roman" w:hAnsi="Times New Roman"/>
                <w:sz w:val="16"/>
              </w:rPr>
              <w:t xml:space="preserve">All three mechanisms produce observable effects within </w:t>
            </w:r>
            <w:r w:rsidR="00C437ED">
              <w:rPr>
                <w:rFonts w:ascii="Times New Roman" w:hAnsi="Times New Roman"/>
                <w:sz w:val="16"/>
              </w:rPr>
              <w:t xml:space="preserve">a </w:t>
            </w:r>
            <w:r>
              <w:rPr>
                <w:rFonts w:ascii="Times New Roman" w:hAnsi="Times New Roman"/>
                <w:sz w:val="16"/>
              </w:rPr>
              <w:t>9-day window</w:t>
            </w:r>
          </w:p>
        </w:tc>
      </w:tr>
      <w:tr w:rsidR="0066149A" w14:paraId="3E6118DE" w14:textId="77777777">
        <w:trPr>
          <w:jc w:val="center"/>
        </w:trPr>
        <w:tc>
          <w:tcPr>
            <w:tcW w:w="510" w:type="dxa"/>
            <w:tcBorders>
              <w:top w:val="single" w:sz="4" w:space="0" w:color="4A4A4A"/>
              <w:left w:val="single" w:sz="4" w:space="0" w:color="4A4A4A"/>
              <w:bottom w:val="single" w:sz="4" w:space="0" w:color="4A4A4A"/>
              <w:right w:val="single" w:sz="4" w:space="0" w:color="4A4A4A"/>
            </w:tcBorders>
            <w:shd w:val="clear" w:color="auto" w:fill="FFFFFF"/>
          </w:tcPr>
          <w:p w14:paraId="2FD440F7" w14:textId="77777777" w:rsidR="0066149A" w:rsidRDefault="00000000" w:rsidP="003F4629">
            <w:pPr>
              <w:spacing w:before="40" w:line="360" w:lineRule="auto"/>
            </w:pPr>
            <w:r>
              <w:rPr>
                <w:rFonts w:ascii="Times New Roman" w:hAnsi="Times New Roman"/>
                <w:b/>
                <w:sz w:val="16"/>
              </w:rPr>
              <w:t>P2</w:t>
            </w:r>
          </w:p>
        </w:tc>
        <w:tc>
          <w:tcPr>
            <w:tcW w:w="1701" w:type="dxa"/>
            <w:tcBorders>
              <w:top w:val="single" w:sz="4" w:space="0" w:color="4A4A4A"/>
              <w:left w:val="single" w:sz="4" w:space="0" w:color="4A4A4A"/>
              <w:bottom w:val="single" w:sz="4" w:space="0" w:color="4A4A4A"/>
              <w:right w:val="single" w:sz="4" w:space="0" w:color="4A4A4A"/>
            </w:tcBorders>
            <w:shd w:val="clear" w:color="auto" w:fill="FFFFFF"/>
          </w:tcPr>
          <w:p w14:paraId="7CCD1B2B" w14:textId="32A74BA0" w:rsidR="0066149A" w:rsidRDefault="00000000" w:rsidP="003F4629">
            <w:pPr>
              <w:spacing w:before="40" w:line="360" w:lineRule="auto"/>
            </w:pPr>
            <w:r>
              <w:rPr>
                <w:rFonts w:ascii="Times New Roman" w:hAnsi="Times New Roman"/>
                <w:sz w:val="16"/>
              </w:rPr>
              <w:t xml:space="preserve">Energy vulnerability functions as </w:t>
            </w:r>
            <w:r w:rsidR="00C437ED">
              <w:rPr>
                <w:rFonts w:ascii="Times New Roman" w:hAnsi="Times New Roman"/>
                <w:sz w:val="16"/>
              </w:rPr>
              <w:t xml:space="preserve">an </w:t>
            </w:r>
            <w:r>
              <w:rPr>
                <w:rFonts w:ascii="Times New Roman" w:hAnsi="Times New Roman"/>
                <w:sz w:val="16"/>
              </w:rPr>
              <w:t>economic compellent beyond conventional hedging</w:t>
            </w:r>
          </w:p>
        </w:tc>
        <w:tc>
          <w:tcPr>
            <w:tcW w:w="1757" w:type="dxa"/>
            <w:tcBorders>
              <w:top w:val="single" w:sz="4" w:space="0" w:color="4A4A4A"/>
              <w:left w:val="single" w:sz="4" w:space="0" w:color="4A4A4A"/>
              <w:bottom w:val="single" w:sz="4" w:space="0" w:color="4A4A4A"/>
              <w:right w:val="single" w:sz="4" w:space="0" w:color="4A4A4A"/>
            </w:tcBorders>
            <w:shd w:val="clear" w:color="auto" w:fill="FFFFFF"/>
          </w:tcPr>
          <w:p w14:paraId="63983FD9" w14:textId="77777777" w:rsidR="0066149A" w:rsidRDefault="00000000" w:rsidP="003F4629">
            <w:pPr>
              <w:spacing w:before="40" w:line="360" w:lineRule="auto"/>
            </w:pPr>
            <w:r>
              <w:rPr>
                <w:rFonts w:ascii="Times New Roman" w:hAnsi="Times New Roman"/>
                <w:sz w:val="16"/>
              </w:rPr>
              <w:t>(a) Oil/LNG price movements; (b) SET circuit breaker; (c) emergency trade policy changes</w:t>
            </w:r>
          </w:p>
        </w:tc>
        <w:tc>
          <w:tcPr>
            <w:tcW w:w="1644" w:type="dxa"/>
            <w:tcBorders>
              <w:top w:val="single" w:sz="4" w:space="0" w:color="4A4A4A"/>
              <w:left w:val="single" w:sz="4" w:space="0" w:color="4A4A4A"/>
              <w:bottom w:val="single" w:sz="4" w:space="0" w:color="4A4A4A"/>
              <w:right w:val="single" w:sz="4" w:space="0" w:color="4A4A4A"/>
            </w:tcBorders>
            <w:shd w:val="clear" w:color="auto" w:fill="FFFFFF"/>
          </w:tcPr>
          <w:p w14:paraId="62D65227" w14:textId="77777777" w:rsidR="0066149A" w:rsidRDefault="00000000" w:rsidP="003F4629">
            <w:pPr>
              <w:spacing w:before="40" w:line="360" w:lineRule="auto"/>
            </w:pPr>
            <w:r>
              <w:rPr>
                <w:rFonts w:ascii="Times New Roman" w:hAnsi="Times New Roman"/>
                <w:sz w:val="16"/>
              </w:rPr>
              <w:t>Bloomberg; Kpler; Oxford Economics; Allianz Research</w:t>
            </w:r>
          </w:p>
        </w:tc>
        <w:tc>
          <w:tcPr>
            <w:tcW w:w="1531" w:type="dxa"/>
            <w:tcBorders>
              <w:top w:val="single" w:sz="4" w:space="0" w:color="4A4A4A"/>
              <w:left w:val="single" w:sz="4" w:space="0" w:color="4A4A4A"/>
              <w:bottom w:val="single" w:sz="4" w:space="0" w:color="4A4A4A"/>
              <w:right w:val="single" w:sz="4" w:space="0" w:color="4A4A4A"/>
            </w:tcBorders>
            <w:shd w:val="clear" w:color="auto" w:fill="FFFFFF"/>
          </w:tcPr>
          <w:p w14:paraId="531A98B4" w14:textId="77777777" w:rsidR="0066149A" w:rsidRDefault="00000000" w:rsidP="003F4629">
            <w:pPr>
              <w:spacing w:before="40" w:line="360" w:lineRule="auto"/>
            </w:pPr>
            <w:r>
              <w:rPr>
                <w:rFonts w:ascii="Times New Roman" w:hAnsi="Times New Roman"/>
                <w:sz w:val="16"/>
              </w:rPr>
              <w:t>Observable policy departures attributable to energy compellents in ≥2 of 3 cases</w:t>
            </w:r>
          </w:p>
        </w:tc>
      </w:tr>
      <w:tr w:rsidR="0066149A" w14:paraId="76D4AD1E" w14:textId="77777777">
        <w:trPr>
          <w:jc w:val="center"/>
        </w:trPr>
        <w:tc>
          <w:tcPr>
            <w:tcW w:w="510" w:type="dxa"/>
            <w:tcBorders>
              <w:top w:val="single" w:sz="4" w:space="0" w:color="4A4A4A"/>
              <w:left w:val="single" w:sz="4" w:space="0" w:color="4A4A4A"/>
              <w:bottom w:val="single" w:sz="4" w:space="0" w:color="4A4A4A"/>
              <w:right w:val="single" w:sz="4" w:space="0" w:color="4A4A4A"/>
            </w:tcBorders>
            <w:shd w:val="clear" w:color="auto" w:fill="D6E8F7"/>
          </w:tcPr>
          <w:p w14:paraId="2E03D092" w14:textId="77777777" w:rsidR="0066149A" w:rsidRDefault="00000000" w:rsidP="003F4629">
            <w:pPr>
              <w:spacing w:before="40" w:line="360" w:lineRule="auto"/>
            </w:pPr>
            <w:r>
              <w:rPr>
                <w:rFonts w:ascii="Times New Roman" w:hAnsi="Times New Roman"/>
                <w:b/>
                <w:sz w:val="16"/>
              </w:rPr>
              <w:t>P3</w:t>
            </w:r>
          </w:p>
        </w:tc>
        <w:tc>
          <w:tcPr>
            <w:tcW w:w="1701" w:type="dxa"/>
            <w:tcBorders>
              <w:top w:val="single" w:sz="4" w:space="0" w:color="4A4A4A"/>
              <w:left w:val="single" w:sz="4" w:space="0" w:color="4A4A4A"/>
              <w:bottom w:val="single" w:sz="4" w:space="0" w:color="4A4A4A"/>
              <w:right w:val="single" w:sz="4" w:space="0" w:color="4A4A4A"/>
            </w:tcBorders>
            <w:shd w:val="clear" w:color="auto" w:fill="D6E8F7"/>
          </w:tcPr>
          <w:p w14:paraId="6365354C" w14:textId="77777777" w:rsidR="0066149A" w:rsidRDefault="00000000" w:rsidP="003F4629">
            <w:pPr>
              <w:spacing w:before="40" w:line="360" w:lineRule="auto"/>
            </w:pPr>
            <w:r>
              <w:rPr>
                <w:rFonts w:ascii="Times New Roman" w:hAnsi="Times New Roman"/>
                <w:sz w:val="16"/>
              </w:rPr>
              <w:t>Migrant worker crises function as social compellents overriding strategic ambiguity</w:t>
            </w:r>
          </w:p>
        </w:tc>
        <w:tc>
          <w:tcPr>
            <w:tcW w:w="1757" w:type="dxa"/>
            <w:tcBorders>
              <w:top w:val="single" w:sz="4" w:space="0" w:color="4A4A4A"/>
              <w:left w:val="single" w:sz="4" w:space="0" w:color="4A4A4A"/>
              <w:bottom w:val="single" w:sz="4" w:space="0" w:color="4A4A4A"/>
              <w:right w:val="single" w:sz="4" w:space="0" w:color="4A4A4A"/>
            </w:tcBorders>
            <w:shd w:val="clear" w:color="auto" w:fill="D6E8F7"/>
          </w:tcPr>
          <w:p w14:paraId="3CBA90A8" w14:textId="77777777" w:rsidR="0066149A" w:rsidRDefault="00000000" w:rsidP="003F4629">
            <w:pPr>
              <w:spacing w:before="40" w:line="360" w:lineRule="auto"/>
            </w:pPr>
            <w:r>
              <w:rPr>
                <w:rFonts w:ascii="Times New Roman" w:hAnsi="Times New Roman"/>
                <w:sz w:val="16"/>
              </w:rPr>
              <w:t>(a) Nationals at risk; (b) whole-of-government evacuation; (c) PM statements citing citizen welfare</w:t>
            </w:r>
          </w:p>
        </w:tc>
        <w:tc>
          <w:tcPr>
            <w:tcW w:w="1644" w:type="dxa"/>
            <w:tcBorders>
              <w:top w:val="single" w:sz="4" w:space="0" w:color="4A4A4A"/>
              <w:left w:val="single" w:sz="4" w:space="0" w:color="4A4A4A"/>
              <w:bottom w:val="single" w:sz="4" w:space="0" w:color="4A4A4A"/>
              <w:right w:val="single" w:sz="4" w:space="0" w:color="4A4A4A"/>
            </w:tcBorders>
            <w:shd w:val="clear" w:color="auto" w:fill="D6E8F7"/>
          </w:tcPr>
          <w:p w14:paraId="5C4C5406" w14:textId="02F4C210" w:rsidR="0066149A" w:rsidRDefault="00000000" w:rsidP="003F4629">
            <w:pPr>
              <w:spacing w:before="40" w:line="360" w:lineRule="auto"/>
            </w:pPr>
            <w:r>
              <w:rPr>
                <w:rFonts w:ascii="Times New Roman" w:hAnsi="Times New Roman"/>
                <w:sz w:val="16"/>
              </w:rPr>
              <w:t>Nation Thailand</w:t>
            </w:r>
            <w:r w:rsidR="00C437ED">
              <w:rPr>
                <w:rFonts w:ascii="Times New Roman" w:hAnsi="Times New Roman"/>
                <w:sz w:val="16"/>
              </w:rPr>
              <w:t>,</w:t>
            </w:r>
            <w:r>
              <w:rPr>
                <w:rFonts w:ascii="Times New Roman" w:hAnsi="Times New Roman"/>
                <w:sz w:val="16"/>
              </w:rPr>
              <w:t xml:space="preserve"> CSIS</w:t>
            </w:r>
            <w:r w:rsidR="00C437ED">
              <w:rPr>
                <w:rFonts w:ascii="Times New Roman" w:hAnsi="Times New Roman"/>
                <w:sz w:val="16"/>
              </w:rPr>
              <w:t>,</w:t>
            </w:r>
            <w:r>
              <w:rPr>
                <w:rFonts w:ascii="Times New Roman" w:hAnsi="Times New Roman"/>
                <w:sz w:val="16"/>
              </w:rPr>
              <w:t xml:space="preserve"> Indonesian</w:t>
            </w:r>
            <w:r w:rsidR="003F4629">
              <w:rPr>
                <w:rFonts w:ascii="Times New Roman" w:hAnsi="Times New Roman"/>
                <w:sz w:val="16"/>
              </w:rPr>
              <w:t>,</w:t>
            </w:r>
            <w:r>
              <w:rPr>
                <w:rFonts w:ascii="Times New Roman" w:hAnsi="Times New Roman"/>
                <w:sz w:val="16"/>
              </w:rPr>
              <w:t xml:space="preserve"> and Malaysian MFA</w:t>
            </w:r>
          </w:p>
        </w:tc>
        <w:tc>
          <w:tcPr>
            <w:tcW w:w="1531" w:type="dxa"/>
            <w:tcBorders>
              <w:top w:val="single" w:sz="4" w:space="0" w:color="4A4A4A"/>
              <w:left w:val="single" w:sz="4" w:space="0" w:color="4A4A4A"/>
              <w:bottom w:val="single" w:sz="4" w:space="0" w:color="4A4A4A"/>
              <w:right w:val="single" w:sz="4" w:space="0" w:color="4A4A4A"/>
            </w:tcBorders>
            <w:shd w:val="clear" w:color="auto" w:fill="D6E8F7"/>
          </w:tcPr>
          <w:p w14:paraId="77403F98" w14:textId="6BBFFCD9" w:rsidR="0066149A" w:rsidRDefault="00000000" w:rsidP="003F4629">
            <w:pPr>
              <w:spacing w:before="40" w:line="360" w:lineRule="auto"/>
            </w:pPr>
            <w:r>
              <w:rPr>
                <w:rFonts w:ascii="Times New Roman" w:hAnsi="Times New Roman"/>
                <w:sz w:val="16"/>
              </w:rPr>
              <w:t xml:space="preserve">Emergency evacuation </w:t>
            </w:r>
            <w:r w:rsidR="00C437ED">
              <w:rPr>
                <w:rFonts w:ascii="Times New Roman" w:hAnsi="Times New Roman"/>
                <w:sz w:val="16"/>
              </w:rPr>
              <w:t xml:space="preserve">was </w:t>
            </w:r>
            <w:r>
              <w:rPr>
                <w:rFonts w:ascii="Times New Roman" w:hAnsi="Times New Roman"/>
                <w:sz w:val="16"/>
              </w:rPr>
              <w:t>activated within 72 hours</w:t>
            </w:r>
            <w:r w:rsidR="00C437ED">
              <w:rPr>
                <w:rFonts w:ascii="Times New Roman" w:hAnsi="Times New Roman"/>
                <w:sz w:val="16"/>
              </w:rPr>
              <w:t>,</w:t>
            </w:r>
            <w:r>
              <w:rPr>
                <w:rFonts w:ascii="Times New Roman" w:hAnsi="Times New Roman"/>
                <w:sz w:val="16"/>
              </w:rPr>
              <w:t xml:space="preserve"> with public statements in ≥2 cases</w:t>
            </w:r>
          </w:p>
        </w:tc>
      </w:tr>
      <w:tr w:rsidR="0066149A" w14:paraId="491D8CA1" w14:textId="77777777">
        <w:trPr>
          <w:jc w:val="center"/>
        </w:trPr>
        <w:tc>
          <w:tcPr>
            <w:tcW w:w="510" w:type="dxa"/>
            <w:tcBorders>
              <w:top w:val="single" w:sz="4" w:space="0" w:color="4A4A4A"/>
              <w:left w:val="single" w:sz="4" w:space="0" w:color="4A4A4A"/>
              <w:bottom w:val="single" w:sz="4" w:space="0" w:color="4A4A4A"/>
              <w:right w:val="single" w:sz="4" w:space="0" w:color="4A4A4A"/>
            </w:tcBorders>
            <w:shd w:val="clear" w:color="auto" w:fill="FFFFFF"/>
          </w:tcPr>
          <w:p w14:paraId="58023E53" w14:textId="77777777" w:rsidR="0066149A" w:rsidRDefault="00000000" w:rsidP="003F4629">
            <w:pPr>
              <w:spacing w:before="40" w:line="360" w:lineRule="auto"/>
            </w:pPr>
            <w:r>
              <w:rPr>
                <w:rFonts w:ascii="Times New Roman" w:hAnsi="Times New Roman"/>
                <w:b/>
                <w:sz w:val="16"/>
              </w:rPr>
              <w:t>P4</w:t>
            </w:r>
          </w:p>
        </w:tc>
        <w:tc>
          <w:tcPr>
            <w:tcW w:w="1701" w:type="dxa"/>
            <w:tcBorders>
              <w:top w:val="single" w:sz="4" w:space="0" w:color="4A4A4A"/>
              <w:left w:val="single" w:sz="4" w:space="0" w:color="4A4A4A"/>
              <w:bottom w:val="single" w:sz="4" w:space="0" w:color="4A4A4A"/>
              <w:right w:val="single" w:sz="4" w:space="0" w:color="4A4A4A"/>
            </w:tcBorders>
            <w:shd w:val="clear" w:color="auto" w:fill="FFFFFF"/>
          </w:tcPr>
          <w:p w14:paraId="691DDBAE" w14:textId="77777777" w:rsidR="0066149A" w:rsidRDefault="00000000" w:rsidP="003F4629">
            <w:pPr>
              <w:spacing w:before="40" w:line="360" w:lineRule="auto"/>
            </w:pPr>
            <w:r>
              <w:rPr>
                <w:rFonts w:ascii="Times New Roman" w:hAnsi="Times New Roman"/>
                <w:sz w:val="16"/>
              </w:rPr>
              <w:t>Responses exhibit all four survivalist realignment characteristics with predicted state-level variation</w:t>
            </w:r>
          </w:p>
        </w:tc>
        <w:tc>
          <w:tcPr>
            <w:tcW w:w="1757" w:type="dxa"/>
            <w:tcBorders>
              <w:top w:val="single" w:sz="4" w:space="0" w:color="4A4A4A"/>
              <w:left w:val="single" w:sz="4" w:space="0" w:color="4A4A4A"/>
              <w:bottom w:val="single" w:sz="4" w:space="0" w:color="4A4A4A"/>
              <w:right w:val="single" w:sz="4" w:space="0" w:color="4A4A4A"/>
            </w:tcBorders>
            <w:shd w:val="clear" w:color="auto" w:fill="FFFFFF"/>
          </w:tcPr>
          <w:p w14:paraId="398180C5" w14:textId="77777777" w:rsidR="0066149A" w:rsidRDefault="00000000" w:rsidP="003F4629">
            <w:pPr>
              <w:spacing w:before="40" w:line="360" w:lineRule="auto"/>
            </w:pPr>
            <w:r>
              <w:rPr>
                <w:rFonts w:ascii="Times New Roman" w:hAnsi="Times New Roman"/>
                <w:sz w:val="16"/>
              </w:rPr>
              <w:t>(a) Necessity-driven; (b) collective institutional; (c) selective de-risking; (d) normative distancing</w:t>
            </w:r>
          </w:p>
        </w:tc>
        <w:tc>
          <w:tcPr>
            <w:tcW w:w="1644" w:type="dxa"/>
            <w:tcBorders>
              <w:top w:val="single" w:sz="4" w:space="0" w:color="4A4A4A"/>
              <w:left w:val="single" w:sz="4" w:space="0" w:color="4A4A4A"/>
              <w:bottom w:val="single" w:sz="4" w:space="0" w:color="4A4A4A"/>
              <w:right w:val="single" w:sz="4" w:space="0" w:color="4A4A4A"/>
            </w:tcBorders>
            <w:shd w:val="clear" w:color="auto" w:fill="FFFFFF"/>
          </w:tcPr>
          <w:p w14:paraId="3835E83F" w14:textId="77777777" w:rsidR="0066149A" w:rsidRDefault="00000000" w:rsidP="003F4629">
            <w:pPr>
              <w:spacing w:before="40" w:line="360" w:lineRule="auto"/>
            </w:pPr>
            <w:r>
              <w:rPr>
                <w:rFonts w:ascii="Times New Roman" w:hAnsi="Times New Roman"/>
                <w:sz w:val="16"/>
              </w:rPr>
              <w:t>ASEAN Secretariat; government documents; Bloomberg; Kpler</w:t>
            </w:r>
          </w:p>
        </w:tc>
        <w:tc>
          <w:tcPr>
            <w:tcW w:w="1531" w:type="dxa"/>
            <w:tcBorders>
              <w:top w:val="single" w:sz="4" w:space="0" w:color="4A4A4A"/>
              <w:left w:val="single" w:sz="4" w:space="0" w:color="4A4A4A"/>
              <w:bottom w:val="single" w:sz="4" w:space="0" w:color="4A4A4A"/>
              <w:right w:val="single" w:sz="4" w:space="0" w:color="4A4A4A"/>
            </w:tcBorders>
            <w:shd w:val="clear" w:color="auto" w:fill="FFFFFF"/>
          </w:tcPr>
          <w:p w14:paraId="071B9B32" w14:textId="77777777" w:rsidR="0066149A" w:rsidRDefault="00000000" w:rsidP="003F4629">
            <w:pPr>
              <w:spacing w:before="40" w:line="360" w:lineRule="auto"/>
            </w:pPr>
            <w:r>
              <w:rPr>
                <w:rFonts w:ascii="Times New Roman" w:hAnsi="Times New Roman"/>
                <w:sz w:val="16"/>
              </w:rPr>
              <w:t>All four characteristics present collectively; state-level variation correlates with energy profile and domestic context</w:t>
            </w:r>
          </w:p>
        </w:tc>
      </w:tr>
    </w:tbl>
    <w:p w14:paraId="0DA8D090" w14:textId="77777777" w:rsidR="0066149A" w:rsidRDefault="00000000" w:rsidP="003F4629">
      <w:pPr>
        <w:spacing w:before="60" w:after="0" w:line="360" w:lineRule="auto"/>
      </w:pPr>
      <w:r>
        <w:rPr>
          <w:rFonts w:ascii="Times New Roman" w:hAnsi="Times New Roman"/>
          <w:i/>
          <w:sz w:val="18"/>
        </w:rPr>
        <w:t>Note: P# = Proposition number. Confirmation criteria represent minimum evidentiary standards within the 9-day empirical window.</w:t>
      </w:r>
    </w:p>
    <w:p w14:paraId="2055D026" w14:textId="77777777" w:rsidR="0066149A" w:rsidRDefault="00000000" w:rsidP="003F4629">
      <w:pPr>
        <w:pStyle w:val="Heading1"/>
        <w:spacing w:line="360" w:lineRule="auto"/>
      </w:pPr>
      <w:r>
        <w:t>5. Findings and Analysis</w:t>
      </w:r>
    </w:p>
    <w:p w14:paraId="171EFF40" w14:textId="77777777" w:rsidR="0066149A" w:rsidRDefault="00000000" w:rsidP="003F4629">
      <w:pPr>
        <w:spacing w:before="200" w:after="0" w:line="360" w:lineRule="auto"/>
        <w:jc w:val="both"/>
      </w:pPr>
      <w:r>
        <w:rPr>
          <w:rFonts w:ascii="Times New Roman" w:hAnsi="Times New Roman"/>
          <w:b/>
          <w:i/>
          <w:sz w:val="24"/>
        </w:rPr>
        <w:t>5.1 The 2026 Iran War as Systemic Rupture</w:t>
      </w:r>
    </w:p>
    <w:p w14:paraId="1B32EBA1" w14:textId="65E4F04C" w:rsidR="0066149A" w:rsidRDefault="00000000" w:rsidP="003F4629">
      <w:pPr>
        <w:spacing w:after="0" w:line="360" w:lineRule="auto"/>
        <w:jc w:val="both"/>
      </w:pPr>
      <w:r>
        <w:rPr>
          <w:rFonts w:ascii="Times New Roman" w:hAnsi="Times New Roman"/>
          <w:sz w:val="24"/>
        </w:rPr>
        <w:lastRenderedPageBreak/>
        <w:t>The evidence from the opening days confirms simultaneous disruption across all three domains. The normative dimension is most starkly established by timing: operations commenced one day after Oman announced a diplomatic breakthrough</w:t>
      </w:r>
      <w:r w:rsidR="00550022">
        <w:rPr>
          <w:rFonts w:ascii="Times New Roman" w:hAnsi="Times New Roman"/>
          <w:sz w:val="24"/>
        </w:rPr>
        <w:t>, not a failure of diplomacy,</w:t>
      </w:r>
      <w:r>
        <w:rPr>
          <w:rFonts w:ascii="Times New Roman" w:hAnsi="Times New Roman"/>
          <w:sz w:val="24"/>
        </w:rPr>
        <w:t xml:space="preserve"> but its deliberate termination. The UN Secretary-General declared the strikes had "squandered a chance for diplomacy"; China called them "brazen" and "shocking"; Russia invoked "unprovoked aggression" (UN News, 2026; House of Commons Library, 2026). That states with their own coercive records </w:t>
      </w:r>
      <w:r w:rsidR="00C437ED">
        <w:rPr>
          <w:rFonts w:ascii="Times New Roman" w:hAnsi="Times New Roman"/>
          <w:sz w:val="24"/>
        </w:rPr>
        <w:t>explicitly condemned the operations and were widely believed to do so</w:t>
      </w:r>
      <w:r>
        <w:rPr>
          <w:rFonts w:ascii="Times New Roman" w:hAnsi="Times New Roman"/>
          <w:sz w:val="24"/>
        </w:rPr>
        <w:t xml:space="preserve"> indicates a legitimacy collapse of structural proportions.</w:t>
      </w:r>
    </w:p>
    <w:p w14:paraId="0B864DDE" w14:textId="177DF9A9" w:rsidR="0066149A" w:rsidRDefault="00000000" w:rsidP="003F4629">
      <w:pPr>
        <w:spacing w:after="0" w:line="360" w:lineRule="auto"/>
        <w:jc w:val="both"/>
      </w:pPr>
      <w:r>
        <w:rPr>
          <w:rFonts w:ascii="Times New Roman" w:hAnsi="Times New Roman"/>
          <w:sz w:val="24"/>
        </w:rPr>
        <w:t xml:space="preserve">Chatham House (2026a) characterized the Khamenei assassination as </w:t>
      </w:r>
      <w:r w:rsidR="00C437ED">
        <w:rPr>
          <w:rFonts w:ascii="Times New Roman" w:hAnsi="Times New Roman"/>
          <w:sz w:val="24"/>
        </w:rPr>
        <w:t>an act that exceeded the bounds of</w:t>
      </w:r>
      <w:r>
        <w:rPr>
          <w:rFonts w:ascii="Times New Roman" w:hAnsi="Times New Roman"/>
          <w:sz w:val="24"/>
        </w:rPr>
        <w:t xml:space="preserve"> coercive diplomacy. Civilian casualties</w:t>
      </w:r>
      <w:r w:rsidR="00C437ED">
        <w:rPr>
          <w:rFonts w:ascii="Times New Roman" w:hAnsi="Times New Roman"/>
          <w:sz w:val="24"/>
        </w:rPr>
        <w:t>, including over 100 killed near Minab (Britannica, 2026),</w:t>
      </w:r>
      <w:r>
        <w:rPr>
          <w:rFonts w:ascii="Times New Roman" w:hAnsi="Times New Roman"/>
          <w:sz w:val="24"/>
        </w:rPr>
        <w:t xml:space="preserve"> generated globally circulating images</w:t>
      </w:r>
      <w:r w:rsidR="003F4629">
        <w:rPr>
          <w:rFonts w:ascii="Times New Roman" w:hAnsi="Times New Roman"/>
          <w:sz w:val="24"/>
        </w:rPr>
        <w:t xml:space="preserve">; within hours, </w:t>
      </w:r>
      <w:r>
        <w:rPr>
          <w:rFonts w:ascii="Times New Roman" w:hAnsi="Times New Roman"/>
          <w:sz w:val="24"/>
        </w:rPr>
        <w:t xml:space="preserve">legitimacy transfer was immediate. On the security dimension, the 30% reduction in US South China Sea reconnaissance sorties as assets redeployed toward Iran (Mai &amp; Poling, 2026) gave measurable form to what ASEAN governments had long suspected: that American Indo-Pacific commitments are structurally subordinate to Middle Eastern priorities. Thailand's independent evacuation of 110,000 </w:t>
      </w:r>
      <w:r w:rsidR="003F4629">
        <w:rPr>
          <w:rFonts w:ascii="Times New Roman" w:hAnsi="Times New Roman"/>
          <w:sz w:val="24"/>
        </w:rPr>
        <w:t>of its nationals signaled</w:t>
      </w:r>
      <w:r>
        <w:rPr>
          <w:rFonts w:ascii="Times New Roman" w:hAnsi="Times New Roman"/>
          <w:sz w:val="24"/>
        </w:rPr>
        <w:t xml:space="preserve"> the limits of alliance dependence. This confirms P1: all three polarity accelerant mechanisms produced observable effects within the nine-day window.</w:t>
      </w:r>
    </w:p>
    <w:p w14:paraId="3A65F0FA" w14:textId="77777777" w:rsidR="0066149A" w:rsidRDefault="00000000" w:rsidP="003F4629">
      <w:pPr>
        <w:spacing w:before="200" w:after="0" w:line="360" w:lineRule="auto"/>
        <w:jc w:val="both"/>
      </w:pPr>
      <w:r>
        <w:rPr>
          <w:rFonts w:ascii="Times New Roman" w:hAnsi="Times New Roman"/>
          <w:b/>
          <w:i/>
          <w:sz w:val="24"/>
        </w:rPr>
        <w:t>5.2 Economic and Social Compellents</w:t>
      </w:r>
    </w:p>
    <w:p w14:paraId="73DA6A8D" w14:textId="0AE80F24" w:rsidR="0066149A" w:rsidRDefault="00000000" w:rsidP="003F4629">
      <w:pPr>
        <w:spacing w:after="0" w:line="360" w:lineRule="auto"/>
        <w:jc w:val="both"/>
      </w:pPr>
      <w:r>
        <w:rPr>
          <w:rFonts w:ascii="Times New Roman" w:hAnsi="Times New Roman"/>
          <w:sz w:val="24"/>
        </w:rPr>
        <w:t>The economic findings confirm P2 with striking directness. The Strait of Hormuz's effective closure</w:t>
      </w:r>
      <w:r w:rsidR="00550022">
        <w:rPr>
          <w:rFonts w:ascii="Times New Roman" w:hAnsi="Times New Roman"/>
          <w:sz w:val="24"/>
        </w:rPr>
        <w:t>, achieved through insurance withdrawals rather than Iranian naval action (</w:t>
      </w:r>
      <w:proofErr w:type="spellStart"/>
      <w:r w:rsidR="00550022">
        <w:rPr>
          <w:rFonts w:ascii="Times New Roman" w:hAnsi="Times New Roman"/>
          <w:sz w:val="24"/>
        </w:rPr>
        <w:t>Kpler</w:t>
      </w:r>
      <w:proofErr w:type="spellEnd"/>
      <w:r w:rsidR="00550022">
        <w:rPr>
          <w:rFonts w:ascii="Times New Roman" w:hAnsi="Times New Roman"/>
          <w:sz w:val="24"/>
        </w:rPr>
        <w:t>, 2026a; Majkut, Book, &amp; Cahill, 2026),</w:t>
      </w:r>
      <w:r>
        <w:rPr>
          <w:rFonts w:ascii="Times New Roman" w:hAnsi="Times New Roman"/>
          <w:sz w:val="24"/>
        </w:rPr>
        <w:t xml:space="preserve"> disrupted approximately 20% of global oil supply. Thailand's SET fell 5.6% on the first trading day, triggering a circuit breaker; oil reserves stood at two months' supply (The Diplomat, 2026a; Eco-Business, 2026). The government's suspension of crude exports directly illustrates Hirschman's (1980) dependence-as-compellent mechanism.</w:t>
      </w:r>
    </w:p>
    <w:p w14:paraId="1D36AB38" w14:textId="039D9189" w:rsidR="0066149A" w:rsidRDefault="00000000" w:rsidP="003F4629">
      <w:pPr>
        <w:spacing w:after="0" w:line="360" w:lineRule="auto"/>
        <w:jc w:val="both"/>
      </w:pPr>
      <w:r>
        <w:rPr>
          <w:rFonts w:ascii="Times New Roman" w:hAnsi="Times New Roman"/>
          <w:sz w:val="24"/>
        </w:rPr>
        <w:t>Indonesia's partial exporter status generated contradictory incentives: Pertamina windfall revenue against consumer inflation</w:t>
      </w:r>
      <w:r w:rsidR="00C437ED">
        <w:rPr>
          <w:rFonts w:ascii="Times New Roman" w:hAnsi="Times New Roman"/>
          <w:sz w:val="24"/>
        </w:rPr>
        <w:t>,</w:t>
      </w:r>
      <w:r>
        <w:rPr>
          <w:rFonts w:ascii="Times New Roman" w:hAnsi="Times New Roman"/>
          <w:sz w:val="24"/>
        </w:rPr>
        <w:t xml:space="preserve"> straining the subsidy framework. Malaysia's net exporter position through Petronas provided fiscal space</w:t>
      </w:r>
      <w:r w:rsidR="00C437ED">
        <w:rPr>
          <w:rFonts w:ascii="Times New Roman" w:hAnsi="Times New Roman"/>
          <w:sz w:val="24"/>
        </w:rPr>
        <w:t>,</w:t>
      </w:r>
      <w:r>
        <w:rPr>
          <w:rFonts w:ascii="Times New Roman" w:hAnsi="Times New Roman"/>
          <w:sz w:val="24"/>
        </w:rPr>
        <w:t xml:space="preserve"> enabling a more assertive posture. Oxford Economics (2026a) and Allianz Research (2026) projected Asian inflation rising 0.5 percentage points above pre-conflict forecasts.</w:t>
      </w:r>
    </w:p>
    <w:p w14:paraId="555350E5" w14:textId="4E2CBFBF" w:rsidR="0066149A" w:rsidRDefault="00000000" w:rsidP="003F4629">
      <w:pPr>
        <w:spacing w:after="0" w:line="360" w:lineRule="auto"/>
        <w:jc w:val="both"/>
      </w:pPr>
      <w:r>
        <w:rPr>
          <w:rFonts w:ascii="Times New Roman" w:hAnsi="Times New Roman"/>
          <w:sz w:val="24"/>
        </w:rPr>
        <w:lastRenderedPageBreak/>
        <w:t xml:space="preserve">The social compellent dimension (P3) operates with comparable force. Thailand's whole-of-government response spanning five ministries and the NSC (Nation Thailand, 2026a) illustrates a government forced into public action by domestic exposure it could not manage through silence. Indonesia's President Prabowo offered </w:t>
      </w:r>
      <w:r w:rsidR="00550022">
        <w:rPr>
          <w:rFonts w:ascii="Times New Roman" w:hAnsi="Times New Roman"/>
          <w:sz w:val="24"/>
        </w:rPr>
        <w:t>to travel to Tehran,</w:t>
      </w:r>
      <w:r>
        <w:rPr>
          <w:rFonts w:ascii="Times New Roman" w:hAnsi="Times New Roman"/>
          <w:sz w:val="24"/>
        </w:rPr>
        <w:t xml:space="preserve"> </w:t>
      </w:r>
      <w:r w:rsidR="003F4629">
        <w:rPr>
          <w:rFonts w:ascii="Times New Roman" w:hAnsi="Times New Roman"/>
          <w:sz w:val="24"/>
        </w:rPr>
        <w:t>a move impractical on strategic grounds</w:t>
      </w:r>
      <w:r>
        <w:rPr>
          <w:rFonts w:ascii="Times New Roman" w:hAnsi="Times New Roman"/>
          <w:sz w:val="24"/>
        </w:rPr>
        <w:t xml:space="preserve"> but necessary for the leader of the world's largest Muslim-majority democracy. Malaysia's Anwar Ibrahim, whose political history gave his government unusual Middle East credibility (Strangio, 2026b), responded with the most assertive positioning. This pattern confirms P3 across all three cases.</w:t>
      </w:r>
    </w:p>
    <w:p w14:paraId="78533AF4" w14:textId="77777777" w:rsidR="0066149A" w:rsidRDefault="00000000" w:rsidP="003F4629">
      <w:pPr>
        <w:spacing w:before="200" w:after="0" w:line="360" w:lineRule="auto"/>
        <w:jc w:val="both"/>
      </w:pPr>
      <w:r>
        <w:rPr>
          <w:rFonts w:ascii="Times New Roman" w:hAnsi="Times New Roman"/>
          <w:b/>
          <w:i/>
          <w:sz w:val="24"/>
        </w:rPr>
        <w:t>5.3 Survivalist Realignment: Collective and State-Level Evidence</w:t>
      </w:r>
    </w:p>
    <w:p w14:paraId="2C0993B5" w14:textId="6E3A1201" w:rsidR="0066149A" w:rsidRDefault="00000000" w:rsidP="003F4629">
      <w:pPr>
        <w:spacing w:after="0" w:line="360" w:lineRule="auto"/>
        <w:jc w:val="both"/>
      </w:pPr>
      <w:r>
        <w:rPr>
          <w:rFonts w:ascii="Times New Roman" w:hAnsi="Times New Roman"/>
          <w:sz w:val="24"/>
        </w:rPr>
        <w:t xml:space="preserve">The ASEAN Foreign Ministers' Statement of 4 March 2026 expressed "serious concern over the escalation of conflict in the Middle East following the attacks initiated by Israel and the United States against the Islamic Republic of Iran" (ASEAN, 2026). For an organization that has avoided attributing responsibility in great-power disputes for six decades, this language is </w:t>
      </w:r>
      <w:r w:rsidR="00550022">
        <w:rPr>
          <w:rFonts w:ascii="Times New Roman" w:hAnsi="Times New Roman"/>
          <w:sz w:val="24"/>
        </w:rPr>
        <w:t>extraordinarily</w:t>
      </w:r>
      <w:r>
        <w:rPr>
          <w:rFonts w:ascii="Times New Roman" w:hAnsi="Times New Roman"/>
          <w:sz w:val="24"/>
        </w:rPr>
        <w:t xml:space="preserve"> reached through consensus, meaning every ASEAN foreign minister endorsed it, including those with historically close Washington relationships. The statement further characterized the escalation as "particularly regrettable as it occurred amid ongoing diplomatic efforts, including mediation initiatives led by Oman" (ASEAN, 2026), implicitly aligning with Oman's and Iran's </w:t>
      </w:r>
      <w:r w:rsidR="00C437ED">
        <w:rPr>
          <w:rFonts w:ascii="Times New Roman" w:hAnsi="Times New Roman"/>
          <w:sz w:val="24"/>
        </w:rPr>
        <w:t>accounts</w:t>
      </w:r>
      <w:r>
        <w:rPr>
          <w:rFonts w:ascii="Times New Roman" w:hAnsi="Times New Roman"/>
          <w:sz w:val="24"/>
        </w:rPr>
        <w:t xml:space="preserve"> of events. Regional reverberations extended beyond ASEAN, with Yacoubian (2026) documenting analogous </w:t>
      </w:r>
      <w:r w:rsidR="00C437ED">
        <w:rPr>
          <w:rFonts w:ascii="Times New Roman" w:hAnsi="Times New Roman"/>
          <w:sz w:val="24"/>
        </w:rPr>
        <w:t>compelling</w:t>
      </w:r>
      <w:r>
        <w:rPr>
          <w:rFonts w:ascii="Times New Roman" w:hAnsi="Times New Roman"/>
          <w:sz w:val="24"/>
        </w:rPr>
        <w:t xml:space="preserve"> dynamics across Gulf states.</w:t>
      </w:r>
    </w:p>
    <w:p w14:paraId="06746458" w14:textId="5B79DFF0" w:rsidR="0066149A" w:rsidRDefault="00000000" w:rsidP="003F4629">
      <w:pPr>
        <w:spacing w:after="0" w:line="360" w:lineRule="auto"/>
        <w:jc w:val="both"/>
      </w:pPr>
      <w:r>
        <w:rPr>
          <w:rFonts w:ascii="Times New Roman" w:hAnsi="Times New Roman"/>
          <w:sz w:val="24"/>
        </w:rPr>
        <w:t>Measured against the four survivalist realignment characteristics: the statement was necessity-driven; collectively institutional in character; reflected selective de-risking through international law invocation while preserving multi-directional economic engagement; and constituted explicit normative distancing</w:t>
      </w:r>
      <w:r w:rsidR="00550022">
        <w:rPr>
          <w:rFonts w:ascii="Times New Roman" w:hAnsi="Times New Roman"/>
          <w:sz w:val="24"/>
        </w:rPr>
        <w:t>,</w:t>
      </w:r>
      <w:r>
        <w:rPr>
          <w:rFonts w:ascii="Times New Roman" w:hAnsi="Times New Roman"/>
          <w:sz w:val="24"/>
        </w:rPr>
        <w:t xml:space="preserve"> the clearest possible signal that ASEAN's normative framework operates independently of US preferences when those preferences conflict with international law.</w:t>
      </w:r>
    </w:p>
    <w:p w14:paraId="3A3A326D" w14:textId="77777777" w:rsidR="0066149A" w:rsidRDefault="00000000" w:rsidP="003F4629">
      <w:pPr>
        <w:spacing w:after="0" w:line="360" w:lineRule="auto"/>
        <w:jc w:val="both"/>
      </w:pPr>
      <w:r>
        <w:rPr>
          <w:rFonts w:ascii="Times New Roman" w:hAnsi="Times New Roman"/>
          <w:sz w:val="24"/>
        </w:rPr>
        <w:t>State-level variation follows the framework's predictions: Thailand concentrated in necessity-driven and economic de-risking dimensions; Indonesia adding the social compellent dimension through activist engagement; Malaysia the most normatively assertive, amplified by Anwar's political identity and net exporter fiscal space (Strangio, 2026a). These patterns confirm P4 (see Table 2).</w:t>
      </w:r>
    </w:p>
    <w:p w14:paraId="65AD4AC0" w14:textId="77777777" w:rsidR="0066149A" w:rsidRDefault="00000000" w:rsidP="003F4629">
      <w:pPr>
        <w:spacing w:before="200" w:after="0" w:line="360" w:lineRule="auto"/>
      </w:pPr>
      <w:r>
        <w:rPr>
          <w:rFonts w:ascii="Times New Roman" w:hAnsi="Times New Roman"/>
          <w:b/>
        </w:rPr>
        <w:lastRenderedPageBreak/>
        <w:t>Table 2.</w:t>
      </w:r>
      <w:r>
        <w:rPr>
          <w:rFonts w:ascii="Times New Roman" w:hAnsi="Times New Roman"/>
          <w:i/>
        </w:rPr>
        <w:t xml:space="preserve"> Cross-case comparison of survivalist realignment characteristics</w:t>
      </w:r>
    </w:p>
    <w:tbl>
      <w:tblPr>
        <w:tblStyle w:val="TableGrid"/>
        <w:tblW w:w="0" w:type="auto"/>
        <w:jc w:val="center"/>
        <w:tblLook w:val="04A0" w:firstRow="1" w:lastRow="0" w:firstColumn="1" w:lastColumn="0" w:noHBand="0" w:noVBand="1"/>
      </w:tblPr>
      <w:tblGrid>
        <w:gridCol w:w="2381"/>
        <w:gridCol w:w="1928"/>
        <w:gridCol w:w="1928"/>
        <w:gridCol w:w="1928"/>
      </w:tblGrid>
      <w:tr w:rsidR="0066149A" w14:paraId="185AC808"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2C3E50"/>
          </w:tcPr>
          <w:p w14:paraId="441988B5" w14:textId="77777777" w:rsidR="0066149A" w:rsidRDefault="00000000" w:rsidP="003F4629">
            <w:pPr>
              <w:spacing w:before="40" w:line="360" w:lineRule="auto"/>
            </w:pPr>
            <w:r>
              <w:rPr>
                <w:rFonts w:ascii="Times New Roman" w:hAnsi="Times New Roman"/>
                <w:b/>
                <w:color w:val="FFFFFF"/>
                <w:sz w:val="17"/>
              </w:rPr>
              <w:t>Characteristic</w:t>
            </w:r>
          </w:p>
        </w:tc>
        <w:tc>
          <w:tcPr>
            <w:tcW w:w="1928" w:type="dxa"/>
            <w:tcBorders>
              <w:top w:val="single" w:sz="4" w:space="0" w:color="4A4A4A"/>
              <w:left w:val="single" w:sz="4" w:space="0" w:color="4A4A4A"/>
              <w:bottom w:val="single" w:sz="4" w:space="0" w:color="4A4A4A"/>
              <w:right w:val="single" w:sz="4" w:space="0" w:color="4A4A4A"/>
            </w:tcBorders>
            <w:shd w:val="clear" w:color="auto" w:fill="2C3E50"/>
          </w:tcPr>
          <w:p w14:paraId="229E633E" w14:textId="77777777" w:rsidR="0066149A" w:rsidRDefault="00000000" w:rsidP="003F4629">
            <w:pPr>
              <w:spacing w:before="40" w:line="360" w:lineRule="auto"/>
            </w:pPr>
            <w:r>
              <w:rPr>
                <w:rFonts w:ascii="Times New Roman" w:hAnsi="Times New Roman"/>
                <w:b/>
                <w:color w:val="FFFFFF"/>
                <w:sz w:val="17"/>
              </w:rPr>
              <w:t>Thailand</w:t>
            </w:r>
          </w:p>
        </w:tc>
        <w:tc>
          <w:tcPr>
            <w:tcW w:w="1928" w:type="dxa"/>
            <w:tcBorders>
              <w:top w:val="single" w:sz="4" w:space="0" w:color="4A4A4A"/>
              <w:left w:val="single" w:sz="4" w:space="0" w:color="4A4A4A"/>
              <w:bottom w:val="single" w:sz="4" w:space="0" w:color="4A4A4A"/>
              <w:right w:val="single" w:sz="4" w:space="0" w:color="4A4A4A"/>
            </w:tcBorders>
            <w:shd w:val="clear" w:color="auto" w:fill="2C3E50"/>
          </w:tcPr>
          <w:p w14:paraId="3152130C" w14:textId="77777777" w:rsidR="0066149A" w:rsidRDefault="00000000" w:rsidP="003F4629">
            <w:pPr>
              <w:spacing w:before="40" w:line="360" w:lineRule="auto"/>
            </w:pPr>
            <w:r>
              <w:rPr>
                <w:rFonts w:ascii="Times New Roman" w:hAnsi="Times New Roman"/>
                <w:b/>
                <w:color w:val="FFFFFF"/>
                <w:sz w:val="17"/>
              </w:rPr>
              <w:t>Indonesia</w:t>
            </w:r>
          </w:p>
        </w:tc>
        <w:tc>
          <w:tcPr>
            <w:tcW w:w="1928" w:type="dxa"/>
            <w:tcBorders>
              <w:top w:val="single" w:sz="4" w:space="0" w:color="4A4A4A"/>
              <w:left w:val="single" w:sz="4" w:space="0" w:color="4A4A4A"/>
              <w:bottom w:val="single" w:sz="4" w:space="0" w:color="4A4A4A"/>
              <w:right w:val="single" w:sz="4" w:space="0" w:color="4A4A4A"/>
            </w:tcBorders>
            <w:shd w:val="clear" w:color="auto" w:fill="2C3E50"/>
          </w:tcPr>
          <w:p w14:paraId="34B17ED0" w14:textId="77777777" w:rsidR="0066149A" w:rsidRDefault="00000000" w:rsidP="003F4629">
            <w:pPr>
              <w:spacing w:before="40" w:line="360" w:lineRule="auto"/>
            </w:pPr>
            <w:r>
              <w:rPr>
                <w:rFonts w:ascii="Times New Roman" w:hAnsi="Times New Roman"/>
                <w:b/>
                <w:color w:val="FFFFFF"/>
                <w:sz w:val="17"/>
              </w:rPr>
              <w:t>Malaysia</w:t>
            </w:r>
          </w:p>
        </w:tc>
      </w:tr>
      <w:tr w:rsidR="0066149A" w14:paraId="43D22492"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EBF5FB"/>
          </w:tcPr>
          <w:p w14:paraId="6DB8A5E8" w14:textId="77777777" w:rsidR="0066149A" w:rsidRDefault="00000000" w:rsidP="003F4629">
            <w:pPr>
              <w:spacing w:before="40" w:line="360" w:lineRule="auto"/>
            </w:pPr>
            <w:r>
              <w:rPr>
                <w:rFonts w:ascii="Times New Roman" w:hAnsi="Times New Roman"/>
                <w:b/>
                <w:sz w:val="16"/>
              </w:rPr>
              <w:t>1. Necessity-driven</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5FC1AEAA" w14:textId="79533115" w:rsidR="0066149A" w:rsidRDefault="00000000" w:rsidP="003F4629">
            <w:pPr>
              <w:spacing w:before="40" w:line="360" w:lineRule="auto"/>
            </w:pPr>
            <w:r>
              <w:rPr>
                <w:rFonts w:ascii="Times New Roman" w:hAnsi="Times New Roman"/>
                <w:sz w:val="16"/>
              </w:rPr>
              <w:t xml:space="preserve">HIGH </w:t>
            </w:r>
            <w:r w:rsidR="003F4629">
              <w:rPr>
                <w:rFonts w:ascii="Times New Roman" w:hAnsi="Times New Roman"/>
                <w:sz w:val="16"/>
              </w:rPr>
              <w:t xml:space="preserve">  </w:t>
            </w:r>
            <w:r>
              <w:rPr>
                <w:rFonts w:ascii="Times New Roman" w:hAnsi="Times New Roman"/>
                <w:sz w:val="16"/>
              </w:rPr>
              <w:t xml:space="preserve"> energy crisis; export suspension; SET circuit breaker</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2456937D" w14:textId="13C43328" w:rsidR="0066149A" w:rsidRDefault="00000000" w:rsidP="003F4629">
            <w:pPr>
              <w:spacing w:before="40" w:line="360" w:lineRule="auto"/>
            </w:pPr>
            <w:r>
              <w:rPr>
                <w:rFonts w:ascii="Times New Roman" w:hAnsi="Times New Roman"/>
                <w:sz w:val="16"/>
              </w:rPr>
              <w:t xml:space="preserve">HIGH </w:t>
            </w:r>
            <w:r w:rsidR="003F4629">
              <w:rPr>
                <w:rFonts w:ascii="Times New Roman" w:hAnsi="Times New Roman"/>
                <w:sz w:val="16"/>
              </w:rPr>
              <w:t xml:space="preserve">  </w:t>
            </w:r>
            <w:r>
              <w:rPr>
                <w:rFonts w:ascii="Times New Roman" w:hAnsi="Times New Roman"/>
                <w:sz w:val="16"/>
              </w:rPr>
              <w:t xml:space="preserve"> inflation risk; domestic political pressure; Muslim-majority publics</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2864F32F" w14:textId="26FEC4F9" w:rsidR="0066149A" w:rsidRDefault="00000000" w:rsidP="003F4629">
            <w:pPr>
              <w:spacing w:before="40" w:line="360" w:lineRule="auto"/>
            </w:pPr>
            <w:r>
              <w:rPr>
                <w:rFonts w:ascii="Times New Roman" w:hAnsi="Times New Roman"/>
                <w:sz w:val="16"/>
              </w:rPr>
              <w:t xml:space="preserve">MODERATE </w:t>
            </w:r>
            <w:r w:rsidR="003F4629">
              <w:rPr>
                <w:rFonts w:ascii="Times New Roman" w:hAnsi="Times New Roman"/>
                <w:sz w:val="16"/>
              </w:rPr>
              <w:t xml:space="preserve">  </w:t>
            </w:r>
            <w:r>
              <w:rPr>
                <w:rFonts w:ascii="Times New Roman" w:hAnsi="Times New Roman"/>
                <w:sz w:val="16"/>
              </w:rPr>
              <w:t xml:space="preserve"> net exporter; Petronas windfall partially offsets pressure</w:t>
            </w:r>
          </w:p>
        </w:tc>
      </w:tr>
      <w:tr w:rsidR="0066149A" w14:paraId="795B41B2"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FFFFFF"/>
          </w:tcPr>
          <w:p w14:paraId="6FD1CE5A" w14:textId="77777777" w:rsidR="0066149A" w:rsidRDefault="00000000" w:rsidP="003F4629">
            <w:pPr>
              <w:spacing w:before="40" w:line="360" w:lineRule="auto"/>
            </w:pPr>
            <w:r>
              <w:rPr>
                <w:rFonts w:ascii="Times New Roman" w:hAnsi="Times New Roman"/>
                <w:b/>
                <w:sz w:val="16"/>
              </w:rPr>
              <w:t>2. Collective-institutional</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5EE64050" w14:textId="5BF9616E" w:rsidR="0066149A" w:rsidRDefault="00000000" w:rsidP="003F4629">
            <w:pPr>
              <w:spacing w:before="40" w:line="360" w:lineRule="auto"/>
            </w:pPr>
            <w:r>
              <w:rPr>
                <w:rFonts w:ascii="Times New Roman" w:hAnsi="Times New Roman"/>
                <w:sz w:val="16"/>
              </w:rPr>
              <w:t xml:space="preserve">SUPPORTIVE </w:t>
            </w:r>
            <w:r w:rsidR="003F4629">
              <w:rPr>
                <w:rFonts w:ascii="Times New Roman" w:hAnsi="Times New Roman"/>
                <w:sz w:val="16"/>
              </w:rPr>
              <w:t xml:space="preserve">  </w:t>
            </w:r>
            <w:r>
              <w:rPr>
                <w:rFonts w:ascii="Times New Roman" w:hAnsi="Times New Roman"/>
                <w:sz w:val="16"/>
              </w:rPr>
              <w:t xml:space="preserve"> endorsed ASEAN statement; bilateral tone more muted</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423E3360" w14:textId="05C10746" w:rsidR="0066149A" w:rsidRDefault="00000000" w:rsidP="003F4629">
            <w:pPr>
              <w:spacing w:before="40" w:line="360" w:lineRule="auto"/>
            </w:pPr>
            <w:r>
              <w:rPr>
                <w:rFonts w:ascii="Times New Roman" w:hAnsi="Times New Roman"/>
                <w:sz w:val="16"/>
              </w:rPr>
              <w:t xml:space="preserve">SUPPORTIVE </w:t>
            </w:r>
            <w:r w:rsidR="003F4629">
              <w:rPr>
                <w:rFonts w:ascii="Times New Roman" w:hAnsi="Times New Roman"/>
                <w:sz w:val="16"/>
              </w:rPr>
              <w:t xml:space="preserve">  </w:t>
            </w:r>
            <w:r>
              <w:rPr>
                <w:rFonts w:ascii="Times New Roman" w:hAnsi="Times New Roman"/>
                <w:sz w:val="16"/>
              </w:rPr>
              <w:t xml:space="preserve"> endorsed statement; bilateral mediation offer adds unilateral dimension</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6745BC72" w14:textId="04E31573" w:rsidR="0066149A" w:rsidRDefault="003F4629" w:rsidP="003F4629">
            <w:pPr>
              <w:spacing w:before="40" w:line="360" w:lineRule="auto"/>
            </w:pPr>
            <w:r>
              <w:rPr>
                <w:rFonts w:ascii="Times New Roman" w:hAnsi="Times New Roman"/>
                <w:sz w:val="16"/>
              </w:rPr>
              <w:t>ENTREPRENEURIAL-shaped</w:t>
            </w:r>
            <w:r w:rsidR="00000000">
              <w:rPr>
                <w:rFonts w:ascii="Times New Roman" w:hAnsi="Times New Roman"/>
                <w:sz w:val="16"/>
              </w:rPr>
              <w:t xml:space="preserve"> consensus language; Anwar's political capital amplified assertiveness</w:t>
            </w:r>
          </w:p>
        </w:tc>
      </w:tr>
      <w:tr w:rsidR="0066149A" w14:paraId="4FE3C5F3"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EBF5FB"/>
          </w:tcPr>
          <w:p w14:paraId="3CF4332A" w14:textId="77777777" w:rsidR="0066149A" w:rsidRDefault="00000000" w:rsidP="003F4629">
            <w:pPr>
              <w:spacing w:before="40" w:line="360" w:lineRule="auto"/>
            </w:pPr>
            <w:r>
              <w:rPr>
                <w:rFonts w:ascii="Times New Roman" w:hAnsi="Times New Roman"/>
                <w:b/>
                <w:sz w:val="16"/>
              </w:rPr>
              <w:t>3. Selective de-risking</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7F5BA281" w14:textId="02A41954" w:rsidR="0066149A" w:rsidRDefault="00000000" w:rsidP="003F4629">
            <w:pPr>
              <w:spacing w:before="40" w:line="360" w:lineRule="auto"/>
            </w:pPr>
            <w:r>
              <w:rPr>
                <w:rFonts w:ascii="Times New Roman" w:hAnsi="Times New Roman"/>
                <w:sz w:val="16"/>
              </w:rPr>
              <w:t xml:space="preserve">STRONG </w:t>
            </w:r>
            <w:r w:rsidR="003F4629">
              <w:rPr>
                <w:rFonts w:ascii="Times New Roman" w:hAnsi="Times New Roman"/>
                <w:sz w:val="16"/>
              </w:rPr>
              <w:t xml:space="preserve">  </w:t>
            </w:r>
            <w:r>
              <w:rPr>
                <w:rFonts w:ascii="Times New Roman" w:hAnsi="Times New Roman"/>
                <w:sz w:val="16"/>
              </w:rPr>
              <w:t xml:space="preserve"> crude export suspension; emergency reserves; accelerated regional energy procurement</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79761D4E" w14:textId="153FDF8B" w:rsidR="0066149A" w:rsidRDefault="00000000" w:rsidP="003F4629">
            <w:pPr>
              <w:spacing w:before="40" w:line="360" w:lineRule="auto"/>
            </w:pPr>
            <w:r>
              <w:rPr>
                <w:rFonts w:ascii="Times New Roman" w:hAnsi="Times New Roman"/>
                <w:sz w:val="16"/>
              </w:rPr>
              <w:t xml:space="preserve">MIXED </w:t>
            </w:r>
            <w:r w:rsidR="003F4629">
              <w:rPr>
                <w:rFonts w:ascii="Times New Roman" w:hAnsi="Times New Roman"/>
                <w:sz w:val="16"/>
              </w:rPr>
              <w:t xml:space="preserve">  </w:t>
            </w:r>
            <w:r>
              <w:rPr>
                <w:rFonts w:ascii="Times New Roman" w:hAnsi="Times New Roman"/>
                <w:sz w:val="16"/>
              </w:rPr>
              <w:t xml:space="preserve"> increased US oil imports while condemning operations; contradictory exporter pressures</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434F2FA6" w14:textId="2BAE5C0A" w:rsidR="0066149A" w:rsidRDefault="00000000" w:rsidP="003F4629">
            <w:pPr>
              <w:spacing w:before="40" w:line="360" w:lineRule="auto"/>
            </w:pPr>
            <w:r>
              <w:rPr>
                <w:rFonts w:ascii="Times New Roman" w:hAnsi="Times New Roman"/>
                <w:sz w:val="16"/>
              </w:rPr>
              <w:t xml:space="preserve">MODERATE </w:t>
            </w:r>
            <w:r w:rsidR="003F4629">
              <w:rPr>
                <w:rFonts w:ascii="Times New Roman" w:hAnsi="Times New Roman"/>
                <w:sz w:val="16"/>
              </w:rPr>
              <w:t xml:space="preserve">  </w:t>
            </w:r>
            <w:r>
              <w:rPr>
                <w:rFonts w:ascii="Times New Roman" w:hAnsi="Times New Roman"/>
                <w:sz w:val="16"/>
              </w:rPr>
              <w:t xml:space="preserve"> Petronas diversification; maintained Washington trade engagement</w:t>
            </w:r>
          </w:p>
        </w:tc>
      </w:tr>
      <w:tr w:rsidR="0066149A" w14:paraId="39FB5F22"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FFFFFF"/>
          </w:tcPr>
          <w:p w14:paraId="702DE287" w14:textId="77777777" w:rsidR="0066149A" w:rsidRDefault="00000000" w:rsidP="003F4629">
            <w:pPr>
              <w:spacing w:before="40" w:line="360" w:lineRule="auto"/>
            </w:pPr>
            <w:r>
              <w:rPr>
                <w:rFonts w:ascii="Times New Roman" w:hAnsi="Times New Roman"/>
                <w:b/>
                <w:sz w:val="16"/>
              </w:rPr>
              <w:t>4. Normative distancing</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2B583A6C" w14:textId="38919952" w:rsidR="0066149A" w:rsidRDefault="00000000" w:rsidP="003F4629">
            <w:pPr>
              <w:spacing w:before="40" w:line="360" w:lineRule="auto"/>
            </w:pPr>
            <w:r>
              <w:rPr>
                <w:rFonts w:ascii="Times New Roman" w:hAnsi="Times New Roman"/>
                <w:sz w:val="16"/>
              </w:rPr>
              <w:t xml:space="preserve">MUTED </w:t>
            </w:r>
            <w:r w:rsidR="003F4629">
              <w:rPr>
                <w:rFonts w:ascii="Times New Roman" w:hAnsi="Times New Roman"/>
                <w:sz w:val="16"/>
              </w:rPr>
              <w:t xml:space="preserve">  </w:t>
            </w:r>
            <w:r>
              <w:rPr>
                <w:rFonts w:ascii="Times New Roman" w:hAnsi="Times New Roman"/>
                <w:sz w:val="16"/>
              </w:rPr>
              <w:t xml:space="preserve"> endorsed collective statement; alliance obligations constrain public positioning</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72C611EE" w14:textId="3EC17E85" w:rsidR="0066149A" w:rsidRDefault="00000000" w:rsidP="003F4629">
            <w:pPr>
              <w:spacing w:before="40" w:line="360" w:lineRule="auto"/>
            </w:pPr>
            <w:r>
              <w:rPr>
                <w:rFonts w:ascii="Times New Roman" w:hAnsi="Times New Roman"/>
                <w:sz w:val="16"/>
              </w:rPr>
              <w:t xml:space="preserve">MODERATE </w:t>
            </w:r>
            <w:r w:rsidR="003F4629">
              <w:rPr>
                <w:rFonts w:ascii="Times New Roman" w:hAnsi="Times New Roman"/>
                <w:sz w:val="16"/>
              </w:rPr>
              <w:t xml:space="preserve">  </w:t>
            </w:r>
            <w:r>
              <w:rPr>
                <w:rFonts w:ascii="Times New Roman" w:hAnsi="Times New Roman"/>
                <w:sz w:val="16"/>
              </w:rPr>
              <w:t xml:space="preserve"> Prabowo mediation implies implicit US condemnation; Board of Peace suspension</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33AAC95A" w14:textId="7774D0FE" w:rsidR="0066149A" w:rsidRDefault="00000000" w:rsidP="003F4629">
            <w:pPr>
              <w:spacing w:before="40" w:line="360" w:lineRule="auto"/>
            </w:pPr>
            <w:r>
              <w:rPr>
                <w:rFonts w:ascii="Times New Roman" w:hAnsi="Times New Roman"/>
                <w:sz w:val="16"/>
              </w:rPr>
              <w:t xml:space="preserve">HIGH </w:t>
            </w:r>
            <w:r w:rsidR="003F4629">
              <w:rPr>
                <w:rFonts w:ascii="Times New Roman" w:hAnsi="Times New Roman"/>
                <w:sz w:val="16"/>
              </w:rPr>
              <w:t xml:space="preserve">  </w:t>
            </w:r>
            <w:r>
              <w:rPr>
                <w:rFonts w:ascii="Times New Roman" w:hAnsi="Times New Roman"/>
                <w:sz w:val="16"/>
              </w:rPr>
              <w:t xml:space="preserve"> Anwar's identity; explicit public condemnation; drove attribution consensus</w:t>
            </w:r>
          </w:p>
        </w:tc>
      </w:tr>
      <w:tr w:rsidR="0066149A" w14:paraId="23D9443D"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EBF5FB"/>
          </w:tcPr>
          <w:p w14:paraId="7B7D623B" w14:textId="77777777" w:rsidR="0066149A" w:rsidRDefault="00000000" w:rsidP="003F4629">
            <w:pPr>
              <w:spacing w:before="40" w:line="360" w:lineRule="auto"/>
            </w:pPr>
            <w:r>
              <w:rPr>
                <w:rFonts w:ascii="Times New Roman" w:hAnsi="Times New Roman"/>
                <w:b/>
                <w:sz w:val="16"/>
              </w:rPr>
              <w:t>Primary compellent</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142E6B32" w14:textId="45B5A3B6" w:rsidR="0066149A" w:rsidRDefault="00000000" w:rsidP="003F4629">
            <w:pPr>
              <w:spacing w:before="40" w:line="360" w:lineRule="auto"/>
            </w:pPr>
            <w:r>
              <w:rPr>
                <w:rFonts w:ascii="Times New Roman" w:hAnsi="Times New Roman"/>
                <w:sz w:val="16"/>
              </w:rPr>
              <w:t xml:space="preserve">Economic </w:t>
            </w:r>
            <w:r w:rsidR="003F4629">
              <w:rPr>
                <w:rFonts w:ascii="Times New Roman" w:hAnsi="Times New Roman"/>
                <w:sz w:val="16"/>
              </w:rPr>
              <w:t xml:space="preserve">  </w:t>
            </w:r>
            <w:r>
              <w:rPr>
                <w:rFonts w:ascii="Times New Roman" w:hAnsi="Times New Roman"/>
                <w:sz w:val="16"/>
              </w:rPr>
              <w:t xml:space="preserve"> energy shock; SET collapse</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53D31715" w14:textId="5DF13695" w:rsidR="0066149A" w:rsidRDefault="00000000" w:rsidP="003F4629">
            <w:pPr>
              <w:spacing w:before="40" w:line="360" w:lineRule="auto"/>
            </w:pPr>
            <w:r>
              <w:rPr>
                <w:rFonts w:ascii="Times New Roman" w:hAnsi="Times New Roman"/>
                <w:sz w:val="16"/>
              </w:rPr>
              <w:t xml:space="preserve">Social </w:t>
            </w:r>
            <w:r w:rsidR="003F4629">
              <w:rPr>
                <w:rFonts w:ascii="Times New Roman" w:hAnsi="Times New Roman"/>
                <w:sz w:val="16"/>
              </w:rPr>
              <w:t xml:space="preserve">  </w:t>
            </w:r>
            <w:r>
              <w:rPr>
                <w:rFonts w:ascii="Times New Roman" w:hAnsi="Times New Roman"/>
                <w:sz w:val="16"/>
              </w:rPr>
              <w:t xml:space="preserve"> migrant workers; Muslim-majority domestic pressure</w:t>
            </w:r>
          </w:p>
        </w:tc>
        <w:tc>
          <w:tcPr>
            <w:tcW w:w="1928" w:type="dxa"/>
            <w:tcBorders>
              <w:top w:val="single" w:sz="4" w:space="0" w:color="4A4A4A"/>
              <w:left w:val="single" w:sz="4" w:space="0" w:color="4A4A4A"/>
              <w:bottom w:val="single" w:sz="4" w:space="0" w:color="4A4A4A"/>
              <w:right w:val="single" w:sz="4" w:space="0" w:color="4A4A4A"/>
            </w:tcBorders>
            <w:shd w:val="clear" w:color="auto" w:fill="EBF5FB"/>
          </w:tcPr>
          <w:p w14:paraId="64296A20" w14:textId="5210CD72" w:rsidR="0066149A" w:rsidRDefault="00000000" w:rsidP="003F4629">
            <w:pPr>
              <w:spacing w:before="40" w:line="360" w:lineRule="auto"/>
            </w:pPr>
            <w:r>
              <w:rPr>
                <w:rFonts w:ascii="Times New Roman" w:hAnsi="Times New Roman"/>
                <w:sz w:val="16"/>
              </w:rPr>
              <w:t xml:space="preserve">Normative </w:t>
            </w:r>
            <w:r w:rsidR="003F4629">
              <w:rPr>
                <w:rFonts w:ascii="Times New Roman" w:hAnsi="Times New Roman"/>
                <w:sz w:val="16"/>
              </w:rPr>
              <w:t xml:space="preserve">  </w:t>
            </w:r>
            <w:r>
              <w:rPr>
                <w:rFonts w:ascii="Times New Roman" w:hAnsi="Times New Roman"/>
                <w:sz w:val="16"/>
              </w:rPr>
              <w:t xml:space="preserve"> Anwar's identity; international law framing</w:t>
            </w:r>
          </w:p>
        </w:tc>
      </w:tr>
      <w:tr w:rsidR="0066149A" w14:paraId="29A73E3F" w14:textId="77777777">
        <w:trPr>
          <w:jc w:val="center"/>
        </w:trPr>
        <w:tc>
          <w:tcPr>
            <w:tcW w:w="2381" w:type="dxa"/>
            <w:tcBorders>
              <w:top w:val="single" w:sz="4" w:space="0" w:color="4A4A4A"/>
              <w:left w:val="single" w:sz="4" w:space="0" w:color="4A4A4A"/>
              <w:bottom w:val="single" w:sz="4" w:space="0" w:color="4A4A4A"/>
              <w:right w:val="single" w:sz="4" w:space="0" w:color="4A4A4A"/>
            </w:tcBorders>
            <w:shd w:val="clear" w:color="auto" w:fill="FFFFFF"/>
          </w:tcPr>
          <w:p w14:paraId="611BA03D" w14:textId="77777777" w:rsidR="0066149A" w:rsidRDefault="00000000" w:rsidP="003F4629">
            <w:pPr>
              <w:spacing w:before="40" w:line="360" w:lineRule="auto"/>
            </w:pPr>
            <w:r>
              <w:rPr>
                <w:rFonts w:ascii="Times New Roman" w:hAnsi="Times New Roman"/>
                <w:b/>
                <w:sz w:val="16"/>
              </w:rPr>
              <w:t>Energy profile</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7BDF3A52" w14:textId="2F8A3C55" w:rsidR="0066149A" w:rsidRDefault="00000000" w:rsidP="003F4629">
            <w:pPr>
              <w:spacing w:before="40" w:line="360" w:lineRule="auto"/>
            </w:pPr>
            <w:r>
              <w:rPr>
                <w:rFonts w:ascii="Times New Roman" w:hAnsi="Times New Roman"/>
                <w:sz w:val="16"/>
              </w:rPr>
              <w:t xml:space="preserve">Net importer </w:t>
            </w:r>
            <w:r w:rsidR="003F4629">
              <w:rPr>
                <w:rFonts w:ascii="Times New Roman" w:hAnsi="Times New Roman"/>
                <w:sz w:val="16"/>
              </w:rPr>
              <w:t xml:space="preserve">  </w:t>
            </w:r>
            <w:r>
              <w:rPr>
                <w:rFonts w:ascii="Times New Roman" w:hAnsi="Times New Roman"/>
                <w:sz w:val="16"/>
              </w:rPr>
              <w:t xml:space="preserve"> most exposed; ~2 months reserve</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3DCD46CA" w14:textId="60D2D4F6" w:rsidR="0066149A" w:rsidRDefault="00000000" w:rsidP="003F4629">
            <w:pPr>
              <w:spacing w:before="40" w:line="360" w:lineRule="auto"/>
            </w:pPr>
            <w:r>
              <w:rPr>
                <w:rFonts w:ascii="Times New Roman" w:hAnsi="Times New Roman"/>
                <w:sz w:val="16"/>
              </w:rPr>
              <w:t xml:space="preserve">Partial exporter </w:t>
            </w:r>
            <w:r w:rsidR="003F4629">
              <w:rPr>
                <w:rFonts w:ascii="Times New Roman" w:hAnsi="Times New Roman"/>
                <w:sz w:val="16"/>
              </w:rPr>
              <w:t xml:space="preserve">  </w:t>
            </w:r>
            <w:r>
              <w:rPr>
                <w:rFonts w:ascii="Times New Roman" w:hAnsi="Times New Roman"/>
                <w:sz w:val="16"/>
              </w:rPr>
              <w:t xml:space="preserve"> contradictory incentives; Pertamina windfall vs. subsidy strain</w:t>
            </w:r>
          </w:p>
        </w:tc>
        <w:tc>
          <w:tcPr>
            <w:tcW w:w="1928" w:type="dxa"/>
            <w:tcBorders>
              <w:top w:val="single" w:sz="4" w:space="0" w:color="4A4A4A"/>
              <w:left w:val="single" w:sz="4" w:space="0" w:color="4A4A4A"/>
              <w:bottom w:val="single" w:sz="4" w:space="0" w:color="4A4A4A"/>
              <w:right w:val="single" w:sz="4" w:space="0" w:color="4A4A4A"/>
            </w:tcBorders>
            <w:shd w:val="clear" w:color="auto" w:fill="FFFFFF"/>
          </w:tcPr>
          <w:p w14:paraId="0721758C" w14:textId="369403D5" w:rsidR="0066149A" w:rsidRDefault="00000000" w:rsidP="003F4629">
            <w:pPr>
              <w:spacing w:before="40" w:line="360" w:lineRule="auto"/>
            </w:pPr>
            <w:r>
              <w:rPr>
                <w:rFonts w:ascii="Times New Roman" w:hAnsi="Times New Roman"/>
                <w:sz w:val="16"/>
              </w:rPr>
              <w:t xml:space="preserve">Net exporter </w:t>
            </w:r>
            <w:r w:rsidR="003F4629">
              <w:rPr>
                <w:rFonts w:ascii="Times New Roman" w:hAnsi="Times New Roman"/>
                <w:sz w:val="16"/>
              </w:rPr>
              <w:t xml:space="preserve">  </w:t>
            </w:r>
            <w:r>
              <w:rPr>
                <w:rFonts w:ascii="Times New Roman" w:hAnsi="Times New Roman"/>
                <w:sz w:val="16"/>
              </w:rPr>
              <w:t xml:space="preserve"> Petronas; fiscal space enables assertive posture</w:t>
            </w:r>
          </w:p>
        </w:tc>
      </w:tr>
    </w:tbl>
    <w:p w14:paraId="100BCE2E" w14:textId="77777777" w:rsidR="0066149A" w:rsidRDefault="00000000" w:rsidP="003F4629">
      <w:pPr>
        <w:spacing w:before="60" w:after="0" w:line="360" w:lineRule="auto"/>
      </w:pPr>
      <w:r>
        <w:rPr>
          <w:rFonts w:ascii="Times New Roman" w:hAnsi="Times New Roman"/>
          <w:i/>
          <w:sz w:val="18"/>
        </w:rPr>
        <w:t>Note: Intensity designations are analytic judgments based on cross-verified government documents and media sources. ENTREPRENEURIAL = active leadership role in shaping collective output beyond mere endorsement.</w:t>
      </w:r>
    </w:p>
    <w:p w14:paraId="2FF185A4" w14:textId="77777777" w:rsidR="0066149A" w:rsidRDefault="00000000" w:rsidP="003F4629">
      <w:pPr>
        <w:pStyle w:val="Heading1"/>
        <w:spacing w:line="360" w:lineRule="auto"/>
      </w:pPr>
      <w:r>
        <w:t>6. Discussion</w:t>
      </w:r>
    </w:p>
    <w:p w14:paraId="5FA0B0A1" w14:textId="77777777" w:rsidR="0066149A" w:rsidRDefault="00000000" w:rsidP="003F4629">
      <w:pPr>
        <w:spacing w:before="200" w:after="0" w:line="360" w:lineRule="auto"/>
        <w:jc w:val="both"/>
      </w:pPr>
      <w:r>
        <w:rPr>
          <w:rFonts w:ascii="Times New Roman" w:hAnsi="Times New Roman"/>
          <w:b/>
          <w:i/>
          <w:sz w:val="24"/>
        </w:rPr>
        <w:t>6.1 Theoretical Implications</w:t>
      </w:r>
    </w:p>
    <w:p w14:paraId="32A4F857" w14:textId="77778998" w:rsidR="0066149A" w:rsidRDefault="00000000" w:rsidP="003F4629">
      <w:pPr>
        <w:spacing w:after="0" w:line="360" w:lineRule="auto"/>
        <w:jc w:val="both"/>
      </w:pPr>
      <w:r>
        <w:rPr>
          <w:rFonts w:ascii="Times New Roman" w:hAnsi="Times New Roman"/>
          <w:sz w:val="24"/>
        </w:rPr>
        <w:t xml:space="preserve">Four theoretical implications follow. The results validate survivalist realignment as a necessary extension of existing hedging frameworks. Kuik (2008), Kuik (2016), Kuik (2021), and Haacke (2019) have produced sophisticated accounts of hedging under gradual structural change, but as He and Feng (2023) anticipate, deepening competition eventually forces states toward harder choices. The 2026 Iran war provides precisely the empirical conditions </w:t>
      </w:r>
      <w:r w:rsidR="00550022">
        <w:rPr>
          <w:rFonts w:ascii="Times New Roman" w:hAnsi="Times New Roman"/>
          <w:sz w:val="24"/>
        </w:rPr>
        <w:t xml:space="preserve">for </w:t>
      </w:r>
      <w:r>
        <w:rPr>
          <w:rFonts w:ascii="Times New Roman" w:hAnsi="Times New Roman"/>
          <w:sz w:val="24"/>
        </w:rPr>
        <w:t>sudden overlapping crises that expose this theoretical gap.</w:t>
      </w:r>
    </w:p>
    <w:p w14:paraId="7DD7F200" w14:textId="55DCEC3D" w:rsidR="0066149A" w:rsidRDefault="00000000" w:rsidP="003F4629">
      <w:pPr>
        <w:spacing w:after="0" w:line="360" w:lineRule="auto"/>
        <w:jc w:val="both"/>
      </w:pPr>
      <w:r>
        <w:rPr>
          <w:rFonts w:ascii="Times New Roman" w:hAnsi="Times New Roman"/>
          <w:sz w:val="24"/>
        </w:rPr>
        <w:lastRenderedPageBreak/>
        <w:t xml:space="preserve">Second, the findings reposition the collective institutional level from background context to primary analytical unit. Under systemic rupture, the collective framework becomes constitutive of strategic agency itself: the ASEAN statement is not the sum of ten bilateral positions but a qualitatively distinct act no individual state could have performed alone. This redirects theoretical attention </w:t>
      </w:r>
      <w:r w:rsidR="00C437ED">
        <w:rPr>
          <w:rFonts w:ascii="Times New Roman" w:hAnsi="Times New Roman"/>
          <w:sz w:val="24"/>
        </w:rPr>
        <w:t>to the conditions under which regional institutions exercise</w:t>
      </w:r>
      <w:r>
        <w:rPr>
          <w:rFonts w:ascii="Times New Roman" w:hAnsi="Times New Roman"/>
          <w:sz w:val="24"/>
        </w:rPr>
        <w:t xml:space="preserve"> primary strategic agency, building on Ciorciari's (2010) documentation of how structural calculations have shaped ASEAN alignment.</w:t>
      </w:r>
    </w:p>
    <w:p w14:paraId="606BE661" w14:textId="17ECAF5B" w:rsidR="0066149A" w:rsidRDefault="00000000" w:rsidP="003F4629">
      <w:pPr>
        <w:spacing w:after="0" w:line="360" w:lineRule="auto"/>
        <w:jc w:val="both"/>
      </w:pPr>
      <w:r>
        <w:rPr>
          <w:rFonts w:ascii="Times New Roman" w:hAnsi="Times New Roman"/>
          <w:sz w:val="24"/>
        </w:rPr>
        <w:t>Third, the findings contribute to debates on hegemonic transition (Layne, 1993; Layne, 2012; Layne, 2018; Ikenberry, 2011; Brands &amp; Gaddis, 2021). The 2026 Iran war provides evidence that transitions can be punctuated by discrete normative events</w:t>
      </w:r>
      <w:r w:rsidR="00550022">
        <w:rPr>
          <w:rFonts w:ascii="Times New Roman" w:hAnsi="Times New Roman"/>
          <w:sz w:val="24"/>
        </w:rPr>
        <w:t xml:space="preserve">, </w:t>
      </w:r>
      <w:r w:rsidR="003F4629">
        <w:rPr>
          <w:rFonts w:ascii="Times New Roman" w:hAnsi="Times New Roman"/>
          <w:sz w:val="24"/>
        </w:rPr>
        <w:t>such as the deliberate abandonment of diplomacy and</w:t>
      </w:r>
      <w:r w:rsidR="00550022">
        <w:rPr>
          <w:rFonts w:ascii="Times New Roman" w:hAnsi="Times New Roman"/>
          <w:sz w:val="24"/>
        </w:rPr>
        <w:t xml:space="preserve"> the assassination of a negotiating counterpart,</w:t>
      </w:r>
      <w:r>
        <w:rPr>
          <w:rFonts w:ascii="Times New Roman" w:hAnsi="Times New Roman"/>
          <w:sz w:val="24"/>
        </w:rPr>
        <w:t xml:space="preserve"> producing discontinuous legitimacy shifts that capability-based analysis does not predict. Zha (2023) identifies precisely this dynamic; Kirshner (2014) anticipated that legitimacy damage compounds in ways </w:t>
      </w:r>
      <w:r w:rsidR="00C437ED">
        <w:rPr>
          <w:rFonts w:ascii="Times New Roman" w:hAnsi="Times New Roman"/>
          <w:sz w:val="24"/>
        </w:rPr>
        <w:t xml:space="preserve">that </w:t>
      </w:r>
      <w:r>
        <w:rPr>
          <w:rFonts w:ascii="Times New Roman" w:hAnsi="Times New Roman"/>
          <w:sz w:val="24"/>
        </w:rPr>
        <w:t>material recovery cannot repair.</w:t>
      </w:r>
    </w:p>
    <w:p w14:paraId="26720529" w14:textId="17850DD7" w:rsidR="0066149A" w:rsidRDefault="00000000" w:rsidP="003F4629">
      <w:pPr>
        <w:spacing w:after="0" w:line="360" w:lineRule="auto"/>
        <w:jc w:val="both"/>
      </w:pPr>
      <w:r>
        <w:rPr>
          <w:rFonts w:ascii="Times New Roman" w:hAnsi="Times New Roman"/>
          <w:sz w:val="24"/>
        </w:rPr>
        <w:t xml:space="preserve">Fourth, Hirschman's (1980) dependence-as-compellent mechanism operates with full force in the energy security domain: the Hormuz closure activated foreign policy responses that governments had previously managed through deliberate ambiguity. Two objections warrant acknowledgment. The first </w:t>
      </w:r>
      <w:r w:rsidR="00550022">
        <w:rPr>
          <w:rFonts w:ascii="Times New Roman" w:hAnsi="Times New Roman"/>
          <w:sz w:val="24"/>
        </w:rPr>
        <w:t xml:space="preserve">thing </w:t>
      </w:r>
      <w:r w:rsidR="003F4629">
        <w:rPr>
          <w:rFonts w:ascii="Times New Roman" w:hAnsi="Times New Roman"/>
          <w:sz w:val="24"/>
        </w:rPr>
        <w:t>the ASEAN statement reflects is rhetorical posturing</w:t>
      </w:r>
      <w:r w:rsidR="00550022">
        <w:rPr>
          <w:rFonts w:ascii="Times New Roman" w:hAnsi="Times New Roman"/>
          <w:sz w:val="24"/>
        </w:rPr>
        <w:t xml:space="preserve">, but it </w:t>
      </w:r>
      <w:r>
        <w:rPr>
          <w:rFonts w:ascii="Times New Roman" w:hAnsi="Times New Roman"/>
          <w:sz w:val="24"/>
        </w:rPr>
        <w:t>misunderstands the claim: survivalist realignment is a mode of adaptation, not a completed structural transition. The second targets the temporal scope: nine days may capture crisis management rather than durable realignment.</w:t>
      </w:r>
    </w:p>
    <w:p w14:paraId="7F3CBB46" w14:textId="77777777" w:rsidR="0066149A" w:rsidRDefault="00000000" w:rsidP="003F4629">
      <w:pPr>
        <w:spacing w:before="200" w:after="0" w:line="360" w:lineRule="auto"/>
        <w:jc w:val="both"/>
      </w:pPr>
      <w:r>
        <w:rPr>
          <w:rFonts w:ascii="Times New Roman" w:hAnsi="Times New Roman"/>
          <w:b/>
          <w:i/>
          <w:sz w:val="24"/>
        </w:rPr>
        <w:t>6.2 Policy Implications</w:t>
      </w:r>
    </w:p>
    <w:p w14:paraId="57E97446" w14:textId="1025C3D6" w:rsidR="0066149A" w:rsidRDefault="00000000" w:rsidP="003F4629">
      <w:pPr>
        <w:spacing w:after="0" w:line="360" w:lineRule="auto"/>
        <w:jc w:val="both"/>
      </w:pPr>
      <w:r>
        <w:rPr>
          <w:rFonts w:ascii="Times New Roman" w:hAnsi="Times New Roman"/>
          <w:sz w:val="24"/>
        </w:rPr>
        <w:t>Three policy implications follow. First, ASEAN states require deeper strategic energy reserves and credible alternative supply infrastructure</w:t>
      </w:r>
      <w:r w:rsidR="00550022">
        <w:rPr>
          <w:rFonts w:ascii="Times New Roman" w:hAnsi="Times New Roman"/>
          <w:sz w:val="24"/>
        </w:rPr>
        <w:t>,</w:t>
      </w:r>
      <w:r>
        <w:rPr>
          <w:rFonts w:ascii="Times New Roman" w:hAnsi="Times New Roman"/>
          <w:sz w:val="24"/>
        </w:rPr>
        <w:t xml:space="preserve"> LNG from Australia and the United States, expanded regional pipeline connectivity, and accelerated renewable deployment. Thailand's two-month reserve demonstrated the inadequacy of existing buffers.</w:t>
      </w:r>
    </w:p>
    <w:p w14:paraId="321E8769" w14:textId="7A8802E0" w:rsidR="0066149A" w:rsidRDefault="00000000" w:rsidP="003F4629">
      <w:pPr>
        <w:spacing w:after="0" w:line="360" w:lineRule="auto"/>
        <w:jc w:val="both"/>
      </w:pPr>
      <w:r>
        <w:rPr>
          <w:rFonts w:ascii="Times New Roman" w:hAnsi="Times New Roman"/>
          <w:sz w:val="24"/>
        </w:rPr>
        <w:t>Second, the institutional machinery supporting the March 4 statement</w:t>
      </w:r>
      <w:r w:rsidR="00550022">
        <w:rPr>
          <w:rFonts w:ascii="Times New Roman" w:hAnsi="Times New Roman"/>
          <w:sz w:val="24"/>
        </w:rPr>
        <w:t xml:space="preserve">, </w:t>
      </w:r>
      <w:r w:rsidR="00D75E08">
        <w:rPr>
          <w:rFonts w:ascii="Times New Roman" w:hAnsi="Times New Roman"/>
          <w:sz w:val="24"/>
        </w:rPr>
        <w:t>the rapid foreign minister consultation, and the achievement of unanimity under acute pressure</w:t>
      </w:r>
      <w:r>
        <w:rPr>
          <w:rFonts w:ascii="Times New Roman" w:hAnsi="Times New Roman"/>
          <w:sz w:val="24"/>
        </w:rPr>
        <w:t xml:space="preserve"> </w:t>
      </w:r>
      <w:r w:rsidR="003F4629">
        <w:rPr>
          <w:rFonts w:ascii="Times New Roman" w:hAnsi="Times New Roman"/>
          <w:sz w:val="24"/>
        </w:rPr>
        <w:t>deserve</w:t>
      </w:r>
      <w:r>
        <w:rPr>
          <w:rFonts w:ascii="Times New Roman" w:hAnsi="Times New Roman"/>
          <w:sz w:val="24"/>
        </w:rPr>
        <w:t xml:space="preserve"> attention as a model for future crisis coordination. The statement demonstrates that ASEAN consensus on politically sensitive attributions is achievable when material necessity aligns member-state interests.</w:t>
      </w:r>
    </w:p>
    <w:p w14:paraId="583D82C9" w14:textId="77777777" w:rsidR="0066149A" w:rsidRDefault="00000000" w:rsidP="003F4629">
      <w:pPr>
        <w:spacing w:after="0" w:line="360" w:lineRule="auto"/>
        <w:jc w:val="both"/>
      </w:pPr>
      <w:r>
        <w:rPr>
          <w:rFonts w:ascii="Times New Roman" w:hAnsi="Times New Roman"/>
          <w:sz w:val="24"/>
        </w:rPr>
        <w:lastRenderedPageBreak/>
        <w:t>Third, by naming conflict initiators in a great-power dispute for the first time, the statement establishes a normative benchmark against which future ASEAN responses will be measured. Retreating to studied ambiguity in subsequent crises will now carry an explicit credibility cost previously absent.</w:t>
      </w:r>
    </w:p>
    <w:p w14:paraId="4ACF4956" w14:textId="77777777" w:rsidR="0066149A" w:rsidRDefault="00000000" w:rsidP="003F4629">
      <w:pPr>
        <w:spacing w:before="200" w:after="0" w:line="360" w:lineRule="auto"/>
        <w:jc w:val="both"/>
      </w:pPr>
      <w:r>
        <w:rPr>
          <w:rFonts w:ascii="Times New Roman" w:hAnsi="Times New Roman"/>
          <w:b/>
          <w:i/>
          <w:sz w:val="24"/>
        </w:rPr>
        <w:t>6.3 Limitations</w:t>
      </w:r>
    </w:p>
    <w:p w14:paraId="0D3D4CCD" w14:textId="77777777" w:rsidR="0066149A" w:rsidRDefault="00000000" w:rsidP="003F4629">
      <w:pPr>
        <w:spacing w:after="0" w:line="360" w:lineRule="auto"/>
        <w:jc w:val="both"/>
      </w:pPr>
      <w:r>
        <w:rPr>
          <w:rFonts w:ascii="Times New Roman" w:hAnsi="Times New Roman"/>
          <w:sz w:val="24"/>
        </w:rPr>
        <w:t>Three limitations apply. The nine-day empirical window captures only initial response patterns, requiring longitudinal follow-up to assess durability. The absence of classified deliberations limits analysis to observable outputs. The three-case design cannot support generalization across the full ASEAN membership.</w:t>
      </w:r>
    </w:p>
    <w:p w14:paraId="03B7FED0" w14:textId="77777777" w:rsidR="0066149A" w:rsidRDefault="00000000" w:rsidP="003F4629">
      <w:pPr>
        <w:pStyle w:val="Heading1"/>
        <w:spacing w:line="360" w:lineRule="auto"/>
      </w:pPr>
      <w:r>
        <w:t>7. Conclusion</w:t>
      </w:r>
    </w:p>
    <w:p w14:paraId="44B716BA" w14:textId="431D0ED8" w:rsidR="0066149A" w:rsidRDefault="00000000" w:rsidP="003F4629">
      <w:pPr>
        <w:spacing w:after="0" w:line="360" w:lineRule="auto"/>
        <w:jc w:val="both"/>
      </w:pPr>
      <w:r>
        <w:rPr>
          <w:rFonts w:ascii="Times New Roman" w:hAnsi="Times New Roman"/>
          <w:sz w:val="24"/>
        </w:rPr>
        <w:t xml:space="preserve">This paper has argued across three registers. Theoretically, the US-Israeli operations of 28 February 2026 constitute a systemic rupture event </w:t>
      </w:r>
      <w:r w:rsidR="00C437ED">
        <w:rPr>
          <w:rFonts w:ascii="Times New Roman" w:hAnsi="Times New Roman"/>
          <w:sz w:val="24"/>
        </w:rPr>
        <w:t>that simultaneously disrupts the normative, economic, and security domains</w:t>
      </w:r>
      <w:r>
        <w:rPr>
          <w:rFonts w:ascii="Times New Roman" w:hAnsi="Times New Roman"/>
          <w:sz w:val="24"/>
        </w:rPr>
        <w:t>, generating imperatives that conventional hedging frameworks cannot explain. Conceptually, ASEAN states' responses are best captured by survivalist realignment: a necessity-driven, collectively institutionalized mode of recalibration distinguished from hedging by its urgency, explicit normative distancing, and collective character. Empirically, evidence from Thailand, Indonesia, Malaysia, and the ASEAN collective provides meaningful initial confirmation of the framework's predictions.</w:t>
      </w:r>
    </w:p>
    <w:p w14:paraId="3EEFBB02" w14:textId="77777777" w:rsidR="0066149A" w:rsidRDefault="00000000" w:rsidP="003F4629">
      <w:pPr>
        <w:spacing w:after="0" w:line="360" w:lineRule="auto"/>
        <w:jc w:val="both"/>
      </w:pPr>
      <w:r>
        <w:rPr>
          <w:rFonts w:ascii="Times New Roman" w:hAnsi="Times New Roman"/>
          <w:sz w:val="24"/>
        </w:rPr>
        <w:t>The 2026 Iran war serves as a moment of structural clarification: launching nearly 900 strikes the morning after a diplomatic breakthrough resolved the question of American hegemonic decline for the small and middle powers whose hedging strategies had long rested on assumptions these operations rendered unsustainable.</w:t>
      </w:r>
    </w:p>
    <w:p w14:paraId="0DE6029D" w14:textId="0DE8BA36" w:rsidR="0066149A" w:rsidRDefault="00000000" w:rsidP="003F4629">
      <w:pPr>
        <w:spacing w:after="0" w:line="360" w:lineRule="auto"/>
        <w:jc w:val="both"/>
      </w:pPr>
      <w:r>
        <w:rPr>
          <w:rFonts w:ascii="Times New Roman" w:hAnsi="Times New Roman"/>
          <w:sz w:val="24"/>
        </w:rPr>
        <w:t xml:space="preserve">ASEAN's response </w:t>
      </w:r>
      <w:r w:rsidR="00550022">
        <w:rPr>
          <w:rFonts w:ascii="Times New Roman" w:hAnsi="Times New Roman"/>
          <w:sz w:val="24"/>
        </w:rPr>
        <w:t xml:space="preserve">to </w:t>
      </w:r>
      <w:r>
        <w:rPr>
          <w:rFonts w:ascii="Times New Roman" w:hAnsi="Times New Roman"/>
          <w:sz w:val="24"/>
        </w:rPr>
        <w:t xml:space="preserve">the collective statement naming the United States as </w:t>
      </w:r>
      <w:r w:rsidR="00C437ED">
        <w:rPr>
          <w:rFonts w:ascii="Times New Roman" w:hAnsi="Times New Roman"/>
          <w:sz w:val="24"/>
        </w:rPr>
        <w:t xml:space="preserve">the conflict initiator, unilateral evacuation operations, emergency energy management, and the suspension of trade commitments reflects governments acting </w:t>
      </w:r>
      <w:r w:rsidR="00550022">
        <w:rPr>
          <w:rFonts w:ascii="Times New Roman" w:hAnsi="Times New Roman"/>
          <w:sz w:val="24"/>
        </w:rPr>
        <w:t>in the face of</w:t>
      </w:r>
      <w:r w:rsidR="00C437ED">
        <w:rPr>
          <w:rFonts w:ascii="Times New Roman" w:hAnsi="Times New Roman"/>
          <w:sz w:val="24"/>
        </w:rPr>
        <w:t xml:space="preserve"> systemic rupture, using</w:t>
      </w:r>
      <w:r>
        <w:rPr>
          <w:rFonts w:ascii="Times New Roman" w:hAnsi="Times New Roman"/>
          <w:sz w:val="24"/>
        </w:rPr>
        <w:t xml:space="preserve"> available instruments. Understanding that mode, its logic, its limits, and its implications for regional order is work the 2026 Iran war has made urgently necessary.</w:t>
      </w:r>
    </w:p>
    <w:p w14:paraId="0706E034" w14:textId="77777777" w:rsidR="0066149A" w:rsidRDefault="00000000" w:rsidP="003F4629">
      <w:pPr>
        <w:spacing w:before="280" w:after="0" w:line="360" w:lineRule="auto"/>
        <w:jc w:val="both"/>
      </w:pPr>
      <w:r>
        <w:rPr>
          <w:rFonts w:ascii="Times New Roman" w:hAnsi="Times New Roman"/>
          <w:b/>
          <w:sz w:val="26"/>
        </w:rPr>
        <w:t>Disclosure Statements</w:t>
      </w:r>
    </w:p>
    <w:p w14:paraId="2DD3CFC2" w14:textId="77777777" w:rsidR="0066149A" w:rsidRPr="00D75E08" w:rsidRDefault="00000000" w:rsidP="003F4629">
      <w:pPr>
        <w:spacing w:before="60" w:after="0" w:line="360" w:lineRule="auto"/>
        <w:jc w:val="both"/>
        <w:rPr>
          <w:sz w:val="24"/>
          <w:szCs w:val="24"/>
        </w:rPr>
      </w:pPr>
      <w:r w:rsidRPr="00D75E08">
        <w:rPr>
          <w:rFonts w:ascii="Times New Roman" w:hAnsi="Times New Roman"/>
          <w:b/>
          <w:sz w:val="24"/>
          <w:szCs w:val="24"/>
        </w:rPr>
        <w:lastRenderedPageBreak/>
        <w:t xml:space="preserve">Conflict of interest: </w:t>
      </w:r>
      <w:r w:rsidRPr="00D75E08">
        <w:rPr>
          <w:rFonts w:ascii="Times New Roman" w:hAnsi="Times New Roman"/>
          <w:sz w:val="24"/>
          <w:szCs w:val="24"/>
        </w:rPr>
        <w:t>The author declares no conflict of interest.</w:t>
      </w:r>
    </w:p>
    <w:p w14:paraId="31D6070A" w14:textId="77777777" w:rsidR="0066149A" w:rsidRPr="00D75E08" w:rsidRDefault="00000000" w:rsidP="003F4629">
      <w:pPr>
        <w:spacing w:before="60" w:after="0" w:line="360" w:lineRule="auto"/>
        <w:jc w:val="both"/>
        <w:rPr>
          <w:sz w:val="24"/>
          <w:szCs w:val="24"/>
        </w:rPr>
      </w:pPr>
      <w:r w:rsidRPr="00D75E08">
        <w:rPr>
          <w:rFonts w:ascii="Times New Roman" w:hAnsi="Times New Roman"/>
          <w:b/>
          <w:sz w:val="24"/>
          <w:szCs w:val="24"/>
        </w:rPr>
        <w:t xml:space="preserve">Funding: </w:t>
      </w:r>
      <w:r w:rsidRPr="00D75E08">
        <w:rPr>
          <w:rFonts w:ascii="Times New Roman" w:hAnsi="Times New Roman"/>
          <w:sz w:val="24"/>
          <w:szCs w:val="24"/>
        </w:rPr>
        <w:t>This research received no specific grant from any funding agency in the public, commercial, or not-for-profit sectors.</w:t>
      </w:r>
    </w:p>
    <w:p w14:paraId="7AD8E1FF" w14:textId="77777777" w:rsidR="0066149A" w:rsidRPr="00D75E08" w:rsidRDefault="00000000" w:rsidP="003F4629">
      <w:pPr>
        <w:spacing w:before="60" w:after="0" w:line="360" w:lineRule="auto"/>
        <w:jc w:val="both"/>
        <w:rPr>
          <w:sz w:val="24"/>
          <w:szCs w:val="24"/>
        </w:rPr>
      </w:pPr>
      <w:r w:rsidRPr="00D75E08">
        <w:rPr>
          <w:rFonts w:ascii="Times New Roman" w:hAnsi="Times New Roman"/>
          <w:b/>
          <w:sz w:val="24"/>
          <w:szCs w:val="24"/>
        </w:rPr>
        <w:t xml:space="preserve">Ethics: </w:t>
      </w:r>
      <w:r w:rsidRPr="00D75E08">
        <w:rPr>
          <w:rFonts w:ascii="Times New Roman" w:hAnsi="Times New Roman"/>
          <w:sz w:val="24"/>
          <w:szCs w:val="24"/>
        </w:rPr>
        <w:t>This study is based entirely on publicly available documents and published secondary sources. No human participants were involved. Ethical approval was not required.</w:t>
      </w:r>
    </w:p>
    <w:p w14:paraId="6D62EBE5" w14:textId="77777777" w:rsidR="0066149A" w:rsidRPr="00D75E08" w:rsidRDefault="00000000" w:rsidP="003F4629">
      <w:pPr>
        <w:spacing w:before="60" w:after="0" w:line="360" w:lineRule="auto"/>
        <w:jc w:val="both"/>
        <w:rPr>
          <w:rFonts w:ascii="Times New Roman" w:hAnsi="Times New Roman"/>
          <w:sz w:val="24"/>
          <w:szCs w:val="24"/>
        </w:rPr>
      </w:pPr>
      <w:r w:rsidRPr="00D75E08">
        <w:rPr>
          <w:rFonts w:ascii="Times New Roman" w:hAnsi="Times New Roman"/>
          <w:b/>
          <w:sz w:val="24"/>
          <w:szCs w:val="24"/>
        </w:rPr>
        <w:t xml:space="preserve">Data availability: </w:t>
      </w:r>
      <w:r w:rsidRPr="00D75E08">
        <w:rPr>
          <w:rFonts w:ascii="Times New Roman" w:hAnsi="Times New Roman"/>
          <w:sz w:val="24"/>
          <w:szCs w:val="24"/>
        </w:rPr>
        <w:t>All primary documents cited are publicly accessible via the URLs provided in the reference list. No restricted or proprietary datasets were used.</w:t>
      </w:r>
    </w:p>
    <w:p w14:paraId="410E3D69" w14:textId="77777777" w:rsidR="00D75E08" w:rsidRDefault="00D75E08" w:rsidP="003F4629">
      <w:pPr>
        <w:spacing w:before="60" w:after="0" w:line="360" w:lineRule="auto"/>
        <w:jc w:val="both"/>
      </w:pPr>
    </w:p>
    <w:p w14:paraId="07009E91" w14:textId="77777777" w:rsidR="0066149A" w:rsidRPr="00D75E08" w:rsidRDefault="00000000" w:rsidP="003F4629">
      <w:pPr>
        <w:spacing w:after="0" w:line="360" w:lineRule="auto"/>
        <w:rPr>
          <w:rFonts w:ascii="Times New Roman" w:hAnsi="Times New Roman" w:cs="Times New Roman"/>
          <w:b/>
          <w:bCs/>
          <w:sz w:val="24"/>
          <w:szCs w:val="24"/>
        </w:rPr>
      </w:pPr>
      <w:r w:rsidRPr="00D75E08">
        <w:rPr>
          <w:rFonts w:ascii="Times New Roman" w:hAnsi="Times New Roman" w:cs="Times New Roman"/>
          <w:b/>
          <w:bCs/>
          <w:sz w:val="24"/>
          <w:szCs w:val="24"/>
        </w:rPr>
        <w:t>Plain Language Summary</w:t>
      </w:r>
    </w:p>
    <w:p w14:paraId="3DCFC338" w14:textId="03928DAD" w:rsidR="0066149A" w:rsidRDefault="00000000" w:rsidP="003F4629">
      <w:pPr>
        <w:spacing w:after="0" w:line="360" w:lineRule="auto"/>
        <w:jc w:val="both"/>
      </w:pPr>
      <w:r>
        <w:rPr>
          <w:rFonts w:ascii="Times New Roman" w:hAnsi="Times New Roman"/>
          <w:sz w:val="24"/>
        </w:rPr>
        <w:t>When the United States and Israel launched military strikes against Iran in late February 2026, Southeast Asian countries faced an immediate crisis: oil prices surged, stock markets crashed, and hundreds of thousands of workers in the Middle East were suddenly in danger. This paper examines how Thailand, Indonesia, Malaysia, and ASEAN responded. These governments were forced to act in ways they would not have chosen under normal circumstances</w:t>
      </w:r>
      <w:r w:rsidR="00550022">
        <w:rPr>
          <w:rFonts w:ascii="Times New Roman" w:hAnsi="Times New Roman"/>
          <w:sz w:val="24"/>
        </w:rPr>
        <w:t>,</w:t>
      </w:r>
      <w:r>
        <w:rPr>
          <w:rFonts w:ascii="Times New Roman" w:hAnsi="Times New Roman"/>
          <w:sz w:val="24"/>
        </w:rPr>
        <w:t xml:space="preserve"> suspending trade policies, deploying military aircraft for evacuations, and, most strikingly, issuing a collective statement that explicitly blamed the United States and Israel for starting the conflict: unprecedented in ASEAN's sixty-year history. We call this "survivalist realignment" a foreign policy response driven by material necessity rather than strategic choice. The findings suggest that sudden, large-scale crises can push even cautious regional organizations to take positions they would normally avoid, with significant implications for understanding how the international order may evolve as US global influence continues to shift.</w:t>
      </w:r>
    </w:p>
    <w:p w14:paraId="66810B11" w14:textId="77777777" w:rsidR="0066149A" w:rsidRDefault="00000000" w:rsidP="003F4629">
      <w:pPr>
        <w:spacing w:before="280" w:after="0" w:line="360" w:lineRule="auto"/>
      </w:pPr>
      <w:r>
        <w:rPr>
          <w:rFonts w:ascii="Times New Roman" w:hAnsi="Times New Roman"/>
          <w:b/>
          <w:sz w:val="26"/>
        </w:rPr>
        <w:t>References</w:t>
      </w:r>
    </w:p>
    <w:p w14:paraId="38BA13F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Acharya, A. (2017). After liberal hegemony: The advent of a multiplex world order. </w:t>
      </w:r>
      <w:r w:rsidRPr="00AB1FF9">
        <w:rPr>
          <w:rFonts w:ascii="Times New Roman" w:hAnsi="Times New Roman" w:cs="Times New Roman"/>
          <w:i/>
          <w:sz w:val="24"/>
          <w:szCs w:val="24"/>
        </w:rPr>
        <w:t>Ethics &amp; International Affairs, 31</w:t>
      </w:r>
      <w:r w:rsidRPr="00AB1FF9">
        <w:rPr>
          <w:rFonts w:ascii="Times New Roman" w:hAnsi="Times New Roman" w:cs="Times New Roman"/>
          <w:sz w:val="24"/>
          <w:szCs w:val="24"/>
        </w:rPr>
        <w:t>(3), 271–285.</w:t>
      </w:r>
    </w:p>
    <w:p w14:paraId="559CD713" w14:textId="435241F2"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Al Jazeera. (2026a, February 28). </w:t>
      </w:r>
      <w:r w:rsidRPr="00AB1FF9">
        <w:rPr>
          <w:rFonts w:ascii="Times New Roman" w:hAnsi="Times New Roman" w:cs="Times New Roman"/>
          <w:i/>
          <w:sz w:val="24"/>
          <w:szCs w:val="24"/>
        </w:rPr>
        <w:t>Multiple Arab states that host US assets are targets in Iran's retaliatory strikes.</w:t>
      </w:r>
      <w:r w:rsidRPr="00AB1FF9">
        <w:rPr>
          <w:rFonts w:ascii="Times New Roman" w:hAnsi="Times New Roman" w:cs="Times New Roman"/>
          <w:sz w:val="24"/>
          <w:szCs w:val="24"/>
        </w:rPr>
        <w:t xml:space="preserve"> Al Jazeera. </w:t>
      </w:r>
      <w:r w:rsidR="00550022" w:rsidRPr="00550022">
        <w:rPr>
          <w:rFonts w:ascii="Times New Roman" w:hAnsi="Times New Roman" w:cs="Times New Roman"/>
          <w:sz w:val="24"/>
          <w:szCs w:val="24"/>
        </w:rPr>
        <w:t>https://www.aljazeera.com/news/2026/2/28/multiple-gulf-arab-states-that-host-us-assets-targeted-in-iran-retaliation</w:t>
      </w:r>
    </w:p>
    <w:p w14:paraId="7CF3E6C4"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Al Jazeera. (2026b, February 28). </w:t>
      </w:r>
      <w:r w:rsidRPr="00AB1FF9">
        <w:rPr>
          <w:rFonts w:ascii="Times New Roman" w:hAnsi="Times New Roman" w:cs="Times New Roman"/>
          <w:i/>
          <w:sz w:val="24"/>
          <w:szCs w:val="24"/>
        </w:rPr>
        <w:t>US, Israel attack Iran: What we know so far.</w:t>
      </w:r>
      <w:r w:rsidRPr="00AB1FF9">
        <w:rPr>
          <w:rFonts w:ascii="Times New Roman" w:hAnsi="Times New Roman" w:cs="Times New Roman"/>
          <w:sz w:val="24"/>
          <w:szCs w:val="24"/>
        </w:rPr>
        <w:t xml:space="preserve"> Al Jazeera. https://www.aljazeera.com/news/2026/2/28/iran-attack-operation-epic-fury-what-we-know-so-far</w:t>
      </w:r>
    </w:p>
    <w:p w14:paraId="33E8D880"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Al Jazeera. (2026c, March 7). </w:t>
      </w:r>
      <w:r w:rsidRPr="00AB1FF9">
        <w:rPr>
          <w:rFonts w:ascii="Times New Roman" w:hAnsi="Times New Roman" w:cs="Times New Roman"/>
          <w:i/>
          <w:sz w:val="24"/>
          <w:szCs w:val="24"/>
        </w:rPr>
        <w:t>Iran war: What is happening on day eight of US-Israel strikes?</w:t>
      </w:r>
      <w:r w:rsidRPr="00AB1FF9">
        <w:rPr>
          <w:rFonts w:ascii="Times New Roman" w:hAnsi="Times New Roman" w:cs="Times New Roman"/>
          <w:sz w:val="24"/>
          <w:szCs w:val="24"/>
        </w:rPr>
        <w:t xml:space="preserve"> Al Jazeera. https://www.aljazeera.com/news/2026/3/7/iran-war-what-is-happening-on-day-eight-of-us-israel-strikes</w:t>
      </w:r>
    </w:p>
    <w:p w14:paraId="06C6848A"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Allianz Research. (2026, March 3). </w:t>
      </w:r>
      <w:r w:rsidRPr="00AB1FF9">
        <w:rPr>
          <w:rFonts w:ascii="Times New Roman" w:hAnsi="Times New Roman" w:cs="Times New Roman"/>
          <w:i/>
          <w:sz w:val="24"/>
          <w:szCs w:val="24"/>
        </w:rPr>
        <w:t>Conflict in the Middle East: Implications for global trade flows.</w:t>
      </w:r>
      <w:r w:rsidRPr="00AB1FF9">
        <w:rPr>
          <w:rFonts w:ascii="Times New Roman" w:hAnsi="Times New Roman" w:cs="Times New Roman"/>
          <w:sz w:val="24"/>
          <w:szCs w:val="24"/>
        </w:rPr>
        <w:t xml:space="preserve"> Allianz Research. https://www.allianz.com/en/economic_research/publications/specials_fmo/2026-03-03-middle-east-conflict.html</w:t>
      </w:r>
    </w:p>
    <w:p w14:paraId="08D7540A"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Anwar, D. F. (2023). </w:t>
      </w:r>
      <w:r w:rsidRPr="00AB1FF9">
        <w:rPr>
          <w:rFonts w:ascii="Times New Roman" w:hAnsi="Times New Roman" w:cs="Times New Roman"/>
          <w:i/>
          <w:sz w:val="24"/>
          <w:szCs w:val="24"/>
        </w:rPr>
        <w:t>Indonesia's foreign policy after the Cold War: Speaking truth to power.</w:t>
      </w:r>
      <w:r w:rsidRPr="00AB1FF9">
        <w:rPr>
          <w:rFonts w:ascii="Times New Roman" w:hAnsi="Times New Roman" w:cs="Times New Roman"/>
          <w:sz w:val="24"/>
          <w:szCs w:val="24"/>
        </w:rPr>
        <w:t xml:space="preserve"> Routledge.</w:t>
      </w:r>
    </w:p>
    <w:p w14:paraId="47BFB60F"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ASEAN Secretariat. (2026, March 4). </w:t>
      </w:r>
      <w:r w:rsidRPr="00AB1FF9">
        <w:rPr>
          <w:rFonts w:ascii="Times New Roman" w:hAnsi="Times New Roman" w:cs="Times New Roman"/>
          <w:i/>
          <w:sz w:val="24"/>
          <w:szCs w:val="24"/>
        </w:rPr>
        <w:t>ASEAN Foreign Ministers' Statement on the situation in the Middle East.</w:t>
      </w:r>
      <w:r w:rsidRPr="00AB1FF9">
        <w:rPr>
          <w:rFonts w:ascii="Times New Roman" w:hAnsi="Times New Roman" w:cs="Times New Roman"/>
          <w:sz w:val="24"/>
          <w:szCs w:val="24"/>
        </w:rPr>
        <w:t xml:space="preserve"> ASEAN. https://asean.org/asean-foreign-ministers-statement-on-the-situation-in-the-middle-east/</w:t>
      </w:r>
    </w:p>
    <w:p w14:paraId="20B840A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Beach, D., &amp; Pedersen, R. B. (2013). </w:t>
      </w:r>
      <w:r w:rsidRPr="00AB1FF9">
        <w:rPr>
          <w:rFonts w:ascii="Times New Roman" w:hAnsi="Times New Roman" w:cs="Times New Roman"/>
          <w:i/>
          <w:sz w:val="24"/>
          <w:szCs w:val="24"/>
        </w:rPr>
        <w:t>Process-tracing methods: Foundations and guidelines.</w:t>
      </w:r>
      <w:r w:rsidRPr="00AB1FF9">
        <w:rPr>
          <w:rFonts w:ascii="Times New Roman" w:hAnsi="Times New Roman" w:cs="Times New Roman"/>
          <w:sz w:val="24"/>
          <w:szCs w:val="24"/>
        </w:rPr>
        <w:t xml:space="preserve"> University of Michigan Press.</w:t>
      </w:r>
    </w:p>
    <w:p w14:paraId="57953363"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Bennett, A., &amp; </w:t>
      </w:r>
      <w:proofErr w:type="spellStart"/>
      <w:r w:rsidRPr="00AB1FF9">
        <w:rPr>
          <w:rFonts w:ascii="Times New Roman" w:hAnsi="Times New Roman" w:cs="Times New Roman"/>
          <w:sz w:val="24"/>
          <w:szCs w:val="24"/>
        </w:rPr>
        <w:t>Checkel</w:t>
      </w:r>
      <w:proofErr w:type="spellEnd"/>
      <w:r w:rsidRPr="00AB1FF9">
        <w:rPr>
          <w:rFonts w:ascii="Times New Roman" w:hAnsi="Times New Roman" w:cs="Times New Roman"/>
          <w:sz w:val="24"/>
          <w:szCs w:val="24"/>
        </w:rPr>
        <w:t xml:space="preserve">, J. T. (Eds.). (2015). </w:t>
      </w:r>
      <w:r w:rsidRPr="00AB1FF9">
        <w:rPr>
          <w:rFonts w:ascii="Times New Roman" w:hAnsi="Times New Roman" w:cs="Times New Roman"/>
          <w:i/>
          <w:sz w:val="24"/>
          <w:szCs w:val="24"/>
        </w:rPr>
        <w:t>Process tracing: From metaphor to analytic tool.</w:t>
      </w:r>
      <w:r w:rsidRPr="00AB1FF9">
        <w:rPr>
          <w:rFonts w:ascii="Times New Roman" w:hAnsi="Times New Roman" w:cs="Times New Roman"/>
          <w:sz w:val="24"/>
          <w:szCs w:val="24"/>
        </w:rPr>
        <w:t xml:space="preserve"> Cambridge University Press.</w:t>
      </w:r>
    </w:p>
    <w:p w14:paraId="11E14C50"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Bloomberg. (2026a, March 4). </w:t>
      </w:r>
      <w:r w:rsidRPr="00AB1FF9">
        <w:rPr>
          <w:rFonts w:ascii="Times New Roman" w:hAnsi="Times New Roman" w:cs="Times New Roman"/>
          <w:i/>
          <w:sz w:val="24"/>
          <w:szCs w:val="24"/>
        </w:rPr>
        <w:t>Asia's markets bear the brunt of the Iran war as Korea and Thailand fall.</w:t>
      </w:r>
      <w:r w:rsidRPr="00AB1FF9">
        <w:rPr>
          <w:rFonts w:ascii="Times New Roman" w:hAnsi="Times New Roman" w:cs="Times New Roman"/>
          <w:sz w:val="24"/>
          <w:szCs w:val="24"/>
        </w:rPr>
        <w:t xml:space="preserve"> Bloomberg. https://www.bloomberg.com/news/articles/2026-03-04/asia-s-markets-bear-the-brunt-of-iran-war-as-korea-thailand-fall</w:t>
      </w:r>
    </w:p>
    <w:p w14:paraId="0B39496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Bloomberg. (2026b, March 4). </w:t>
      </w:r>
      <w:r w:rsidRPr="00AB1FF9">
        <w:rPr>
          <w:rFonts w:ascii="Times New Roman" w:hAnsi="Times New Roman" w:cs="Times New Roman"/>
          <w:i/>
          <w:sz w:val="24"/>
          <w:szCs w:val="24"/>
        </w:rPr>
        <w:t>Thailand's stocks fall 8%, triggering a trading halt.</w:t>
      </w:r>
      <w:r w:rsidRPr="00AB1FF9">
        <w:rPr>
          <w:rFonts w:ascii="Times New Roman" w:hAnsi="Times New Roman" w:cs="Times New Roman"/>
          <w:sz w:val="24"/>
          <w:szCs w:val="24"/>
        </w:rPr>
        <w:t xml:space="preserve"> Bloomberg. https://www.bloomberg.com/news/articles/2026-03-04/thailand-s-stocks-fall-8-triggering-a-trading-halt</w:t>
      </w:r>
    </w:p>
    <w:p w14:paraId="2FC1613D"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Brady, H. E., &amp; Collier, D. (Eds.). (2010). </w:t>
      </w:r>
      <w:r w:rsidRPr="00AB1FF9">
        <w:rPr>
          <w:rFonts w:ascii="Times New Roman" w:hAnsi="Times New Roman" w:cs="Times New Roman"/>
          <w:i/>
          <w:sz w:val="24"/>
          <w:szCs w:val="24"/>
        </w:rPr>
        <w:t>Rethinking social inquiry: Diverse tools, shared standards</w:t>
      </w:r>
      <w:r w:rsidRPr="00AB1FF9">
        <w:rPr>
          <w:rFonts w:ascii="Times New Roman" w:hAnsi="Times New Roman" w:cs="Times New Roman"/>
          <w:sz w:val="24"/>
          <w:szCs w:val="24"/>
        </w:rPr>
        <w:t xml:space="preserve"> (2nd ed.). Rowman &amp; Littlefield.</w:t>
      </w:r>
    </w:p>
    <w:p w14:paraId="28BC27D2"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Brands, H., &amp; Gaddis, J. L. (2021). The new cold war: America, China, and the echoes of history. </w:t>
      </w:r>
      <w:r w:rsidRPr="00AB1FF9">
        <w:rPr>
          <w:rFonts w:ascii="Times New Roman" w:hAnsi="Times New Roman" w:cs="Times New Roman"/>
          <w:i/>
          <w:sz w:val="24"/>
          <w:szCs w:val="24"/>
        </w:rPr>
        <w:t>Foreign Affairs, 100</w:t>
      </w:r>
      <w:r w:rsidRPr="00AB1FF9">
        <w:rPr>
          <w:rFonts w:ascii="Times New Roman" w:hAnsi="Times New Roman" w:cs="Times New Roman"/>
          <w:sz w:val="24"/>
          <w:szCs w:val="24"/>
        </w:rPr>
        <w:t>(6), 10–20.</w:t>
      </w:r>
    </w:p>
    <w:p w14:paraId="555061C7" w14:textId="29D05535"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Britannica. (2026, March 9). </w:t>
      </w:r>
      <w:r w:rsidRPr="00AB1FF9">
        <w:rPr>
          <w:rFonts w:ascii="Times New Roman" w:hAnsi="Times New Roman" w:cs="Times New Roman"/>
          <w:i/>
          <w:sz w:val="24"/>
          <w:szCs w:val="24"/>
        </w:rPr>
        <w:t>2026 Iran conflict.</w:t>
      </w:r>
      <w:r w:rsidRPr="00AB1FF9">
        <w:rPr>
          <w:rFonts w:ascii="Times New Roman" w:hAnsi="Times New Roman" w:cs="Times New Roman"/>
          <w:sz w:val="24"/>
          <w:szCs w:val="24"/>
        </w:rPr>
        <w:t xml:space="preserve"> </w:t>
      </w:r>
      <w:r w:rsidR="003F4629">
        <w:rPr>
          <w:rFonts w:ascii="Times New Roman" w:hAnsi="Times New Roman" w:cs="Times New Roman"/>
          <w:sz w:val="24"/>
          <w:szCs w:val="24"/>
        </w:rPr>
        <w:t>Encyclopedia</w:t>
      </w:r>
      <w:r w:rsidRPr="00AB1FF9">
        <w:rPr>
          <w:rFonts w:ascii="Times New Roman" w:hAnsi="Times New Roman" w:cs="Times New Roman"/>
          <w:sz w:val="24"/>
          <w:szCs w:val="24"/>
        </w:rPr>
        <w:t xml:space="preserve"> Britannica. https://www.britannica.com/event/2026-Iran-conflict</w:t>
      </w:r>
    </w:p>
    <w:p w14:paraId="07C3FBDE"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Chatham House. (2026a, February 28). </w:t>
      </w:r>
      <w:r w:rsidRPr="00AB1FF9">
        <w:rPr>
          <w:rFonts w:ascii="Times New Roman" w:hAnsi="Times New Roman" w:cs="Times New Roman"/>
          <w:i/>
          <w:sz w:val="24"/>
          <w:szCs w:val="24"/>
        </w:rPr>
        <w:t>US and Israel attack Iran, killing Khamenei: Initial analysis.</w:t>
      </w:r>
      <w:r w:rsidRPr="00AB1FF9">
        <w:rPr>
          <w:rFonts w:ascii="Times New Roman" w:hAnsi="Times New Roman" w:cs="Times New Roman"/>
          <w:sz w:val="24"/>
          <w:szCs w:val="24"/>
        </w:rPr>
        <w:t xml:space="preserve"> Chatham House. https://www.chathamhouse.org/2026/02/us-and-israel-attack-iran-killing-khamenei</w:t>
      </w:r>
    </w:p>
    <w:p w14:paraId="04A22EB2"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Chatham House. (2026b, March 7). </w:t>
      </w:r>
      <w:r w:rsidRPr="00AB1FF9">
        <w:rPr>
          <w:rFonts w:ascii="Times New Roman" w:hAnsi="Times New Roman" w:cs="Times New Roman"/>
          <w:i/>
          <w:sz w:val="24"/>
          <w:szCs w:val="24"/>
        </w:rPr>
        <w:t>How will the Iran war affect the global economy?</w:t>
      </w:r>
      <w:r w:rsidRPr="00AB1FF9">
        <w:rPr>
          <w:rFonts w:ascii="Times New Roman" w:hAnsi="Times New Roman" w:cs="Times New Roman"/>
          <w:sz w:val="24"/>
          <w:szCs w:val="24"/>
        </w:rPr>
        <w:t xml:space="preserve"> Chatham House. https://www.chathamhouse.org/2026/03/how-will-iran-war-affect-global-economy</w:t>
      </w:r>
    </w:p>
    <w:p w14:paraId="5CE61B3C"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Ciorciari, J. D. (2010). </w:t>
      </w:r>
      <w:r w:rsidRPr="00AB1FF9">
        <w:rPr>
          <w:rFonts w:ascii="Times New Roman" w:hAnsi="Times New Roman" w:cs="Times New Roman"/>
          <w:i/>
          <w:sz w:val="24"/>
          <w:szCs w:val="24"/>
        </w:rPr>
        <w:t>The limits of alignment: Southeast Asia and the great powers since 1975.</w:t>
      </w:r>
      <w:r w:rsidRPr="00AB1FF9">
        <w:rPr>
          <w:rFonts w:ascii="Times New Roman" w:hAnsi="Times New Roman" w:cs="Times New Roman"/>
          <w:sz w:val="24"/>
          <w:szCs w:val="24"/>
        </w:rPr>
        <w:t xml:space="preserve"> Georgetown University Press.</w:t>
      </w:r>
    </w:p>
    <w:p w14:paraId="02AFABF6"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Ciorciari, J. D., &amp; Haacke, J. (2019). Hedging in international relations: An introduction. </w:t>
      </w:r>
      <w:r w:rsidRPr="00AB1FF9">
        <w:rPr>
          <w:rFonts w:ascii="Times New Roman" w:hAnsi="Times New Roman" w:cs="Times New Roman"/>
          <w:i/>
          <w:sz w:val="24"/>
          <w:szCs w:val="24"/>
        </w:rPr>
        <w:t>International Relations of the Asia-Pacific, 19</w:t>
      </w:r>
      <w:r w:rsidRPr="00AB1FF9">
        <w:rPr>
          <w:rFonts w:ascii="Times New Roman" w:hAnsi="Times New Roman" w:cs="Times New Roman"/>
          <w:sz w:val="24"/>
          <w:szCs w:val="24"/>
        </w:rPr>
        <w:t>(3), 367–374.</w:t>
      </w:r>
    </w:p>
    <w:p w14:paraId="2864A3B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The Diplomat. (2026a, March 4). </w:t>
      </w:r>
      <w:r w:rsidRPr="00AB1FF9">
        <w:rPr>
          <w:rFonts w:ascii="Times New Roman" w:hAnsi="Times New Roman" w:cs="Times New Roman"/>
          <w:i/>
          <w:sz w:val="24"/>
          <w:szCs w:val="24"/>
        </w:rPr>
        <w:t>The US attack on Iran is reshaping the world order.</w:t>
      </w:r>
      <w:r w:rsidRPr="00AB1FF9">
        <w:rPr>
          <w:rFonts w:ascii="Times New Roman" w:hAnsi="Times New Roman" w:cs="Times New Roman"/>
          <w:sz w:val="24"/>
          <w:szCs w:val="24"/>
        </w:rPr>
        <w:t xml:space="preserve"> The Diplomat. https://thediplomat.com/2026/03/the-us-attack-on-iran-is-reshaping-the-world-order/</w:t>
      </w:r>
    </w:p>
    <w:p w14:paraId="37E9181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The Diplomat. (2026b, March 6). </w:t>
      </w:r>
      <w:r w:rsidRPr="00AB1FF9">
        <w:rPr>
          <w:rFonts w:ascii="Times New Roman" w:hAnsi="Times New Roman" w:cs="Times New Roman"/>
          <w:i/>
          <w:sz w:val="24"/>
          <w:szCs w:val="24"/>
        </w:rPr>
        <w:t>Board of Peace talks 'on hold' due to Iran conflict, Indonesia says.</w:t>
      </w:r>
      <w:r w:rsidRPr="00AB1FF9">
        <w:rPr>
          <w:rFonts w:ascii="Times New Roman" w:hAnsi="Times New Roman" w:cs="Times New Roman"/>
          <w:sz w:val="24"/>
          <w:szCs w:val="24"/>
        </w:rPr>
        <w:t xml:space="preserve"> The Diplomat. https://thediplomat.com/2026/03/board-of-peace-talks-on-hold-due-to-iran-conflict-indonesia-says/</w:t>
      </w:r>
    </w:p>
    <w:p w14:paraId="044E2A30" w14:textId="24456AB6"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Eco-Business. (2026, March 6). </w:t>
      </w:r>
      <w:r w:rsidRPr="00AB1FF9">
        <w:rPr>
          <w:rFonts w:ascii="Times New Roman" w:hAnsi="Times New Roman" w:cs="Times New Roman"/>
          <w:i/>
          <w:sz w:val="24"/>
          <w:szCs w:val="24"/>
        </w:rPr>
        <w:t>'Wake-up call' for ASEAN energy security as Singapore</w:t>
      </w:r>
      <w:r w:rsidR="003F4629">
        <w:rPr>
          <w:rFonts w:ascii="Times New Roman" w:hAnsi="Times New Roman" w:cs="Times New Roman"/>
          <w:i/>
          <w:sz w:val="24"/>
          <w:szCs w:val="24"/>
        </w:rPr>
        <w:t xml:space="preserve"> and Thailand scramble to secure</w:t>
      </w:r>
      <w:r w:rsidRPr="00AB1FF9">
        <w:rPr>
          <w:rFonts w:ascii="Times New Roman" w:hAnsi="Times New Roman" w:cs="Times New Roman"/>
          <w:i/>
          <w:sz w:val="24"/>
          <w:szCs w:val="24"/>
        </w:rPr>
        <w:t xml:space="preserve"> oil.</w:t>
      </w:r>
      <w:r w:rsidRPr="00AB1FF9">
        <w:rPr>
          <w:rFonts w:ascii="Times New Roman" w:hAnsi="Times New Roman" w:cs="Times New Roman"/>
          <w:sz w:val="24"/>
          <w:szCs w:val="24"/>
        </w:rPr>
        <w:t xml:space="preserve"> Eco-Business. https://www.eco-business.com/news/wake-up-call-for-asean-energy-security-as-singapore-thailand-scramble-to-source-oil/</w:t>
      </w:r>
    </w:p>
    <w:p w14:paraId="45B5224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George, A. L., &amp; Bennett, A. (2005). </w:t>
      </w:r>
      <w:r w:rsidRPr="00AB1FF9">
        <w:rPr>
          <w:rFonts w:ascii="Times New Roman" w:hAnsi="Times New Roman" w:cs="Times New Roman"/>
          <w:i/>
          <w:sz w:val="24"/>
          <w:szCs w:val="24"/>
        </w:rPr>
        <w:t>Case studies and theory development in the social sciences.</w:t>
      </w:r>
      <w:r w:rsidRPr="00AB1FF9">
        <w:rPr>
          <w:rFonts w:ascii="Times New Roman" w:hAnsi="Times New Roman" w:cs="Times New Roman"/>
          <w:sz w:val="24"/>
          <w:szCs w:val="24"/>
        </w:rPr>
        <w:t xml:space="preserve"> MIT Press.</w:t>
      </w:r>
    </w:p>
    <w:p w14:paraId="50F078B2"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Gerring, J. (2007). </w:t>
      </w:r>
      <w:r w:rsidRPr="00AB1FF9">
        <w:rPr>
          <w:rFonts w:ascii="Times New Roman" w:hAnsi="Times New Roman" w:cs="Times New Roman"/>
          <w:i/>
          <w:sz w:val="24"/>
          <w:szCs w:val="24"/>
        </w:rPr>
        <w:t>Case study research: Principles and practices.</w:t>
      </w:r>
      <w:r w:rsidRPr="00AB1FF9">
        <w:rPr>
          <w:rFonts w:ascii="Times New Roman" w:hAnsi="Times New Roman" w:cs="Times New Roman"/>
          <w:sz w:val="24"/>
          <w:szCs w:val="24"/>
        </w:rPr>
        <w:t xml:space="preserve"> Cambridge University Press.</w:t>
      </w:r>
    </w:p>
    <w:p w14:paraId="3453376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Gilpin, R. (1981). </w:t>
      </w:r>
      <w:r w:rsidRPr="00AB1FF9">
        <w:rPr>
          <w:rFonts w:ascii="Times New Roman" w:hAnsi="Times New Roman" w:cs="Times New Roman"/>
          <w:i/>
          <w:sz w:val="24"/>
          <w:szCs w:val="24"/>
        </w:rPr>
        <w:t>War and change in world politics.</w:t>
      </w:r>
      <w:r w:rsidRPr="00AB1FF9">
        <w:rPr>
          <w:rFonts w:ascii="Times New Roman" w:hAnsi="Times New Roman" w:cs="Times New Roman"/>
          <w:sz w:val="24"/>
          <w:szCs w:val="24"/>
        </w:rPr>
        <w:t xml:space="preserve"> Cambridge University Press.</w:t>
      </w:r>
    </w:p>
    <w:p w14:paraId="77806199"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GlobalSecurity.org. (2026, February 28). </w:t>
      </w:r>
      <w:r w:rsidRPr="00AB1FF9">
        <w:rPr>
          <w:rFonts w:ascii="Times New Roman" w:hAnsi="Times New Roman" w:cs="Times New Roman"/>
          <w:i/>
          <w:sz w:val="24"/>
          <w:szCs w:val="24"/>
        </w:rPr>
        <w:t>Operation Epic Fury.</w:t>
      </w:r>
      <w:r w:rsidRPr="00AB1FF9">
        <w:rPr>
          <w:rFonts w:ascii="Times New Roman" w:hAnsi="Times New Roman" w:cs="Times New Roman"/>
          <w:sz w:val="24"/>
          <w:szCs w:val="24"/>
        </w:rPr>
        <w:t xml:space="preserve"> GlobalSecurity.org. https://www.globalsecurity.org/military/ops/epic-fury.htm</w:t>
      </w:r>
    </w:p>
    <w:p w14:paraId="132D10DD"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Goh, E. (2005). </w:t>
      </w:r>
      <w:r w:rsidRPr="00AB1FF9">
        <w:rPr>
          <w:rFonts w:ascii="Times New Roman" w:hAnsi="Times New Roman" w:cs="Times New Roman"/>
          <w:i/>
          <w:sz w:val="24"/>
          <w:szCs w:val="24"/>
        </w:rPr>
        <w:t>Meeting the China challenge: The U.S. in Southeast Asian regional security strategies.</w:t>
      </w:r>
      <w:r w:rsidRPr="00AB1FF9">
        <w:rPr>
          <w:rFonts w:ascii="Times New Roman" w:hAnsi="Times New Roman" w:cs="Times New Roman"/>
          <w:sz w:val="24"/>
          <w:szCs w:val="24"/>
        </w:rPr>
        <w:t xml:space="preserve"> East-West Center.</w:t>
      </w:r>
    </w:p>
    <w:p w14:paraId="42EC9F83"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Goh, E. (2007). Great powers and hierarchical order in Southeast Asia: Analyzing regional security strategies. </w:t>
      </w:r>
      <w:r w:rsidRPr="00AB1FF9">
        <w:rPr>
          <w:rFonts w:ascii="Times New Roman" w:hAnsi="Times New Roman" w:cs="Times New Roman"/>
          <w:i/>
          <w:sz w:val="24"/>
          <w:szCs w:val="24"/>
        </w:rPr>
        <w:t>International Security, 32</w:t>
      </w:r>
      <w:r w:rsidRPr="00AB1FF9">
        <w:rPr>
          <w:rFonts w:ascii="Times New Roman" w:hAnsi="Times New Roman" w:cs="Times New Roman"/>
          <w:sz w:val="24"/>
          <w:szCs w:val="24"/>
        </w:rPr>
        <w:t>(3), 113–157.</w:t>
      </w:r>
    </w:p>
    <w:p w14:paraId="0AB04B6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Goh, E. (2016). </w:t>
      </w:r>
      <w:r w:rsidRPr="00AB1FF9">
        <w:rPr>
          <w:rFonts w:ascii="Times New Roman" w:hAnsi="Times New Roman" w:cs="Times New Roman"/>
          <w:i/>
          <w:sz w:val="24"/>
          <w:szCs w:val="24"/>
        </w:rPr>
        <w:t>The struggle for order: Hegemony, hierarchy, and transition in post-Cold War East Asia.</w:t>
      </w:r>
      <w:r w:rsidRPr="00AB1FF9">
        <w:rPr>
          <w:rFonts w:ascii="Times New Roman" w:hAnsi="Times New Roman" w:cs="Times New Roman"/>
          <w:sz w:val="24"/>
          <w:szCs w:val="24"/>
        </w:rPr>
        <w:t xml:space="preserve"> Oxford University Press.</w:t>
      </w:r>
    </w:p>
    <w:p w14:paraId="28491D43"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Haacke, J. (2019). The concept of hedging and its application to Southeast Asia: A critique and a proposal for a modified conceptual and methodological framework. </w:t>
      </w:r>
      <w:r w:rsidRPr="00AB1FF9">
        <w:rPr>
          <w:rFonts w:ascii="Times New Roman" w:hAnsi="Times New Roman" w:cs="Times New Roman"/>
          <w:i/>
          <w:sz w:val="24"/>
          <w:szCs w:val="24"/>
        </w:rPr>
        <w:t>International Relations of the Asia-Pacific, 19</w:t>
      </w:r>
      <w:r w:rsidRPr="00AB1FF9">
        <w:rPr>
          <w:rFonts w:ascii="Times New Roman" w:hAnsi="Times New Roman" w:cs="Times New Roman"/>
          <w:sz w:val="24"/>
          <w:szCs w:val="24"/>
        </w:rPr>
        <w:t>(3), 375–417.</w:t>
      </w:r>
    </w:p>
    <w:p w14:paraId="17F45654"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He, K., &amp; Feng, H. (2023). </w:t>
      </w:r>
      <w:r w:rsidRPr="00AB1FF9">
        <w:rPr>
          <w:rFonts w:ascii="Times New Roman" w:hAnsi="Times New Roman" w:cs="Times New Roman"/>
          <w:i/>
          <w:sz w:val="24"/>
          <w:szCs w:val="24"/>
        </w:rPr>
        <w:t>After hedging: Hard choices for the Indo-Pacific states between the US and China.</w:t>
      </w:r>
      <w:r w:rsidRPr="00AB1FF9">
        <w:rPr>
          <w:rFonts w:ascii="Times New Roman" w:hAnsi="Times New Roman" w:cs="Times New Roman"/>
          <w:sz w:val="24"/>
          <w:szCs w:val="24"/>
        </w:rPr>
        <w:t xml:space="preserve"> Cambridge University Press.</w:t>
      </w:r>
    </w:p>
    <w:p w14:paraId="13A096D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Hirschman, A. O. (1980). </w:t>
      </w:r>
      <w:r w:rsidRPr="00AB1FF9">
        <w:rPr>
          <w:rFonts w:ascii="Times New Roman" w:hAnsi="Times New Roman" w:cs="Times New Roman"/>
          <w:i/>
          <w:sz w:val="24"/>
          <w:szCs w:val="24"/>
        </w:rPr>
        <w:t>National power and the structure of foreign trade.</w:t>
      </w:r>
      <w:r w:rsidRPr="00AB1FF9">
        <w:rPr>
          <w:rFonts w:ascii="Times New Roman" w:hAnsi="Times New Roman" w:cs="Times New Roman"/>
          <w:sz w:val="24"/>
          <w:szCs w:val="24"/>
        </w:rPr>
        <w:t xml:space="preserve"> University of California Press.</w:t>
      </w:r>
    </w:p>
    <w:p w14:paraId="12C7135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House of Commons Library. (2026, March 6). </w:t>
      </w:r>
      <w:r w:rsidRPr="00AB1FF9">
        <w:rPr>
          <w:rFonts w:ascii="Times New Roman" w:hAnsi="Times New Roman" w:cs="Times New Roman"/>
          <w:i/>
          <w:sz w:val="24"/>
          <w:szCs w:val="24"/>
        </w:rPr>
        <w:t>US-Israel strikes on Iran: February/March 2026.</w:t>
      </w:r>
      <w:r w:rsidRPr="00AB1FF9">
        <w:rPr>
          <w:rFonts w:ascii="Times New Roman" w:hAnsi="Times New Roman" w:cs="Times New Roman"/>
          <w:sz w:val="24"/>
          <w:szCs w:val="24"/>
        </w:rPr>
        <w:t xml:space="preserve"> UK Parliament. https://commonslibrary.parliament.uk/research-briefings/cbp-10278/</w:t>
      </w:r>
    </w:p>
    <w:p w14:paraId="7A3DBFA7"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Ikenberry, G. J. (2011). </w:t>
      </w:r>
      <w:r w:rsidRPr="00AB1FF9">
        <w:rPr>
          <w:rFonts w:ascii="Times New Roman" w:hAnsi="Times New Roman" w:cs="Times New Roman"/>
          <w:i/>
          <w:sz w:val="24"/>
          <w:szCs w:val="24"/>
        </w:rPr>
        <w:t>Liberal Leviathan: The origins, crisis, and transformation of the American world order.</w:t>
      </w:r>
      <w:r w:rsidRPr="00AB1FF9">
        <w:rPr>
          <w:rFonts w:ascii="Times New Roman" w:hAnsi="Times New Roman" w:cs="Times New Roman"/>
          <w:sz w:val="24"/>
          <w:szCs w:val="24"/>
        </w:rPr>
        <w:t xml:space="preserve"> Princeton University Press.</w:t>
      </w:r>
    </w:p>
    <w:p w14:paraId="2DEE5BB6"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ISEAS-Yusof Ishak Institute. (2024). </w:t>
      </w:r>
      <w:r w:rsidRPr="00AB1FF9">
        <w:rPr>
          <w:rFonts w:ascii="Times New Roman" w:hAnsi="Times New Roman" w:cs="Times New Roman"/>
          <w:i/>
          <w:sz w:val="24"/>
          <w:szCs w:val="24"/>
        </w:rPr>
        <w:t>The state of Southeast Asia: 2024 survey report.</w:t>
      </w:r>
      <w:r w:rsidRPr="00AB1FF9">
        <w:rPr>
          <w:rFonts w:ascii="Times New Roman" w:hAnsi="Times New Roman" w:cs="Times New Roman"/>
          <w:sz w:val="24"/>
          <w:szCs w:val="24"/>
        </w:rPr>
        <w:t xml:space="preserve"> ISEAS-Yusof Ishak Institute.</w:t>
      </w:r>
    </w:p>
    <w:p w14:paraId="2C411A47"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Jones, D. M., &amp; Jenne, N. (2022). Hedging and grand strategy in Southeast Asian foreign policy. </w:t>
      </w:r>
      <w:r w:rsidRPr="00AB1FF9">
        <w:rPr>
          <w:rFonts w:ascii="Times New Roman" w:hAnsi="Times New Roman" w:cs="Times New Roman"/>
          <w:i/>
          <w:sz w:val="24"/>
          <w:szCs w:val="24"/>
        </w:rPr>
        <w:t>International Relations of the Asia-Pacific, 22</w:t>
      </w:r>
      <w:r w:rsidRPr="00AB1FF9">
        <w:rPr>
          <w:rFonts w:ascii="Times New Roman" w:hAnsi="Times New Roman" w:cs="Times New Roman"/>
          <w:sz w:val="24"/>
          <w:szCs w:val="24"/>
        </w:rPr>
        <w:t>(3), 367–396.</w:t>
      </w:r>
    </w:p>
    <w:p w14:paraId="5899E25E"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Kaplan, R. D. (2019). </w:t>
      </w:r>
      <w:r w:rsidRPr="00AB1FF9">
        <w:rPr>
          <w:rFonts w:ascii="Times New Roman" w:hAnsi="Times New Roman" w:cs="Times New Roman"/>
          <w:i/>
          <w:sz w:val="24"/>
          <w:szCs w:val="24"/>
        </w:rPr>
        <w:t>A new cold war has begun.</w:t>
      </w:r>
      <w:r w:rsidRPr="00AB1FF9">
        <w:rPr>
          <w:rFonts w:ascii="Times New Roman" w:hAnsi="Times New Roman" w:cs="Times New Roman"/>
          <w:sz w:val="24"/>
          <w:szCs w:val="24"/>
        </w:rPr>
        <w:t xml:space="preserve"> Foreign Policy. https://foreignpolicy.com/2019/01/07/a-new-cold-war-has-begun/</w:t>
      </w:r>
    </w:p>
    <w:p w14:paraId="228E226B"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Kindleberger, C. P. (1973). </w:t>
      </w:r>
      <w:r w:rsidRPr="00AB1FF9">
        <w:rPr>
          <w:rFonts w:ascii="Times New Roman" w:hAnsi="Times New Roman" w:cs="Times New Roman"/>
          <w:i/>
          <w:sz w:val="24"/>
          <w:szCs w:val="24"/>
        </w:rPr>
        <w:t>The world in depression, 1929–1939.</w:t>
      </w:r>
      <w:r w:rsidRPr="00AB1FF9">
        <w:rPr>
          <w:rFonts w:ascii="Times New Roman" w:hAnsi="Times New Roman" w:cs="Times New Roman"/>
          <w:sz w:val="24"/>
          <w:szCs w:val="24"/>
        </w:rPr>
        <w:t xml:space="preserve"> University of California Press.</w:t>
      </w:r>
    </w:p>
    <w:p w14:paraId="41CB166C"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King, G., Keohane, R. O., &amp; Verba, S. (1994). </w:t>
      </w:r>
      <w:r w:rsidRPr="00AB1FF9">
        <w:rPr>
          <w:rFonts w:ascii="Times New Roman" w:hAnsi="Times New Roman" w:cs="Times New Roman"/>
          <w:i/>
          <w:sz w:val="24"/>
          <w:szCs w:val="24"/>
        </w:rPr>
        <w:t>Designing social inquiry: Scientific inference in qualitative research.</w:t>
      </w:r>
      <w:r w:rsidRPr="00AB1FF9">
        <w:rPr>
          <w:rFonts w:ascii="Times New Roman" w:hAnsi="Times New Roman" w:cs="Times New Roman"/>
          <w:sz w:val="24"/>
          <w:szCs w:val="24"/>
        </w:rPr>
        <w:t xml:space="preserve"> Princeton University Press.</w:t>
      </w:r>
    </w:p>
    <w:p w14:paraId="272805E0"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Kirshner, J. (2014). </w:t>
      </w:r>
      <w:r w:rsidRPr="00AB1FF9">
        <w:rPr>
          <w:rFonts w:ascii="Times New Roman" w:hAnsi="Times New Roman" w:cs="Times New Roman"/>
          <w:i/>
          <w:sz w:val="24"/>
          <w:szCs w:val="24"/>
        </w:rPr>
        <w:t>American power after the financial crisis.</w:t>
      </w:r>
      <w:r w:rsidRPr="00AB1FF9">
        <w:rPr>
          <w:rFonts w:ascii="Times New Roman" w:hAnsi="Times New Roman" w:cs="Times New Roman"/>
          <w:sz w:val="24"/>
          <w:szCs w:val="24"/>
        </w:rPr>
        <w:t xml:space="preserve"> Cornell University Press.</w:t>
      </w:r>
    </w:p>
    <w:p w14:paraId="457637A5"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xml:space="preserve">. (2026a, February 28). </w:t>
      </w:r>
      <w:r w:rsidRPr="00AB1FF9">
        <w:rPr>
          <w:rFonts w:ascii="Times New Roman" w:hAnsi="Times New Roman" w:cs="Times New Roman"/>
          <w:i/>
          <w:sz w:val="24"/>
          <w:szCs w:val="24"/>
        </w:rPr>
        <w:t>Strait of Hormuz watch amid Iran conflict risk.</w:t>
      </w:r>
      <w:r w:rsidRPr="00AB1FF9">
        <w:rPr>
          <w:rFonts w:ascii="Times New Roman" w:hAnsi="Times New Roman" w:cs="Times New Roman"/>
          <w:sz w:val="24"/>
          <w:szCs w:val="24"/>
        </w:rPr>
        <w:t xml:space="preserve"> </w:t>
      </w: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https://www.kpler.com/blog/strait-of-hormuz-watch-amid-iran-conflict-risk-tracking-crude-flows-interference-and-diversions-in-kpler</w:t>
      </w:r>
    </w:p>
    <w:p w14:paraId="6341838A"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xml:space="preserve">. (2026b, March 1). </w:t>
      </w:r>
      <w:r w:rsidRPr="00AB1FF9">
        <w:rPr>
          <w:rFonts w:ascii="Times New Roman" w:hAnsi="Times New Roman" w:cs="Times New Roman"/>
          <w:i/>
          <w:sz w:val="24"/>
          <w:szCs w:val="24"/>
        </w:rPr>
        <w:t>US-Iran conflict: Strait of Hormuz crisis reshapes global oil markets.</w:t>
      </w:r>
      <w:r w:rsidRPr="00AB1FF9">
        <w:rPr>
          <w:rFonts w:ascii="Times New Roman" w:hAnsi="Times New Roman" w:cs="Times New Roman"/>
          <w:sz w:val="24"/>
          <w:szCs w:val="24"/>
        </w:rPr>
        <w:t xml:space="preserve"> </w:t>
      </w: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https://www.kpler.com/blog/us-iran-conflict-strait-of-hormuz-crisis-reshapes-global-oil-markets</w:t>
      </w:r>
    </w:p>
    <w:p w14:paraId="636033BA"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lastRenderedPageBreak/>
        <w:t>Kpler</w:t>
      </w:r>
      <w:proofErr w:type="spellEnd"/>
      <w:r w:rsidRPr="00AB1FF9">
        <w:rPr>
          <w:rFonts w:ascii="Times New Roman" w:hAnsi="Times New Roman" w:cs="Times New Roman"/>
          <w:sz w:val="24"/>
          <w:szCs w:val="24"/>
        </w:rPr>
        <w:t xml:space="preserve">. (2026c, March 4). </w:t>
      </w:r>
      <w:r w:rsidRPr="00AB1FF9">
        <w:rPr>
          <w:rFonts w:ascii="Times New Roman" w:hAnsi="Times New Roman" w:cs="Times New Roman"/>
          <w:i/>
          <w:sz w:val="24"/>
          <w:szCs w:val="24"/>
        </w:rPr>
        <w:t>Hormuz shock reprices crude, but storage constraints force a fast resolution.</w:t>
      </w:r>
      <w:r w:rsidRPr="00AB1FF9">
        <w:rPr>
          <w:rFonts w:ascii="Times New Roman" w:hAnsi="Times New Roman" w:cs="Times New Roman"/>
          <w:sz w:val="24"/>
          <w:szCs w:val="24"/>
        </w:rPr>
        <w:t xml:space="preserve"> </w:t>
      </w: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https://www.kpler.com/blog/hormuz-shock-reprices-crude-but-storage-constraints-force-a-fast-resolution</w:t>
      </w:r>
    </w:p>
    <w:p w14:paraId="7CAD444D"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xml:space="preserve">. (2026d, March 5). </w:t>
      </w:r>
      <w:r w:rsidRPr="00AB1FF9">
        <w:rPr>
          <w:rFonts w:ascii="Times New Roman" w:hAnsi="Times New Roman" w:cs="Times New Roman"/>
          <w:i/>
          <w:sz w:val="24"/>
          <w:szCs w:val="24"/>
        </w:rPr>
        <w:t>Middle East conflict: Oil market implications, a continuing assessment.</w:t>
      </w:r>
      <w:r w:rsidRPr="00AB1FF9">
        <w:rPr>
          <w:rFonts w:ascii="Times New Roman" w:hAnsi="Times New Roman" w:cs="Times New Roman"/>
          <w:sz w:val="24"/>
          <w:szCs w:val="24"/>
        </w:rPr>
        <w:t xml:space="preserve"> </w:t>
      </w:r>
      <w:proofErr w:type="spellStart"/>
      <w:r w:rsidRPr="00AB1FF9">
        <w:rPr>
          <w:rFonts w:ascii="Times New Roman" w:hAnsi="Times New Roman" w:cs="Times New Roman"/>
          <w:sz w:val="24"/>
          <w:szCs w:val="24"/>
        </w:rPr>
        <w:t>Kpler</w:t>
      </w:r>
      <w:proofErr w:type="spellEnd"/>
      <w:r w:rsidRPr="00AB1FF9">
        <w:rPr>
          <w:rFonts w:ascii="Times New Roman" w:hAnsi="Times New Roman" w:cs="Times New Roman"/>
          <w:sz w:val="24"/>
          <w:szCs w:val="24"/>
        </w:rPr>
        <w:t>. https://www.kpler.com/blog/middle-east-conflict---oil-market-implications-a-continuing-assessment</w:t>
      </w:r>
    </w:p>
    <w:p w14:paraId="1E224718" w14:textId="5394796F"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Kuik, </w:t>
      </w:r>
      <w:r w:rsidR="003F4629">
        <w:rPr>
          <w:rFonts w:ascii="Times New Roman" w:hAnsi="Times New Roman" w:cs="Times New Roman"/>
          <w:sz w:val="24"/>
          <w:szCs w:val="24"/>
        </w:rPr>
        <w:t>C.-C.</w:t>
      </w:r>
      <w:r w:rsidRPr="00AB1FF9">
        <w:rPr>
          <w:rFonts w:ascii="Times New Roman" w:hAnsi="Times New Roman" w:cs="Times New Roman"/>
          <w:sz w:val="24"/>
          <w:szCs w:val="24"/>
        </w:rPr>
        <w:t xml:space="preserve"> (2008). The essence of hedging: Malaysia and Singapore's response to a rising China. </w:t>
      </w:r>
      <w:r w:rsidRPr="00AB1FF9">
        <w:rPr>
          <w:rFonts w:ascii="Times New Roman" w:hAnsi="Times New Roman" w:cs="Times New Roman"/>
          <w:i/>
          <w:sz w:val="24"/>
          <w:szCs w:val="24"/>
        </w:rPr>
        <w:t>Contemporary Southeast Asia, 30</w:t>
      </w:r>
      <w:r w:rsidRPr="00AB1FF9">
        <w:rPr>
          <w:rFonts w:ascii="Times New Roman" w:hAnsi="Times New Roman" w:cs="Times New Roman"/>
          <w:sz w:val="24"/>
          <w:szCs w:val="24"/>
        </w:rPr>
        <w:t>(2), 159–185.</w:t>
      </w:r>
    </w:p>
    <w:p w14:paraId="240E26C8" w14:textId="19428138"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Kuik, </w:t>
      </w:r>
      <w:r w:rsidR="003F4629">
        <w:rPr>
          <w:rFonts w:ascii="Times New Roman" w:hAnsi="Times New Roman" w:cs="Times New Roman"/>
          <w:sz w:val="24"/>
          <w:szCs w:val="24"/>
        </w:rPr>
        <w:t>C.-C.</w:t>
      </w:r>
      <w:r w:rsidRPr="00AB1FF9">
        <w:rPr>
          <w:rFonts w:ascii="Times New Roman" w:hAnsi="Times New Roman" w:cs="Times New Roman"/>
          <w:sz w:val="24"/>
          <w:szCs w:val="24"/>
        </w:rPr>
        <w:t xml:space="preserve"> (2016). How do weaker states hedge? Unpacking ASEAN states' alignment behavior towards China. </w:t>
      </w:r>
      <w:r w:rsidRPr="00AB1FF9">
        <w:rPr>
          <w:rFonts w:ascii="Times New Roman" w:hAnsi="Times New Roman" w:cs="Times New Roman"/>
          <w:i/>
          <w:sz w:val="24"/>
          <w:szCs w:val="24"/>
        </w:rPr>
        <w:t>Journal of Contemporary China, 25</w:t>
      </w:r>
      <w:r w:rsidRPr="00AB1FF9">
        <w:rPr>
          <w:rFonts w:ascii="Times New Roman" w:hAnsi="Times New Roman" w:cs="Times New Roman"/>
          <w:sz w:val="24"/>
          <w:szCs w:val="24"/>
        </w:rPr>
        <w:t>(100), 500–514.</w:t>
      </w:r>
    </w:p>
    <w:p w14:paraId="4DF28FF0" w14:textId="1E9121C6"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Kuik, </w:t>
      </w:r>
      <w:r w:rsidR="003F4629">
        <w:rPr>
          <w:rFonts w:ascii="Times New Roman" w:hAnsi="Times New Roman" w:cs="Times New Roman"/>
          <w:sz w:val="24"/>
          <w:szCs w:val="24"/>
        </w:rPr>
        <w:t>C.-C.</w:t>
      </w:r>
      <w:r w:rsidRPr="00AB1FF9">
        <w:rPr>
          <w:rFonts w:ascii="Times New Roman" w:hAnsi="Times New Roman" w:cs="Times New Roman"/>
          <w:sz w:val="24"/>
          <w:szCs w:val="24"/>
        </w:rPr>
        <w:t xml:space="preserve"> (2021). Hedging in post-pandemic Asia: What, how, and why? </w:t>
      </w:r>
      <w:r w:rsidRPr="00AB1FF9">
        <w:rPr>
          <w:rFonts w:ascii="Times New Roman" w:hAnsi="Times New Roman" w:cs="Times New Roman"/>
          <w:i/>
          <w:sz w:val="24"/>
          <w:szCs w:val="24"/>
        </w:rPr>
        <w:t>The Pacific Review, 34</w:t>
      </w:r>
      <w:r w:rsidRPr="00AB1FF9">
        <w:rPr>
          <w:rFonts w:ascii="Times New Roman" w:hAnsi="Times New Roman" w:cs="Times New Roman"/>
          <w:sz w:val="24"/>
          <w:szCs w:val="24"/>
        </w:rPr>
        <w:t>(6), 1063–1084.</w:t>
      </w:r>
    </w:p>
    <w:p w14:paraId="6D88B663" w14:textId="566F6316"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Kuik, </w:t>
      </w:r>
      <w:r w:rsidR="003F4629">
        <w:rPr>
          <w:rFonts w:ascii="Times New Roman" w:hAnsi="Times New Roman" w:cs="Times New Roman"/>
          <w:sz w:val="24"/>
          <w:szCs w:val="24"/>
        </w:rPr>
        <w:t>C.-C.</w:t>
      </w:r>
      <w:r w:rsidRPr="00AB1FF9">
        <w:rPr>
          <w:rFonts w:ascii="Times New Roman" w:hAnsi="Times New Roman" w:cs="Times New Roman"/>
          <w:sz w:val="24"/>
          <w:szCs w:val="24"/>
        </w:rPr>
        <w:t xml:space="preserve"> (2023). Shades of grey: </w:t>
      </w:r>
      <w:proofErr w:type="spellStart"/>
      <w:r w:rsidRPr="00AB1FF9">
        <w:rPr>
          <w:rFonts w:ascii="Times New Roman" w:hAnsi="Times New Roman" w:cs="Times New Roman"/>
          <w:sz w:val="24"/>
          <w:szCs w:val="24"/>
        </w:rPr>
        <w:t>Riskification</w:t>
      </w:r>
      <w:proofErr w:type="spellEnd"/>
      <w:r w:rsidRPr="00AB1FF9">
        <w:rPr>
          <w:rFonts w:ascii="Times New Roman" w:hAnsi="Times New Roman" w:cs="Times New Roman"/>
          <w:sz w:val="24"/>
          <w:szCs w:val="24"/>
        </w:rPr>
        <w:t xml:space="preserve"> and hedging in the Indo-Pacific. </w:t>
      </w:r>
      <w:r w:rsidRPr="00AB1FF9">
        <w:rPr>
          <w:rFonts w:ascii="Times New Roman" w:hAnsi="Times New Roman" w:cs="Times New Roman"/>
          <w:i/>
          <w:sz w:val="24"/>
          <w:szCs w:val="24"/>
        </w:rPr>
        <w:t>The Pacific Review, 36</w:t>
      </w:r>
      <w:r w:rsidRPr="00AB1FF9">
        <w:rPr>
          <w:rFonts w:ascii="Times New Roman" w:hAnsi="Times New Roman" w:cs="Times New Roman"/>
          <w:sz w:val="24"/>
          <w:szCs w:val="24"/>
        </w:rPr>
        <w:t>(6), 1181–1214.</w:t>
      </w:r>
    </w:p>
    <w:p w14:paraId="30C9E9C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Kuik, C.-C., &amp; Tso, R. (2022). Hedging via institutions: ASEAN-led multilateralism and Southeast Asian foreign policy. </w:t>
      </w:r>
      <w:r w:rsidRPr="00AB1FF9">
        <w:rPr>
          <w:rFonts w:ascii="Times New Roman" w:hAnsi="Times New Roman" w:cs="Times New Roman"/>
          <w:i/>
          <w:sz w:val="24"/>
          <w:szCs w:val="24"/>
        </w:rPr>
        <w:t>Cambridge Review of International Affairs, 35</w:t>
      </w:r>
      <w:r w:rsidRPr="00AB1FF9">
        <w:rPr>
          <w:rFonts w:ascii="Times New Roman" w:hAnsi="Times New Roman" w:cs="Times New Roman"/>
          <w:sz w:val="24"/>
          <w:szCs w:val="24"/>
        </w:rPr>
        <w:t>(4), 432–453.</w:t>
      </w:r>
    </w:p>
    <w:p w14:paraId="4D19594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Layne, C. (1993). The unipolar illusion: Why new great powers will rise. </w:t>
      </w:r>
      <w:r w:rsidRPr="00AB1FF9">
        <w:rPr>
          <w:rFonts w:ascii="Times New Roman" w:hAnsi="Times New Roman" w:cs="Times New Roman"/>
          <w:i/>
          <w:sz w:val="24"/>
          <w:szCs w:val="24"/>
        </w:rPr>
        <w:t>International Security, 17</w:t>
      </w:r>
      <w:r w:rsidRPr="00AB1FF9">
        <w:rPr>
          <w:rFonts w:ascii="Times New Roman" w:hAnsi="Times New Roman" w:cs="Times New Roman"/>
          <w:sz w:val="24"/>
          <w:szCs w:val="24"/>
        </w:rPr>
        <w:t>(4), 5–51.</w:t>
      </w:r>
    </w:p>
    <w:p w14:paraId="608282D5"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Layne, C. (2012). This time it is real: The end of unipolarity and the Pax Americana. </w:t>
      </w:r>
      <w:r w:rsidRPr="00AB1FF9">
        <w:rPr>
          <w:rFonts w:ascii="Times New Roman" w:hAnsi="Times New Roman" w:cs="Times New Roman"/>
          <w:i/>
          <w:sz w:val="24"/>
          <w:szCs w:val="24"/>
        </w:rPr>
        <w:t>International Studies Quarterly, 56</w:t>
      </w:r>
      <w:r w:rsidRPr="00AB1FF9">
        <w:rPr>
          <w:rFonts w:ascii="Times New Roman" w:hAnsi="Times New Roman" w:cs="Times New Roman"/>
          <w:sz w:val="24"/>
          <w:szCs w:val="24"/>
        </w:rPr>
        <w:t>(1), 203–213.</w:t>
      </w:r>
    </w:p>
    <w:p w14:paraId="09E20C42" w14:textId="7CA2A428"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Layne, C. (2018). The </w:t>
      </w:r>
      <w:r w:rsidR="003F4629">
        <w:rPr>
          <w:rFonts w:ascii="Times New Roman" w:hAnsi="Times New Roman" w:cs="Times New Roman"/>
          <w:sz w:val="24"/>
          <w:szCs w:val="24"/>
        </w:rPr>
        <w:t>US–China</w:t>
      </w:r>
      <w:r w:rsidRPr="00AB1FF9">
        <w:rPr>
          <w:rFonts w:ascii="Times New Roman" w:hAnsi="Times New Roman" w:cs="Times New Roman"/>
          <w:sz w:val="24"/>
          <w:szCs w:val="24"/>
        </w:rPr>
        <w:t xml:space="preserve"> power shift and the end of the Pax Americana. </w:t>
      </w:r>
      <w:r w:rsidRPr="00AB1FF9">
        <w:rPr>
          <w:rFonts w:ascii="Times New Roman" w:hAnsi="Times New Roman" w:cs="Times New Roman"/>
          <w:i/>
          <w:sz w:val="24"/>
          <w:szCs w:val="24"/>
        </w:rPr>
        <w:t>International Affairs, 94</w:t>
      </w:r>
      <w:r w:rsidRPr="00AB1FF9">
        <w:rPr>
          <w:rFonts w:ascii="Times New Roman" w:hAnsi="Times New Roman" w:cs="Times New Roman"/>
          <w:sz w:val="24"/>
          <w:szCs w:val="24"/>
        </w:rPr>
        <w:t>(1), 89–111.</w:t>
      </w:r>
    </w:p>
    <w:p w14:paraId="3FFD0283"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Lijphart</w:t>
      </w:r>
      <w:proofErr w:type="spellEnd"/>
      <w:r w:rsidRPr="00AB1FF9">
        <w:rPr>
          <w:rFonts w:ascii="Times New Roman" w:hAnsi="Times New Roman" w:cs="Times New Roman"/>
          <w:sz w:val="24"/>
          <w:szCs w:val="24"/>
        </w:rPr>
        <w:t xml:space="preserve">, A. (1971). Comparative politics and the comparative method. </w:t>
      </w:r>
      <w:r w:rsidRPr="00AB1FF9">
        <w:rPr>
          <w:rFonts w:ascii="Times New Roman" w:hAnsi="Times New Roman" w:cs="Times New Roman"/>
          <w:i/>
          <w:sz w:val="24"/>
          <w:szCs w:val="24"/>
        </w:rPr>
        <w:t>American Political Science Review, 65</w:t>
      </w:r>
      <w:r w:rsidRPr="00AB1FF9">
        <w:rPr>
          <w:rFonts w:ascii="Times New Roman" w:hAnsi="Times New Roman" w:cs="Times New Roman"/>
          <w:sz w:val="24"/>
          <w:szCs w:val="24"/>
        </w:rPr>
        <w:t>(3), 682–693.</w:t>
      </w:r>
    </w:p>
    <w:p w14:paraId="685640D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Lim, D. J., &amp; Cooper, Z. (2015). Reassessing hedging: The logic of alignment in East Asia. </w:t>
      </w:r>
      <w:r w:rsidRPr="00AB1FF9">
        <w:rPr>
          <w:rFonts w:ascii="Times New Roman" w:hAnsi="Times New Roman" w:cs="Times New Roman"/>
          <w:i/>
          <w:sz w:val="24"/>
          <w:szCs w:val="24"/>
        </w:rPr>
        <w:t>Security Studies, 24</w:t>
      </w:r>
      <w:r w:rsidRPr="00AB1FF9">
        <w:rPr>
          <w:rFonts w:ascii="Times New Roman" w:hAnsi="Times New Roman" w:cs="Times New Roman"/>
          <w:sz w:val="24"/>
          <w:szCs w:val="24"/>
        </w:rPr>
        <w:t>(4), 696–727.</w:t>
      </w:r>
    </w:p>
    <w:p w14:paraId="50017AF9"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Mahoney, J. (2001). </w:t>
      </w:r>
      <w:r w:rsidRPr="00AB1FF9">
        <w:rPr>
          <w:rFonts w:ascii="Times New Roman" w:hAnsi="Times New Roman" w:cs="Times New Roman"/>
          <w:i/>
          <w:sz w:val="24"/>
          <w:szCs w:val="24"/>
        </w:rPr>
        <w:t>The legacies of liberalism: Path dependence and political regimes in Central America.</w:t>
      </w:r>
      <w:r w:rsidRPr="00AB1FF9">
        <w:rPr>
          <w:rFonts w:ascii="Times New Roman" w:hAnsi="Times New Roman" w:cs="Times New Roman"/>
          <w:sz w:val="24"/>
          <w:szCs w:val="24"/>
        </w:rPr>
        <w:t xml:space="preserve"> Johns Hopkins University Press.</w:t>
      </w:r>
    </w:p>
    <w:p w14:paraId="63D7959F"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Mai, L., &amp; Poling, G. B. (2026, March 5). </w:t>
      </w:r>
      <w:r w:rsidRPr="00AB1FF9">
        <w:rPr>
          <w:rFonts w:ascii="Times New Roman" w:hAnsi="Times New Roman" w:cs="Times New Roman"/>
          <w:i/>
          <w:sz w:val="24"/>
          <w:szCs w:val="24"/>
        </w:rPr>
        <w:t>Southeast Asia reacts to the Iran war.</w:t>
      </w:r>
      <w:r w:rsidRPr="00AB1FF9">
        <w:rPr>
          <w:rFonts w:ascii="Times New Roman" w:hAnsi="Times New Roman" w:cs="Times New Roman"/>
          <w:sz w:val="24"/>
          <w:szCs w:val="24"/>
        </w:rPr>
        <w:t xml:space="preserve"> Center for Strategic and International Studies. https://www.csis.org/blogs/latest-southeast-asia/latest-southeast-asia-southeast-asia-reacts-iran-war</w:t>
      </w:r>
    </w:p>
    <w:p w14:paraId="6093D59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Majkut, J., Book, K., &amp; Cahill, B. (2026, March 6). </w:t>
      </w:r>
      <w:r w:rsidRPr="00AB1FF9">
        <w:rPr>
          <w:rFonts w:ascii="Times New Roman" w:hAnsi="Times New Roman" w:cs="Times New Roman"/>
          <w:i/>
          <w:sz w:val="24"/>
          <w:szCs w:val="24"/>
        </w:rPr>
        <w:t>What does the Iran war mean for global energy markets?</w:t>
      </w:r>
      <w:r w:rsidRPr="00AB1FF9">
        <w:rPr>
          <w:rFonts w:ascii="Times New Roman" w:hAnsi="Times New Roman" w:cs="Times New Roman"/>
          <w:sz w:val="24"/>
          <w:szCs w:val="24"/>
        </w:rPr>
        <w:t xml:space="preserve"> Center for Strategic and International Studies. https://www.csis.org/analysis/what-does-iran-war-mean-global-energy-markets</w:t>
      </w:r>
    </w:p>
    <w:p w14:paraId="22750F9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Marston, H. (2024). Navigating great power competition: A neoclassical realist view of hedging. </w:t>
      </w:r>
      <w:r w:rsidRPr="00AB1FF9">
        <w:rPr>
          <w:rFonts w:ascii="Times New Roman" w:hAnsi="Times New Roman" w:cs="Times New Roman"/>
          <w:i/>
          <w:sz w:val="24"/>
          <w:szCs w:val="24"/>
        </w:rPr>
        <w:t>International Relations of the Asia-Pacific, 24</w:t>
      </w:r>
      <w:r w:rsidRPr="00AB1FF9">
        <w:rPr>
          <w:rFonts w:ascii="Times New Roman" w:hAnsi="Times New Roman" w:cs="Times New Roman"/>
          <w:sz w:val="24"/>
          <w:szCs w:val="24"/>
        </w:rPr>
        <w:t>(1), 29–63.</w:t>
      </w:r>
    </w:p>
    <w:p w14:paraId="7FE3ED9E"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Mearsheimer, J. J. (2001). </w:t>
      </w:r>
      <w:r w:rsidRPr="00AB1FF9">
        <w:rPr>
          <w:rFonts w:ascii="Times New Roman" w:hAnsi="Times New Roman" w:cs="Times New Roman"/>
          <w:i/>
          <w:sz w:val="24"/>
          <w:szCs w:val="24"/>
        </w:rPr>
        <w:t>The tragedy of great power politics.</w:t>
      </w:r>
      <w:r w:rsidRPr="00AB1FF9">
        <w:rPr>
          <w:rFonts w:ascii="Times New Roman" w:hAnsi="Times New Roman" w:cs="Times New Roman"/>
          <w:sz w:val="24"/>
          <w:szCs w:val="24"/>
        </w:rPr>
        <w:t xml:space="preserve"> W. W. Norton.</w:t>
      </w:r>
    </w:p>
    <w:p w14:paraId="661FB777"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Mearsheimer, J. J. (2014). </w:t>
      </w:r>
      <w:r w:rsidRPr="00AB1FF9">
        <w:rPr>
          <w:rFonts w:ascii="Times New Roman" w:hAnsi="Times New Roman" w:cs="Times New Roman"/>
          <w:i/>
          <w:sz w:val="24"/>
          <w:szCs w:val="24"/>
        </w:rPr>
        <w:t>The tragedy of great power politics</w:t>
      </w:r>
      <w:r w:rsidRPr="00AB1FF9">
        <w:rPr>
          <w:rFonts w:ascii="Times New Roman" w:hAnsi="Times New Roman" w:cs="Times New Roman"/>
          <w:sz w:val="24"/>
          <w:szCs w:val="24"/>
        </w:rPr>
        <w:t xml:space="preserve"> (Updated ed.). W. W. Norton.</w:t>
      </w:r>
    </w:p>
    <w:p w14:paraId="69CE2DD0"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Mearsheimer, J. J. (2019). Bound to fail: The rise and fall of the liberal international order. </w:t>
      </w:r>
      <w:r w:rsidRPr="00AB1FF9">
        <w:rPr>
          <w:rFonts w:ascii="Times New Roman" w:hAnsi="Times New Roman" w:cs="Times New Roman"/>
          <w:i/>
          <w:sz w:val="24"/>
          <w:szCs w:val="24"/>
        </w:rPr>
        <w:t>International Security, 43</w:t>
      </w:r>
      <w:r w:rsidRPr="00AB1FF9">
        <w:rPr>
          <w:rFonts w:ascii="Times New Roman" w:hAnsi="Times New Roman" w:cs="Times New Roman"/>
          <w:sz w:val="24"/>
          <w:szCs w:val="24"/>
        </w:rPr>
        <w:t>(4), 7–50.</w:t>
      </w:r>
    </w:p>
    <w:p w14:paraId="25C07FBF"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Nation Thailand. (2026a, March 1). </w:t>
      </w:r>
      <w:r w:rsidRPr="00AB1FF9">
        <w:rPr>
          <w:rFonts w:ascii="Times New Roman" w:hAnsi="Times New Roman" w:cs="Times New Roman"/>
          <w:i/>
          <w:sz w:val="24"/>
          <w:szCs w:val="24"/>
        </w:rPr>
        <w:t>Anutin calls NSC meeting on Gulf conflict fallout, evacuation plans for Thais in Iran.</w:t>
      </w:r>
      <w:r w:rsidRPr="00AB1FF9">
        <w:rPr>
          <w:rFonts w:ascii="Times New Roman" w:hAnsi="Times New Roman" w:cs="Times New Roman"/>
          <w:sz w:val="24"/>
          <w:szCs w:val="24"/>
        </w:rPr>
        <w:t xml:space="preserve"> Nation Thailand. https://www.nationthailand.com/news/general/40063147</w:t>
      </w:r>
    </w:p>
    <w:p w14:paraId="64F18D8A"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Nation Thailand. (2026b, March 1). </w:t>
      </w:r>
      <w:r w:rsidRPr="00AB1FF9">
        <w:rPr>
          <w:rFonts w:ascii="Times New Roman" w:hAnsi="Times New Roman" w:cs="Times New Roman"/>
          <w:i/>
          <w:sz w:val="24"/>
          <w:szCs w:val="24"/>
        </w:rPr>
        <w:t>MFA sets up Middle East war room to support Thais.</w:t>
      </w:r>
      <w:r w:rsidRPr="00AB1FF9">
        <w:rPr>
          <w:rFonts w:ascii="Times New Roman" w:hAnsi="Times New Roman" w:cs="Times New Roman"/>
          <w:sz w:val="24"/>
          <w:szCs w:val="24"/>
        </w:rPr>
        <w:t xml:space="preserve"> Nation Thailand. https://www.nationthailand.com/news/general/40063127</w:t>
      </w:r>
    </w:p>
    <w:p w14:paraId="21CFC81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Nation Thailand. (2026c, March 1). </w:t>
      </w:r>
      <w:r w:rsidRPr="00AB1FF9">
        <w:rPr>
          <w:rFonts w:ascii="Times New Roman" w:hAnsi="Times New Roman" w:cs="Times New Roman"/>
          <w:i/>
          <w:sz w:val="24"/>
          <w:szCs w:val="24"/>
        </w:rPr>
        <w:t>Thai PM orders urgent evacuation of citizens from Iran and Israel.</w:t>
      </w:r>
      <w:r w:rsidRPr="00AB1FF9">
        <w:rPr>
          <w:rFonts w:ascii="Times New Roman" w:hAnsi="Times New Roman" w:cs="Times New Roman"/>
          <w:sz w:val="24"/>
          <w:szCs w:val="24"/>
        </w:rPr>
        <w:t xml:space="preserve"> Nation Thailand. https://www.nationthailand.com/news/policy/40063137</w:t>
      </w:r>
    </w:p>
    <w:p w14:paraId="3B3BF5D8"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Nation Thailand. (2026d, March 1). </w:t>
      </w:r>
      <w:r w:rsidRPr="00AB1FF9">
        <w:rPr>
          <w:rFonts w:ascii="Times New Roman" w:hAnsi="Times New Roman" w:cs="Times New Roman"/>
          <w:i/>
          <w:sz w:val="24"/>
          <w:szCs w:val="24"/>
        </w:rPr>
        <w:t>Thailand's Foreign Ministry puts 110,000 nationals on alert.</w:t>
      </w:r>
      <w:r w:rsidRPr="00AB1FF9">
        <w:rPr>
          <w:rFonts w:ascii="Times New Roman" w:hAnsi="Times New Roman" w:cs="Times New Roman"/>
          <w:sz w:val="24"/>
          <w:szCs w:val="24"/>
        </w:rPr>
        <w:t xml:space="preserve"> Nation Thailand. https://www.nationthailand.com/news/world/40063169</w:t>
      </w:r>
    </w:p>
    <w:p w14:paraId="065330FF"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Nation Thailand. (2026e, March 6). </w:t>
      </w:r>
      <w:r w:rsidRPr="00AB1FF9">
        <w:rPr>
          <w:rFonts w:ascii="Times New Roman" w:hAnsi="Times New Roman" w:cs="Times New Roman"/>
          <w:i/>
          <w:sz w:val="24"/>
          <w:szCs w:val="24"/>
        </w:rPr>
        <w:t>Thailand speeds Middle East evacuations.</w:t>
      </w:r>
      <w:r w:rsidRPr="00AB1FF9">
        <w:rPr>
          <w:rFonts w:ascii="Times New Roman" w:hAnsi="Times New Roman" w:cs="Times New Roman"/>
          <w:sz w:val="24"/>
          <w:szCs w:val="24"/>
        </w:rPr>
        <w:t xml:space="preserve"> Nation Thailand. https://www.nationthailand.com/news/general/40063427</w:t>
      </w:r>
    </w:p>
    <w:p w14:paraId="408B4BBA"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Nexon, D. H. (2025). American hegemony and its discontents: Revisiting structural power in a multipolar era. </w:t>
      </w:r>
      <w:r w:rsidRPr="00AB1FF9">
        <w:rPr>
          <w:rFonts w:ascii="Times New Roman" w:hAnsi="Times New Roman" w:cs="Times New Roman"/>
          <w:i/>
          <w:sz w:val="24"/>
          <w:szCs w:val="24"/>
        </w:rPr>
        <w:t>International Organization, 79</w:t>
      </w:r>
      <w:r w:rsidRPr="00AB1FF9">
        <w:rPr>
          <w:rFonts w:ascii="Times New Roman" w:hAnsi="Times New Roman" w:cs="Times New Roman"/>
          <w:sz w:val="24"/>
          <w:szCs w:val="24"/>
        </w:rPr>
        <w:t>(1), 1–34.</w:t>
      </w:r>
    </w:p>
    <w:p w14:paraId="3AE4F50A"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Norrlof</w:t>
      </w:r>
      <w:proofErr w:type="spellEnd"/>
      <w:r w:rsidRPr="00AB1FF9">
        <w:rPr>
          <w:rFonts w:ascii="Times New Roman" w:hAnsi="Times New Roman" w:cs="Times New Roman"/>
          <w:sz w:val="24"/>
          <w:szCs w:val="24"/>
        </w:rPr>
        <w:t xml:space="preserve">, C. (2014). Dollar hegemony: A power analysis. </w:t>
      </w:r>
      <w:r w:rsidRPr="00AB1FF9">
        <w:rPr>
          <w:rFonts w:ascii="Times New Roman" w:hAnsi="Times New Roman" w:cs="Times New Roman"/>
          <w:i/>
          <w:sz w:val="24"/>
          <w:szCs w:val="24"/>
        </w:rPr>
        <w:t>Review of International Studies, 40</w:t>
      </w:r>
      <w:r w:rsidRPr="00AB1FF9">
        <w:rPr>
          <w:rFonts w:ascii="Times New Roman" w:hAnsi="Times New Roman" w:cs="Times New Roman"/>
          <w:sz w:val="24"/>
          <w:szCs w:val="24"/>
        </w:rPr>
        <w:t>(1), 1–24.</w:t>
      </w:r>
    </w:p>
    <w:p w14:paraId="7C994BA2" w14:textId="77777777" w:rsidR="00AB1FF9" w:rsidRPr="00AB1FF9" w:rsidRDefault="00AB1FF9" w:rsidP="003F4629">
      <w:pPr>
        <w:spacing w:after="0" w:line="360" w:lineRule="auto"/>
        <w:ind w:left="720" w:hanging="720"/>
        <w:rPr>
          <w:rFonts w:ascii="Times New Roman" w:hAnsi="Times New Roman" w:cs="Times New Roman"/>
          <w:sz w:val="24"/>
          <w:szCs w:val="24"/>
        </w:rPr>
      </w:pPr>
      <w:proofErr w:type="spellStart"/>
      <w:r w:rsidRPr="00AB1FF9">
        <w:rPr>
          <w:rFonts w:ascii="Times New Roman" w:hAnsi="Times New Roman" w:cs="Times New Roman"/>
          <w:sz w:val="24"/>
          <w:szCs w:val="24"/>
        </w:rPr>
        <w:t>Organski</w:t>
      </w:r>
      <w:proofErr w:type="spellEnd"/>
      <w:r w:rsidRPr="00AB1FF9">
        <w:rPr>
          <w:rFonts w:ascii="Times New Roman" w:hAnsi="Times New Roman" w:cs="Times New Roman"/>
          <w:sz w:val="24"/>
          <w:szCs w:val="24"/>
        </w:rPr>
        <w:t xml:space="preserve">, A. F. K., &amp; Kugler, J. (1980). </w:t>
      </w:r>
      <w:r w:rsidRPr="00AB1FF9">
        <w:rPr>
          <w:rFonts w:ascii="Times New Roman" w:hAnsi="Times New Roman" w:cs="Times New Roman"/>
          <w:i/>
          <w:sz w:val="24"/>
          <w:szCs w:val="24"/>
        </w:rPr>
        <w:t>The war ledger.</w:t>
      </w:r>
      <w:r w:rsidRPr="00AB1FF9">
        <w:rPr>
          <w:rFonts w:ascii="Times New Roman" w:hAnsi="Times New Roman" w:cs="Times New Roman"/>
          <w:sz w:val="24"/>
          <w:szCs w:val="24"/>
        </w:rPr>
        <w:t xml:space="preserve"> University of Chicago Press.</w:t>
      </w:r>
    </w:p>
    <w:p w14:paraId="1FF77F3D"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Oxford Economics. (2026a, March 1). </w:t>
      </w:r>
      <w:r w:rsidRPr="00AB1FF9">
        <w:rPr>
          <w:rFonts w:ascii="Times New Roman" w:hAnsi="Times New Roman" w:cs="Times New Roman"/>
          <w:i/>
          <w:sz w:val="24"/>
          <w:szCs w:val="24"/>
        </w:rPr>
        <w:t>The 2026 Iran war: An initial take and implications.</w:t>
      </w:r>
      <w:r w:rsidRPr="00AB1FF9">
        <w:rPr>
          <w:rFonts w:ascii="Times New Roman" w:hAnsi="Times New Roman" w:cs="Times New Roman"/>
          <w:sz w:val="24"/>
          <w:szCs w:val="24"/>
        </w:rPr>
        <w:t xml:space="preserve"> Oxford Economics. https://www.oxfordeconomics.com/resource/the-2026-iran-war-an-initial-take-and-implications/</w:t>
      </w:r>
    </w:p>
    <w:p w14:paraId="74D90486"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Oxford Economics. (2026b, March 3). </w:t>
      </w:r>
      <w:r w:rsidRPr="00AB1FF9">
        <w:rPr>
          <w:rFonts w:ascii="Times New Roman" w:hAnsi="Times New Roman" w:cs="Times New Roman"/>
          <w:i/>
          <w:sz w:val="24"/>
          <w:szCs w:val="24"/>
        </w:rPr>
        <w:t>Few economic impacts from the Iran conflict outside the GCC.</w:t>
      </w:r>
      <w:r w:rsidRPr="00AB1FF9">
        <w:rPr>
          <w:rFonts w:ascii="Times New Roman" w:hAnsi="Times New Roman" w:cs="Times New Roman"/>
          <w:sz w:val="24"/>
          <w:szCs w:val="24"/>
        </w:rPr>
        <w:t xml:space="preserve"> Oxford Economics. https://www.oxfordeconomics.com/resource/few-economic-impacts-from-iran-conflict-outside-the-gcc/</w:t>
      </w:r>
    </w:p>
    <w:p w14:paraId="448F7FD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Przeworski, A., &amp; Teune, H. (1970). </w:t>
      </w:r>
      <w:r w:rsidRPr="00AB1FF9">
        <w:rPr>
          <w:rFonts w:ascii="Times New Roman" w:hAnsi="Times New Roman" w:cs="Times New Roman"/>
          <w:i/>
          <w:sz w:val="24"/>
          <w:szCs w:val="24"/>
        </w:rPr>
        <w:t>The logic of comparative social inquiry.</w:t>
      </w:r>
      <w:r w:rsidRPr="00AB1FF9">
        <w:rPr>
          <w:rFonts w:ascii="Times New Roman" w:hAnsi="Times New Roman" w:cs="Times New Roman"/>
          <w:sz w:val="24"/>
          <w:szCs w:val="24"/>
        </w:rPr>
        <w:t xml:space="preserve"> Wiley-Interscience.</w:t>
      </w:r>
    </w:p>
    <w:p w14:paraId="50274792"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Rose, G. (1998). Neoclassical realism and theories of foreign policy. </w:t>
      </w:r>
      <w:r w:rsidRPr="00AB1FF9">
        <w:rPr>
          <w:rFonts w:ascii="Times New Roman" w:hAnsi="Times New Roman" w:cs="Times New Roman"/>
          <w:i/>
          <w:sz w:val="24"/>
          <w:szCs w:val="24"/>
        </w:rPr>
        <w:t>World Politics, 51</w:t>
      </w:r>
      <w:r w:rsidRPr="00AB1FF9">
        <w:rPr>
          <w:rFonts w:ascii="Times New Roman" w:hAnsi="Times New Roman" w:cs="Times New Roman"/>
          <w:sz w:val="24"/>
          <w:szCs w:val="24"/>
        </w:rPr>
        <w:t>(1), 144–172.</w:t>
      </w:r>
    </w:p>
    <w:p w14:paraId="0DF1934B"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Seawright, J., &amp; Gerring, J. (2008). Case selection techniques in case study research: A menu of qualitative and quantitative options. </w:t>
      </w:r>
      <w:r w:rsidRPr="00AB1FF9">
        <w:rPr>
          <w:rFonts w:ascii="Times New Roman" w:hAnsi="Times New Roman" w:cs="Times New Roman"/>
          <w:i/>
          <w:sz w:val="24"/>
          <w:szCs w:val="24"/>
        </w:rPr>
        <w:t>Political Research Quarterly, 61</w:t>
      </w:r>
      <w:r w:rsidRPr="00AB1FF9">
        <w:rPr>
          <w:rFonts w:ascii="Times New Roman" w:hAnsi="Times New Roman" w:cs="Times New Roman"/>
          <w:sz w:val="24"/>
          <w:szCs w:val="24"/>
        </w:rPr>
        <w:t>(2), 294–308.</w:t>
      </w:r>
    </w:p>
    <w:p w14:paraId="07AC6344"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Strangio, S. (2020). </w:t>
      </w:r>
      <w:r w:rsidRPr="00AB1FF9">
        <w:rPr>
          <w:rFonts w:ascii="Times New Roman" w:hAnsi="Times New Roman" w:cs="Times New Roman"/>
          <w:i/>
          <w:sz w:val="24"/>
          <w:szCs w:val="24"/>
        </w:rPr>
        <w:t>In the dragon's shadow: Southeast Asia in the Chinese century.</w:t>
      </w:r>
      <w:r w:rsidRPr="00AB1FF9">
        <w:rPr>
          <w:rFonts w:ascii="Times New Roman" w:hAnsi="Times New Roman" w:cs="Times New Roman"/>
          <w:sz w:val="24"/>
          <w:szCs w:val="24"/>
        </w:rPr>
        <w:t xml:space="preserve"> Yale University Press.</w:t>
      </w:r>
    </w:p>
    <w:p w14:paraId="7B68D1F6"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Strangio, S. (2026a, March 3). </w:t>
      </w:r>
      <w:r w:rsidRPr="00AB1FF9">
        <w:rPr>
          <w:rFonts w:ascii="Times New Roman" w:hAnsi="Times New Roman" w:cs="Times New Roman"/>
          <w:i/>
          <w:sz w:val="24"/>
          <w:szCs w:val="24"/>
        </w:rPr>
        <w:t>How Southeast Asia responded to the outbreak of the Iran war.</w:t>
      </w:r>
      <w:r w:rsidRPr="00AB1FF9">
        <w:rPr>
          <w:rFonts w:ascii="Times New Roman" w:hAnsi="Times New Roman" w:cs="Times New Roman"/>
          <w:sz w:val="24"/>
          <w:szCs w:val="24"/>
        </w:rPr>
        <w:t xml:space="preserve"> The Diplomat. https://thediplomat.com/2026/03/how-southeast-asia-responded-to-the-outbreak-of-the-iran-war/</w:t>
      </w:r>
    </w:p>
    <w:p w14:paraId="7F4BB549"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Strangio, S. (2026b, March 5). </w:t>
      </w:r>
      <w:r w:rsidRPr="00AB1FF9">
        <w:rPr>
          <w:rFonts w:ascii="Times New Roman" w:hAnsi="Times New Roman" w:cs="Times New Roman"/>
          <w:i/>
          <w:sz w:val="24"/>
          <w:szCs w:val="24"/>
        </w:rPr>
        <w:t>ASEAN calls for 'self-restraint', return to diplomacy as Iran war intensifies.</w:t>
      </w:r>
      <w:r w:rsidRPr="00AB1FF9">
        <w:rPr>
          <w:rFonts w:ascii="Times New Roman" w:hAnsi="Times New Roman" w:cs="Times New Roman"/>
          <w:sz w:val="24"/>
          <w:szCs w:val="24"/>
        </w:rPr>
        <w:t xml:space="preserve"> The Diplomat. https://thediplomat.com/2026/03/asean-calls-for-self-restraint-return-to-diplomacy-as-iran-war-intensifies/</w:t>
      </w:r>
    </w:p>
    <w:p w14:paraId="1676B984"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Taleb, N. N. (2007). </w:t>
      </w:r>
      <w:r w:rsidRPr="00AB1FF9">
        <w:rPr>
          <w:rFonts w:ascii="Times New Roman" w:hAnsi="Times New Roman" w:cs="Times New Roman"/>
          <w:i/>
          <w:sz w:val="24"/>
          <w:szCs w:val="24"/>
        </w:rPr>
        <w:t>The black swan: The impact of the highly improbable.</w:t>
      </w:r>
      <w:r w:rsidRPr="00AB1FF9">
        <w:rPr>
          <w:rFonts w:ascii="Times New Roman" w:hAnsi="Times New Roman" w:cs="Times New Roman"/>
          <w:sz w:val="24"/>
          <w:szCs w:val="24"/>
        </w:rPr>
        <w:t xml:space="preserve"> Random House.</w:t>
      </w:r>
    </w:p>
    <w:p w14:paraId="63B7CA8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UN News. (2026, February 28). </w:t>
      </w:r>
      <w:r w:rsidRPr="00AB1FF9">
        <w:rPr>
          <w:rFonts w:ascii="Times New Roman" w:hAnsi="Times New Roman" w:cs="Times New Roman"/>
          <w:i/>
          <w:sz w:val="24"/>
          <w:szCs w:val="24"/>
        </w:rPr>
        <w:t>Iran strikes 'squandered a chance for diplomacy': Guterres.</w:t>
      </w:r>
      <w:r w:rsidRPr="00AB1FF9">
        <w:rPr>
          <w:rFonts w:ascii="Times New Roman" w:hAnsi="Times New Roman" w:cs="Times New Roman"/>
          <w:sz w:val="24"/>
          <w:szCs w:val="24"/>
        </w:rPr>
        <w:t xml:space="preserve"> United Nations. https://news.un.org/en/story/2026/02/1167062</w:t>
      </w:r>
    </w:p>
    <w:p w14:paraId="1CE090A1"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Walt, S. M. (1987). </w:t>
      </w:r>
      <w:r w:rsidRPr="00AB1FF9">
        <w:rPr>
          <w:rFonts w:ascii="Times New Roman" w:hAnsi="Times New Roman" w:cs="Times New Roman"/>
          <w:i/>
          <w:sz w:val="24"/>
          <w:szCs w:val="24"/>
        </w:rPr>
        <w:t>The origins of alliances.</w:t>
      </w:r>
      <w:r w:rsidRPr="00AB1FF9">
        <w:rPr>
          <w:rFonts w:ascii="Times New Roman" w:hAnsi="Times New Roman" w:cs="Times New Roman"/>
          <w:sz w:val="24"/>
          <w:szCs w:val="24"/>
        </w:rPr>
        <w:t xml:space="preserve"> Cornell University Press.</w:t>
      </w:r>
    </w:p>
    <w:p w14:paraId="6E193B30"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Waltz, K. N. (1979). </w:t>
      </w:r>
      <w:r w:rsidRPr="00AB1FF9">
        <w:rPr>
          <w:rFonts w:ascii="Times New Roman" w:hAnsi="Times New Roman" w:cs="Times New Roman"/>
          <w:i/>
          <w:sz w:val="24"/>
          <w:szCs w:val="24"/>
        </w:rPr>
        <w:t>Theory of international politics.</w:t>
      </w:r>
      <w:r w:rsidRPr="00AB1FF9">
        <w:rPr>
          <w:rFonts w:ascii="Times New Roman" w:hAnsi="Times New Roman" w:cs="Times New Roman"/>
          <w:sz w:val="24"/>
          <w:szCs w:val="24"/>
        </w:rPr>
        <w:t xml:space="preserve"> Addison-Wesley.</w:t>
      </w:r>
    </w:p>
    <w:p w14:paraId="5900A44F"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lastRenderedPageBreak/>
        <w:t xml:space="preserve">Yacoubian, M. (2026, March 7). </w:t>
      </w:r>
      <w:r w:rsidRPr="00AB1FF9">
        <w:rPr>
          <w:rFonts w:ascii="Times New Roman" w:hAnsi="Times New Roman" w:cs="Times New Roman"/>
          <w:i/>
          <w:sz w:val="24"/>
          <w:szCs w:val="24"/>
        </w:rPr>
        <w:t>The regional reverberations of the US and Israeli strikes on Iran.</w:t>
      </w:r>
      <w:r w:rsidRPr="00AB1FF9">
        <w:rPr>
          <w:rFonts w:ascii="Times New Roman" w:hAnsi="Times New Roman" w:cs="Times New Roman"/>
          <w:sz w:val="24"/>
          <w:szCs w:val="24"/>
        </w:rPr>
        <w:t xml:space="preserve"> CSIS. https://www.csis.org/analysis/regional-reverberations-us-and-israeli-strikes-iran</w:t>
      </w:r>
    </w:p>
    <w:p w14:paraId="08AC5EEB" w14:textId="77777777"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Yin, R. K. (2018). </w:t>
      </w:r>
      <w:r w:rsidRPr="00AB1FF9">
        <w:rPr>
          <w:rFonts w:ascii="Times New Roman" w:hAnsi="Times New Roman" w:cs="Times New Roman"/>
          <w:i/>
          <w:sz w:val="24"/>
          <w:szCs w:val="24"/>
        </w:rPr>
        <w:t>Case study research and applications: Design and methods</w:t>
      </w:r>
      <w:r w:rsidRPr="00AB1FF9">
        <w:rPr>
          <w:rFonts w:ascii="Times New Roman" w:hAnsi="Times New Roman" w:cs="Times New Roman"/>
          <w:sz w:val="24"/>
          <w:szCs w:val="24"/>
        </w:rPr>
        <w:t xml:space="preserve"> (6th ed.). SAGE Publications.</w:t>
      </w:r>
    </w:p>
    <w:p w14:paraId="57C20648" w14:textId="6E70614E" w:rsidR="00AB1FF9" w:rsidRPr="00AB1FF9" w:rsidRDefault="00AB1FF9" w:rsidP="003F4629">
      <w:pPr>
        <w:spacing w:after="0" w:line="360" w:lineRule="auto"/>
        <w:ind w:left="720" w:hanging="720"/>
        <w:rPr>
          <w:rFonts w:ascii="Times New Roman" w:hAnsi="Times New Roman" w:cs="Times New Roman"/>
          <w:sz w:val="24"/>
          <w:szCs w:val="24"/>
        </w:rPr>
      </w:pPr>
      <w:r w:rsidRPr="00AB1FF9">
        <w:rPr>
          <w:rFonts w:ascii="Times New Roman" w:hAnsi="Times New Roman" w:cs="Times New Roman"/>
          <w:sz w:val="24"/>
          <w:szCs w:val="24"/>
        </w:rPr>
        <w:t xml:space="preserve">Zha, W. (2023). Southeast Asia amid Sino-US competition: Power shift and </w:t>
      </w:r>
      <w:r w:rsidR="003F4629">
        <w:rPr>
          <w:rFonts w:ascii="Times New Roman" w:hAnsi="Times New Roman" w:cs="Times New Roman"/>
          <w:sz w:val="24"/>
          <w:szCs w:val="24"/>
        </w:rPr>
        <w:t>transition in regional order</w:t>
      </w:r>
      <w:r w:rsidRPr="00AB1FF9">
        <w:rPr>
          <w:rFonts w:ascii="Times New Roman" w:hAnsi="Times New Roman" w:cs="Times New Roman"/>
          <w:sz w:val="24"/>
          <w:szCs w:val="24"/>
        </w:rPr>
        <w:t xml:space="preserve">. </w:t>
      </w:r>
      <w:r w:rsidRPr="00AB1FF9">
        <w:rPr>
          <w:rFonts w:ascii="Times New Roman" w:hAnsi="Times New Roman" w:cs="Times New Roman"/>
          <w:i/>
          <w:sz w:val="24"/>
          <w:szCs w:val="24"/>
        </w:rPr>
        <w:t>The Chinese Journal of International Politics, 16</w:t>
      </w:r>
      <w:r w:rsidRPr="00AB1FF9">
        <w:rPr>
          <w:rFonts w:ascii="Times New Roman" w:hAnsi="Times New Roman" w:cs="Times New Roman"/>
          <w:sz w:val="24"/>
          <w:szCs w:val="24"/>
        </w:rPr>
        <w:t>(2), 241–261.</w:t>
      </w:r>
    </w:p>
    <w:p w14:paraId="29C3ADF9" w14:textId="2AC91A7A" w:rsidR="0066149A" w:rsidRDefault="0066149A" w:rsidP="003F4629">
      <w:pPr>
        <w:spacing w:after="0" w:line="360" w:lineRule="auto"/>
        <w:ind w:left="720" w:hanging="720"/>
        <w:rPr>
          <w:lang w:bidi="th-TH"/>
        </w:rPr>
      </w:pPr>
    </w:p>
    <w:sectPr w:rsidR="006614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8754452">
    <w:abstractNumId w:val="8"/>
  </w:num>
  <w:num w:numId="2" w16cid:durableId="146554954">
    <w:abstractNumId w:val="6"/>
  </w:num>
  <w:num w:numId="3" w16cid:durableId="155540079">
    <w:abstractNumId w:val="5"/>
  </w:num>
  <w:num w:numId="4" w16cid:durableId="1052578474">
    <w:abstractNumId w:val="4"/>
  </w:num>
  <w:num w:numId="5" w16cid:durableId="987324013">
    <w:abstractNumId w:val="7"/>
  </w:num>
  <w:num w:numId="6" w16cid:durableId="1346521159">
    <w:abstractNumId w:val="3"/>
  </w:num>
  <w:num w:numId="7" w16cid:durableId="1566910928">
    <w:abstractNumId w:val="2"/>
  </w:num>
  <w:num w:numId="8" w16cid:durableId="301547167">
    <w:abstractNumId w:val="1"/>
  </w:num>
  <w:num w:numId="9" w16cid:durableId="35816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3E69"/>
    <w:rsid w:val="003F4629"/>
    <w:rsid w:val="003F48A7"/>
    <w:rsid w:val="00550022"/>
    <w:rsid w:val="0066149A"/>
    <w:rsid w:val="00801333"/>
    <w:rsid w:val="00AA1D8D"/>
    <w:rsid w:val="00AB1FF9"/>
    <w:rsid w:val="00B47730"/>
    <w:rsid w:val="00C437ED"/>
    <w:rsid w:val="00CB0664"/>
    <w:rsid w:val="00CC5F03"/>
    <w:rsid w:val="00D45EF1"/>
    <w:rsid w:val="00D75E08"/>
    <w:rsid w:val="00F53859"/>
    <w:rsid w:val="00FA68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1385B"/>
  <w14:defaultImageDpi w14:val="300"/>
  <w15:docId w15:val="{A4E2BF83-66C3-4E78-BCDB-CBF53542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C437ED"/>
    <w:pPr>
      <w:keepNext/>
      <w:keepLines/>
      <w:spacing w:before="480" w:after="0"/>
      <w:outlineLvl w:val="0"/>
    </w:pPr>
    <w:rPr>
      <w:rFonts w:ascii="Times New Roman" w:eastAsia="Times New Roman"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437ED"/>
    <w:rPr>
      <w:rFonts w:ascii="Times New Roman" w:eastAsia="Times New Roman"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nt-claude-response-body">
    <w:name w:val="font-claude-response-body"/>
    <w:basedOn w:val="Normal"/>
    <w:rsid w:val="00F53859"/>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11">
      <w:bodyDiv w:val="1"/>
      <w:marLeft w:val="0"/>
      <w:marRight w:val="0"/>
      <w:marTop w:val="0"/>
      <w:marBottom w:val="0"/>
      <w:divBdr>
        <w:top w:val="none" w:sz="0" w:space="0" w:color="auto"/>
        <w:left w:val="none" w:sz="0" w:space="0" w:color="auto"/>
        <w:bottom w:val="none" w:sz="0" w:space="0" w:color="auto"/>
        <w:right w:val="none" w:sz="0" w:space="0" w:color="auto"/>
      </w:divBdr>
    </w:div>
    <w:div w:id="376635879">
      <w:bodyDiv w:val="1"/>
      <w:marLeft w:val="0"/>
      <w:marRight w:val="0"/>
      <w:marTop w:val="0"/>
      <w:marBottom w:val="0"/>
      <w:divBdr>
        <w:top w:val="none" w:sz="0" w:space="0" w:color="auto"/>
        <w:left w:val="none" w:sz="0" w:space="0" w:color="auto"/>
        <w:bottom w:val="none" w:sz="0" w:space="0" w:color="auto"/>
        <w:right w:val="none" w:sz="0" w:space="0" w:color="auto"/>
      </w:divBdr>
    </w:div>
    <w:div w:id="531038365">
      <w:bodyDiv w:val="1"/>
      <w:marLeft w:val="0"/>
      <w:marRight w:val="0"/>
      <w:marTop w:val="0"/>
      <w:marBottom w:val="0"/>
      <w:divBdr>
        <w:top w:val="none" w:sz="0" w:space="0" w:color="auto"/>
        <w:left w:val="none" w:sz="0" w:space="0" w:color="auto"/>
        <w:bottom w:val="none" w:sz="0" w:space="0" w:color="auto"/>
        <w:right w:val="none" w:sz="0" w:space="0" w:color="auto"/>
      </w:divBdr>
    </w:div>
    <w:div w:id="1630937477">
      <w:bodyDiv w:val="1"/>
      <w:marLeft w:val="0"/>
      <w:marRight w:val="0"/>
      <w:marTop w:val="0"/>
      <w:marBottom w:val="0"/>
      <w:divBdr>
        <w:top w:val="none" w:sz="0" w:space="0" w:color="auto"/>
        <w:left w:val="none" w:sz="0" w:space="0" w:color="auto"/>
        <w:bottom w:val="none" w:sz="0" w:space="0" w:color="auto"/>
        <w:right w:val="none" w:sz="0" w:space="0" w:color="auto"/>
      </w:divBdr>
    </w:div>
    <w:div w:id="1769962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6263</Words>
  <Characters>35702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Sipnarong Kanchanawongpaisan</cp:lastModifiedBy>
  <cp:revision>3</cp:revision>
  <dcterms:created xsi:type="dcterms:W3CDTF">2026-06-22T22:51:00Z</dcterms:created>
  <dcterms:modified xsi:type="dcterms:W3CDTF">2026-06-22T22:51:00Z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72719a06-f98b-4a99-8074-4492d210596a</vt:lpwstr>
  </property>
</Properties>
</file>