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SimSun" w:hAnsi="Times New Roman"/>
          <w:b/>
          <w:bCs/>
          <w:sz w:val="28"/>
          <w:szCs w:val="24"/>
        </w:rPr>
      </w:pPr>
    </w:p>
    <w:p>
      <w:pPr>
        <w:pStyle w:val="style0"/>
        <w:jc w:val="center"/>
        <w:rPr>
          <w:rFonts w:ascii="Times New Roman" w:cs="Times New Roman" w:eastAsia="SimSun" w:hAnsi="Times New Roman"/>
          <w:b/>
          <w:bCs/>
          <w:sz w:val="28"/>
          <w:szCs w:val="24"/>
        </w:rPr>
      </w:pPr>
      <w:r>
        <w:rPr>
          <w:rFonts w:ascii="Times New Roman" w:cs="Times New Roman" w:eastAsia="SimSun" w:hAnsi="Times New Roman"/>
          <w:b/>
          <w:bCs/>
          <w:sz w:val="28"/>
          <w:szCs w:val="24"/>
        </w:rPr>
        <w:t xml:space="preserve"> Development and Exergo-Economic Analysis of a Gasifier Cookstove with Thermoelectric System</w:t>
      </w:r>
    </w:p>
    <w:p>
      <w:pPr>
        <w:pStyle w:val="style0"/>
        <w:jc w:val="center"/>
        <w:rPr>
          <w:b/>
        </w:rPr>
      </w:pPr>
    </w:p>
    <w:p>
      <w:pPr>
        <w:pStyle w:val="style0"/>
        <w:jc w:val="center"/>
        <w:rPr>
          <w:vertAlign w:val="superscript"/>
        </w:rPr>
      </w:pPr>
      <w:r>
        <w:t xml:space="preserve"/>
      </w:r>
      <w:r>
        <w:t/>
      </w:r>
      <w:r>
        <w:rPr>
          <w:lang w:val="en-US"/>
        </w:rPr>
        <w:t/>
      </w:r>
      <w:r>
        <w:t xml:space="preserve"/>
      </w:r>
      <w:r>
        <w:t/>
      </w:r>
      <w:r>
        <w:rPr>
          <w:vertAlign w:val="superscript"/>
        </w:rPr>
        <w:t xml:space="preserve"/>
      </w:r>
      <w:r>
        <w:t/>
      </w:r>
      <w:r>
        <w:t xml:space="preserve"/>
      </w:r>
      <w:r>
        <w:rPr>
          <w:vertAlign w:val="superscript"/>
        </w:rPr>
        <w:t/>
      </w:r>
      <w:r>
        <w:t xml:space="preserve"/>
      </w:r>
      <w:r>
        <w:t/>
      </w:r>
      <w:r>
        <w:t xml:space="preserve"/>
      </w:r>
      <w:r>
        <w:t/>
      </w:r>
      <w:r>
        <w:t xml:space="preserve"/>
      </w:r>
      <w:r>
        <w:rPr>
          <w:vertAlign w:val="superscript"/>
        </w:rPr>
        <w:t/>
      </w:r>
      <w:r>
        <w:t xml:space="preserve"/>
      </w:r>
    </w:p>
    <w:p>
      <w:pPr>
        <w:pStyle w:val="style0"/>
        <w:spacing w:after="0"/>
        <w:jc w:val="center"/>
        <w:rPr/>
      </w:pPr>
      <w:r>
        <w:rPr>
          <w:vertAlign w:val="superscript"/>
        </w:rPr>
        <w:t/>
      </w:r>
      <w:r>
        <w:t/>
      </w:r>
    </w:p>
    <w:p>
      <w:pPr>
        <w:pStyle w:val="style0"/>
        <w:spacing w:after="0"/>
        <w:jc w:val="center"/>
        <w:rPr/>
      </w:pPr>
      <w:r>
        <w:rPr>
          <w:vertAlign w:val="superscript"/>
        </w:rPr>
        <w:t/>
      </w:r>
      <w:bookmarkStart w:id="0" w:name="_GoBack"/>
      <w:bookmarkEnd w:id="0"/>
      <w:r>
        <w:t/>
      </w:r>
    </w:p>
    <w:p>
      <w:pPr>
        <w:pStyle w:val="style0"/>
        <w:spacing w:after="0"/>
        <w:jc w:val="center"/>
        <w:rPr/>
      </w:pPr>
    </w:p>
    <w:p>
      <w:pPr>
        <w:pStyle w:val="style0"/>
        <w:rPr>
          <w:b/>
        </w:rPr>
      </w:pPr>
      <w:r>
        <w:rPr>
          <w:b/>
        </w:rPr>
        <w:t>Abstract</w:t>
      </w:r>
    </w:p>
    <w:p>
      <w:pPr>
        <w:pStyle w:val="style0"/>
        <w:jc w:val="both"/>
        <w:rPr>
          <w:i/>
        </w:rPr>
      </w:pPr>
      <w:r>
        <w:rPr>
          <w:i/>
        </w:rPr>
        <w:t>This study presents the development and exergo-economic analysis of a biomass gasifier cookstove integrated with a thermoelectric generator (TEG) for generating electricity from waste heat. The design utilizes biomass</w:t>
      </w:r>
      <w:r>
        <w:rPr>
          <w:i/>
        </w:rPr>
        <w:t xml:space="preserve"> as a fuel source, converting it into combustible gases through gasification while capturing waste heat for electricity generation using a TEG. The thermoelectric system powers a fan to improve combustion efficiency. Experimental results show stove efficie</w:t>
      </w:r>
      <w:r>
        <w:rPr>
          <w:i/>
        </w:rPr>
        <w:t>ncies between 76% and 82%, and the exergo-economic analysis reveals a cost-effective design with high exergy utilization. This dual-purpose system demonstrates potential for improving energy efficiency and access to electricity in developing regions.</w:t>
      </w:r>
    </w:p>
    <w:p>
      <w:pPr>
        <w:pStyle w:val="style0"/>
        <w:rPr>
          <w:i/>
        </w:rPr>
      </w:pPr>
      <w:r>
        <w:rPr>
          <w:i/>
        </w:rPr>
        <w:t>Key W</w:t>
      </w:r>
      <w:r>
        <w:rPr>
          <w:i/>
        </w:rPr>
        <w:t>ords: gasifier, cookstove, exergo-economic</w:t>
      </w:r>
    </w:p>
    <w:p>
      <w:pPr>
        <w:pStyle w:val="style0"/>
        <w:rPr>
          <w:b/>
        </w:rPr>
      </w:pPr>
      <w:r>
        <w:rPr>
          <w:b/>
        </w:rPr>
        <w:t>1. Introduction</w:t>
      </w:r>
    </w:p>
    <w:p>
      <w:pPr>
        <w:pStyle w:val="style0"/>
        <w:jc w:val="both"/>
        <w:rPr/>
      </w:pPr>
      <w:r>
        <w:t>Energy access and environmental sustainability are critical challenges facing developing countries, particularly in rural areas where traditional biomass cookstoves are still widely used</w:t>
      </w:r>
      <w:r>
        <w:rPr/>
        <w:fldChar w:fldCharType="begin"/>
      </w:r>
      <w:r>
        <w:instrText xml:space="preserve"> ADDIN EN.C</w:instrText>
      </w:r>
      <w:r>
        <w:instrText>ITE &lt;EndNote&gt;&lt;Cite&gt;&lt;Author&gt;Lv&lt;/Author&gt;&lt;Year&gt;2014&lt;/Year&gt;&lt;RecNum&gt;77&lt;/RecNum&gt;&lt;DisplayText&gt;(Lv et al., 2014)&lt;/DisplayText&gt;&lt;record&gt;&lt;rec-number&gt;77&lt;/rec-number&gt;&lt;foreign-keys&gt;&lt;key app="EN" db-id="zwvaz220krdw08ez5xqxtv9xx9fsatwdzzra" timestamp="1701864075"&gt;77&lt;/key</w:instrText>
      </w:r>
      <w:r>
        <w:instrText>&gt;&lt;/foreign-keys&gt;&lt;ref-type name="Journal Article"&gt;17&lt;/ref-type&gt;&lt;contributors&gt;&lt;authors&gt;&lt;author&gt;Lv, Xiao&lt;/author&gt;&lt;author&gt;Xiao, Jun&lt;/author&gt;&lt;author&gt;Du, Yuzhao&lt;/author&gt;&lt;author&gt;Shen, Laihong&lt;/author&gt;&lt;author&gt;Zhou, Yayun&lt;/author&gt;&lt;/authors&gt;&lt;/contributors&gt;&lt;titles&gt;&lt;t</w:instrText>
      </w:r>
      <w:r>
        <w:instrText>itle&gt;Experimental study on biomass steam gasification for hydrogen-rich gas in double-bed reactor&lt;/title&gt;&lt;secondary-title&gt;International journal of hydrogen energy&lt;/secondary-title&gt;&lt;/titles&gt;&lt;periodical&gt;&lt;full-title&gt;International journal of hydrogen energy&lt;/f</w:instrText>
      </w:r>
      <w:r>
        <w:instrText>ull-title&gt;&lt;/periodical&gt;&lt;pages&gt;20968-20978&lt;/pages&gt;&lt;volume&gt;39&lt;/volume&gt;&lt;number&gt;36&lt;/number&gt;&lt;dates&gt;&lt;year&gt;2014&lt;/year&gt;&lt;/dates&gt;&lt;isbn&gt;0360-3199&lt;/isbn&gt;&lt;urls&gt;&lt;/urls&gt;&lt;/record&gt;&lt;/Cite&gt;&lt;/EndNote&gt;</w:instrText>
      </w:r>
      <w:r>
        <w:rPr/>
        <w:fldChar w:fldCharType="separate"/>
      </w:r>
      <w:r>
        <w:rPr>
          <w:noProof/>
        </w:rPr>
        <w:t>(</w:t>
      </w:r>
      <w:r>
        <w:rPr>
          <w:i/>
          <w:noProof/>
        </w:rPr>
        <w:t>Lv et al</w:t>
      </w:r>
      <w:r>
        <w:rPr>
          <w:noProof/>
        </w:rPr>
        <w:t>., 2014)</w:t>
      </w:r>
      <w:r>
        <w:rPr/>
        <w:fldChar w:fldCharType="end"/>
      </w:r>
      <w:r>
        <w:t>. These stoves are inefficient, emit harmful pollutants,</w:t>
      </w:r>
      <w:r>
        <w:t xml:space="preserve"> and contribute to deforestation and carbon emissions. The World Health Organization</w:t>
      </w:r>
      <w:r>
        <w:rPr/>
        <w:fldChar w:fldCharType="begin"/>
      </w:r>
      <w:r>
        <w:instrText xml:space="preserve"> ADDIN EN.CITE &lt;EndNote&gt;&lt;Cite&gt;&lt;Author&gt;RS&lt;/Author&gt;&lt;Year&gt;2015&lt;/Year&gt;&lt;RecNum&gt;81&lt;/RecNum&gt;&lt;DisplayText&gt;(RS et al., 2015)&lt;/DisplayText&gt;&lt;record&gt;&lt;rec-number&gt;81&lt;/rec-number&gt;&lt;foreign</w:instrText>
      </w:r>
      <w:r>
        <w:instrText>-keys&gt;&lt;key app="EN" db-id="zwvaz220krdw08ez5xqxtv9xx9fsatwdzzra" timestamp="1702241153"&gt;81&lt;/key&gt;&lt;/foreign-keys&gt;&lt;ref-type name="Journal Article"&gt;17&lt;/ref-type&gt;&lt;contributors&gt;&lt;authors&gt;&lt;author&gt;RS, BELLO&lt;/author&gt;&lt;author&gt;MA, ONILUDE&lt;/author&gt;&lt;author&gt;TA, ADEGBULUGB</w:instrText>
      </w:r>
      <w:r>
        <w:instrText>E&lt;/author&gt;&lt;/authors&gt;&lt;/contributors&gt;&lt;titles&gt;&lt;title&gt;Design and performance evaluation of supplemental air supplied charcoal stove&lt;/title&gt;&lt;secondary-title&gt;International Letters of Chemistry, Physics and Astronomy&lt;/secondary-title&gt;&lt;/titles&gt;&lt;periodical&gt;&lt;full-ti</w:instrText>
      </w:r>
      <w:r>
        <w:instrText>tle&gt;International Letters of Chemistry, Physics and Astronomy&lt;/full-title&gt;&lt;/periodical&gt;&lt;pages&gt;1-10&lt;/pages&gt;&lt;volume&gt;54&lt;/volume&gt;&lt;dates&gt;&lt;year&gt;2015&lt;/year&gt;&lt;/dates&gt;&lt;urls&gt;&lt;/urls&gt;&lt;/record&gt;&lt;/Cite&gt;&lt;/EndNote&gt;</w:instrText>
      </w:r>
      <w:r>
        <w:rPr/>
        <w:fldChar w:fldCharType="separate"/>
      </w:r>
      <w:r>
        <w:rPr>
          <w:noProof/>
        </w:rPr>
        <w:t>(RS et al., 2015)</w:t>
      </w:r>
      <w:r>
        <w:rPr/>
        <w:fldChar w:fldCharType="end"/>
      </w:r>
      <w:r>
        <w:t xml:space="preserve"> estimates that exposure to household ai</w:t>
      </w:r>
      <w:r>
        <w:t xml:space="preserve">r pollution from traditional cooking practices causes millions of premature deaths annually. </w:t>
      </w:r>
    </w:p>
    <w:p>
      <w:pPr>
        <w:pStyle w:val="style0"/>
        <w:jc w:val="both"/>
        <w:rPr/>
      </w:pPr>
      <w:r>
        <w:t>Renewable energy technologies, including thermoelectric generators (TEGs), offer innovative solutions for energy recovery from waste heat</w:t>
      </w:r>
      <w:r>
        <w:rPr/>
        <w:fldChar w:fldCharType="begin"/>
      </w:r>
      <w:r>
        <w:instrText xml:space="preserve"> ADDIN EN.CITE &lt;EndNote&gt;&lt;</w:instrText>
      </w:r>
      <w:r>
        <w:instrText>Cite&gt;&lt;Author&gt;Al-Shetwi&lt;/Author&gt;&lt;Year&gt;2022&lt;/Year&gt;&lt;RecNum&gt;5&lt;/RecNum&gt;&lt;DisplayText&gt;(Al-Shetwi, 2022; Chendake et al., 2014)&lt;/DisplayText&gt;&lt;record&gt;&lt;rec-number&gt;5&lt;/rec-number&gt;&lt;foreign-keys&gt;&lt;key app="EN" db-id="zwvaz220krdw08ez5xqxtv9xx9fsatwdzzra" timestamp="16891</w:instrText>
      </w:r>
      <w:r>
        <w:instrText>03343"&gt;5&lt;/key&gt;&lt;/foreign-keys&gt;&lt;ref-type name="Journal Article"&gt;17&lt;/ref-type&gt;&lt;contributors&gt;&lt;authors&gt;&lt;author&gt;Al-Shetwi, Ali Q&lt;/author&gt;&lt;/authors&gt;&lt;/contributors&gt;&lt;titles&gt;&lt;title&gt;Sustainable development of renewable energy integrated power sector: Trends, environm</w:instrText>
      </w:r>
      <w:r>
        <w:instrText>ental impacts, and recent challenges&lt;/title&gt;&lt;secondary-title&gt;Science of The Total Environment&lt;/secondary-title&gt;&lt;/titles&gt;&lt;periodical&gt;&lt;full-title&gt;Science of The Total Environment&lt;/full-title&gt;&lt;/periodical&gt;&lt;pages&gt;153645&lt;/pages&gt;&lt;volume&gt;822&lt;/volume&gt;&lt;dates&gt;&lt;year&gt;</w:instrText>
      </w:r>
      <w:r>
        <w:instrText>2022&lt;/year&gt;&lt;/dates&gt;&lt;isbn&gt;0048-9697&lt;/isbn&gt;&lt;urls&gt;&lt;/urls&gt;&lt;/record&gt;&lt;/Cite&gt;&lt;Cite&gt;&lt;Author&gt;Chendake&lt;/Author&gt;&lt;Year&gt;2014&lt;/Year&gt;&lt;RecNum&gt;83&lt;/RecNum&gt;&lt;record&gt;&lt;rec-number&gt;83&lt;/rec-number&gt;&lt;foreign-keys&gt;&lt;key app="EN" db-id="zwvaz220krdw08ez5xqxtv9xx9fsatwdzzra" timestamp="</w:instrText>
      </w:r>
      <w:r>
        <w:instrText>1702245856"&gt;83&lt;/key&gt;&lt;/foreign-keys&gt;&lt;ref-type name="Journal Article"&gt;17&lt;/ref-type&gt;&lt;contributors&gt;&lt;authors&gt;&lt;author&gt;Chendake, AD&lt;/author&gt;&lt;author&gt;Shelake, PS&lt;/author&gt;&lt;author&gt;Nalawade, RD&lt;/author&gt;&lt;author&gt;Vairal, SD&lt;/author&gt;&lt;/authors&gt;&lt;/contributors&gt;&lt;titles&gt;&lt;title</w:instrText>
      </w:r>
      <w:r>
        <w:instrText>&gt;Design and development of household gasifier cum water heater&lt;/title&gt;&lt;secondary-title&gt;Int J Curr Eng Technol. ISSN&lt;/secondary-title&gt;&lt;/titles&gt;&lt;periodical&gt;&lt;full-title&gt;Int J Curr Eng Technol. ISSN&lt;/full-title&gt;&lt;/periodical&gt;&lt;pages&gt;2277-4106&lt;/pages&gt;&lt;dates&gt;&lt;year</w:instrText>
      </w:r>
      <w:r>
        <w:instrText>&gt;2014&lt;/year&gt;&lt;/dates&gt;&lt;urls&gt;&lt;/urls&gt;&lt;/record&gt;&lt;/Cite&gt;&lt;/EndNote&gt;</w:instrText>
      </w:r>
      <w:r>
        <w:rPr/>
        <w:fldChar w:fldCharType="separate"/>
      </w:r>
      <w:r>
        <w:rPr>
          <w:noProof/>
        </w:rPr>
        <w:t>(Al-Shetwi, 2022; Chendake et al., 2014)</w:t>
      </w:r>
      <w:r>
        <w:rPr/>
        <w:fldChar w:fldCharType="end"/>
      </w:r>
      <w:r>
        <w:t>. TEGs can convert heat from combustion processes into electricity, potentially improving the efficiency of biomass stoves while generating power for hous</w:t>
      </w:r>
      <w:r>
        <w:t>ehold use. This paper presents the development of an improved biomass gasifier cookstove integrated with a TEG. The system addresses both the energy efficiency of cooking and electricity generation in off-grid communities, providing a clean energy alternat</w:t>
      </w:r>
      <w:r>
        <w:t>ive</w:t>
      </w:r>
      <w:r>
        <w:rPr/>
        <w:fldChar w:fldCharType="begin"/>
      </w:r>
      <w:r>
        <w:instrText xml:space="preserve"> ADDIN EN.CITE &lt;EndNote&gt;&lt;Cite&gt;&lt;Author&gt;Situmorang&lt;/Author&gt;&lt;Year&gt;2020&lt;/Year&gt;&lt;RecNum&gt;75&lt;/RecNum&gt;&lt;DisplayText&gt;(Situmorang et al., 2020)&lt;/DisplayText&gt;&lt;record&gt;&lt;rec-number&gt;75&lt;/rec-number&gt;&lt;foreign-keys&gt;&lt;key app="EN" db-id="zwvaz220krdw08ez5xqxtv9xx9fsatwdzzra" </w:instrText>
      </w:r>
      <w:r>
        <w:instrText>timestamp="1701860521"&gt;75&lt;/key&gt;&lt;/foreign-keys&gt;&lt;ref-type name="Journal Article"&gt;17&lt;/ref-type&gt;&lt;contributors&gt;&lt;authors&gt;&lt;author&gt;Situmorang, Yohanes Andre&lt;/author&gt;&lt;author&gt;Zhao, Zhongkai&lt;/author&gt;&lt;author&gt;Yoshida, Akihiro&lt;/author&gt;&lt;author&gt;Abudula, Abuliti&lt;/author&gt;&lt;a</w:instrText>
      </w:r>
      <w:r>
        <w:instrText>uthor&gt;Guan, Guoqing&lt;/author&gt;&lt;/authors&gt;&lt;/contributors&gt;&lt;titles&gt;&lt;title&gt;Small-scale biomass gasification systems for power generation (&amp;lt; 200 kW class): A review&lt;/title&gt;&lt;secondary-title&gt;Renewable and sustainable energy reviews&lt;/secondary-title&gt;&lt;/titles&gt;&lt;peri</w:instrText>
      </w:r>
      <w:r>
        <w:instrText>odical&gt;&lt;full-title&gt;Renewable and Sustainable Energy Reviews&lt;/full-title&gt;&lt;/periodical&gt;&lt;pages&gt;109486&lt;/pages&gt;&lt;volume&gt;117&lt;/volume&gt;&lt;dates&gt;&lt;year&gt;2020&lt;/year&gt;&lt;/dates&gt;&lt;isbn&gt;1364-0321&lt;/isbn&gt;&lt;urls&gt;&lt;/urls&gt;&lt;/record&gt;&lt;/Cite&gt;&lt;/EndNote&gt;</w:instrText>
      </w:r>
      <w:r>
        <w:rPr/>
        <w:fldChar w:fldCharType="separate"/>
      </w:r>
      <w:r>
        <w:t>10:22 AM</w:t>
      </w:r>
      <w:r>
        <w:rPr/>
        <w:fldChar w:fldCharType="end"/>
      </w:r>
      <w:r>
        <w:t>.</w:t>
      </w:r>
    </w:p>
    <w:p>
      <w:pPr>
        <w:pStyle w:val="style0"/>
        <w:jc w:val="both"/>
        <w:rPr/>
      </w:pPr>
      <w:r>
        <w:t>The stu</w:t>
      </w:r>
      <w:r>
        <w:t>dy also includes an exergo-economic analysis</w:t>
      </w:r>
      <w:r>
        <w:rPr/>
        <w:fldChar w:fldCharType="begin"/>
      </w:r>
      <w:r>
        <w:instrText xml:space="preserve"> ADDIN EN.CITE &lt;EndNote&gt;&lt;Cite&gt;&lt;Author&gt;Oyedepo&lt;/Author&gt;&lt;Year&gt;2014&lt;/Year&gt;&lt;RecNum&gt;71&lt;/RecNum&gt;&lt;DisplayText&gt;(Oyedepo et al., 2014)&lt;/DisplayText&gt;&lt;record&gt;&lt;rec-number&gt;71&lt;/rec-number&gt;&lt;foreign-keys&gt;&lt;key app="EN" db-id="zwv</w:instrText>
      </w:r>
      <w:r>
        <w:instrText>az220krdw08ez5xqxtv9xx9fsatwdzzra" timestamp="1701781941"&gt;71&lt;/key&gt;&lt;/foreign-keys&gt;&lt;ref-type name="Conference Proceedings"&gt;10&lt;/ref-type&gt;&lt;contributors&gt;&lt;authors&gt;&lt;author&gt;Oyedepo, SO&lt;/author&gt;&lt;author&gt;Fagbenle, RO&lt;/author&gt;&lt;author&gt;Adefila, SS&lt;/author&gt;&lt;/authors&gt;&lt;/co</w:instrText>
      </w:r>
      <w:r>
        <w:instrText>ntributors&gt;&lt;titles&gt;&lt;title&gt;Exergetic and exergoeconomic analysis of selected gas turbine power plants in Nigeria&lt;/title&gt;&lt;/titles&gt;&lt;dates&gt;&lt;year&gt;2014&lt;/year&gt;&lt;/dates&gt;&lt;publisher&gt;International Conference on Heat Transfer, Fluid Mechanics and Thermodynamics&lt;/publis</w:instrText>
      </w:r>
      <w:r>
        <w:instrText>her&gt;&lt;urls&gt;&lt;/urls&gt;&lt;/record&gt;&lt;/Cite&gt;&lt;/EndNote&gt;</w:instrText>
      </w:r>
      <w:r>
        <w:rPr/>
        <w:fldChar w:fldCharType="separate"/>
      </w:r>
      <w:r>
        <w:rPr>
          <w:noProof/>
        </w:rPr>
        <w:t>(Oyedepo et al., 2014)</w:t>
      </w:r>
      <w:r>
        <w:rPr/>
        <w:fldChar w:fldCharType="end"/>
      </w:r>
      <w:r>
        <w:t>, which combines exergy analysis with economic considerations to evaluate system performance and cost-effectiveness. This integrated approach enables an assessment of the potential for sca</w:t>
      </w:r>
      <w:r>
        <w:t>ling up the technology in developing regions.</w:t>
      </w:r>
    </w:p>
    <w:p>
      <w:pPr>
        <w:pStyle w:val="style0"/>
        <w:jc w:val="both"/>
        <w:rPr/>
      </w:pPr>
    </w:p>
    <w:p>
      <w:pPr>
        <w:pStyle w:val="style0"/>
        <w:jc w:val="both"/>
        <w:rPr/>
      </w:pPr>
    </w:p>
    <w:p>
      <w:pPr>
        <w:pStyle w:val="style0"/>
        <w:jc w:val="both"/>
        <w:rPr/>
      </w:pPr>
    </w:p>
    <w:p>
      <w:pPr>
        <w:pStyle w:val="style0"/>
        <w:jc w:val="both"/>
        <w:rPr>
          <w:b/>
        </w:rPr>
      </w:pPr>
      <w:r>
        <w:rPr>
          <w:b/>
        </w:rPr>
        <w:t>2. Literature Review</w:t>
      </w:r>
    </w:p>
    <w:p>
      <w:pPr>
        <w:pStyle w:val="style0"/>
        <w:jc w:val="both"/>
        <w:rPr>
          <w:b/>
        </w:rPr>
      </w:pPr>
      <w:r>
        <w:rPr>
          <w:b/>
        </w:rPr>
        <w:t>2.1 Thermoelectric Generators (TEGs)</w:t>
      </w:r>
    </w:p>
    <w:p>
      <w:pPr>
        <w:pStyle w:val="style0"/>
        <w:jc w:val="both"/>
        <w:rPr/>
      </w:pPr>
      <w:r>
        <w:t>TEGs are semiconductor devices that convert temperature differences directly into electrical power using the Seebeck effect</w:t>
      </w:r>
      <w:r>
        <w:rPr/>
        <w:fldChar w:fldCharType="begin"/>
      </w:r>
      <w:r>
        <w:instrText xml:space="preserve"> ADDIN EN.CITE &lt;EndNote&gt;&lt;C</w:instrText>
      </w:r>
      <w:r>
        <w:instrText>ite&gt;&lt;Author&gt;Yahya&lt;/Author&gt;&lt;Year&gt;2020&lt;/Year&gt;&lt;RecNum&gt;22&lt;/RecNum&gt;&lt;DisplayText&gt;(Yahya et al., 2020)&lt;/DisplayText&gt;&lt;record&gt;&lt;rec-number&gt;22&lt;/rec-number&gt;&lt;foreign-keys&gt;&lt;key app="EN" db-id="zwvaz220krdw08ez5xqxtv9xx9fsatwdzzra" timestamp="1689106287"&gt;22&lt;/key&gt;&lt;/foreig</w:instrText>
      </w:r>
      <w:r>
        <w:instrText>n-keys&gt;&lt;ref-type name="Book Section"&gt;5&lt;/ref-type&gt;&lt;contributors&gt;&lt;authors&gt;&lt;author&gt;Yahya, Khalid&lt;/author&gt;&lt;author&gt;Salem, Mohammed&lt;/author&gt;&lt;author&gt;Iqteit, Nassim&lt;/author&gt;&lt;author&gt;Khan, Sajjad Ahmad&lt;/author&gt;&lt;/authors&gt;&lt;/contributors&gt;&lt;titles&gt;&lt;title&gt;A Thermoelectric</w:instrText>
      </w:r>
      <w:r>
        <w:instrText xml:space="preserve"> Energy Harvesting System&lt;/title&gt;&lt;secondary-title&gt;Renewable Energy-Resources, Challenges and Applications&lt;/secondary-title&gt;&lt;/titles&gt;&lt;dates&gt;&lt;year&gt;2020&lt;/year&gt;&lt;/dates&gt;&lt;publisher&gt;IntechOpen&lt;/publisher&gt;&lt;isbn&gt;1789842840&lt;/isbn&gt;&lt;urls&gt;&lt;/urls&gt;&lt;/record&gt;&lt;/Cite&gt;&lt;/EndNo</w:instrText>
      </w:r>
      <w:r>
        <w:instrText>te&gt;</w:instrText>
      </w:r>
      <w:r>
        <w:rPr/>
        <w:fldChar w:fldCharType="separate"/>
      </w:r>
      <w:r>
        <w:rPr>
          <w:noProof/>
        </w:rPr>
        <w:t>(</w:t>
      </w:r>
      <w:r>
        <w:rPr>
          <w:i/>
          <w:noProof/>
        </w:rPr>
        <w:t>Yahya et al</w:t>
      </w:r>
      <w:r>
        <w:rPr>
          <w:noProof/>
        </w:rPr>
        <w:t>., 2020)</w:t>
      </w:r>
      <w:r>
        <w:rPr/>
        <w:fldChar w:fldCharType="end"/>
      </w:r>
      <w:r>
        <w:t xml:space="preserve">. The principle is based on the generation of a voltage when there is a temperature gradient across the material. TEGs as illustrated in fig. 1 have been used in various applications, including waste heat recovery from automotive </w:t>
      </w:r>
      <w:r>
        <w:t>exhaust systems and industrial processes</w:t>
      </w:r>
      <w:r>
        <w:rPr/>
        <w:fldChar w:fldCharType="begin"/>
      </w:r>
      <w:r>
        <w:instrText xml:space="preserve"> ADDIN EN.CITE &lt;EndNote&gt;&lt;Cite&gt;&lt;Author&gt;Majumdar&lt;/Author&gt;&lt;Year&gt;2004&lt;/Year&gt;&lt;RecNum&gt;37&lt;/RecNum&gt;&lt;DisplayText&gt;(Majumdar, 2004)&lt;/DisplayText&gt;&lt;record&gt;&lt;rec-number&gt;37&lt;/rec-number&gt;&lt;foreign-keys&gt;&lt;key app="EN" db-id="zwvaz220krdw</w:instrText>
      </w:r>
      <w:r>
        <w:instrText>08ez5xqxtv9xx9fsatwdzzra" timestamp="1689109299"&gt;37&lt;/key&gt;&lt;/foreign-keys&gt;&lt;ref-type name="Journal Article"&gt;17&lt;/ref-type&gt;&lt;contributors&gt;&lt;authors&gt;&lt;author&gt;Majumdar, Arun&lt;/author&gt;&lt;/authors&gt;&lt;/contributors&gt;&lt;titles&gt;&lt;title&gt;Thermoelectricity in semiconductor nanostruc</w:instrText>
      </w:r>
      <w:r>
        <w:instrText>tures&lt;/title&gt;&lt;secondary-title&gt;Science&lt;/secondary-title&gt;&lt;/titles&gt;&lt;periodical&gt;&lt;full-title&gt;Science&lt;/full-title&gt;&lt;/periodical&gt;&lt;pages&gt;777-778&lt;/pages&gt;&lt;volume&gt;303&lt;/volume&gt;&lt;number&gt;5659&lt;/number&gt;&lt;dates&gt;&lt;year&gt;2004&lt;/year&gt;&lt;/dates&gt;&lt;isbn&gt;0036-8075&lt;/isbn&gt;&lt;urls&gt;&lt;/urls&gt;&lt;/rec</w:instrText>
      </w:r>
      <w:r>
        <w:instrText>ord&gt;&lt;/Cite&gt;&lt;/EndNote&gt;</w:instrText>
      </w:r>
      <w:r>
        <w:rPr/>
        <w:fldChar w:fldCharType="separate"/>
      </w:r>
      <w:r>
        <w:rPr>
          <w:noProof/>
        </w:rPr>
        <w:t>(Majumdar, 2004)</w:t>
      </w:r>
      <w:r>
        <w:rPr/>
        <w:fldChar w:fldCharType="end"/>
      </w:r>
      <w:r>
        <w:t>. Their advantages include no moving parts, quiet operation, and the ability to operate in extreme conditions. However, the efficiency of TEGs remains relatively low, requiring optimization in integration with energy</w:t>
      </w:r>
      <w:r>
        <w:t xml:space="preserve"> systems like cookstoves</w:t>
      </w:r>
      <w:r>
        <w:rPr/>
        <w:fldChar w:fldCharType="begin"/>
      </w:r>
      <w:r>
        <w:instrText xml:space="preserve"> ADDIN EN.CITE &lt;EndNote&gt;&lt;Cite&gt;&lt;Author&gt;Huang&lt;/Author&gt;&lt;Year&gt;2012&lt;/Year&gt;&lt;RecNum&gt;26&lt;/RecNum&gt;&lt;DisplayText&gt;(Huang et al., 2012)&lt;/DisplayText&gt;&lt;record&gt;&lt;rec-number&gt;26&lt;/rec-number&gt;&lt;foreign-keys&gt;&lt;key app="EN" db-id="zwvaz220krdw08ez5xqxtv9xx9f</w:instrText>
      </w:r>
      <w:r>
        <w:instrText>satwdzzra" timestamp="1689106564"&gt;26&lt;/key&gt;&lt;/foreign-keys&gt;&lt;ref-type name="Conference Proceedings"&gt;10&lt;/ref-type&gt;&lt;contributors&gt;&lt;authors&gt;&lt;author&gt;Huang, Chao-Jen&lt;/author&gt;&lt;author&gt;Chen, Wei-Chung&lt;/author&gt;&lt;author&gt;Ni, Chia-Lung&lt;/author&gt;&lt;author&gt;Chen, Ke-Horng&lt;/autho</w:instrText>
      </w:r>
      <w:r>
        <w:instrText>r&gt;&lt;author&gt;Lu, Chien-Chun&lt;/author&gt;&lt;author&gt;Chu, Yuan-Hua&lt;/author&gt;&lt;author&gt;Kuo, Ming-Ching&lt;/author&gt;&lt;/authors&gt;&lt;/contributors&gt;&lt;titles&gt;&lt;title&gt;Thermoelectric energy harvesting with 1mV low input voltage and 390nA quiescent current for 99.6% maximum power point tra</w:instrText>
      </w:r>
      <w:r>
        <w:instrText>cking&lt;/title&gt;&lt;secondary-title&gt;2012 Proceedings of the ESSCIRC (ESSCIRC)&lt;/secondary-title&gt;&lt;/titles&gt;&lt;pages&gt;105-108&lt;/pages&gt;&lt;dates&gt;&lt;year&gt;2012&lt;/year&gt;&lt;/dates&gt;&lt;publisher&gt;IEEE&lt;/publisher&gt;&lt;isbn&gt;146732213X&lt;/isbn&gt;&lt;urls&gt;&lt;/urls&gt;&lt;/record&gt;&lt;/Cite&gt;&lt;/EndNote&gt;</w:instrText>
      </w:r>
      <w:r>
        <w:rPr/>
        <w:fldChar w:fldCharType="separate"/>
      </w:r>
      <w:r>
        <w:rPr>
          <w:noProof/>
        </w:rPr>
        <w:t xml:space="preserve">(Huang et al., </w:t>
      </w:r>
      <w:r>
        <w:rPr>
          <w:noProof/>
        </w:rPr>
        <w:t>2012)</w:t>
      </w:r>
      <w:r>
        <w:rPr/>
        <w:fldChar w:fldCharType="end"/>
      </w:r>
      <w:r>
        <w:t>.</w:t>
      </w:r>
    </w:p>
    <w:p>
      <w:pPr>
        <w:pStyle w:val="style0"/>
        <w:jc w:val="both"/>
        <w:rPr/>
      </w:pPr>
      <w:r>
        <w:rPr>
          <w:noProof/>
          <w:lang w:val="en-GB" w:eastAsia="en-GB"/>
        </w:rPr>
        <w:drawing>
          <wp:inline distL="0" distT="0" distB="0" distR="0">
            <wp:extent cx="1623427" cy="1207725"/>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623427" cy="1207725"/>
                    </a:xfrm>
                    <a:prstGeom prst="rect"/>
                  </pic:spPr>
                </pic:pic>
              </a:graphicData>
            </a:graphic>
          </wp:inline>
        </w:drawing>
      </w:r>
    </w:p>
    <w:p>
      <w:pPr>
        <w:pStyle w:val="style0"/>
        <w:jc w:val="both"/>
        <w:rPr>
          <w:b/>
        </w:rPr>
      </w:pPr>
      <w:r>
        <w:rPr>
          <w:b/>
        </w:rPr>
        <w:t>Fig. 1</w:t>
      </w:r>
    </w:p>
    <w:p>
      <w:pPr>
        <w:pStyle w:val="style0"/>
        <w:jc w:val="both"/>
        <w:rPr>
          <w:b/>
        </w:rPr>
      </w:pPr>
      <w:r>
        <w:rPr>
          <w:b/>
        </w:rPr>
        <w:t>2.2 Biomass Gasification</w:t>
      </w:r>
    </w:p>
    <w:p>
      <w:pPr>
        <w:pStyle w:val="style0"/>
        <w:jc w:val="both"/>
        <w:rPr/>
      </w:pPr>
      <w:r>
        <w:t xml:space="preserve">Biomass gasification is the process of converting solid biomass into combustible gases, such as carbon monoxide, hydrogen, and methane, through partial oxidation at high temperatures. This process occurs in a </w:t>
      </w:r>
      <w:r>
        <w:t>gasifier</w:t>
      </w:r>
      <w:r>
        <w:rPr/>
        <w:fldChar w:fldCharType="begin"/>
      </w:r>
      <w:r>
        <w:instrText xml:space="preserve"> ADDIN EN.CITE </w:instrText>
      </w:r>
      <w:r>
        <w:rPr/>
        <w:fldChar w:fldCharType="begin"/>
      </w:r>
      <w:r>
        <w:instrText xml:space="preserve"> ADDIN EN.CITE.DATA </w:instrText>
      </w:r>
      <w:r>
        <w:rPr/>
        <w:fldChar w:fldCharType="end"/>
      </w:r>
      <w:r>
        <w:rPr/>
        <w:fldChar w:fldCharType="separate"/>
      </w:r>
      <w:r>
        <w:rPr>
          <w:noProof/>
        </w:rPr>
        <w:t>(Antonova &amp; Looman, 2005; Belonio, 2005; Lv et al., 2014; Lv et al., 2016)</w:t>
      </w:r>
      <w:r>
        <w:rPr/>
        <w:fldChar w:fldCharType="end"/>
      </w:r>
      <w:r>
        <w:t>, which can be configured in several ways, including updraft and downdraft designs. Gasification is considered a cleaner alternative t</w:t>
      </w:r>
      <w:r>
        <w:t>o direct combustion, as it allows for more efficient fuel use and reduced emissions. The gasification process can also be integrated with TEGs to recover heat for electricity generation.</w:t>
      </w:r>
    </w:p>
    <w:p>
      <w:pPr>
        <w:pStyle w:val="style0"/>
        <w:jc w:val="both"/>
        <w:rPr>
          <w:b/>
        </w:rPr>
      </w:pPr>
      <w:r>
        <w:rPr>
          <w:b/>
        </w:rPr>
        <w:t>2.3 Exergo-Economic Analysis</w:t>
      </w:r>
    </w:p>
    <w:p>
      <w:pPr>
        <w:pStyle w:val="style0"/>
        <w:jc w:val="both"/>
        <w:rPr/>
      </w:pPr>
      <w:r>
        <w:t>Exergo-economic analysis combines exergy</w:t>
      </w:r>
      <w:r>
        <w:t xml:space="preserve"> (a thermodynamic measure of energy quality) with economic considerations to assess the cost-effectiveness of energy systems. Exergy analysis focuses on the useful work that can be extracted from a system, accounting for inefficiencies and energy losses</w:t>
      </w:r>
      <w:r>
        <w:rPr/>
        <w:fldChar w:fldCharType="begin"/>
      </w:r>
      <w:r>
        <w:instrText xml:space="preserve"> AD</w:instrText>
      </w:r>
      <w:r>
        <w:instrText>DIN EN.CITE &lt;EndNote&gt;&lt;Cite&gt;&lt;Author&gt;Oyedepo&lt;/Author&gt;&lt;Year&gt;2014&lt;/Year&gt;&lt;RecNum&gt;71&lt;/RecNum&gt;&lt;DisplayText&gt;(Oyedepo et al., 2014; Panwar et al., 2023)&lt;/DisplayText&gt;&lt;record&gt;&lt;rec-number&gt;71&lt;/rec-number&gt;&lt;foreign-keys&gt;&lt;key app="EN" db-id="zwvaz220krdw08ez5xqxtv9xx9fsa</w:instrText>
      </w:r>
      <w:r>
        <w:instrText>twdzzra" timestamp="1701781941"&gt;71&lt;/key&gt;&lt;/foreign-keys&gt;&lt;ref-type name="Conference Proceedings"&gt;10&lt;/ref-type&gt;&lt;contributors&gt;&lt;authors&gt;&lt;author&gt;Oyedepo, SO&lt;/author&gt;&lt;author&gt;Fagbenle, RO&lt;/author&gt;&lt;author&gt;Adefila, SS&lt;/author&gt;&lt;/authors&gt;&lt;/contributors&gt;&lt;titles&gt;&lt;title&gt;</w:instrText>
      </w:r>
      <w:r>
        <w:instrText>Exergetic and exergoeconomic analysis of selected gas turbine power plants in Nigeria&lt;/title&gt;&lt;/titles&gt;&lt;dates&gt;&lt;year&gt;2014&lt;/year&gt;&lt;/dates&gt;&lt;publisher&gt;International Conference on Heat Transfer, Fluid Mechanics and Thermodynamics&lt;/publisher&gt;&lt;urls&gt;&lt;/urls&gt;&lt;/record&gt;</w:instrText>
      </w:r>
      <w:r>
        <w:instrText>&lt;/Cite&gt;&lt;Cite&gt;&lt;Author&gt;Panwar&lt;/Author&gt;&lt;Year&gt;2023&lt;/Year&gt;&lt;RecNum&gt;63&lt;/RecNum&gt;&lt;record&gt;&lt;rec-number&gt;63&lt;/rec-number&gt;&lt;foreign-keys&gt;&lt;key app="EN" db-id="zwvaz220krdw08ez5xqxtv9xx9fsatwdzzra" timestamp="1701123299"&gt;63&lt;/key&gt;&lt;/foreign-keys&gt;&lt;ref-type name="Journal Articl</w:instrText>
      </w:r>
      <w:r>
        <w:instrText>e"&gt;17&lt;/ref-type&gt;&lt;contributors&gt;&lt;authors&gt;&lt;author&gt;Panwar, Narayan Lal&lt;/author&gt;&lt;author&gt;Sharma, Kirtika&lt;/author&gt;&lt;author&gt;Rathore, Neelam&lt;/author&gt;&lt;/authors&gt;&lt;/contributors&gt;&lt;titles&gt;&lt;title&gt;Energy, exergy, emergy, environment, and economics analysis of a three-pot co</w:instrText>
      </w:r>
      <w:r>
        <w:instrText>okstove&lt;/title&gt;&lt;secondary-title&gt;Journal of Agricultural Engineering (India)&lt;/secondary-title&gt;&lt;/titles&gt;&lt;periodical&gt;&lt;full-title&gt;Journal of Agricultural Engineering (India)&lt;/full-title&gt;&lt;/periodical&gt;&lt;pages&gt;284-296&lt;/pages&gt;&lt;volume&gt;60&lt;/volume&gt;&lt;number&gt;3&lt;/number&gt;&lt;d</w:instrText>
      </w:r>
      <w:r>
        <w:instrText>ates&gt;&lt;year&gt;2023&lt;/year&gt;&lt;/dates&gt;&lt;isbn&gt;0976-2418&lt;/isbn&gt;&lt;urls&gt;&lt;/urls&gt;&lt;/record&gt;&lt;/Cite&gt;&lt;/EndNote&gt;</w:instrText>
      </w:r>
      <w:r>
        <w:rPr/>
        <w:fldChar w:fldCharType="separate"/>
      </w:r>
      <w:r>
        <w:rPr>
          <w:noProof/>
        </w:rPr>
        <w:t>(Oyedepo et al., 2014; Panwar et al., 2023)</w:t>
      </w:r>
      <w:r>
        <w:rPr/>
        <w:fldChar w:fldCharType="end"/>
      </w:r>
      <w:r>
        <w:t>. By integrating economic factors such as investment and operational costs, exergo-economic analysis provides a compreh</w:t>
      </w:r>
      <w:r>
        <w:t>ensive evaluation of system performance</w:t>
      </w:r>
      <w:r>
        <w:rPr/>
        <w:fldChar w:fldCharType="begin"/>
      </w:r>
      <w:r>
        <w:instrText xml:space="preserve"> ADDIN EN.CITE &lt;EndNote&gt;&lt;Cite&gt;&lt;Author&gt;Situmorang&lt;/Author&gt;&lt;Year&gt;2020&lt;/Year&gt;&lt;RecNum&gt;75&lt;/RecNum&gt;&lt;DisplayText&gt;(Situmorang et al., 2020)&lt;/DisplayText&gt;&lt;record&gt;&lt;rec-number&gt;75&lt;/rec-number&gt;&lt;foreign-keys&gt;&lt;key app="EN" db-id="zw</w:instrText>
      </w:r>
      <w:r>
        <w:instrText>vaz220krdw08ez5xqxtv9xx9fsatwdzzra" timestamp="1701860521"&gt;75&lt;/key&gt;&lt;/foreign-keys&gt;&lt;ref-type name="Journal Article"&gt;17&lt;/ref-type&gt;&lt;contributors&gt;&lt;authors&gt;&lt;author&gt;Situmorang, Yohanes Andre&lt;/author&gt;&lt;author&gt;Zhao, Zhongkai&lt;/author&gt;&lt;author&gt;Yoshida, Akihiro&lt;/author</w:instrText>
      </w:r>
      <w:r>
        <w:instrText>&gt;&lt;author&gt;Abudula, Abuliti&lt;/author&gt;&lt;author&gt;Guan, Guoqing&lt;/author&gt;&lt;/authors&gt;&lt;/contributors&gt;&lt;titles&gt;&lt;title&gt;Small-scale biomass gasification systems for power generation (&amp;lt; 200 kW class): A review&lt;/title&gt;&lt;secondary-title&gt;Renewable and sustainable energy rev</w:instrText>
      </w:r>
      <w:r>
        <w:instrText>iews&lt;/secondary-title&gt;&lt;/titles&gt;&lt;periodical&gt;&lt;full-title&gt;Renewable and Sustainable Energy Reviews&lt;/full-title&gt;&lt;/periodical&gt;&lt;pages&gt;109486&lt;/pages&gt;&lt;volume&gt;117&lt;/volume&gt;&lt;dates&gt;&lt;year&gt;2020&lt;/year&gt;&lt;/dates&gt;&lt;isbn&gt;1364-0321&lt;/isbn&gt;&lt;urls&gt;&lt;/urls&gt;&lt;/record&gt;&lt;/Cite&gt;&lt;/EndNote&gt;</w:instrText>
      </w:r>
      <w:r>
        <w:rPr/>
        <w:fldChar w:fldCharType="separate"/>
      </w:r>
      <w:r>
        <w:rPr>
          <w:noProof/>
        </w:rPr>
        <w:t>(</w:t>
      </w:r>
      <w:r>
        <w:rPr>
          <w:noProof/>
        </w:rPr>
        <w:t>Situmorang et al., 2020)</w:t>
      </w:r>
      <w:r>
        <w:rPr/>
        <w:fldChar w:fldCharType="end"/>
      </w:r>
      <w:r>
        <w:t>.</w:t>
      </w:r>
    </w:p>
    <w:p>
      <w:pPr>
        <w:pStyle w:val="style0"/>
        <w:jc w:val="both"/>
        <w:rPr>
          <w:b/>
        </w:rPr>
      </w:pPr>
      <w:r>
        <w:rPr>
          <w:b/>
        </w:rPr>
        <w:t>3. Methodology</w:t>
      </w:r>
    </w:p>
    <w:p>
      <w:pPr>
        <w:pStyle w:val="style0"/>
        <w:jc w:val="both"/>
        <w:rPr/>
      </w:pPr>
      <w:r>
        <w:t>3.1 Stove Design and Construction</w:t>
      </w:r>
    </w:p>
    <w:p>
      <w:pPr>
        <w:pStyle w:val="style0"/>
        <w:jc w:val="both"/>
        <w:rPr/>
      </w:pPr>
      <w:r>
        <w:t>The gasifier cookstove</w:t>
      </w:r>
      <w:r>
        <w:t xml:space="preserve"> developed in this study consists of two primary phases: pre-combustion, where solid biomass is converted into gaseous fuels, and combustion, where these gases are fully combusted. The stove features a cylindrical reactor with primary and secondary air int</w:t>
      </w:r>
      <w:r>
        <w:t>akes, powered by a fan connected to a thermoelectric generator. The primary air intake facilitates gasification, while the secondary intake ensures complete combustion of the produced gases.</w:t>
      </w:r>
    </w:p>
    <w:p>
      <w:pPr>
        <w:pStyle w:val="style0"/>
        <w:jc w:val="both"/>
        <w:rPr/>
      </w:pPr>
      <w:r>
        <w:t xml:space="preserve">To improve the efficiency of the stove, glass wool insulation is </w:t>
      </w:r>
      <w:r>
        <w:t>used to reduce heat loss, and the TEG is integrated on the stove’s surface to capture waste heat. The electricity generated by the TEG powers the fan, which enhances combustion by increasing airflow through the stove.</w:t>
      </w:r>
    </w:p>
    <w:p>
      <w:pPr>
        <w:pStyle w:val="style0"/>
        <w:jc w:val="both"/>
        <w:rPr/>
      </w:pPr>
      <w:r>
        <w:rPr>
          <w:noProof/>
          <w:lang w:val="en-GB" w:eastAsia="en-GB"/>
        </w:rPr>
        <w:drawing>
          <wp:inline distL="0" distT="0" distB="0" distR="0">
            <wp:extent cx="5943600" cy="202057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2020570"/>
                    </a:xfrm>
                    <a:prstGeom prst="rect"/>
                  </pic:spPr>
                </pic:pic>
              </a:graphicData>
            </a:graphic>
          </wp:inline>
        </w:drawing>
      </w:r>
    </w:p>
    <w:p>
      <w:pPr>
        <w:pStyle w:val="style0"/>
        <w:jc w:val="both"/>
        <w:rPr/>
      </w:pPr>
      <w:r>
        <w:t>Fig. 2a Orthographic view of the Imp</w:t>
      </w:r>
      <w:r>
        <w:t>roved cookstove   2b. Exploded view of designed Improved cookstove</w:t>
      </w:r>
    </w:p>
    <w:p>
      <w:pPr>
        <w:pStyle w:val="style0"/>
        <w:jc w:val="both"/>
        <w:rPr>
          <w:b/>
        </w:rPr>
      </w:pPr>
      <w:r>
        <w:rPr>
          <w:b/>
        </w:rPr>
        <w:t>3.2 Performance Testing</w:t>
      </w:r>
    </w:p>
    <w:p>
      <w:pPr>
        <w:pStyle w:val="style0"/>
        <w:jc w:val="both"/>
        <w:rPr/>
      </w:pPr>
      <w:r>
        <w:t xml:space="preserve">The stove's performance was evaluated using a water boiling test (WBT) </w:t>
      </w:r>
      <w:r>
        <w:rPr/>
        <w:fldChar w:fldCharType="begin"/>
      </w:r>
      <w:r>
        <w:instrText xml:space="preserve"> ADDIN EN.CITE &lt;EndNote&gt;&lt;Cite&gt;&lt;Author&gt;Chendake&lt;/Author&gt;&lt;Year&gt;2014&lt;/Year&gt;&lt;RecNum&gt;83&lt;/RecNum&gt;&lt;Di</w:instrText>
      </w:r>
      <w:r>
        <w:instrText>splayText&gt;(Chendake et al., 2014)&lt;/DisplayText&gt;&lt;record&gt;&lt;rec-number&gt;83&lt;/rec-number&gt;&lt;foreign-keys&gt;&lt;key app="EN" db-id="zwvaz220krdw08ez5xqxtv9xx9fsatwdzzra" timestamp="1702245856"&gt;83&lt;/key&gt;&lt;/foreign-keys&gt;&lt;ref-type name="Journal Article"&gt;17&lt;/ref-type&gt;&lt;contribu</w:instrText>
      </w:r>
      <w:r>
        <w:instrText>tors&gt;&lt;authors&gt;&lt;author&gt;Chendake, AD&lt;/author&gt;&lt;author&gt;Shelake, PS&lt;/author&gt;&lt;author&gt;Nalawade, RD&lt;/author&gt;&lt;author&gt;Vairal, SD&lt;/author&gt;&lt;/authors&gt;&lt;/contributors&gt;&lt;titles&gt;&lt;title&gt;Design and development of household gasifier cum water heater&lt;/title&gt;&lt;secondary-title&gt;Int</w:instrText>
      </w:r>
      <w:r>
        <w:instrText xml:space="preserve"> J Curr Eng Technol. ISSN&lt;/secondary-title&gt;&lt;/titles&gt;&lt;periodical&gt;&lt;full-title&gt;Int J Curr Eng Technol. ISSN&lt;/full-title&gt;&lt;/periodical&gt;&lt;pages&gt;2277-4106&lt;/pages&gt;&lt;dates&gt;&lt;year&gt;2014&lt;/year&gt;&lt;/dates&gt;&lt;urls&gt;&lt;/urls&gt;&lt;/record&gt;&lt;/Cite&gt;&lt;/EndNote&gt;</w:instrText>
      </w:r>
      <w:r>
        <w:rPr/>
        <w:fldChar w:fldCharType="separate"/>
      </w:r>
      <w:r>
        <w:rPr>
          <w:noProof/>
        </w:rPr>
        <w:t>(Chendake et al., 2014)</w:t>
      </w:r>
      <w:r>
        <w:rPr/>
        <w:fldChar w:fldCharType="end"/>
      </w:r>
      <w:r>
        <w:t xml:space="preserve">with </w:t>
      </w:r>
      <w:r>
        <w:t xml:space="preserve">different types of biomass, including wood, charcoal, rice husk, and cow dung. The test measured the time and fuel required to boil water, and the stove's efficiency was calculated based on the energy input and heat output. The TEG was tested for voltage, </w:t>
      </w:r>
      <w:r>
        <w:t>current, and power output across a range of temperature differences.</w:t>
      </w:r>
    </w:p>
    <w:p>
      <w:pPr>
        <w:pStyle w:val="style0"/>
        <w:jc w:val="both"/>
        <w:rPr>
          <w:b/>
        </w:rPr>
      </w:pPr>
      <w:r>
        <w:rPr>
          <w:b/>
        </w:rPr>
        <w:t>3.3 Exergo-Economic Analysis</w:t>
      </w:r>
    </w:p>
    <w:p>
      <w:pPr>
        <w:pStyle w:val="style0"/>
        <w:jc w:val="both"/>
        <w:rPr/>
      </w:pPr>
      <w:r>
        <w:t>The exergy efficiency of the system was calculated using the ratio of useful energy output to total energy input. Economic analysis was performed by calculati</w:t>
      </w:r>
      <w:r>
        <w:t>ng the capital costs of the stove components and the operating costs of the system. The exergo-economic factor, representing the portion of the total cost attributed to inefficiencies in the system, was also determined.</w:t>
      </w:r>
    </w:p>
    <w:p>
      <w:pPr>
        <w:pStyle w:val="style0"/>
        <w:jc w:val="both"/>
        <w:rPr/>
      </w:pPr>
    </w:p>
    <w:p>
      <w:pPr>
        <w:pStyle w:val="style0"/>
        <w:jc w:val="both"/>
        <w:rPr>
          <w:b/>
        </w:rPr>
      </w:pPr>
      <w:r>
        <w:rPr>
          <w:b/>
        </w:rPr>
        <w:t>4. Results</w:t>
      </w:r>
    </w:p>
    <w:p>
      <w:pPr>
        <w:pStyle w:val="style0"/>
        <w:jc w:val="both"/>
        <w:rPr>
          <w:b/>
        </w:rPr>
      </w:pPr>
      <w:r>
        <w:rPr>
          <w:b/>
        </w:rPr>
        <w:t>4.1 Stove Efficiency</w:t>
      </w:r>
    </w:p>
    <w:p>
      <w:pPr>
        <w:pStyle w:val="style0"/>
        <w:jc w:val="both"/>
        <w:rPr/>
      </w:pPr>
      <w:r>
        <w:t>The</w:t>
      </w:r>
      <w:r>
        <w:t xml:space="preserve"> stove demonstrated high efficiency in converting biomass into useful heat, with results ranging from 76% to 82%, depending on the type of biomass used. Charcoal exhibited the highest efficiency due to its higher calorific value, while rice husk showed the</w:t>
      </w:r>
      <w:r>
        <w:t xml:space="preserve"> lowest efficiency due to its higher moisture content.</w:t>
      </w:r>
    </w:p>
    <w:p>
      <w:pPr>
        <w:pStyle w:val="style0"/>
        <w:jc w:val="both"/>
        <w:rPr>
          <w:rFonts w:ascii="Times New Roman" w:cs="Times New Roman" w:hAnsi="Times New Roman"/>
          <w:sz w:val="24"/>
        </w:rPr>
      </w:pPr>
      <w:r>
        <w:t>The mass of biomass required to bring 1 liter of water to a boil varied between 0.013 kg and 0.034 kg, depending on the fuel type. The stove's design, particularly the use of a forced draft fan, signif</w:t>
      </w:r>
      <w:r>
        <w:t xml:space="preserve">icantly improved combustion efficiency. </w:t>
      </w:r>
      <w:r>
        <w:rPr>
          <w:rFonts w:cs="Calibri"/>
        </w:rPr>
        <w:t>This experiment was repeated for other fuel sources and recorded in Table I below.</w:t>
      </w:r>
      <w:r>
        <w:rPr>
          <w:rFonts w:ascii="Times New Roman" w:cs="Times New Roman" w:hAnsi="Times New Roman"/>
          <w:sz w:val="24"/>
        </w:rPr>
        <w:t xml:space="preserve"> </w:t>
      </w:r>
    </w:p>
    <w:p>
      <w:pPr>
        <w:pStyle w:val="style0"/>
        <w:jc w:val="both"/>
        <w:rPr/>
      </w:pPr>
    </w:p>
    <w:p>
      <w:pPr>
        <w:pStyle w:val="style0"/>
        <w:jc w:val="both"/>
        <w:rPr>
          <w:rFonts w:cs="Calibri"/>
          <w:sz w:val="20"/>
        </w:rPr>
      </w:pPr>
      <w:r>
        <w:rPr>
          <w:rFonts w:ascii="Times New Roman" w:cs="Times New Roman" w:hAnsi="Times New Roman"/>
          <w:sz w:val="24"/>
        </w:rPr>
        <w:t>Table I: Results for Rate of Fuel Combustion calculation</w:t>
      </w:r>
    </w:p>
    <w:tbl>
      <w:tblPr>
        <w:tblStyle w:val="style154"/>
        <w:tblW w:w="0" w:type="auto"/>
        <w:tblLook w:val="04A0" w:firstRow="1" w:lastRow="0" w:firstColumn="1" w:lastColumn="0" w:noHBand="0" w:noVBand="1"/>
      </w:tblPr>
      <w:tblGrid>
        <w:gridCol w:w="1435"/>
        <w:gridCol w:w="2340"/>
        <w:gridCol w:w="3237"/>
        <w:gridCol w:w="2338"/>
      </w:tblGrid>
      <w:tr>
        <w:trPr/>
        <w:tc>
          <w:tcPr>
            <w:tcW w:w="1435" w:type="dxa"/>
            <w:tcBorders/>
          </w:tcPr>
          <w:p>
            <w:pPr>
              <w:pStyle w:val="style0"/>
              <w:rPr>
                <w:rFonts w:ascii="Times New Roman" w:cs="Times New Roman" w:hAnsi="Times New Roman"/>
                <w:b/>
                <w:sz w:val="24"/>
              </w:rPr>
            </w:pPr>
            <w:r>
              <w:rPr>
                <w:rFonts w:ascii="Times New Roman" w:cs="Times New Roman" w:hAnsi="Times New Roman"/>
                <w:b/>
                <w:sz w:val="24"/>
              </w:rPr>
              <w:t>Biomass</w:t>
            </w:r>
          </w:p>
        </w:tc>
        <w:tc>
          <w:tcPr>
            <w:tcW w:w="2340" w:type="dxa"/>
            <w:tcBorders/>
          </w:tcPr>
          <w:p>
            <w:pPr>
              <w:pStyle w:val="style0"/>
              <w:rPr>
                <w:rFonts w:ascii="Times New Roman" w:cs="Times New Roman" w:hAnsi="Times New Roman"/>
                <w:b/>
                <w:sz w:val="24"/>
              </w:rPr>
            </w:pPr>
            <w:r>
              <w:rPr>
                <w:rFonts w:ascii="Times New Roman" w:cs="Times New Roman" w:hAnsi="Times New Roman"/>
                <w:b/>
                <w:sz w:val="24"/>
              </w:rPr>
              <w:t>Stoichiometric Air (SA)</w:t>
            </w:r>
          </w:p>
        </w:tc>
        <w:tc>
          <w:tcPr>
            <w:tcW w:w="3237" w:type="dxa"/>
            <w:tcBorders/>
          </w:tcPr>
          <w:p>
            <w:pPr>
              <w:pStyle w:val="style0"/>
              <w:rPr>
                <w:rFonts w:ascii="Times New Roman" w:cs="Times New Roman" w:hAnsi="Times New Roman"/>
                <w:b/>
                <w:sz w:val="24"/>
              </w:rPr>
            </w:pPr>
            <w:r>
              <w:rPr>
                <w:rFonts w:ascii="Times New Roman" w:cs="Times New Roman" w:hAnsi="Times New Roman"/>
                <w:b/>
                <w:sz w:val="24"/>
              </w:rPr>
              <w:t>Rate of Fuel  Combustion (RFC)KgHr</w:t>
            </w:r>
            <w:r>
              <w:rPr>
                <w:rFonts w:ascii="Times New Roman" w:cs="Times New Roman" w:hAnsi="Times New Roman"/>
                <w:b/>
                <w:sz w:val="24"/>
                <w:vertAlign w:val="superscript"/>
              </w:rPr>
              <w:t>-1</w:t>
            </w:r>
          </w:p>
        </w:tc>
        <w:tc>
          <w:tcPr>
            <w:tcW w:w="2338" w:type="dxa"/>
            <w:tcBorders/>
          </w:tcPr>
          <w:p>
            <w:pPr>
              <w:pStyle w:val="style0"/>
              <w:rPr>
                <w:rFonts w:ascii="Times New Roman" w:cs="Times New Roman" w:hAnsi="Times New Roman"/>
                <w:b/>
                <w:sz w:val="24"/>
              </w:rPr>
            </w:pPr>
            <w:r>
              <w:rPr>
                <w:rFonts w:ascii="Times New Roman" w:cs="Times New Roman" w:hAnsi="Times New Roman"/>
                <w:b/>
                <w:sz w:val="24"/>
              </w:rPr>
              <w:t>Specific Energy (Es) MJ/Kg</w:t>
            </w:r>
          </w:p>
        </w:tc>
      </w:tr>
      <w:tr>
        <w:tblPrEx/>
        <w:trPr/>
        <w:tc>
          <w:tcPr>
            <w:tcW w:w="1435" w:type="dxa"/>
            <w:tcBorders/>
          </w:tcPr>
          <w:p>
            <w:pPr>
              <w:pStyle w:val="style0"/>
              <w:rPr>
                <w:rFonts w:ascii="Times New Roman" w:cs="Times New Roman" w:hAnsi="Times New Roman"/>
                <w:sz w:val="24"/>
              </w:rPr>
            </w:pPr>
            <w:r>
              <w:rPr>
                <w:rFonts w:ascii="Times New Roman" w:cs="Times New Roman" w:hAnsi="Times New Roman"/>
                <w:sz w:val="24"/>
              </w:rPr>
              <w:t>Wood</w:t>
            </w:r>
          </w:p>
        </w:tc>
        <w:tc>
          <w:tcPr>
            <w:tcW w:w="2340" w:type="dxa"/>
            <w:tcBorders/>
          </w:tcPr>
          <w:p>
            <w:pPr>
              <w:pStyle w:val="style0"/>
              <w:rPr>
                <w:rFonts w:ascii="Times New Roman" w:cs="Times New Roman" w:hAnsi="Times New Roman"/>
                <w:sz w:val="24"/>
              </w:rPr>
            </w:pPr>
            <w:r>
              <w:rPr>
                <w:rFonts w:ascii="Times New Roman" w:cs="Times New Roman" w:hAnsi="Times New Roman"/>
                <w:sz w:val="24"/>
              </w:rPr>
              <w:t>7.1</w:t>
            </w:r>
          </w:p>
        </w:tc>
        <w:tc>
          <w:tcPr>
            <w:tcW w:w="3237" w:type="dxa"/>
            <w:tcBorders/>
          </w:tcPr>
          <w:p>
            <w:pPr>
              <w:pStyle w:val="style0"/>
              <w:rPr>
                <w:rFonts w:ascii="Times New Roman" w:cs="Times New Roman" w:hAnsi="Times New Roman"/>
                <w:sz w:val="24"/>
              </w:rPr>
            </w:pPr>
            <w:r>
              <w:rPr>
                <w:rFonts w:ascii="Times New Roman" w:cs="Times New Roman" w:hAnsi="Times New Roman"/>
                <w:sz w:val="24"/>
              </w:rPr>
              <w:t>2</w:t>
            </w:r>
          </w:p>
        </w:tc>
        <w:tc>
          <w:tcPr>
            <w:tcW w:w="2338" w:type="dxa"/>
            <w:tcBorders/>
          </w:tcPr>
          <w:p>
            <w:pPr>
              <w:pStyle w:val="style0"/>
              <w:rPr>
                <w:rFonts w:ascii="Times New Roman" w:cs="Times New Roman" w:hAnsi="Times New Roman"/>
                <w:sz w:val="24"/>
              </w:rPr>
            </w:pPr>
            <w:r>
              <w:rPr>
                <w:rFonts w:ascii="Times New Roman" w:cs="Times New Roman" w:hAnsi="Times New Roman"/>
                <w:sz w:val="24"/>
              </w:rPr>
              <w:t>16</w:t>
            </w:r>
          </w:p>
        </w:tc>
      </w:tr>
      <w:tr>
        <w:tblPrEx/>
        <w:trPr/>
        <w:tc>
          <w:tcPr>
            <w:tcW w:w="1435" w:type="dxa"/>
            <w:tcBorders/>
          </w:tcPr>
          <w:p>
            <w:pPr>
              <w:pStyle w:val="style0"/>
              <w:rPr>
                <w:rFonts w:ascii="Times New Roman" w:cs="Times New Roman" w:hAnsi="Times New Roman"/>
                <w:sz w:val="24"/>
              </w:rPr>
            </w:pPr>
            <w:r>
              <w:rPr>
                <w:rFonts w:ascii="Times New Roman" w:cs="Times New Roman" w:hAnsi="Times New Roman"/>
                <w:sz w:val="24"/>
              </w:rPr>
              <w:t>charcoal</w:t>
            </w:r>
          </w:p>
        </w:tc>
        <w:tc>
          <w:tcPr>
            <w:tcW w:w="2340" w:type="dxa"/>
            <w:tcBorders/>
          </w:tcPr>
          <w:p>
            <w:pPr>
              <w:pStyle w:val="style0"/>
              <w:rPr>
                <w:rFonts w:ascii="Times New Roman" w:cs="Times New Roman" w:hAnsi="Times New Roman"/>
                <w:sz w:val="24"/>
              </w:rPr>
            </w:pPr>
            <w:r>
              <w:rPr>
                <w:rFonts w:ascii="Times New Roman" w:cs="Times New Roman" w:hAnsi="Times New Roman"/>
                <w:sz w:val="24"/>
              </w:rPr>
              <w:t>6</w:t>
            </w:r>
          </w:p>
        </w:tc>
        <w:tc>
          <w:tcPr>
            <w:tcW w:w="3237" w:type="dxa"/>
            <w:tcBorders/>
          </w:tcPr>
          <w:p>
            <w:pPr>
              <w:pStyle w:val="style0"/>
              <w:rPr>
                <w:rFonts w:ascii="Times New Roman" w:cs="Times New Roman" w:hAnsi="Times New Roman"/>
                <w:sz w:val="24"/>
              </w:rPr>
            </w:pPr>
            <w:r>
              <w:rPr>
                <w:rFonts w:ascii="Times New Roman" w:cs="Times New Roman" w:hAnsi="Times New Roman"/>
                <w:sz w:val="24"/>
              </w:rPr>
              <w:t>2.9</w:t>
            </w:r>
          </w:p>
        </w:tc>
        <w:tc>
          <w:tcPr>
            <w:tcW w:w="2338" w:type="dxa"/>
            <w:tcBorders/>
          </w:tcPr>
          <w:p>
            <w:pPr>
              <w:pStyle w:val="style0"/>
              <w:rPr>
                <w:rFonts w:ascii="Times New Roman" w:cs="Times New Roman" w:hAnsi="Times New Roman"/>
                <w:sz w:val="24"/>
              </w:rPr>
            </w:pPr>
            <w:r>
              <w:rPr>
                <w:rFonts w:ascii="Times New Roman" w:cs="Times New Roman" w:hAnsi="Times New Roman"/>
                <w:sz w:val="24"/>
              </w:rPr>
              <w:t>24</w:t>
            </w:r>
          </w:p>
        </w:tc>
      </w:tr>
      <w:tr>
        <w:tblPrEx/>
        <w:trPr/>
        <w:tc>
          <w:tcPr>
            <w:tcW w:w="1435" w:type="dxa"/>
            <w:tcBorders/>
          </w:tcPr>
          <w:p>
            <w:pPr>
              <w:pStyle w:val="style0"/>
              <w:rPr>
                <w:rFonts w:ascii="Times New Roman" w:cs="Times New Roman" w:hAnsi="Times New Roman"/>
                <w:sz w:val="24"/>
              </w:rPr>
            </w:pPr>
            <w:r>
              <w:rPr>
                <w:rFonts w:ascii="Times New Roman" w:cs="Times New Roman" w:hAnsi="Times New Roman"/>
                <w:sz w:val="24"/>
              </w:rPr>
              <w:t>Rice Husk</w:t>
            </w:r>
          </w:p>
        </w:tc>
        <w:tc>
          <w:tcPr>
            <w:tcW w:w="2340" w:type="dxa"/>
            <w:tcBorders/>
          </w:tcPr>
          <w:p>
            <w:pPr>
              <w:pStyle w:val="style0"/>
              <w:rPr>
                <w:rFonts w:ascii="Times New Roman" w:cs="Times New Roman" w:hAnsi="Times New Roman"/>
                <w:sz w:val="24"/>
              </w:rPr>
            </w:pPr>
            <w:r>
              <w:rPr>
                <w:rFonts w:ascii="Times New Roman" w:cs="Times New Roman" w:hAnsi="Times New Roman"/>
                <w:sz w:val="24"/>
              </w:rPr>
              <w:t>6.97</w:t>
            </w:r>
          </w:p>
        </w:tc>
        <w:tc>
          <w:tcPr>
            <w:tcW w:w="3237" w:type="dxa"/>
            <w:tcBorders/>
          </w:tcPr>
          <w:p>
            <w:pPr>
              <w:pStyle w:val="style0"/>
              <w:rPr>
                <w:rFonts w:ascii="Times New Roman" w:cs="Times New Roman" w:hAnsi="Times New Roman"/>
                <w:sz w:val="24"/>
              </w:rPr>
            </w:pPr>
            <w:r>
              <w:rPr>
                <w:rFonts w:ascii="Times New Roman" w:cs="Times New Roman" w:hAnsi="Times New Roman"/>
                <w:sz w:val="24"/>
              </w:rPr>
              <w:t>3.4</w:t>
            </w:r>
          </w:p>
        </w:tc>
        <w:tc>
          <w:tcPr>
            <w:tcW w:w="2338" w:type="dxa"/>
            <w:tcBorders/>
          </w:tcPr>
          <w:p>
            <w:pPr>
              <w:pStyle w:val="style0"/>
              <w:rPr>
                <w:rFonts w:ascii="Times New Roman" w:cs="Times New Roman" w:hAnsi="Times New Roman"/>
                <w:sz w:val="24"/>
              </w:rPr>
            </w:pPr>
            <w:r>
              <w:rPr>
                <w:rFonts w:ascii="Times New Roman" w:cs="Times New Roman" w:hAnsi="Times New Roman"/>
                <w:sz w:val="24"/>
              </w:rPr>
              <w:t>13</w:t>
            </w:r>
          </w:p>
        </w:tc>
      </w:tr>
      <w:tr>
        <w:tblPrEx/>
        <w:trPr/>
        <w:tc>
          <w:tcPr>
            <w:tcW w:w="1435" w:type="dxa"/>
            <w:tcBorders/>
          </w:tcPr>
          <w:p>
            <w:pPr>
              <w:pStyle w:val="style0"/>
              <w:rPr>
                <w:rFonts w:ascii="Times New Roman" w:cs="Times New Roman" w:hAnsi="Times New Roman"/>
                <w:sz w:val="24"/>
              </w:rPr>
            </w:pPr>
            <w:r>
              <w:rPr>
                <w:rFonts w:ascii="Times New Roman" w:cs="Times New Roman" w:hAnsi="Times New Roman"/>
                <w:sz w:val="24"/>
              </w:rPr>
              <w:t>Cow dung</w:t>
            </w:r>
          </w:p>
        </w:tc>
        <w:tc>
          <w:tcPr>
            <w:tcW w:w="2340" w:type="dxa"/>
            <w:tcBorders/>
          </w:tcPr>
          <w:p>
            <w:pPr>
              <w:pStyle w:val="style0"/>
              <w:rPr>
                <w:rFonts w:ascii="Times New Roman" w:cs="Times New Roman" w:hAnsi="Times New Roman"/>
                <w:sz w:val="24"/>
              </w:rPr>
            </w:pPr>
            <w:r>
              <w:rPr>
                <w:rFonts w:ascii="Times New Roman" w:cs="Times New Roman" w:hAnsi="Times New Roman"/>
                <w:sz w:val="24"/>
              </w:rPr>
              <w:t>13.97</w:t>
            </w:r>
          </w:p>
        </w:tc>
        <w:tc>
          <w:tcPr>
            <w:tcW w:w="3237" w:type="dxa"/>
            <w:tcBorders/>
          </w:tcPr>
          <w:p>
            <w:pPr>
              <w:pStyle w:val="style0"/>
              <w:rPr>
                <w:rFonts w:ascii="Times New Roman" w:cs="Times New Roman" w:hAnsi="Times New Roman"/>
                <w:sz w:val="24"/>
              </w:rPr>
            </w:pPr>
            <w:r>
              <w:rPr>
                <w:rFonts w:ascii="Times New Roman" w:cs="Times New Roman" w:hAnsi="Times New Roman"/>
                <w:sz w:val="24"/>
              </w:rPr>
              <w:t>5.23</w:t>
            </w:r>
          </w:p>
        </w:tc>
        <w:tc>
          <w:tcPr>
            <w:tcW w:w="2338" w:type="dxa"/>
            <w:tcBorders/>
          </w:tcPr>
          <w:p>
            <w:pPr>
              <w:pStyle w:val="style0"/>
              <w:rPr>
                <w:rFonts w:ascii="Times New Roman" w:cs="Times New Roman" w:hAnsi="Times New Roman"/>
                <w:sz w:val="24"/>
              </w:rPr>
            </w:pPr>
            <w:r>
              <w:rPr>
                <w:rFonts w:ascii="Times New Roman" w:cs="Times New Roman" w:hAnsi="Times New Roman"/>
                <w:sz w:val="24"/>
              </w:rPr>
              <w:t>18</w:t>
            </w:r>
          </w:p>
        </w:tc>
      </w:tr>
    </w:tbl>
    <w:p>
      <w:pPr>
        <w:pStyle w:val="style0"/>
        <w:rPr>
          <w:rFonts w:ascii="Times New Roman" w:cs="Times New Roman" w:hAnsi="Times New Roman"/>
          <w:sz w:val="24"/>
        </w:rPr>
      </w:pPr>
    </w:p>
    <w:p>
      <w:pPr>
        <w:pStyle w:val="style0"/>
        <w:rPr>
          <w:rFonts w:ascii="Times New Roman" w:cs="Times New Roman" w:hAnsi="Times New Roman"/>
          <w:sz w:val="24"/>
        </w:rPr>
      </w:pPr>
      <w:r>
        <w:rPr>
          <w:rFonts w:ascii="Times New Roman" w:cs="Times New Roman" w:hAnsi="Times New Roman"/>
          <w:sz w:val="24"/>
        </w:rPr>
        <w:t>Table II: Results of water boiling test</w:t>
      </w:r>
    </w:p>
    <w:tbl>
      <w:tblPr>
        <w:tblStyle w:val="style154"/>
        <w:tblW w:w="0" w:type="auto"/>
        <w:tblLook w:val="04A0" w:firstRow="1" w:lastRow="0" w:firstColumn="1" w:lastColumn="0" w:noHBand="0" w:noVBand="1"/>
      </w:tblPr>
      <w:tblGrid>
        <w:gridCol w:w="1255"/>
        <w:gridCol w:w="2160"/>
        <w:gridCol w:w="1620"/>
        <w:gridCol w:w="1440"/>
        <w:gridCol w:w="1800"/>
      </w:tblGrid>
      <w:tr>
        <w:trPr/>
        <w:tc>
          <w:tcPr>
            <w:tcW w:w="1255" w:type="dxa"/>
            <w:tcBorders/>
          </w:tcPr>
          <w:p>
            <w:pPr>
              <w:pStyle w:val="style0"/>
              <w:rPr>
                <w:rFonts w:ascii="Times New Roman" w:cs="Times New Roman" w:hAnsi="Times New Roman"/>
                <w:b/>
                <w:sz w:val="24"/>
              </w:rPr>
            </w:pPr>
            <w:r>
              <w:rPr>
                <w:rFonts w:ascii="Times New Roman" w:cs="Times New Roman" w:hAnsi="Times New Roman"/>
                <w:b/>
                <w:sz w:val="24"/>
              </w:rPr>
              <w:t>Fuel</w:t>
            </w:r>
          </w:p>
        </w:tc>
        <w:tc>
          <w:tcPr>
            <w:tcW w:w="2160" w:type="dxa"/>
            <w:tcBorders/>
          </w:tcPr>
          <w:p>
            <w:pPr>
              <w:pStyle w:val="style0"/>
              <w:rPr>
                <w:rFonts w:ascii="Times New Roman" w:cs="Times New Roman" w:hAnsi="Times New Roman"/>
                <w:b/>
                <w:sz w:val="24"/>
              </w:rPr>
            </w:pPr>
            <w:r>
              <w:rPr>
                <w:rFonts w:ascii="Times New Roman" w:cs="Times New Roman" w:hAnsi="Times New Roman"/>
                <w:b/>
                <w:sz w:val="24"/>
              </w:rPr>
              <w:t>Mass of Fuel (Kg)</w:t>
            </w:r>
          </w:p>
        </w:tc>
        <w:tc>
          <w:tcPr>
            <w:tcW w:w="1620" w:type="dxa"/>
            <w:tcBorders/>
          </w:tcPr>
          <w:p>
            <w:pPr>
              <w:pStyle w:val="style0"/>
              <w:rPr>
                <w:rFonts w:ascii="Times New Roman" w:cs="Times New Roman" w:hAnsi="Times New Roman"/>
                <w:b/>
                <w:sz w:val="24"/>
              </w:rPr>
            </w:pPr>
            <w:r>
              <w:rPr>
                <w:rFonts w:ascii="Times New Roman" w:cs="Times New Roman" w:hAnsi="Times New Roman"/>
                <w:b/>
                <w:sz w:val="24"/>
              </w:rPr>
              <w:t xml:space="preserve"> T</w:t>
            </w:r>
            <w:r>
              <w:rPr>
                <w:rFonts w:ascii="Times New Roman" w:cs="Times New Roman" w:hAnsi="Times New Roman"/>
                <w:b/>
                <w:sz w:val="24"/>
                <w:vertAlign w:val="subscript"/>
              </w:rPr>
              <w:t>f</w:t>
            </w:r>
            <w:r>
              <w:rPr>
                <w:rFonts w:ascii="Times New Roman" w:cs="Times New Roman" w:hAnsi="Times New Roman"/>
                <w:b/>
                <w:sz w:val="24"/>
              </w:rPr>
              <w:t xml:space="preserve"> -  T</w:t>
            </w:r>
            <w:r>
              <w:rPr>
                <w:rFonts w:ascii="Times New Roman" w:cs="Times New Roman" w:hAnsi="Times New Roman"/>
                <w:b/>
                <w:sz w:val="24"/>
                <w:vertAlign w:val="subscript"/>
              </w:rPr>
              <w:t xml:space="preserve">i </w:t>
            </w:r>
            <w:r>
              <w:rPr>
                <w:rFonts w:ascii="Times New Roman" w:cs="Times New Roman" w:hAnsi="Times New Roman"/>
                <w:b/>
                <w:sz w:val="24"/>
              </w:rPr>
              <w:t>(</w:t>
            </w:r>
            <w:r>
              <w:rPr>
                <w:rFonts w:ascii="Times New Roman" w:cs="Times New Roman" w:hAnsi="Times New Roman"/>
                <w:b/>
                <w:sz w:val="24"/>
                <w:vertAlign w:val="superscript"/>
              </w:rPr>
              <w:t>o</w:t>
            </w:r>
            <w:r>
              <w:rPr>
                <w:rFonts w:ascii="Times New Roman" w:cs="Times New Roman" w:hAnsi="Times New Roman"/>
                <w:b/>
                <w:sz w:val="24"/>
              </w:rPr>
              <w:t>K)</w:t>
            </w:r>
          </w:p>
        </w:tc>
        <w:tc>
          <w:tcPr>
            <w:tcW w:w="1440" w:type="dxa"/>
            <w:tcBorders/>
          </w:tcPr>
          <w:p>
            <w:pPr>
              <w:pStyle w:val="style0"/>
              <w:rPr>
                <w:rFonts w:ascii="Times New Roman" w:cs="Times New Roman" w:hAnsi="Times New Roman"/>
                <w:b/>
                <w:sz w:val="24"/>
              </w:rPr>
            </w:pPr>
            <w:r>
              <w:rPr>
                <w:rFonts w:ascii="Times New Roman" w:cs="Times New Roman" w:hAnsi="Times New Roman"/>
                <w:b/>
                <w:sz w:val="24"/>
              </w:rPr>
              <w:t>C</w:t>
            </w:r>
            <w:r>
              <w:rPr>
                <w:rFonts w:ascii="Times New Roman" w:cs="Times New Roman" w:hAnsi="Times New Roman"/>
                <w:b/>
                <w:sz w:val="24"/>
                <w:vertAlign w:val="subscript"/>
              </w:rPr>
              <w:t>v</w:t>
            </w:r>
            <w:r>
              <w:rPr>
                <w:rFonts w:ascii="Times New Roman" w:cs="Times New Roman" w:hAnsi="Times New Roman"/>
                <w:b/>
                <w:sz w:val="24"/>
              </w:rPr>
              <w:t xml:space="preserve"> (KJ/Kg)</w:t>
            </w:r>
          </w:p>
        </w:tc>
        <w:tc>
          <w:tcPr>
            <w:tcW w:w="1800" w:type="dxa"/>
            <w:tcBorders/>
          </w:tcPr>
          <w:p>
            <w:pPr>
              <w:pStyle w:val="style0"/>
              <w:rPr>
                <w:rFonts w:ascii="Times New Roman" w:cs="Times New Roman" w:hAnsi="Times New Roman"/>
                <w:b/>
                <w:sz w:val="24"/>
              </w:rPr>
            </w:pPr>
            <w:r>
              <w:rPr>
                <w:rFonts w:ascii="Times New Roman" w:cs="Times New Roman" w:hAnsi="Times New Roman"/>
                <w:b/>
                <w:sz w:val="24"/>
              </w:rPr>
              <w:t>Efficiency (%)</w:t>
            </w:r>
          </w:p>
        </w:tc>
      </w:tr>
      <w:tr>
        <w:tblPrEx/>
        <w:trPr/>
        <w:tc>
          <w:tcPr>
            <w:tcW w:w="1255" w:type="dxa"/>
            <w:tcBorders/>
          </w:tcPr>
          <w:p>
            <w:pPr>
              <w:pStyle w:val="style0"/>
              <w:rPr>
                <w:rFonts w:ascii="Times New Roman" w:cs="Times New Roman" w:hAnsi="Times New Roman"/>
                <w:sz w:val="24"/>
              </w:rPr>
            </w:pPr>
            <w:r>
              <w:rPr>
                <w:rFonts w:ascii="Times New Roman" w:cs="Times New Roman" w:hAnsi="Times New Roman"/>
                <w:sz w:val="24"/>
              </w:rPr>
              <w:t>Wood</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0.23</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70.1</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19000</w:t>
            </w:r>
          </w:p>
        </w:tc>
        <w:tc>
          <w:tcPr>
            <w:tcW w:w="1800" w:type="dxa"/>
            <w:tcBorders/>
          </w:tcPr>
          <w:p>
            <w:pPr>
              <w:pStyle w:val="style0"/>
              <w:rPr>
                <w:rFonts w:ascii="Times New Roman" w:cs="Times New Roman" w:hAnsi="Times New Roman"/>
                <w:sz w:val="24"/>
              </w:rPr>
            </w:pPr>
            <w:r>
              <w:rPr>
                <w:rFonts w:ascii="Times New Roman" w:cs="Times New Roman" w:hAnsi="Times New Roman"/>
                <w:sz w:val="24"/>
              </w:rPr>
              <w:t>76</w:t>
            </w:r>
          </w:p>
        </w:tc>
      </w:tr>
      <w:tr>
        <w:tblPrEx/>
        <w:trPr/>
        <w:tc>
          <w:tcPr>
            <w:tcW w:w="1255" w:type="dxa"/>
            <w:tcBorders/>
          </w:tcPr>
          <w:p>
            <w:pPr>
              <w:pStyle w:val="style0"/>
              <w:rPr>
                <w:rFonts w:ascii="Times New Roman" w:cs="Times New Roman" w:hAnsi="Times New Roman"/>
                <w:sz w:val="24"/>
              </w:rPr>
            </w:pPr>
            <w:r>
              <w:rPr>
                <w:rFonts w:ascii="Times New Roman" w:cs="Times New Roman" w:hAnsi="Times New Roman"/>
                <w:sz w:val="24"/>
              </w:rPr>
              <w:t>charcoal</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0.13</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71.8</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29600</w:t>
            </w:r>
          </w:p>
        </w:tc>
        <w:tc>
          <w:tcPr>
            <w:tcW w:w="1800" w:type="dxa"/>
            <w:tcBorders/>
          </w:tcPr>
          <w:p>
            <w:pPr>
              <w:pStyle w:val="style0"/>
              <w:rPr>
                <w:rFonts w:ascii="Times New Roman" w:cs="Times New Roman" w:hAnsi="Times New Roman"/>
                <w:sz w:val="24"/>
              </w:rPr>
            </w:pPr>
            <w:r>
              <w:rPr>
                <w:rFonts w:ascii="Times New Roman" w:cs="Times New Roman" w:hAnsi="Times New Roman"/>
                <w:sz w:val="24"/>
              </w:rPr>
              <w:t>82</w:t>
            </w:r>
          </w:p>
        </w:tc>
      </w:tr>
      <w:tr>
        <w:tblPrEx/>
        <w:trPr/>
        <w:tc>
          <w:tcPr>
            <w:tcW w:w="1255" w:type="dxa"/>
            <w:tcBorders/>
          </w:tcPr>
          <w:p>
            <w:pPr>
              <w:pStyle w:val="style0"/>
              <w:rPr>
                <w:rFonts w:ascii="Times New Roman" w:cs="Times New Roman" w:hAnsi="Times New Roman"/>
                <w:sz w:val="24"/>
              </w:rPr>
            </w:pPr>
            <w:r>
              <w:rPr>
                <w:rFonts w:ascii="Times New Roman" w:cs="Times New Roman" w:hAnsi="Times New Roman"/>
                <w:sz w:val="24"/>
              </w:rPr>
              <w:t>Rice Husk</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0.34</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70.02</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12296.19</w:t>
            </w:r>
          </w:p>
        </w:tc>
        <w:tc>
          <w:tcPr>
            <w:tcW w:w="1800" w:type="dxa"/>
            <w:tcBorders/>
          </w:tcPr>
          <w:p>
            <w:pPr>
              <w:pStyle w:val="style0"/>
              <w:rPr>
                <w:rFonts w:ascii="Times New Roman" w:cs="Times New Roman" w:hAnsi="Times New Roman"/>
                <w:sz w:val="24"/>
              </w:rPr>
            </w:pPr>
            <w:r>
              <w:rPr>
                <w:rFonts w:ascii="Times New Roman" w:cs="Times New Roman" w:hAnsi="Times New Roman"/>
                <w:sz w:val="24"/>
              </w:rPr>
              <w:t>79.3</w:t>
            </w:r>
          </w:p>
        </w:tc>
      </w:tr>
      <w:tr>
        <w:tblPrEx/>
        <w:trPr/>
        <w:tc>
          <w:tcPr>
            <w:tcW w:w="1255" w:type="dxa"/>
            <w:tcBorders/>
          </w:tcPr>
          <w:p>
            <w:pPr>
              <w:pStyle w:val="style0"/>
              <w:rPr>
                <w:rFonts w:ascii="Times New Roman" w:cs="Times New Roman" w:hAnsi="Times New Roman"/>
                <w:sz w:val="24"/>
              </w:rPr>
            </w:pPr>
            <w:r>
              <w:rPr>
                <w:rFonts w:ascii="Times New Roman" w:cs="Times New Roman" w:hAnsi="Times New Roman"/>
                <w:sz w:val="24"/>
              </w:rPr>
              <w:t>Cow dung</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0.32</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69.98</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13201.78</w:t>
            </w:r>
          </w:p>
        </w:tc>
        <w:tc>
          <w:tcPr>
            <w:tcW w:w="1800" w:type="dxa"/>
            <w:tcBorders/>
          </w:tcPr>
          <w:p>
            <w:pPr>
              <w:pStyle w:val="style0"/>
              <w:rPr>
                <w:rFonts w:ascii="Times New Roman" w:cs="Times New Roman" w:hAnsi="Times New Roman"/>
                <w:sz w:val="24"/>
              </w:rPr>
            </w:pPr>
            <w:r>
              <w:rPr>
                <w:rFonts w:ascii="Times New Roman" w:cs="Times New Roman" w:hAnsi="Times New Roman"/>
                <w:sz w:val="24"/>
              </w:rPr>
              <w:t>78.4</w:t>
            </w:r>
          </w:p>
        </w:tc>
      </w:tr>
    </w:tbl>
    <w:p>
      <w:pPr>
        <w:pStyle w:val="style0"/>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The results in Table II show the water boiling test which indicate that the stove requires very little quantity of fuel</w:t>
      </w:r>
      <w:r>
        <w:rPr>
          <w:rFonts w:ascii="Times New Roman" w:cs="Times New Roman" w:hAnsi="Times New Roman"/>
        </w:rPr>
        <w:t xml:space="preserve"> to bring the water to boil and the efficiency is between 76 to 82%. The calorific value of the fuel also contributes to the efficiency of the stove in that the higher calorific value fuels generate more heat hence boil the water faster. </w:t>
      </w:r>
    </w:p>
    <w:p>
      <w:pPr>
        <w:pStyle w:val="style0"/>
        <w:jc w:val="both"/>
        <w:rPr>
          <w:b/>
        </w:rPr>
      </w:pPr>
      <w:r>
        <w:rPr>
          <w:b/>
        </w:rPr>
        <w:t>4.2 Electricity G</w:t>
      </w:r>
      <w:r>
        <w:rPr>
          <w:b/>
        </w:rPr>
        <w:t>eneration</w:t>
      </w:r>
    </w:p>
    <w:p>
      <w:pPr>
        <w:pStyle w:val="style0"/>
        <w:jc w:val="both"/>
        <w:rPr/>
      </w:pPr>
      <w:r>
        <w:t>The TEG generated up to 1.75 W of power, with charcoal providing the highest voltage and power output due to its high combustion temperature. The integration of the TEG with the cookstove proved effective, providing enough power to sustain the fa</w:t>
      </w:r>
      <w:r>
        <w:t>n and generate surplus electricity for lighting or charging devices. Table III show that the voltage, current and Power recorded from the panel with the highest value of temperature difference for the various fuels used. It also follows that the biomass wi</w:t>
      </w:r>
      <w:r>
        <w:t>th higher calorific value produces the highest voltage difference hence power</w:t>
      </w:r>
    </w:p>
    <w:p>
      <w:pPr>
        <w:pStyle w:val="style0"/>
        <w:rPr>
          <w:rFonts w:ascii="Times New Roman" w:cs="Times New Roman" w:hAnsi="Times New Roman"/>
        </w:rPr>
      </w:pPr>
      <w:r>
        <w:rPr>
          <w:rFonts w:ascii="Times New Roman" w:cs="Times New Roman" w:hAnsi="Times New Roman"/>
        </w:rPr>
        <w:t>Table III: Results of TEG power experiment at maximum temperature difference for various biomass</w:t>
      </w:r>
    </w:p>
    <w:tbl>
      <w:tblPr>
        <w:tblStyle w:val="style154"/>
        <w:tblW w:w="8635" w:type="dxa"/>
        <w:tblLook w:val="04A0" w:firstRow="1" w:lastRow="0" w:firstColumn="1" w:lastColumn="0" w:noHBand="0" w:noVBand="1"/>
      </w:tblPr>
      <w:tblGrid>
        <w:gridCol w:w="1345"/>
        <w:gridCol w:w="2070"/>
        <w:gridCol w:w="2160"/>
        <w:gridCol w:w="1620"/>
        <w:gridCol w:w="1440"/>
      </w:tblGrid>
      <w:tr>
        <w:trPr/>
        <w:tc>
          <w:tcPr>
            <w:tcW w:w="1345" w:type="dxa"/>
            <w:tcBorders/>
          </w:tcPr>
          <w:p>
            <w:pPr>
              <w:pStyle w:val="style0"/>
              <w:rPr>
                <w:rFonts w:ascii="Times New Roman" w:cs="Times New Roman" w:hAnsi="Times New Roman"/>
                <w:b/>
                <w:sz w:val="24"/>
              </w:rPr>
            </w:pPr>
            <w:r>
              <w:rPr>
                <w:rFonts w:ascii="Times New Roman" w:cs="Times New Roman" w:hAnsi="Times New Roman"/>
                <w:b/>
                <w:sz w:val="24"/>
              </w:rPr>
              <w:t>Fuel</w:t>
            </w:r>
          </w:p>
        </w:tc>
        <w:tc>
          <w:tcPr>
            <w:tcW w:w="2070" w:type="dxa"/>
            <w:tcBorders/>
          </w:tcPr>
          <w:p>
            <w:pPr>
              <w:pStyle w:val="style0"/>
              <w:rPr>
                <w:rFonts w:ascii="Times New Roman" w:cs="Times New Roman" w:hAnsi="Times New Roman"/>
                <w:b/>
                <w:sz w:val="24"/>
              </w:rPr>
            </w:pPr>
            <w:r>
              <w:rPr>
                <w:rFonts w:ascii="Times New Roman" w:cs="Times New Roman" w:hAnsi="Times New Roman"/>
                <w:b/>
                <w:sz w:val="24"/>
              </w:rPr>
              <w:t xml:space="preserve"> T</w:t>
            </w:r>
            <w:r>
              <w:rPr>
                <w:rFonts w:ascii="Times New Roman" w:cs="Times New Roman" w:hAnsi="Times New Roman"/>
                <w:b/>
                <w:sz w:val="24"/>
                <w:vertAlign w:val="subscript"/>
              </w:rPr>
              <w:t>f</w:t>
            </w:r>
            <w:r>
              <w:rPr>
                <w:rFonts w:ascii="Times New Roman" w:cs="Times New Roman" w:hAnsi="Times New Roman"/>
                <w:b/>
                <w:sz w:val="24"/>
              </w:rPr>
              <w:t xml:space="preserve"> -  T</w:t>
            </w:r>
            <w:r>
              <w:rPr>
                <w:rFonts w:ascii="Times New Roman" w:cs="Times New Roman" w:hAnsi="Times New Roman"/>
                <w:b/>
                <w:sz w:val="24"/>
                <w:vertAlign w:val="subscript"/>
              </w:rPr>
              <w:t xml:space="preserve">i </w:t>
            </w:r>
            <w:r>
              <w:rPr>
                <w:rFonts w:ascii="Times New Roman" w:cs="Times New Roman" w:hAnsi="Times New Roman"/>
                <w:b/>
                <w:sz w:val="24"/>
              </w:rPr>
              <w:t>(</w:t>
            </w:r>
            <w:r>
              <w:rPr>
                <w:rFonts w:ascii="Times New Roman" w:cs="Times New Roman" w:hAnsi="Times New Roman"/>
                <w:b/>
                <w:sz w:val="24"/>
                <w:vertAlign w:val="superscript"/>
              </w:rPr>
              <w:t>o</w:t>
            </w:r>
            <w:r>
              <w:rPr>
                <w:rFonts w:ascii="Times New Roman" w:cs="Times New Roman" w:hAnsi="Times New Roman"/>
                <w:b/>
                <w:sz w:val="24"/>
              </w:rPr>
              <w:t>C)</w:t>
            </w:r>
          </w:p>
        </w:tc>
        <w:tc>
          <w:tcPr>
            <w:tcW w:w="2160" w:type="dxa"/>
            <w:tcBorders/>
          </w:tcPr>
          <w:p>
            <w:pPr>
              <w:pStyle w:val="style0"/>
              <w:tabs>
                <w:tab w:val="right" w:leader="none" w:pos="1944"/>
              </w:tabs>
              <w:rPr>
                <w:rFonts w:ascii="Times New Roman" w:cs="Times New Roman" w:hAnsi="Times New Roman"/>
                <w:b/>
                <w:sz w:val="24"/>
              </w:rPr>
            </w:pPr>
            <w:r>
              <w:rPr>
                <w:rFonts w:ascii="Times New Roman" w:cs="Times New Roman" w:hAnsi="Times New Roman"/>
                <w:b/>
                <w:sz w:val="24"/>
              </w:rPr>
              <w:t>Voltage (V)</w:t>
            </w:r>
            <w:r>
              <w:rPr>
                <w:rFonts w:ascii="Times New Roman" w:cs="Times New Roman" w:hAnsi="Times New Roman"/>
                <w:b/>
                <w:sz w:val="24"/>
              </w:rPr>
              <w:tab/>
            </w:r>
          </w:p>
        </w:tc>
        <w:tc>
          <w:tcPr>
            <w:tcW w:w="1620" w:type="dxa"/>
            <w:tcBorders/>
          </w:tcPr>
          <w:p>
            <w:pPr>
              <w:pStyle w:val="style0"/>
              <w:rPr>
                <w:rFonts w:ascii="Times New Roman" w:cs="Times New Roman" w:hAnsi="Times New Roman"/>
                <w:b/>
                <w:sz w:val="24"/>
              </w:rPr>
            </w:pPr>
            <w:r>
              <w:rPr>
                <w:rFonts w:ascii="Times New Roman" w:cs="Times New Roman" w:hAnsi="Times New Roman"/>
                <w:b/>
                <w:sz w:val="24"/>
              </w:rPr>
              <w:t xml:space="preserve"> Current (A)</w:t>
            </w:r>
          </w:p>
        </w:tc>
        <w:tc>
          <w:tcPr>
            <w:tcW w:w="1440" w:type="dxa"/>
            <w:tcBorders/>
          </w:tcPr>
          <w:p>
            <w:pPr>
              <w:pStyle w:val="style0"/>
              <w:rPr>
                <w:rFonts w:ascii="Times New Roman" w:cs="Times New Roman" w:hAnsi="Times New Roman"/>
                <w:b/>
                <w:sz w:val="24"/>
              </w:rPr>
            </w:pPr>
            <w:r>
              <w:rPr>
                <w:rFonts w:ascii="Times New Roman" w:cs="Times New Roman" w:hAnsi="Times New Roman"/>
                <w:b/>
                <w:sz w:val="24"/>
              </w:rPr>
              <w:t>Power</w:t>
            </w:r>
          </w:p>
        </w:tc>
      </w:tr>
      <w:tr>
        <w:tblPrEx/>
        <w:trPr/>
        <w:tc>
          <w:tcPr>
            <w:tcW w:w="1345" w:type="dxa"/>
            <w:tcBorders/>
          </w:tcPr>
          <w:p>
            <w:pPr>
              <w:pStyle w:val="style0"/>
              <w:rPr>
                <w:rFonts w:ascii="Times New Roman" w:cs="Times New Roman" w:hAnsi="Times New Roman"/>
                <w:sz w:val="24"/>
              </w:rPr>
            </w:pPr>
            <w:r>
              <w:rPr>
                <w:rFonts w:ascii="Times New Roman" w:cs="Times New Roman" w:hAnsi="Times New Roman"/>
                <w:sz w:val="24"/>
              </w:rPr>
              <w:t>Wood</w:t>
            </w:r>
          </w:p>
        </w:tc>
        <w:tc>
          <w:tcPr>
            <w:tcW w:w="2070" w:type="dxa"/>
            <w:tcBorders/>
          </w:tcPr>
          <w:p>
            <w:pPr>
              <w:pStyle w:val="style0"/>
              <w:rPr>
                <w:rFonts w:ascii="Times New Roman" w:cs="Times New Roman" w:hAnsi="Times New Roman"/>
                <w:sz w:val="24"/>
              </w:rPr>
            </w:pPr>
            <w:r>
              <w:rPr>
                <w:rFonts w:ascii="Times New Roman" w:cs="Times New Roman" w:hAnsi="Times New Roman"/>
                <w:sz w:val="24"/>
              </w:rPr>
              <w:t>183</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2.3</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0.5</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1.15</w:t>
            </w:r>
          </w:p>
        </w:tc>
      </w:tr>
      <w:tr>
        <w:tblPrEx/>
        <w:trPr/>
        <w:tc>
          <w:tcPr>
            <w:tcW w:w="1345" w:type="dxa"/>
            <w:tcBorders/>
          </w:tcPr>
          <w:p>
            <w:pPr>
              <w:pStyle w:val="style0"/>
              <w:rPr>
                <w:rFonts w:ascii="Times New Roman" w:cs="Times New Roman" w:hAnsi="Times New Roman"/>
                <w:sz w:val="24"/>
              </w:rPr>
            </w:pPr>
            <w:r>
              <w:rPr>
                <w:rFonts w:ascii="Times New Roman" w:cs="Times New Roman" w:hAnsi="Times New Roman"/>
                <w:sz w:val="24"/>
              </w:rPr>
              <w:t>charcoal</w:t>
            </w:r>
          </w:p>
        </w:tc>
        <w:tc>
          <w:tcPr>
            <w:tcW w:w="2070" w:type="dxa"/>
            <w:tcBorders/>
          </w:tcPr>
          <w:p>
            <w:pPr>
              <w:pStyle w:val="style0"/>
              <w:rPr>
                <w:rFonts w:ascii="Times New Roman" w:cs="Times New Roman" w:hAnsi="Times New Roman"/>
                <w:sz w:val="24"/>
              </w:rPr>
            </w:pPr>
            <w:r>
              <w:rPr>
                <w:rFonts w:ascii="Times New Roman" w:cs="Times New Roman" w:hAnsi="Times New Roman"/>
                <w:sz w:val="24"/>
              </w:rPr>
              <w:t>191</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2.5</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0.7</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1.75</w:t>
            </w:r>
          </w:p>
        </w:tc>
      </w:tr>
      <w:tr>
        <w:tblPrEx/>
        <w:trPr/>
        <w:tc>
          <w:tcPr>
            <w:tcW w:w="1345" w:type="dxa"/>
            <w:tcBorders/>
          </w:tcPr>
          <w:p>
            <w:pPr>
              <w:pStyle w:val="style0"/>
              <w:rPr>
                <w:rFonts w:ascii="Times New Roman" w:cs="Times New Roman" w:hAnsi="Times New Roman"/>
                <w:sz w:val="24"/>
              </w:rPr>
            </w:pPr>
            <w:r>
              <w:rPr>
                <w:rFonts w:ascii="Times New Roman" w:cs="Times New Roman" w:hAnsi="Times New Roman"/>
                <w:sz w:val="24"/>
              </w:rPr>
              <w:t>Rice Husk</w:t>
            </w:r>
          </w:p>
        </w:tc>
        <w:tc>
          <w:tcPr>
            <w:tcW w:w="2070" w:type="dxa"/>
            <w:tcBorders/>
          </w:tcPr>
          <w:p>
            <w:pPr>
              <w:pStyle w:val="style0"/>
              <w:rPr>
                <w:rFonts w:ascii="Times New Roman" w:cs="Times New Roman" w:hAnsi="Times New Roman"/>
                <w:sz w:val="24"/>
              </w:rPr>
            </w:pPr>
            <w:r>
              <w:rPr>
                <w:rFonts w:ascii="Times New Roman" w:cs="Times New Roman" w:hAnsi="Times New Roman"/>
                <w:sz w:val="24"/>
              </w:rPr>
              <w:t>150</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1.7</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0.15</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0.25</w:t>
            </w:r>
          </w:p>
        </w:tc>
      </w:tr>
      <w:tr>
        <w:tblPrEx/>
        <w:trPr/>
        <w:tc>
          <w:tcPr>
            <w:tcW w:w="1345" w:type="dxa"/>
            <w:tcBorders/>
          </w:tcPr>
          <w:p>
            <w:pPr>
              <w:pStyle w:val="style0"/>
              <w:rPr>
                <w:rFonts w:ascii="Times New Roman" w:cs="Times New Roman" w:hAnsi="Times New Roman"/>
                <w:sz w:val="24"/>
              </w:rPr>
            </w:pPr>
            <w:r>
              <w:rPr>
                <w:rFonts w:ascii="Times New Roman" w:cs="Times New Roman" w:hAnsi="Times New Roman"/>
                <w:sz w:val="24"/>
              </w:rPr>
              <w:t>Cow Dung</w:t>
            </w:r>
          </w:p>
        </w:tc>
        <w:tc>
          <w:tcPr>
            <w:tcW w:w="2070" w:type="dxa"/>
            <w:tcBorders/>
          </w:tcPr>
          <w:p>
            <w:pPr>
              <w:pStyle w:val="style0"/>
              <w:rPr>
                <w:rFonts w:ascii="Times New Roman" w:cs="Times New Roman" w:hAnsi="Times New Roman"/>
                <w:sz w:val="24"/>
              </w:rPr>
            </w:pPr>
            <w:r>
              <w:rPr>
                <w:rFonts w:ascii="Times New Roman" w:cs="Times New Roman" w:hAnsi="Times New Roman"/>
                <w:sz w:val="24"/>
              </w:rPr>
              <w:t>142</w:t>
            </w:r>
          </w:p>
        </w:tc>
        <w:tc>
          <w:tcPr>
            <w:tcW w:w="2160" w:type="dxa"/>
            <w:tcBorders/>
          </w:tcPr>
          <w:p>
            <w:pPr>
              <w:pStyle w:val="style0"/>
              <w:rPr>
                <w:rFonts w:ascii="Times New Roman" w:cs="Times New Roman" w:hAnsi="Times New Roman"/>
                <w:sz w:val="24"/>
              </w:rPr>
            </w:pPr>
            <w:r>
              <w:rPr>
                <w:rFonts w:ascii="Times New Roman" w:cs="Times New Roman" w:hAnsi="Times New Roman"/>
                <w:sz w:val="24"/>
              </w:rPr>
              <w:t>1.3</w:t>
            </w:r>
          </w:p>
        </w:tc>
        <w:tc>
          <w:tcPr>
            <w:tcW w:w="1620" w:type="dxa"/>
            <w:tcBorders/>
          </w:tcPr>
          <w:p>
            <w:pPr>
              <w:pStyle w:val="style0"/>
              <w:rPr>
                <w:rFonts w:ascii="Times New Roman" w:cs="Times New Roman" w:hAnsi="Times New Roman"/>
                <w:sz w:val="24"/>
              </w:rPr>
            </w:pPr>
            <w:r>
              <w:rPr>
                <w:rFonts w:ascii="Times New Roman" w:cs="Times New Roman" w:hAnsi="Times New Roman"/>
                <w:sz w:val="24"/>
              </w:rPr>
              <w:t>0.12</w:t>
            </w:r>
          </w:p>
        </w:tc>
        <w:tc>
          <w:tcPr>
            <w:tcW w:w="1440" w:type="dxa"/>
            <w:tcBorders/>
          </w:tcPr>
          <w:p>
            <w:pPr>
              <w:pStyle w:val="style0"/>
              <w:rPr>
                <w:rFonts w:ascii="Times New Roman" w:cs="Times New Roman" w:hAnsi="Times New Roman"/>
                <w:sz w:val="24"/>
              </w:rPr>
            </w:pPr>
            <w:r>
              <w:rPr>
                <w:rFonts w:ascii="Times New Roman" w:cs="Times New Roman" w:hAnsi="Times New Roman"/>
                <w:sz w:val="24"/>
              </w:rPr>
              <w:t>0.15</w:t>
            </w:r>
          </w:p>
        </w:tc>
      </w:tr>
    </w:tbl>
    <w:p>
      <w:pPr>
        <w:pStyle w:val="style0"/>
        <w:rPr/>
      </w:pPr>
    </w:p>
    <w:p>
      <w:pPr>
        <w:pStyle w:val="style0"/>
        <w:jc w:val="both"/>
        <w:rPr>
          <w:b/>
        </w:rPr>
      </w:pPr>
      <w:r>
        <w:rPr>
          <w:b/>
        </w:rPr>
        <w:t>4.3 Exergo-Economic Analysis</w:t>
      </w:r>
    </w:p>
    <w:p>
      <w:pPr>
        <w:pStyle w:val="style0"/>
        <w:jc w:val="both"/>
        <w:rPr/>
      </w:pPr>
      <w:r>
        <w:t>The exergo-economic analysis revealed that the stove had a high exergo</w:t>
      </w:r>
      <w:r>
        <w:t>-economic factor of 97%, indicating that most of the investment cost contributed to useful work. The exergy destruction cost was calculated to be only 0.2% of the total investment, demonstrating the system’s efficiency. The total capital investment for the</w:t>
      </w:r>
      <w:r>
        <w:t xml:space="preserve"> stove was </w:t>
      </w:r>
      <w:r>
        <w:rPr>
          <w:dstrike/>
        </w:rPr>
        <w:t>N</w:t>
      </w:r>
      <w:r>
        <w:t>35, 300, with minimal operational costs due to the self-sustaining nature of the fan powered by the TEG.</w:t>
      </w:r>
    </w:p>
    <w:p>
      <w:pPr>
        <w:pStyle w:val="style0"/>
        <w:jc w:val="both"/>
        <w:rPr>
          <w:b/>
        </w:rPr>
      </w:pPr>
      <w:r>
        <w:rPr>
          <w:b/>
        </w:rPr>
        <w:t>5. Discussion</w:t>
      </w:r>
    </w:p>
    <w:p>
      <w:pPr>
        <w:pStyle w:val="style0"/>
        <w:jc w:val="both"/>
        <w:rPr/>
      </w:pPr>
      <w:r>
        <w:t>The integration of a thermoelectric generator with a gasifier cookstove offers a dual benefit: efficient cooking and electric</w:t>
      </w:r>
      <w:r>
        <w:t>ity generation. The high stove efficiency and low biomass consumption make it a suitable solution for households in off-grid areas. The exergo-economic analysis confirms that the system is cost-effective, with a high return on investment due to its energy-</w:t>
      </w:r>
      <w:r>
        <w:t>saving potential and the additional benefit of electricity generation.</w:t>
      </w:r>
    </w:p>
    <w:p>
      <w:pPr>
        <w:pStyle w:val="style0"/>
        <w:jc w:val="both"/>
        <w:rPr/>
      </w:pPr>
      <w:r>
        <w:t>The results suggest that with appropriate scaling, this technology could significantly reduce reliance on traditional fuels, improve energy access, and mitigate environmental impacts. H</w:t>
      </w:r>
      <w:r>
        <w:t>owever, further research is needed to optimize TEG performance and reduce production costs, making the technology more accessible to low-income households.</w:t>
      </w:r>
    </w:p>
    <w:p>
      <w:pPr>
        <w:pStyle w:val="style0"/>
        <w:rPr/>
      </w:pPr>
    </w:p>
    <w:p>
      <w:pPr>
        <w:pStyle w:val="style0"/>
        <w:spacing w:after="0"/>
        <w:rPr>
          <w:b/>
        </w:rPr>
      </w:pPr>
      <w:r>
        <w:rPr>
          <w:b/>
        </w:rPr>
        <w:t>6. Conclusion</w:t>
      </w:r>
    </w:p>
    <w:p>
      <w:pPr>
        <w:pStyle w:val="style0"/>
        <w:jc w:val="both"/>
        <w:rPr/>
      </w:pPr>
      <w:r>
        <w:t>This study demonstrates the potential of a gasifier cookstove integrated with a therm</w:t>
      </w:r>
      <w:r>
        <w:t>oelectric generator for improving energy efficiency and access to electricity in developing regions. The stove’s high efficiency and cost-effectiveness, as shown by the exergo-economic analysis, make it a promising solution for sustainable cooking and powe</w:t>
      </w:r>
      <w:r>
        <w:t>r generation. Future work should focus on further optimizing the design and exploring large-scale implementation.</w:t>
      </w:r>
    </w:p>
    <w:p>
      <w:pPr>
        <w:pStyle w:val="style0"/>
        <w:jc w:val="both"/>
        <w:rPr/>
      </w:pPr>
    </w:p>
    <w:p>
      <w:pPr>
        <w:pStyle w:val="style0"/>
        <w:jc w:val="both"/>
        <w:rPr>
          <w:b/>
        </w:rPr>
      </w:pPr>
    </w:p>
    <w:p>
      <w:pPr>
        <w:pStyle w:val="style0"/>
        <w:jc w:val="both"/>
        <w:rPr>
          <w:b/>
        </w:rPr>
      </w:pPr>
    </w:p>
    <w:p>
      <w:pPr>
        <w:pStyle w:val="style0"/>
        <w:jc w:val="both"/>
        <w:rPr>
          <w:b/>
        </w:rPr>
      </w:pPr>
    </w:p>
    <w:p>
      <w:pPr>
        <w:pStyle w:val="style0"/>
        <w:jc w:val="both"/>
        <w:rPr>
          <w:b/>
        </w:rPr>
      </w:pPr>
    </w:p>
    <w:p>
      <w:pPr>
        <w:pStyle w:val="style0"/>
        <w:jc w:val="both"/>
        <w:rPr>
          <w:b/>
        </w:rPr>
      </w:pPr>
      <w:r>
        <w:rPr>
          <w:b/>
        </w:rPr>
        <w:t>References</w:t>
      </w:r>
    </w:p>
    <w:p>
      <w:pPr>
        <w:pStyle w:val="style4099"/>
        <w:spacing w:before="240" w:after="0"/>
        <w:ind w:left="720" w:hanging="720"/>
        <w:jc w:val="both"/>
        <w:rPr/>
      </w:pPr>
      <w:r>
        <w:rPr/>
        <w:fldChar w:fldCharType="begin"/>
      </w:r>
      <w:r>
        <w:instrText xml:space="preserve"> ADDIN EN.REFLIST </w:instrText>
      </w:r>
      <w:r>
        <w:rPr/>
        <w:fldChar w:fldCharType="separate"/>
      </w:r>
      <w:r>
        <w:t xml:space="preserve">Al-Shetwi, A. Q. (2022). Sustainable development of renewable energy integrated power sector: Trends, environmental impacts, and recent challenges. </w:t>
      </w:r>
      <w:r>
        <w:rPr>
          <w:i/>
        </w:rPr>
        <w:t>Science of The Total Environment</w:t>
      </w:r>
      <w:r>
        <w:t>,</w:t>
      </w:r>
      <w:r>
        <w:rPr>
          <w:i/>
        </w:rPr>
        <w:t xml:space="preserve"> 822</w:t>
      </w:r>
      <w:r>
        <w:t xml:space="preserve">, 153645. </w:t>
      </w:r>
    </w:p>
    <w:p>
      <w:pPr>
        <w:pStyle w:val="style4099"/>
        <w:spacing w:before="240" w:after="0"/>
        <w:ind w:left="720" w:hanging="720"/>
        <w:jc w:val="both"/>
        <w:rPr/>
      </w:pPr>
      <w:r>
        <w:t>Antonova, E. E., &amp; Looman, D. C. (2005). Finite elements for</w:t>
      </w:r>
      <w:r>
        <w:t xml:space="preserve"> thermoelectric device analysis in ANSYS. ICT 2005. 24th International Conference on Thermoelectrics, 2005., </w:t>
      </w:r>
    </w:p>
    <w:p>
      <w:pPr>
        <w:pStyle w:val="style4099"/>
        <w:spacing w:before="240" w:after="0"/>
        <w:ind w:left="720" w:hanging="720"/>
        <w:jc w:val="both"/>
        <w:rPr/>
      </w:pPr>
      <w:r>
        <w:t>Belonio, A. T. (2005). Rice husk gas stove handbook. In: Central Philippine University.</w:t>
      </w:r>
    </w:p>
    <w:p>
      <w:pPr>
        <w:pStyle w:val="style4099"/>
        <w:spacing w:before="240" w:after="0"/>
        <w:ind w:left="720" w:hanging="720"/>
        <w:jc w:val="both"/>
        <w:rPr/>
      </w:pPr>
      <w:r>
        <w:t>Chendake, A., Shelake, P., Nalawade, R., &amp; Vairal, S. (201</w:t>
      </w:r>
      <w:r>
        <w:t xml:space="preserve">4). Design and development of household gasifier cum water heater. </w:t>
      </w:r>
      <w:r>
        <w:rPr>
          <w:i/>
        </w:rPr>
        <w:t>Int J Curr Eng Technol. ISSN</w:t>
      </w:r>
      <w:r>
        <w:t xml:space="preserve">, 2277-4106. </w:t>
      </w:r>
    </w:p>
    <w:p>
      <w:pPr>
        <w:pStyle w:val="style4099"/>
        <w:spacing w:before="240" w:after="0"/>
        <w:ind w:left="720" w:hanging="720"/>
        <w:jc w:val="both"/>
        <w:rPr/>
      </w:pPr>
      <w:r>
        <w:t xml:space="preserve">Huang, C.-J., Chen, W.-C., Ni, C.-L., Chen, K.-H., Lu, C.-C., Chu, Y.-H., &amp; Kuo, M.-C. (2012). Thermoelectric energy harvesting with 1mV low input </w:t>
      </w:r>
      <w:r>
        <w:t xml:space="preserve">voltage and 390nA quiescent current for 99.6% maximum power point tracking. 2012 Proceedings of the ESSCIRC (ESSCIRC), </w:t>
      </w:r>
    </w:p>
    <w:p>
      <w:pPr>
        <w:pStyle w:val="style4099"/>
        <w:spacing w:before="240" w:after="0"/>
        <w:ind w:left="720" w:hanging="720"/>
        <w:jc w:val="both"/>
        <w:rPr/>
      </w:pPr>
      <w:r>
        <w:t>Lv, X., Xiao, J., Du, Y., Shen, L., &amp; Zhou, Y. (2014). Experimental study on biomass steam gasification for hydrogen-rich gas in double-</w:t>
      </w:r>
      <w:r>
        <w:t xml:space="preserve">bed reactor. </w:t>
      </w:r>
      <w:r>
        <w:rPr>
          <w:i/>
        </w:rPr>
        <w:t>International journal of hydrogen energy</w:t>
      </w:r>
      <w:r>
        <w:t>,</w:t>
      </w:r>
      <w:r>
        <w:rPr>
          <w:i/>
        </w:rPr>
        <w:t xml:space="preserve"> 39</w:t>
      </w:r>
      <w:r>
        <w:t xml:space="preserve">(36), 20968-20978. </w:t>
      </w:r>
    </w:p>
    <w:p>
      <w:pPr>
        <w:pStyle w:val="style4099"/>
        <w:spacing w:before="240" w:after="0"/>
        <w:ind w:left="720" w:hanging="720"/>
        <w:jc w:val="both"/>
        <w:rPr/>
      </w:pPr>
      <w:r>
        <w:t xml:space="preserve">Lv, X., Xiao, J., Shen, L., &amp; Zhou, Y. (2016). Experimental study on the optimization of parameters during biomass pyrolysis and char gasification for hydrogen-rich gas. </w:t>
      </w:r>
      <w:r>
        <w:rPr>
          <w:i/>
        </w:rPr>
        <w:t>Internati</w:t>
      </w:r>
      <w:r>
        <w:rPr>
          <w:i/>
        </w:rPr>
        <w:t>onal journal of hydrogen energy</w:t>
      </w:r>
      <w:r>
        <w:t>,</w:t>
      </w:r>
      <w:r>
        <w:rPr>
          <w:i/>
        </w:rPr>
        <w:t xml:space="preserve"> 41</w:t>
      </w:r>
      <w:r>
        <w:t xml:space="preserve">(47), 21913-21925. </w:t>
      </w:r>
    </w:p>
    <w:p>
      <w:pPr>
        <w:pStyle w:val="style4099"/>
        <w:spacing w:before="240" w:after="0"/>
        <w:ind w:left="720" w:hanging="720"/>
        <w:jc w:val="both"/>
        <w:rPr/>
      </w:pPr>
      <w:r>
        <w:t xml:space="preserve">Majumdar, A. (2004). Thermoelectricity in semiconductor nanostructures. </w:t>
      </w:r>
      <w:r>
        <w:rPr>
          <w:i/>
        </w:rPr>
        <w:t>Science</w:t>
      </w:r>
      <w:r>
        <w:t>,</w:t>
      </w:r>
      <w:r>
        <w:rPr>
          <w:i/>
        </w:rPr>
        <w:t xml:space="preserve"> 303</w:t>
      </w:r>
      <w:r>
        <w:t xml:space="preserve">(5659), 777-778. </w:t>
      </w:r>
    </w:p>
    <w:p>
      <w:pPr>
        <w:pStyle w:val="style4099"/>
        <w:spacing w:before="240" w:after="0"/>
        <w:ind w:left="720" w:hanging="720"/>
        <w:jc w:val="both"/>
        <w:rPr/>
      </w:pPr>
      <w:r>
        <w:t>Oyedepo, S., Fagbenle, R., &amp;</w:t>
      </w:r>
      <w:r>
        <w:t xml:space="preserve"> Adefila, S. (2014). Exergetic and exergoeconomic analysis of selected gas turbine power plants in Nigeria. </w:t>
      </w:r>
    </w:p>
    <w:p>
      <w:pPr>
        <w:pStyle w:val="style4099"/>
        <w:spacing w:before="240" w:after="0"/>
        <w:ind w:left="720" w:hanging="720"/>
        <w:jc w:val="both"/>
        <w:rPr/>
      </w:pPr>
      <w:r>
        <w:t xml:space="preserve">Panwar, N. L., Sharma, K., &amp; Rathore, N. (2023). Energy, exergy, emergy, environment, and economics analysis of a three-pot cookstove. </w:t>
      </w:r>
      <w:r>
        <w:rPr>
          <w:i/>
        </w:rPr>
        <w:t>Journal of A</w:t>
      </w:r>
      <w:r>
        <w:rPr>
          <w:i/>
        </w:rPr>
        <w:t>gricultural Engineering (India)</w:t>
      </w:r>
      <w:r>
        <w:t>,</w:t>
      </w:r>
      <w:r>
        <w:rPr>
          <w:i/>
        </w:rPr>
        <w:t xml:space="preserve"> 60</w:t>
      </w:r>
      <w:r>
        <w:t xml:space="preserve">(3), 284-296. </w:t>
      </w:r>
    </w:p>
    <w:p>
      <w:pPr>
        <w:pStyle w:val="style4099"/>
        <w:spacing w:before="240" w:after="0"/>
        <w:ind w:left="720" w:hanging="720"/>
        <w:jc w:val="both"/>
        <w:rPr/>
      </w:pPr>
      <w:r>
        <w:t xml:space="preserve">RS, B., MA, O., &amp; TA, A. (2015). Design and performance evaluation of supplemental air supplied charcoal stove. </w:t>
      </w:r>
      <w:r>
        <w:rPr>
          <w:i/>
        </w:rPr>
        <w:t>International Letters of Chemistry, Physics and Astronomy</w:t>
      </w:r>
      <w:r>
        <w:t>,</w:t>
      </w:r>
      <w:r>
        <w:rPr>
          <w:i/>
        </w:rPr>
        <w:t xml:space="preserve"> 54</w:t>
      </w:r>
      <w:r>
        <w:t xml:space="preserve">, 1-10. </w:t>
      </w:r>
    </w:p>
    <w:p>
      <w:pPr>
        <w:pStyle w:val="style4099"/>
        <w:spacing w:before="240" w:after="0"/>
        <w:ind w:left="720" w:hanging="720"/>
        <w:jc w:val="both"/>
        <w:rPr/>
      </w:pPr>
      <w:r>
        <w:t>Situmorang, Y. A., Zhao,</w:t>
      </w:r>
      <w:r>
        <w:t xml:space="preserve"> Z., Yoshida, A., Abudula, A., &amp; Guan, G. (2020). Small-scale biomass gasification systems for power generation (&lt; 200 kW class): A review. </w:t>
      </w:r>
      <w:r>
        <w:rPr>
          <w:i/>
        </w:rPr>
        <w:t>Renewable and Sustainable Energy Reviews</w:t>
      </w:r>
      <w:r>
        <w:t>,</w:t>
      </w:r>
      <w:r>
        <w:rPr>
          <w:i/>
        </w:rPr>
        <w:t xml:space="preserve"> 117</w:t>
      </w:r>
      <w:r>
        <w:t xml:space="preserve">, 109486. </w:t>
      </w:r>
    </w:p>
    <w:p>
      <w:pPr>
        <w:pStyle w:val="style4099"/>
        <w:spacing w:before="240"/>
        <w:ind w:left="720" w:hanging="720"/>
        <w:jc w:val="both"/>
        <w:rPr/>
      </w:pPr>
      <w:r>
        <w:t>Yahya, K., Salem, M., Iqteit, N., &amp; Khan, S. A. (2020). A Th</w:t>
      </w:r>
      <w:r>
        <w:t xml:space="preserve">ermoelectric Energy Harvesting System. In </w:t>
      </w:r>
      <w:r>
        <w:rPr>
          <w:i/>
        </w:rPr>
        <w:t>Renewable Energy-Resources, Challenges and Applications</w:t>
      </w:r>
      <w:r>
        <w:t xml:space="preserve">. IntechOpen. </w:t>
      </w:r>
    </w:p>
    <w:p>
      <w:pPr>
        <w:pStyle w:val="style0"/>
        <w:spacing w:before="240"/>
        <w:jc w:val="both"/>
        <w:rPr/>
      </w:pPr>
      <w:r>
        <w:rPr/>
        <w:fldChar w:fldCharType="end"/>
      </w:r>
      <w:r>
        <w:rPr/>
        <w:fldChar w:fldCharType="begin"/>
      </w:r>
      <w:r>
        <w:instrText xml:space="preserve"> ADDIN </w:instrText>
      </w:r>
      <w:r>
        <w:rPr/>
        <w:fldChar w:fldCharType="end"/>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EndNote Bibliography Title"/>
    <w:basedOn w:val="style0"/>
    <w:next w:val="style4097"/>
    <w:link w:val="style4098"/>
    <w:pPr>
      <w:spacing w:after="0"/>
      <w:jc w:val="center"/>
    </w:pPr>
    <w:rPr>
      <w:rFonts w:cs="Calibri"/>
      <w:noProof/>
    </w:rPr>
  </w:style>
  <w:style w:type="character" w:customStyle="1" w:styleId="style4098">
    <w:name w:val="EndNote Bibliography Title Char"/>
    <w:basedOn w:val="style65"/>
    <w:next w:val="style4098"/>
    <w:link w:val="style4097"/>
    <w:rPr>
      <w:rFonts w:ascii="Calibri" w:cs="Calibri" w:hAnsi="Calibri"/>
      <w:noProof/>
    </w:rPr>
  </w:style>
  <w:style w:type="paragraph" w:customStyle="1" w:styleId="style4099">
    <w:name w:val="EndNote Bibliography"/>
    <w:basedOn w:val="style0"/>
    <w:next w:val="style4099"/>
    <w:link w:val="style4100"/>
    <w:pPr>
      <w:spacing w:lineRule="auto" w:line="240"/>
    </w:pPr>
    <w:rPr>
      <w:rFonts w:cs="Calibri"/>
      <w:noProof/>
    </w:rPr>
  </w:style>
  <w:style w:type="character" w:customStyle="1" w:styleId="style4100">
    <w:name w:val="EndNote Bibliography Char"/>
    <w:basedOn w:val="style65"/>
    <w:next w:val="style4100"/>
    <w:link w:val="style4099"/>
    <w:rPr>
      <w:rFonts w:ascii="Calibri" w:cs="Calibri" w:hAnsi="Calibri"/>
      <w:noProof/>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1839</Words>
  <Pages>6</Pages>
  <Characters>10778</Characters>
  <Application>WPS Office</Application>
  <DocSecurity>0</DocSecurity>
  <Paragraphs>164</Paragraphs>
  <ScaleCrop>false</ScaleCrop>
  <LinksUpToDate>false</LinksUpToDate>
  <CharactersWithSpaces>12515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2026-05-25T16:13:00Z</dcterms:created>
  <dc:creator>Microsoft account</dc:creator>
  <lastModifiedBy>SM-A155F</lastModifiedBy>
  <dcterms:modified xsi:type="dcterms:W3CDTF">2026-05-26T09:22:56Z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d34b238fa9ba5bab1205ed300a0c1eb7b6cb820cc7dbe17aaf20b85ac1de5ee5</vt:lpwstr>
  </property>
  <property fmtid="{D5CDD505-2E9C-101B-9397-08002B2CF9AE}" pid="3" name="_DocHome">
    <vt:i4>-1489646728</vt:i4>
  </property>
  <property fmtid="{D5CDD505-2E9C-101B-9397-08002B2CF9AE}" pid="4" name="ICV">
    <vt:lpwstr>acf006ba06d94032bce3a7e92a3a7210</vt:lpwstr>
  </property>
</Properties>
</file>