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15AD6B" w14:textId="77777777" w:rsidR="003C2300" w:rsidRDefault="003C2300">
      <w:pPr>
        <w:spacing w:after="200"/>
        <w:jc w:val="center"/>
        <w:rPr>
          <w:b/>
          <w:bCs/>
          <w:sz w:val="36"/>
          <w:szCs w:val="36"/>
        </w:rPr>
      </w:pPr>
    </w:p>
    <w:p w14:paraId="7478C308" w14:textId="4B221F40" w:rsidR="00D6011A" w:rsidRDefault="003D7514">
      <w:pPr>
        <w:spacing w:after="200"/>
        <w:jc w:val="center"/>
      </w:pPr>
      <w:r>
        <w:rPr>
          <w:b/>
          <w:bCs/>
          <w:sz w:val="36"/>
          <w:szCs w:val="36"/>
        </w:rPr>
        <w:t>Generating Livelihood Through Amazing Make-Over: A Needs-Based Evaluation of Project GLAM as a Community-Based TVET Intervention for Out-of-School Youth and 4Ps-Monitored Students in Nueva Ecija</w:t>
      </w:r>
    </w:p>
    <w:p w14:paraId="57DEF7FA" w14:textId="77777777" w:rsidR="00D6011A" w:rsidRDefault="003D7514">
      <w:pPr>
        <w:spacing w:after="40"/>
        <w:jc w:val="center"/>
      </w:pPr>
      <w:r>
        <w:rPr>
          <w:b/>
          <w:bCs/>
        </w:rPr>
        <w:t/>
      </w:r>
    </w:p>
    <w:p w14:paraId="1FDC0538" w14:textId="551F838D" w:rsidR="00D6011A" w:rsidRPr="00DA409A" w:rsidRDefault="003D7514">
      <w:pPr>
        <w:spacing w:after="40"/>
        <w:jc w:val="center"/>
        <w:rPr>
          <w:b/>
          <w:bCs/>
        </w:rPr>
      </w:pPr>
      <w:r w:rsidRPr="00DA409A">
        <w:rPr>
          <w:b/>
          <w:bCs/>
        </w:rPr>
        <w:t xml:space="preserve"/>
      </w:r>
      <w:r w:rsidR="00DA409A">
        <w:rPr>
          <w:b/>
          <w:bCs/>
        </w:rPr>
        <w:t/>
      </w:r>
    </w:p>
    <w:p w14:paraId="56C0EF30" w14:textId="77777777" w:rsidR="00D6011A" w:rsidRDefault="003D7514">
      <w:pPr>
        <w:spacing w:after="40"/>
        <w:jc w:val="center"/>
      </w:pPr>
      <w:r>
        <w:t xml:space="preserve"/>
      </w:r>
      <w:proofErr w:type="spellStart"/>
      <w:r>
        <w:t/>
      </w:r>
      <w:proofErr w:type="spellEnd"/>
      <w:r>
        <w:t xml:space="preserve"/>
      </w:r>
    </w:p>
    <w:p w14:paraId="42A4E6F8" w14:textId="4463F67C" w:rsidR="00D6011A" w:rsidRDefault="003D7514">
      <w:pPr>
        <w:spacing w:after="300"/>
        <w:jc w:val="center"/>
      </w:pPr>
      <w:r>
        <w:rPr>
          <w:i/>
          <w:iCs/>
          <w:sz w:val="20"/>
          <w:szCs w:val="20"/>
        </w:rPr>
        <w:t xml:space="preserve"/>
      </w:r>
      <w:r w:rsidR="0006318A">
        <w:rPr>
          <w:i/>
          <w:iCs/>
          <w:sz w:val="20"/>
          <w:szCs w:val="20"/>
        </w:rPr>
        <w:t/>
      </w:r>
      <w:r>
        <w:rPr>
          <w:i/>
          <w:iCs/>
          <w:sz w:val="20"/>
          <w:szCs w:val="20"/>
        </w:rPr>
        <w:t xml:space="preserve"/>
      </w:r>
      <w:proofErr w:type="spellStart"/>
      <w:r>
        <w:rPr>
          <w:i/>
          <w:iCs/>
          <w:sz w:val="20"/>
          <w:szCs w:val="20"/>
        </w:rPr>
        <w:t/>
      </w:r>
      <w:proofErr w:type="spellEnd"/>
      <w:r>
        <w:rPr>
          <w:i/>
          <w:iCs/>
          <w:sz w:val="20"/>
          <w:szCs w:val="20"/>
        </w:rPr>
        <w:t xml:space="preserve"/>
      </w:r>
    </w:p>
    <w:p w14:paraId="4B3D8C76" w14:textId="77777777" w:rsidR="00D6011A" w:rsidRDefault="003D7514">
      <w:pPr>
        <w:spacing w:before="360" w:after="240"/>
      </w:pPr>
      <w:r>
        <w:rPr>
          <w:b/>
          <w:bCs/>
          <w:sz w:val="28"/>
          <w:szCs w:val="28"/>
        </w:rPr>
        <w:t>ABSTRACT</w:t>
      </w:r>
    </w:p>
    <w:p w14:paraId="134278F1" w14:textId="77777777" w:rsidR="00D6011A" w:rsidRDefault="003D7514">
      <w:pPr>
        <w:spacing w:before="240" w:after="240"/>
        <w:jc w:val="both"/>
      </w:pPr>
      <w:r>
        <w:t xml:space="preserve">This study presents a needs-based evaluation of Project GLAM (Generating Livelihood through Amazing </w:t>
      </w:r>
      <w:r>
        <w:t xml:space="preserve">Make-over), a community extension intervention implemented by the College of Education of the Nueva Ecija University of Science and Technology (NEUST) in partnership with the Department of Social Welfare and Development (DSWD), local government units, and </w:t>
      </w:r>
      <w:r>
        <w:t xml:space="preserve">private sector partners. The project was designed to address the documented vulnerability of out-of-school youth (OSY) and students monitored under the </w:t>
      </w:r>
      <w:proofErr w:type="spellStart"/>
      <w:r>
        <w:t>Pantawid</w:t>
      </w:r>
      <w:proofErr w:type="spellEnd"/>
      <w:r>
        <w:t xml:space="preserve"> </w:t>
      </w:r>
      <w:proofErr w:type="spellStart"/>
      <w:r>
        <w:t>Pamilyang</w:t>
      </w:r>
      <w:proofErr w:type="spellEnd"/>
      <w:r>
        <w:t xml:space="preserve"> Pilipino Program (4Ps) by equipping them with marketable competencies in hair styling</w:t>
      </w:r>
      <w:r>
        <w:t>, make-up artistry, personal grooming, and entrepreneurship. The study draws on three primary sources: a DSWD-conducted needs assessment of 4Ps case management data covering nine municipalities in Nueva Ecija, the NEUST Accomplishment and Terminal Report d</w:t>
      </w:r>
      <w:r>
        <w:t>ocumenting the implementation of the first wave of training across three pilot sites (</w:t>
      </w:r>
      <w:proofErr w:type="spellStart"/>
      <w:r>
        <w:t>Guimba</w:t>
      </w:r>
      <w:proofErr w:type="spellEnd"/>
      <w:r>
        <w:t>, Quezon, and Talavera) from March 16 to 27, 2026, and the instructional module developed for the beauty care and make-up artistry curriculum. Findings show that po</w:t>
      </w:r>
      <w:r>
        <w:t>verty-driven child labor (58.9%), financial concern (30.3%), early pregnancy or fatherhood (5.5%), and early marriage (5.3%) were the leading drivers of school dropout among 3,049 identified children, with 1,822 classified as high-risk cases. The project t</w:t>
      </w:r>
      <w:r>
        <w:t>rained 55 participants across 72 hours of instruction, achieving a 100% completion rate across all logical-framework indicators and an overall client-satisfaction rating of 4.84 (Excellent, Very Satisfied). Pre-training competency self-ratings rose from 2.</w:t>
      </w:r>
      <w:r>
        <w:t>46 to 3.44 following the intervention. The study concludes that competency-based, entrepreneurship-integrated beauty and wellness training is a feasible and well-received mechanism for converting short-term conditional cash transfers into sustainable, comm</w:t>
      </w:r>
      <w:r>
        <w:t>unity-based livelihood opportunities. Recommendations include a second wave of training to reach a wider pool of identified high-risk beneficiaries, formal TESDA National Certificate II accreditation, and the establishment of a mobile training unit to serv</w:t>
      </w:r>
      <w:r>
        <w:t>e remote barangays.</w:t>
      </w:r>
    </w:p>
    <w:p w14:paraId="78266281" w14:textId="77777777" w:rsidR="00D6011A" w:rsidRDefault="003D7514">
      <w:pPr>
        <w:spacing w:before="240" w:after="240"/>
        <w:jc w:val="both"/>
      </w:pPr>
      <w:r>
        <w:rPr>
          <w:b/>
          <w:bCs/>
        </w:rPr>
        <w:t xml:space="preserve">Keywords: </w:t>
      </w:r>
      <w:r>
        <w:t>Project GLAM; out-of-school youth; 4Ps; TVET; livelihood training; beauty and wellness industry; community extension; needs assessment</w:t>
      </w:r>
    </w:p>
    <w:p w14:paraId="739DEE77" w14:textId="77777777" w:rsidR="00D6011A" w:rsidRDefault="003D7514">
      <w:pPr>
        <w:spacing w:before="360" w:after="240"/>
      </w:pPr>
      <w:r>
        <w:rPr>
          <w:b/>
          <w:bCs/>
          <w:sz w:val="28"/>
          <w:szCs w:val="28"/>
        </w:rPr>
        <w:t>INTRODUCTION</w:t>
      </w:r>
    </w:p>
    <w:p w14:paraId="0CD231F6" w14:textId="77777777" w:rsidR="00D6011A" w:rsidRDefault="003D7514" w:rsidP="003C2300">
      <w:pPr>
        <w:spacing w:before="240" w:after="240" w:line="276" w:lineRule="auto"/>
        <w:jc w:val="both"/>
      </w:pPr>
      <w:r>
        <w:t xml:space="preserve">Out-of-school youth (OSY) and students monitored under the </w:t>
      </w:r>
      <w:proofErr w:type="spellStart"/>
      <w:r>
        <w:t>Pantawid</w:t>
      </w:r>
      <w:proofErr w:type="spellEnd"/>
      <w:r>
        <w:t xml:space="preserve"> </w:t>
      </w:r>
      <w:proofErr w:type="spellStart"/>
      <w:r>
        <w:t>Pamilyang</w:t>
      </w:r>
      <w:proofErr w:type="spellEnd"/>
      <w:r>
        <w:t xml:space="preserve"> </w:t>
      </w:r>
      <w:r>
        <w:t>Pilipino Program (4Ps) remain among the most vulnerable groups in Philippine society. Poverty, limited access to education, and scarce employment opportunities often translate into social exclusion, early parenthood, and unstable income sources for this po</w:t>
      </w:r>
      <w:r>
        <w:t>pulation (DSWD Field Office III, 2026). National figures illustrate the persistence of the problem: approximately 5.9% of school-age children, or 1.64 million, were out of school in 2017; this declined to 4.1% in 2022 before rising again to 4.9% in 2023, w</w:t>
      </w:r>
      <w:r>
        <w:t>ith renewed increases observed in 2025 among five-year-</w:t>
      </w:r>
      <w:proofErr w:type="spellStart"/>
      <w:r>
        <w:t>olds</w:t>
      </w:r>
      <w:proofErr w:type="spellEnd"/>
      <w:r>
        <w:t xml:space="preserve"> and 16-17-year-olds. The Philippine Statistics Authority further notes that Nueva Ecija contributes significantly to the OSY population of Central Luzon, with dropout rates aligning closely to the</w:t>
      </w:r>
      <w:r>
        <w:t xml:space="preserve"> regional average of four to five percent.</w:t>
      </w:r>
    </w:p>
    <w:p w14:paraId="2B299E10" w14:textId="77777777" w:rsidR="007A52A8" w:rsidRDefault="007A52A8" w:rsidP="003C2300">
      <w:pPr>
        <w:spacing w:before="240" w:after="240" w:line="276" w:lineRule="auto"/>
        <w:jc w:val="both"/>
      </w:pPr>
    </w:p>
    <w:p w14:paraId="6B3D2086" w14:textId="76A1A712" w:rsidR="003C2300" w:rsidRDefault="003D7514" w:rsidP="003C2300">
      <w:pPr>
        <w:spacing w:before="240" w:after="240" w:line="276" w:lineRule="auto"/>
        <w:jc w:val="both"/>
      </w:pPr>
      <w:r>
        <w:t>Employment indicators compound this vulnerability. As of March 2025, the national underemployment rate climbed to 13.4%, and despite a decline in unemployment to 3.9% by May 2025, more than a million additional Fi</w:t>
      </w:r>
      <w:r>
        <w:t xml:space="preserve">lipinos became underemployed, with youth aged 15 to 24 disproportionately represented in part-time, informal, or seasonal work. Local </w:t>
      </w:r>
    </w:p>
    <w:p w14:paraId="76D35F0A" w14:textId="7BBBB5DF" w:rsidR="00D6011A" w:rsidRDefault="003D7514" w:rsidP="003C2300">
      <w:pPr>
        <w:spacing w:before="240" w:after="240" w:line="276" w:lineRule="auto"/>
        <w:jc w:val="both"/>
      </w:pPr>
      <w:r>
        <w:t>monitoring conducted by DSWD 4Ps case workers (Period 5 of 2025) identified 3,049 children not attending school across nin</w:t>
      </w:r>
      <w:r>
        <w:t>e municipalities in Nueva Ecija, of whom 1,822 were classified as high-risk for case management. Child labor accounted for the largest share of dropout cases, followed by financial concern, early pregnancy or fatherhood, and early marriage.</w:t>
      </w:r>
    </w:p>
    <w:p w14:paraId="25F1F713" w14:textId="77777777" w:rsidR="00D6011A" w:rsidRDefault="003D7514" w:rsidP="003C2300">
      <w:pPr>
        <w:spacing w:before="240" w:after="240" w:line="276" w:lineRule="auto"/>
        <w:jc w:val="both"/>
      </w:pPr>
      <w:r>
        <w:t>Project GLAM, a</w:t>
      </w:r>
      <w:r>
        <w:t xml:space="preserve">n acronym for Generating Livelihood through Amazing Make-over, was conceived as a direct response to these findings. Anchored under the </w:t>
      </w:r>
      <w:proofErr w:type="spellStart"/>
      <w:r>
        <w:t>i</w:t>
      </w:r>
      <w:proofErr w:type="spellEnd"/>
      <w:r>
        <w:t>-TEACHED extension banner program of NEUST and implemented in partnership with DSWD Field Office III, the Local Governm</w:t>
      </w:r>
      <w:r>
        <w:t xml:space="preserve">ent Units of </w:t>
      </w:r>
      <w:proofErr w:type="spellStart"/>
      <w:r>
        <w:t>Guimba</w:t>
      </w:r>
      <w:proofErr w:type="spellEnd"/>
      <w:r>
        <w:t>, Quezon, and Talavera, the Department of Education, AVON, and the Sustainable Livelihood Program (SLP), the project sought to equip OSY and 4Ps-monitored students with practical, marketable competencies in the beauty and wellness sector</w:t>
      </w:r>
      <w:r>
        <w:t>. The choice of sector was deliberate: the Philippine beauty and personal care industry was valued at approximately USD 6.8 billion in 2026 and is projected to reach USD 11.88 billion by 2035, representing a compound annual growth rate of 6.4% and offering</w:t>
      </w:r>
      <w:r>
        <w:t xml:space="preserve"> low-capital, accessible entry points for individuals with minimal formal education.</w:t>
      </w:r>
    </w:p>
    <w:p w14:paraId="4EA051DE" w14:textId="77777777" w:rsidR="00D6011A" w:rsidRDefault="003D7514" w:rsidP="003C2300">
      <w:pPr>
        <w:spacing w:before="240" w:after="240" w:line="276" w:lineRule="auto"/>
        <w:jc w:val="both"/>
      </w:pPr>
      <w:r>
        <w:t>This paper has three objectives. First, it synthesizes the needs assessment that justified the design of Project GLAM, drawing on quantitative case management data and sec</w:t>
      </w:r>
      <w:r>
        <w:t>toral market research. Second, it documents the implementation and outcomes of the first wave of training conducted from March 16 to 27, 2026, across three pilot municipalities. Third, it evaluates the extent to which the project's results align with its s</w:t>
      </w:r>
      <w:r>
        <w:t>tated logical framework and identifies implications for scaling and institutionalizing similar TVET-oriented community extension interventions within the Philippine 4Ps ecosystem.</w:t>
      </w:r>
    </w:p>
    <w:p w14:paraId="777193CD" w14:textId="77777777" w:rsidR="00D6011A" w:rsidRDefault="003D7514" w:rsidP="003C2300">
      <w:pPr>
        <w:spacing w:before="360" w:after="240" w:line="276" w:lineRule="auto"/>
      </w:pPr>
      <w:r>
        <w:rPr>
          <w:b/>
          <w:bCs/>
          <w:sz w:val="28"/>
          <w:szCs w:val="28"/>
        </w:rPr>
        <w:t>METHODOLOGY</w:t>
      </w:r>
    </w:p>
    <w:p w14:paraId="5B401DBA" w14:textId="77777777" w:rsidR="00D6011A" w:rsidRDefault="003D7514" w:rsidP="003C2300">
      <w:pPr>
        <w:spacing w:before="240" w:after="180" w:line="276" w:lineRule="auto"/>
      </w:pPr>
      <w:r>
        <w:rPr>
          <w:b/>
          <w:bCs/>
        </w:rPr>
        <w:t>Research Design</w:t>
      </w:r>
    </w:p>
    <w:p w14:paraId="45C144F5" w14:textId="77777777" w:rsidR="00D6011A" w:rsidRDefault="003D7514" w:rsidP="003C2300">
      <w:pPr>
        <w:spacing w:before="240" w:after="240" w:line="276" w:lineRule="auto"/>
        <w:jc w:val="both"/>
      </w:pPr>
      <w:r>
        <w:t>This study employed a descriptive, mixed-methods</w:t>
      </w:r>
      <w:r>
        <w:t xml:space="preserve"> evaluation design combining secondary analysis of DSWD case management and needs assessment data with primary programmatic data drawn from the NEUST Accomplishment and Terminal Report for Project GLAM. The design follows the DSWD 4Ps Case Management Tool </w:t>
      </w:r>
      <w:r>
        <w:t>framework, integrating quantitative frequency analysis of dropout determinants with qualitative interpretation of training outcomes, client satisfaction results, and capability-building evaluation scores.</w:t>
      </w:r>
    </w:p>
    <w:p w14:paraId="227F436C" w14:textId="77777777" w:rsidR="00D6011A" w:rsidRDefault="003D7514" w:rsidP="003C2300">
      <w:pPr>
        <w:spacing w:before="240" w:after="180" w:line="276" w:lineRule="auto"/>
      </w:pPr>
      <w:r>
        <w:rPr>
          <w:b/>
          <w:bCs/>
        </w:rPr>
        <w:t>Data Sources</w:t>
      </w:r>
    </w:p>
    <w:p w14:paraId="074A469A" w14:textId="77777777" w:rsidR="00D6011A" w:rsidRDefault="003D7514" w:rsidP="003C2300">
      <w:pPr>
        <w:pStyle w:val="ListParagraph"/>
        <w:numPr>
          <w:ilvl w:val="0"/>
          <w:numId w:val="2"/>
        </w:numPr>
        <w:spacing w:before="80" w:after="80" w:line="276" w:lineRule="auto"/>
      </w:pPr>
      <w:r>
        <w:t>National and regional statistics on ou</w:t>
      </w:r>
      <w:r>
        <w:t>t-of-school youth, unemployment, and underemployment (2017-2025), sourced from the Philippine Statistics Authority and the Philippine Institute for Development Studies.</w:t>
      </w:r>
    </w:p>
    <w:p w14:paraId="4783368B" w14:textId="77777777" w:rsidR="00D6011A" w:rsidRDefault="003D7514" w:rsidP="003C2300">
      <w:pPr>
        <w:pStyle w:val="ListParagraph"/>
        <w:numPr>
          <w:ilvl w:val="0"/>
          <w:numId w:val="2"/>
        </w:numPr>
        <w:spacing w:before="80" w:after="80" w:line="276" w:lineRule="auto"/>
      </w:pPr>
      <w:r>
        <w:t>Local monitoring data from DSWD 4Ps case workers (POO1 Nueva Ecija, Period 5 of 2025) c</w:t>
      </w:r>
      <w:r>
        <w:t xml:space="preserve">overing nine municipalities, including the three pilot areas of </w:t>
      </w:r>
      <w:proofErr w:type="spellStart"/>
      <w:r>
        <w:t>Guimba</w:t>
      </w:r>
      <w:proofErr w:type="spellEnd"/>
      <w:r>
        <w:t>, Talavera, and Quezon.</w:t>
      </w:r>
    </w:p>
    <w:p w14:paraId="0FD05FF8" w14:textId="0C11C397" w:rsidR="00D6011A" w:rsidRDefault="003D7514" w:rsidP="003C2300">
      <w:pPr>
        <w:pStyle w:val="ListParagraph"/>
        <w:numPr>
          <w:ilvl w:val="0"/>
          <w:numId w:val="2"/>
        </w:numPr>
        <w:spacing w:before="80" w:after="80" w:line="276" w:lineRule="auto"/>
      </w:pPr>
      <w:r>
        <w:t>Sectoral market research on the Philippine beauty and personal care industry.</w:t>
      </w:r>
    </w:p>
    <w:p w14:paraId="208922F1" w14:textId="32824240" w:rsidR="007A52A8" w:rsidRDefault="007A52A8" w:rsidP="007A52A8">
      <w:pPr>
        <w:spacing w:before="80" w:after="80" w:line="276" w:lineRule="auto"/>
      </w:pPr>
    </w:p>
    <w:p w14:paraId="4A344EFE" w14:textId="77777777" w:rsidR="007A52A8" w:rsidRDefault="007A52A8" w:rsidP="007A52A8">
      <w:pPr>
        <w:spacing w:before="80" w:after="80" w:line="276" w:lineRule="auto"/>
      </w:pPr>
    </w:p>
    <w:p w14:paraId="47FE6F08" w14:textId="77777777" w:rsidR="00D6011A" w:rsidRDefault="003D7514" w:rsidP="003C2300">
      <w:pPr>
        <w:pStyle w:val="ListParagraph"/>
        <w:numPr>
          <w:ilvl w:val="0"/>
          <w:numId w:val="2"/>
        </w:numPr>
        <w:spacing w:before="80" w:after="80" w:line="276" w:lineRule="auto"/>
      </w:pPr>
      <w:r>
        <w:lastRenderedPageBreak/>
        <w:t>T</w:t>
      </w:r>
      <w:r>
        <w:t>he NEUST Accomplishment and Terminal Report (NEUST-ESD-F008) for Project GLAM, cove</w:t>
      </w:r>
      <w:r>
        <w:t>ring work plan completion, logical framework indicators, capability-building evaluation, and client satisfaction results for the training conducted from March 16 to 27, 2026.</w:t>
      </w:r>
    </w:p>
    <w:p w14:paraId="7D50FD46" w14:textId="6397860C" w:rsidR="003C2300" w:rsidRDefault="003D7514" w:rsidP="003C2300">
      <w:pPr>
        <w:pStyle w:val="ListParagraph"/>
        <w:numPr>
          <w:ilvl w:val="0"/>
          <w:numId w:val="2"/>
        </w:numPr>
        <w:spacing w:before="80" w:after="80" w:line="276" w:lineRule="auto"/>
      </w:pPr>
      <w:r>
        <w:t>The Beauty Care and Make-up Artistry instructional module developed by the Colleg</w:t>
      </w:r>
      <w:r>
        <w:t>e of Education, used as the curricular foundation for the three-phase training program.</w:t>
      </w:r>
    </w:p>
    <w:p w14:paraId="33DDFE68" w14:textId="77777777" w:rsidR="00D6011A" w:rsidRDefault="003D7514" w:rsidP="003C2300">
      <w:pPr>
        <w:spacing w:before="240" w:after="180" w:line="276" w:lineRule="auto"/>
      </w:pPr>
      <w:r>
        <w:rPr>
          <w:b/>
          <w:bCs/>
        </w:rPr>
        <w:t>P</w:t>
      </w:r>
      <w:r>
        <w:rPr>
          <w:b/>
          <w:bCs/>
        </w:rPr>
        <w:t>articipants and Setting</w:t>
      </w:r>
    </w:p>
    <w:p w14:paraId="6675A595" w14:textId="77777777" w:rsidR="00D6011A" w:rsidRDefault="003D7514" w:rsidP="003C2300">
      <w:pPr>
        <w:spacing w:before="240" w:after="240" w:line="276" w:lineRule="auto"/>
        <w:jc w:val="both"/>
      </w:pPr>
      <w:r>
        <w:t xml:space="preserve">The first wave of Project GLAM trained 55 participants composed of OSY and 4Ps-monitored students across three pilot venues: Bartolome </w:t>
      </w:r>
      <w:proofErr w:type="spellStart"/>
      <w:r>
        <w:t>Sanggalang</w:t>
      </w:r>
      <w:proofErr w:type="spellEnd"/>
      <w:r>
        <w:t xml:space="preserve"> National High School in </w:t>
      </w:r>
      <w:proofErr w:type="spellStart"/>
      <w:r>
        <w:t>Guimba</w:t>
      </w:r>
      <w:proofErr w:type="spellEnd"/>
      <w:r>
        <w:t>, Eduardo L. Joson Memorial High School in Quezon, and Sibul National High Schoo</w:t>
      </w:r>
      <w:r>
        <w:t>l in Talavera, Nueva Ecija. Training was delivered over 72 hours across nine training days between March 16 and 27, 2026, by a team of NEUST faculty experts, resource persons, technical facilitators, and monitoring personnel, in coordination with DSWD SWAD</w:t>
      </w:r>
      <w:r>
        <w:t xml:space="preserve"> Nueva Ecija-POO1 and partner secondary schools.</w:t>
      </w:r>
    </w:p>
    <w:p w14:paraId="4A5E421C" w14:textId="77777777" w:rsidR="00D6011A" w:rsidRDefault="003D7514" w:rsidP="003C2300">
      <w:pPr>
        <w:spacing w:before="240" w:after="180" w:line="276" w:lineRule="auto"/>
      </w:pPr>
      <w:r>
        <w:rPr>
          <w:b/>
          <w:bCs/>
        </w:rPr>
        <w:t>Instrumentation and Analysis</w:t>
      </w:r>
    </w:p>
    <w:p w14:paraId="1D1B051D" w14:textId="77777777" w:rsidR="00D6011A" w:rsidRDefault="003D7514" w:rsidP="003C2300">
      <w:pPr>
        <w:spacing w:before="240" w:after="240" w:line="276" w:lineRule="auto"/>
        <w:jc w:val="both"/>
      </w:pPr>
      <w:r>
        <w:t>Quantitative analysis involved frequency counts and percentage distributions of dropout reasons reported in the DSWD needs assessment, and tabulation of work plan and logical fra</w:t>
      </w:r>
      <w:r>
        <w:t>mework completion rates reported in the terminal report. Capability-building evaluation employed a five-point Likert scale assessing knowledge or skill levels before and after training, together with five evaluation criteria: delivery of objectives and con</w:t>
      </w:r>
      <w:r>
        <w:t>tent, effectiveness of resource persons, effectiveness in meeting personal objectives, timeliness of delivery, and overall quality and relevance of service. Client satisfaction was interpreted using the standard verbal interpretation scale ranging from Poo</w:t>
      </w:r>
      <w:r>
        <w:t>r (1.00-1.79) to Excellent (4.20-5.00), corresponding to client satisfaction levels from Very Dissatisfied to Very Satisfied.</w:t>
      </w:r>
    </w:p>
    <w:p w14:paraId="309FF451" w14:textId="77777777" w:rsidR="00D6011A" w:rsidRDefault="003D7514" w:rsidP="003C2300">
      <w:pPr>
        <w:spacing w:before="360" w:after="240" w:line="276" w:lineRule="auto"/>
      </w:pPr>
      <w:r>
        <w:rPr>
          <w:b/>
          <w:bCs/>
          <w:sz w:val="28"/>
          <w:szCs w:val="28"/>
        </w:rPr>
        <w:t>RESULTS</w:t>
      </w:r>
    </w:p>
    <w:p w14:paraId="036C858C" w14:textId="77777777" w:rsidR="00D6011A" w:rsidRDefault="003D7514" w:rsidP="003C2300">
      <w:pPr>
        <w:spacing w:before="240" w:after="180" w:line="276" w:lineRule="auto"/>
      </w:pPr>
      <w:r>
        <w:rPr>
          <w:b/>
          <w:bCs/>
        </w:rPr>
        <w:t>Profile of Dropout Determinants Among Target Beneficiaries</w:t>
      </w:r>
    </w:p>
    <w:p w14:paraId="754BEF39" w14:textId="77777777" w:rsidR="00D6011A" w:rsidRDefault="003D7514" w:rsidP="003C2300">
      <w:pPr>
        <w:spacing w:before="240" w:after="240" w:line="276" w:lineRule="auto"/>
        <w:jc w:val="both"/>
      </w:pPr>
      <w:r>
        <w:t>Of the 3,049 children identified as not attending school across</w:t>
      </w:r>
      <w:r>
        <w:t xml:space="preserve"> nine municipalities in Nueva Ecija, 1,822 were classified as high-risk for case management. Among the cases with documented reasons for dropout, child labor was the predominant determinant, accounting for 894 cases (58.9%), followed by financial concern w</w:t>
      </w:r>
      <w:r>
        <w:t>ith 460 cases (30.3%), early pregnancy or fatherhood with 84 cases (5.5%), and common-law engagement or early marriage with 80 cases (5.3%), for a combined total of 1,518 categorized cases.</w:t>
      </w:r>
    </w:p>
    <w:p w14:paraId="7D2553B7" w14:textId="77777777" w:rsidR="00D6011A" w:rsidRDefault="003D7514" w:rsidP="003C2300">
      <w:pPr>
        <w:spacing w:before="120" w:after="240" w:line="276" w:lineRule="auto"/>
        <w:jc w:val="center"/>
      </w:pPr>
      <w:r>
        <w:rPr>
          <w:b/>
          <w:bCs/>
          <w:i/>
          <w:iCs/>
          <w:sz w:val="22"/>
          <w:szCs w:val="22"/>
        </w:rPr>
        <w:t>Table 1. Distribution of Reported Dropout Determinants Among 4Ps-M</w:t>
      </w:r>
      <w:r>
        <w:rPr>
          <w:b/>
          <w:bCs/>
          <w:i/>
          <w:iCs/>
          <w:sz w:val="22"/>
          <w:szCs w:val="22"/>
        </w:rPr>
        <w:t>onitored Children, Nueva Ecija (Period 5, 2025)</w:t>
      </w:r>
    </w:p>
    <w:tbl>
      <w:tblPr>
        <w:tblW w:w="10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800"/>
        <w:gridCol w:w="2712"/>
        <w:gridCol w:w="2835"/>
      </w:tblGrid>
      <w:tr w:rsidR="00D6011A" w14:paraId="4A5F08D5" w14:textId="77777777" w:rsidTr="00DA409A">
        <w:tblPrEx>
          <w:tblCellMar>
            <w:top w:w="0" w:type="dxa"/>
            <w:bottom w:w="0" w:type="dxa"/>
          </w:tblCellMar>
        </w:tblPrEx>
        <w:trPr>
          <w:tblHeader/>
        </w:trPr>
        <w:tc>
          <w:tcPr>
            <w:tcW w:w="4800" w:type="dxa"/>
            <w:tcBorders>
              <w:top w:val="single" w:sz="1" w:space="0" w:color="999999"/>
              <w:left w:val="single" w:sz="1" w:space="0" w:color="999999"/>
              <w:bottom w:val="single" w:sz="1" w:space="0" w:color="999999"/>
              <w:right w:val="single" w:sz="1" w:space="0" w:color="999999"/>
            </w:tcBorders>
            <w:shd w:val="clear" w:color="auto" w:fill="D9D9D9"/>
            <w:tcMar>
              <w:top w:w="60" w:type="dxa"/>
              <w:left w:w="100" w:type="dxa"/>
              <w:bottom w:w="60" w:type="dxa"/>
              <w:right w:w="100" w:type="dxa"/>
            </w:tcMar>
          </w:tcPr>
          <w:p w14:paraId="1C0996FB" w14:textId="77777777" w:rsidR="00D6011A" w:rsidRDefault="003D7514" w:rsidP="003C2300">
            <w:pPr>
              <w:spacing w:line="276" w:lineRule="auto"/>
              <w:jc w:val="center"/>
            </w:pPr>
            <w:r>
              <w:rPr>
                <w:b/>
                <w:bCs/>
                <w:sz w:val="20"/>
                <w:szCs w:val="20"/>
              </w:rPr>
              <w:t>Category</w:t>
            </w:r>
          </w:p>
        </w:tc>
        <w:tc>
          <w:tcPr>
            <w:tcW w:w="2712" w:type="dxa"/>
            <w:tcBorders>
              <w:top w:val="single" w:sz="1" w:space="0" w:color="999999"/>
              <w:left w:val="single" w:sz="1" w:space="0" w:color="999999"/>
              <w:bottom w:val="single" w:sz="1" w:space="0" w:color="999999"/>
              <w:right w:val="single" w:sz="1" w:space="0" w:color="999999"/>
            </w:tcBorders>
            <w:shd w:val="clear" w:color="auto" w:fill="D9D9D9"/>
            <w:tcMar>
              <w:top w:w="60" w:type="dxa"/>
              <w:left w:w="100" w:type="dxa"/>
              <w:bottom w:w="60" w:type="dxa"/>
              <w:right w:w="100" w:type="dxa"/>
            </w:tcMar>
          </w:tcPr>
          <w:p w14:paraId="36F1ECA2" w14:textId="77777777" w:rsidR="00D6011A" w:rsidRDefault="003D7514" w:rsidP="003C2300">
            <w:pPr>
              <w:spacing w:line="276" w:lineRule="auto"/>
              <w:jc w:val="center"/>
            </w:pPr>
            <w:r>
              <w:rPr>
                <w:b/>
                <w:bCs/>
                <w:sz w:val="20"/>
                <w:szCs w:val="20"/>
              </w:rPr>
              <w:t>Count</w:t>
            </w:r>
          </w:p>
        </w:tc>
        <w:tc>
          <w:tcPr>
            <w:tcW w:w="2835" w:type="dxa"/>
            <w:tcBorders>
              <w:top w:val="single" w:sz="1" w:space="0" w:color="999999"/>
              <w:left w:val="single" w:sz="1" w:space="0" w:color="999999"/>
              <w:bottom w:val="single" w:sz="1" w:space="0" w:color="999999"/>
              <w:right w:val="single" w:sz="1" w:space="0" w:color="999999"/>
            </w:tcBorders>
            <w:shd w:val="clear" w:color="auto" w:fill="D9D9D9"/>
            <w:tcMar>
              <w:top w:w="60" w:type="dxa"/>
              <w:left w:w="100" w:type="dxa"/>
              <w:bottom w:w="60" w:type="dxa"/>
              <w:right w:w="100" w:type="dxa"/>
            </w:tcMar>
          </w:tcPr>
          <w:p w14:paraId="7A0FC755" w14:textId="77777777" w:rsidR="00D6011A" w:rsidRDefault="003D7514" w:rsidP="003C2300">
            <w:pPr>
              <w:spacing w:line="276" w:lineRule="auto"/>
              <w:jc w:val="center"/>
            </w:pPr>
            <w:r>
              <w:rPr>
                <w:b/>
                <w:bCs/>
                <w:sz w:val="20"/>
                <w:szCs w:val="20"/>
              </w:rPr>
              <w:t>Percentage</w:t>
            </w:r>
          </w:p>
        </w:tc>
      </w:tr>
      <w:tr w:rsidR="00D6011A" w14:paraId="5EDF14BC" w14:textId="77777777" w:rsidTr="00DA409A">
        <w:tblPrEx>
          <w:tblCellMar>
            <w:top w:w="0" w:type="dxa"/>
            <w:bottom w:w="0" w:type="dxa"/>
          </w:tblCellMar>
        </w:tblPrEx>
        <w:tc>
          <w:tcPr>
            <w:tcW w:w="4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AE29E15" w14:textId="77777777" w:rsidR="00D6011A" w:rsidRDefault="003D7514" w:rsidP="003C2300">
            <w:pPr>
              <w:spacing w:line="276" w:lineRule="auto"/>
            </w:pPr>
            <w:r>
              <w:rPr>
                <w:sz w:val="20"/>
                <w:szCs w:val="20"/>
              </w:rPr>
              <w:t>Child Working</w:t>
            </w:r>
          </w:p>
        </w:tc>
        <w:tc>
          <w:tcPr>
            <w:tcW w:w="27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2D76924" w14:textId="77777777" w:rsidR="00D6011A" w:rsidRDefault="003D7514" w:rsidP="003C2300">
            <w:pPr>
              <w:spacing w:line="276" w:lineRule="auto"/>
            </w:pPr>
            <w:r>
              <w:rPr>
                <w:sz w:val="20"/>
                <w:szCs w:val="20"/>
              </w:rPr>
              <w:t>894</w:t>
            </w:r>
          </w:p>
        </w:tc>
        <w:tc>
          <w:tcPr>
            <w:tcW w:w="283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CE957EE" w14:textId="77777777" w:rsidR="00D6011A" w:rsidRDefault="003D7514" w:rsidP="003C2300">
            <w:pPr>
              <w:spacing w:line="276" w:lineRule="auto"/>
            </w:pPr>
            <w:r>
              <w:rPr>
                <w:sz w:val="20"/>
                <w:szCs w:val="20"/>
              </w:rPr>
              <w:t>58.9%</w:t>
            </w:r>
          </w:p>
        </w:tc>
      </w:tr>
      <w:tr w:rsidR="00D6011A" w14:paraId="7B9E3888" w14:textId="77777777" w:rsidTr="00DA409A">
        <w:tblPrEx>
          <w:tblCellMar>
            <w:top w:w="0" w:type="dxa"/>
            <w:bottom w:w="0" w:type="dxa"/>
          </w:tblCellMar>
        </w:tblPrEx>
        <w:tc>
          <w:tcPr>
            <w:tcW w:w="4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F2B50E1" w14:textId="77777777" w:rsidR="00D6011A" w:rsidRDefault="003D7514" w:rsidP="003C2300">
            <w:pPr>
              <w:spacing w:line="276" w:lineRule="auto"/>
            </w:pPr>
            <w:r>
              <w:rPr>
                <w:sz w:val="20"/>
                <w:szCs w:val="20"/>
              </w:rPr>
              <w:t>Financial Concern</w:t>
            </w:r>
          </w:p>
        </w:tc>
        <w:tc>
          <w:tcPr>
            <w:tcW w:w="27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BCAA6C0" w14:textId="77777777" w:rsidR="00D6011A" w:rsidRDefault="003D7514" w:rsidP="003C2300">
            <w:pPr>
              <w:spacing w:line="276" w:lineRule="auto"/>
            </w:pPr>
            <w:r>
              <w:rPr>
                <w:sz w:val="20"/>
                <w:szCs w:val="20"/>
              </w:rPr>
              <w:t>460</w:t>
            </w:r>
          </w:p>
        </w:tc>
        <w:tc>
          <w:tcPr>
            <w:tcW w:w="283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86BD384" w14:textId="77777777" w:rsidR="00D6011A" w:rsidRDefault="003D7514" w:rsidP="003C2300">
            <w:pPr>
              <w:spacing w:line="276" w:lineRule="auto"/>
            </w:pPr>
            <w:r>
              <w:rPr>
                <w:sz w:val="20"/>
                <w:szCs w:val="20"/>
              </w:rPr>
              <w:t>30.3%</w:t>
            </w:r>
          </w:p>
        </w:tc>
      </w:tr>
      <w:tr w:rsidR="00D6011A" w14:paraId="12AA241F" w14:textId="77777777" w:rsidTr="00DA409A">
        <w:tblPrEx>
          <w:tblCellMar>
            <w:top w:w="0" w:type="dxa"/>
            <w:bottom w:w="0" w:type="dxa"/>
          </w:tblCellMar>
        </w:tblPrEx>
        <w:tc>
          <w:tcPr>
            <w:tcW w:w="4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FEBA17A" w14:textId="77777777" w:rsidR="00D6011A" w:rsidRDefault="003D7514" w:rsidP="003C2300">
            <w:pPr>
              <w:spacing w:line="276" w:lineRule="auto"/>
            </w:pPr>
            <w:r>
              <w:rPr>
                <w:sz w:val="20"/>
                <w:szCs w:val="20"/>
              </w:rPr>
              <w:t>Early Pregnancy/Fatherhood</w:t>
            </w:r>
          </w:p>
        </w:tc>
        <w:tc>
          <w:tcPr>
            <w:tcW w:w="27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D9ED111" w14:textId="77777777" w:rsidR="00D6011A" w:rsidRDefault="003D7514" w:rsidP="003C2300">
            <w:pPr>
              <w:spacing w:line="276" w:lineRule="auto"/>
            </w:pPr>
            <w:r>
              <w:rPr>
                <w:sz w:val="20"/>
                <w:szCs w:val="20"/>
              </w:rPr>
              <w:t>84</w:t>
            </w:r>
          </w:p>
        </w:tc>
        <w:tc>
          <w:tcPr>
            <w:tcW w:w="283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0C72383" w14:textId="77777777" w:rsidR="00D6011A" w:rsidRDefault="003D7514" w:rsidP="003C2300">
            <w:pPr>
              <w:spacing w:line="276" w:lineRule="auto"/>
            </w:pPr>
            <w:r>
              <w:rPr>
                <w:sz w:val="20"/>
                <w:szCs w:val="20"/>
              </w:rPr>
              <w:t>5.5%</w:t>
            </w:r>
          </w:p>
        </w:tc>
      </w:tr>
      <w:tr w:rsidR="00D6011A" w14:paraId="3A510D06" w14:textId="77777777" w:rsidTr="00DA409A">
        <w:tblPrEx>
          <w:tblCellMar>
            <w:top w:w="0" w:type="dxa"/>
            <w:bottom w:w="0" w:type="dxa"/>
          </w:tblCellMar>
        </w:tblPrEx>
        <w:tc>
          <w:tcPr>
            <w:tcW w:w="4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4387056" w14:textId="77777777" w:rsidR="00D6011A" w:rsidRDefault="003D7514" w:rsidP="003C2300">
            <w:pPr>
              <w:spacing w:line="276" w:lineRule="auto"/>
            </w:pPr>
            <w:r>
              <w:rPr>
                <w:sz w:val="20"/>
                <w:szCs w:val="20"/>
              </w:rPr>
              <w:t>Common-law Engagement (Early Marriage)</w:t>
            </w:r>
          </w:p>
        </w:tc>
        <w:tc>
          <w:tcPr>
            <w:tcW w:w="27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43A5A20" w14:textId="77777777" w:rsidR="00D6011A" w:rsidRDefault="003D7514" w:rsidP="003C2300">
            <w:pPr>
              <w:spacing w:line="276" w:lineRule="auto"/>
            </w:pPr>
            <w:r>
              <w:rPr>
                <w:sz w:val="20"/>
                <w:szCs w:val="20"/>
              </w:rPr>
              <w:t>80</w:t>
            </w:r>
          </w:p>
        </w:tc>
        <w:tc>
          <w:tcPr>
            <w:tcW w:w="283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DA05105" w14:textId="77777777" w:rsidR="00D6011A" w:rsidRDefault="003D7514" w:rsidP="003C2300">
            <w:pPr>
              <w:spacing w:line="276" w:lineRule="auto"/>
            </w:pPr>
            <w:r>
              <w:rPr>
                <w:sz w:val="20"/>
                <w:szCs w:val="20"/>
              </w:rPr>
              <w:t>5.3%</w:t>
            </w:r>
          </w:p>
        </w:tc>
      </w:tr>
      <w:tr w:rsidR="00D6011A" w14:paraId="728FD837" w14:textId="77777777" w:rsidTr="00DA409A">
        <w:tblPrEx>
          <w:tblCellMar>
            <w:top w:w="0" w:type="dxa"/>
            <w:bottom w:w="0" w:type="dxa"/>
          </w:tblCellMar>
        </w:tblPrEx>
        <w:tc>
          <w:tcPr>
            <w:tcW w:w="4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26D81B6" w14:textId="77777777" w:rsidR="00D6011A" w:rsidRDefault="003D7514" w:rsidP="003C2300">
            <w:pPr>
              <w:spacing w:line="276" w:lineRule="auto"/>
            </w:pPr>
            <w:r>
              <w:rPr>
                <w:sz w:val="20"/>
                <w:szCs w:val="20"/>
              </w:rPr>
              <w:t>Grand Total</w:t>
            </w:r>
          </w:p>
        </w:tc>
        <w:tc>
          <w:tcPr>
            <w:tcW w:w="2712"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E15F77C" w14:textId="77777777" w:rsidR="00D6011A" w:rsidRDefault="003D7514" w:rsidP="003C2300">
            <w:pPr>
              <w:spacing w:line="276" w:lineRule="auto"/>
            </w:pPr>
            <w:r>
              <w:rPr>
                <w:sz w:val="20"/>
                <w:szCs w:val="20"/>
              </w:rPr>
              <w:t>1,518</w:t>
            </w:r>
          </w:p>
        </w:tc>
        <w:tc>
          <w:tcPr>
            <w:tcW w:w="283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BC43E1E" w14:textId="77777777" w:rsidR="00D6011A" w:rsidRDefault="003D7514" w:rsidP="003C2300">
            <w:pPr>
              <w:spacing w:line="276" w:lineRule="auto"/>
            </w:pPr>
            <w:r>
              <w:rPr>
                <w:sz w:val="20"/>
                <w:szCs w:val="20"/>
              </w:rPr>
              <w:t>100%</w:t>
            </w:r>
          </w:p>
        </w:tc>
      </w:tr>
    </w:tbl>
    <w:p w14:paraId="1C107FF0" w14:textId="77777777" w:rsidR="007A52A8" w:rsidRDefault="007A52A8" w:rsidP="003C2300">
      <w:pPr>
        <w:spacing w:before="240" w:after="240" w:line="276" w:lineRule="auto"/>
        <w:jc w:val="both"/>
      </w:pPr>
    </w:p>
    <w:p w14:paraId="5BDEC3FE" w14:textId="4008CF03" w:rsidR="007A52A8" w:rsidRDefault="003D7514" w:rsidP="003C2300">
      <w:pPr>
        <w:spacing w:before="240" w:after="240" w:line="276" w:lineRule="auto"/>
        <w:jc w:val="both"/>
      </w:pPr>
      <w:r>
        <w:lastRenderedPageBreak/>
        <w:t>Cross-referencing these determinants against identified skills gaps revealed that participants lacked technical and vocational training for safer formal employment, financial literacy and entrepreneurship skills, and soft skills such as confidence, discipl</w:t>
      </w:r>
      <w:r>
        <w:t xml:space="preserve">ine, and client communication. The beauty and wellness sector </w:t>
      </w:r>
      <w:proofErr w:type="gramStart"/>
      <w:r>
        <w:t>was</w:t>
      </w:r>
      <w:proofErr w:type="gramEnd"/>
      <w:r>
        <w:t xml:space="preserve"> identified as offering low-capital, home-based entry points directly responsive to each of these deficiencies.</w:t>
      </w:r>
    </w:p>
    <w:p w14:paraId="6650FBDB" w14:textId="77777777" w:rsidR="00D6011A" w:rsidRDefault="003D7514" w:rsidP="003C2300">
      <w:pPr>
        <w:spacing w:before="240" w:after="180" w:line="276" w:lineRule="auto"/>
      </w:pPr>
      <w:r>
        <w:rPr>
          <w:b/>
          <w:bCs/>
        </w:rPr>
        <w:t>Project Implementation Profile</w:t>
      </w:r>
    </w:p>
    <w:p w14:paraId="4BDADB85" w14:textId="77777777" w:rsidR="00D6011A" w:rsidRDefault="003D7514" w:rsidP="003C2300">
      <w:pPr>
        <w:spacing w:before="240" w:after="240" w:line="276" w:lineRule="auto"/>
        <w:jc w:val="both"/>
      </w:pPr>
      <w:r>
        <w:t>Project GLAM was implemented under the leadershi</w:t>
      </w:r>
      <w:r>
        <w:t>p of Dr. Marilyn M. Soliman as Program/Project Leader, in collaboration with the Local Government Units of Nueva Ecija, the Department of Education, AVON, non-government organizations, the DSWD Sustainable Livelihood Program, and the NEUST College of Educa</w:t>
      </w:r>
      <w:r>
        <w:t xml:space="preserve">tion. The training proceeded in three phases across two weeks: Phase 1 (March 16-19) covered makeup artistry, skin care fundamentals, and return demonstration at Bartolome </w:t>
      </w:r>
      <w:proofErr w:type="spellStart"/>
      <w:r>
        <w:t>Sanggalang</w:t>
      </w:r>
      <w:proofErr w:type="spellEnd"/>
      <w:r>
        <w:t xml:space="preserve"> National High School and Eduardo L. Joson Memorial High School; Phase 2 (</w:t>
      </w:r>
      <w:r>
        <w:t>March 23-27) covered hair styling, hair cutting, and live client demonstrations at Sibul National High School; and an integrated Entrepreneurship Development component (March 25-26) covered financial literacy, marketing, customer service, and business plan</w:t>
      </w:r>
      <w:r>
        <w:t xml:space="preserve"> development.</w:t>
      </w:r>
    </w:p>
    <w:p w14:paraId="26246ACA" w14:textId="77777777" w:rsidR="00D6011A" w:rsidRDefault="003D7514" w:rsidP="003C2300">
      <w:pPr>
        <w:spacing w:before="120" w:after="240" w:line="276" w:lineRule="auto"/>
        <w:jc w:val="center"/>
      </w:pPr>
      <w:r>
        <w:rPr>
          <w:b/>
          <w:bCs/>
          <w:i/>
          <w:iCs/>
          <w:sz w:val="22"/>
          <w:szCs w:val="22"/>
        </w:rPr>
        <w:t>Table 2. Work Plan Activities and Completion Status, Project GLAM (March 16-27, 2026)</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236"/>
        <w:gridCol w:w="1985"/>
        <w:gridCol w:w="1984"/>
      </w:tblGrid>
      <w:tr w:rsidR="00D6011A" w14:paraId="64ACF907" w14:textId="77777777" w:rsidTr="00DA409A">
        <w:tblPrEx>
          <w:tblCellMar>
            <w:top w:w="0" w:type="dxa"/>
            <w:bottom w:w="0" w:type="dxa"/>
          </w:tblCellMar>
        </w:tblPrEx>
        <w:trPr>
          <w:tblHeader/>
        </w:trPr>
        <w:tc>
          <w:tcPr>
            <w:tcW w:w="6236" w:type="dxa"/>
            <w:tcBorders>
              <w:top w:val="single" w:sz="1" w:space="0" w:color="999999"/>
              <w:left w:val="single" w:sz="1" w:space="0" w:color="999999"/>
              <w:bottom w:val="single" w:sz="1" w:space="0" w:color="999999"/>
              <w:right w:val="single" w:sz="1" w:space="0" w:color="999999"/>
            </w:tcBorders>
            <w:shd w:val="clear" w:color="auto" w:fill="D9D9D9"/>
            <w:tcMar>
              <w:top w:w="60" w:type="dxa"/>
              <w:left w:w="100" w:type="dxa"/>
              <w:bottom w:w="60" w:type="dxa"/>
              <w:right w:w="100" w:type="dxa"/>
            </w:tcMar>
          </w:tcPr>
          <w:p w14:paraId="5E218951" w14:textId="77777777" w:rsidR="00D6011A" w:rsidRDefault="003D7514" w:rsidP="003C2300">
            <w:pPr>
              <w:spacing w:line="276" w:lineRule="auto"/>
              <w:jc w:val="center"/>
            </w:pPr>
            <w:r>
              <w:rPr>
                <w:b/>
                <w:bCs/>
                <w:sz w:val="20"/>
                <w:szCs w:val="20"/>
              </w:rPr>
              <w:t>Activity</w:t>
            </w:r>
          </w:p>
        </w:tc>
        <w:tc>
          <w:tcPr>
            <w:tcW w:w="1985" w:type="dxa"/>
            <w:tcBorders>
              <w:top w:val="single" w:sz="1" w:space="0" w:color="999999"/>
              <w:left w:val="single" w:sz="1" w:space="0" w:color="999999"/>
              <w:bottom w:val="single" w:sz="1" w:space="0" w:color="999999"/>
              <w:right w:val="single" w:sz="1" w:space="0" w:color="999999"/>
            </w:tcBorders>
            <w:shd w:val="clear" w:color="auto" w:fill="D9D9D9"/>
            <w:tcMar>
              <w:top w:w="60" w:type="dxa"/>
              <w:left w:w="100" w:type="dxa"/>
              <w:bottom w:w="60" w:type="dxa"/>
              <w:right w:w="100" w:type="dxa"/>
            </w:tcMar>
          </w:tcPr>
          <w:p w14:paraId="479DE2A2" w14:textId="77777777" w:rsidR="00D6011A" w:rsidRDefault="003D7514" w:rsidP="003C2300">
            <w:pPr>
              <w:spacing w:line="276" w:lineRule="auto"/>
              <w:jc w:val="center"/>
            </w:pPr>
            <w:r>
              <w:rPr>
                <w:b/>
                <w:bCs/>
                <w:sz w:val="20"/>
                <w:szCs w:val="20"/>
              </w:rPr>
              <w:t>Completion (%)</w:t>
            </w:r>
          </w:p>
        </w:tc>
        <w:tc>
          <w:tcPr>
            <w:tcW w:w="1984" w:type="dxa"/>
            <w:tcBorders>
              <w:top w:val="single" w:sz="1" w:space="0" w:color="999999"/>
              <w:left w:val="single" w:sz="1" w:space="0" w:color="999999"/>
              <w:bottom w:val="single" w:sz="1" w:space="0" w:color="999999"/>
              <w:right w:val="single" w:sz="1" w:space="0" w:color="999999"/>
            </w:tcBorders>
            <w:shd w:val="clear" w:color="auto" w:fill="D9D9D9"/>
            <w:tcMar>
              <w:top w:w="60" w:type="dxa"/>
              <w:left w:w="100" w:type="dxa"/>
              <w:bottom w:w="60" w:type="dxa"/>
              <w:right w:w="100" w:type="dxa"/>
            </w:tcMar>
          </w:tcPr>
          <w:p w14:paraId="0F0C4482" w14:textId="77777777" w:rsidR="00D6011A" w:rsidRDefault="003D7514" w:rsidP="003C2300">
            <w:pPr>
              <w:spacing w:line="276" w:lineRule="auto"/>
              <w:jc w:val="center"/>
            </w:pPr>
            <w:r>
              <w:rPr>
                <w:b/>
                <w:bCs/>
                <w:sz w:val="20"/>
                <w:szCs w:val="20"/>
              </w:rPr>
              <w:t>Status</w:t>
            </w:r>
          </w:p>
        </w:tc>
      </w:tr>
      <w:tr w:rsidR="00D6011A" w14:paraId="286A839D" w14:textId="77777777" w:rsidTr="00DA409A">
        <w:tblPrEx>
          <w:tblCellMar>
            <w:top w:w="0" w:type="dxa"/>
            <w:bottom w:w="0" w:type="dxa"/>
          </w:tblCellMar>
        </w:tblPrEx>
        <w:tc>
          <w:tcPr>
            <w:tcW w:w="623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ADA7E86" w14:textId="77777777" w:rsidR="00D6011A" w:rsidRDefault="003D7514" w:rsidP="003C2300">
            <w:pPr>
              <w:spacing w:line="276" w:lineRule="auto"/>
            </w:pPr>
            <w:r>
              <w:rPr>
                <w:sz w:val="20"/>
                <w:szCs w:val="20"/>
              </w:rPr>
              <w:t>Introduction to the beauty industry: make-up basics and demonstration</w:t>
            </w:r>
          </w:p>
        </w:tc>
        <w:tc>
          <w:tcPr>
            <w:tcW w:w="19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B34B3A0" w14:textId="77777777" w:rsidR="00D6011A" w:rsidRDefault="003D7514" w:rsidP="003C2300">
            <w:pPr>
              <w:spacing w:line="276" w:lineRule="auto"/>
              <w:jc w:val="center"/>
            </w:pPr>
            <w:r>
              <w:rPr>
                <w:sz w:val="20"/>
                <w:szCs w:val="20"/>
              </w:rPr>
              <w:t>100%</w:t>
            </w:r>
          </w:p>
        </w:tc>
        <w:tc>
          <w:tcPr>
            <w:tcW w:w="198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FDBA589" w14:textId="77777777" w:rsidR="00D6011A" w:rsidRDefault="003D7514" w:rsidP="003C2300">
            <w:pPr>
              <w:spacing w:line="276" w:lineRule="auto"/>
              <w:jc w:val="center"/>
            </w:pPr>
            <w:r>
              <w:rPr>
                <w:sz w:val="20"/>
                <w:szCs w:val="20"/>
              </w:rPr>
              <w:t>Completed</w:t>
            </w:r>
          </w:p>
        </w:tc>
      </w:tr>
      <w:tr w:rsidR="00D6011A" w14:paraId="1A1107A9" w14:textId="77777777" w:rsidTr="00DA409A">
        <w:tblPrEx>
          <w:tblCellMar>
            <w:top w:w="0" w:type="dxa"/>
            <w:bottom w:w="0" w:type="dxa"/>
          </w:tblCellMar>
        </w:tblPrEx>
        <w:tc>
          <w:tcPr>
            <w:tcW w:w="623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947E7D8" w14:textId="77777777" w:rsidR="00D6011A" w:rsidRDefault="003D7514" w:rsidP="003C2300">
            <w:pPr>
              <w:spacing w:line="276" w:lineRule="auto"/>
            </w:pPr>
            <w:r>
              <w:rPr>
                <w:sz w:val="20"/>
                <w:szCs w:val="20"/>
              </w:rPr>
              <w:t>Return demonstration on make-up; skin care fundamentals</w:t>
            </w:r>
          </w:p>
        </w:tc>
        <w:tc>
          <w:tcPr>
            <w:tcW w:w="19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695F9B8" w14:textId="77777777" w:rsidR="00D6011A" w:rsidRDefault="003D7514" w:rsidP="003C2300">
            <w:pPr>
              <w:spacing w:line="276" w:lineRule="auto"/>
              <w:jc w:val="center"/>
            </w:pPr>
            <w:r>
              <w:rPr>
                <w:sz w:val="20"/>
                <w:szCs w:val="20"/>
              </w:rPr>
              <w:t>100%</w:t>
            </w:r>
          </w:p>
        </w:tc>
        <w:tc>
          <w:tcPr>
            <w:tcW w:w="198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29A0725" w14:textId="77777777" w:rsidR="00D6011A" w:rsidRDefault="003D7514" w:rsidP="003C2300">
            <w:pPr>
              <w:spacing w:line="276" w:lineRule="auto"/>
              <w:jc w:val="center"/>
            </w:pPr>
            <w:r>
              <w:rPr>
                <w:sz w:val="20"/>
                <w:szCs w:val="20"/>
              </w:rPr>
              <w:t>Completed</w:t>
            </w:r>
          </w:p>
        </w:tc>
      </w:tr>
      <w:tr w:rsidR="00D6011A" w14:paraId="3D283CCF" w14:textId="77777777" w:rsidTr="00DA409A">
        <w:tblPrEx>
          <w:tblCellMar>
            <w:top w:w="0" w:type="dxa"/>
            <w:bottom w:w="0" w:type="dxa"/>
          </w:tblCellMar>
        </w:tblPrEx>
        <w:tc>
          <w:tcPr>
            <w:tcW w:w="623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A5FA38E" w14:textId="77777777" w:rsidR="00D6011A" w:rsidRDefault="003D7514" w:rsidP="003C2300">
            <w:pPr>
              <w:spacing w:line="276" w:lineRule="auto"/>
            </w:pPr>
            <w:r>
              <w:rPr>
                <w:sz w:val="20"/>
                <w:szCs w:val="20"/>
              </w:rPr>
              <w:t>Introduction to hair styling; demonstration on styling techniques</w:t>
            </w:r>
          </w:p>
        </w:tc>
        <w:tc>
          <w:tcPr>
            <w:tcW w:w="19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2124B29" w14:textId="77777777" w:rsidR="00D6011A" w:rsidRDefault="003D7514" w:rsidP="003C2300">
            <w:pPr>
              <w:spacing w:line="276" w:lineRule="auto"/>
              <w:jc w:val="center"/>
            </w:pPr>
            <w:r>
              <w:rPr>
                <w:sz w:val="20"/>
                <w:szCs w:val="20"/>
              </w:rPr>
              <w:t>100%</w:t>
            </w:r>
          </w:p>
        </w:tc>
        <w:tc>
          <w:tcPr>
            <w:tcW w:w="198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2DA5628" w14:textId="77777777" w:rsidR="00D6011A" w:rsidRDefault="003D7514" w:rsidP="003C2300">
            <w:pPr>
              <w:spacing w:line="276" w:lineRule="auto"/>
              <w:jc w:val="center"/>
            </w:pPr>
            <w:r>
              <w:rPr>
                <w:sz w:val="20"/>
                <w:szCs w:val="20"/>
              </w:rPr>
              <w:t>Completed</w:t>
            </w:r>
          </w:p>
        </w:tc>
      </w:tr>
      <w:tr w:rsidR="00D6011A" w14:paraId="5ABE5FA0" w14:textId="77777777" w:rsidTr="00DA409A">
        <w:tblPrEx>
          <w:tblCellMar>
            <w:top w:w="0" w:type="dxa"/>
            <w:bottom w:w="0" w:type="dxa"/>
          </w:tblCellMar>
        </w:tblPrEx>
        <w:tc>
          <w:tcPr>
            <w:tcW w:w="623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BB1A9D7" w14:textId="77777777" w:rsidR="00D6011A" w:rsidRDefault="003D7514" w:rsidP="003C2300">
            <w:pPr>
              <w:spacing w:line="276" w:lineRule="auto"/>
            </w:pPr>
            <w:r>
              <w:rPr>
                <w:sz w:val="20"/>
                <w:szCs w:val="20"/>
              </w:rPr>
              <w:t>Return demonstration on hair styling; assessment</w:t>
            </w:r>
          </w:p>
        </w:tc>
        <w:tc>
          <w:tcPr>
            <w:tcW w:w="19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9CD725F" w14:textId="77777777" w:rsidR="00D6011A" w:rsidRDefault="003D7514" w:rsidP="003C2300">
            <w:pPr>
              <w:spacing w:line="276" w:lineRule="auto"/>
              <w:jc w:val="center"/>
            </w:pPr>
            <w:r>
              <w:rPr>
                <w:sz w:val="20"/>
                <w:szCs w:val="20"/>
              </w:rPr>
              <w:t>100%</w:t>
            </w:r>
          </w:p>
        </w:tc>
        <w:tc>
          <w:tcPr>
            <w:tcW w:w="198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9A99B79" w14:textId="77777777" w:rsidR="00D6011A" w:rsidRDefault="003D7514" w:rsidP="003C2300">
            <w:pPr>
              <w:spacing w:line="276" w:lineRule="auto"/>
              <w:jc w:val="center"/>
            </w:pPr>
            <w:r>
              <w:rPr>
                <w:sz w:val="20"/>
                <w:szCs w:val="20"/>
              </w:rPr>
              <w:t>Completed</w:t>
            </w:r>
          </w:p>
        </w:tc>
      </w:tr>
      <w:tr w:rsidR="00D6011A" w14:paraId="57F153D3" w14:textId="77777777" w:rsidTr="00DA409A">
        <w:tblPrEx>
          <w:tblCellMar>
            <w:top w:w="0" w:type="dxa"/>
            <w:bottom w:w="0" w:type="dxa"/>
          </w:tblCellMar>
        </w:tblPrEx>
        <w:tc>
          <w:tcPr>
            <w:tcW w:w="623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46761D4" w14:textId="77777777" w:rsidR="00D6011A" w:rsidRDefault="003D7514" w:rsidP="003C2300">
            <w:pPr>
              <w:spacing w:line="276" w:lineRule="auto"/>
            </w:pPr>
            <w:r>
              <w:rPr>
                <w:sz w:val="20"/>
                <w:szCs w:val="20"/>
              </w:rPr>
              <w:t>Live client demo - hair cutting and hairdressing on actual clients</w:t>
            </w:r>
          </w:p>
        </w:tc>
        <w:tc>
          <w:tcPr>
            <w:tcW w:w="19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D20E0A7" w14:textId="77777777" w:rsidR="00D6011A" w:rsidRDefault="003D7514" w:rsidP="003C2300">
            <w:pPr>
              <w:spacing w:line="276" w:lineRule="auto"/>
              <w:jc w:val="center"/>
            </w:pPr>
            <w:r>
              <w:rPr>
                <w:sz w:val="20"/>
                <w:szCs w:val="20"/>
              </w:rPr>
              <w:t>100%</w:t>
            </w:r>
          </w:p>
        </w:tc>
        <w:tc>
          <w:tcPr>
            <w:tcW w:w="198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15729F5" w14:textId="77777777" w:rsidR="00D6011A" w:rsidRDefault="003D7514" w:rsidP="003C2300">
            <w:pPr>
              <w:spacing w:line="276" w:lineRule="auto"/>
              <w:jc w:val="center"/>
            </w:pPr>
            <w:r>
              <w:rPr>
                <w:sz w:val="20"/>
                <w:szCs w:val="20"/>
              </w:rPr>
              <w:t>Completed</w:t>
            </w:r>
          </w:p>
        </w:tc>
      </w:tr>
      <w:tr w:rsidR="00D6011A" w14:paraId="38A17A85" w14:textId="77777777" w:rsidTr="00DA409A">
        <w:tblPrEx>
          <w:tblCellMar>
            <w:top w:w="0" w:type="dxa"/>
            <w:bottom w:w="0" w:type="dxa"/>
          </w:tblCellMar>
        </w:tblPrEx>
        <w:tc>
          <w:tcPr>
            <w:tcW w:w="623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029ABDA" w14:textId="77777777" w:rsidR="00D6011A" w:rsidRDefault="003D7514" w:rsidP="003C2300">
            <w:pPr>
              <w:spacing w:line="276" w:lineRule="auto"/>
            </w:pPr>
            <w:r>
              <w:rPr>
                <w:sz w:val="20"/>
                <w:szCs w:val="20"/>
              </w:rPr>
              <w:t>Workshop on financial literacy, marketing, and customer service</w:t>
            </w:r>
          </w:p>
        </w:tc>
        <w:tc>
          <w:tcPr>
            <w:tcW w:w="19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9B2C11B" w14:textId="77777777" w:rsidR="00D6011A" w:rsidRDefault="003D7514" w:rsidP="003C2300">
            <w:pPr>
              <w:spacing w:line="276" w:lineRule="auto"/>
              <w:jc w:val="center"/>
            </w:pPr>
            <w:r>
              <w:rPr>
                <w:sz w:val="20"/>
                <w:szCs w:val="20"/>
              </w:rPr>
              <w:t>100%</w:t>
            </w:r>
          </w:p>
        </w:tc>
        <w:tc>
          <w:tcPr>
            <w:tcW w:w="198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9A70CC4" w14:textId="77777777" w:rsidR="00D6011A" w:rsidRDefault="003D7514" w:rsidP="003C2300">
            <w:pPr>
              <w:spacing w:line="276" w:lineRule="auto"/>
              <w:jc w:val="center"/>
            </w:pPr>
            <w:r>
              <w:rPr>
                <w:sz w:val="20"/>
                <w:szCs w:val="20"/>
              </w:rPr>
              <w:t>Completed</w:t>
            </w:r>
          </w:p>
        </w:tc>
      </w:tr>
      <w:tr w:rsidR="00D6011A" w14:paraId="63AC990D" w14:textId="77777777" w:rsidTr="00DA409A">
        <w:tblPrEx>
          <w:tblCellMar>
            <w:top w:w="0" w:type="dxa"/>
            <w:bottom w:w="0" w:type="dxa"/>
          </w:tblCellMar>
        </w:tblPrEx>
        <w:tc>
          <w:tcPr>
            <w:tcW w:w="623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5E60674" w14:textId="77777777" w:rsidR="00D6011A" w:rsidRDefault="003D7514" w:rsidP="003C2300">
            <w:pPr>
              <w:spacing w:line="276" w:lineRule="auto"/>
            </w:pPr>
            <w:r>
              <w:rPr>
                <w:sz w:val="20"/>
                <w:szCs w:val="20"/>
              </w:rPr>
              <w:t>Business plan development workshop; mini-enterprise simulation</w:t>
            </w:r>
          </w:p>
        </w:tc>
        <w:tc>
          <w:tcPr>
            <w:tcW w:w="19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4924438" w14:textId="77777777" w:rsidR="00D6011A" w:rsidRDefault="003D7514" w:rsidP="003C2300">
            <w:pPr>
              <w:spacing w:line="276" w:lineRule="auto"/>
              <w:jc w:val="center"/>
            </w:pPr>
            <w:r>
              <w:rPr>
                <w:sz w:val="20"/>
                <w:szCs w:val="20"/>
              </w:rPr>
              <w:t>100%</w:t>
            </w:r>
          </w:p>
        </w:tc>
        <w:tc>
          <w:tcPr>
            <w:tcW w:w="198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A4FD508" w14:textId="77777777" w:rsidR="00D6011A" w:rsidRDefault="003D7514" w:rsidP="003C2300">
            <w:pPr>
              <w:spacing w:line="276" w:lineRule="auto"/>
              <w:jc w:val="center"/>
            </w:pPr>
            <w:r>
              <w:rPr>
                <w:sz w:val="20"/>
                <w:szCs w:val="20"/>
              </w:rPr>
              <w:t>Completed</w:t>
            </w:r>
          </w:p>
        </w:tc>
      </w:tr>
      <w:tr w:rsidR="00D6011A" w14:paraId="5A145430" w14:textId="77777777" w:rsidTr="00DA409A">
        <w:tblPrEx>
          <w:tblCellMar>
            <w:top w:w="0" w:type="dxa"/>
            <w:bottom w:w="0" w:type="dxa"/>
          </w:tblCellMar>
        </w:tblPrEx>
        <w:tc>
          <w:tcPr>
            <w:tcW w:w="623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F787F61" w14:textId="77777777" w:rsidR="00D6011A" w:rsidRDefault="003D7514" w:rsidP="003C2300">
            <w:pPr>
              <w:spacing w:line="276" w:lineRule="auto"/>
            </w:pPr>
            <w:r>
              <w:rPr>
                <w:sz w:val="20"/>
                <w:szCs w:val="20"/>
              </w:rPr>
              <w:t>Closing ceremony, SLP referrals, employment linkage, post-training monitoring setup</w:t>
            </w:r>
          </w:p>
        </w:tc>
        <w:tc>
          <w:tcPr>
            <w:tcW w:w="1985"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CBBAF82" w14:textId="77777777" w:rsidR="00D6011A" w:rsidRDefault="003D7514" w:rsidP="003C2300">
            <w:pPr>
              <w:spacing w:line="276" w:lineRule="auto"/>
              <w:jc w:val="center"/>
            </w:pPr>
            <w:r>
              <w:rPr>
                <w:sz w:val="20"/>
                <w:szCs w:val="20"/>
              </w:rPr>
              <w:t>100%</w:t>
            </w:r>
          </w:p>
        </w:tc>
        <w:tc>
          <w:tcPr>
            <w:tcW w:w="1984"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749176C" w14:textId="77777777" w:rsidR="00D6011A" w:rsidRDefault="003D7514" w:rsidP="003C2300">
            <w:pPr>
              <w:spacing w:line="276" w:lineRule="auto"/>
              <w:jc w:val="center"/>
            </w:pPr>
            <w:r>
              <w:rPr>
                <w:sz w:val="20"/>
                <w:szCs w:val="20"/>
              </w:rPr>
              <w:t>Completed</w:t>
            </w:r>
          </w:p>
        </w:tc>
      </w:tr>
    </w:tbl>
    <w:p w14:paraId="58EE99FD" w14:textId="5100C50E" w:rsidR="00D6011A" w:rsidRDefault="003D7514" w:rsidP="003C2300">
      <w:pPr>
        <w:spacing w:before="240" w:after="240" w:line="276" w:lineRule="auto"/>
        <w:jc w:val="both"/>
      </w:pPr>
      <w:r>
        <w:t>All eight activities under the work plan were reported as completed, with eac</w:t>
      </w:r>
      <w:r>
        <w:t>h logical-framework indicator likewise reaching 100% completion. These indicators included the targets that at least 80% of participants would acquire employable beauty and wellness skills, at least 60% of graduates would engage in income-generating activi</w:t>
      </w:r>
      <w:r>
        <w:t>ties within six months, 85% of participants would pass competency-based assessments, 100% of planned training sessions would be conducted, 80% of participants would report satisfaction with training quality, 80% would complete and present a viable business</w:t>
      </w:r>
      <w:r>
        <w:t xml:space="preserve"> plan, and at least 50% of graduates would be referred to the Sustainable Livelihood Program for start-up capital. Nine training days were conducted across the three pilot venues, training 55 to 60 participants, with Certificates of Completion issued to at</w:t>
      </w:r>
      <w:r>
        <w:t xml:space="preserve"> least 80% of those enrolled.</w:t>
      </w:r>
    </w:p>
    <w:p w14:paraId="549675F8" w14:textId="77777777" w:rsidR="00D6011A" w:rsidRDefault="003D7514" w:rsidP="003C2300">
      <w:pPr>
        <w:spacing w:before="240" w:after="180" w:line="276" w:lineRule="auto"/>
      </w:pPr>
      <w:r>
        <w:rPr>
          <w:b/>
          <w:bCs/>
        </w:rPr>
        <w:t>Capability-Building and Client Satisfaction Outcomes</w:t>
      </w:r>
    </w:p>
    <w:p w14:paraId="2B389CFD" w14:textId="77777777" w:rsidR="00D6011A" w:rsidRDefault="003D7514" w:rsidP="003C2300">
      <w:pPr>
        <w:spacing w:before="240" w:after="240" w:line="276" w:lineRule="auto"/>
        <w:jc w:val="both"/>
      </w:pPr>
      <w:r>
        <w:t>Self-reported knowledge or skill levels on the trained topics rose from a mean rating of 2.46 before the training to 3.44 after its completion, on the scale used by the eval</w:t>
      </w:r>
      <w:r>
        <w:t>uation instrument. Evaluation of the training process itself yielded consistently high marks: delivery of objectives and learning content (4.75), effectiveness of resource persons and trainers (4.85), effectiveness of the training in meeting personal objec</w:t>
      </w:r>
      <w:r>
        <w:t xml:space="preserve">tives (4.83), timeliness of delivery (4.85), and overall quality and relevance of the service provided (4.92). The composite overall satisfaction rating was 4.84, interpreted as Excellent and equivalent to a Very Satisfied client rating, based on a survey </w:t>
      </w:r>
      <w:r>
        <w:t>of all 55 participants.</w:t>
      </w:r>
    </w:p>
    <w:p w14:paraId="2AA0BAFE" w14:textId="77777777" w:rsidR="007A52A8" w:rsidRDefault="007A52A8" w:rsidP="003C2300">
      <w:pPr>
        <w:spacing w:before="120" w:after="240" w:line="276" w:lineRule="auto"/>
        <w:jc w:val="center"/>
        <w:rPr>
          <w:b/>
          <w:bCs/>
          <w:i/>
          <w:iCs/>
          <w:sz w:val="22"/>
          <w:szCs w:val="22"/>
        </w:rPr>
      </w:pPr>
    </w:p>
    <w:p w14:paraId="6EB9E547" w14:textId="77777777" w:rsidR="007A52A8" w:rsidRDefault="007A52A8" w:rsidP="003C2300">
      <w:pPr>
        <w:spacing w:before="120" w:after="240" w:line="276" w:lineRule="auto"/>
        <w:jc w:val="center"/>
        <w:rPr>
          <w:b/>
          <w:bCs/>
          <w:i/>
          <w:iCs/>
          <w:sz w:val="22"/>
          <w:szCs w:val="22"/>
        </w:rPr>
      </w:pPr>
    </w:p>
    <w:p w14:paraId="35EB4CFC" w14:textId="733260D6" w:rsidR="00D6011A" w:rsidRDefault="003D7514" w:rsidP="003C2300">
      <w:pPr>
        <w:spacing w:before="120" w:after="240" w:line="276" w:lineRule="auto"/>
        <w:jc w:val="center"/>
      </w:pPr>
      <w:r>
        <w:rPr>
          <w:b/>
          <w:bCs/>
          <w:i/>
          <w:iCs/>
          <w:sz w:val="22"/>
          <w:szCs w:val="22"/>
        </w:rPr>
        <w:t>Table 3. Capability-Building Evaluation Results, Project GLAM</w:t>
      </w:r>
    </w:p>
    <w:tbl>
      <w:tblPr>
        <w:tblW w:w="11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00"/>
        <w:gridCol w:w="4698"/>
      </w:tblGrid>
      <w:tr w:rsidR="00D6011A" w14:paraId="74030C43" w14:textId="77777777" w:rsidTr="00DA409A">
        <w:tblPrEx>
          <w:tblCellMar>
            <w:top w:w="0" w:type="dxa"/>
            <w:bottom w:w="0" w:type="dxa"/>
          </w:tblCellMar>
        </w:tblPrEx>
        <w:trPr>
          <w:tblHeader/>
        </w:trPr>
        <w:tc>
          <w:tcPr>
            <w:tcW w:w="6500" w:type="dxa"/>
            <w:tcBorders>
              <w:top w:val="single" w:sz="1" w:space="0" w:color="999999"/>
              <w:left w:val="single" w:sz="1" w:space="0" w:color="999999"/>
              <w:bottom w:val="single" w:sz="1" w:space="0" w:color="999999"/>
              <w:right w:val="single" w:sz="1" w:space="0" w:color="999999"/>
            </w:tcBorders>
            <w:shd w:val="clear" w:color="auto" w:fill="D9D9D9"/>
            <w:tcMar>
              <w:top w:w="60" w:type="dxa"/>
              <w:left w:w="100" w:type="dxa"/>
              <w:bottom w:w="60" w:type="dxa"/>
              <w:right w:w="100" w:type="dxa"/>
            </w:tcMar>
          </w:tcPr>
          <w:p w14:paraId="1EF5266E" w14:textId="77777777" w:rsidR="00D6011A" w:rsidRDefault="003D7514" w:rsidP="003C2300">
            <w:pPr>
              <w:spacing w:line="276" w:lineRule="auto"/>
              <w:jc w:val="center"/>
            </w:pPr>
            <w:r>
              <w:rPr>
                <w:b/>
                <w:bCs/>
                <w:sz w:val="20"/>
                <w:szCs w:val="20"/>
              </w:rPr>
              <w:t>Indicator</w:t>
            </w:r>
          </w:p>
        </w:tc>
        <w:tc>
          <w:tcPr>
            <w:tcW w:w="4698" w:type="dxa"/>
            <w:tcBorders>
              <w:top w:val="single" w:sz="1" w:space="0" w:color="999999"/>
              <w:left w:val="single" w:sz="1" w:space="0" w:color="999999"/>
              <w:bottom w:val="single" w:sz="1" w:space="0" w:color="999999"/>
              <w:right w:val="single" w:sz="1" w:space="0" w:color="999999"/>
            </w:tcBorders>
            <w:shd w:val="clear" w:color="auto" w:fill="D9D9D9"/>
            <w:tcMar>
              <w:top w:w="60" w:type="dxa"/>
              <w:left w:w="100" w:type="dxa"/>
              <w:bottom w:w="60" w:type="dxa"/>
              <w:right w:w="100" w:type="dxa"/>
            </w:tcMar>
          </w:tcPr>
          <w:p w14:paraId="3DD01D5B" w14:textId="77777777" w:rsidR="00D6011A" w:rsidRDefault="003D7514" w:rsidP="003C2300">
            <w:pPr>
              <w:spacing w:line="276" w:lineRule="auto"/>
              <w:jc w:val="center"/>
            </w:pPr>
            <w:r>
              <w:rPr>
                <w:b/>
                <w:bCs/>
                <w:sz w:val="20"/>
                <w:szCs w:val="20"/>
              </w:rPr>
              <w:t>Rating</w:t>
            </w:r>
          </w:p>
        </w:tc>
      </w:tr>
      <w:tr w:rsidR="00D6011A" w14:paraId="33C38A33" w14:textId="77777777" w:rsidTr="00DA409A">
        <w:tblPrEx>
          <w:tblCellMar>
            <w:top w:w="0" w:type="dxa"/>
            <w:bottom w:w="0" w:type="dxa"/>
          </w:tblCellMar>
        </w:tblPrEx>
        <w:tc>
          <w:tcPr>
            <w:tcW w:w="6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3FA6F3C" w14:textId="77777777" w:rsidR="00D6011A" w:rsidRDefault="003D7514" w:rsidP="003C2300">
            <w:pPr>
              <w:spacing w:line="276" w:lineRule="auto"/>
            </w:pPr>
            <w:r>
              <w:rPr>
                <w:sz w:val="20"/>
                <w:szCs w:val="20"/>
              </w:rPr>
              <w:t>Knowledge/skill before training</w:t>
            </w:r>
          </w:p>
        </w:tc>
        <w:tc>
          <w:tcPr>
            <w:tcW w:w="46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98A253E" w14:textId="77777777" w:rsidR="00D6011A" w:rsidRDefault="003D7514" w:rsidP="003C2300">
            <w:pPr>
              <w:spacing w:line="276" w:lineRule="auto"/>
            </w:pPr>
            <w:r>
              <w:rPr>
                <w:sz w:val="20"/>
                <w:szCs w:val="20"/>
              </w:rPr>
              <w:t>2.46</w:t>
            </w:r>
          </w:p>
        </w:tc>
      </w:tr>
      <w:tr w:rsidR="00D6011A" w14:paraId="31EC2035" w14:textId="77777777" w:rsidTr="00DA409A">
        <w:tblPrEx>
          <w:tblCellMar>
            <w:top w:w="0" w:type="dxa"/>
            <w:bottom w:w="0" w:type="dxa"/>
          </w:tblCellMar>
        </w:tblPrEx>
        <w:tc>
          <w:tcPr>
            <w:tcW w:w="6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F9995B9" w14:textId="77777777" w:rsidR="00D6011A" w:rsidRDefault="003D7514" w:rsidP="003C2300">
            <w:pPr>
              <w:spacing w:line="276" w:lineRule="auto"/>
            </w:pPr>
            <w:r>
              <w:rPr>
                <w:sz w:val="20"/>
                <w:szCs w:val="20"/>
              </w:rPr>
              <w:t>Knowledge/skill after training</w:t>
            </w:r>
          </w:p>
        </w:tc>
        <w:tc>
          <w:tcPr>
            <w:tcW w:w="46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211DA2F" w14:textId="77777777" w:rsidR="00D6011A" w:rsidRDefault="003D7514" w:rsidP="003C2300">
            <w:pPr>
              <w:spacing w:line="276" w:lineRule="auto"/>
            </w:pPr>
            <w:r>
              <w:rPr>
                <w:sz w:val="20"/>
                <w:szCs w:val="20"/>
              </w:rPr>
              <w:t>3.44</w:t>
            </w:r>
          </w:p>
        </w:tc>
      </w:tr>
      <w:tr w:rsidR="00D6011A" w14:paraId="23CBC135" w14:textId="77777777" w:rsidTr="00DA409A">
        <w:tblPrEx>
          <w:tblCellMar>
            <w:top w:w="0" w:type="dxa"/>
            <w:bottom w:w="0" w:type="dxa"/>
          </w:tblCellMar>
        </w:tblPrEx>
        <w:tc>
          <w:tcPr>
            <w:tcW w:w="6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A9C50B8" w14:textId="77777777" w:rsidR="00D6011A" w:rsidRDefault="003D7514" w:rsidP="003C2300">
            <w:pPr>
              <w:spacing w:line="276" w:lineRule="auto"/>
            </w:pPr>
            <w:r>
              <w:rPr>
                <w:sz w:val="20"/>
                <w:szCs w:val="20"/>
              </w:rPr>
              <w:t>Delivery of objectives and learning content</w:t>
            </w:r>
          </w:p>
        </w:tc>
        <w:tc>
          <w:tcPr>
            <w:tcW w:w="46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9D176E9" w14:textId="77777777" w:rsidR="00D6011A" w:rsidRDefault="003D7514" w:rsidP="003C2300">
            <w:pPr>
              <w:spacing w:line="276" w:lineRule="auto"/>
            </w:pPr>
            <w:r>
              <w:rPr>
                <w:sz w:val="20"/>
                <w:szCs w:val="20"/>
              </w:rPr>
              <w:t>4.75</w:t>
            </w:r>
          </w:p>
        </w:tc>
      </w:tr>
      <w:tr w:rsidR="00D6011A" w14:paraId="2484BB29" w14:textId="77777777" w:rsidTr="00DA409A">
        <w:tblPrEx>
          <w:tblCellMar>
            <w:top w:w="0" w:type="dxa"/>
            <w:bottom w:w="0" w:type="dxa"/>
          </w:tblCellMar>
        </w:tblPrEx>
        <w:tc>
          <w:tcPr>
            <w:tcW w:w="6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ABFCBB2" w14:textId="77777777" w:rsidR="00D6011A" w:rsidRDefault="003D7514" w:rsidP="003C2300">
            <w:pPr>
              <w:spacing w:line="276" w:lineRule="auto"/>
            </w:pPr>
            <w:r>
              <w:rPr>
                <w:sz w:val="20"/>
                <w:szCs w:val="20"/>
              </w:rPr>
              <w:t>Effectiveness of resource person/trainer</w:t>
            </w:r>
          </w:p>
        </w:tc>
        <w:tc>
          <w:tcPr>
            <w:tcW w:w="46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AF64369" w14:textId="77777777" w:rsidR="00D6011A" w:rsidRDefault="003D7514" w:rsidP="003C2300">
            <w:pPr>
              <w:spacing w:line="276" w:lineRule="auto"/>
            </w:pPr>
            <w:r>
              <w:rPr>
                <w:sz w:val="20"/>
                <w:szCs w:val="20"/>
              </w:rPr>
              <w:t>4.85</w:t>
            </w:r>
          </w:p>
        </w:tc>
      </w:tr>
      <w:tr w:rsidR="00D6011A" w14:paraId="786265AE" w14:textId="77777777" w:rsidTr="00DA409A">
        <w:tblPrEx>
          <w:tblCellMar>
            <w:top w:w="0" w:type="dxa"/>
            <w:bottom w:w="0" w:type="dxa"/>
          </w:tblCellMar>
        </w:tblPrEx>
        <w:tc>
          <w:tcPr>
            <w:tcW w:w="6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30CC739" w14:textId="77777777" w:rsidR="00D6011A" w:rsidRDefault="003D7514" w:rsidP="003C2300">
            <w:pPr>
              <w:spacing w:line="276" w:lineRule="auto"/>
            </w:pPr>
            <w:r>
              <w:rPr>
                <w:sz w:val="20"/>
                <w:szCs w:val="20"/>
              </w:rPr>
              <w:t>Effectiveness in meeting personal objectives</w:t>
            </w:r>
          </w:p>
        </w:tc>
        <w:tc>
          <w:tcPr>
            <w:tcW w:w="46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C439971" w14:textId="77777777" w:rsidR="00D6011A" w:rsidRDefault="003D7514" w:rsidP="003C2300">
            <w:pPr>
              <w:spacing w:line="276" w:lineRule="auto"/>
            </w:pPr>
            <w:r>
              <w:rPr>
                <w:sz w:val="20"/>
                <w:szCs w:val="20"/>
              </w:rPr>
              <w:t>4.83</w:t>
            </w:r>
          </w:p>
        </w:tc>
      </w:tr>
      <w:tr w:rsidR="00D6011A" w14:paraId="61A90FFA" w14:textId="77777777" w:rsidTr="00DA409A">
        <w:tblPrEx>
          <w:tblCellMar>
            <w:top w:w="0" w:type="dxa"/>
            <w:bottom w:w="0" w:type="dxa"/>
          </w:tblCellMar>
        </w:tblPrEx>
        <w:tc>
          <w:tcPr>
            <w:tcW w:w="6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1E3B81F" w14:textId="77777777" w:rsidR="00D6011A" w:rsidRDefault="003D7514" w:rsidP="003C2300">
            <w:pPr>
              <w:spacing w:line="276" w:lineRule="auto"/>
            </w:pPr>
            <w:r>
              <w:rPr>
                <w:sz w:val="20"/>
                <w:szCs w:val="20"/>
              </w:rPr>
              <w:t>Timeliness of delivery</w:t>
            </w:r>
          </w:p>
        </w:tc>
        <w:tc>
          <w:tcPr>
            <w:tcW w:w="46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81B7D77" w14:textId="77777777" w:rsidR="00D6011A" w:rsidRDefault="003D7514" w:rsidP="003C2300">
            <w:pPr>
              <w:spacing w:line="276" w:lineRule="auto"/>
            </w:pPr>
            <w:r>
              <w:rPr>
                <w:sz w:val="20"/>
                <w:szCs w:val="20"/>
              </w:rPr>
              <w:t>4.85</w:t>
            </w:r>
          </w:p>
        </w:tc>
      </w:tr>
      <w:tr w:rsidR="00D6011A" w14:paraId="23ECEE0E" w14:textId="77777777" w:rsidTr="00DA409A">
        <w:tblPrEx>
          <w:tblCellMar>
            <w:top w:w="0" w:type="dxa"/>
            <w:bottom w:w="0" w:type="dxa"/>
          </w:tblCellMar>
        </w:tblPrEx>
        <w:tc>
          <w:tcPr>
            <w:tcW w:w="6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DD6CA2E" w14:textId="77777777" w:rsidR="00D6011A" w:rsidRDefault="003D7514" w:rsidP="003C2300">
            <w:pPr>
              <w:spacing w:line="276" w:lineRule="auto"/>
            </w:pPr>
            <w:r>
              <w:rPr>
                <w:sz w:val="20"/>
                <w:szCs w:val="20"/>
              </w:rPr>
              <w:t>Overall quality and relevance of service</w:t>
            </w:r>
          </w:p>
        </w:tc>
        <w:tc>
          <w:tcPr>
            <w:tcW w:w="46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41710D1" w14:textId="77777777" w:rsidR="00D6011A" w:rsidRDefault="003D7514" w:rsidP="003C2300">
            <w:pPr>
              <w:spacing w:line="276" w:lineRule="auto"/>
            </w:pPr>
            <w:r>
              <w:rPr>
                <w:sz w:val="20"/>
                <w:szCs w:val="20"/>
              </w:rPr>
              <w:t>4.92</w:t>
            </w:r>
          </w:p>
        </w:tc>
      </w:tr>
      <w:tr w:rsidR="00D6011A" w14:paraId="057DF153" w14:textId="77777777" w:rsidTr="00DA409A">
        <w:tblPrEx>
          <w:tblCellMar>
            <w:top w:w="0" w:type="dxa"/>
            <w:bottom w:w="0" w:type="dxa"/>
          </w:tblCellMar>
        </w:tblPrEx>
        <w:tc>
          <w:tcPr>
            <w:tcW w:w="6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375578A" w14:textId="77777777" w:rsidR="00D6011A" w:rsidRDefault="003D7514" w:rsidP="003C2300">
            <w:pPr>
              <w:spacing w:line="276" w:lineRule="auto"/>
            </w:pPr>
            <w:r>
              <w:rPr>
                <w:sz w:val="20"/>
                <w:szCs w:val="20"/>
              </w:rPr>
              <w:t>Overall Satisfaction Rating (Excellent / Very Satisfied)</w:t>
            </w:r>
          </w:p>
        </w:tc>
        <w:tc>
          <w:tcPr>
            <w:tcW w:w="469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7AC3BC6" w14:textId="77777777" w:rsidR="00D6011A" w:rsidRDefault="003D7514" w:rsidP="003C2300">
            <w:pPr>
              <w:spacing w:line="276" w:lineRule="auto"/>
            </w:pPr>
            <w:r>
              <w:rPr>
                <w:sz w:val="20"/>
                <w:szCs w:val="20"/>
              </w:rPr>
              <w:t>4.84</w:t>
            </w:r>
          </w:p>
        </w:tc>
      </w:tr>
    </w:tbl>
    <w:p w14:paraId="4B9FC130" w14:textId="27114F1B" w:rsidR="00D6011A" w:rsidRDefault="003D7514" w:rsidP="003C2300">
      <w:pPr>
        <w:spacing w:before="240" w:after="240" w:line="276" w:lineRule="auto"/>
      </w:pPr>
      <w:r>
        <w:t>Qualitative feedback gathered alongside the satisfaction survey indicated that participants particularly valued the competence and approachability of trainers and the practicality of step-by-st</w:t>
      </w:r>
      <w:r>
        <w:t>ep, hands-on demonstrations. All respondents agreed that the skills acquired in haircutting, styling, and professional make-up were directly applicable to generating daily income within their communities, and participants rated the coordination and venue s</w:t>
      </w:r>
      <w:r>
        <w:t>uitability across the three simultaneous training sites as excellent, despite the logistical complexity of running parallel sessions.</w:t>
      </w:r>
    </w:p>
    <w:p w14:paraId="4AC32594" w14:textId="77777777" w:rsidR="00D6011A" w:rsidRDefault="003D7514" w:rsidP="003C2300">
      <w:pPr>
        <w:spacing w:before="240" w:after="180" w:line="276" w:lineRule="auto"/>
      </w:pPr>
      <w:r>
        <w:rPr>
          <w:b/>
          <w:bCs/>
        </w:rPr>
        <w:t>Curricular Foundation</w:t>
      </w:r>
    </w:p>
    <w:p w14:paraId="3B85821F" w14:textId="77777777" w:rsidR="00D6011A" w:rsidRDefault="003D7514" w:rsidP="003C2300">
      <w:pPr>
        <w:spacing w:before="240" w:after="240" w:line="276" w:lineRule="auto"/>
        <w:jc w:val="both"/>
      </w:pPr>
      <w:r>
        <w:t>The technical content of the training was anchored in the Beauty Care and Make-up Artistry instructi</w:t>
      </w:r>
      <w:r>
        <w:t>onal module developed by the College of Education, structured around a three-phase program: Phase 1 covering beauty skills training in make-up artistry and skin care (Days 1-5), including orientation to the beauty industry, TESDA Beauty Care NC II competen</w:t>
      </w:r>
      <w:r>
        <w:t>cy units, and career pathways; Phase 2 covering hair care and styling (Days 6-10), including hair structure and biology, styling techniques, and live client hair-cutting demonstrations under safety protocols; and Phase 3 covering entrepreneurship developme</w:t>
      </w:r>
      <w:r>
        <w:t>nt as a business (Days 11-15), including financial literacy, pricing of services, social media marketing, business plan development, and a mini-enterprise simulation. This sequencing directly mirrors the phased structure executed during the first wave of P</w:t>
      </w:r>
      <w:r>
        <w:t>roject GLAM implementation, suggesting strong fidelity between the designed curriculum and the delivered training.</w:t>
      </w:r>
    </w:p>
    <w:p w14:paraId="0BDDB38F" w14:textId="77777777" w:rsidR="00D6011A" w:rsidRDefault="003D7514" w:rsidP="003C2300">
      <w:pPr>
        <w:spacing w:before="360" w:after="240" w:line="276" w:lineRule="auto"/>
      </w:pPr>
      <w:r>
        <w:rPr>
          <w:b/>
          <w:bCs/>
          <w:sz w:val="28"/>
          <w:szCs w:val="28"/>
        </w:rPr>
        <w:t>DISCUSSION</w:t>
      </w:r>
    </w:p>
    <w:p w14:paraId="533E35B0" w14:textId="77777777" w:rsidR="00D6011A" w:rsidRDefault="003D7514" w:rsidP="003C2300">
      <w:pPr>
        <w:spacing w:before="240" w:after="240" w:line="276" w:lineRule="auto"/>
        <w:jc w:val="both"/>
      </w:pPr>
      <w:r>
        <w:t>The results of this evaluation support the central premise underlying Project GLAM: that pairing the 4Ps conditional cash transfer</w:t>
      </w:r>
      <w:r>
        <w:t xml:space="preserve"> mechanism with structured, sector-specific skills training in beauty and wellness can directly address the dominant drivers of youth vulnerability identified in the needs assessment. The predominance of child labor as a dropout determinant (58.9%) indicat</w:t>
      </w:r>
      <w:r>
        <w:t>es that affected families require not generalized vocational exposure but income-generating skills that can be deployed quickly and with minimal capital outlay; the beauty and wellness sector, with its low barriers to entry and home-based service model, is</w:t>
      </w:r>
      <w:r>
        <w:t xml:space="preserve"> well matched to this constraint. Similarly, the prevalence of financial concern as a secondary determinant (30.3%) justifies the explicit integration of financial literacy and entrepreneurship modules within the training, rather than treating technical sk</w:t>
      </w:r>
      <w:r>
        <w:t>ill-building as a standalone intervention.</w:t>
      </w:r>
    </w:p>
    <w:p w14:paraId="149E7862" w14:textId="77777777" w:rsidR="00D6011A" w:rsidRDefault="003D7514" w:rsidP="003C2300">
      <w:pPr>
        <w:spacing w:before="240" w:after="240" w:line="276" w:lineRule="auto"/>
        <w:jc w:val="both"/>
      </w:pPr>
      <w:r>
        <w:t>The magnitude of improvement in self-reported competency, from 2.46 to 3.44, together with uniformly high evaluation scores across delivery, trainer effectiveness, timeliness, and relevance, suggests that the trai</w:t>
      </w:r>
      <w:r>
        <w:t xml:space="preserve">ning model itself, anchored in hands-on, learning-by-doing demonstration, was well received and effectively transferred </w:t>
      </w:r>
      <w:r>
        <w:lastRenderedPageBreak/>
        <w:t xml:space="preserve">practical skill. The near-uniform completion of logical framework indicators at 100% should, however, be interpreted with some caution, </w:t>
      </w:r>
      <w:r>
        <w:t>as terminal reports of this kind are typically completed at the point of program closure and may not yet capture longer-term indicators such as the targeted 60% of graduates engaging in income-generating activities within six months. The recommendations em</w:t>
      </w:r>
      <w:r>
        <w:t>bedded in the terminal report itself, namely the conduct of a second wave of training, the establishment of a mobile beauty hub to reach remote barangays, and advanced lobbying for TESDA National Certificate II accreditation, point toward a programmatic re</w:t>
      </w:r>
      <w:r>
        <w:t>cognition that the first wave, while successful, addressed only a small fraction of the 1,822 identified high-risk beneficiaries in the area.</w:t>
      </w:r>
    </w:p>
    <w:p w14:paraId="0D48F893" w14:textId="77777777" w:rsidR="007A52A8" w:rsidRDefault="003D7514" w:rsidP="003C2300">
      <w:pPr>
        <w:spacing w:before="240" w:after="240" w:line="276" w:lineRule="auto"/>
        <w:jc w:val="both"/>
      </w:pPr>
      <w:r>
        <w:t>From a policy perspective, Project GLAM exemplifies how technical-vocational education and training (TVET) deliver</w:t>
      </w:r>
      <w:r>
        <w:t>ed through a higher education institution's extension arm can operationalize the Philippine Development Plan's human capital development agenda at the community level. The project's design, which links 4Ps case management data directly to curriculum conten</w:t>
      </w:r>
      <w:r>
        <w:t>t and partner mobilization (DSWD, LGUs, DepEd, AVON, and the Rotary Club), offers a replicable template for similar interventions in other provinces facing comparable OSY and underemployment profiles.</w:t>
      </w:r>
    </w:p>
    <w:p w14:paraId="2CD6E529" w14:textId="0F7F03E8" w:rsidR="003C2300" w:rsidRDefault="003D7514" w:rsidP="003C2300">
      <w:pPr>
        <w:spacing w:before="240" w:after="240" w:line="276" w:lineRule="auto"/>
        <w:jc w:val="both"/>
      </w:pPr>
      <w:r>
        <w:t xml:space="preserve"> Sustainability mechanisms already embedded in the proje</w:t>
      </w:r>
      <w:r>
        <w:t xml:space="preserve">ct, including referral to the Sustainable Livelihood Program for start-up capital, encouragement of community-based beauty cooperatives, and a quarterly post-training monitoring system involving both NEUST faculty and DSWD staff, address a common weakness </w:t>
      </w:r>
      <w:r>
        <w:t>of short-term skills training programs, namely the absence of follow-through support after graduation.</w:t>
      </w:r>
    </w:p>
    <w:p w14:paraId="3B93A19F" w14:textId="77777777" w:rsidR="00D6011A" w:rsidRDefault="003D7514" w:rsidP="003C2300">
      <w:pPr>
        <w:spacing w:before="360" w:after="240" w:line="276" w:lineRule="auto"/>
      </w:pPr>
      <w:r>
        <w:rPr>
          <w:b/>
          <w:bCs/>
          <w:sz w:val="28"/>
          <w:szCs w:val="28"/>
        </w:rPr>
        <w:t>CONCLUSION</w:t>
      </w:r>
    </w:p>
    <w:p w14:paraId="29AC1300" w14:textId="77777777" w:rsidR="00D6011A" w:rsidRDefault="003D7514" w:rsidP="003C2300">
      <w:pPr>
        <w:spacing w:before="240" w:after="240" w:line="276" w:lineRule="auto"/>
        <w:jc w:val="both"/>
      </w:pPr>
      <w:r>
        <w:t>Project GLAM demonstrates that a needs-driven, competency-based, and entrepreneurship-integrated training model in the beauty and wellness sec</w:t>
      </w:r>
      <w:r>
        <w:t>tor can be implemented successfully within a short, intensive timeframe and can achieve high participant satisfaction and measurable gains in self-reported competency. By directly targeting the documented drivers of school dropout among out-of-school youth</w:t>
      </w:r>
      <w:r>
        <w:t xml:space="preserve"> and 4Ps-monitored students in Nueva Ecija, namely child labor, financial concern, early pregnancy or fatherhood, and early marriage, the project translates the conditional cash transfer program's short-term assistance into a pathway for long-term economic</w:t>
      </w:r>
      <w:r>
        <w:t xml:space="preserve"> independence. The evaluation evidence supports scaling the model through a second wave of training reaching a wider pool of the 1,822 identified high-risk beneficiaries, pursuit of formal TESDA accreditation to strengthen graduates' employability, and con</w:t>
      </w:r>
      <w:r>
        <w:t>tinued multi-agency partnership to sustain the program's financial and logistical viability. Future evaluation should prioritize longitudinal tracking of graduate income and employment outcomes to validate the project's longer-term logical framework target</w:t>
      </w:r>
      <w:r>
        <w:t>s.</w:t>
      </w:r>
    </w:p>
    <w:p w14:paraId="4961B05B" w14:textId="77777777" w:rsidR="00D6011A" w:rsidRDefault="003D7514" w:rsidP="003C2300">
      <w:pPr>
        <w:spacing w:before="360" w:after="240" w:line="276" w:lineRule="auto"/>
      </w:pPr>
      <w:r>
        <w:rPr>
          <w:b/>
          <w:bCs/>
          <w:sz w:val="28"/>
          <w:szCs w:val="28"/>
        </w:rPr>
        <w:t>ETHICAL CONSIDERATIONS</w:t>
      </w:r>
    </w:p>
    <w:p w14:paraId="1D710789" w14:textId="1A3A9456" w:rsidR="00DA409A" w:rsidRDefault="003D7514" w:rsidP="003C2300">
      <w:pPr>
        <w:spacing w:before="240" w:after="240" w:line="276" w:lineRule="auto"/>
        <w:jc w:val="both"/>
      </w:pPr>
      <w:r>
        <w:t>This study relied on secondary, de-identified programmatic and administrative data drawn from official DSWD needs assessment reports and the NEUST Accomplishment and Terminal Report. No new data collection involving human subjects was undertaken for the pu</w:t>
      </w:r>
      <w:r>
        <w:t>rposes of this paper. Participation of minors and youth beneficiaries in the underlying Project GLAM training was conducted under the supervision of DSWD 4Ps case workers, NEUST faculty, and partner secondary schools, with parental or guardian consent obta</w:t>
      </w:r>
      <w:r>
        <w:t>ined as part of standard DSWD case management and school-based extension protocols. All data presented are aggregated and do not disclose individually identifiable information about program beneficiaries.</w:t>
      </w:r>
    </w:p>
    <w:p w14:paraId="54595CF7" w14:textId="035052A4" w:rsidR="007A52A8" w:rsidRDefault="007A52A8" w:rsidP="003C2300">
      <w:pPr>
        <w:spacing w:before="240" w:after="240" w:line="276" w:lineRule="auto"/>
        <w:jc w:val="both"/>
      </w:pPr>
    </w:p>
    <w:p w14:paraId="3B7F0810" w14:textId="77777777" w:rsidR="007A52A8" w:rsidRDefault="007A52A8" w:rsidP="003C2300">
      <w:pPr>
        <w:spacing w:before="240" w:after="240" w:line="276" w:lineRule="auto"/>
        <w:jc w:val="both"/>
      </w:pPr>
    </w:p>
    <w:p w14:paraId="6DD9B0BC" w14:textId="77777777" w:rsidR="00D6011A" w:rsidRDefault="003D7514" w:rsidP="003C2300">
      <w:pPr>
        <w:spacing w:before="360" w:after="240" w:line="276" w:lineRule="auto"/>
      </w:pPr>
      <w:r>
        <w:rPr>
          <w:b/>
          <w:bCs/>
          <w:sz w:val="28"/>
          <w:szCs w:val="28"/>
        </w:rPr>
        <w:lastRenderedPageBreak/>
        <w:t>CONFLICT OF INTEREST</w:t>
      </w:r>
    </w:p>
    <w:p w14:paraId="1FA3E06D" w14:textId="33395A35" w:rsidR="0006318A" w:rsidRDefault="003D7514" w:rsidP="003C2300">
      <w:pPr>
        <w:spacing w:before="240" w:after="240" w:line="276" w:lineRule="auto"/>
        <w:jc w:val="both"/>
      </w:pPr>
      <w:r>
        <w:t>The authors declare no conflic</w:t>
      </w:r>
      <w:r>
        <w:t>t of interest. The authors served as program implementers and evaluators of Project GLAM in their official capacities at the NEUST College of Education and report no financial or personal relationships that could have inappropriately influenced this evalua</w:t>
      </w:r>
      <w:r>
        <w:t>tion.</w:t>
      </w:r>
    </w:p>
    <w:p w14:paraId="59E02A0B" w14:textId="77777777" w:rsidR="00D6011A" w:rsidRDefault="003D7514" w:rsidP="003C2300">
      <w:pPr>
        <w:spacing w:before="360" w:after="240" w:line="276" w:lineRule="auto"/>
      </w:pPr>
      <w:r>
        <w:rPr>
          <w:b/>
          <w:bCs/>
          <w:sz w:val="28"/>
          <w:szCs w:val="28"/>
        </w:rPr>
        <w:t>DATA AVAILABILITY</w:t>
      </w:r>
    </w:p>
    <w:p w14:paraId="35CBE846" w14:textId="0B461259" w:rsidR="007A52A8" w:rsidRDefault="003D7514" w:rsidP="003C2300">
      <w:pPr>
        <w:spacing w:before="240" w:after="240" w:line="276" w:lineRule="auto"/>
        <w:jc w:val="both"/>
      </w:pPr>
      <w:r>
        <w:t>The aggregated data supporting the findings of this study are derived from the DSWD Field Office III Needs Assessment Report for Project GLAM and the NEUST Accomplishment and Terminal Report (NEUST-ESD-F008), both of which are insti</w:t>
      </w:r>
      <w:r>
        <w:t>tutional documents held by the DSWD Field Office III and the NEUST College of Education, respectively. Individual-level case management records are not publicly available due to confidentiality protections for minor beneficiaries under DSWD case management</w:t>
      </w:r>
      <w:r>
        <w:t xml:space="preserve"> protocols. Aggregated summary data may be made available by the corresponding author upon reasonable request and with appropriate institutional clearance.</w:t>
      </w:r>
    </w:p>
    <w:p w14:paraId="00EB6B44" w14:textId="77777777" w:rsidR="00D6011A" w:rsidRDefault="003D7514" w:rsidP="003C2300">
      <w:pPr>
        <w:spacing w:before="360" w:after="240" w:line="276" w:lineRule="auto"/>
      </w:pPr>
      <w:r>
        <w:rPr>
          <w:b/>
          <w:bCs/>
          <w:sz w:val="28"/>
          <w:szCs w:val="28"/>
        </w:rPr>
        <w:t>ACKNOWLEDGEMENTS</w:t>
      </w:r>
    </w:p>
    <w:p w14:paraId="627EBCF5" w14:textId="77777777" w:rsidR="00D6011A" w:rsidRDefault="003D7514" w:rsidP="003C2300">
      <w:pPr>
        <w:spacing w:before="240" w:after="240" w:line="276" w:lineRule="auto"/>
        <w:jc w:val="both"/>
      </w:pPr>
      <w:r>
        <w:t>The authors gratefully acknowledge the DSWD Field Office III and DSWD SWAD Nueva Ec</w:t>
      </w:r>
      <w:r>
        <w:t xml:space="preserve">ija-POO1, the Local Government Units of </w:t>
      </w:r>
      <w:proofErr w:type="spellStart"/>
      <w:r>
        <w:t>Guimba</w:t>
      </w:r>
      <w:proofErr w:type="spellEnd"/>
      <w:r>
        <w:t xml:space="preserve">, Quezon, and Talavera, the Department of Education and its partner schools (Bartolome </w:t>
      </w:r>
      <w:proofErr w:type="spellStart"/>
      <w:r>
        <w:t>Sanggalang</w:t>
      </w:r>
      <w:proofErr w:type="spellEnd"/>
      <w:r>
        <w:t xml:space="preserve"> National High School, Eduardo L. Joson Memorial High School, and Sibul National High School), AVON and the Thelm</w:t>
      </w:r>
      <w:r>
        <w:t>a Vergara Group, the Rotary Club of the Philippines-Cabanatuan City Chapter, and the NEUST Extension Services Department for their collaboration and support in the implementation of Project GLAM.</w:t>
      </w:r>
    </w:p>
    <w:p w14:paraId="3323F81E" w14:textId="77777777" w:rsidR="00D6011A" w:rsidRDefault="003D7514" w:rsidP="003C2300">
      <w:pPr>
        <w:spacing w:before="360" w:after="240" w:line="276" w:lineRule="auto"/>
      </w:pPr>
      <w:r>
        <w:rPr>
          <w:b/>
          <w:bCs/>
          <w:sz w:val="28"/>
          <w:szCs w:val="28"/>
        </w:rPr>
        <w:t>REFERENCES</w:t>
      </w:r>
    </w:p>
    <w:p w14:paraId="05F27889" w14:textId="77777777" w:rsidR="00D6011A" w:rsidRDefault="003D7514" w:rsidP="003C2300">
      <w:pPr>
        <w:pStyle w:val="ListParagraph"/>
        <w:numPr>
          <w:ilvl w:val="0"/>
          <w:numId w:val="3"/>
        </w:numPr>
        <w:spacing w:before="80" w:after="80" w:line="276" w:lineRule="auto"/>
        <w:jc w:val="both"/>
      </w:pPr>
      <w:r>
        <w:t>Department of Social Welfare and Development Fiel</w:t>
      </w:r>
      <w:r>
        <w:t xml:space="preserve">d Office III. (2026). Needs assessment report: Project GLAM (Generating Livelihood through Amazing Make-over). DSWD Field Office III, Government Center, </w:t>
      </w:r>
      <w:proofErr w:type="spellStart"/>
      <w:r>
        <w:t>Maimpis</w:t>
      </w:r>
      <w:proofErr w:type="spellEnd"/>
      <w:r>
        <w:t>, City of San Fernando, Pampanga.</w:t>
      </w:r>
    </w:p>
    <w:p w14:paraId="4206C6E2" w14:textId="77777777" w:rsidR="00D6011A" w:rsidRDefault="003D7514" w:rsidP="003C2300">
      <w:pPr>
        <w:pStyle w:val="ListParagraph"/>
        <w:numPr>
          <w:ilvl w:val="0"/>
          <w:numId w:val="3"/>
        </w:numPr>
        <w:spacing w:before="80" w:after="80" w:line="276" w:lineRule="auto"/>
        <w:jc w:val="both"/>
      </w:pPr>
      <w:r>
        <w:t>Nueva Ecija University of Science and Technology. (2026). Acco</w:t>
      </w:r>
      <w:r>
        <w:t xml:space="preserve">mplishment and terminal report: Project GLAM (NEUST-ESD-F008, Rev. 01). College of Education, NEUST </w:t>
      </w:r>
      <w:proofErr w:type="spellStart"/>
      <w:r>
        <w:t>Sumacab</w:t>
      </w:r>
      <w:proofErr w:type="spellEnd"/>
      <w:r>
        <w:t xml:space="preserve"> Campus, Cabanatuan City, Nueva Ecija.</w:t>
      </w:r>
    </w:p>
    <w:p w14:paraId="19089EE6" w14:textId="77777777" w:rsidR="00D6011A" w:rsidRDefault="003D7514" w:rsidP="003C2300">
      <w:pPr>
        <w:pStyle w:val="ListParagraph"/>
        <w:numPr>
          <w:ilvl w:val="0"/>
          <w:numId w:val="3"/>
        </w:numPr>
        <w:spacing w:before="80" w:after="80" w:line="276" w:lineRule="auto"/>
        <w:jc w:val="both"/>
      </w:pPr>
      <w:r>
        <w:t>Nueva Ecija University of Science and Technology, College of Education. (2026). Beauty care and make-up artist</w:t>
      </w:r>
      <w:r>
        <w:t xml:space="preserve">ry instructional module. NEUST </w:t>
      </w:r>
      <w:proofErr w:type="spellStart"/>
      <w:r>
        <w:t>Sumacab</w:t>
      </w:r>
      <w:proofErr w:type="spellEnd"/>
      <w:r>
        <w:t xml:space="preserve"> Campus, Cabanatuan City, Nueva Ecija.</w:t>
      </w:r>
    </w:p>
    <w:p w14:paraId="7AC4AC60" w14:textId="77777777" w:rsidR="00D6011A" w:rsidRDefault="003D7514" w:rsidP="003C2300">
      <w:pPr>
        <w:pStyle w:val="ListParagraph"/>
        <w:numPr>
          <w:ilvl w:val="0"/>
          <w:numId w:val="3"/>
        </w:numPr>
        <w:spacing w:before="80" w:after="80" w:line="276" w:lineRule="auto"/>
        <w:jc w:val="both"/>
      </w:pPr>
      <w:r>
        <w:t>Philippine Statistics Authority. (2025). Labor force survey: Employment and underemployment statistics, 2025. Philippine Statistics Authority.</w:t>
      </w:r>
    </w:p>
    <w:p w14:paraId="6615E25F" w14:textId="77777777" w:rsidR="00D6011A" w:rsidRDefault="003D7514" w:rsidP="003C2300">
      <w:pPr>
        <w:pStyle w:val="ListParagraph"/>
        <w:numPr>
          <w:ilvl w:val="0"/>
          <w:numId w:val="3"/>
        </w:numPr>
        <w:spacing w:before="80" w:after="80" w:line="276" w:lineRule="auto"/>
        <w:jc w:val="both"/>
      </w:pPr>
      <w:r>
        <w:t>Republic Act No. 7796. (1994). Techn</w:t>
      </w:r>
      <w:r>
        <w:t>ical Education and Skills Development Act of 1994. Congress of the Philippines.</w:t>
      </w:r>
    </w:p>
    <w:p w14:paraId="709A4E52" w14:textId="77777777" w:rsidR="00D6011A" w:rsidRDefault="003D7514" w:rsidP="003C2300">
      <w:pPr>
        <w:pStyle w:val="ListParagraph"/>
        <w:numPr>
          <w:ilvl w:val="0"/>
          <w:numId w:val="3"/>
        </w:numPr>
        <w:spacing w:before="80" w:after="80" w:line="276" w:lineRule="auto"/>
        <w:jc w:val="both"/>
      </w:pPr>
      <w:r>
        <w:t>Republic Act No. 10968. (2017). Philippine Qualifications Framework Act. Congress of the Philippines.</w:t>
      </w:r>
    </w:p>
    <w:p w14:paraId="6ABB8AA2" w14:textId="72253E5D" w:rsidR="00D6011A" w:rsidRDefault="003D7514" w:rsidP="003C2300">
      <w:pPr>
        <w:pStyle w:val="ListParagraph"/>
        <w:numPr>
          <w:ilvl w:val="0"/>
          <w:numId w:val="3"/>
        </w:numPr>
        <w:spacing w:before="80" w:after="80" w:line="276" w:lineRule="auto"/>
        <w:jc w:val="both"/>
      </w:pPr>
      <w:r>
        <w:t xml:space="preserve">Republic of the Philippines, National Economic and Development Authority. </w:t>
      </w:r>
      <w:r>
        <w:t>(2023). Philippine Development Plan 2023-2028. NEDA.</w:t>
      </w:r>
    </w:p>
    <w:p w14:paraId="05C9BC1A" w14:textId="02D391FE" w:rsidR="003C2300" w:rsidRPr="003C2300" w:rsidRDefault="003C2300" w:rsidP="003C2300">
      <w:pPr>
        <w:pStyle w:val="ListParagraph"/>
        <w:numPr>
          <w:ilvl w:val="0"/>
          <w:numId w:val="3"/>
        </w:numPr>
        <w:shd w:val="clear" w:color="auto" w:fill="FFFFFF"/>
        <w:spacing w:line="276" w:lineRule="auto"/>
        <w:rPr>
          <w:color w:val="000000" w:themeColor="text1"/>
        </w:rPr>
      </w:pPr>
      <w:r w:rsidRPr="003C2300">
        <w:rPr>
          <w:color w:val="000000" w:themeColor="text1"/>
        </w:rPr>
        <w:t xml:space="preserve">MM Soliman, AP </w:t>
      </w:r>
      <w:proofErr w:type="spellStart"/>
      <w:r w:rsidRPr="003C2300">
        <w:rPr>
          <w:color w:val="000000" w:themeColor="text1"/>
        </w:rPr>
        <w:t>Adigue</w:t>
      </w:r>
      <w:proofErr w:type="spellEnd"/>
      <w:r w:rsidRPr="003C2300">
        <w:rPr>
          <w:color w:val="000000" w:themeColor="text1"/>
        </w:rPr>
        <w:t>, MJL Tomas, JNT Peria</w:t>
      </w:r>
      <w:r w:rsidRPr="003C2300">
        <w:rPr>
          <w:color w:val="000000" w:themeColor="text1"/>
        </w:rPr>
        <w:t xml:space="preserve"> (2026) </w:t>
      </w:r>
      <w:hyperlink r:id="rId8" w:history="1">
        <w:r w:rsidRPr="003C2300">
          <w:rPr>
            <w:rStyle w:val="Hyperlink"/>
            <w:color w:val="000000" w:themeColor="text1"/>
            <w:u w:val="none"/>
            <w:shd w:val="clear" w:color="auto" w:fill="FFFFFF"/>
          </w:rPr>
          <w:t>INSPIR–ED mentoring framework: Basis for systematic faculty and student development in teacher education</w:t>
        </w:r>
      </w:hyperlink>
    </w:p>
    <w:p w14:paraId="19D66A9A" w14:textId="77777777" w:rsidR="003C2300" w:rsidRDefault="003C2300" w:rsidP="003C2300">
      <w:pPr>
        <w:pStyle w:val="ListParagraph"/>
        <w:spacing w:before="80" w:after="80" w:line="276" w:lineRule="auto"/>
        <w:ind w:left="720"/>
        <w:jc w:val="both"/>
      </w:pPr>
    </w:p>
    <w:sectPr w:rsidR="003C2300" w:rsidSect="007A52A8">
      <w:headerReference w:type="default" r:id="rId9"/>
      <w:footerReference w:type="default" r:id="rId10"/>
      <w:pgSz w:w="11906" w:h="16838" w:code="9"/>
      <w:pgMar w:top="425" w:right="566" w:bottom="238" w:left="567"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8F8AA" w14:textId="77777777" w:rsidR="003D7514" w:rsidRDefault="003D7514">
      <w:r>
        <w:separator/>
      </w:r>
    </w:p>
  </w:endnote>
  <w:endnote w:type="continuationSeparator" w:id="0">
    <w:p w14:paraId="58765BC2" w14:textId="77777777" w:rsidR="003D7514" w:rsidRDefault="003D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D7A6" w14:textId="77777777" w:rsidR="00D6011A" w:rsidRDefault="003D7514">
    <w:pPr>
      <w:jc w:val="center"/>
    </w:pPr>
    <w:r>
      <w:rPr>
        <w:sz w:val="20"/>
        <w:szCs w:val="20"/>
      </w:rPr>
      <w:fldChar w:fldCharType="begin"/>
    </w:r>
    <w:r>
      <w:rPr>
        <w:sz w:val="20"/>
        <w:szCs w:val="20"/>
      </w:rPr>
      <w:instrText>PAGE</w:instrText>
    </w:r>
    <w:r>
      <w:rPr>
        <w:sz w:val="20"/>
        <w:szCs w:val="20"/>
      </w:rPr>
      <w:fldChar w:fldCharType="separate"/>
    </w:r>
    <w:r w:rsidR="0006318A">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21214" w14:textId="77777777" w:rsidR="003D7514" w:rsidRDefault="003D7514">
      <w:r>
        <w:separator/>
      </w:r>
    </w:p>
  </w:footnote>
  <w:footnote w:type="continuationSeparator" w:id="0">
    <w:p w14:paraId="7BAD5B34" w14:textId="77777777" w:rsidR="003D7514" w:rsidRDefault="003D7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6BCD" w14:textId="77777777" w:rsidR="00D6011A" w:rsidRDefault="00D601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DE75B3"/>
    <w:multiLevelType w:val="hybridMultilevel"/>
    <w:tmpl w:val="595EF030"/>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D07233D"/>
    <w:multiLevelType w:val="hybridMultilevel"/>
    <w:tmpl w:val="314C8FB0"/>
    <w:lvl w:ilvl="0" w:tplc="FFFFFFFF">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61DB6B3C"/>
    <w:multiLevelType w:val="hybridMultilevel"/>
    <w:tmpl w:val="610C899C"/>
    <w:lvl w:ilvl="0" w:tplc="FFFFFFFF">
      <w:start w:val="1"/>
      <w:numFmt w:val="bullet"/>
      <w:lvlText w:val="●"/>
      <w:lvlJc w:val="left"/>
      <w:pPr>
        <w:ind w:left="720" w:hanging="360"/>
      </w:pPr>
    </w:lvl>
    <w:lvl w:ilvl="1" w:tplc="FFFFFFFF">
      <w:start w:val="1"/>
      <w:numFmt w:val="bullet"/>
      <w:lvlText w:val="○"/>
      <w:lvlJc w:val="left"/>
      <w:pPr>
        <w:ind w:left="1440" w:hanging="360"/>
      </w:pPr>
    </w:lvl>
    <w:lvl w:ilvl="2" w:tplc="FFFFFFFF">
      <w:start w:val="1"/>
      <w:numFmt w:val="bullet"/>
      <w:lvlText w:val="■"/>
      <w:lvlJc w:val="left"/>
      <w:pPr>
        <w:ind w:left="2160" w:hanging="360"/>
      </w:pPr>
    </w:lvl>
    <w:lvl w:ilvl="3" w:tplc="FFFFFFFF">
      <w:start w:val="1"/>
      <w:numFmt w:val="bullet"/>
      <w:lvlText w:val="●"/>
      <w:lvlJc w:val="left"/>
      <w:pPr>
        <w:ind w:left="2880" w:hanging="360"/>
      </w:pPr>
    </w:lvl>
    <w:lvl w:ilvl="4" w:tplc="FFFFFFFF">
      <w:start w:val="1"/>
      <w:numFmt w:val="bullet"/>
      <w:lvlText w:val="○"/>
      <w:lvlJc w:val="left"/>
      <w:pPr>
        <w:ind w:left="3600" w:hanging="360"/>
      </w:pPr>
    </w:lvl>
    <w:lvl w:ilvl="5" w:tplc="FFFFFFFF">
      <w:start w:val="1"/>
      <w:numFmt w:val="bullet"/>
      <w:lvlText w:val="■"/>
      <w:lvlJc w:val="left"/>
      <w:pPr>
        <w:ind w:left="4320" w:hanging="360"/>
      </w:pPr>
    </w:lvl>
    <w:lvl w:ilvl="6" w:tplc="FFFFFFFF">
      <w:start w:val="1"/>
      <w:numFmt w:val="bullet"/>
      <w:lvlText w:val="●"/>
      <w:lvlJc w:val="left"/>
      <w:pPr>
        <w:ind w:left="5040" w:hanging="360"/>
      </w:pPr>
    </w:lvl>
    <w:lvl w:ilvl="7" w:tplc="FFFFFFFF">
      <w:start w:val="1"/>
      <w:numFmt w:val="bullet"/>
      <w:lvlText w:val="●"/>
      <w:lvlJc w:val="left"/>
      <w:pPr>
        <w:ind w:left="5760" w:hanging="360"/>
      </w:pPr>
    </w:lvl>
    <w:lvl w:ilvl="8" w:tplc="FFFFFFFF">
      <w:start w:val="1"/>
      <w:numFmt w:val="bullet"/>
      <w:lvlText w:val="●"/>
      <w:lvlJc w:val="left"/>
      <w:pPr>
        <w:ind w:left="6480" w:hanging="360"/>
      </w:pPr>
    </w:lvl>
  </w:abstractNum>
  <w:abstractNum w:abstractNumId="3" w15:restartNumberingAfterBreak="0">
    <w:nsid w:val="68A07F6D"/>
    <w:multiLevelType w:val="hybridMultilevel"/>
    <w:tmpl w:val="798C5E64"/>
    <w:lvl w:ilvl="0" w:tplc="FFFFFFF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11A"/>
    <w:rsid w:val="0006318A"/>
    <w:rsid w:val="000E182D"/>
    <w:rsid w:val="003C2300"/>
    <w:rsid w:val="003D7514"/>
    <w:rsid w:val="007A52A8"/>
    <w:rsid w:val="00B33900"/>
    <w:rsid w:val="00C5746E"/>
    <w:rsid w:val="00D6011A"/>
    <w:rsid w:val="00DA409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410F"/>
  <w15:docId w15:val="{1843364A-7BA6-41FB-AA4A-63688879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793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fil&amp;user=QpM32u8AAAAJ&amp;citation_for_view=QpM32u8AAAAJ:YsMSGLbcyi4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B958F-CC32-4160-BFB6-40ED90CC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3496</Words>
  <Characters>19933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Marilyn Soliman</cp:lastModifiedBy>
  <cp:revision>2</cp:revision>
  <dcterms:created xsi:type="dcterms:W3CDTF">2026-06-30T06:25:00Z</dcterms:created>
  <dcterms:modified xsi:type="dcterms:W3CDTF">2026-06-30T06:25:00Z</dcterms:modified>
</cp:coreProperties>
</file>