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00"/>
        <w:jc w:val="center"/>
      </w:pPr>
      <w:r>
        <w:rPr>
          <w:rFonts w:ascii="Times New Roman" w:cs="Times New Roman" w:eastAsia="Times New Roman" w:hAnsi="Times New Roman"/>
          <w:b/>
          <w:bCs/>
          <w:sz w:val="26"/>
          <w:szCs w:val="26"/>
        </w:rPr>
        <w:t xml:space="preserve">MediScan AI: Vision Transformer-Based Framework for Early Tuberculosis Detection from Chest X-Ray Images</w:t>
      </w:r>
    </w:p>
    <w:p>
      <w:pPr>
        <w:spacing w:after="40" w:before="60"/>
        <w:jc w:val="center"/>
      </w:pPr>
      <w:r>
        <w:rPr>
          <w:rFonts w:ascii="Times New Roman" w:cs="Times New Roman" w:eastAsia="Times New Roman" w:hAnsi="Times New Roman"/>
          <w:b/>
          <w:bCs/>
          <w:sz w:val="20"/>
          <w:szCs w:val="20"/>
        </w:rPr>
        <w:t xml:space="preserve">Shubham Yadav</w:t>
      </w:r>
    </w:p>
    <w:p>
      <w:pPr>
        <w:spacing w:after="100" w:before="20"/>
        <w:jc w:val="center"/>
      </w:pPr>
      <w:r>
        <w:rPr>
          <w:rFonts w:ascii="Times New Roman" w:cs="Times New Roman" w:eastAsia="Times New Roman" w:hAnsi="Times New Roman"/>
          <w:i/>
          <w:iCs/>
          <w:sz w:val="18"/>
          <w:szCs w:val="18"/>
        </w:rPr>
        <w:t xml:space="preserve">Department of Computer Science &amp; Artificial Intelligence, Pranveer Singh Institute of Technology, Kanpur, India</w:t>
      </w:r>
    </w:p>
    <w:p>
      <w:pPr>
        <w:pBdr>
          <w:bottom w:val="single" w:color="000000" w:sz="6"/>
        </w:pBdr>
        <w:spacing w:after="40" w:before="40"/>
      </w:pPr>
    </w:p>
    <w:p>
      <w:pPr>
        <w:spacing w:after="60" w:before="100"/>
        <w:jc w:val="center"/>
      </w:pPr>
      <w:r>
        <w:rPr>
          <w:rFonts w:ascii="Times New Roman" w:cs="Times New Roman" w:eastAsia="Times New Roman" w:hAnsi="Times New Roman"/>
          <w:b/>
          <w:bCs/>
          <w:caps/>
          <w:sz w:val="20"/>
          <w:szCs w:val="20"/>
        </w:rPr>
        <w:t xml:space="preserve">ABSTRACT</w:t>
      </w:r>
    </w:p>
    <w:p>
      <w:pPr>
        <w:spacing w:after="60" w:before="60" w:line="240"/>
        <w:jc w:val="both"/>
      </w:pPr>
      <w:r>
        <w:rPr>
          <w:rFonts w:ascii="Times New Roman" w:cs="Times New Roman" w:eastAsia="Times New Roman" w:hAnsi="Times New Roman"/>
          <w:sz w:val="18"/>
          <w:szCs w:val="18"/>
        </w:rPr>
        <w:t xml:space="preserve">Tuberculosis (TB) remains one of the deadliest infectious diseases globally, claiming over 1.6 million lives annually according to the World Health Organization (WHO). Timely and accurate diagnosis is critical to controlling disease spread and improving patient outcomes. Chest X-ray imaging is the most widely used screening modality for TB diagnosis, yet manual radiological interpretation is time-consuming, subjective, and error-prone—particularly in resource-constrained settings. This paper proposes MediScan AI, a novel Vision Transformer (ViT)-based deep learning framework for the automated and early detection of tuberculosis from chest X-ray images. The proposed system leverages the self-attention mechanism of ViTs to capture long-range spatial dependencies across X-ray image patches, overcoming the locality limitations inherent in Convolutional Neural Networks (CNNs). The framework incorporates data augmentation, patch embedding, multi-head self-attention, and fine-tuned classification layers trained on publicly available datasets including the Montgomery County Dataset, Shenzhen Hospital Dataset, and a curated Kaggle TB dataset. Preliminary experimental results demonstrate that MediScan AI achieves a classification accuracy of 96.4%, sensitivity of 95.8%, specificity of 97.1%, and AUC-ROC of 0.983, significantly outperforming existing CNN-based baselines. The system is designed to function as an intelligent decision-support tool for radiologists and clinicians, with future scope for real-time mobile deployment in rural and under-resourced healthcare settings.</w:t>
      </w:r>
    </w:p>
    <w:p>
      <w:pPr>
        <w:spacing w:after="60" w:before="80"/>
      </w:pPr>
      <w:r>
        <w:rPr>
          <w:rFonts w:ascii="Times New Roman" w:cs="Times New Roman" w:eastAsia="Times New Roman" w:hAnsi="Times New Roman"/>
          <w:b/>
          <w:bCs/>
          <w:sz w:val="18"/>
          <w:szCs w:val="18"/>
        </w:rPr>
        <w:t xml:space="preserve">Keywords: </w:t>
      </w:r>
      <w:r>
        <w:rPr>
          <w:rFonts w:ascii="Times New Roman" w:cs="Times New Roman" w:eastAsia="Times New Roman" w:hAnsi="Times New Roman"/>
          <w:sz w:val="18"/>
          <w:szCs w:val="18"/>
        </w:rPr>
        <w:t xml:space="preserve">Tuberculosis Detection, Vision Transformer (ViT), Chest X-Ray Analysis, Deep Learning, Medical Image Classification, Computer-Aided Diagnosis</w:t>
      </w:r>
    </w:p>
    <w:p>
      <w:pPr>
        <w:pBdr>
          <w:bottom w:val="single" w:color="000000" w:sz="6"/>
        </w:pBdr>
        <w:spacing w:after="60" w:before="60"/>
      </w:pPr>
    </w:p>
    <w:p>
      <w:pPr>
        <w:spacing w:after="100" w:before="200"/>
      </w:pPr>
      <w:r>
        <w:rPr>
          <w:rFonts w:ascii="Times New Roman" w:cs="Times New Roman" w:eastAsia="Times New Roman" w:hAnsi="Times New Roman"/>
          <w:b/>
          <w:bCs/>
          <w:caps/>
          <w:sz w:val="22"/>
          <w:szCs w:val="22"/>
        </w:rPr>
        <w:t xml:space="preserve">1. INTRODUCTION</w:t>
      </w:r>
    </w:p>
    <w:p>
      <w:pPr>
        <w:spacing w:after="60" w:before="60" w:line="240"/>
        <w:jc w:val="both"/>
      </w:pPr>
      <w:r>
        <w:rPr>
          <w:rFonts w:ascii="Times New Roman" w:cs="Times New Roman" w:eastAsia="Times New Roman" w:hAnsi="Times New Roman"/>
          <w:sz w:val="18"/>
          <w:szCs w:val="18"/>
        </w:rPr>
        <w:t xml:space="preserve">Tuberculosis (TB), caused by the bacterium Mycobacterium tuberculosis, continues to be a major global public health crisis. According to the WHO Global Tuberculosis Report 2023, an estimated 10.6 million people fell ill with TB in 2022, with approximately 1.6 million deaths—making it the second leading infectious killer after COVID-19. The burden is disproportionately concentrated in low- and middle-income countries across South Asia, Africa, and Southeast Asia, where diagnostic infrastructure is often limited.</w:t>
      </w:r>
    </w:p>
    <w:p>
      <w:pPr>
        <w:spacing w:after="60" w:before="60" w:line="240"/>
        <w:jc w:val="both"/>
      </w:pPr>
      <w:r>
        <w:rPr>
          <w:rFonts w:ascii="Times New Roman" w:cs="Times New Roman" w:eastAsia="Times New Roman" w:hAnsi="Times New Roman"/>
          <w:sz w:val="18"/>
          <w:szCs w:val="18"/>
        </w:rPr>
        <w:t xml:space="preserve">Early-stage TB diagnosis is essential for effective treatment and prevention of further transmission. Chest X-ray (CXR) imaging is the primary screening tool used worldwide due to its availability, low cost, and non-invasive nature. However, radiological interpretation of CXRs for TB detection requires significant clinical expertise and is susceptible to inter-observer variability. In many rural and under-resourced healthcare settings, the shortage of trained radiologists further delays diagnosis, contributing to late-stage disease and higher mortality.</w:t>
      </w:r>
    </w:p>
    <w:p>
      <w:pPr>
        <w:spacing w:after="60" w:before="60" w:line="240"/>
        <w:jc w:val="both"/>
      </w:pPr>
      <w:r>
        <w:rPr>
          <w:rFonts w:ascii="Times New Roman" w:cs="Times New Roman" w:eastAsia="Times New Roman" w:hAnsi="Times New Roman"/>
          <w:sz w:val="18"/>
          <w:szCs w:val="18"/>
        </w:rPr>
        <w:t xml:space="preserve">Artificial Intelligence (AI)-powered computer-aided diagnostic (CAD) systems have shown great promise in automating medical image analysis. Convolutional Neural Networks (CNNs) have been extensively studied for TB detection tasks and have demonstrated strong performance. However, CNNs inherently rely on local receptive fields, which limits their ability to capture global structural patterns in X-ray images such as bilateral infiltrates, cavitation, and lymphadenopathy that are characteristic of TB.</w:t>
      </w:r>
    </w:p>
    <w:p>
      <w:pPr>
        <w:spacing w:after="60" w:before="60" w:line="240"/>
        <w:jc w:val="both"/>
      </w:pPr>
      <w:r>
        <w:rPr>
          <w:rFonts w:ascii="Times New Roman" w:cs="Times New Roman" w:eastAsia="Times New Roman" w:hAnsi="Times New Roman"/>
          <w:sz w:val="18"/>
          <w:szCs w:val="18"/>
        </w:rPr>
        <w:t xml:space="preserve">Vision Transformers (ViTs), originally proposed by Dosovitskiy et al. (2020), have revolutionized the field of computer vision by applying the Transformer self-attention mechanism to image patches. ViTs excel at modeling long-range dependencies and global context, making them particularly well-suited for medical image analysis where subtle and distributed pathological features must be identified simultaneously.</w:t>
      </w:r>
    </w:p>
    <w:p>
      <w:pPr>
        <w:spacing w:after="60" w:before="60" w:line="240"/>
        <w:jc w:val="both"/>
      </w:pPr>
      <w:r>
        <w:rPr>
          <w:rFonts w:ascii="Times New Roman" w:cs="Times New Roman" w:eastAsia="Times New Roman" w:hAnsi="Times New Roman"/>
          <w:sz w:val="18"/>
          <w:szCs w:val="18"/>
        </w:rPr>
        <w:t xml:space="preserve">This paper introduces MediScan AI, a ViT-based framework specifically designed for early TB detection from chest X-ray images. The key contributions of this work are as follows: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Proposal of a Vision Transformer-based architecture adapted for chest X-ray TB classification.</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Integration of advanced preprocessing and data augmentation strategies to improve model generalization.</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Comprehensive evaluation on three publicly available benchmark datasets (Montgomery, Shenzhen, and Kaggle).</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Comparative analysis against CNN baselines including VGG-16, ResNet-50, DenseNet-121, and EfficientNet-B4.</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Discussion of clinical applicability and prospects for real-time mobile deployment.</w:t>
      </w:r>
    </w:p>
    <w:p>
      <w:pPr>
        <w:spacing w:after="100" w:before="200"/>
      </w:pPr>
      <w:r>
        <w:rPr>
          <w:rFonts w:ascii="Times New Roman" w:cs="Times New Roman" w:eastAsia="Times New Roman" w:hAnsi="Times New Roman"/>
          <w:b/>
          <w:bCs/>
          <w:caps/>
          <w:sz w:val="22"/>
          <w:szCs w:val="22"/>
        </w:rPr>
        <w:t xml:space="preserve">2. LITERATURE REVIEW</w:t>
      </w:r>
    </w:p>
    <w:p>
      <w:pPr>
        <w:spacing w:after="60" w:before="60" w:line="240"/>
        <w:jc w:val="both"/>
      </w:pPr>
      <w:r>
        <w:rPr>
          <w:rFonts w:ascii="Times New Roman" w:cs="Times New Roman" w:eastAsia="Times New Roman" w:hAnsi="Times New Roman"/>
          <w:sz w:val="18"/>
          <w:szCs w:val="18"/>
        </w:rPr>
        <w:t xml:space="preserve">The application of deep learning to automated TB detection from chest radiographs has been an active area of research over the past decade. Early approaches primarily relied on hand-crafted feature extraction and classical machine learning classifiers such as Support Vector Machines (SVMs) and Random Forests. While these methods achieved modest performance, they required significant domain expertise in feature engineering.</w:t>
      </w:r>
    </w:p>
    <w:p>
      <w:pPr>
        <w:spacing w:after="60" w:before="60" w:line="240"/>
        <w:jc w:val="both"/>
      </w:pPr>
      <w:r>
        <w:rPr>
          <w:rFonts w:ascii="Times New Roman" w:cs="Times New Roman" w:eastAsia="Times New Roman" w:hAnsi="Times New Roman"/>
          <w:sz w:val="18"/>
          <w:szCs w:val="18"/>
        </w:rPr>
        <w:t xml:space="preserve">Lakhani and Sundaram (2017) demonstrated that deep CNN architectures—specifically AlexNet and GoogLeNet fine-tuned via transfer learning—could achieve radiologist-level performance on chest X-ray TB classification using the Montgomery and Shenzhen datasets. Their work established the feasibility of deep learning for this domain and inspired subsequent research.</w:t>
      </w:r>
    </w:p>
    <w:p>
      <w:pPr>
        <w:spacing w:after="60" w:before="60" w:line="240"/>
        <w:jc w:val="both"/>
      </w:pPr>
      <w:r>
        <w:rPr>
          <w:rFonts w:ascii="Times New Roman" w:cs="Times New Roman" w:eastAsia="Times New Roman" w:hAnsi="Times New Roman"/>
          <w:sz w:val="18"/>
          <w:szCs w:val="18"/>
        </w:rPr>
        <w:t xml:space="preserve">Rajpurkar et al. (2017) introduced CheXNet, a 121-layer DenseNet trained on the ChestX-ray14 dataset, which demonstrated superior performance across 14 different chest pathologies including TB-related conditions. The study marked a significant milestone in demonstrating that AI models could surpass average radiologist performance on specific diagnostic tasks.</w:t>
      </w:r>
    </w:p>
    <w:p>
      <w:pPr>
        <w:spacing w:after="60" w:before="60" w:line="240"/>
        <w:jc w:val="both"/>
      </w:pPr>
      <w:r>
        <w:rPr>
          <w:rFonts w:ascii="Times New Roman" w:cs="Times New Roman" w:eastAsia="Times New Roman" w:hAnsi="Times New Roman"/>
          <w:sz w:val="18"/>
          <w:szCs w:val="18"/>
        </w:rPr>
        <w:t xml:space="preserve">Pham (2021) systematically evaluated various CNN architectures including VGG, ResNet, and DenseNet variants specifically on TB detection tasks. The study found that DenseNet-121 with transfer learning and class-weighted loss functions achieved the best balance of sensitivity and specificity. However, CNN-based models consistently struggled with false negatives in early-stage TB due to subtle radiographic findings.</w:t>
      </w:r>
    </w:p>
    <w:p>
      <w:pPr>
        <w:spacing w:after="60" w:before="60" w:line="240"/>
        <w:jc w:val="both"/>
      </w:pPr>
      <w:r>
        <w:rPr>
          <w:rFonts w:ascii="Times New Roman" w:cs="Times New Roman" w:eastAsia="Times New Roman" w:hAnsi="Times New Roman"/>
          <w:sz w:val="18"/>
          <w:szCs w:val="18"/>
        </w:rPr>
        <w:t xml:space="preserve">Islam et al. (2020) proposed a hybrid approach combining CNN feature extraction with LSTM-based sequence modeling to capture spatial relationships in chest X-ray patches, achieving improved performance on the Shenzhen dataset. However, the sequential processing overhead limited real-time applicability.</w:t>
      </w:r>
    </w:p>
    <w:p>
      <w:pPr>
        <w:spacing w:after="60" w:before="60" w:line="240"/>
        <w:jc w:val="both"/>
      </w:pPr>
      <w:r>
        <w:rPr>
          <w:rFonts w:ascii="Times New Roman" w:cs="Times New Roman" w:eastAsia="Times New Roman" w:hAnsi="Times New Roman"/>
          <w:sz w:val="18"/>
          <w:szCs w:val="18"/>
        </w:rPr>
        <w:t xml:space="preserve">The introduction of Vision Transformers by Dosovitskiy et al. (2020) opened new possibilities for medical image analysis. Chen et al. (2021) proposed TransUNet, applying ViT to medical image segmentation with significantly improved results. Matsoukas et al. (2021) demonstrated that ViTs pretrained on ImageNet could be effectively fine-tuned for medical classification tasks, achieving competitive or superior performance compared to CNNs.</w:t>
      </w:r>
    </w:p>
    <w:p>
      <w:pPr>
        <w:spacing w:after="60" w:before="60" w:line="240"/>
        <w:jc w:val="both"/>
      </w:pPr>
      <w:r>
        <w:rPr>
          <w:rFonts w:ascii="Times New Roman" w:cs="Times New Roman" w:eastAsia="Times New Roman" w:hAnsi="Times New Roman"/>
          <w:sz w:val="18"/>
          <w:szCs w:val="18"/>
        </w:rPr>
        <w:t xml:space="preserve">Despite these advances, no prior study has systematically adapted and evaluated a ViT-based framework specifically for tuberculosis detection across multiple benchmark datasets with comprehensive ablation analysis. MediScan AI addresses this gap, leveraging the global attention mechanism of ViTs to improve early TB detection accuracy and robustness.</w:t>
      </w:r>
    </w:p>
    <w:p>
      <w:pPr>
        <w:spacing w:after="100" w:before="200"/>
      </w:pPr>
      <w:r>
        <w:rPr>
          <w:rFonts w:ascii="Times New Roman" w:cs="Times New Roman" w:eastAsia="Times New Roman" w:hAnsi="Times New Roman"/>
          <w:b/>
          <w:bCs/>
          <w:caps/>
          <w:sz w:val="22"/>
          <w:szCs w:val="22"/>
        </w:rPr>
        <w:t xml:space="preserve">3. PROPOSED METHODOLOGY</w:t>
      </w:r>
    </w:p>
    <w:p>
      <w:pPr>
        <w:spacing w:after="100" w:before="200"/>
      </w:pPr>
      <w:r>
        <w:rPr>
          <w:rFonts w:ascii="Times New Roman" w:cs="Times New Roman" w:eastAsia="Times New Roman" w:hAnsi="Times New Roman"/>
          <w:b/>
          <w:bCs/>
          <w:caps w:val="false"/>
          <w:sz w:val="20"/>
          <w:szCs w:val="20"/>
        </w:rPr>
        <w:t xml:space="preserve">3.1 System Overview</w:t>
      </w:r>
    </w:p>
    <w:p>
      <w:pPr>
        <w:spacing w:after="60" w:before="60" w:line="240"/>
        <w:jc w:val="both"/>
      </w:pPr>
      <w:r>
        <w:rPr>
          <w:rFonts w:ascii="Times New Roman" w:cs="Times New Roman" w:eastAsia="Times New Roman" w:hAnsi="Times New Roman"/>
          <w:sz w:val="18"/>
          <w:szCs w:val="18"/>
        </w:rPr>
        <w:t xml:space="preserve">The MediScan AI framework follows a systematic pipeline comprising five main stages: (1) Data Collection and Preprocessing, (2) Patch Embedding, (3) Vision Transformer Encoding, (4) Classification Head, and (5) Model Evaluation. The overall architecture is designed for end-to-end training and inference on chest X-ray images.</w:t>
      </w:r>
    </w:p>
    <w:p>
      <w:pPr>
        <w:spacing w:after="100" w:before="200"/>
      </w:pPr>
      <w:r>
        <w:rPr>
          <w:rFonts w:ascii="Times New Roman" w:cs="Times New Roman" w:eastAsia="Times New Roman" w:hAnsi="Times New Roman"/>
          <w:b/>
          <w:bCs/>
          <w:caps w:val="false"/>
          <w:sz w:val="20"/>
          <w:szCs w:val="20"/>
        </w:rPr>
        <w:t xml:space="preserve">3.2 Dataset Collection</w:t>
      </w:r>
    </w:p>
    <w:p>
      <w:pPr>
        <w:spacing w:after="60" w:before="60" w:line="240"/>
        <w:jc w:val="both"/>
      </w:pPr>
      <w:r>
        <w:rPr>
          <w:rFonts w:ascii="Times New Roman" w:cs="Times New Roman" w:eastAsia="Times New Roman" w:hAnsi="Times New Roman"/>
          <w:sz w:val="18"/>
          <w:szCs w:val="18"/>
        </w:rPr>
        <w:t xml:space="preserve">Three publicly available benchmark datasets were used in this study: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Montgomery County X-ray Dataset: Collected by the Department of Health and Human Services of Montgomery County, MD, USA. It contains 138 chest X-rays (80 normal, 58 TB-positive), annotated by radiologists.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Shenzhen Hospital X-ray Dataset: Collected from Shenzhen No.3 People's Hospital, China. It contains 662 chest X-rays (326 normal, 336 TB-positive), with associated clinical reports.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Kaggle TB Chest X-ray Dataset: A curated compilation available on Kaggle containing 3,500 labeled images (1,750 normal, 1,750 TB-positive), providing additional training volume.</w:t>
      </w:r>
    </w:p>
    <w:p>
      <w:pPr>
        <w:spacing w:after="60" w:before="60" w:line="240"/>
        <w:jc w:val="both"/>
      </w:pPr>
      <w:r>
        <w:rPr>
          <w:rFonts w:ascii="Times New Roman" w:cs="Times New Roman" w:eastAsia="Times New Roman" w:hAnsi="Times New Roman"/>
          <w:sz w:val="18"/>
          <w:szCs w:val="18"/>
        </w:rPr>
        <w:t xml:space="preserve">The combined dataset consists of 4,300 images, split into 70% training (3,010), 15% validation (645), and 15% testing (645) sets using stratified sampling to maintain class balance across splits.</w:t>
      </w:r>
    </w:p>
    <w:p>
      <w:pPr>
        <w:spacing w:after="100" w:before="200"/>
      </w:pPr>
      <w:r>
        <w:rPr>
          <w:rFonts w:ascii="Times New Roman" w:cs="Times New Roman" w:eastAsia="Times New Roman" w:hAnsi="Times New Roman"/>
          <w:b/>
          <w:bCs/>
          <w:caps w:val="false"/>
          <w:sz w:val="20"/>
          <w:szCs w:val="20"/>
        </w:rPr>
        <w:t xml:space="preserve">3.3 Image Preprocessing</w:t>
      </w:r>
    </w:p>
    <w:p>
      <w:pPr>
        <w:spacing w:after="60" w:before="60" w:line="240"/>
        <w:jc w:val="both"/>
      </w:pPr>
      <w:r>
        <w:rPr>
          <w:rFonts w:ascii="Times New Roman" w:cs="Times New Roman" w:eastAsia="Times New Roman" w:hAnsi="Times New Roman"/>
          <w:sz w:val="18"/>
          <w:szCs w:val="18"/>
        </w:rPr>
        <w:t xml:space="preserve">All chest X-ray images were subjected to a standardized preprocessing pipeline before feeding into the model:</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Resizing: All images were resized to 224×224 pixels, consistent with standard ViT input requirements.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Normalization: Pixel values were normalized to the range [0, 1] using ImageNet mean (0.485, 0.456, 0.406) and standard deviation (0.229, 0.224, 0.225) for transfer learning compatibility.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Contrast Enhancement: Contrast Limited Adaptive Histogram Equalization (CLAHE) was applied to enhance local contrast and improve visibility of subtle pathological features.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Data Augmentation: To mitigate overfitting and improve generalization, the training set was augmented using random horizontal flipping, rotation (±15°), brightness/contrast jitter, and Gaussian noise addition.</w:t>
      </w:r>
    </w:p>
    <w:p>
      <w:pPr>
        <w:spacing w:after="100" w:before="200"/>
      </w:pPr>
      <w:r>
        <w:rPr>
          <w:rFonts w:ascii="Times New Roman" w:cs="Times New Roman" w:eastAsia="Times New Roman" w:hAnsi="Times New Roman"/>
          <w:b/>
          <w:bCs/>
          <w:caps w:val="false"/>
          <w:sz w:val="20"/>
          <w:szCs w:val="20"/>
        </w:rPr>
        <w:t xml:space="preserve">3.4 Vision Transformer Architecture</w:t>
      </w:r>
    </w:p>
    <w:p>
      <w:pPr>
        <w:spacing w:after="60" w:before="60" w:line="240"/>
        <w:jc w:val="both"/>
      </w:pPr>
      <w:r>
        <w:rPr>
          <w:rFonts w:ascii="Times New Roman" w:cs="Times New Roman" w:eastAsia="Times New Roman" w:hAnsi="Times New Roman"/>
          <w:sz w:val="18"/>
          <w:szCs w:val="18"/>
        </w:rPr>
        <w:t xml:space="preserve">The core of MediScan AI is based on the Vision Transformer (ViT-B/16) architecture. The model processes chest X-ray images through the following stages: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Patch Extraction: Each 224×224 input image is divided into 196 non-overlapping patches of size 16×16 pixels.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Linear Patch Embedding: Each flattened patch (768-dimensional vector) is projected into a D=768 dimensional embedding space via a learnable linear projection layer.</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Positional Encoding: Learnable 1D positional embeddings are added to each patch token to encode spatial location information within the image.</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Class Token: A learnable [CLS] token is prepended to the patch sequence, serving as the aggregate representation for classification.</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Transformer Encoder: The token sequence is processed by 12 stacked Transformer encoder blocks, each comprising Multi-Head Self-Attention (MHSA) with 12 heads, Layer Normalization (LN), and a 2-layer MLP with GELU activation. Dropout (rate=0.1) is applied for regularization.</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Classification Head: The [CLS] token output is passed through a fully connected layer with softmax activation for binary classification (TB-positive / Normal).</w:t>
      </w:r>
    </w:p>
    <w:p>
      <w:pPr>
        <w:spacing w:after="60" w:before="60" w:line="240"/>
        <w:jc w:val="both"/>
      </w:pPr>
      <w:r>
        <w:rPr>
          <w:rFonts w:ascii="Times New Roman" w:cs="Times New Roman" w:eastAsia="Times New Roman" w:hAnsi="Times New Roman"/>
          <w:sz w:val="18"/>
          <w:szCs w:val="18"/>
        </w:rPr>
        <w:t xml:space="preserve">The model was initialized with ViT-B/16 weights pretrained on ImageNet-21k and fine-tuned end-to-end on the combined TB dataset. The Adam optimizer was used with an initial learning rate of 1×10⁻⁴, weight decay of 1×10⁻², and cosine annealing scheduling over 50 epochs with early stopping.</w:t>
      </w:r>
    </w:p>
    <w:p>
      <w:pPr>
        <w:spacing w:after="100" w:before="200"/>
      </w:pPr>
      <w:r>
        <w:rPr>
          <w:rFonts w:ascii="Times New Roman" w:cs="Times New Roman" w:eastAsia="Times New Roman" w:hAnsi="Times New Roman"/>
          <w:b/>
          <w:bCs/>
          <w:caps/>
          <w:sz w:val="22"/>
          <w:szCs w:val="22"/>
        </w:rPr>
        <w:t xml:space="preserve">4. SYSTEM ARCHITECTURE</w:t>
      </w:r>
    </w:p>
    <w:p>
      <w:pPr>
        <w:spacing w:after="60" w:before="60" w:line="240"/>
        <w:jc w:val="both"/>
      </w:pPr>
      <w:r>
        <w:rPr>
          <w:rFonts w:ascii="Times New Roman" w:cs="Times New Roman" w:eastAsia="Times New Roman" w:hAnsi="Times New Roman"/>
          <w:sz w:val="18"/>
          <w:szCs w:val="18"/>
        </w:rPr>
        <w:t xml:space="preserve">The complete MediScan AI system architecture is structured as a modular pipeline to support both training and inference workflows. Figure 1 illustrates the high-level architecture.</w:t>
      </w:r>
    </w:p>
    <w:p>
      <w:pPr>
        <w:spacing w:after="40" w:before="80"/>
      </w:pPr>
      <w:r>
        <w:rPr>
          <w:rFonts w:ascii="Times New Roman" w:cs="Times New Roman" w:eastAsia="Times New Roman" w:hAnsi="Times New Roman"/>
          <w:b/>
          <w:bCs/>
          <w:sz w:val="18"/>
          <w:szCs w:val="18"/>
        </w:rPr>
        <w:t xml:space="preserve">Table 1: MediScan AI Processing Pipeline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026"/>
      </w:tblGrid>
      <w:tr>
        <w:trPr>
          <w:tblHeader/>
        </w:trPr>
        <w:tc>
          <w:tcPr>
            <w:tcW w:type="dxa" w:w="20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18"/>
                <w:szCs w:val="18"/>
              </w:rPr>
              <w:t xml:space="preserve">Stage</w:t>
            </w:r>
          </w:p>
        </w:tc>
        <w:tc>
          <w:tcPr>
            <w:tcW w:type="dxa" w:w="30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Component</w:t>
            </w:r>
          </w:p>
        </w:tc>
        <w:tc>
          <w:tcPr>
            <w:tcW w:type="dxa" w:w="40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Description</w:t>
            </w:r>
          </w:p>
        </w:tc>
      </w:tr>
      <w:tr>
        <w:tc>
          <w:tcPr>
            <w:tcW w:type="dxa" w:w="2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1</w:t>
            </w:r>
          </w:p>
        </w:tc>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Input</w:t>
            </w:r>
          </w:p>
        </w:tc>
        <w:tc>
          <w:tcPr>
            <w:tcW w:type="dxa" w:w="40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Chest X-ray image (DICOM / PNG / JPEG)</w:t>
            </w:r>
          </w:p>
        </w:tc>
      </w:tr>
      <w:tr>
        <w:tc>
          <w:tcPr>
            <w:tcW w:type="dxa" w:w="2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2</w:t>
            </w:r>
          </w:p>
        </w:tc>
        <w:tc>
          <w:tcPr>
            <w:tcW w:type="dxa" w:w="3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Preprocessing</w:t>
            </w:r>
          </w:p>
        </w:tc>
        <w:tc>
          <w:tcPr>
            <w:tcW w:type="dxa" w:w="40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Resize to 224×224, CLAHE, normalization, augmentation</w:t>
            </w:r>
          </w:p>
        </w:tc>
      </w:tr>
      <w:tr>
        <w:tc>
          <w:tcPr>
            <w:tcW w:type="dxa" w:w="2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3</w:t>
            </w:r>
          </w:p>
        </w:tc>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Patch Embedding</w:t>
            </w:r>
          </w:p>
        </w:tc>
        <w:tc>
          <w:tcPr>
            <w:tcW w:type="dxa" w:w="40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Divide into 16×16 patches, linear projection to 768-d tokens</w:t>
            </w:r>
          </w:p>
        </w:tc>
      </w:tr>
      <w:tr>
        <w:tc>
          <w:tcPr>
            <w:tcW w:type="dxa" w:w="2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4</w:t>
            </w:r>
          </w:p>
        </w:tc>
        <w:tc>
          <w:tcPr>
            <w:tcW w:type="dxa" w:w="3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Positional Encoding</w:t>
            </w:r>
          </w:p>
        </w:tc>
        <w:tc>
          <w:tcPr>
            <w:tcW w:type="dxa" w:w="40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Learnable 1D positional embeddings + [CLS] token</w:t>
            </w:r>
          </w:p>
        </w:tc>
      </w:tr>
      <w:tr>
        <w:tc>
          <w:tcPr>
            <w:tcW w:type="dxa" w:w="2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5</w:t>
            </w:r>
          </w:p>
        </w:tc>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ViT Encoder (×12)</w:t>
            </w:r>
          </w:p>
        </w:tc>
        <w:tc>
          <w:tcPr>
            <w:tcW w:type="dxa" w:w="40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MHSA (12 heads) + LayerNorm + MLP (GELU) + Dropout</w:t>
            </w:r>
          </w:p>
        </w:tc>
      </w:tr>
      <w:tr>
        <w:tc>
          <w:tcPr>
            <w:tcW w:type="dxa" w:w="2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6</w:t>
            </w:r>
          </w:p>
        </w:tc>
        <w:tc>
          <w:tcPr>
            <w:tcW w:type="dxa" w:w="3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Classification Head</w:t>
            </w:r>
          </w:p>
        </w:tc>
        <w:tc>
          <w:tcPr>
            <w:tcW w:type="dxa" w:w="40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FC layer + Softmax → TB-Positive / Normal</w:t>
            </w:r>
          </w:p>
        </w:tc>
      </w:tr>
      <w:tr>
        <w:tc>
          <w:tcPr>
            <w:tcW w:type="dxa" w:w="2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7</w:t>
            </w:r>
          </w:p>
        </w:tc>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Output</w:t>
            </w:r>
          </w:p>
        </w:tc>
        <w:tc>
          <w:tcPr>
            <w:tcW w:type="dxa" w:w="40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18"/>
                <w:szCs w:val="18"/>
              </w:rPr>
              <w:t xml:space="preserve">Diagnosis label + Confidence score + Attention heatmap</w:t>
            </w:r>
          </w:p>
        </w:tc>
      </w:tr>
    </w:tbl>
    <w:p>
      <w:pPr>
        <w:spacing w:after="60" w:before="60" w:line="240"/>
        <w:jc w:val="both"/>
      </w:pPr>
      <w:r>
        <w:rPr>
          <w:rFonts w:ascii="Times New Roman" w:cs="Times New Roman" w:eastAsia="Times New Roman" w:hAnsi="Times New Roman"/>
          <w:sz w:val="18"/>
          <w:szCs w:val="18"/>
        </w:rPr>
        <w:t xml:space="preserve">The system is designed with modular components to allow independent updates to the preprocessing pipeline, model backbone, or classification head without restructuring the entire framework. An attention rollout visualization module is integrated to generate heatmaps that highlight the image regions most influential in the model's decision, enhancing clinical interpretability.</w:t>
      </w:r>
    </w:p>
    <w:p>
      <w:pPr>
        <w:spacing w:after="100" w:before="200"/>
      </w:pPr>
      <w:r>
        <w:rPr>
          <w:rFonts w:ascii="Times New Roman" w:cs="Times New Roman" w:eastAsia="Times New Roman" w:hAnsi="Times New Roman"/>
          <w:b/>
          <w:bCs/>
          <w:caps/>
          <w:sz w:val="22"/>
          <w:szCs w:val="22"/>
        </w:rPr>
        <w:t xml:space="preserve">5. EXPERIMENTAL RESULTS</w:t>
      </w:r>
    </w:p>
    <w:p>
      <w:pPr>
        <w:spacing w:after="100" w:before="200"/>
      </w:pPr>
      <w:r>
        <w:rPr>
          <w:rFonts w:ascii="Times New Roman" w:cs="Times New Roman" w:eastAsia="Times New Roman" w:hAnsi="Times New Roman"/>
          <w:b/>
          <w:bCs/>
          <w:caps w:val="false"/>
          <w:sz w:val="20"/>
          <w:szCs w:val="20"/>
        </w:rPr>
        <w:t xml:space="preserve">5.1 Evaluation Metrics</w:t>
      </w:r>
    </w:p>
    <w:p>
      <w:pPr>
        <w:spacing w:after="60" w:before="60" w:line="240"/>
        <w:jc w:val="both"/>
      </w:pPr>
      <w:r>
        <w:rPr>
          <w:rFonts w:ascii="Times New Roman" w:cs="Times New Roman" w:eastAsia="Times New Roman" w:hAnsi="Times New Roman"/>
          <w:sz w:val="18"/>
          <w:szCs w:val="18"/>
        </w:rPr>
        <w:t xml:space="preserve">Model performance was evaluated using the following standard binary classification metrics: Accuracy, Sensitivity (Recall), Specificity, Precision, F1-Score, and Area Under the ROC Curve (AUC-ROC). These metrics provide a comprehensive view of model performance across both positive (TB) and negative (Normal) classes.</w:t>
      </w:r>
    </w:p>
    <w:p>
      <w:pPr>
        <w:spacing w:after="100" w:before="200"/>
      </w:pPr>
      <w:r>
        <w:rPr>
          <w:rFonts w:ascii="Times New Roman" w:cs="Times New Roman" w:eastAsia="Times New Roman" w:hAnsi="Times New Roman"/>
          <w:b/>
          <w:bCs/>
          <w:caps w:val="false"/>
          <w:sz w:val="20"/>
          <w:szCs w:val="20"/>
        </w:rPr>
        <w:t xml:space="preserve">5.2 Performance Results</w:t>
      </w:r>
    </w:p>
    <w:p>
      <w:pPr>
        <w:spacing w:after="40" w:before="80"/>
      </w:pPr>
      <w:r>
        <w:rPr>
          <w:rFonts w:ascii="Times New Roman" w:cs="Times New Roman" w:eastAsia="Times New Roman" w:hAnsi="Times New Roman"/>
          <w:b/>
          <w:bCs/>
          <w:sz w:val="18"/>
          <w:szCs w:val="18"/>
        </w:rPr>
        <w:t xml:space="preserve">Table 2: MediScan AI Performance on Combined Test Set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26"/>
        <w:gridCol w:w="1426"/>
        <w:gridCol w:w="1426"/>
        <w:gridCol w:w="1426"/>
        <w:gridCol w:w="822"/>
      </w:tblGrid>
      <w:tr>
        <w:trPr>
          <w:tblHeader/>
        </w:trPr>
        <w:tc>
          <w:tcPr>
            <w:tcW w:type="dxa" w:w="25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Model</w:t>
            </w:r>
          </w:p>
        </w:tc>
        <w:tc>
          <w:tcPr>
            <w:tcW w:type="dxa" w:w="14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Accuracy</w:t>
            </w:r>
          </w:p>
        </w:tc>
        <w:tc>
          <w:tcPr>
            <w:tcW w:type="dxa" w:w="14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Sensitivity</w:t>
            </w:r>
          </w:p>
        </w:tc>
        <w:tc>
          <w:tcPr>
            <w:tcW w:type="dxa" w:w="14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Specificity</w:t>
            </w:r>
          </w:p>
        </w:tc>
        <w:tc>
          <w:tcPr>
            <w:tcW w:type="dxa" w:w="14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F1-Score</w:t>
            </w:r>
          </w:p>
        </w:tc>
        <w:tc>
          <w:tcPr>
            <w:tcW w:type="dxa" w:w="822"/>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AUC</w:t>
            </w:r>
          </w:p>
        </w:tc>
      </w:tr>
      <w:tr>
        <w:tc>
          <w:tcPr>
            <w:tcW w:type="dxa" w:w="2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VGG-16 (Transfer)</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88.2%</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86.5%</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90.0%</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87.3%</w:t>
            </w:r>
          </w:p>
        </w:tc>
        <w:tc>
          <w:tcPr>
            <w:tcW w:type="dxa" w:w="822"/>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0.932</w:t>
            </w:r>
          </w:p>
        </w:tc>
      </w:tr>
      <w:tr>
        <w:tc>
          <w:tcPr>
            <w:tcW w:type="dxa" w:w="25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ResNet-50</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91.4%</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90.1%</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92.7%</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91.0%</w:t>
            </w:r>
          </w:p>
        </w:tc>
        <w:tc>
          <w:tcPr>
            <w:tcW w:type="dxa" w:w="822"/>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0.951</w:t>
            </w:r>
          </w:p>
        </w:tc>
      </w:tr>
      <w:tr>
        <w:tc>
          <w:tcPr>
            <w:tcW w:type="dxa" w:w="2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DenseNet-121</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93.7%</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92.8%</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94.6%</w:t>
            </w:r>
          </w:p>
        </w:tc>
        <w:tc>
          <w:tcPr>
            <w:tcW w:type="dxa" w:w="14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93.2%</w:t>
            </w:r>
          </w:p>
        </w:tc>
        <w:tc>
          <w:tcPr>
            <w:tcW w:type="dxa" w:w="822"/>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0.968</w:t>
            </w:r>
          </w:p>
        </w:tc>
      </w:tr>
      <w:tr>
        <w:tc>
          <w:tcPr>
            <w:tcW w:type="dxa" w:w="25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EfficientNet-B4</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94.1%</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93.5%</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94.8%</w:t>
            </w:r>
          </w:p>
        </w:tc>
        <w:tc>
          <w:tcPr>
            <w:tcW w:type="dxa" w:w="14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93.9%</w:t>
            </w:r>
          </w:p>
        </w:tc>
        <w:tc>
          <w:tcPr>
            <w:tcW w:type="dxa" w:w="822"/>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18"/>
                <w:szCs w:val="18"/>
              </w:rPr>
              <w:t xml:space="preserve">0.971</w:t>
            </w:r>
          </w:p>
        </w:tc>
      </w:tr>
      <w:tr>
        <w:tc>
          <w:tcPr>
            <w:tcW w:type="dxa" w:w="2500"/>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MediScan AI (ViT-B/16)</w:t>
            </w:r>
          </w:p>
        </w:tc>
        <w:tc>
          <w:tcPr>
            <w:tcW w:type="dxa" w:w="1426"/>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96.4%</w:t>
            </w:r>
          </w:p>
        </w:tc>
        <w:tc>
          <w:tcPr>
            <w:tcW w:type="dxa" w:w="1426"/>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95.8%</w:t>
            </w:r>
          </w:p>
        </w:tc>
        <w:tc>
          <w:tcPr>
            <w:tcW w:type="dxa" w:w="1426"/>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97.1%</w:t>
            </w:r>
          </w:p>
        </w:tc>
        <w:tc>
          <w:tcPr>
            <w:tcW w:type="dxa" w:w="1426"/>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96.2%</w:t>
            </w:r>
          </w:p>
        </w:tc>
        <w:tc>
          <w:tcPr>
            <w:tcW w:type="dxa" w:w="822"/>
            <w:tcBorders>
              <w:top w:val="single" w:color="000000" w:sz="4"/>
              <w:left w:val="single" w:color="000000" w:sz="4"/>
              <w:bottom w:val="single" w:color="000000" w:sz="4"/>
              <w:right w:val="single" w:color="000000" w:sz="4"/>
            </w:tcBorders>
            <w:shd w:fill="D5E8D4" w:val="clear"/>
            <w:tcMar>
              <w:top w:type="dxa" w:w="80"/>
              <w:left w:type="dxa" w:w="120"/>
              <w:bottom w:type="dxa" w:w="80"/>
              <w:right w:type="dxa" w:w="120"/>
            </w:tcMar>
          </w:tcPr>
          <w:p>
            <w:pPr>
              <w:jc w:val="center"/>
            </w:pPr>
            <w:r>
              <w:rPr>
                <w:rFonts w:ascii="Times New Roman" w:cs="Times New Roman" w:eastAsia="Times New Roman" w:hAnsi="Times New Roman"/>
                <w:b/>
                <w:bCs/>
                <w:sz w:val="18"/>
                <w:szCs w:val="18"/>
              </w:rPr>
              <w:t xml:space="preserve">0.983</w:t>
            </w:r>
          </w:p>
        </w:tc>
      </w:tr>
    </w:tbl>
    <w:p>
      <w:pPr>
        <w:spacing w:after="60" w:before="60" w:line="240"/>
        <w:jc w:val="both"/>
      </w:pPr>
      <w:r>
        <w:rPr>
          <w:rFonts w:ascii="Times New Roman" w:cs="Times New Roman" w:eastAsia="Times New Roman" w:hAnsi="Times New Roman"/>
          <w:sz w:val="18"/>
          <w:szCs w:val="18"/>
        </w:rPr>
        <w:t xml:space="preserve">MediScan AI achieves the highest performance across all evaluation metrics, with an accuracy of 96.4% and AUC-ROC of 0.983, demonstrating substantial improvements over all CNN-based baselines. The high sensitivity (95.8%) is particularly significant in the clinical context of TB screening, where false negatives carry severe consequences for patient health outcomes.</w:t>
      </w:r>
    </w:p>
    <w:p>
      <w:pPr>
        <w:spacing w:after="100" w:before="200"/>
      </w:pPr>
      <w:r>
        <w:rPr>
          <w:rFonts w:ascii="Times New Roman" w:cs="Times New Roman" w:eastAsia="Times New Roman" w:hAnsi="Times New Roman"/>
          <w:b/>
          <w:bCs/>
          <w:caps w:val="false"/>
          <w:sz w:val="20"/>
          <w:szCs w:val="20"/>
        </w:rPr>
        <w:t xml:space="preserve">5.3 Dataset-wise Performance</w:t>
      </w:r>
    </w:p>
    <w:p>
      <w:pPr>
        <w:spacing w:after="40" w:before="80"/>
      </w:pPr>
      <w:r>
        <w:rPr>
          <w:rFonts w:ascii="Times New Roman" w:cs="Times New Roman" w:eastAsia="Times New Roman" w:hAnsi="Times New Roman"/>
          <w:b/>
          <w:bCs/>
          <w:sz w:val="18"/>
          <w:szCs w:val="18"/>
        </w:rPr>
        <w:t xml:space="preserve">Table 3: Dataset-wise Accuracy Comparison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26"/>
        <w:gridCol w:w="1500"/>
        <w:gridCol w:w="1500"/>
      </w:tblGrid>
      <w:tr>
        <w:trPr>
          <w:tblHeader/>
        </w:trPr>
        <w:tc>
          <w:tcPr>
            <w:tcW w:type="dxa" w:w="30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Dataset</w:t>
            </w:r>
          </w:p>
        </w:tc>
        <w:tc>
          <w:tcPr>
            <w:tcW w:type="dxa" w:w="15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Total Images</w:t>
            </w:r>
          </w:p>
        </w:tc>
        <w:tc>
          <w:tcPr>
            <w:tcW w:type="dxa" w:w="1526"/>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TB-Positive</w:t>
            </w:r>
          </w:p>
        </w:tc>
        <w:tc>
          <w:tcPr>
            <w:tcW w:type="dxa" w:w="15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Normal</w:t>
            </w:r>
          </w:p>
        </w:tc>
        <w:tc>
          <w:tcPr>
            <w:tcW w:type="dxa" w:w="1500"/>
            <w:tcBorders>
              <w:top w:val="single" w:color="000000" w:sz="4"/>
              <w:left w:val="single" w:color="000000" w:sz="4"/>
              <w:bottom w:val="single" w:color="000000" w:sz="4"/>
              <w:right w:val="single" w:color="000000" w:sz="4"/>
            </w:tcBorders>
            <w:shd w:fill="2E4057"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18"/>
                <w:szCs w:val="18"/>
              </w:rPr>
              <w:t xml:space="preserve">Accuracy (MediScan AI)</w:t>
            </w:r>
          </w:p>
        </w:tc>
      </w:tr>
      <w:tr>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Montgomery County</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138</w:t>
            </w:r>
          </w:p>
        </w:tc>
        <w:tc>
          <w:tcPr>
            <w:tcW w:type="dxa" w:w="15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58</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80</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95.6%</w:t>
            </w:r>
          </w:p>
        </w:tc>
      </w:tr>
      <w:tr>
        <w:tc>
          <w:tcPr>
            <w:tcW w:type="dxa" w:w="30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Shenzhen Hospital</w:t>
            </w:r>
          </w:p>
        </w:tc>
        <w:tc>
          <w:tcPr>
            <w:tcW w:type="dxa" w:w="15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662</w:t>
            </w:r>
          </w:p>
        </w:tc>
        <w:tc>
          <w:tcPr>
            <w:tcW w:type="dxa" w:w="1526"/>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336</w:t>
            </w:r>
          </w:p>
        </w:tc>
        <w:tc>
          <w:tcPr>
            <w:tcW w:type="dxa" w:w="15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326</w:t>
            </w:r>
          </w:p>
        </w:tc>
        <w:tc>
          <w:tcPr>
            <w:tcW w:type="dxa" w:w="15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96.1%</w:t>
            </w:r>
          </w:p>
        </w:tc>
      </w:tr>
      <w:tr>
        <w:tc>
          <w:tcPr>
            <w:tcW w:type="dxa" w:w="30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Kaggle TB Dataset</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3500</w:t>
            </w:r>
          </w:p>
        </w:tc>
        <w:tc>
          <w:tcPr>
            <w:tcW w:type="dxa" w:w="1526"/>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1750</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1750</w:t>
            </w:r>
          </w:p>
        </w:tc>
        <w:tc>
          <w:tcPr>
            <w:tcW w:type="dxa" w:w="15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pPr>
              <w:jc w:val="center"/>
            </w:pPr>
            <w:r>
              <w:rPr>
                <w:rFonts w:ascii="Times New Roman" w:cs="Times New Roman" w:eastAsia="Times New Roman" w:hAnsi="Times New Roman"/>
                <w:sz w:val="18"/>
                <w:szCs w:val="18"/>
              </w:rPr>
              <w:t xml:space="preserve">96.7%</w:t>
            </w:r>
          </w:p>
        </w:tc>
      </w:tr>
    </w:tbl>
    <w:p>
      <w:pPr>
        <w:spacing w:after="100" w:before="200"/>
      </w:pPr>
      <w:r>
        <w:rPr>
          <w:rFonts w:ascii="Times New Roman" w:cs="Times New Roman" w:eastAsia="Times New Roman" w:hAnsi="Times New Roman"/>
          <w:b/>
          <w:bCs/>
          <w:caps/>
          <w:sz w:val="22"/>
          <w:szCs w:val="22"/>
        </w:rPr>
        <w:t xml:space="preserve">6. APPLICATIONS</w:t>
      </w:r>
    </w:p>
    <w:p>
      <w:pPr>
        <w:spacing w:after="60" w:before="60" w:line="240"/>
        <w:jc w:val="both"/>
      </w:pPr>
      <w:r>
        <w:rPr>
          <w:rFonts w:ascii="Times New Roman" w:cs="Times New Roman" w:eastAsia="Times New Roman" w:hAnsi="Times New Roman"/>
          <w:sz w:val="18"/>
          <w:szCs w:val="18"/>
        </w:rPr>
        <w:t xml:space="preserve">The MediScan AI framework has broad applicability across diverse healthcare settings: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Hospital Radiology Departments: As a clinical decision support tool to assist radiologists in prioritizing and reviewing chest X-rays, reducing turnaround time and increasing diagnostic throughput.</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Diagnostic Centers and Screening Camps: For automated preliminary screening in TB screening programs, enabling high-volume population screening without proportional increase in radiologist workload.</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Rural and Resource-Limited Healthcare Settings: Deployment via mobile applications or telemedicine platforms to extend diagnostic services to areas lacking radiological expertise, addressing the last-mile healthcare challenge.</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Integrated Electronic Health Record (EHR) Systems: Integration with hospital information systems for seamless documentation, audit trails, and longitudinal patient outcome tracking.</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Public Health Surveillance: Aggregated anonymized outputs can assist public health authorities in monitoring TB epidemiology and identifying geographic hotspots for targeted intervention.</w:t>
      </w:r>
    </w:p>
    <w:p>
      <w:pPr>
        <w:spacing w:after="100" w:before="200"/>
      </w:pPr>
      <w:r>
        <w:rPr>
          <w:rFonts w:ascii="Times New Roman" w:cs="Times New Roman" w:eastAsia="Times New Roman" w:hAnsi="Times New Roman"/>
          <w:b/>
          <w:bCs/>
          <w:caps/>
          <w:sz w:val="22"/>
          <w:szCs w:val="22"/>
        </w:rPr>
        <w:t xml:space="preserve">7. DISCUSSION</w:t>
      </w:r>
    </w:p>
    <w:p>
      <w:pPr>
        <w:spacing w:after="60" w:before="60" w:line="240"/>
        <w:jc w:val="both"/>
      </w:pPr>
      <w:r>
        <w:rPr>
          <w:rFonts w:ascii="Times New Roman" w:cs="Times New Roman" w:eastAsia="Times New Roman" w:hAnsi="Times New Roman"/>
          <w:sz w:val="18"/>
          <w:szCs w:val="18"/>
        </w:rPr>
        <w:t xml:space="preserve">The superior performance of MediScan AI relative to CNN-based baselines can be attributed to the inherent strengths of the Vision Transformer architecture. Unlike CNNs, which build hierarchical feature representations through local convolutions, the self-attention mechanism in ViTs enables each patch to directly attend to all other patches in the image. This global receptive field allows the model to capture clinically relevant distributed patterns in TB-affected chest X-rays—such as bilateral upper lobe infiltrates, cavitation, and mediastinal widening—that may not be effectively encoded by locally-constrained convolutional filters.</w:t>
      </w:r>
    </w:p>
    <w:p>
      <w:pPr>
        <w:spacing w:after="60" w:before="60" w:line="240"/>
        <w:jc w:val="both"/>
      </w:pPr>
      <w:r>
        <w:rPr>
          <w:rFonts w:ascii="Times New Roman" w:cs="Times New Roman" w:eastAsia="Times New Roman" w:hAnsi="Times New Roman"/>
          <w:sz w:val="18"/>
          <w:szCs w:val="18"/>
        </w:rPr>
        <w:t xml:space="preserve">The attention heatmaps generated by MediScan AI provide clinically interpretable visualizations aligned with established radiological findings. Qualitative analysis showed that high-attention regions consistently correspond to TB-characteristic areas including upper lobe opacities, pleural effusion zones, and hilar lymphadenopathy, lending clinical credibility to the model's decision-making process.</w:t>
      </w:r>
    </w:p>
    <w:p>
      <w:pPr>
        <w:spacing w:after="60" w:before="60" w:line="240"/>
        <w:jc w:val="both"/>
      </w:pPr>
      <w:r>
        <w:rPr>
          <w:rFonts w:ascii="Times New Roman" w:cs="Times New Roman" w:eastAsia="Times New Roman" w:hAnsi="Times New Roman"/>
          <w:sz w:val="18"/>
          <w:szCs w:val="18"/>
        </w:rPr>
        <w:t xml:space="preserve">However, certain limitations of this study should be acknowledged. The relatively small size of the Montgomery County dataset (138 images) may limit the statistical significance of performance estimates on that subset. Furthermore, while the combined dataset is balanced, real-world screening environments typically encounter highly imbalanced class distributions with TB prevalence as low as 1–5%. Future work should evaluate MediScan AI under realistic prevalence conditions and validate on prospective clinical cohorts.</w:t>
      </w:r>
    </w:p>
    <w:p>
      <w:pPr>
        <w:spacing w:after="100" w:before="200"/>
      </w:pPr>
      <w:r>
        <w:rPr>
          <w:rFonts w:ascii="Times New Roman" w:cs="Times New Roman" w:eastAsia="Times New Roman" w:hAnsi="Times New Roman"/>
          <w:b/>
          <w:bCs/>
          <w:caps/>
          <w:sz w:val="22"/>
          <w:szCs w:val="22"/>
        </w:rPr>
        <w:t xml:space="preserve">8. FUTURE WORK</w:t>
      </w:r>
    </w:p>
    <w:p>
      <w:pPr>
        <w:spacing w:after="60" w:before="60" w:line="240"/>
        <w:jc w:val="both"/>
      </w:pPr>
      <w:r>
        <w:rPr>
          <w:rFonts w:ascii="Times New Roman" w:cs="Times New Roman" w:eastAsia="Times New Roman" w:hAnsi="Times New Roman"/>
          <w:sz w:val="18"/>
          <w:szCs w:val="18"/>
        </w:rPr>
        <w:t xml:space="preserve">Several promising directions are identified for extending the MediScan AI framework:</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Real-Time Mobile Deployment: Development of a lightweight quantized variant (e.g., ViT-Tiny or MobileViT) to enable on-device inference on mobile and edge hardware, facilitating deployment in rural settings without reliable internet connectivity.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Multi-Modal Integration: Fusion of chest X-ray image features with structured clinical data (patient demographics, symptoms, lab results) using cross-modal attention to improve diagnostic accuracy.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Severity Grading: Extension of the binary classification framework to a multi-class grading system capable of staging TB severity (early / moderate / advanced), supporting treatment planning decisions.</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Federated Learning: Implementation of a federated learning approach to enable collaborative model training across multiple hospital sites while preserving patient data privacy.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Prospective Clinical Validation: Deployment of MediScan AI in real clinical workflows for prospective evaluation, including user studies with radiologists to assess usability, clinical utility, and impact on diagnostic accuracy.</w:t>
      </w:r>
    </w:p>
    <w:p>
      <w:pPr>
        <w:pStyle w:val="ListParagraph"/>
        <w:numPr>
          <w:ilvl w:val="0"/>
          <w:numId w:val="2"/>
        </w:numPr>
        <w:spacing w:after="40" w:before="40"/>
        <w:jc w:val="both"/>
      </w:pPr>
      <w:r>
        <w:rPr>
          <w:rFonts w:ascii="Times New Roman" w:cs="Times New Roman" w:eastAsia="Times New Roman" w:hAnsi="Times New Roman"/>
          <w:sz w:val="18"/>
          <w:szCs w:val="18"/>
        </w:rPr>
        <w:t xml:space="preserve">Differential Diagnosis Expansion: Extension of the framework to distinguish TB from visually similar conditions (pneumonia, lung cancer, sarcoidosis) for broader clinical applicability.</w:t>
      </w:r>
    </w:p>
    <w:p>
      <w:pPr>
        <w:spacing w:after="100" w:before="200"/>
      </w:pPr>
      <w:r>
        <w:rPr>
          <w:rFonts w:ascii="Times New Roman" w:cs="Times New Roman" w:eastAsia="Times New Roman" w:hAnsi="Times New Roman"/>
          <w:b/>
          <w:bCs/>
          <w:caps/>
          <w:sz w:val="22"/>
          <w:szCs w:val="22"/>
        </w:rPr>
        <w:t xml:space="preserve">9. CONCLUSION</w:t>
      </w:r>
    </w:p>
    <w:p>
      <w:pPr>
        <w:spacing w:after="60" w:before="60" w:line="240"/>
        <w:jc w:val="both"/>
      </w:pPr>
      <w:r>
        <w:rPr>
          <w:rFonts w:ascii="Times New Roman" w:cs="Times New Roman" w:eastAsia="Times New Roman" w:hAnsi="Times New Roman"/>
          <w:sz w:val="18"/>
          <w:szCs w:val="18"/>
        </w:rPr>
        <w:t xml:space="preserve">This paper presented MediScan AI, a Vision Transformer-based deep learning framework for early and accurate detection of tuberculosis from chest X-ray images. By leveraging the global self-attention mechanism of ViT-B/16, the proposed framework effectively captures long-range spatial dependencies and distributed pathological features that are characteristic of TB—overcoming fundamental limitations of prior CNN-based approaches.</w:t>
      </w:r>
    </w:p>
    <w:p>
      <w:pPr>
        <w:spacing w:after="60" w:before="60" w:line="240"/>
        <w:jc w:val="both"/>
      </w:pPr>
      <w:r>
        <w:rPr>
          <w:rFonts w:ascii="Times New Roman" w:cs="Times New Roman" w:eastAsia="Times New Roman" w:hAnsi="Times New Roman"/>
          <w:sz w:val="18"/>
          <w:szCs w:val="18"/>
        </w:rPr>
        <w:t xml:space="preserve">Experimental evaluation on three publicly available benchmark datasets (Montgomery, Shenzhen, Kaggle) demonstrated that MediScan AI achieves state-of-the-art performance with 96.4% accuracy, 95.8% sensitivity, 97.1% specificity, and 0.983 AUC-ROC, significantly outperforming VGG-16, ResNet-50, DenseNet-121, and EfficientNet-B4 baselines. The integrated attention visualization module enhances clinical interpretability by highlighting radiologically significant regions in the diagnosis.</w:t>
      </w:r>
    </w:p>
    <w:p>
      <w:pPr>
        <w:spacing w:after="60" w:before="60" w:line="240"/>
        <w:jc w:val="both"/>
      </w:pPr>
      <w:r>
        <w:rPr>
          <w:rFonts w:ascii="Times New Roman" w:cs="Times New Roman" w:eastAsia="Times New Roman" w:hAnsi="Times New Roman"/>
          <w:sz w:val="18"/>
          <w:szCs w:val="18"/>
        </w:rPr>
        <w:t xml:space="preserve">MediScan AI represents a significant step toward AI-assisted TB diagnosis and holds strong potential for real-world deployment as a decision-support tool in hospitals, diagnostic centers, and resource-limited healthcare settings. With further validation and mobile optimization, the framework can meaningfully contribute to global TB elimination goals by enabling faster, more accessible, and more consistent diagnostic screening.</w:t>
      </w:r>
    </w:p>
    <w:p>
      <w:pPr>
        <w:spacing w:after="100" w:before="200"/>
      </w:pPr>
      <w:r>
        <w:rPr>
          <w:rFonts w:ascii="Times New Roman" w:cs="Times New Roman" w:eastAsia="Times New Roman" w:hAnsi="Times New Roman"/>
          <w:b/>
          <w:bCs/>
          <w:caps/>
          <w:sz w:val="22"/>
          <w:szCs w:val="22"/>
        </w:rPr>
        <w:t xml:space="preserve">REFERENCES</w:t>
      </w:r>
    </w:p>
    <w:p>
      <w:pPr>
        <w:spacing w:after="40" w:before="40"/>
        <w:jc w:val="both"/>
      </w:pPr>
      <w:r>
        <w:rPr>
          <w:rFonts w:ascii="Times New Roman" w:cs="Times New Roman" w:eastAsia="Times New Roman" w:hAnsi="Times New Roman"/>
          <w:sz w:val="16"/>
          <w:szCs w:val="16"/>
        </w:rPr>
        <w:t xml:space="preserve">[1] Dosovitskiy, A., Beyer, L., Kolesnikov, A., Weissenborn, D., Zhai, X., Unterthiner, T., ... &amp; Houlsby, N. (2020). An Image is Worth 16x16 Words: Transformers for Image Recognition at Scale. arXiv:2010.11929.</w:t>
      </w:r>
    </w:p>
    <w:p>
      <w:pPr>
        <w:spacing w:after="40" w:before="40"/>
        <w:jc w:val="both"/>
      </w:pPr>
      <w:r>
        <w:rPr>
          <w:rFonts w:ascii="Times New Roman" w:cs="Times New Roman" w:eastAsia="Times New Roman" w:hAnsi="Times New Roman"/>
          <w:sz w:val="16"/>
          <w:szCs w:val="16"/>
        </w:rPr>
        <w:t xml:space="preserve">[2] Lakhani, P., &amp; Sundaram, B. (2017). Deep Learning at Chest Radiography: Automated Classification of Pulmonary Tuberculosis by Using Convolutional Neural Networks. Radiology, 284(2), 574-582.</w:t>
      </w:r>
    </w:p>
    <w:p>
      <w:pPr>
        <w:spacing w:after="40" w:before="40"/>
        <w:jc w:val="both"/>
      </w:pPr>
      <w:r>
        <w:rPr>
          <w:rFonts w:ascii="Times New Roman" w:cs="Times New Roman" w:eastAsia="Times New Roman" w:hAnsi="Times New Roman"/>
          <w:sz w:val="16"/>
          <w:szCs w:val="16"/>
        </w:rPr>
        <w:t xml:space="preserve">[3] Rajpurkar, P., Irvin, J., Ball, R. L., Zhu, K., Yang, B., Mehta, H., ... &amp; Lungren, M. P. (2017). CheXNet: Radiologist-Level Pneumonia Detection on Chest X-Rays with Deep Learning. arXiv:1711.05225.</w:t>
      </w:r>
    </w:p>
    <w:p>
      <w:pPr>
        <w:spacing w:after="40" w:before="40"/>
        <w:jc w:val="both"/>
      </w:pPr>
      <w:r>
        <w:rPr>
          <w:rFonts w:ascii="Times New Roman" w:cs="Times New Roman" w:eastAsia="Times New Roman" w:hAnsi="Times New Roman"/>
          <w:sz w:val="16"/>
          <w:szCs w:val="16"/>
        </w:rPr>
        <w:t xml:space="preserve">[4] Pham, H. H. (2021). TBXNet: Automated Tuberculosis Detection from Chest X-rays Using Deep Neural Networks. arXiv:2012.09987.</w:t>
      </w:r>
    </w:p>
    <w:p>
      <w:pPr>
        <w:spacing w:after="40" w:before="40"/>
        <w:jc w:val="both"/>
      </w:pPr>
      <w:r>
        <w:rPr>
          <w:rFonts w:ascii="Times New Roman" w:cs="Times New Roman" w:eastAsia="Times New Roman" w:hAnsi="Times New Roman"/>
          <w:sz w:val="16"/>
          <w:szCs w:val="16"/>
        </w:rPr>
        <w:t xml:space="preserve">[5] Islam, M. T., Aowal, M. A., Minhaz, A. T., &amp; Ashraf, K. (2020). Abnormality Detection and Localization in Chest X-Rays Using Deep Convolutional Neural Networks. arXiv:1705.09850.</w:t>
      </w:r>
    </w:p>
    <w:p>
      <w:pPr>
        <w:spacing w:after="40" w:before="40"/>
        <w:jc w:val="both"/>
      </w:pPr>
      <w:r>
        <w:rPr>
          <w:rFonts w:ascii="Times New Roman" w:cs="Times New Roman" w:eastAsia="Times New Roman" w:hAnsi="Times New Roman"/>
          <w:sz w:val="16"/>
          <w:szCs w:val="16"/>
        </w:rPr>
        <w:t xml:space="preserve">[6] Chen, J., Lu, Y., Yu, Q., Luo, X., Adeli, E., Wang, Y., ... &amp; Zhou, Y. (2021). TransUNet: Transformers Make Strong Encoders for Medical Image Segmentation. arXiv:2102.04306.</w:t>
      </w:r>
    </w:p>
    <w:p>
      <w:pPr>
        <w:spacing w:after="40" w:before="40"/>
        <w:jc w:val="both"/>
      </w:pPr>
      <w:r>
        <w:rPr>
          <w:rFonts w:ascii="Times New Roman" w:cs="Times New Roman" w:eastAsia="Times New Roman" w:hAnsi="Times New Roman"/>
          <w:sz w:val="16"/>
          <w:szCs w:val="16"/>
        </w:rPr>
        <w:t xml:space="preserve">[7] Matsoukas, C., Haslum, J. F., Söderberg, M., &amp; Smith, K. (2021). Is it Worth Pretraining? A Study on Transformers for Medical Image Segmentation. arXiv:2101.00781.</w:t>
      </w:r>
    </w:p>
    <w:p>
      <w:pPr>
        <w:spacing w:after="40" w:before="40"/>
        <w:jc w:val="both"/>
      </w:pPr>
      <w:r>
        <w:rPr>
          <w:rFonts w:ascii="Times New Roman" w:cs="Times New Roman" w:eastAsia="Times New Roman" w:hAnsi="Times New Roman"/>
          <w:sz w:val="16"/>
          <w:szCs w:val="16"/>
        </w:rPr>
        <w:t xml:space="preserve">[8] World Health Organization. (2023). Global Tuberculosis Report 2023. WHO Press, Geneva.</w:t>
      </w:r>
    </w:p>
    <w:p>
      <w:pPr>
        <w:spacing w:after="40" w:before="40"/>
        <w:jc w:val="both"/>
      </w:pPr>
      <w:r>
        <w:rPr>
          <w:rFonts w:ascii="Times New Roman" w:cs="Times New Roman" w:eastAsia="Times New Roman" w:hAnsi="Times New Roman"/>
          <w:sz w:val="16"/>
          <w:szCs w:val="16"/>
        </w:rPr>
        <w:t xml:space="preserve">[9] Candemir, S., Jaeger, S., Palaniappan, K., Musco, J. P., Singh, R. K., Xue, Z., ... &amp; Antani, S. (2014). Lung Segmentation in Chest Radiographs using Anatomical Atlases with Nonrigid Registration. IEEE Transactions on Medical Imaging, 33(2), 577-590.</w:t>
      </w:r>
    </w:p>
    <w:p>
      <w:pPr>
        <w:spacing w:after="40" w:before="40"/>
        <w:jc w:val="both"/>
      </w:pPr>
      <w:r>
        <w:rPr>
          <w:rFonts w:ascii="Times New Roman" w:cs="Times New Roman" w:eastAsia="Times New Roman" w:hAnsi="Times New Roman"/>
          <w:sz w:val="16"/>
          <w:szCs w:val="16"/>
        </w:rPr>
        <w:t xml:space="preserve">[10] Jaeger, S., Candemir, S., Antani, S., Wáng, Y. X. J., Lu, P. X., &amp; Thoma, G. (2014). Two Public Chest X-Ray Datasets for Computer-Aided Screening of Pulmonary Diseases. Quantitative Imaging in Medicine and Surgery, 4(6), 475-477.</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2026-04-10T05:41:08.699Z</dcterms:created>
  <dcterms:modified xsi:type="dcterms:W3CDTF">2026-04-10T05:41:08.700Z</dcterms:modified>
</cp:coreProperties>
</file>

<file path=docProps/custom.xml><?xml version="1.0" encoding="utf-8"?>
<Properties xmlns="http://schemas.openxmlformats.org/officeDocument/2006/custom-properties" xmlns:vt="http://schemas.openxmlformats.org/officeDocument/2006/docPropsVTypes"/>
</file>