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020" w:rsidRPr="00B64020" w:rsidRDefault="00B64020" w:rsidP="00B64020">
      <w:pPr>
        <w:spacing w:before="100" w:beforeAutospacing="1" w:line="256" w:lineRule="auto"/>
        <w:jc w:val="center"/>
        <w:rPr>
          <w:rFonts w:ascii="Times New Roman" w:eastAsia="Calibri" w:hAnsi="Times New Roman" w:cs="Times New Roman"/>
          <w:b/>
          <w:sz w:val="28"/>
          <w:szCs w:val="28"/>
        </w:rPr>
      </w:pPr>
      <w:r w:rsidRPr="00B64020">
        <w:rPr>
          <w:rFonts w:ascii="Times New Roman" w:eastAsia="Calibri" w:hAnsi="Times New Roman" w:cs="Times New Roman"/>
          <w:b/>
          <w:sz w:val="28"/>
          <w:szCs w:val="28"/>
        </w:rPr>
        <w:t xml:space="preserve">The </w:t>
      </w:r>
      <w:r w:rsidR="00AC7FA2">
        <w:rPr>
          <w:rFonts w:ascii="Times New Roman" w:eastAsia="Calibri" w:hAnsi="Times New Roman" w:cs="Times New Roman"/>
          <w:b/>
          <w:sz w:val="28"/>
          <w:szCs w:val="28"/>
        </w:rPr>
        <w:t>Connection</w:t>
      </w:r>
      <w:r w:rsidR="00BE6B90">
        <w:rPr>
          <w:rFonts w:ascii="Times New Roman" w:eastAsia="Calibri" w:hAnsi="Times New Roman" w:cs="Times New Roman"/>
          <w:b/>
          <w:sz w:val="28"/>
          <w:szCs w:val="28"/>
        </w:rPr>
        <w:t xml:space="preserve"> between</w:t>
      </w:r>
      <w:r w:rsidRPr="00B64020">
        <w:rPr>
          <w:rFonts w:ascii="Times New Roman" w:eastAsia="Calibri" w:hAnsi="Times New Roman" w:cs="Times New Roman"/>
          <w:b/>
          <w:sz w:val="28"/>
          <w:szCs w:val="28"/>
        </w:rPr>
        <w:t xml:space="preserve"> </w:t>
      </w:r>
      <w:r w:rsidR="00BE6B90">
        <w:rPr>
          <w:rFonts w:ascii="Times New Roman" w:eastAsia="Calibri" w:hAnsi="Times New Roman" w:cs="Times New Roman"/>
          <w:b/>
          <w:sz w:val="28"/>
          <w:szCs w:val="28"/>
        </w:rPr>
        <w:t>Human Resource Practices,</w:t>
      </w:r>
      <w:r w:rsidRPr="00B64020">
        <w:rPr>
          <w:rFonts w:ascii="Times New Roman" w:eastAsia="Calibri" w:hAnsi="Times New Roman" w:cs="Times New Roman"/>
          <w:b/>
          <w:sz w:val="28"/>
          <w:szCs w:val="28"/>
        </w:rPr>
        <w:t xml:space="preserve"> Trust</w:t>
      </w:r>
      <w:r w:rsidR="00BE6B90">
        <w:rPr>
          <w:rFonts w:ascii="Times New Roman" w:eastAsia="Calibri" w:hAnsi="Times New Roman" w:cs="Times New Roman"/>
          <w:b/>
          <w:sz w:val="28"/>
          <w:szCs w:val="28"/>
        </w:rPr>
        <w:t>,</w:t>
      </w:r>
      <w:r w:rsidRPr="00B64020">
        <w:rPr>
          <w:rFonts w:ascii="Times New Roman" w:eastAsia="Calibri" w:hAnsi="Times New Roman" w:cs="Times New Roman"/>
          <w:b/>
          <w:sz w:val="28"/>
          <w:szCs w:val="28"/>
        </w:rPr>
        <w:t xml:space="preserve"> and Performance in Higher Education Institutions</w:t>
      </w:r>
    </w:p>
    <w:p w:rsidR="00B64020" w:rsidRPr="00B64020" w:rsidRDefault="00B64020" w:rsidP="00B64020">
      <w:pPr>
        <w:spacing w:before="100" w:beforeAutospacing="1" w:line="256" w:lineRule="auto"/>
        <w:jc w:val="center"/>
        <w:rPr>
          <w:rFonts w:ascii="Times New Roman" w:eastAsia="Calibri" w:hAnsi="Times New Roman" w:cs="Times New Roman"/>
          <w:b/>
          <w:sz w:val="24"/>
          <w:szCs w:val="24"/>
          <w:vertAlign w:val="superscript"/>
        </w:rPr>
      </w:pPr>
      <w:r w:rsidRPr="00B64020">
        <w:rPr>
          <w:rFonts w:ascii="Times New Roman" w:eastAsia="Calibri" w:hAnsi="Times New Roman" w:cs="Times New Roman"/>
          <w:b/>
          <w:sz w:val="24"/>
          <w:szCs w:val="24"/>
        </w:rPr>
        <w:t/>
      </w:r>
      <w:r w:rsidRPr="00B64020">
        <w:rPr>
          <w:rFonts w:ascii="Times New Roman" w:eastAsia="Calibri" w:hAnsi="Times New Roman" w:cs="Times New Roman"/>
          <w:b/>
          <w:sz w:val="24"/>
          <w:szCs w:val="24"/>
          <w:vertAlign w:val="superscript"/>
        </w:rPr>
        <w:t/>
      </w:r>
      <w:r w:rsidRPr="00B64020">
        <w:rPr>
          <w:rFonts w:ascii="Times New Roman" w:eastAsia="Calibri" w:hAnsi="Times New Roman" w:cs="Times New Roman"/>
          <w:b/>
          <w:sz w:val="24"/>
          <w:szCs w:val="24"/>
        </w:rPr>
        <w:t xml:space="preserve"/>
      </w:r>
      <w:r w:rsidR="00097F4F" w:rsidRPr="00B64020">
        <w:rPr>
          <w:rFonts w:ascii="Times New Roman" w:eastAsia="Calibri" w:hAnsi="Times New Roman" w:cs="Times New Roman"/>
          <w:b/>
          <w:sz w:val="24"/>
          <w:szCs w:val="24"/>
        </w:rPr>
        <w:t/>
      </w:r>
      <w:r w:rsidR="00097F4F">
        <w:rPr>
          <w:rFonts w:ascii="Times New Roman" w:eastAsia="Calibri" w:hAnsi="Times New Roman" w:cs="Times New Roman"/>
          <w:b/>
          <w:sz w:val="24"/>
          <w:szCs w:val="24"/>
          <w:vertAlign w:val="superscript"/>
        </w:rPr>
        <w:t xml:space="preserve"/>
      </w:r>
      <w:r w:rsidRPr="00B64020">
        <w:rPr>
          <w:rFonts w:ascii="Times New Roman" w:eastAsia="Calibri" w:hAnsi="Times New Roman" w:cs="Times New Roman"/>
          <w:b/>
          <w:sz w:val="24"/>
          <w:szCs w:val="24"/>
        </w:rPr>
        <w:t/>
      </w:r>
      <w:r w:rsidR="00097F4F">
        <w:rPr>
          <w:rFonts w:ascii="Times New Roman" w:eastAsia="Calibri" w:hAnsi="Times New Roman" w:cs="Times New Roman"/>
          <w:b/>
          <w:sz w:val="24"/>
          <w:szCs w:val="24"/>
          <w:vertAlign w:val="superscript"/>
        </w:rPr>
        <w:t/>
      </w:r>
      <w:r w:rsidRPr="00B64020">
        <w:rPr>
          <w:rFonts w:ascii="Times New Roman" w:eastAsia="Calibri" w:hAnsi="Times New Roman" w:cs="Times New Roman"/>
          <w:b/>
          <w:sz w:val="24"/>
          <w:szCs w:val="24"/>
        </w:rPr>
        <w:t xml:space="preserve"/>
      </w:r>
      <w:r w:rsidRPr="00B64020">
        <w:rPr>
          <w:rFonts w:ascii="Times New Roman" w:eastAsia="Calibri" w:hAnsi="Times New Roman" w:cs="Times New Roman"/>
          <w:b/>
          <w:sz w:val="24"/>
          <w:szCs w:val="24"/>
          <w:vertAlign w:val="superscript"/>
        </w:rPr>
        <w:t xml:space="preserve"/>
      </w:r>
      <w:r w:rsidRPr="00B64020">
        <w:rPr>
          <w:rFonts w:ascii="Times New Roman" w:eastAsia="Calibri" w:hAnsi="Times New Roman" w:cs="Times New Roman"/>
          <w:b/>
          <w:sz w:val="24"/>
          <w:szCs w:val="24"/>
        </w:rPr>
        <w:t/>
      </w:r>
      <w:r w:rsidRPr="00B64020">
        <w:rPr>
          <w:rFonts w:ascii="Times New Roman" w:eastAsia="Calibri" w:hAnsi="Times New Roman" w:cs="Times New Roman"/>
          <w:b/>
          <w:sz w:val="24"/>
          <w:szCs w:val="24"/>
          <w:vertAlign w:val="superscript"/>
        </w:rPr>
        <w:t xml:space="preserve"/>
      </w:r>
    </w:p>
    <w:p w:rsidR="00B64020" w:rsidRDefault="00B64020" w:rsidP="00B64020">
      <w:pPr>
        <w:spacing w:before="100" w:beforeAutospacing="1" w:line="256" w:lineRule="auto"/>
        <w:jc w:val="center"/>
        <w:rPr>
          <w:rFonts w:ascii="Times New Roman" w:eastAsia="Calibri" w:hAnsi="Times New Roman" w:cs="Times New Roman"/>
          <w:bCs/>
          <w:sz w:val="24"/>
          <w:szCs w:val="24"/>
        </w:rPr>
      </w:pPr>
      <w:r w:rsidRPr="00B64020">
        <w:rPr>
          <w:rFonts w:ascii="Times New Roman" w:eastAsia="Calibri" w:hAnsi="Times New Roman" w:cs="Times New Roman"/>
          <w:bCs/>
          <w:sz w:val="24"/>
          <w:szCs w:val="24"/>
          <w:vertAlign w:val="superscript"/>
        </w:rPr>
        <w:t/>
      </w:r>
      <w:r w:rsidR="00097F4F">
        <w:rPr>
          <w:rFonts w:ascii="Times New Roman" w:eastAsia="Calibri" w:hAnsi="Times New Roman" w:cs="Times New Roman"/>
          <w:bCs/>
          <w:sz w:val="24"/>
          <w:szCs w:val="24"/>
        </w:rPr>
        <w:t/>
      </w:r>
      <w:r w:rsidRPr="00B64020">
        <w:rPr>
          <w:rFonts w:ascii="Times New Roman" w:eastAsia="Calibri" w:hAnsi="Times New Roman" w:cs="Times New Roman"/>
          <w:bCs/>
          <w:sz w:val="24"/>
          <w:szCs w:val="24"/>
        </w:rPr>
        <w:t xml:space="preserve"/>
      </w:r>
      <w:hyperlink r:id="rId8" w:history="1">
        <w:r w:rsidR="00097F4F" w:rsidRPr="002B58A2">
          <w:rPr>
            <w:rStyle w:val="Hyperlink"/>
            <w:rFonts w:ascii="Times New Roman" w:eastAsia="Calibri" w:hAnsi="Times New Roman" w:cs="Times New Roman"/>
            <w:bCs/>
            <w:sz w:val="24"/>
            <w:szCs w:val="24"/>
          </w:rPr>
          <w:t/>
        </w:r>
      </w:hyperlink>
    </w:p>
    <w:p w:rsidR="00097F4F" w:rsidRDefault="00097F4F" w:rsidP="00B64020">
      <w:pPr>
        <w:spacing w:before="100" w:beforeAutospacing="1"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vertAlign w:val="superscript"/>
        </w:rPr>
        <w:t/>
      </w:r>
      <w:r w:rsidRPr="00B64020">
        <w:rPr>
          <w:rFonts w:ascii="Times New Roman" w:eastAsia="Calibri" w:hAnsi="Times New Roman" w:cs="Times New Roman"/>
          <w:bCs/>
          <w:sz w:val="24"/>
          <w:szCs w:val="24"/>
        </w:rPr>
        <w:t xml:space="preserve"/>
      </w:r>
      <w:hyperlink r:id="rId9" w:history="1">
        <w:r w:rsidRPr="002B58A2">
          <w:rPr>
            <w:rStyle w:val="Hyperlink"/>
            <w:rFonts w:ascii="Times New Roman" w:eastAsia="Calibri" w:hAnsi="Times New Roman" w:cs="Times New Roman"/>
            <w:bCs/>
            <w:sz w:val="24"/>
            <w:szCs w:val="24"/>
          </w:rPr>
          <w:t/>
        </w:r>
      </w:hyperlink>
    </w:p>
    <w:p w:rsidR="00097F4F" w:rsidRPr="00B64020" w:rsidRDefault="00097F4F" w:rsidP="00B64020">
      <w:pPr>
        <w:spacing w:before="100" w:beforeAutospacing="1"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vertAlign w:val="superscript"/>
        </w:rPr>
        <w:t/>
      </w:r>
      <w:r w:rsidRPr="00B64020">
        <w:rPr>
          <w:rFonts w:ascii="Times New Roman" w:eastAsia="Calibri" w:hAnsi="Times New Roman" w:cs="Times New Roman"/>
          <w:bCs/>
          <w:sz w:val="24"/>
          <w:szCs w:val="24"/>
        </w:rPr>
        <w:t/>
      </w:r>
      <w:r>
        <w:rPr>
          <w:rFonts w:ascii="Times New Roman" w:eastAsia="Calibri" w:hAnsi="Times New Roman" w:cs="Times New Roman"/>
          <w:bCs/>
          <w:sz w:val="24"/>
          <w:szCs w:val="24"/>
        </w:rPr>
        <w:t/>
      </w:r>
      <w:r w:rsidRPr="00B64020">
        <w:rPr>
          <w:rFonts w:ascii="Times New Roman" w:eastAsia="Calibri" w:hAnsi="Times New Roman" w:cs="Times New Roman"/>
          <w:bCs/>
          <w:sz w:val="24"/>
          <w:szCs w:val="24"/>
        </w:rPr>
        <w:t/>
      </w:r>
    </w:p>
    <w:p w:rsidR="00B64020" w:rsidRPr="00B64020" w:rsidRDefault="00097F4F" w:rsidP="00B64020">
      <w:pPr>
        <w:spacing w:before="100" w:beforeAutospacing="1"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vertAlign w:val="superscript"/>
        </w:rPr>
        <w:t/>
      </w:r>
      <w:r w:rsidR="00B64020" w:rsidRPr="00B64020">
        <w:rPr>
          <w:rFonts w:ascii="Times New Roman" w:eastAsia="Calibri" w:hAnsi="Times New Roman" w:cs="Times New Roman"/>
          <w:bCs/>
          <w:sz w:val="24"/>
          <w:szCs w:val="24"/>
          <w:vertAlign w:val="superscript"/>
        </w:rPr>
        <w:t xml:space="preserve"/>
      </w:r>
      <w:r w:rsidR="00B64020" w:rsidRPr="00B64020">
        <w:rPr>
          <w:rFonts w:ascii="Times New Roman" w:eastAsia="Calibri" w:hAnsi="Times New Roman" w:cs="Times New Roman"/>
          <w:bCs/>
          <w:sz w:val="24"/>
          <w:szCs w:val="24"/>
        </w:rPr>
        <w:t/>
      </w:r>
    </w:p>
    <w:p w:rsidR="00B64020" w:rsidRPr="00B64020" w:rsidRDefault="00B64020" w:rsidP="00B64020">
      <w:pPr>
        <w:spacing w:before="100" w:beforeAutospacing="1" w:line="256" w:lineRule="auto"/>
        <w:jc w:val="center"/>
        <w:rPr>
          <w:rFonts w:ascii="Times New Roman" w:eastAsia="Calibri" w:hAnsi="Times New Roman" w:cs="Times New Roman"/>
          <w:bCs/>
          <w:sz w:val="24"/>
          <w:szCs w:val="24"/>
        </w:rPr>
      </w:pPr>
    </w:p>
    <w:p w:rsidR="00B64020" w:rsidRPr="00AD35FE" w:rsidRDefault="00B64020" w:rsidP="00B64020">
      <w:pPr>
        <w:spacing w:before="100" w:beforeAutospacing="1" w:line="256" w:lineRule="auto"/>
        <w:rPr>
          <w:rFonts w:ascii="Calibri" w:eastAsia="Times New Roman" w:hAnsi="Calibri" w:cs="Times New Roman"/>
          <w:b/>
          <w:sz w:val="28"/>
        </w:rPr>
      </w:pPr>
      <w:r w:rsidRPr="00AD35FE">
        <w:rPr>
          <w:rFonts w:ascii="Times New Roman" w:eastAsia="Calibri" w:hAnsi="Times New Roman" w:cs="Times New Roman"/>
          <w:b/>
          <w:sz w:val="32"/>
          <w:szCs w:val="24"/>
        </w:rPr>
        <w:t>Abstract</w:t>
      </w:r>
    </w:p>
    <w:p w:rsidR="00B64020" w:rsidRPr="00B64020" w:rsidRDefault="00B64020" w:rsidP="00F85A75">
      <w:pPr>
        <w:spacing w:before="100" w:beforeAutospacing="1" w:line="276"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The purpose of the study was to examine the relationship between trust and human resource practices in the performance of academic faculty within higher education institutions in Zambia. </w:t>
      </w:r>
      <w:r w:rsidR="009F4A84">
        <w:rPr>
          <w:rFonts w:ascii="Times New Roman" w:eastAsia="Times New Roman" w:hAnsi="Times New Roman" w:cs="Times New Roman"/>
          <w:sz w:val="24"/>
          <w:szCs w:val="24"/>
        </w:rPr>
        <w:t xml:space="preserve">Using a survey design, </w:t>
      </w:r>
      <w:r w:rsidRPr="00B64020">
        <w:rPr>
          <w:rFonts w:ascii="Times New Roman" w:eastAsia="Calibri" w:hAnsi="Times New Roman" w:cs="Times New Roman"/>
          <w:sz w:val="24"/>
          <w:szCs w:val="24"/>
        </w:rPr>
        <w:t>43 HEA-accredited HEIs participated, with 267 valid responses from 311 distributed questionnaires, yielding a strong response rate of 89%.  The sample consisted of randomly selected 145 participants from public HEIs and 131 from private HEIs.  Based on the pilot test results, no significant changes were made to the research instrument.</w:t>
      </w:r>
      <w:r w:rsidRPr="00B64020">
        <w:rPr>
          <w:rFonts w:ascii="Times New Roman" w:eastAsia="Times New Roman" w:hAnsi="Times New Roman" w:cs="Times New Roman"/>
          <w:sz w:val="24"/>
          <w:szCs w:val="24"/>
        </w:rPr>
        <w:t xml:space="preserve">  </w:t>
      </w:r>
    </w:p>
    <w:p w:rsidR="00B64020" w:rsidRPr="00B64020" w:rsidRDefault="00B64020" w:rsidP="00F85A75">
      <w:pPr>
        <w:spacing w:before="100" w:beforeAutospacing="1" w:line="276"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The collected data were analyzed using Smart PLS-SEM software to </w:t>
      </w:r>
      <w:r w:rsidR="009F4A84">
        <w:rPr>
          <w:rFonts w:ascii="Times New Roman" w:eastAsia="Times New Roman" w:hAnsi="Times New Roman" w:cs="Times New Roman"/>
          <w:sz w:val="24"/>
          <w:szCs w:val="24"/>
        </w:rPr>
        <w:t>assess the correlations between individual and organizational trust and HR practices, with particular attention to performance indicators such as</w:t>
      </w:r>
      <w:r w:rsidRPr="00B64020">
        <w:rPr>
          <w:rFonts w:ascii="Times New Roman" w:eastAsia="Times New Roman" w:hAnsi="Times New Roman" w:cs="Times New Roman"/>
          <w:sz w:val="24"/>
          <w:szCs w:val="24"/>
        </w:rPr>
        <w:t xml:space="preserve"> employee commitment, engagement, productivity, and effectiveness.</w:t>
      </w:r>
    </w:p>
    <w:p w:rsidR="00B64020" w:rsidRPr="00B64020" w:rsidRDefault="00B64020" w:rsidP="00F85A75">
      <w:pPr>
        <w:spacing w:before="100" w:beforeAutospacing="1" w:line="276" w:lineRule="auto"/>
        <w:jc w:val="both"/>
        <w:rPr>
          <w:rFonts w:ascii="Times New Roman" w:eastAsia="Times New Roman" w:hAnsi="Times New Roman" w:cs="Times New Roman"/>
          <w:color w:val="FF0000"/>
          <w:sz w:val="24"/>
          <w:szCs w:val="24"/>
        </w:rPr>
      </w:pPr>
      <w:r w:rsidRPr="00B64020">
        <w:rPr>
          <w:rFonts w:ascii="Times New Roman" w:eastAsia="Times New Roman" w:hAnsi="Times New Roman" w:cs="Times New Roman"/>
          <w:sz w:val="24"/>
          <w:szCs w:val="24"/>
        </w:rPr>
        <w:t xml:space="preserve">The findings indicate that trust </w:t>
      </w:r>
      <w:r w:rsidR="00AC7FA2">
        <w:rPr>
          <w:rFonts w:ascii="Times New Roman" w:eastAsia="Times New Roman" w:hAnsi="Times New Roman" w:cs="Times New Roman"/>
          <w:sz w:val="24"/>
          <w:szCs w:val="24"/>
        </w:rPr>
        <w:t>is a crucial yet underutilized factor in the implementation of HR practices within Zambian HEIs, contributing to weakened employee confidence and, in turn, suboptimal</w:t>
      </w:r>
      <w:r w:rsidRPr="00B64020">
        <w:rPr>
          <w:rFonts w:ascii="Times New Roman" w:eastAsia="Times New Roman" w:hAnsi="Times New Roman" w:cs="Times New Roman"/>
          <w:sz w:val="24"/>
          <w:szCs w:val="24"/>
        </w:rPr>
        <w:t xml:space="preserve"> performance. </w:t>
      </w:r>
      <w:r w:rsidR="00AC7FA2" w:rsidRPr="00B64020">
        <w:rPr>
          <w:rFonts w:ascii="Times New Roman" w:eastAsia="DengXian" w:hAnsi="Times New Roman" w:cs="Times New Roman"/>
          <w:sz w:val="24"/>
          <w:szCs w:val="24"/>
        </w:rPr>
        <w:t xml:space="preserve">These findings validate the strategy of fostering trust through targeted HR practices as an effective approach to improving performance.  </w:t>
      </w:r>
      <w:r w:rsidR="00AC7FA2">
        <w:rPr>
          <w:rFonts w:ascii="Times New Roman" w:eastAsia="DengXian" w:hAnsi="Times New Roman" w:cs="Times New Roman"/>
          <w:sz w:val="24"/>
          <w:szCs w:val="24"/>
        </w:rPr>
        <w:t>Additionally,</w:t>
      </w:r>
      <w:r w:rsidR="00AC7FA2" w:rsidRPr="00B64020">
        <w:rPr>
          <w:rFonts w:ascii="Times New Roman" w:eastAsia="DengXian" w:hAnsi="Times New Roman" w:cs="Times New Roman"/>
          <w:sz w:val="24"/>
          <w:szCs w:val="24"/>
        </w:rPr>
        <w:t xml:space="preserve"> </w:t>
      </w:r>
      <w:r w:rsidR="00AC7FA2">
        <w:rPr>
          <w:rFonts w:ascii="Times New Roman" w:eastAsia="DengXian" w:hAnsi="Times New Roman" w:cs="Times New Roman"/>
          <w:sz w:val="24"/>
          <w:szCs w:val="24"/>
        </w:rPr>
        <w:t xml:space="preserve">the study's multi-group analysis revealed no significant differences, suggesting that </w:t>
      </w:r>
      <w:r w:rsidR="00AC7FA2" w:rsidRPr="00B64020">
        <w:rPr>
          <w:rFonts w:ascii="Times New Roman" w:eastAsia="DengXian" w:hAnsi="Times New Roman" w:cs="Times New Roman"/>
          <w:bCs/>
          <w:sz w:val="24"/>
          <w:szCs w:val="24"/>
        </w:rPr>
        <w:t>trust-performance dynamics are universal across Zambian HEIs.</w:t>
      </w:r>
      <w:r w:rsidR="00AC7FA2">
        <w:rPr>
          <w:rFonts w:ascii="Times New Roman" w:eastAsia="DengXian" w:hAnsi="Times New Roman" w:cs="Times New Roman"/>
          <w:bCs/>
          <w:sz w:val="24"/>
          <w:szCs w:val="24"/>
        </w:rPr>
        <w:t xml:space="preserve"> </w:t>
      </w:r>
      <w:r w:rsidR="00F85A75">
        <w:rPr>
          <w:rFonts w:ascii="Times New Roman" w:hAnsi="Times New Roman" w:cs="Times New Roman"/>
          <w:sz w:val="24"/>
        </w:rPr>
        <w:t>An important benefit for</w:t>
      </w:r>
      <w:r w:rsidR="00525BED" w:rsidRPr="00E73532">
        <w:rPr>
          <w:rFonts w:ascii="Times New Roman" w:hAnsi="Times New Roman" w:cs="Times New Roman"/>
          <w:sz w:val="24"/>
        </w:rPr>
        <w:t xml:space="preserve"> HR practices</w:t>
      </w:r>
      <w:r w:rsidR="00F85A75">
        <w:rPr>
          <w:rFonts w:ascii="Times New Roman" w:hAnsi="Times New Roman" w:cs="Times New Roman"/>
          <w:sz w:val="24"/>
        </w:rPr>
        <w:t xml:space="preserve"> </w:t>
      </w:r>
      <w:r w:rsidR="00525BED" w:rsidRPr="00E73532">
        <w:rPr>
          <w:rFonts w:ascii="Times New Roman" w:hAnsi="Times New Roman" w:cs="Times New Roman"/>
          <w:sz w:val="24"/>
        </w:rPr>
        <w:t xml:space="preserve">will be for HEIs’ recognition of the need to go beyond the personnel functions, which tend to solve functional tasks, to modern HRM concepts that are strategic and focus on the development of an entire organization and the potential of employees based on trust rather than control. </w:t>
      </w:r>
    </w:p>
    <w:p w:rsidR="00B64020" w:rsidRPr="00213DDC" w:rsidRDefault="00B64020" w:rsidP="00B64020">
      <w:pPr>
        <w:spacing w:before="100" w:beforeAutospacing="1" w:line="273" w:lineRule="auto"/>
        <w:jc w:val="both"/>
        <w:rPr>
          <w:rFonts w:ascii="Times New Roman" w:eastAsia="Times New Roman" w:hAnsi="Times New Roman" w:cs="Times New Roman"/>
          <w:b/>
          <w:color w:val="222222"/>
          <w:sz w:val="24"/>
          <w:szCs w:val="24"/>
        </w:rPr>
      </w:pPr>
      <w:r w:rsidRPr="00213DDC">
        <w:rPr>
          <w:rFonts w:ascii="Times New Roman" w:eastAsia="Times New Roman" w:hAnsi="Times New Roman" w:cs="Times New Roman"/>
          <w:b/>
          <w:bCs/>
          <w:color w:val="222222"/>
          <w:sz w:val="24"/>
          <w:szCs w:val="24"/>
        </w:rPr>
        <w:t>Keywords</w:t>
      </w:r>
      <w:r w:rsidR="00213DDC">
        <w:rPr>
          <w:rFonts w:ascii="Times New Roman" w:eastAsia="Times New Roman" w:hAnsi="Times New Roman" w:cs="Times New Roman"/>
          <w:b/>
          <w:color w:val="222222"/>
          <w:sz w:val="24"/>
          <w:szCs w:val="24"/>
        </w:rPr>
        <w:t>: Trust, HR Practices, HEIs, Employee Performance</w:t>
      </w:r>
      <w:r w:rsidRPr="00213DDC">
        <w:rPr>
          <w:rFonts w:ascii="Times New Roman" w:eastAsia="Times New Roman" w:hAnsi="Times New Roman" w:cs="Times New Roman"/>
          <w:b/>
          <w:color w:val="222222"/>
          <w:sz w:val="24"/>
          <w:szCs w:val="24"/>
        </w:rPr>
        <w:t>.</w:t>
      </w:r>
    </w:p>
    <w:p w:rsidR="00B64020" w:rsidRPr="00AD35FE" w:rsidRDefault="00B64020" w:rsidP="00B64020">
      <w:pPr>
        <w:spacing w:before="100" w:beforeAutospacing="1" w:line="256" w:lineRule="auto"/>
        <w:rPr>
          <w:rFonts w:ascii="Times New Roman" w:eastAsia="Calibri" w:hAnsi="Times New Roman" w:cs="Times New Roman"/>
          <w:b/>
          <w:sz w:val="32"/>
          <w:szCs w:val="24"/>
        </w:rPr>
      </w:pPr>
      <w:r w:rsidRPr="00AD35FE">
        <w:rPr>
          <w:rFonts w:ascii="Times New Roman" w:eastAsia="Times New Roman" w:hAnsi="Times New Roman" w:cs="Times New Roman"/>
          <w:color w:val="FF0000"/>
          <w:sz w:val="32"/>
          <w:szCs w:val="24"/>
        </w:rPr>
        <w:lastRenderedPageBreak/>
        <w:t xml:space="preserve"> </w:t>
      </w:r>
      <w:r w:rsidR="005123F2">
        <w:rPr>
          <w:rFonts w:ascii="Times New Roman" w:eastAsia="Calibri" w:hAnsi="Times New Roman" w:cs="Times New Roman"/>
          <w:b/>
          <w:sz w:val="32"/>
          <w:szCs w:val="24"/>
        </w:rPr>
        <w:t>1.</w:t>
      </w:r>
      <w:r w:rsidRPr="00AD35FE">
        <w:rPr>
          <w:rFonts w:ascii="Times New Roman" w:eastAsia="Calibri" w:hAnsi="Times New Roman" w:cs="Times New Roman"/>
          <w:b/>
          <w:sz w:val="32"/>
          <w:szCs w:val="24"/>
        </w:rPr>
        <w:t xml:space="preserve"> Introduction and Background</w:t>
      </w:r>
    </w:p>
    <w:p w:rsidR="00B64020" w:rsidRPr="00B64020" w:rsidRDefault="00B64020" w:rsidP="00B64020">
      <w:pPr>
        <w:shd w:val="clear" w:color="auto" w:fill="FFFFFF"/>
        <w:spacing w:before="100" w:beforeAutospacing="1" w:after="15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Higher education transcends mere knowledge dissemination; it encompasses the holistic development of individuals</w:t>
      </w:r>
      <w:r w:rsidR="00097F4F">
        <w:rPr>
          <w:rFonts w:ascii="Times New Roman" w:eastAsia="Calibri" w:hAnsi="Times New Roman" w:cs="Times New Roman"/>
          <w:sz w:val="24"/>
          <w:szCs w:val="24"/>
        </w:rPr>
        <w:t xml:space="preserve"> and requires</w:t>
      </w:r>
      <w:r w:rsidRPr="00B64020">
        <w:rPr>
          <w:rFonts w:ascii="Times New Roman" w:eastAsia="Calibri" w:hAnsi="Times New Roman" w:cs="Times New Roman"/>
          <w:sz w:val="24"/>
          <w:szCs w:val="24"/>
        </w:rPr>
        <w:t xml:space="preserve"> both care and courtesy. Higher Education Institutions (HEIs) play a pivotal role in fostering the sustainable development of societies, with their influence recognized as surpassing that of any other singular sector (Dziminska et al., 2018). This influence is predicated on the trust and quality services rendered by HEIs, and cultivating trust within these institutions demands a degree of vulnerability from all stakeholders (Tse, 2023).</w:t>
      </w:r>
    </w:p>
    <w:p w:rsidR="0038584E" w:rsidRDefault="0038584E" w:rsidP="00B64020">
      <w:pPr>
        <w:autoSpaceDE w:val="0"/>
        <w:autoSpaceDN w:val="0"/>
        <w:adjustRightInd w:val="0"/>
        <w:spacing w:before="100" w:beforeAutospacing="1" w:after="0" w:line="360" w:lineRule="auto"/>
        <w:jc w:val="both"/>
        <w:rPr>
          <w:rFonts w:ascii="Times New Roman" w:hAnsi="Times New Roman" w:cs="Times New Roman"/>
          <w:sz w:val="24"/>
          <w:szCs w:val="20"/>
        </w:rPr>
      </w:pPr>
      <w:r>
        <w:rPr>
          <w:rFonts w:ascii="Times New Roman" w:hAnsi="Times New Roman" w:cs="Times New Roman"/>
          <w:sz w:val="24"/>
          <w:szCs w:val="20"/>
        </w:rPr>
        <w:t xml:space="preserve">Organizational trust pertains to employees aligning themselves with the organization and being willing to cultivate enduring relationships with it. It involves employees assessing and aligning with organizational policies and being prepared to make themselves vulnerable in work-related situations (Robinson, 1996). Additionally, organizational trust is subsumed under the broader concept of institutional trust, encompassing confidence in both supervisors and the organization as a cohesive entity. When employees </w:t>
      </w:r>
      <w:r w:rsidR="0069034B">
        <w:rPr>
          <w:rFonts w:ascii="Times New Roman" w:hAnsi="Times New Roman" w:cs="Times New Roman"/>
          <w:sz w:val="24"/>
          <w:szCs w:val="20"/>
        </w:rPr>
        <w:t>have profound trust in their organization, they not only exhibit a willingness to embrace its inherent risks but also demonstrate a greater</w:t>
      </w:r>
      <w:r w:rsidR="00F85A75">
        <w:rPr>
          <w:rFonts w:ascii="Times New Roman" w:hAnsi="Times New Roman" w:cs="Times New Roman"/>
          <w:sz w:val="24"/>
          <w:szCs w:val="20"/>
        </w:rPr>
        <w:t xml:space="preserve"> capacity to discern potential hazards </w:t>
      </w:r>
      <w:r>
        <w:rPr>
          <w:rFonts w:ascii="Times New Roman" w:hAnsi="Times New Roman" w:cs="Times New Roman"/>
          <w:sz w:val="24"/>
          <w:szCs w:val="20"/>
        </w:rPr>
        <w:t xml:space="preserve">(Eckel, 2006). Individuals with a heightened sense of organizational trust are </w:t>
      </w:r>
      <w:r w:rsidR="00F85A75">
        <w:rPr>
          <w:rFonts w:ascii="Times New Roman" w:hAnsi="Times New Roman" w:cs="Times New Roman"/>
          <w:sz w:val="24"/>
          <w:szCs w:val="20"/>
        </w:rPr>
        <w:t>more likely to engage in reciprocal behaviors toward their organization than those with</w:t>
      </w:r>
      <w:r>
        <w:rPr>
          <w:rFonts w:ascii="Times New Roman" w:hAnsi="Times New Roman" w:cs="Times New Roman"/>
          <w:sz w:val="24"/>
          <w:szCs w:val="20"/>
        </w:rPr>
        <w:t xml:space="preserve"> minimal organizational trust.</w:t>
      </w:r>
    </w:p>
    <w:p w:rsidR="00B64020" w:rsidRPr="00B64020" w:rsidRDefault="00B64020" w:rsidP="00B64020">
      <w:pPr>
        <w:autoSpaceDE w:val="0"/>
        <w:autoSpaceDN w:val="0"/>
        <w:adjustRightInd w:val="0"/>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Performance has been identified as a foundational element of organizational success, and an expanding corpus of research substantiates the correlation between trust and performance. As HEIs endeavor to attain success, it is imperative fo</w:t>
      </w:r>
      <w:r w:rsidR="004E3D4A">
        <w:rPr>
          <w:rFonts w:ascii="Times New Roman" w:eastAsia="Calibri" w:hAnsi="Times New Roman" w:cs="Times New Roman"/>
          <w:sz w:val="24"/>
          <w:szCs w:val="24"/>
        </w:rPr>
        <w:t>r leaders, in conjunction with human r</w:t>
      </w:r>
      <w:r w:rsidRPr="00B64020">
        <w:rPr>
          <w:rFonts w:ascii="Times New Roman" w:eastAsia="Calibri" w:hAnsi="Times New Roman" w:cs="Times New Roman"/>
          <w:sz w:val="24"/>
          <w:szCs w:val="24"/>
        </w:rPr>
        <w:t xml:space="preserve">esources departments to critically assess the value placed on </w:t>
      </w:r>
      <w:r w:rsidR="004E3D4A">
        <w:rPr>
          <w:rFonts w:ascii="Times New Roman" w:eastAsia="Calibri" w:hAnsi="Times New Roman" w:cs="Times New Roman"/>
          <w:sz w:val="24"/>
          <w:szCs w:val="24"/>
        </w:rPr>
        <w:t xml:space="preserve">employee </w:t>
      </w:r>
      <w:r w:rsidRPr="00B64020">
        <w:rPr>
          <w:rFonts w:ascii="Times New Roman" w:eastAsia="Calibri" w:hAnsi="Times New Roman" w:cs="Times New Roman"/>
          <w:sz w:val="24"/>
          <w:szCs w:val="24"/>
        </w:rPr>
        <w:t xml:space="preserve">performance. Neglecting to prioritize trust in these domains can </w:t>
      </w:r>
      <w:r w:rsidR="00097F4F">
        <w:rPr>
          <w:rFonts w:ascii="Times New Roman" w:eastAsia="Calibri" w:hAnsi="Times New Roman" w:cs="Times New Roman"/>
          <w:sz w:val="24"/>
          <w:szCs w:val="24"/>
        </w:rPr>
        <w:t>lead to detrimental consequences, including diminished engagement and productivity, increased turnover, and adverse effects on morale and cohesion</w:t>
      </w:r>
      <w:r w:rsidRPr="00B64020">
        <w:rPr>
          <w:rFonts w:ascii="Times New Roman" w:eastAsia="Calibri" w:hAnsi="Times New Roman" w:cs="Times New Roman"/>
          <w:sz w:val="24"/>
          <w:szCs w:val="24"/>
        </w:rPr>
        <w:t>.</w:t>
      </w:r>
    </w:p>
    <w:p w:rsidR="00B64020" w:rsidRPr="00B64020" w:rsidRDefault="00B64020" w:rsidP="00B64020">
      <w:pPr>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Organizations strive to avoid detrimental relationships, as they adversely affect motivation and, consequently, productivity; as Golembiewsky &amp; McConkie (1975) observed, few variables influence interpersonal and group behavior as profoundly as trust. At the core of employment relations resides the mutual aspiration of management and employees to cultivate an exemplary, efficient, and effective organization grounded in mutual respect and trust. Employee relations unfold within a dynamic milieu that </w:t>
      </w:r>
      <w:r w:rsidR="00097F4F">
        <w:rPr>
          <w:rFonts w:ascii="Times New Roman" w:eastAsia="Calibri" w:hAnsi="Times New Roman" w:cs="Times New Roman"/>
          <w:sz w:val="24"/>
          <w:szCs w:val="24"/>
        </w:rPr>
        <w:t>requires proficient leadership and human resource management to mitigate detrimental factors such as distrust, which obstruct</w:t>
      </w:r>
      <w:r w:rsidRPr="00B64020">
        <w:rPr>
          <w:rFonts w:ascii="Times New Roman" w:eastAsia="Calibri" w:hAnsi="Times New Roman" w:cs="Times New Roman"/>
          <w:sz w:val="24"/>
          <w:szCs w:val="24"/>
        </w:rPr>
        <w:t xml:space="preserve"> the attainment of an exemplary, efficient, and effective organization.</w:t>
      </w:r>
    </w:p>
    <w:p w:rsidR="00B64020" w:rsidRPr="00B64020" w:rsidRDefault="00B64020" w:rsidP="00B64020">
      <w:pPr>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color w:val="FF0000"/>
          <w:sz w:val="24"/>
          <w:szCs w:val="24"/>
        </w:rPr>
        <w:t xml:space="preserve"> </w:t>
      </w:r>
      <w:r w:rsidRPr="00B64020">
        <w:rPr>
          <w:rFonts w:ascii="Times New Roman" w:eastAsia="Calibri" w:hAnsi="Times New Roman" w:cs="Times New Roman"/>
          <w:sz w:val="24"/>
          <w:szCs w:val="24"/>
        </w:rPr>
        <w:t>Objectives of the study:</w:t>
      </w:r>
    </w:p>
    <w:p w:rsidR="00B64020" w:rsidRPr="00B64020" w:rsidRDefault="00B64020" w:rsidP="00B64020">
      <w:pPr>
        <w:numPr>
          <w:ilvl w:val="0"/>
          <w:numId w:val="2"/>
        </w:numPr>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To clarify the impact of human resource practices on the development of trust within </w:t>
      </w:r>
      <w:r w:rsidRPr="00B64020">
        <w:rPr>
          <w:rFonts w:ascii="Times New Roman" w:eastAsia="Calibri" w:hAnsi="Times New Roman" w:cs="Times New Roman"/>
          <w:sz w:val="24"/>
          <w:szCs w:val="24"/>
        </w:rPr>
        <w:tab/>
        <w:t xml:space="preserve">both public and private universities in Zambia; </w:t>
      </w:r>
    </w:p>
    <w:p w:rsidR="00B64020" w:rsidRPr="00B64020" w:rsidRDefault="00B64020" w:rsidP="00B64020">
      <w:pPr>
        <w:numPr>
          <w:ilvl w:val="0"/>
          <w:numId w:val="2"/>
        </w:numPr>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To evaluate the effect of trust on </w:t>
      </w:r>
      <w:r w:rsidR="0038584E">
        <w:rPr>
          <w:rFonts w:ascii="Times New Roman" w:eastAsia="Calibri" w:hAnsi="Times New Roman" w:cs="Times New Roman"/>
          <w:sz w:val="24"/>
          <w:szCs w:val="24"/>
        </w:rPr>
        <w:t>employee</w:t>
      </w:r>
      <w:r w:rsidRPr="00B64020">
        <w:rPr>
          <w:rFonts w:ascii="Times New Roman" w:eastAsia="Calibri" w:hAnsi="Times New Roman" w:cs="Times New Roman"/>
          <w:sz w:val="24"/>
          <w:szCs w:val="24"/>
        </w:rPr>
        <w:t xml:space="preserve"> performance in these educational </w:t>
      </w:r>
      <w:r w:rsidRPr="00B64020">
        <w:rPr>
          <w:rFonts w:ascii="Times New Roman" w:eastAsia="Calibri" w:hAnsi="Times New Roman" w:cs="Times New Roman"/>
          <w:sz w:val="24"/>
          <w:szCs w:val="24"/>
        </w:rPr>
        <w:tab/>
        <w:t xml:space="preserve">establishments; and </w:t>
      </w:r>
    </w:p>
    <w:p w:rsidR="00B64020" w:rsidRPr="00B64020" w:rsidRDefault="00B64020" w:rsidP="00B64020">
      <w:pPr>
        <w:numPr>
          <w:ilvl w:val="0"/>
          <w:numId w:val="2"/>
        </w:numPr>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To investigate </w:t>
      </w:r>
      <w:r w:rsidR="00756055">
        <w:rPr>
          <w:rFonts w:ascii="Times New Roman" w:eastAsia="Calibri" w:hAnsi="Times New Roman" w:cs="Times New Roman"/>
          <w:sz w:val="24"/>
          <w:szCs w:val="24"/>
        </w:rPr>
        <w:t>whether</w:t>
      </w:r>
      <w:r w:rsidRPr="00B64020">
        <w:rPr>
          <w:rFonts w:ascii="Times New Roman" w:eastAsia="Calibri" w:hAnsi="Times New Roman" w:cs="Times New Roman"/>
          <w:sz w:val="24"/>
          <w:szCs w:val="24"/>
        </w:rPr>
        <w:t xml:space="preserve"> trust mediates the interplay between human resource</w:t>
      </w:r>
      <w:r w:rsidR="0069034B">
        <w:rPr>
          <w:rFonts w:ascii="Times New Roman" w:eastAsia="Calibri" w:hAnsi="Times New Roman" w:cs="Times New Roman"/>
          <w:sz w:val="24"/>
          <w:szCs w:val="24"/>
        </w:rPr>
        <w:t xml:space="preserve"> </w:t>
      </w:r>
      <w:r w:rsidR="00DF56F6">
        <w:rPr>
          <w:rFonts w:ascii="Times New Roman" w:eastAsia="Calibri" w:hAnsi="Times New Roman" w:cs="Times New Roman"/>
          <w:sz w:val="24"/>
          <w:szCs w:val="24"/>
        </w:rPr>
        <w:t>practices</w:t>
      </w:r>
      <w:r w:rsidRPr="00B64020">
        <w:rPr>
          <w:rFonts w:ascii="Times New Roman" w:eastAsia="Calibri" w:hAnsi="Times New Roman" w:cs="Times New Roman"/>
          <w:sz w:val="24"/>
          <w:szCs w:val="24"/>
        </w:rPr>
        <w:t xml:space="preserve"> and performance. </w:t>
      </w:r>
    </w:p>
    <w:p w:rsidR="00B64020" w:rsidRPr="00B64020" w:rsidRDefault="0038584E" w:rsidP="00B64020">
      <w:pPr>
        <w:spacing w:before="100" w:beforeAutospacing="1" w:after="0" w:line="360" w:lineRule="auto"/>
        <w:jc w:val="both"/>
        <w:rPr>
          <w:rFonts w:ascii="Times New Roman" w:eastAsia="Calibri" w:hAnsi="Times New Roman" w:cs="Times New Roman"/>
          <w:sz w:val="24"/>
          <w:szCs w:val="24"/>
        </w:rPr>
      </w:pPr>
      <w:r w:rsidRPr="0038584E">
        <w:rPr>
          <w:rFonts w:ascii="Times New Roman" w:hAnsi="Times New Roman" w:cs="Times New Roman"/>
          <w:sz w:val="24"/>
        </w:rPr>
        <w:t>Mayer et al.</w:t>
      </w:r>
      <w:r w:rsidR="00525BED">
        <w:rPr>
          <w:rFonts w:ascii="Times New Roman" w:hAnsi="Times New Roman" w:cs="Times New Roman"/>
          <w:sz w:val="24"/>
        </w:rPr>
        <w:t xml:space="preserve"> (1995) defined</w:t>
      </w:r>
      <w:r w:rsidRPr="0038584E">
        <w:rPr>
          <w:rFonts w:ascii="Times New Roman" w:hAnsi="Times New Roman" w:cs="Times New Roman"/>
          <w:sz w:val="24"/>
        </w:rPr>
        <w:t xml:space="preserve"> trust </w:t>
      </w:r>
      <w:r w:rsidR="00525BED">
        <w:rPr>
          <w:rFonts w:ascii="Times New Roman" w:hAnsi="Times New Roman" w:cs="Times New Roman"/>
          <w:sz w:val="24"/>
        </w:rPr>
        <w:t xml:space="preserve">as </w:t>
      </w:r>
      <w:r w:rsidRPr="00525BED">
        <w:rPr>
          <w:rFonts w:ascii="Times New Roman" w:hAnsi="Times New Roman" w:cs="Times New Roman"/>
          <w:sz w:val="24"/>
        </w:rPr>
        <w:t>the willingness of a party to be vulnerable to the actions of another party based on the expectation that the other party will perform a particular action important to the trustor, irrespective of the ability to monitor that other party</w:t>
      </w:r>
      <w:r w:rsidR="00525BED">
        <w:rPr>
          <w:rFonts w:ascii="Times New Roman" w:hAnsi="Times New Roman" w:cs="Times New Roman"/>
          <w:sz w:val="24"/>
        </w:rPr>
        <w:t>,</w:t>
      </w:r>
      <w:r w:rsidRPr="0038584E">
        <w:rPr>
          <w:rFonts w:ascii="Times New Roman" w:hAnsi="Times New Roman" w:cs="Times New Roman"/>
          <w:sz w:val="24"/>
        </w:rPr>
        <w:t xml:space="preserve"> which has become widely accepted by scholars on trust. </w:t>
      </w:r>
      <w:r w:rsidR="00525BED">
        <w:rPr>
          <w:rFonts w:ascii="Times New Roman" w:hAnsi="Times New Roman" w:cs="Times New Roman"/>
          <w:sz w:val="24"/>
        </w:rPr>
        <w:t xml:space="preserve"> </w:t>
      </w:r>
      <w:r w:rsidR="00525BED">
        <w:rPr>
          <w:rFonts w:ascii="Times New Roman" w:eastAsia="Calibri" w:hAnsi="Times New Roman" w:cs="Times New Roman"/>
          <w:sz w:val="24"/>
          <w:szCs w:val="24"/>
        </w:rPr>
        <w:t>McAllister (1995) defined</w:t>
      </w:r>
      <w:r w:rsidR="00B64020" w:rsidRPr="00B64020">
        <w:rPr>
          <w:rFonts w:ascii="Times New Roman" w:eastAsia="Calibri" w:hAnsi="Times New Roman" w:cs="Times New Roman"/>
          <w:sz w:val="24"/>
          <w:szCs w:val="24"/>
        </w:rPr>
        <w:t xml:space="preserve"> trust as having two aspects:</w:t>
      </w:r>
      <w:r w:rsidR="00B64020" w:rsidRPr="00B64020">
        <w:rPr>
          <w:rFonts w:ascii="Times New Roman" w:eastAsia="Calibri" w:hAnsi="Times New Roman" w:cs="Times New Roman"/>
          <w:i/>
          <w:iCs/>
          <w:sz w:val="24"/>
          <w:szCs w:val="24"/>
        </w:rPr>
        <w:t xml:space="preserve"> cognition</w:t>
      </w:r>
      <w:r w:rsidR="00B64020" w:rsidRPr="00B64020">
        <w:rPr>
          <w:rFonts w:ascii="Times New Roman" w:eastAsia="Calibri" w:hAnsi="Times New Roman" w:cs="Times New Roman"/>
          <w:i/>
          <w:iCs/>
        </w:rPr>
        <w:t>-based trust</w:t>
      </w:r>
      <w:r w:rsidR="00B64020" w:rsidRPr="00B64020">
        <w:rPr>
          <w:rFonts w:ascii="Times New Roman" w:eastAsia="Calibri" w:hAnsi="Times New Roman" w:cs="Times New Roman"/>
        </w:rPr>
        <w:t xml:space="preserve"> – rooted in knowledge and </w:t>
      </w:r>
      <w:r w:rsidR="00B64020" w:rsidRPr="00B64020">
        <w:rPr>
          <w:rFonts w:ascii="Times New Roman" w:eastAsia="Calibri" w:hAnsi="Times New Roman" w:cs="Times New Roman"/>
          <w:sz w:val="24"/>
          <w:szCs w:val="24"/>
        </w:rPr>
        <w:t>rationality, such as the trustor's competence, accountability, reliability, dependability, and steadfastness</w:t>
      </w:r>
      <w:r w:rsidR="00B64020" w:rsidRPr="00B64020">
        <w:rPr>
          <w:rFonts w:ascii="Times New Roman" w:eastAsia="Calibri" w:hAnsi="Times New Roman" w:cs="Times New Roman"/>
          <w:i/>
          <w:iCs/>
          <w:sz w:val="24"/>
          <w:szCs w:val="24"/>
        </w:rPr>
        <w:t>; affect-based trust</w:t>
      </w:r>
      <w:r w:rsidR="00B64020" w:rsidRPr="00B64020">
        <w:rPr>
          <w:rFonts w:ascii="Times New Roman" w:eastAsia="Calibri" w:hAnsi="Times New Roman" w:cs="Times New Roman"/>
          <w:sz w:val="24"/>
          <w:szCs w:val="24"/>
        </w:rPr>
        <w:t xml:space="preserve"> – founded on emotional connections between individuals, encompassing care, empathy, and allegiance; a belief in the inherent value of such a bond, and the assurance of mutual sentiments. McAllister posits that a baseline level of cognition-based trust is essential for the realization of effective relationships.</w:t>
      </w:r>
    </w:p>
    <w:p w:rsidR="00B64020" w:rsidRPr="00B64020" w:rsidRDefault="00366437" w:rsidP="00B51348">
      <w:pPr>
        <w:spacing w:before="100" w:beforeAutospacing="1"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T</w:t>
      </w:r>
      <w:r w:rsidR="00B64020" w:rsidRPr="00B64020">
        <w:rPr>
          <w:rFonts w:ascii="Times New Roman" w:eastAsia="Times New Roman" w:hAnsi="Times New Roman" w:cs="Times New Roman"/>
          <w:sz w:val="24"/>
          <w:szCs w:val="24"/>
        </w:rPr>
        <w:t>rust is measurable.</w:t>
      </w:r>
      <w:r w:rsidR="00B64020" w:rsidRPr="00B64020">
        <w:rPr>
          <w:rFonts w:ascii="Times New Roman" w:eastAsia="Times New Roman" w:hAnsi="Times New Roman" w:cs="Times New Roman"/>
          <w:b/>
          <w:bCs/>
          <w:sz w:val="24"/>
          <w:szCs w:val="24"/>
        </w:rPr>
        <w:t xml:space="preserve"> </w:t>
      </w:r>
      <w:r w:rsidR="00B64020" w:rsidRPr="00B64020">
        <w:rPr>
          <w:rFonts w:ascii="Times New Roman" w:eastAsia="Times New Roman" w:hAnsi="Times New Roman" w:cs="Times New Roman"/>
          <w:sz w:val="24"/>
          <w:szCs w:val="24"/>
        </w:rPr>
        <w:t xml:space="preserve">Cummings and Bromily (1996) devised the Organisational Trust Inventory to assess individuals' trust in organizations based on criteria such as adherence to commitments, honesty, and absence of exploitative behaviors. Butler (1991) formulated a Conditions of Trust Inventory comprising ten elements essential for fostering and sustaining trust, including availability, competence, consistency, fairness, integrity, loyalty, openness, overall trust, promise fulfillment, and receptivity (Rawlins, 2007). Cook &amp; Hall (1980) </w:t>
      </w:r>
      <w:r w:rsidR="00097F4F">
        <w:rPr>
          <w:rFonts w:ascii="Times New Roman" w:eastAsia="Times New Roman" w:hAnsi="Times New Roman" w:cs="Times New Roman"/>
          <w:sz w:val="24"/>
          <w:szCs w:val="24"/>
        </w:rPr>
        <w:t>developed a scale to assess trust in managers and colleagues</w:t>
      </w:r>
      <w:r w:rsidR="00DF56F6">
        <w:rPr>
          <w:rFonts w:ascii="Times New Roman" w:eastAsia="Times New Roman" w:hAnsi="Times New Roman" w:cs="Times New Roman"/>
          <w:sz w:val="24"/>
          <w:szCs w:val="24"/>
        </w:rPr>
        <w:t>, comprising 12 statements reflecting</w:t>
      </w:r>
      <w:r w:rsidR="00097F4F">
        <w:rPr>
          <w:rFonts w:ascii="Times New Roman" w:eastAsia="Times New Roman" w:hAnsi="Times New Roman" w:cs="Times New Roman"/>
          <w:sz w:val="24"/>
          <w:szCs w:val="24"/>
        </w:rPr>
        <w:t xml:space="preserve"> perceptions of coworkers' and superiors' reliability and trustworthiness</w:t>
      </w:r>
      <w:r w:rsidR="00B64020" w:rsidRPr="00B64020">
        <w:rPr>
          <w:rFonts w:ascii="Times New Roman" w:eastAsia="Times New Roman" w:hAnsi="Times New Roman" w:cs="Times New Roman"/>
          <w:sz w:val="24"/>
          <w:szCs w:val="24"/>
        </w:rPr>
        <w:t xml:space="preserve"> in the workplace.</w:t>
      </w:r>
      <w:r w:rsidR="00B51348">
        <w:rPr>
          <w:rFonts w:ascii="Times New Roman" w:eastAsia="Times New Roman" w:hAnsi="Times New Roman" w:cs="Times New Roman"/>
          <w:sz w:val="24"/>
          <w:szCs w:val="24"/>
        </w:rPr>
        <w:t xml:space="preserve">  </w:t>
      </w:r>
      <w:r w:rsidR="00B64020" w:rsidRPr="00B64020">
        <w:rPr>
          <w:rFonts w:ascii="Times New Roman" w:eastAsia="Calibri" w:hAnsi="Times New Roman" w:cs="Times New Roman"/>
          <w:sz w:val="24"/>
          <w:szCs w:val="24"/>
        </w:rPr>
        <w:t xml:space="preserve">Given the multifaceted nature of trust, this study examined its </w:t>
      </w:r>
      <w:r w:rsidR="006F03AC">
        <w:rPr>
          <w:rFonts w:ascii="Times New Roman" w:eastAsia="Calibri" w:hAnsi="Times New Roman" w:cs="Times New Roman"/>
          <w:sz w:val="24"/>
          <w:szCs w:val="24"/>
        </w:rPr>
        <w:t>association with</w:t>
      </w:r>
      <w:r w:rsidR="00B64020" w:rsidRPr="00B64020">
        <w:rPr>
          <w:rFonts w:ascii="Times New Roman" w:eastAsia="Calibri" w:hAnsi="Times New Roman" w:cs="Times New Roman"/>
          <w:sz w:val="24"/>
          <w:szCs w:val="24"/>
        </w:rPr>
        <w:t xml:space="preserve"> human resources management practices and employee performance within higher education institutions (HEIs).  </w:t>
      </w:r>
    </w:p>
    <w:p w:rsidR="00B64020" w:rsidRPr="005123F2" w:rsidRDefault="00B64020" w:rsidP="00DF56F6">
      <w:pPr>
        <w:spacing w:before="100" w:beforeAutospacing="1" w:after="0" w:line="360" w:lineRule="auto"/>
        <w:jc w:val="both"/>
        <w:rPr>
          <w:rFonts w:ascii="Times New Roman" w:eastAsia="Calibri" w:hAnsi="Times New Roman" w:cs="Times New Roman"/>
          <w:b/>
          <w:bCs/>
          <w:sz w:val="32"/>
          <w:szCs w:val="24"/>
        </w:rPr>
      </w:pPr>
      <w:r w:rsidRPr="005123F2">
        <w:rPr>
          <w:rFonts w:ascii="Times New Roman" w:eastAsia="Calibri" w:hAnsi="Times New Roman" w:cs="Times New Roman"/>
          <w:b/>
          <w:bCs/>
          <w:color w:val="000000"/>
          <w:sz w:val="32"/>
          <w:szCs w:val="24"/>
        </w:rPr>
        <w:t>2.</w:t>
      </w:r>
      <w:r w:rsidR="00F72284" w:rsidRPr="005123F2">
        <w:rPr>
          <w:rFonts w:ascii="Times New Roman" w:eastAsia="Calibri" w:hAnsi="Times New Roman" w:cs="Times New Roman"/>
          <w:b/>
          <w:bCs/>
          <w:color w:val="000000"/>
          <w:sz w:val="32"/>
          <w:szCs w:val="24"/>
        </w:rPr>
        <w:t xml:space="preserve"> Review of Literature</w:t>
      </w:r>
      <w:r w:rsidRPr="005123F2">
        <w:rPr>
          <w:rFonts w:ascii="Times New Roman" w:eastAsia="Calibri" w:hAnsi="Times New Roman" w:cs="Times New Roman"/>
          <w:b/>
          <w:bCs/>
          <w:color w:val="FF0000"/>
          <w:sz w:val="32"/>
          <w:szCs w:val="24"/>
        </w:rPr>
        <w:t xml:space="preserve"> </w:t>
      </w:r>
      <w:r w:rsidRPr="005123F2">
        <w:rPr>
          <w:rFonts w:ascii="Times New Roman" w:eastAsia="Calibri" w:hAnsi="Times New Roman" w:cs="Times New Roman"/>
          <w:b/>
          <w:bCs/>
          <w:sz w:val="32"/>
          <w:szCs w:val="24"/>
        </w:rPr>
        <w:t xml:space="preserve"> </w:t>
      </w:r>
    </w:p>
    <w:p w:rsidR="00B64020" w:rsidRPr="00B64020" w:rsidRDefault="00B64020" w:rsidP="00DF56F6">
      <w:pPr>
        <w:spacing w:before="100" w:beforeAutospacing="1" w:line="360" w:lineRule="auto"/>
        <w:jc w:val="both"/>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 xml:space="preserve">Although trust is crucial in the workplace, it is under-researched in higher education. (Gratz &amp; Looney, 2025; Mushi et al., 2020; Niedlich et al., 2021; Jameson et al., 2023; Mahdinezhad et al., 2018). Moore (2024) argues that low trust causes inefficiencies in academia, such as bureaucracy, decision delays, faculty turnover, and student disengagement. High trust minimizes oversight, boosts collaboration, and enhances academic progress. Lewicka (2022) noted that trust-building in HEIs is a new issue, overshadowed by teaching quality and learning outcomes. </w:t>
      </w:r>
    </w:p>
    <w:p w:rsidR="009A41A3" w:rsidRPr="00680A76" w:rsidRDefault="009A41A3" w:rsidP="009A41A3">
      <w:pPr>
        <w:spacing w:line="360" w:lineRule="auto"/>
        <w:jc w:val="both"/>
        <w:rPr>
          <w:rFonts w:ascii="Times New Roman" w:hAnsi="Times New Roman" w:cs="Times New Roman"/>
          <w:sz w:val="24"/>
        </w:rPr>
      </w:pPr>
      <w:r w:rsidRPr="00680A76">
        <w:rPr>
          <w:rFonts w:ascii="Times New Roman" w:hAnsi="Times New Roman" w:cs="Times New Roman"/>
          <w:sz w:val="24"/>
        </w:rPr>
        <w:t>A comprehensive review of the principal body of research on trust over the past quarter-century from an evolutionary standpoint by Dirks &amp; de Jong (2022) examined the findings and implications of the research on trust in leadership and identified two distinct waves that have shaped and advanced this concept. The inaugural wave laid the groundwork, while the subsequent wave interrogated prevailing assumptions and explored alternative perspectives. A third wave is anticipated, focusing on the implications of the first and second waves for workplace trust, which is the intended contribution of this study.</w:t>
      </w:r>
    </w:p>
    <w:p w:rsidR="00B64020" w:rsidRPr="00B64020" w:rsidRDefault="00B64020" w:rsidP="00B64020">
      <w:pPr>
        <w:spacing w:before="100" w:beforeAutospacing="1" w:line="360" w:lineRule="auto"/>
        <w:jc w:val="both"/>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 xml:space="preserve">Akar’s (2018) meta-analysis of organizational trust in educational institutions from 2008 to 2018 synthesized findings on trust, support, citizenship, justice, commitment, mobbing, silence, satisfaction, cynicism, and leadership. Akar (2018) found that organizational justice, support, ethical leadership, and mobbing significantly affect trust perceptions among educational employees. In addition, </w:t>
      </w:r>
      <w:r w:rsidR="00F85A75">
        <w:rPr>
          <w:rFonts w:ascii="Times New Roman" w:eastAsia="Calibri" w:hAnsi="Times New Roman" w:cs="Times New Roman"/>
          <w:bCs/>
          <w:sz w:val="24"/>
          <w:szCs w:val="24"/>
        </w:rPr>
        <w:t>perceptions of trust affect</w:t>
      </w:r>
      <w:r w:rsidRPr="00B64020">
        <w:rPr>
          <w:rFonts w:ascii="Times New Roman" w:eastAsia="Calibri" w:hAnsi="Times New Roman" w:cs="Times New Roman"/>
          <w:bCs/>
          <w:sz w:val="24"/>
          <w:szCs w:val="24"/>
        </w:rPr>
        <w:t xml:space="preserve"> commitment, citizenship behaviors, motivation, satisfaction, and cynicism. Therefore, educational leaders should adhere to ethical principles and provide training in human resource management and ethics.</w:t>
      </w:r>
    </w:p>
    <w:p w:rsidR="006F03AC" w:rsidRDefault="00B64020" w:rsidP="00B64020">
      <w:pPr>
        <w:spacing w:before="100" w:beforeAutospacing="1" w:line="360" w:lineRule="auto"/>
        <w:jc w:val="both"/>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 xml:space="preserve">In Africa, higher education has expanded, with </w:t>
      </w:r>
      <w:r w:rsidR="00E4365B">
        <w:rPr>
          <w:rFonts w:ascii="Times New Roman" w:eastAsia="Calibri" w:hAnsi="Times New Roman" w:cs="Times New Roman"/>
          <w:bCs/>
          <w:sz w:val="24"/>
          <w:szCs w:val="24"/>
        </w:rPr>
        <w:t xml:space="preserve">the number of </w:t>
      </w:r>
      <w:r w:rsidRPr="00B64020">
        <w:rPr>
          <w:rFonts w:ascii="Times New Roman" w:eastAsia="Calibri" w:hAnsi="Times New Roman" w:cs="Times New Roman"/>
          <w:bCs/>
          <w:sz w:val="24"/>
          <w:szCs w:val="24"/>
        </w:rPr>
        <w:t xml:space="preserve">universities increasing from 294 in 1980 to 1,682 in 2018, yet Africa's global representation is only 8.9%. Zeleza (2021) argued that fostering social trust and productive cultures in HEIs requires upholding academic freedom, shared governance, equity, civility, communication, and social responsibility. Lewin (2024) noted that trust in South African HEIs has declined due to high unemployment and systemic inequities. The TrustAfrica (2022) dialogue emphasized policy inconsistencies as a key factor eroding trust in African HEIs. </w:t>
      </w:r>
    </w:p>
    <w:p w:rsidR="00B64020" w:rsidRPr="005123F2" w:rsidRDefault="00B64020" w:rsidP="00192A63">
      <w:pPr>
        <w:spacing w:line="360" w:lineRule="auto"/>
        <w:jc w:val="both"/>
        <w:rPr>
          <w:rFonts w:ascii="Times New Roman" w:eastAsia="Calibri" w:hAnsi="Times New Roman" w:cs="Times New Roman"/>
          <w:b/>
          <w:sz w:val="28"/>
          <w:szCs w:val="24"/>
        </w:rPr>
      </w:pPr>
      <w:r w:rsidRPr="005123F2">
        <w:rPr>
          <w:rFonts w:ascii="Times New Roman" w:eastAsia="Calibri" w:hAnsi="Times New Roman" w:cs="Times New Roman"/>
          <w:b/>
          <w:color w:val="000000"/>
          <w:sz w:val="28"/>
          <w:szCs w:val="24"/>
        </w:rPr>
        <w:t>2.1</w:t>
      </w:r>
      <w:r w:rsidR="00D56561" w:rsidRPr="005123F2">
        <w:rPr>
          <w:rFonts w:ascii="Times New Roman" w:eastAsia="Calibri" w:hAnsi="Times New Roman" w:cs="Times New Roman"/>
          <w:b/>
          <w:color w:val="000000"/>
          <w:sz w:val="28"/>
          <w:szCs w:val="24"/>
        </w:rPr>
        <w:t xml:space="preserve"> </w:t>
      </w:r>
      <w:r w:rsidRPr="005123F2">
        <w:rPr>
          <w:rFonts w:ascii="Times New Roman" w:eastAsia="Calibri" w:hAnsi="Times New Roman" w:cs="Times New Roman"/>
          <w:b/>
          <w:color w:val="000000"/>
          <w:sz w:val="28"/>
          <w:szCs w:val="24"/>
        </w:rPr>
        <w:t xml:space="preserve">HR Practices and Trust  </w:t>
      </w:r>
    </w:p>
    <w:p w:rsidR="00B64020" w:rsidRPr="00B64020" w:rsidRDefault="00B64020" w:rsidP="006F03AC">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The interest of this study lies not in the HR practices themselves, but in the relationship between trust and the openness, fairness, and </w:t>
      </w:r>
      <w:r w:rsidR="0069034B">
        <w:rPr>
          <w:rFonts w:ascii="Times New Roman" w:eastAsia="Times New Roman" w:hAnsi="Times New Roman" w:cs="Times New Roman"/>
          <w:sz w:val="24"/>
          <w:szCs w:val="24"/>
        </w:rPr>
        <w:t>equity</w:t>
      </w:r>
      <w:r w:rsidRPr="00B64020">
        <w:rPr>
          <w:rFonts w:ascii="Times New Roman" w:eastAsia="Times New Roman" w:hAnsi="Times New Roman" w:cs="Times New Roman"/>
          <w:sz w:val="24"/>
          <w:szCs w:val="24"/>
        </w:rPr>
        <w:t xml:space="preserve"> of these practices, and their </w:t>
      </w:r>
      <w:r w:rsidR="009F067E">
        <w:rPr>
          <w:rFonts w:ascii="Times New Roman" w:eastAsia="Times New Roman" w:hAnsi="Times New Roman" w:cs="Times New Roman"/>
          <w:sz w:val="24"/>
          <w:szCs w:val="24"/>
        </w:rPr>
        <w:t>association with</w:t>
      </w:r>
      <w:r w:rsidRPr="00B64020">
        <w:rPr>
          <w:rFonts w:ascii="Times New Roman" w:eastAsia="Times New Roman" w:hAnsi="Times New Roman" w:cs="Times New Roman"/>
          <w:sz w:val="24"/>
          <w:szCs w:val="24"/>
        </w:rPr>
        <w:t xml:space="preserve"> the outcomes of employee commitment, engagement, </w:t>
      </w:r>
      <w:r w:rsidR="00D56561">
        <w:rPr>
          <w:rFonts w:ascii="Times New Roman" w:eastAsia="Times New Roman" w:hAnsi="Times New Roman" w:cs="Times New Roman"/>
          <w:sz w:val="24"/>
          <w:szCs w:val="24"/>
        </w:rPr>
        <w:t>productivity, and effectiveness (Figure 1).</w:t>
      </w:r>
      <w:r w:rsidRPr="00B64020">
        <w:rPr>
          <w:rFonts w:ascii="Times New Roman" w:eastAsia="Times New Roman" w:hAnsi="Times New Roman" w:cs="Times New Roman"/>
          <w:sz w:val="24"/>
          <w:szCs w:val="24"/>
        </w:rPr>
        <w:t xml:space="preserve"> </w:t>
      </w:r>
      <w:r w:rsidRPr="00B64020">
        <w:rPr>
          <w:rFonts w:ascii="Times New Roman" w:eastAsia="Times New Roman" w:hAnsi="Times New Roman" w:cs="Times New Roman"/>
          <w:b/>
          <w:sz w:val="24"/>
          <w:szCs w:val="24"/>
        </w:rPr>
        <w:t xml:space="preserve">Openness </w:t>
      </w:r>
      <w:r w:rsidRPr="00B64020">
        <w:rPr>
          <w:rFonts w:ascii="Times New Roman" w:eastAsia="Times New Roman" w:hAnsi="Times New Roman" w:cs="Times New Roman"/>
          <w:sz w:val="24"/>
          <w:szCs w:val="24"/>
        </w:rPr>
        <w:t>in HR practices involves</w:t>
      </w:r>
      <w:r w:rsidR="0069034B">
        <w:rPr>
          <w:rFonts w:ascii="Times New Roman" w:eastAsia="Times New Roman" w:hAnsi="Times New Roman" w:cs="Times New Roman"/>
          <w:sz w:val="24"/>
          <w:szCs w:val="24"/>
        </w:rPr>
        <w:t>,</w:t>
      </w:r>
      <w:r w:rsidRPr="00B64020">
        <w:rPr>
          <w:rFonts w:ascii="Times New Roman" w:eastAsia="Times New Roman" w:hAnsi="Times New Roman" w:cs="Times New Roman"/>
          <w:sz w:val="24"/>
          <w:szCs w:val="24"/>
        </w:rPr>
        <w:t xml:space="preserve"> for instance, open communication with employees regarding organisational strategy, and using the practices to foster trust and respect for overall engagement.  Hainess et al. (2024)</w:t>
      </w:r>
      <w:r w:rsidR="0069034B">
        <w:rPr>
          <w:rFonts w:ascii="Times New Roman" w:eastAsia="Times New Roman" w:hAnsi="Times New Roman" w:cs="Times New Roman"/>
          <w:sz w:val="24"/>
          <w:szCs w:val="24"/>
        </w:rPr>
        <w:t>,</w:t>
      </w:r>
      <w:r w:rsidRPr="00B64020">
        <w:rPr>
          <w:rFonts w:ascii="Times New Roman" w:eastAsia="Times New Roman" w:hAnsi="Times New Roman" w:cs="Times New Roman"/>
          <w:sz w:val="24"/>
          <w:szCs w:val="24"/>
        </w:rPr>
        <w:t xml:space="preserve"> in a study of the </w:t>
      </w:r>
      <w:r w:rsidR="0069034B">
        <w:rPr>
          <w:rFonts w:ascii="Times New Roman" w:eastAsia="Times New Roman" w:hAnsi="Times New Roman" w:cs="Times New Roman"/>
          <w:sz w:val="24"/>
          <w:szCs w:val="24"/>
        </w:rPr>
        <w:t>fairness of HRM practices posit</w:t>
      </w:r>
      <w:r w:rsidRPr="00B64020">
        <w:rPr>
          <w:rFonts w:ascii="Times New Roman" w:eastAsia="Times New Roman" w:hAnsi="Times New Roman" w:cs="Times New Roman"/>
          <w:sz w:val="24"/>
          <w:szCs w:val="24"/>
        </w:rPr>
        <w:t xml:space="preserve"> that this is an aspect that is often overlooked, despite being an inescapable concern. Results revealed that justice sensitivity was positively associated with </w:t>
      </w:r>
      <w:r w:rsidR="00E4365B">
        <w:rPr>
          <w:rFonts w:ascii="Times New Roman" w:eastAsia="Times New Roman" w:hAnsi="Times New Roman" w:cs="Times New Roman"/>
          <w:sz w:val="24"/>
          <w:szCs w:val="24"/>
        </w:rPr>
        <w:t xml:space="preserve">subsequent assessments of the justice content of </w:t>
      </w:r>
      <w:r w:rsidRPr="00B64020">
        <w:rPr>
          <w:rFonts w:ascii="Times New Roman" w:eastAsia="Times New Roman" w:hAnsi="Times New Roman" w:cs="Times New Roman"/>
          <w:sz w:val="24"/>
          <w:szCs w:val="24"/>
        </w:rPr>
        <w:t>HR practices.  An implication for this is that research should consider how systems of HR practices may best enhance fairness perceptions by providing clear and consistent rules and procedures for the collective (Hainess et al.</w:t>
      </w:r>
      <w:r w:rsidR="0069034B">
        <w:rPr>
          <w:rFonts w:ascii="Times New Roman" w:eastAsia="Times New Roman" w:hAnsi="Times New Roman" w:cs="Times New Roman"/>
          <w:sz w:val="24"/>
          <w:szCs w:val="24"/>
        </w:rPr>
        <w:t>,</w:t>
      </w:r>
      <w:r w:rsidRPr="00B64020">
        <w:rPr>
          <w:rFonts w:ascii="Times New Roman" w:eastAsia="Times New Roman" w:hAnsi="Times New Roman" w:cs="Times New Roman"/>
          <w:sz w:val="24"/>
          <w:szCs w:val="24"/>
        </w:rPr>
        <w:t xml:space="preserve"> 2024).</w:t>
      </w:r>
      <w:r w:rsidR="00DF56F6">
        <w:rPr>
          <w:rFonts w:ascii="Times New Roman" w:eastAsia="Times New Roman" w:hAnsi="Times New Roman" w:cs="Times New Roman"/>
          <w:sz w:val="24"/>
          <w:szCs w:val="24"/>
        </w:rPr>
        <w:t xml:space="preserve">  </w:t>
      </w:r>
      <w:r w:rsidRPr="00B64020">
        <w:rPr>
          <w:rFonts w:ascii="Times New Roman" w:eastAsia="Times New Roman" w:hAnsi="Times New Roman" w:cs="Times New Roman"/>
          <w:b/>
          <w:sz w:val="24"/>
          <w:szCs w:val="24"/>
        </w:rPr>
        <w:t>Fair</w:t>
      </w:r>
      <w:r w:rsidRPr="00B64020">
        <w:rPr>
          <w:rFonts w:ascii="Times New Roman" w:eastAsia="Times New Roman" w:hAnsi="Times New Roman" w:cs="Times New Roman"/>
          <w:sz w:val="24"/>
          <w:szCs w:val="24"/>
        </w:rPr>
        <w:t xml:space="preserve"> – According to Beugre (1998), organisational fairness (justice) is comprised of four categories: a) </w:t>
      </w:r>
      <w:r w:rsidRPr="00B64020">
        <w:rPr>
          <w:rFonts w:ascii="Times New Roman" w:eastAsia="Times New Roman" w:hAnsi="Times New Roman" w:cs="Times New Roman"/>
          <w:i/>
          <w:sz w:val="24"/>
          <w:szCs w:val="24"/>
        </w:rPr>
        <w:t>Distributive</w:t>
      </w:r>
      <w:r w:rsidRPr="00B64020">
        <w:rPr>
          <w:rFonts w:ascii="Times New Roman" w:eastAsia="Times New Roman" w:hAnsi="Times New Roman" w:cs="Times New Roman"/>
          <w:sz w:val="24"/>
          <w:szCs w:val="24"/>
        </w:rPr>
        <w:t xml:space="preserve"> - the degree to which the outcomes received from the organisation are perceived to be fair; b) </w:t>
      </w:r>
      <w:r w:rsidRPr="00B64020">
        <w:rPr>
          <w:rFonts w:ascii="Times New Roman" w:eastAsia="Times New Roman" w:hAnsi="Times New Roman" w:cs="Times New Roman"/>
          <w:i/>
          <w:sz w:val="24"/>
          <w:szCs w:val="24"/>
        </w:rPr>
        <w:t>Procedural</w:t>
      </w:r>
      <w:r w:rsidRPr="00B64020">
        <w:rPr>
          <w:rFonts w:ascii="Times New Roman" w:eastAsia="Times New Roman" w:hAnsi="Times New Roman" w:cs="Times New Roman"/>
          <w:sz w:val="24"/>
          <w:szCs w:val="24"/>
        </w:rPr>
        <w:t xml:space="preserve"> (Thibaut &amp; Walker, 1975) - the degree to which fair decision-making procedures are used to arrive at a decision; involving processes, systems, and practices; c) </w:t>
      </w:r>
      <w:r w:rsidRPr="00B64020">
        <w:rPr>
          <w:rFonts w:ascii="Times New Roman" w:eastAsia="Times New Roman" w:hAnsi="Times New Roman" w:cs="Times New Roman"/>
          <w:i/>
          <w:sz w:val="24"/>
          <w:szCs w:val="24"/>
        </w:rPr>
        <w:t>Interactional</w:t>
      </w:r>
      <w:r w:rsidRPr="00B64020">
        <w:rPr>
          <w:rFonts w:ascii="Times New Roman" w:eastAsia="Times New Roman" w:hAnsi="Times New Roman" w:cs="Times New Roman"/>
          <w:sz w:val="24"/>
          <w:szCs w:val="24"/>
        </w:rPr>
        <w:t xml:space="preserve"> - the degree to which people are treated with respect, kindness, and dignity in interpersonal reactions; and d) </w:t>
      </w:r>
      <w:r w:rsidRPr="00B64020">
        <w:rPr>
          <w:rFonts w:ascii="Times New Roman" w:eastAsia="Times New Roman" w:hAnsi="Times New Roman" w:cs="Times New Roman"/>
          <w:i/>
          <w:sz w:val="24"/>
          <w:szCs w:val="24"/>
        </w:rPr>
        <w:t>Systematic</w:t>
      </w:r>
      <w:r w:rsidRPr="00B64020">
        <w:rPr>
          <w:rFonts w:ascii="Times New Roman" w:eastAsia="Times New Roman" w:hAnsi="Times New Roman" w:cs="Times New Roman"/>
          <w:sz w:val="24"/>
          <w:szCs w:val="24"/>
        </w:rPr>
        <w:t xml:space="preserve"> (or systemic) - which essentially aims to dismantle and rebuild systems to ensure equitable outcomes for all, moving beyond individual cases of unfairness to address the root causes of inequity.</w:t>
      </w:r>
      <w:r w:rsidR="00DF56F6">
        <w:rPr>
          <w:rFonts w:ascii="Times New Roman" w:eastAsia="Times New Roman" w:hAnsi="Times New Roman" w:cs="Times New Roman"/>
          <w:sz w:val="24"/>
          <w:szCs w:val="24"/>
        </w:rPr>
        <w:t xml:space="preserve"> </w:t>
      </w:r>
      <w:r w:rsidRPr="00B64020">
        <w:rPr>
          <w:rFonts w:ascii="Times New Roman" w:eastAsia="Times New Roman" w:hAnsi="Times New Roman" w:cs="Times New Roman"/>
          <w:b/>
          <w:sz w:val="24"/>
          <w:szCs w:val="24"/>
        </w:rPr>
        <w:t>Equitable</w:t>
      </w:r>
      <w:r w:rsidRPr="00B64020">
        <w:rPr>
          <w:rFonts w:ascii="Times New Roman" w:eastAsia="Times New Roman" w:hAnsi="Times New Roman" w:cs="Times New Roman"/>
          <w:sz w:val="24"/>
          <w:szCs w:val="24"/>
        </w:rPr>
        <w:t xml:space="preserve"> – Deutsch (1975) defined the principle of equity as the allocation of benefits according to effort.  Going back to Adam’s (1963) Equity Theory, when employees make comparisons between efforts and rewards, and perceive there to be unfairness, injustice, or inequity in HR practices, they will react negatively through, for instance, reduced motivation, commitment, and performance (Dzansi, 2016), which all imply a lack of trust.  </w:t>
      </w:r>
    </w:p>
    <w:p w:rsidR="00B64020" w:rsidRPr="00B64020" w:rsidRDefault="00B64020" w:rsidP="00B64020">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 The link between HR practices and employee trust and attitudes is grounded in social exchange aimed at improving skills and knowledge will be reciprocated by employees in terms of positive attitudes and behaviors (Innocent et al, (2011), depicted in Figure 1. </w:t>
      </w:r>
      <w:r w:rsidR="00F85A75" w:rsidRPr="00B64020">
        <w:rPr>
          <w:rFonts w:ascii="Times New Roman" w:eastAsia="Calibri" w:hAnsi="Times New Roman" w:cs="Times New Roman"/>
          <w:bCs/>
          <w:sz w:val="24"/>
          <w:szCs w:val="24"/>
        </w:rPr>
        <w:t xml:space="preserve">Reciprocity has a downside: distrustful acts can negate positive attitudes toward the organization. Leaders perform strategic functions like resource allocation, HR practices, and communication of organizational goals, Dirks &amp; Ferrin (2002). HR managers should raise awareness of building trust cycles using HRM practices and their effects on commitment and performance (Nishanthi &amp; Kulathunga, 2018). Guest and Conway (1999) state that trust explains how HR practices affect employee attitudes, aligning with the social exchange principle in the employment contract. </w:t>
      </w:r>
    </w:p>
    <w:p w:rsidR="00B64020" w:rsidRPr="00B64020" w:rsidRDefault="00B64020" w:rsidP="00B64020">
      <w:pPr>
        <w:spacing w:before="100" w:beforeAutospacing="1" w:line="360" w:lineRule="auto"/>
        <w:jc w:val="both"/>
        <w:rPr>
          <w:rFonts w:ascii="Times New Roman" w:eastAsia="Calibri" w:hAnsi="Times New Roman" w:cs="Times New Roman"/>
          <w:b/>
        </w:rPr>
      </w:pPr>
      <w:r w:rsidRPr="00B64020">
        <w:rPr>
          <w:rFonts w:ascii="Times New Roman" w:eastAsia="Calibri" w:hAnsi="Times New Roman" w:cs="Times New Roman"/>
          <w:b/>
          <w:sz w:val="24"/>
          <w:szCs w:val="24"/>
        </w:rPr>
        <w:t>HR Practices</w:t>
      </w:r>
      <w:r w:rsidRPr="00B64020">
        <w:rPr>
          <w:rFonts w:ascii="Times New Roman" w:eastAsia="Calibri" w:hAnsi="Times New Roman" w:cs="Times New Roman"/>
          <w:b/>
          <w:sz w:val="24"/>
          <w:szCs w:val="24"/>
        </w:rPr>
        <w:tab/>
      </w:r>
      <w:r w:rsidRPr="00B64020">
        <w:rPr>
          <w:rFonts w:ascii="Times New Roman" w:eastAsia="Calibri" w:hAnsi="Times New Roman" w:cs="Times New Roman"/>
          <w:b/>
        </w:rPr>
        <w:tab/>
      </w:r>
      <w:r w:rsidRPr="00B64020">
        <w:rPr>
          <w:rFonts w:ascii="Times New Roman" w:eastAsia="Calibri" w:hAnsi="Times New Roman" w:cs="Times New Roman"/>
          <w:b/>
        </w:rPr>
        <w:tab/>
      </w:r>
      <w:r w:rsidRPr="00B64020">
        <w:rPr>
          <w:rFonts w:ascii="Times New Roman" w:eastAsia="Calibri" w:hAnsi="Times New Roman" w:cs="Times New Roman"/>
          <w:b/>
        </w:rPr>
        <w:tab/>
      </w:r>
      <w:r w:rsidRPr="00B64020">
        <w:rPr>
          <w:rFonts w:ascii="Times New Roman" w:eastAsia="Calibri" w:hAnsi="Times New Roman" w:cs="Times New Roman"/>
          <w:b/>
        </w:rPr>
        <w:tab/>
      </w:r>
      <w:r w:rsidRPr="00B64020">
        <w:rPr>
          <w:rFonts w:ascii="Times New Roman" w:eastAsia="Calibri" w:hAnsi="Times New Roman" w:cs="Times New Roman"/>
          <w:b/>
        </w:rPr>
        <w:tab/>
      </w:r>
      <w:r w:rsidRPr="00B64020">
        <w:rPr>
          <w:rFonts w:ascii="Times New Roman" w:eastAsia="Calibri" w:hAnsi="Times New Roman" w:cs="Times New Roman"/>
          <w:b/>
        </w:rPr>
        <w:tab/>
      </w:r>
      <w:r w:rsidRPr="00B64020">
        <w:rPr>
          <w:rFonts w:ascii="Times New Roman" w:eastAsia="Calibri" w:hAnsi="Times New Roman" w:cs="Times New Roman"/>
          <w:b/>
        </w:rPr>
        <w:tab/>
        <w:t>Outcomes</w:t>
      </w:r>
      <w:r w:rsidRPr="00B64020">
        <w:rPr>
          <w:rFonts w:ascii="Times New Roman" w:eastAsia="Calibri" w:hAnsi="Times New Roman" w:cs="Times New Roman"/>
        </w:rPr>
        <w:t xml:space="preserve">: </w:t>
      </w:r>
      <w:r w:rsidR="00DF56F6">
        <w:rPr>
          <w:rFonts w:ascii="Times New Roman" w:eastAsia="Calibri" w:hAnsi="Times New Roman" w:cs="Times New Roman"/>
          <w:b/>
        </w:rPr>
        <w:t>Positive Attitudes</w:t>
      </w:r>
    </w:p>
    <w:p w:rsidR="00B64020" w:rsidRPr="00B64020" w:rsidRDefault="00B64020" w:rsidP="00B64020">
      <w:pPr>
        <w:spacing w:beforeAutospacing="1" w:line="360" w:lineRule="auto"/>
        <w:jc w:val="both"/>
        <w:rPr>
          <w:rFonts w:ascii="Times New Roman" w:eastAsia="Calibri" w:hAnsi="Times New Roman" w:cs="Times New Roman"/>
        </w:rPr>
      </w:pPr>
      <w:r w:rsidRPr="00B64020">
        <w:rPr>
          <w:rFonts w:ascii="Calibri" w:eastAsia="Times New Roman" w:hAnsi="Calibri" w:cs="Times New Roman"/>
          <w:noProof/>
        </w:rPr>
        <w:drawing>
          <wp:inline distT="0" distB="0" distL="0" distR="0" wp14:anchorId="44FCD25B" wp14:editId="739DE61A">
            <wp:extent cx="5554134" cy="1670050"/>
            <wp:effectExtent l="0" t="0" r="8890" b="6350"/>
            <wp:docPr id="23" name="Picture 12" descr="C:\Users\LYDIAM~1\AppData\Local\Temp\ksohtml1108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IAM~1\AppData\Local\Temp\ksohtml11084\wp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878" cy="1680497"/>
                    </a:xfrm>
                    <a:prstGeom prst="rect">
                      <a:avLst/>
                    </a:prstGeom>
                    <a:noFill/>
                    <a:ln>
                      <a:noFill/>
                    </a:ln>
                  </pic:spPr>
                </pic:pic>
              </a:graphicData>
            </a:graphic>
          </wp:inline>
        </w:drawing>
      </w:r>
      <w:r w:rsidRPr="00B64020">
        <w:rPr>
          <w:rFonts w:ascii="Times New Roman" w:eastAsia="Calibri" w:hAnsi="Times New Roman" w:cs="Times New Roman"/>
        </w:rPr>
        <w:t xml:space="preserve"> </w:t>
      </w:r>
    </w:p>
    <w:p w:rsidR="00DF56F6" w:rsidRPr="00B64020" w:rsidRDefault="00DF56F6" w:rsidP="00DF56F6">
      <w:pPr>
        <w:spacing w:before="100" w:beforeAutospacing="1" w:after="0" w:line="360" w:lineRule="auto"/>
        <w:jc w:val="both"/>
        <w:rPr>
          <w:rFonts w:ascii="Times New Roman" w:eastAsia="Calibri" w:hAnsi="Times New Roman" w:cs="Times New Roman"/>
          <w:sz w:val="20"/>
          <w:szCs w:val="20"/>
        </w:rPr>
      </w:pPr>
      <w:r w:rsidRPr="00B64020">
        <w:rPr>
          <w:rFonts w:ascii="Times New Roman" w:eastAsia="Calibri" w:hAnsi="Times New Roman" w:cs="Times New Roman"/>
          <w:b/>
        </w:rPr>
        <w:t>Figure 1. Outcomes of HR Practices</w:t>
      </w:r>
      <w:r>
        <w:rPr>
          <w:rFonts w:ascii="Times New Roman" w:eastAsia="Calibri" w:hAnsi="Times New Roman" w:cs="Times New Roman"/>
          <w:b/>
        </w:rPr>
        <w:tab/>
      </w:r>
      <w:r w:rsidRPr="00B64020">
        <w:rPr>
          <w:rFonts w:ascii="Times New Roman" w:eastAsia="Calibri" w:hAnsi="Times New Roman" w:cs="Times New Roman"/>
          <w:sz w:val="20"/>
          <w:szCs w:val="20"/>
        </w:rPr>
        <w:t>Source: Adapted from Maurya &amp; Chatterjee, 2018</w:t>
      </w:r>
    </w:p>
    <w:p w:rsidR="00B64020" w:rsidRPr="00B64020" w:rsidRDefault="00F85A75" w:rsidP="00B64020">
      <w:pPr>
        <w:spacing w:before="100" w:beforeAutospacing="1"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B64020" w:rsidRPr="00B64020">
        <w:rPr>
          <w:rFonts w:ascii="Times New Roman" w:eastAsia="Calibri" w:hAnsi="Times New Roman" w:cs="Times New Roman"/>
          <w:bCs/>
          <w:sz w:val="24"/>
          <w:szCs w:val="24"/>
        </w:rPr>
        <w:t xml:space="preserve">Delery and Doty (1996) defined HR practices as theoretically linked to overall organizational performance. A study by Botwe et al (2016) outlined trust dimensions in HR practices as depicted in </w:t>
      </w:r>
      <w:r w:rsidR="00B64020" w:rsidRPr="00B64020">
        <w:rPr>
          <w:rFonts w:ascii="Times New Roman" w:eastAsia="Calibri" w:hAnsi="Times New Roman" w:cs="Times New Roman"/>
          <w:bCs/>
          <w:color w:val="000000"/>
          <w:sz w:val="24"/>
          <w:szCs w:val="24"/>
        </w:rPr>
        <w:t>Figure 2.</w:t>
      </w:r>
      <w:r w:rsidR="00B64020" w:rsidRPr="00B64020">
        <w:rPr>
          <w:rFonts w:ascii="Times New Roman" w:eastAsia="Calibri" w:hAnsi="Times New Roman" w:cs="Times New Roman"/>
          <w:bCs/>
          <w:sz w:val="24"/>
          <w:szCs w:val="24"/>
        </w:rPr>
        <w:t xml:space="preserve"> Findings showed that low trust in management due to dictatorial behavior led to low employee motivation, commitment, and engagement across all performance levels.  </w:t>
      </w:r>
    </w:p>
    <w:p w:rsidR="00B64020" w:rsidRPr="0015733F" w:rsidRDefault="00B64020" w:rsidP="0015733F">
      <w:pPr>
        <w:spacing w:before="100" w:beforeAutospacing="1" w:line="360" w:lineRule="auto"/>
        <w:jc w:val="both"/>
        <w:rPr>
          <w:rFonts w:ascii="Times New Roman" w:eastAsia="Calibri" w:hAnsi="Times New Roman" w:cs="Times New Roman"/>
          <w:sz w:val="24"/>
          <w:szCs w:val="24"/>
        </w:rPr>
      </w:pPr>
      <w:r w:rsidRPr="00B64020">
        <w:rPr>
          <w:rFonts w:ascii="Times New Roman" w:eastAsia="Times New Roman" w:hAnsi="Times New Roman" w:cs="Times New Roman"/>
          <w:sz w:val="24"/>
          <w:szCs w:val="24"/>
        </w:rPr>
        <w:t xml:space="preserve">Whitener (2002) states that HR activities </w:t>
      </w:r>
      <w:r w:rsidR="009F067E">
        <w:rPr>
          <w:rFonts w:ascii="Times New Roman" w:eastAsia="Times New Roman" w:hAnsi="Times New Roman" w:cs="Times New Roman"/>
          <w:sz w:val="24"/>
          <w:szCs w:val="24"/>
        </w:rPr>
        <w:t>affect</w:t>
      </w:r>
      <w:r w:rsidRPr="00B64020">
        <w:rPr>
          <w:rFonts w:ascii="Times New Roman" w:eastAsia="Times New Roman" w:hAnsi="Times New Roman" w:cs="Times New Roman"/>
          <w:sz w:val="24"/>
          <w:szCs w:val="24"/>
        </w:rPr>
        <w:t xml:space="preserve"> employee trust and calls for more research on trust-building and performance improvement. Mayrhofer et al. (2019) noted that many studies focus on the link between HRM and performance. Based on trust dimensions in </w:t>
      </w:r>
      <w:r w:rsidRPr="00B64020">
        <w:rPr>
          <w:rFonts w:ascii="Times New Roman" w:eastAsia="Times New Roman" w:hAnsi="Times New Roman" w:cs="Times New Roman"/>
          <w:color w:val="000000"/>
          <w:sz w:val="24"/>
          <w:szCs w:val="24"/>
        </w:rPr>
        <w:t>Figure 3,</w:t>
      </w:r>
      <w:r w:rsidRPr="00B64020">
        <w:rPr>
          <w:rFonts w:ascii="Times New Roman" w:eastAsia="Times New Roman" w:hAnsi="Times New Roman" w:cs="Times New Roman"/>
          <w:sz w:val="24"/>
          <w:szCs w:val="24"/>
        </w:rPr>
        <w:t xml:space="preserve"> organizations use HR practices like training, motivation, merit-based rewards, and fair compensation to develop employee skills. Involving employees in decision-making and sharing views enhances perceptions of transparency and fairness, strengthening trust. Findings by Barney &amp; Hansen (1994) suggest that high internal trust is relatively rare and notoriously difficult for HR practitioners to reproduce; however, when achieved, it can serve as a durable competitive advantage. Accordingly, HR managers should regard trust as a strategic imperative—actively cultivating and reinforcing it to bolster overall organizational performance.</w:t>
      </w:r>
    </w:p>
    <w:p w:rsidR="00DF56F6" w:rsidRDefault="0015733F" w:rsidP="0015733F">
      <w:pPr>
        <w:spacing w:after="0" w:line="360" w:lineRule="auto"/>
        <w:jc w:val="both"/>
        <w:rPr>
          <w:rFonts w:ascii="Times New Roman" w:eastAsia="Times New Roman" w:hAnsi="Times New Roman" w:cs="Times New Roman"/>
          <w:b/>
          <w:bCs/>
          <w:sz w:val="24"/>
          <w:szCs w:val="24"/>
        </w:rPr>
      </w:pPr>
      <w:r w:rsidRPr="00B64020">
        <w:rPr>
          <w:rFonts w:ascii="Times New Roman" w:eastAsia="Calibri" w:hAnsi="Times New Roman" w:cs="Times New Roman"/>
          <w:sz w:val="24"/>
          <w:szCs w:val="24"/>
        </w:rPr>
        <w:t>The HRM system should, therefore, be anchored in a framework of exemplary practices to secure its effectiveness; and if HRM is treated as a discipline, HR practices constitute its fundamental building blocks, enabling not only the management of employees but also strengthening organizational integration, nurturing employee commitment, enhancing organizational agility, and elevating the overall quality of work (Guest, 1987).</w:t>
      </w:r>
    </w:p>
    <w:p w:rsidR="00B64020" w:rsidRPr="00B64020" w:rsidRDefault="00B64020" w:rsidP="00DF56F6">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Human resource management systematically shapes organizational performance and refines organizational processes by cultivating trust—thereby motivating employees to perform at higher levels. Collectively, these elements provide a solid platform for extending research beyond European, Asian, and American contexts. Furthermore, they reinforce HR-led trust-building initiatives, </w:t>
      </w:r>
      <w:r w:rsidR="00E4365B">
        <w:rPr>
          <w:rFonts w:ascii="Times New Roman" w:eastAsia="Calibri" w:hAnsi="Times New Roman" w:cs="Times New Roman"/>
          <w:sz w:val="24"/>
          <w:szCs w:val="24"/>
        </w:rPr>
        <w:t>highlight the strategic importance of HR practices, and provide</w:t>
      </w:r>
      <w:r w:rsidRPr="00B64020">
        <w:rPr>
          <w:rFonts w:ascii="Times New Roman" w:eastAsia="Calibri" w:hAnsi="Times New Roman" w:cs="Times New Roman"/>
          <w:sz w:val="24"/>
          <w:szCs w:val="24"/>
        </w:rPr>
        <w:t xml:space="preserve"> persuasive evidence of improvements in HR performance.</w:t>
      </w:r>
    </w:p>
    <w:p w:rsidR="00B64020" w:rsidRPr="00F85A75" w:rsidRDefault="00B64020" w:rsidP="00B64020">
      <w:pPr>
        <w:shd w:val="clear" w:color="auto" w:fill="FFFFFF"/>
        <w:spacing w:before="100" w:beforeAutospacing="1" w:after="0" w:line="360" w:lineRule="auto"/>
        <w:jc w:val="both"/>
        <w:rPr>
          <w:rFonts w:ascii="Times New Roman" w:eastAsia="Calibri" w:hAnsi="Times New Roman" w:cs="Times New Roman"/>
          <w:b/>
          <w:sz w:val="24"/>
          <w:szCs w:val="24"/>
        </w:rPr>
      </w:pPr>
      <w:r w:rsidRPr="00F85A75">
        <w:rPr>
          <w:rFonts w:ascii="Times New Roman" w:eastAsia="Calibri" w:hAnsi="Times New Roman" w:cs="Times New Roman"/>
          <w:b/>
          <w:sz w:val="24"/>
          <w:szCs w:val="24"/>
        </w:rPr>
        <w:t>2.2</w:t>
      </w:r>
      <w:r w:rsidR="00D56561" w:rsidRPr="00F85A75">
        <w:rPr>
          <w:rFonts w:ascii="Times New Roman" w:eastAsia="Calibri" w:hAnsi="Times New Roman" w:cs="Times New Roman"/>
          <w:b/>
          <w:sz w:val="24"/>
          <w:szCs w:val="24"/>
        </w:rPr>
        <w:t xml:space="preserve"> </w:t>
      </w:r>
      <w:r w:rsidRPr="00F85A75">
        <w:rPr>
          <w:rFonts w:ascii="Times New Roman" w:eastAsia="Calibri" w:hAnsi="Times New Roman" w:cs="Times New Roman"/>
          <w:b/>
          <w:sz w:val="24"/>
          <w:szCs w:val="24"/>
        </w:rPr>
        <w:t>HR Practices and Trust in HEIs</w:t>
      </w:r>
    </w:p>
    <w:p w:rsidR="00B64020" w:rsidRPr="00B64020" w:rsidRDefault="00B64020" w:rsidP="00B64020">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A study in the USA</w:t>
      </w:r>
      <w:r w:rsidRPr="00B64020">
        <w:rPr>
          <w:rFonts w:ascii="Times New Roman" w:eastAsia="Calibri" w:hAnsi="Times New Roman" w:cs="Times New Roman"/>
          <w:color w:val="FF0000"/>
          <w:sz w:val="24"/>
          <w:szCs w:val="24"/>
        </w:rPr>
        <w:t xml:space="preserve"> </w:t>
      </w:r>
      <w:r w:rsidRPr="00B64020">
        <w:rPr>
          <w:rFonts w:ascii="Times New Roman" w:eastAsia="Calibri" w:hAnsi="Times New Roman" w:cs="Times New Roman"/>
          <w:sz w:val="24"/>
          <w:szCs w:val="24"/>
        </w:rPr>
        <w:t xml:space="preserve">by Hancock et al (2022) noted that HEIs face governance structures that limit HR to processes, compliance, and administration, neglecting strategic activities. The study argues that there is a misalignment between HR and the university, worsened by bureaucratic processes that frustrate academic staff. Human resource practices are crucial for HEIs due to their link to performance and trust. </w:t>
      </w:r>
    </w:p>
    <w:p w:rsidR="0015733F" w:rsidRPr="00B64020" w:rsidRDefault="00B64020" w:rsidP="0015733F">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Boslu (2018) in India reported that employees may cultivate negative attitudes toward HR practices, expressing uncertainty about whether HR primarily serves organizational interests or employees’ needs. </w:t>
      </w:r>
      <w:r w:rsidR="0015733F">
        <w:rPr>
          <w:rFonts w:ascii="Times New Roman" w:eastAsia="Calibri" w:hAnsi="Times New Roman" w:cs="Times New Roman"/>
          <w:sz w:val="24"/>
          <w:szCs w:val="24"/>
        </w:rPr>
        <w:t xml:space="preserve"> </w:t>
      </w:r>
      <w:r w:rsidRPr="00B64020">
        <w:rPr>
          <w:rFonts w:ascii="Times New Roman" w:eastAsia="Calibri" w:hAnsi="Times New Roman" w:cs="Times New Roman"/>
          <w:sz w:val="24"/>
          <w:szCs w:val="24"/>
        </w:rPr>
        <w:t xml:space="preserve">In Oman, Hinai &amp; Bajracharya (2014) identified a positive association between job satisfaction and HR practices among academic staff across both the government and private sectors. In contrast, Agabekova &amp; Kaptoyeva (2021) argued that universities in Kazakhstan often disregard core HRM challenges, thereby fostering a predominantly bureaucratic disposition. As a result, academic staff—whose contributions are indispensable for institutional development and competitiveness—remain comparatively under-recognized. </w:t>
      </w:r>
    </w:p>
    <w:p w:rsidR="00B64020" w:rsidRPr="00B64020" w:rsidRDefault="00B64020" w:rsidP="00B64020">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 In East Africa, Ssemugeny et al. (2020) found that HR functions often fail to meaningfully </w:t>
      </w:r>
      <w:r w:rsidR="009F067E">
        <w:rPr>
          <w:rFonts w:ascii="Times New Roman" w:eastAsia="Calibri" w:hAnsi="Times New Roman" w:cs="Times New Roman"/>
          <w:sz w:val="24"/>
          <w:szCs w:val="24"/>
        </w:rPr>
        <w:t>affect</w:t>
      </w:r>
      <w:r w:rsidRPr="00B64020">
        <w:rPr>
          <w:rFonts w:ascii="Times New Roman" w:eastAsia="Calibri" w:hAnsi="Times New Roman" w:cs="Times New Roman"/>
          <w:sz w:val="24"/>
          <w:szCs w:val="24"/>
        </w:rPr>
        <w:t xml:space="preserve"> academic performance, with HR practices proving unable to effectively develop, nurture, or retain staff. Their findings further suggest that, notwithstanding substantial investments, HRD initiatives do not translate into improved academic outcomes.  Rono (2015) reported a rise in labor strikes across East Africa, attributing this to the absence of equitable HR policies. Tolly et al. (2012) noted limited recognition of the HR function in Tanzanian higher education institutions, underscoring the need for structured training for HR officers. Taken together, these trends resonate across the African continent and point to the necessity of examining how employees perceive HR practices in Zambia. Overall, HR practices play a crucial role in meeting academic staff expectations in HEIs. </w:t>
      </w:r>
    </w:p>
    <w:p w:rsidR="00B64020" w:rsidRPr="005123F2" w:rsidRDefault="005123F2" w:rsidP="00B64020">
      <w:pPr>
        <w:shd w:val="clear" w:color="auto" w:fill="FFFFFF"/>
        <w:spacing w:before="100" w:beforeAutospacing="1" w:after="0" w:line="360" w:lineRule="auto"/>
        <w:jc w:val="both"/>
        <w:rPr>
          <w:rFonts w:ascii="Times New Roman" w:eastAsia="Calibri" w:hAnsi="Times New Roman" w:cs="Times New Roman"/>
          <w:sz w:val="32"/>
          <w:szCs w:val="24"/>
        </w:rPr>
      </w:pPr>
      <w:r w:rsidRPr="005123F2">
        <w:rPr>
          <w:rFonts w:ascii="Times New Roman" w:eastAsia="Calibri" w:hAnsi="Times New Roman" w:cs="Times New Roman"/>
          <w:b/>
          <w:sz w:val="32"/>
          <w:szCs w:val="24"/>
        </w:rPr>
        <w:t>3.</w:t>
      </w:r>
      <w:r w:rsidR="00D56561" w:rsidRPr="005123F2">
        <w:rPr>
          <w:rFonts w:ascii="Times New Roman" w:eastAsia="Calibri" w:hAnsi="Times New Roman" w:cs="Times New Roman"/>
          <w:b/>
          <w:sz w:val="32"/>
          <w:szCs w:val="24"/>
        </w:rPr>
        <w:t xml:space="preserve"> </w:t>
      </w:r>
      <w:r w:rsidR="00B64020" w:rsidRPr="005123F2">
        <w:rPr>
          <w:rFonts w:ascii="Times New Roman" w:eastAsia="Calibri" w:hAnsi="Times New Roman" w:cs="Times New Roman"/>
          <w:b/>
          <w:sz w:val="32"/>
          <w:szCs w:val="24"/>
        </w:rPr>
        <w:t>Trust and Performance Outcomes</w:t>
      </w:r>
    </w:p>
    <w:p w:rsidR="00B64020" w:rsidRPr="00B64020" w:rsidRDefault="00D56561" w:rsidP="00B64020">
      <w:pPr>
        <w:shd w:val="clear" w:color="auto" w:fill="FFFFFF"/>
        <w:spacing w:before="100" w:beforeAutospacing="1"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Performance outcomes are depicted in Figure 1.  </w:t>
      </w:r>
      <w:r w:rsidR="00B64020" w:rsidRPr="00B64020">
        <w:rPr>
          <w:rFonts w:ascii="Times New Roman" w:eastAsia="Calibri" w:hAnsi="Times New Roman" w:cs="Times New Roman"/>
          <w:sz w:val="24"/>
          <w:szCs w:val="24"/>
        </w:rPr>
        <w:t xml:space="preserve">Employee </w:t>
      </w:r>
      <w:r w:rsidR="00B64020" w:rsidRPr="00B64020">
        <w:rPr>
          <w:rFonts w:ascii="Times New Roman" w:eastAsia="Calibri" w:hAnsi="Times New Roman" w:cs="Times New Roman"/>
          <w:b/>
          <w:bCs/>
          <w:sz w:val="24"/>
          <w:szCs w:val="24"/>
        </w:rPr>
        <w:t xml:space="preserve">engagement </w:t>
      </w:r>
      <w:r w:rsidR="00B64020" w:rsidRPr="00B64020">
        <w:rPr>
          <w:rFonts w:ascii="Times New Roman" w:eastAsia="Calibri" w:hAnsi="Times New Roman" w:cs="Times New Roman"/>
          <w:sz w:val="24"/>
          <w:szCs w:val="24"/>
        </w:rPr>
        <w:t xml:space="preserve">is a fulfilling, work-related state of mind characterized by vigor, dedication, and absorption. Employee engagement measures employees' involvement in their work and the organization. Employee engagement boosts productivity, lowers costs, and correlates with better customer ratings and lower turnover. In Uganda, Nanteza et al. (2023) reported low work engagement among academic staff in sub-Saharan Africa, citing absenteeism, tardiness, strike time wastage, lack of lecture planning, poor exam marking, plagiarism, and low research dedication. </w:t>
      </w:r>
      <w:r w:rsidR="00DF56F6">
        <w:rPr>
          <w:rFonts w:ascii="Times New Roman" w:eastAsia="Calibri" w:hAnsi="Times New Roman" w:cs="Times New Roman"/>
          <w:sz w:val="24"/>
          <w:szCs w:val="24"/>
        </w:rPr>
        <w:t xml:space="preserve"> </w:t>
      </w:r>
      <w:r w:rsidR="00B64020" w:rsidRPr="00B64020">
        <w:rPr>
          <w:rFonts w:ascii="Times New Roman" w:eastAsia="Calibri" w:hAnsi="Times New Roman" w:cs="Times New Roman"/>
          <w:sz w:val="24"/>
          <w:szCs w:val="24"/>
        </w:rPr>
        <w:t xml:space="preserve">Employee </w:t>
      </w:r>
      <w:r w:rsidR="00B64020" w:rsidRPr="00B64020">
        <w:rPr>
          <w:rFonts w:ascii="Times New Roman" w:eastAsia="Calibri" w:hAnsi="Times New Roman" w:cs="Times New Roman"/>
          <w:b/>
          <w:bCs/>
          <w:sz w:val="24"/>
          <w:szCs w:val="24"/>
        </w:rPr>
        <w:t xml:space="preserve">commitment </w:t>
      </w:r>
      <w:r w:rsidR="00B64020" w:rsidRPr="00B64020">
        <w:rPr>
          <w:rFonts w:ascii="Times New Roman" w:eastAsia="Calibri" w:hAnsi="Times New Roman" w:cs="Times New Roman"/>
          <w:sz w:val="24"/>
          <w:szCs w:val="24"/>
        </w:rPr>
        <w:t xml:space="preserve">reflects </w:t>
      </w:r>
      <w:r w:rsidR="00480B68">
        <w:rPr>
          <w:rFonts w:ascii="Times New Roman" w:eastAsia="Calibri" w:hAnsi="Times New Roman" w:cs="Times New Roman"/>
          <w:sz w:val="24"/>
          <w:szCs w:val="24"/>
        </w:rPr>
        <w:t>attachment to the organization and can be assessed through their career aspirations and views on workplace quality</w:t>
      </w:r>
      <w:r w:rsidR="00B64020" w:rsidRPr="00B64020">
        <w:rPr>
          <w:rFonts w:ascii="Times New Roman" w:eastAsia="Calibri" w:hAnsi="Times New Roman" w:cs="Times New Roman"/>
          <w:sz w:val="24"/>
          <w:szCs w:val="24"/>
        </w:rPr>
        <w:t xml:space="preserve">. Commitment’s link to performance can be measured by turnover rates, productivity, or absenteeism. Employee commitment connects trust in management to achieving institutional goals, with trust being a foundational (Alshamary, 2025).  Employee </w:t>
      </w:r>
      <w:r w:rsidR="00B64020" w:rsidRPr="00B64020">
        <w:rPr>
          <w:rFonts w:ascii="Times New Roman" w:eastAsia="Calibri" w:hAnsi="Times New Roman" w:cs="Times New Roman"/>
          <w:b/>
          <w:bCs/>
          <w:sz w:val="24"/>
          <w:szCs w:val="24"/>
        </w:rPr>
        <w:t xml:space="preserve">productivity </w:t>
      </w:r>
      <w:r w:rsidR="00B64020" w:rsidRPr="00B64020">
        <w:rPr>
          <w:rFonts w:ascii="Times New Roman" w:eastAsia="Calibri" w:hAnsi="Times New Roman" w:cs="Times New Roman"/>
          <w:sz w:val="24"/>
          <w:szCs w:val="24"/>
        </w:rPr>
        <w:t xml:space="preserve">and </w:t>
      </w:r>
      <w:r w:rsidR="00B64020" w:rsidRPr="00B64020">
        <w:rPr>
          <w:rFonts w:ascii="Times New Roman" w:eastAsia="Calibri" w:hAnsi="Times New Roman" w:cs="Times New Roman"/>
          <w:b/>
          <w:bCs/>
          <w:sz w:val="24"/>
          <w:szCs w:val="24"/>
        </w:rPr>
        <w:t xml:space="preserve">effectiveness </w:t>
      </w:r>
      <w:r w:rsidR="00B64020" w:rsidRPr="00B64020">
        <w:rPr>
          <w:rFonts w:ascii="Times New Roman" w:eastAsia="Calibri" w:hAnsi="Times New Roman" w:cs="Times New Roman"/>
          <w:sz w:val="24"/>
          <w:szCs w:val="24"/>
        </w:rPr>
        <w:t xml:space="preserve">are interconnected. Employers must foster a trust-based positive work environment and prioritize policies that strengthen emotional ties to organizational goals (Gimeno et al., 2025).  </w:t>
      </w:r>
    </w:p>
    <w:p w:rsidR="00B64020" w:rsidRDefault="00B64020" w:rsidP="00B64020">
      <w:pPr>
        <w:shd w:val="clear" w:color="auto" w:fill="FFFFFF"/>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 Robbins and Judge (2008) state that employee performance results from the interaction between ability and motivation; inadequacy in either factor negatively affects performance. HR managers must create conditions that maximize performance by valuing jobs, selecting capable individuals, clarifying expectations, and providing the necessary training (Kirkpatrick, 2006). These conditions foster trust as employees feel valued.</w:t>
      </w:r>
    </w:p>
    <w:p w:rsidR="00D26F7E" w:rsidRPr="00B64020" w:rsidRDefault="00D26F7E" w:rsidP="00D26F7E">
      <w:pPr>
        <w:shd w:val="clear" w:color="auto" w:fill="FFFFFF"/>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Underpinned by the mediating </w:t>
      </w:r>
      <w:r w:rsidR="009F067E">
        <w:rPr>
          <w:rFonts w:ascii="Times New Roman" w:eastAsia="Calibri" w:hAnsi="Times New Roman" w:cs="Times New Roman"/>
          <w:sz w:val="24"/>
          <w:szCs w:val="24"/>
        </w:rPr>
        <w:t>association with</w:t>
      </w:r>
      <w:r w:rsidRPr="00B64020">
        <w:rPr>
          <w:rFonts w:ascii="Times New Roman" w:eastAsia="Calibri" w:hAnsi="Times New Roman" w:cs="Times New Roman"/>
          <w:sz w:val="24"/>
          <w:szCs w:val="24"/>
        </w:rPr>
        <w:t xml:space="preserve"> trust, this study delineates the indicators for evaluating the performance outcomes of academic staff in HEIs as employee commitment, engagement, productivity, and effectiveness.</w:t>
      </w:r>
    </w:p>
    <w:p w:rsidR="00B64020" w:rsidRPr="005123F2" w:rsidRDefault="00D56561" w:rsidP="00B64020">
      <w:pPr>
        <w:spacing w:before="100" w:beforeAutospacing="1" w:line="360" w:lineRule="auto"/>
        <w:jc w:val="both"/>
        <w:rPr>
          <w:rFonts w:ascii="Times New Roman" w:eastAsia="Calibri" w:hAnsi="Times New Roman" w:cs="Times New Roman"/>
          <w:b/>
          <w:sz w:val="28"/>
          <w:szCs w:val="24"/>
        </w:rPr>
      </w:pPr>
      <w:r w:rsidRPr="005123F2">
        <w:rPr>
          <w:rFonts w:ascii="Times New Roman" w:eastAsia="Calibri" w:hAnsi="Times New Roman" w:cs="Times New Roman"/>
          <w:b/>
          <w:sz w:val="28"/>
          <w:szCs w:val="24"/>
        </w:rPr>
        <w:t>4</w:t>
      </w:r>
      <w:r w:rsidR="005123F2">
        <w:rPr>
          <w:rFonts w:ascii="Times New Roman" w:eastAsia="Calibri" w:hAnsi="Times New Roman" w:cs="Times New Roman"/>
          <w:b/>
          <w:sz w:val="28"/>
          <w:szCs w:val="24"/>
        </w:rPr>
        <w:t>.</w:t>
      </w:r>
      <w:r w:rsidRPr="005123F2">
        <w:rPr>
          <w:rFonts w:ascii="Times New Roman" w:eastAsia="Calibri" w:hAnsi="Times New Roman" w:cs="Times New Roman"/>
          <w:b/>
          <w:sz w:val="28"/>
          <w:szCs w:val="24"/>
        </w:rPr>
        <w:t xml:space="preserve"> </w:t>
      </w:r>
      <w:r w:rsidR="00B64020" w:rsidRPr="005123F2">
        <w:rPr>
          <w:rFonts w:ascii="Times New Roman" w:eastAsia="Calibri" w:hAnsi="Times New Roman" w:cs="Times New Roman"/>
          <w:b/>
          <w:sz w:val="28"/>
          <w:szCs w:val="24"/>
        </w:rPr>
        <w:t>Theoretical Review</w:t>
      </w:r>
    </w:p>
    <w:p w:rsidR="00B64020" w:rsidRPr="00B64020" w:rsidRDefault="00B64020" w:rsidP="00B64020">
      <w:pPr>
        <w:autoSpaceDE w:val="0"/>
        <w:autoSpaceDN w:val="0"/>
        <w:adjustRightInd w:val="0"/>
        <w:spacing w:before="100" w:beforeAutospacing="1" w:after="0" w:line="360" w:lineRule="auto"/>
        <w:jc w:val="both"/>
        <w:rPr>
          <w:rFonts w:ascii="Times New Roman" w:eastAsia="Calibri" w:hAnsi="Times New Roman" w:cs="Times New Roman"/>
        </w:rPr>
      </w:pPr>
      <w:r w:rsidRPr="00B64020">
        <w:rPr>
          <w:rFonts w:ascii="Times New Roman" w:eastAsia="Calibri" w:hAnsi="Times New Roman" w:cs="Times New Roman"/>
          <w:sz w:val="24"/>
          <w:szCs w:val="24"/>
        </w:rPr>
        <w:t xml:space="preserve">The </w:t>
      </w:r>
      <w:r w:rsidRPr="00480B68">
        <w:rPr>
          <w:rFonts w:ascii="Times New Roman" w:eastAsia="Calibri" w:hAnsi="Times New Roman" w:cs="Times New Roman"/>
          <w:b/>
          <w:sz w:val="24"/>
          <w:szCs w:val="24"/>
        </w:rPr>
        <w:t>Social Exchange Theory</w:t>
      </w:r>
      <w:r w:rsidRPr="00B64020">
        <w:rPr>
          <w:rFonts w:ascii="Times New Roman" w:eastAsia="Calibri" w:hAnsi="Times New Roman" w:cs="Times New Roman"/>
          <w:sz w:val="24"/>
          <w:szCs w:val="24"/>
        </w:rPr>
        <w:t xml:space="preserve"> (SET) is an applicable model for explaining the relationship between trust, a</w:t>
      </w:r>
      <w:r w:rsidR="00E4365B">
        <w:rPr>
          <w:rFonts w:ascii="Times New Roman" w:eastAsia="Calibri" w:hAnsi="Times New Roman" w:cs="Times New Roman"/>
          <w:sz w:val="24"/>
          <w:szCs w:val="24"/>
        </w:rPr>
        <w:t xml:space="preserve">nd HR practices, </w:t>
      </w:r>
      <w:r w:rsidRPr="00B64020">
        <w:rPr>
          <w:rFonts w:ascii="Times New Roman" w:eastAsia="Calibri" w:hAnsi="Times New Roman" w:cs="Times New Roman"/>
          <w:sz w:val="24"/>
          <w:szCs w:val="24"/>
        </w:rPr>
        <w:t xml:space="preserve">and how these variables </w:t>
      </w:r>
      <w:r w:rsidR="00D52C87">
        <w:rPr>
          <w:rFonts w:ascii="Times New Roman" w:eastAsia="Calibri" w:hAnsi="Times New Roman" w:cs="Times New Roman"/>
          <w:sz w:val="24"/>
          <w:szCs w:val="24"/>
        </w:rPr>
        <w:t>are associated with</w:t>
      </w:r>
      <w:r w:rsidRPr="00B64020">
        <w:rPr>
          <w:rFonts w:ascii="Times New Roman" w:eastAsia="Calibri" w:hAnsi="Times New Roman" w:cs="Times New Roman"/>
          <w:sz w:val="24"/>
          <w:szCs w:val="24"/>
        </w:rPr>
        <w:t xml:space="preserve"> performance. The basis of SET is the premise that social interaction is an exchange activity, tangible and intangible, particularly of rewards and costs (Homans, 1961).  S</w:t>
      </w:r>
      <w:r w:rsidRPr="00B64020">
        <w:rPr>
          <w:rFonts w:ascii="Times New Roman" w:eastAsia="Calibri" w:hAnsi="Times New Roman" w:cs="Times New Roman"/>
          <w:color w:val="000000"/>
          <w:sz w:val="24"/>
          <w:szCs w:val="24"/>
        </w:rPr>
        <w:t>tudies have pointed out that trust is gradually formed in the process of social exchange between two parties (e.g. and employee and an organization) if one party provides benefits to the other. Inherently,</w:t>
      </w:r>
      <w:r w:rsidR="00D52C87">
        <w:rPr>
          <w:rFonts w:ascii="Times New Roman" w:eastAsia="Calibri" w:hAnsi="Times New Roman" w:cs="Times New Roman"/>
          <w:color w:val="000000"/>
          <w:sz w:val="24"/>
          <w:szCs w:val="24"/>
        </w:rPr>
        <w:t xml:space="preserve"> </w:t>
      </w:r>
      <w:r w:rsidRPr="00B64020">
        <w:rPr>
          <w:rFonts w:ascii="Times New Roman" w:eastAsia="Calibri" w:hAnsi="Times New Roman" w:cs="Times New Roman"/>
          <w:color w:val="000000"/>
          <w:sz w:val="24"/>
          <w:szCs w:val="24"/>
        </w:rPr>
        <w:t xml:space="preserve">this relationship carries an obligation to respond by providing something beneficial in return; i.e., The norm of reciprocity dictates that we help those who help us (Goulder, 1960).  This norm establishes the managerial expectation that recognition, empowerment, investment in employees and other favors will be reciprocated. </w:t>
      </w:r>
    </w:p>
    <w:p w:rsidR="00B64020" w:rsidRPr="00B64020" w:rsidRDefault="00B64020" w:rsidP="00B64020">
      <w:pPr>
        <w:spacing w:before="100" w:beforeAutospacing="1" w:after="0" w:line="360" w:lineRule="auto"/>
        <w:jc w:val="both"/>
        <w:rPr>
          <w:rFonts w:ascii="Times New Roman" w:eastAsia="Calibri" w:hAnsi="Times New Roman" w:cs="Times New Roman"/>
          <w:b/>
          <w:sz w:val="24"/>
          <w:szCs w:val="24"/>
        </w:rPr>
      </w:pPr>
      <w:r w:rsidRPr="00B64020">
        <w:rPr>
          <w:rFonts w:ascii="Times New Roman" w:eastAsia="Calibri" w:hAnsi="Times New Roman" w:cs="Times New Roman"/>
          <w:sz w:val="24"/>
          <w:szCs w:val="24"/>
        </w:rPr>
        <w:t>The study found it appropriate to use social exchange theory to explain the rel</w:t>
      </w:r>
      <w:r w:rsidR="00E4365B">
        <w:rPr>
          <w:rFonts w:ascii="Times New Roman" w:eastAsia="Calibri" w:hAnsi="Times New Roman" w:cs="Times New Roman"/>
          <w:sz w:val="24"/>
          <w:szCs w:val="24"/>
        </w:rPr>
        <w:t xml:space="preserve">ationship between HR practices </w:t>
      </w:r>
      <w:r w:rsidRPr="00B64020">
        <w:rPr>
          <w:rFonts w:ascii="Times New Roman" w:eastAsia="Calibri" w:hAnsi="Times New Roman" w:cs="Times New Roman"/>
          <w:sz w:val="24"/>
          <w:szCs w:val="24"/>
        </w:rPr>
        <w:t xml:space="preserve">and trust, and its </w:t>
      </w:r>
      <w:r w:rsidR="00D52C87">
        <w:rPr>
          <w:rFonts w:ascii="Times New Roman" w:eastAsia="Calibri" w:hAnsi="Times New Roman" w:cs="Times New Roman"/>
          <w:sz w:val="24"/>
          <w:szCs w:val="24"/>
        </w:rPr>
        <w:t>association with</w:t>
      </w:r>
      <w:r w:rsidRPr="00B64020">
        <w:rPr>
          <w:rFonts w:ascii="Times New Roman" w:eastAsia="Calibri" w:hAnsi="Times New Roman" w:cs="Times New Roman"/>
          <w:sz w:val="24"/>
          <w:szCs w:val="24"/>
        </w:rPr>
        <w:t xml:space="preserve"> performance in higher education institutions. Trust in leadership, which is based more on the outcomes of organisational decisions, necessarily involves the inclusion of HR practices in employee relations, as they represent relationships and interactions between an employer and an employee in an organization.</w:t>
      </w:r>
    </w:p>
    <w:p w:rsidR="00B64020" w:rsidRPr="00B64020" w:rsidRDefault="00B64020" w:rsidP="00D52C87">
      <w:pPr>
        <w:spacing w:before="100" w:beforeAutospacing="1" w:after="0" w:line="360" w:lineRule="auto"/>
        <w:jc w:val="both"/>
        <w:rPr>
          <w:rFonts w:ascii="Times New Roman" w:eastAsia="Calibri" w:hAnsi="Times New Roman" w:cs="Times New Roman"/>
          <w:sz w:val="24"/>
          <w:szCs w:val="24"/>
        </w:rPr>
      </w:pPr>
      <w:r w:rsidRPr="00B64020">
        <w:rPr>
          <w:rFonts w:ascii="Times New Roman" w:eastAsia="Calibri" w:hAnsi="Times New Roman" w:cs="Times New Roman"/>
          <w:b/>
          <w:sz w:val="24"/>
          <w:szCs w:val="24"/>
        </w:rPr>
        <w:t xml:space="preserve"> Equity Theory</w:t>
      </w:r>
      <w:r w:rsidR="00480B68">
        <w:rPr>
          <w:rFonts w:ascii="Times New Roman" w:eastAsia="Calibri" w:hAnsi="Times New Roman" w:cs="Times New Roman"/>
          <w:b/>
          <w:sz w:val="24"/>
          <w:szCs w:val="24"/>
        </w:rPr>
        <w:t xml:space="preserve">: </w:t>
      </w:r>
      <w:r w:rsidRPr="00B64020">
        <w:rPr>
          <w:rFonts w:ascii="Times New Roman" w:eastAsia="Calibri" w:hAnsi="Times New Roman" w:cs="Times New Roman"/>
          <w:sz w:val="24"/>
          <w:szCs w:val="24"/>
        </w:rPr>
        <w:t>Other than reciprocity being central to SET, it also holds significant relevance within the framework of Equity Theory (ET). Individuals derive satisfaction in scenarios where they perceive the benefits received from their relationships to be commensurate with their contributions. ET scrutinizes how individuals assess social exchange relationships through the lens of the input-outcome ratio, predicated on three fundamental assumptions: a) individuals cultivate beliefs regarding what constitutes a fair and equitable return for their efforts; b) individuals invariably compare their perceived exchanges with those of their peers; c) when individuals perceive their own treatment as inequitable relative to the exchanges they observe others making, they are propelled to take actions they consider appropriate (Carrell, 1978).</w:t>
      </w:r>
      <w:r w:rsidR="00D52C87">
        <w:rPr>
          <w:rFonts w:ascii="Times New Roman" w:eastAsia="Calibri" w:hAnsi="Times New Roman" w:cs="Times New Roman"/>
          <w:sz w:val="24"/>
          <w:szCs w:val="24"/>
        </w:rPr>
        <w:t xml:space="preserve">  </w:t>
      </w:r>
      <w:r w:rsidRPr="00B64020">
        <w:rPr>
          <w:rFonts w:ascii="Times New Roman" w:eastAsia="Calibri" w:hAnsi="Times New Roman" w:cs="Times New Roman"/>
          <w:sz w:val="24"/>
          <w:szCs w:val="24"/>
        </w:rPr>
        <w:t xml:space="preserve">As with SET, when an organization demonstrates fairness in addressing issues, it can cultivate trust in management, alleviate fears of potential mistreatment, and foster collaboration (Colquitt et al., 2005). Equity within the organization is intricately linked to employees’ physical and psychological well-being, whereas inequity engenders stress and pressure in the workplace (Judge and Colquitt, 2004). </w:t>
      </w:r>
    </w:p>
    <w:p w:rsidR="00B64020" w:rsidRPr="00B64020" w:rsidRDefault="00B64020" w:rsidP="00D56561">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In the realm of higher education, equity should compel institutions to adhere to their professed principles of merit, diversity, inclusivity, and opportunity, thereby fostering trust and enhancing performance. A pivotal aspect of leadership and human resource practices is to ensure that justice, fair play, and equity are prioritized above all else when addressing educational resources and personnel. Equity theory will be pertinent </w:t>
      </w:r>
      <w:r w:rsidR="00480B68">
        <w:rPr>
          <w:rFonts w:ascii="Times New Roman" w:eastAsia="Calibri" w:hAnsi="Times New Roman" w:cs="Times New Roman"/>
          <w:sz w:val="24"/>
          <w:szCs w:val="24"/>
        </w:rPr>
        <w:t>to conceptualizing the study's investigation of the interplay among leade</w:t>
      </w:r>
      <w:r w:rsidR="00E71A55">
        <w:rPr>
          <w:rFonts w:ascii="Times New Roman" w:eastAsia="Calibri" w:hAnsi="Times New Roman" w:cs="Times New Roman"/>
          <w:sz w:val="24"/>
          <w:szCs w:val="24"/>
        </w:rPr>
        <w:t>rship, human resource practices,</w:t>
      </w:r>
      <w:r w:rsidR="00480B68">
        <w:rPr>
          <w:rFonts w:ascii="Times New Roman" w:eastAsia="Calibri" w:hAnsi="Times New Roman" w:cs="Times New Roman"/>
          <w:sz w:val="24"/>
          <w:szCs w:val="24"/>
        </w:rPr>
        <w:t xml:space="preserve"> and trust, and</w:t>
      </w:r>
      <w:r w:rsidRPr="00B64020">
        <w:rPr>
          <w:rFonts w:ascii="Times New Roman" w:eastAsia="Calibri" w:hAnsi="Times New Roman" w:cs="Times New Roman"/>
          <w:sz w:val="24"/>
          <w:szCs w:val="24"/>
        </w:rPr>
        <w:t xml:space="preserve"> their collective impact on performance within higher education institutions.</w:t>
      </w:r>
    </w:p>
    <w:p w:rsidR="00B64020" w:rsidRPr="00B64020" w:rsidRDefault="00B64020" w:rsidP="00260381">
      <w:pPr>
        <w:spacing w:before="100" w:beforeAutospacing="1" w:after="0" w:line="360" w:lineRule="auto"/>
        <w:jc w:val="both"/>
        <w:rPr>
          <w:rFonts w:ascii="Times New Roman" w:eastAsia="Calibri" w:hAnsi="Times New Roman" w:cs="Times New Roman"/>
          <w:b/>
          <w:sz w:val="24"/>
          <w:szCs w:val="24"/>
        </w:rPr>
      </w:pPr>
      <w:r w:rsidRPr="00B64020">
        <w:rPr>
          <w:rFonts w:ascii="Times New Roman" w:eastAsia="Calibri" w:hAnsi="Times New Roman" w:cs="Times New Roman"/>
          <w:sz w:val="8"/>
          <w:szCs w:val="8"/>
        </w:rPr>
        <w:t xml:space="preserve"> </w:t>
      </w:r>
      <w:r w:rsidRPr="00B64020">
        <w:rPr>
          <w:rFonts w:ascii="Times New Roman" w:eastAsia="Calibri" w:hAnsi="Times New Roman" w:cs="Times New Roman"/>
          <w:b/>
          <w:sz w:val="24"/>
          <w:szCs w:val="24"/>
        </w:rPr>
        <w:t>Influence of Theories on HR Practices, Trust, and Performance</w:t>
      </w:r>
    </w:p>
    <w:p w:rsidR="00B64020" w:rsidRPr="00B64020" w:rsidRDefault="00F926C5" w:rsidP="00B64020">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SET and ET</w:t>
      </w:r>
      <w:r w:rsidR="00B64020" w:rsidRPr="00B64020">
        <w:rPr>
          <w:rFonts w:ascii="Times New Roman" w:eastAsia="Calibri" w:hAnsi="Times New Roman" w:cs="Times New Roman"/>
          <w:sz w:val="24"/>
          <w:szCs w:val="24"/>
        </w:rPr>
        <w:t xml:space="preserve"> facilitate the conceptualization of the study, </w:t>
      </w:r>
      <w:r w:rsidR="00480B68">
        <w:rPr>
          <w:rFonts w:ascii="Times New Roman" w:eastAsia="Calibri" w:hAnsi="Times New Roman" w:cs="Times New Roman"/>
          <w:sz w:val="24"/>
          <w:szCs w:val="24"/>
        </w:rPr>
        <w:t>enhance comprehension of the intricate relationships among human resource activities, foster greater trust, and architect</w:t>
      </w:r>
      <w:r w:rsidR="00B64020" w:rsidRPr="00B64020">
        <w:rPr>
          <w:rFonts w:ascii="Times New Roman" w:eastAsia="Calibri" w:hAnsi="Times New Roman" w:cs="Times New Roman"/>
          <w:sz w:val="24"/>
          <w:szCs w:val="24"/>
        </w:rPr>
        <w:t xml:space="preserve"> human resource initiatives </w:t>
      </w:r>
      <w:r w:rsidR="00E71A55">
        <w:rPr>
          <w:rFonts w:ascii="Times New Roman" w:eastAsia="Calibri" w:hAnsi="Times New Roman" w:cs="Times New Roman"/>
          <w:sz w:val="24"/>
          <w:szCs w:val="24"/>
        </w:rPr>
        <w:t>to cultivate trust and augment</w:t>
      </w:r>
      <w:r w:rsidR="00B64020" w:rsidRPr="00B64020">
        <w:rPr>
          <w:rFonts w:ascii="Times New Roman" w:eastAsia="Calibri" w:hAnsi="Times New Roman" w:cs="Times New Roman"/>
          <w:sz w:val="24"/>
          <w:szCs w:val="24"/>
        </w:rPr>
        <w:t xml:space="preserve"> performance.  Equity Theory posits that employees endeavor to sustain a balance between the contributions they offer to their roles—such as education, time, experience, commitment, and effort—and the rewards they receive—such as promotions, recognition, and increased remuneration—relative to the perceived contributions and rewards of their peers. In the context of higher education, Equity Theory encompasses two fundamental components: fairness, which suggests that personal and social circumstances should not hinder the realization of educational potential; and inclusion, which asserts that all individuals should have the opportunity to achieve a fundamental standard of education (Amaral, 2022). </w:t>
      </w:r>
    </w:p>
    <w:p w:rsidR="00B64020" w:rsidRPr="00B64020" w:rsidRDefault="00B64020" w:rsidP="00B64020">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 xml:space="preserve">Concurrently, numerous theories of trust are rooted in Social Exchange Theory, which suggests that trust is cultivated through the recurring exchange of benefits among parties. This norm of reciprocity creates expectations that recognition, empowerment, and investment in human capital will be reciprocated. It is crucial for organizational HR practices to acknowledge that reciprocity can have </w:t>
      </w:r>
      <w:r w:rsidR="00480B68">
        <w:rPr>
          <w:rFonts w:ascii="Times New Roman" w:eastAsia="Calibri" w:hAnsi="Times New Roman" w:cs="Times New Roman"/>
          <w:sz w:val="24"/>
          <w:szCs w:val="24"/>
        </w:rPr>
        <w:t xml:space="preserve">detrimental aspects; for instance, the anticipation of hostility, fear, insincerity, and </w:t>
      </w:r>
      <w:r w:rsidRPr="00B64020">
        <w:rPr>
          <w:rFonts w:ascii="Times New Roman" w:eastAsia="Calibri" w:hAnsi="Times New Roman" w:cs="Times New Roman"/>
          <w:sz w:val="24"/>
          <w:szCs w:val="24"/>
        </w:rPr>
        <w:t xml:space="preserve">distrust will likely be reciprocated. Employees tend to develop skepticism toward HR practices that appear to undermine their trust or foster distrust; conversely, they are inclined to respond positively when such practices convey a belief in their capabilities. The connection lies in the </w:t>
      </w:r>
      <w:r w:rsidR="00480B68">
        <w:rPr>
          <w:rFonts w:ascii="Times New Roman" w:eastAsia="Calibri" w:hAnsi="Times New Roman" w:cs="Times New Roman"/>
          <w:sz w:val="24"/>
          <w:szCs w:val="24"/>
        </w:rPr>
        <w:t>need to address</w:t>
      </w:r>
      <w:r w:rsidRPr="00B64020">
        <w:rPr>
          <w:rFonts w:ascii="Times New Roman" w:eastAsia="Calibri" w:hAnsi="Times New Roman" w:cs="Times New Roman"/>
          <w:sz w:val="24"/>
          <w:szCs w:val="24"/>
        </w:rPr>
        <w:t xml:space="preserve"> trust-related behaviors within the higher education employment relationship, which must encompass the organization’s transparent, equitable, and just HR practices, as these </w:t>
      </w:r>
      <w:r w:rsidR="009F067E">
        <w:rPr>
          <w:rFonts w:ascii="Times New Roman" w:eastAsia="Calibri" w:hAnsi="Times New Roman" w:cs="Times New Roman"/>
          <w:sz w:val="24"/>
          <w:szCs w:val="24"/>
        </w:rPr>
        <w:t xml:space="preserve">are associated with </w:t>
      </w:r>
      <w:r w:rsidRPr="00B64020">
        <w:rPr>
          <w:rFonts w:ascii="Times New Roman" w:eastAsia="Calibri" w:hAnsi="Times New Roman" w:cs="Times New Roman"/>
          <w:sz w:val="24"/>
          <w:szCs w:val="24"/>
        </w:rPr>
        <w:t>overall performance.</w:t>
      </w:r>
    </w:p>
    <w:p w:rsidR="00B64020" w:rsidRPr="00B64020" w:rsidRDefault="00B64020" w:rsidP="00B64020">
      <w:pPr>
        <w:spacing w:after="100" w:afterAutospacing="1" w:line="360" w:lineRule="auto"/>
        <w:jc w:val="both"/>
        <w:rPr>
          <w:rFonts w:ascii="Times New Roman" w:eastAsia="Times New Roman" w:hAnsi="Times New Roman" w:cs="Times New Roman"/>
          <w:bCs/>
          <w:sz w:val="24"/>
          <w:szCs w:val="24"/>
        </w:rPr>
      </w:pPr>
      <w:r w:rsidRPr="00B64020">
        <w:rPr>
          <w:rFonts w:ascii="Times New Roman" w:eastAsia="Times New Roman" w:hAnsi="Times New Roman" w:cs="Times New Roman"/>
          <w:bCs/>
          <w:sz w:val="24"/>
          <w:szCs w:val="24"/>
        </w:rPr>
        <w:t>Drawing upon empirical evidence and the aforementioned theories, the relationships among HR practices, trust, and performance culminate in the model and hypotheses in Figure 4:</w:t>
      </w:r>
    </w:p>
    <w:p w:rsidR="00B64020" w:rsidRDefault="00D52C87" w:rsidP="00B64020">
      <w:pPr>
        <w:spacing w:before="100" w:beforeAutospacing="1" w:after="0" w:line="256" w:lineRule="auto"/>
        <w:jc w:val="center"/>
        <w:rPr>
          <w:rFonts w:ascii="Times New Roman" w:eastAsia="Calibri" w:hAnsi="Times New Roman" w:cs="Times New Roman"/>
          <w:b/>
        </w:rPr>
      </w:pPr>
      <w:r w:rsidRPr="00D52C87">
        <w:rPr>
          <w:rFonts w:ascii="Times New Roman" w:eastAsia="Calibri" w:hAnsi="Times New Roman" w:cs="Times New Roman"/>
          <w:b/>
        </w:rPr>
        <w:t>Figure 4: Research Model of</w:t>
      </w:r>
      <w:r w:rsidR="00B64020" w:rsidRPr="00D52C87">
        <w:rPr>
          <w:rFonts w:ascii="Times New Roman" w:eastAsia="Calibri" w:hAnsi="Times New Roman" w:cs="Times New Roman"/>
          <w:b/>
        </w:rPr>
        <w:t xml:space="preserve"> HR Practices, Trust, and Employee Performance</w:t>
      </w:r>
    </w:p>
    <w:p w:rsidR="009A41A3" w:rsidRDefault="009A41A3" w:rsidP="00B64020">
      <w:pPr>
        <w:spacing w:before="100" w:beforeAutospacing="1" w:after="0" w:line="256" w:lineRule="auto"/>
        <w:jc w:val="center"/>
        <w:rPr>
          <w:rFonts w:ascii="Times New Roman" w:eastAsia="Calibri" w:hAnsi="Times New Roman" w:cs="Times New Roman"/>
          <w:b/>
        </w:rPr>
      </w:pPr>
      <w:r>
        <w:rPr>
          <w:noProof/>
        </w:rPr>
        <w:drawing>
          <wp:inline distT="0" distB="0" distL="0" distR="0" wp14:anchorId="6629EA82" wp14:editId="682C6B64">
            <wp:extent cx="4799941" cy="26035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1943" cy="2615434"/>
                    </a:xfrm>
                    <a:prstGeom prst="rect">
                      <a:avLst/>
                    </a:prstGeom>
                  </pic:spPr>
                </pic:pic>
              </a:graphicData>
            </a:graphic>
          </wp:inline>
        </w:drawing>
      </w:r>
    </w:p>
    <w:p w:rsidR="00B64020" w:rsidRPr="00B64020" w:rsidRDefault="00B64020" w:rsidP="00B64020">
      <w:pPr>
        <w:spacing w:before="100" w:beforeAutospacing="1" w:after="0" w:line="256" w:lineRule="auto"/>
        <w:jc w:val="both"/>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 xml:space="preserve">Based on the literature, theoretical reviews, and concepts, research hypotheses were developed, as depicted in Figure 4. </w:t>
      </w:r>
    </w:p>
    <w:p w:rsidR="00B64020" w:rsidRPr="00B64020" w:rsidRDefault="00B64020" w:rsidP="0069034B">
      <w:pPr>
        <w:spacing w:before="100" w:beforeAutospacing="1" w:after="0" w:line="240" w:lineRule="auto"/>
        <w:jc w:val="both"/>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H</w:t>
      </w:r>
      <w:r w:rsidR="006B21AF">
        <w:rPr>
          <w:rFonts w:ascii="Times New Roman" w:eastAsia="Calibri" w:hAnsi="Times New Roman" w:cs="Times New Roman"/>
          <w:bCs/>
          <w:sz w:val="24"/>
          <w:szCs w:val="24"/>
          <w:vertAlign w:val="subscript"/>
        </w:rPr>
        <w:t xml:space="preserve">1 </w:t>
      </w:r>
      <w:r w:rsidRPr="00B64020">
        <w:rPr>
          <w:rFonts w:ascii="Times New Roman" w:eastAsia="Calibri" w:hAnsi="Times New Roman" w:cs="Times New Roman"/>
          <w:bCs/>
          <w:sz w:val="24"/>
          <w:szCs w:val="24"/>
        </w:rPr>
        <w:t>HR practices</w:t>
      </w:r>
      <w:r w:rsidR="009F067E">
        <w:rPr>
          <w:rFonts w:ascii="Times New Roman" w:eastAsia="Calibri" w:hAnsi="Times New Roman" w:cs="Times New Roman"/>
          <w:bCs/>
          <w:sz w:val="24"/>
          <w:szCs w:val="24"/>
        </w:rPr>
        <w:t xml:space="preserve"> significantly affect</w:t>
      </w:r>
      <w:r w:rsidRPr="00B64020">
        <w:rPr>
          <w:rFonts w:ascii="Times New Roman" w:eastAsia="Calibri" w:hAnsi="Times New Roman" w:cs="Times New Roman"/>
          <w:bCs/>
          <w:sz w:val="24"/>
          <w:szCs w:val="24"/>
        </w:rPr>
        <w:t xml:space="preserve"> employee performance.</w:t>
      </w:r>
    </w:p>
    <w:p w:rsidR="00B64020" w:rsidRPr="00B64020" w:rsidRDefault="00B64020" w:rsidP="0069034B">
      <w:pPr>
        <w:spacing w:before="100" w:beforeAutospacing="1" w:line="240" w:lineRule="auto"/>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H</w:t>
      </w:r>
      <w:r w:rsidRPr="00B64020">
        <w:rPr>
          <w:rFonts w:ascii="Times New Roman" w:eastAsia="Calibri" w:hAnsi="Times New Roman" w:cs="Times New Roman"/>
          <w:bCs/>
          <w:sz w:val="24"/>
          <w:szCs w:val="24"/>
          <w:vertAlign w:val="subscript"/>
        </w:rPr>
        <w:t xml:space="preserve">2: </w:t>
      </w:r>
      <w:r w:rsidRPr="00B64020">
        <w:rPr>
          <w:rFonts w:ascii="Times New Roman" w:eastAsia="Calibri" w:hAnsi="Times New Roman" w:cs="Times New Roman"/>
          <w:bCs/>
          <w:sz w:val="24"/>
          <w:szCs w:val="24"/>
        </w:rPr>
        <w:t>HR practices significantly affect trust.</w:t>
      </w:r>
    </w:p>
    <w:p w:rsidR="00B64020" w:rsidRDefault="00B64020" w:rsidP="0069034B">
      <w:pPr>
        <w:spacing w:before="100" w:beforeAutospacing="1" w:line="240" w:lineRule="auto"/>
        <w:rPr>
          <w:rFonts w:ascii="Times New Roman" w:eastAsia="Calibri" w:hAnsi="Times New Roman" w:cs="Times New Roman"/>
          <w:bCs/>
          <w:sz w:val="24"/>
          <w:szCs w:val="24"/>
        </w:rPr>
      </w:pPr>
      <w:r w:rsidRPr="00B64020">
        <w:rPr>
          <w:rFonts w:ascii="Times New Roman" w:eastAsia="Calibri" w:hAnsi="Times New Roman" w:cs="Times New Roman"/>
          <w:bCs/>
          <w:sz w:val="24"/>
          <w:szCs w:val="24"/>
        </w:rPr>
        <w:t>H</w:t>
      </w:r>
      <w:r w:rsidRPr="00B64020">
        <w:rPr>
          <w:rFonts w:ascii="Times New Roman" w:eastAsia="Calibri" w:hAnsi="Times New Roman" w:cs="Times New Roman"/>
          <w:bCs/>
          <w:sz w:val="24"/>
          <w:szCs w:val="24"/>
          <w:vertAlign w:val="subscript"/>
        </w:rPr>
        <w:t xml:space="preserve">3: </w:t>
      </w:r>
      <w:r w:rsidRPr="00B64020">
        <w:rPr>
          <w:rFonts w:ascii="Times New Roman" w:eastAsia="Calibri" w:hAnsi="Times New Roman" w:cs="Times New Roman"/>
          <w:bCs/>
          <w:sz w:val="24"/>
          <w:szCs w:val="24"/>
        </w:rPr>
        <w:t>Trust positively affects employee performance.</w:t>
      </w:r>
    </w:p>
    <w:p w:rsidR="009A41A3" w:rsidRPr="00B64020" w:rsidRDefault="009A41A3" w:rsidP="0069034B">
      <w:pPr>
        <w:spacing w:before="100" w:beforeAutospacing="1"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H</w:t>
      </w:r>
      <w:r w:rsidRPr="0069034B">
        <w:rPr>
          <w:rFonts w:ascii="Times New Roman" w:eastAsia="Calibri" w:hAnsi="Times New Roman" w:cs="Times New Roman"/>
          <w:bCs/>
          <w:sz w:val="24"/>
          <w:szCs w:val="24"/>
          <w:vertAlign w:val="subscript"/>
        </w:rPr>
        <w:t>4</w:t>
      </w:r>
      <w:r w:rsidR="0069034B">
        <w:rPr>
          <w:rFonts w:ascii="Times New Roman" w:eastAsia="Calibri" w:hAnsi="Times New Roman" w:cs="Times New Roman"/>
          <w:bCs/>
          <w:sz w:val="24"/>
          <w:szCs w:val="24"/>
        </w:rPr>
        <w:t xml:space="preserve">: </w:t>
      </w:r>
      <w:r w:rsidR="0069034B" w:rsidRPr="00AF25C9">
        <w:rPr>
          <w:rFonts w:ascii="Times New Roman" w:hAnsi="Times New Roman" w:cs="Times New Roman"/>
          <w:bCs/>
          <w:sz w:val="24"/>
        </w:rPr>
        <w:t>There is a mediating influence of trust between HR practices and performance.</w:t>
      </w:r>
      <w:r>
        <w:rPr>
          <w:rFonts w:ascii="Times New Roman" w:eastAsia="Calibri" w:hAnsi="Times New Roman" w:cs="Times New Roman"/>
          <w:bCs/>
          <w:sz w:val="24"/>
          <w:szCs w:val="24"/>
        </w:rPr>
        <w:t xml:space="preserve"> </w:t>
      </w:r>
    </w:p>
    <w:p w:rsidR="00821184" w:rsidRDefault="009A41A3" w:rsidP="00821184">
      <w:pPr>
        <w:spacing w:before="100" w:beforeAutospacing="1" w:after="100" w:afterAutospacing="1" w:line="276" w:lineRule="auto"/>
        <w:outlineLvl w:val="1"/>
        <w:rPr>
          <w:rFonts w:ascii="Times New Roman" w:eastAsia="Times New Roman" w:hAnsi="Times New Roman" w:cs="Times New Roman"/>
          <w:b/>
          <w:bCs/>
          <w:sz w:val="32"/>
          <w:szCs w:val="36"/>
        </w:rPr>
      </w:pPr>
      <w:r>
        <w:rPr>
          <w:rFonts w:ascii="Times New Roman" w:eastAsia="Times New Roman" w:hAnsi="Times New Roman" w:cs="Times New Roman"/>
          <w:b/>
          <w:bCs/>
          <w:sz w:val="32"/>
          <w:szCs w:val="36"/>
        </w:rPr>
        <w:t>5</w:t>
      </w:r>
      <w:r w:rsidR="00821184">
        <w:rPr>
          <w:rFonts w:ascii="Times New Roman" w:eastAsia="Times New Roman" w:hAnsi="Times New Roman" w:cs="Times New Roman"/>
          <w:b/>
          <w:bCs/>
          <w:sz w:val="32"/>
          <w:szCs w:val="36"/>
        </w:rPr>
        <w:t>. Methodology</w:t>
      </w:r>
    </w:p>
    <w:p w:rsidR="00821184" w:rsidRDefault="00821184" w:rsidP="00821184">
      <w:pPr>
        <w:spacing w:before="100" w:beforeAutospacing="1" w:after="100" w:afterAutospacing="1" w:line="276"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5.1 Research Design and Population</w:t>
      </w:r>
    </w:p>
    <w:p w:rsidR="00821184" w:rsidRDefault="00821184" w:rsidP="00821184">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quantitative, cross-sectional survey design was adopted. The target population comprised academic staff at HEA-accredited public and private HEIs in Zambia. The sampling frame included 43 participating institutions (9 </w:t>
      </w:r>
      <w:r w:rsidR="00AC7FA2">
        <w:rPr>
          <w:rFonts w:ascii="Times New Roman" w:eastAsia="Times New Roman" w:hAnsi="Times New Roman" w:cs="Times New Roman"/>
          <w:sz w:val="24"/>
          <w:szCs w:val="24"/>
        </w:rPr>
        <w:t>from public and</w:t>
      </w:r>
      <w:r>
        <w:rPr>
          <w:rFonts w:ascii="Times New Roman" w:eastAsia="Times New Roman" w:hAnsi="Times New Roman" w:cs="Times New Roman"/>
          <w:sz w:val="24"/>
          <w:szCs w:val="24"/>
        </w:rPr>
        <w:t xml:space="preserve"> 34 </w:t>
      </w:r>
      <w:r w:rsidR="00AC7FA2">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private</w:t>
      </w:r>
      <w:r w:rsidR="00AC7FA2">
        <w:rPr>
          <w:rFonts w:ascii="Times New Roman" w:eastAsia="Times New Roman" w:hAnsi="Times New Roman" w:cs="Times New Roman"/>
          <w:sz w:val="24"/>
          <w:szCs w:val="24"/>
        </w:rPr>
        <w:t xml:space="preserve"> HEIs</w:t>
      </w:r>
      <w:r>
        <w:rPr>
          <w:rFonts w:ascii="Times New Roman" w:eastAsia="Times New Roman" w:hAnsi="Times New Roman" w:cs="Times New Roman"/>
          <w:sz w:val="24"/>
          <w:szCs w:val="24"/>
        </w:rPr>
        <w:t>).</w:t>
      </w:r>
    </w:p>
    <w:p w:rsidR="00821184" w:rsidRDefault="00821184" w:rsidP="00821184">
      <w:pPr>
        <w:spacing w:before="100" w:beforeAutospacing="1" w:after="100" w:afterAutospacing="1" w:line="276"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5.2 Sample and Data Collection</w:t>
      </w:r>
    </w:p>
    <w:p w:rsidR="00821184" w:rsidRDefault="00821184" w:rsidP="00821184">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311 questionnaires were distributed; 276 were returned, yielding an 89% response rate. Participants were randomly selected academic staff, with representation across provinces and institutional types.</w:t>
      </w:r>
    </w:p>
    <w:p w:rsidR="00821184" w:rsidRDefault="00821184" w:rsidP="00821184">
      <w:pPr>
        <w:spacing w:before="100" w:beforeAutospacing="1" w:after="100" w:afterAutospacing="1" w:line="276"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5.3 Measures</w:t>
      </w:r>
    </w:p>
    <w:p w:rsidR="00821184" w:rsidRDefault="00821184" w:rsidP="00821184">
      <w:pPr>
        <w:numPr>
          <w:ilvl w:val="0"/>
          <w:numId w:val="6"/>
        </w:num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HR Practices:</w:t>
      </w:r>
      <w:r>
        <w:rPr>
          <w:rFonts w:ascii="Times New Roman" w:eastAsia="Times New Roman" w:hAnsi="Times New Roman" w:cs="Times New Roman"/>
          <w:sz w:val="24"/>
          <w:szCs w:val="24"/>
        </w:rPr>
        <w:t xml:space="preserve"> Measured using items reflecting commitment, engagement, effectiveness, and productivity (</w:t>
      </w:r>
      <w:r w:rsidRPr="00B64020">
        <w:rPr>
          <w:rFonts w:ascii="Times New Roman" w:eastAsia="Calibri" w:hAnsi="Times New Roman" w:cs="Times New Roman"/>
          <w:bCs/>
          <w:sz w:val="24"/>
          <w:szCs w:val="24"/>
        </w:rPr>
        <w:t>Demo et al. (2012)</w:t>
      </w:r>
      <w:r>
        <w:rPr>
          <w:rFonts w:ascii="Times New Roman" w:eastAsia="Times New Roman" w:hAnsi="Times New Roman" w:cs="Times New Roman"/>
          <w:sz w:val="24"/>
          <w:szCs w:val="24"/>
        </w:rPr>
        <w:t>.</w:t>
      </w:r>
    </w:p>
    <w:p w:rsidR="00821184" w:rsidRDefault="00821184" w:rsidP="00821184">
      <w:pPr>
        <w:numPr>
          <w:ilvl w:val="0"/>
          <w:numId w:val="6"/>
        </w:num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Trust:</w:t>
      </w:r>
      <w:r>
        <w:rPr>
          <w:rFonts w:ascii="Times New Roman" w:eastAsia="Times New Roman" w:hAnsi="Times New Roman" w:cs="Times New Roman"/>
          <w:sz w:val="24"/>
          <w:szCs w:val="24"/>
        </w:rPr>
        <w:t xml:space="preserve"> Assessed with the Organisational Trust Inventory (Cummings &amp; Bromiley, 1996).</w:t>
      </w:r>
    </w:p>
    <w:p w:rsidR="00821184" w:rsidRDefault="00821184" w:rsidP="00821184">
      <w:pPr>
        <w:numPr>
          <w:ilvl w:val="0"/>
          <w:numId w:val="6"/>
        </w:num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Employee Performance:</w:t>
      </w:r>
      <w:r>
        <w:rPr>
          <w:rFonts w:ascii="Times New Roman" w:eastAsia="Times New Roman" w:hAnsi="Times New Roman" w:cs="Times New Roman"/>
          <w:sz w:val="24"/>
          <w:szCs w:val="24"/>
        </w:rPr>
        <w:t xml:space="preserve"> Measured via dimensions of commitment, engagement, productivity, and effectiveness (Koopmans et al., 2012).</w:t>
      </w:r>
    </w:p>
    <w:p w:rsidR="00821184" w:rsidRDefault="00821184" w:rsidP="00821184">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items were rated on a five-point Likert scale (1 = Strongly Disagree, 5 = Strongly Agree).</w:t>
      </w:r>
    </w:p>
    <w:p w:rsidR="00821184" w:rsidRDefault="00906731" w:rsidP="00821184">
      <w:pPr>
        <w:spacing w:before="100" w:beforeAutospacing="1" w:after="100" w:afterAutospacing="1" w:line="276"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w:t>
      </w:r>
      <w:r w:rsidR="00821184">
        <w:rPr>
          <w:rFonts w:ascii="Times New Roman" w:eastAsia="Times New Roman" w:hAnsi="Times New Roman" w:cs="Times New Roman"/>
          <w:b/>
          <w:bCs/>
          <w:sz w:val="27"/>
          <w:szCs w:val="27"/>
        </w:rPr>
        <w:t>.4 Data Analysis</w:t>
      </w:r>
    </w:p>
    <w:p w:rsidR="00821184" w:rsidRDefault="00821184" w:rsidP="00821184">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analysed using SPSS for descriptive statistics and SmartPLS for Partial Least Squares Structural Equation Modelling (PLS-SEM). The measurement model was tested for reliability and validity before evaluating the structural model and mediation effects.</w:t>
      </w:r>
    </w:p>
    <w:p w:rsidR="00B64020" w:rsidRPr="00906731" w:rsidRDefault="00D56561" w:rsidP="00B64020">
      <w:pPr>
        <w:spacing w:after="0" w:line="360" w:lineRule="auto"/>
        <w:jc w:val="both"/>
        <w:rPr>
          <w:rFonts w:ascii="Times New Roman" w:eastAsia="Times New Roman" w:hAnsi="Times New Roman" w:cs="Times New Roman"/>
          <w:b/>
          <w:sz w:val="24"/>
          <w:szCs w:val="24"/>
        </w:rPr>
      </w:pPr>
      <w:r w:rsidRPr="00906731">
        <w:rPr>
          <w:rFonts w:ascii="Times New Roman" w:eastAsia="Times New Roman" w:hAnsi="Times New Roman" w:cs="Times New Roman"/>
          <w:b/>
          <w:sz w:val="24"/>
          <w:szCs w:val="24"/>
        </w:rPr>
        <w:t>5</w:t>
      </w:r>
      <w:r w:rsidR="00B64020" w:rsidRPr="00906731">
        <w:rPr>
          <w:rFonts w:ascii="Times New Roman" w:eastAsia="Times New Roman" w:hAnsi="Times New Roman" w:cs="Times New Roman"/>
          <w:b/>
          <w:sz w:val="24"/>
          <w:szCs w:val="24"/>
        </w:rPr>
        <w:t>.5</w:t>
      </w:r>
      <w:r w:rsidRPr="00906731">
        <w:rPr>
          <w:rFonts w:ascii="Times New Roman" w:eastAsia="Times New Roman" w:hAnsi="Times New Roman" w:cs="Times New Roman"/>
          <w:b/>
          <w:sz w:val="24"/>
          <w:szCs w:val="24"/>
        </w:rPr>
        <w:t xml:space="preserve"> </w:t>
      </w:r>
      <w:r w:rsidR="00906731" w:rsidRPr="00906731">
        <w:rPr>
          <w:rFonts w:ascii="Times New Roman" w:eastAsia="Times New Roman" w:hAnsi="Times New Roman" w:cs="Times New Roman"/>
          <w:b/>
          <w:sz w:val="24"/>
          <w:szCs w:val="24"/>
        </w:rPr>
        <w:t>Respondents’ Characteristics</w:t>
      </w:r>
    </w:p>
    <w:p w:rsidR="00B64020" w:rsidRDefault="00906731" w:rsidP="0035138D">
      <w:pPr>
        <w:spacing w:before="100" w:beforeAutospacing="1" w:after="200" w:line="360" w:lineRule="auto"/>
        <w:contextualSpacing/>
        <w:jc w:val="both"/>
        <w:rPr>
          <w:rFonts w:ascii="Times New Roman" w:eastAsia="DengXian" w:hAnsi="Times New Roman" w:cs="Times New Roman"/>
          <w:sz w:val="24"/>
          <w:szCs w:val="24"/>
        </w:rPr>
      </w:pPr>
      <w:r w:rsidRPr="0035138D">
        <w:rPr>
          <w:rFonts w:ascii="Times New Roman" w:eastAsia="DengXian" w:hAnsi="Times New Roman" w:cs="Times New Roman"/>
          <w:sz w:val="24"/>
          <w:szCs w:val="24"/>
        </w:rPr>
        <w:t>Respondents were predominant</w:t>
      </w:r>
      <w:r w:rsidR="0035138D">
        <w:rPr>
          <w:rFonts w:ascii="Times New Roman" w:eastAsia="DengXian" w:hAnsi="Times New Roman" w:cs="Times New Roman"/>
          <w:sz w:val="24"/>
          <w:szCs w:val="24"/>
        </w:rPr>
        <w:t>ly male (69.9%)</w:t>
      </w:r>
      <w:r w:rsidRPr="0035138D">
        <w:rPr>
          <w:rFonts w:ascii="Times New Roman" w:eastAsia="DengXian" w:hAnsi="Times New Roman" w:cs="Times New Roman"/>
          <w:sz w:val="24"/>
          <w:szCs w:val="24"/>
        </w:rPr>
        <w:t>; the largest age g</w:t>
      </w:r>
      <w:r w:rsidR="0035138D">
        <w:rPr>
          <w:rFonts w:ascii="Times New Roman" w:eastAsia="DengXian" w:hAnsi="Times New Roman" w:cs="Times New Roman"/>
          <w:sz w:val="24"/>
          <w:szCs w:val="24"/>
        </w:rPr>
        <w:t>roup was 40 to 50 years (39.9%);</w:t>
      </w:r>
      <w:r w:rsidR="0035138D" w:rsidRPr="0035138D">
        <w:rPr>
          <w:rFonts w:ascii="Times New Roman" w:eastAsia="DengXian" w:hAnsi="Times New Roman" w:cs="Times New Roman"/>
          <w:sz w:val="24"/>
          <w:szCs w:val="24"/>
        </w:rPr>
        <w:t xml:space="preserve"> Master’s</w:t>
      </w:r>
      <w:r w:rsidR="0035138D">
        <w:rPr>
          <w:rFonts w:ascii="Times New Roman" w:eastAsia="DengXian" w:hAnsi="Times New Roman" w:cs="Times New Roman"/>
          <w:sz w:val="24"/>
          <w:szCs w:val="24"/>
        </w:rPr>
        <w:t xml:space="preserve"> degree holders (28.6%), PhD (18.1%). The largest tenure group was</w:t>
      </w:r>
      <w:r w:rsidR="001B4FCC" w:rsidRPr="0035138D">
        <w:rPr>
          <w:rFonts w:ascii="Times New Roman" w:eastAsia="DengXian" w:hAnsi="Times New Roman" w:cs="Times New Roman"/>
          <w:sz w:val="24"/>
          <w:szCs w:val="24"/>
        </w:rPr>
        <w:t xml:space="preserve"> 5-10 years (40.6%). 93.1% </w:t>
      </w:r>
      <w:r w:rsidR="0035138D">
        <w:rPr>
          <w:rFonts w:ascii="Times New Roman" w:eastAsia="DengXian" w:hAnsi="Times New Roman" w:cs="Times New Roman"/>
          <w:sz w:val="24"/>
          <w:szCs w:val="24"/>
        </w:rPr>
        <w:t>of participants were Zambians.</w:t>
      </w:r>
      <w:r w:rsidR="001B4FCC">
        <w:rPr>
          <w:rFonts w:ascii="Times New Roman" w:eastAsia="DengXian" w:hAnsi="Times New Roman" w:cs="Times New Roman"/>
          <w:sz w:val="24"/>
          <w:szCs w:val="24"/>
        </w:rPr>
        <w:t xml:space="preserve"> </w:t>
      </w:r>
    </w:p>
    <w:p w:rsidR="001B4FCC" w:rsidRPr="00906731" w:rsidRDefault="001B4FCC" w:rsidP="00906731">
      <w:pPr>
        <w:spacing w:before="100" w:beforeAutospacing="1" w:after="200" w:line="360" w:lineRule="auto"/>
        <w:contextualSpacing/>
        <w:rPr>
          <w:rFonts w:ascii="Times New Roman" w:eastAsia="DengXian" w:hAnsi="Times New Roman" w:cs="Times New Roman"/>
          <w:sz w:val="24"/>
          <w:szCs w:val="24"/>
        </w:rPr>
      </w:pPr>
    </w:p>
    <w:p w:rsidR="00B64020" w:rsidRPr="00B64020" w:rsidRDefault="00B64020" w:rsidP="0035138D">
      <w:pPr>
        <w:spacing w:before="100" w:beforeAutospacing="1" w:after="200" w:line="360" w:lineRule="auto"/>
        <w:contextualSpacing/>
        <w:jc w:val="both"/>
        <w:rPr>
          <w:rFonts w:ascii="Times New Roman" w:eastAsia="Times New Roman" w:hAnsi="Times New Roman" w:cs="Times New Roman"/>
          <w:color w:val="FF0000"/>
          <w:sz w:val="24"/>
          <w:szCs w:val="24"/>
        </w:rPr>
      </w:pPr>
      <w:r w:rsidRPr="005123F2">
        <w:rPr>
          <w:rFonts w:ascii="Times New Roman" w:eastAsia="DengXian" w:hAnsi="Times New Roman" w:cs="Times New Roman"/>
          <w:sz w:val="20"/>
          <w:szCs w:val="20"/>
        </w:rPr>
        <w:t xml:space="preserve"> </w:t>
      </w:r>
      <w:r w:rsidR="00D56561" w:rsidRPr="005123F2">
        <w:rPr>
          <w:rFonts w:ascii="Times New Roman" w:eastAsia="Times New Roman" w:hAnsi="Times New Roman" w:cs="Times New Roman"/>
          <w:b/>
          <w:bCs/>
          <w:sz w:val="24"/>
          <w:szCs w:val="24"/>
        </w:rPr>
        <w:t>5</w:t>
      </w:r>
      <w:r w:rsidRPr="005123F2">
        <w:rPr>
          <w:rFonts w:ascii="Times New Roman" w:eastAsia="Times New Roman" w:hAnsi="Times New Roman" w:cs="Times New Roman"/>
          <w:b/>
          <w:bCs/>
          <w:sz w:val="24"/>
          <w:szCs w:val="24"/>
        </w:rPr>
        <w:t>.5.1 Non-Response Bias</w:t>
      </w:r>
      <w:r w:rsidR="006D5744">
        <w:rPr>
          <w:rFonts w:ascii="Times New Roman" w:eastAsia="Times New Roman" w:hAnsi="Times New Roman" w:cs="Times New Roman"/>
          <w:b/>
          <w:bCs/>
          <w:sz w:val="24"/>
          <w:szCs w:val="24"/>
        </w:rPr>
        <w:t xml:space="preserve">: </w:t>
      </w:r>
      <w:r w:rsidRPr="00B64020">
        <w:rPr>
          <w:rFonts w:ascii="Times New Roman" w:eastAsia="Times New Roman" w:hAnsi="Times New Roman" w:cs="Times New Roman"/>
          <w:sz w:val="24"/>
          <w:szCs w:val="24"/>
        </w:rPr>
        <w:t xml:space="preserve">25% primary survey items were selected for non-response bias analysis using respondent characteristic variables. The sample of 276 respondents was divided into two groups; the first and last 25% returned surveys were designated for analysis, and an independent samples t-test was conducted to compare the mean responses of the two groups. The results, evaluated at a 95% confidence </w:t>
      </w:r>
      <w:r w:rsidR="00D56561">
        <w:rPr>
          <w:rFonts w:ascii="Times New Roman" w:eastAsia="Times New Roman" w:hAnsi="Times New Roman" w:cs="Times New Roman"/>
          <w:sz w:val="24"/>
          <w:szCs w:val="24"/>
        </w:rPr>
        <w:t>level, suggest that late respondents are similar to early respondents (p &gt; 0.05) across the questionnaire items</w:t>
      </w:r>
      <w:r w:rsidRPr="00B64020">
        <w:rPr>
          <w:rFonts w:ascii="Times New Roman" w:eastAsia="Times New Roman" w:hAnsi="Times New Roman" w:cs="Times New Roman"/>
          <w:sz w:val="24"/>
          <w:szCs w:val="24"/>
        </w:rPr>
        <w:t xml:space="preserve">. </w:t>
      </w:r>
    </w:p>
    <w:p w:rsidR="00B64020" w:rsidRPr="00B64020" w:rsidRDefault="00D56561" w:rsidP="0035138D">
      <w:pPr>
        <w:spacing w:before="100" w:beforeAutospacing="1" w:line="360" w:lineRule="auto"/>
        <w:jc w:val="both"/>
        <w:rPr>
          <w:rFonts w:ascii="Times New Roman" w:eastAsia="Calibri" w:hAnsi="Times New Roman" w:cs="Times New Roman"/>
          <w:color w:val="FF0000"/>
          <w:sz w:val="24"/>
          <w:szCs w:val="24"/>
        </w:rPr>
      </w:pPr>
      <w:r w:rsidRPr="005123F2">
        <w:rPr>
          <w:rFonts w:ascii="Times New Roman" w:eastAsia="Calibri" w:hAnsi="Times New Roman" w:cs="Times New Roman"/>
          <w:b/>
        </w:rPr>
        <w:t>5</w:t>
      </w:r>
      <w:r w:rsidR="00B64020" w:rsidRPr="005123F2">
        <w:rPr>
          <w:rFonts w:ascii="Times New Roman" w:eastAsia="Calibri" w:hAnsi="Times New Roman" w:cs="Times New Roman"/>
          <w:b/>
        </w:rPr>
        <w:t>.5.2</w:t>
      </w:r>
      <w:r w:rsidRPr="005123F2">
        <w:rPr>
          <w:rFonts w:ascii="Times New Roman" w:eastAsia="Calibri" w:hAnsi="Times New Roman" w:cs="Times New Roman"/>
          <w:b/>
        </w:rPr>
        <w:t xml:space="preserve"> </w:t>
      </w:r>
      <w:r w:rsidR="00B64020" w:rsidRPr="005123F2">
        <w:rPr>
          <w:rFonts w:ascii="Times New Roman" w:eastAsia="Calibri" w:hAnsi="Times New Roman" w:cs="Times New Roman"/>
          <w:b/>
        </w:rPr>
        <w:t>Common Method Variance (CMV)</w:t>
      </w:r>
      <w:r w:rsidR="006D5744">
        <w:rPr>
          <w:rFonts w:ascii="Times New Roman" w:eastAsia="Calibri" w:hAnsi="Times New Roman" w:cs="Times New Roman"/>
          <w:b/>
        </w:rPr>
        <w:t xml:space="preserve">: </w:t>
      </w:r>
      <w:r w:rsidR="00626161">
        <w:rPr>
          <w:rFonts w:ascii="Times New Roman" w:eastAsia="Calibri" w:hAnsi="Times New Roman" w:cs="Times New Roman"/>
          <w:sz w:val="24"/>
          <w:szCs w:val="24"/>
        </w:rPr>
        <w:t>B</w:t>
      </w:r>
      <w:r w:rsidR="00B64020" w:rsidRPr="00B64020">
        <w:rPr>
          <w:rFonts w:ascii="Times New Roman" w:eastAsia="Calibri" w:hAnsi="Times New Roman" w:cs="Times New Roman"/>
          <w:sz w:val="24"/>
          <w:szCs w:val="24"/>
        </w:rPr>
        <w:t xml:space="preserve">oth the independent and dependent variables were derived utilizing a uniform response format, specifically ordinal scales. </w:t>
      </w:r>
      <w:r w:rsidR="00E4365B">
        <w:rPr>
          <w:rFonts w:ascii="Times New Roman" w:eastAsia="Calibri" w:hAnsi="Times New Roman" w:cs="Times New Roman"/>
          <w:sz w:val="24"/>
          <w:szCs w:val="24"/>
        </w:rPr>
        <w:t>Following the data collection phase, the study assessed the potential presence of CMV, which could skew the interrelationships among the modeled constructs, using</w:t>
      </w:r>
      <w:r w:rsidR="00B64020" w:rsidRPr="00B64020">
        <w:rPr>
          <w:rFonts w:ascii="Times New Roman" w:eastAsia="Calibri" w:hAnsi="Times New Roman" w:cs="Times New Roman"/>
          <w:sz w:val="24"/>
          <w:szCs w:val="24"/>
        </w:rPr>
        <w:t xml:space="preserve"> Harman’s single-factor test. All measurement items were subjected to Principal Components Analysis (PCA) utilizing an un</w:t>
      </w:r>
      <w:r w:rsidR="00626161">
        <w:rPr>
          <w:rFonts w:ascii="Times New Roman" w:eastAsia="Calibri" w:hAnsi="Times New Roman" w:cs="Times New Roman"/>
          <w:sz w:val="24"/>
          <w:szCs w:val="24"/>
        </w:rPr>
        <w:t>-</w:t>
      </w:r>
      <w:r w:rsidR="00B64020" w:rsidRPr="00B64020">
        <w:rPr>
          <w:rFonts w:ascii="Times New Roman" w:eastAsia="Calibri" w:hAnsi="Times New Roman" w:cs="Times New Roman"/>
          <w:sz w:val="24"/>
          <w:szCs w:val="24"/>
        </w:rPr>
        <w:t xml:space="preserve">rotated solution. </w:t>
      </w:r>
      <w:r w:rsidR="00626161">
        <w:rPr>
          <w:rFonts w:ascii="Times New Roman" w:eastAsia="Calibri" w:hAnsi="Times New Roman" w:cs="Times New Roman"/>
          <w:sz w:val="24"/>
          <w:szCs w:val="24"/>
        </w:rPr>
        <w:t>None of the factors</w:t>
      </w:r>
      <w:r w:rsidR="00B64020" w:rsidRPr="00B64020">
        <w:rPr>
          <w:rFonts w:ascii="Times New Roman" w:eastAsia="Calibri" w:hAnsi="Times New Roman" w:cs="Times New Roman"/>
          <w:sz w:val="24"/>
          <w:szCs w:val="24"/>
        </w:rPr>
        <w:t xml:space="preserve"> accounted for more than 50% of the variance.</w:t>
      </w:r>
    </w:p>
    <w:p w:rsidR="00B64020" w:rsidRPr="00B64020" w:rsidRDefault="00D56561" w:rsidP="0035138D">
      <w:pPr>
        <w:spacing w:before="100" w:beforeAutospacing="1" w:line="360" w:lineRule="auto"/>
        <w:jc w:val="both"/>
        <w:rPr>
          <w:rFonts w:ascii="Times New Roman" w:eastAsia="Calibri" w:hAnsi="Times New Roman" w:cs="Times New Roman"/>
          <w:color w:val="FF0000"/>
          <w:sz w:val="24"/>
          <w:szCs w:val="24"/>
        </w:rPr>
      </w:pPr>
      <w:r w:rsidRPr="005123F2">
        <w:rPr>
          <w:rFonts w:ascii="Times New Roman" w:eastAsia="Calibri" w:hAnsi="Times New Roman" w:cs="Times New Roman"/>
          <w:b/>
        </w:rPr>
        <w:t>5</w:t>
      </w:r>
      <w:r w:rsidR="00B64020" w:rsidRPr="005123F2">
        <w:rPr>
          <w:rFonts w:ascii="Times New Roman" w:eastAsia="Calibri" w:hAnsi="Times New Roman" w:cs="Times New Roman"/>
          <w:b/>
        </w:rPr>
        <w:t>.5.3</w:t>
      </w:r>
      <w:r w:rsidRPr="005123F2">
        <w:rPr>
          <w:rFonts w:ascii="Times New Roman" w:eastAsia="Calibri" w:hAnsi="Times New Roman" w:cs="Times New Roman"/>
          <w:b/>
        </w:rPr>
        <w:t xml:space="preserve"> </w:t>
      </w:r>
      <w:r w:rsidR="00B64020" w:rsidRPr="005123F2">
        <w:rPr>
          <w:rFonts w:ascii="Times New Roman" w:eastAsia="Calibri" w:hAnsi="Times New Roman" w:cs="Times New Roman"/>
          <w:b/>
        </w:rPr>
        <w:t>Descriptive Statistics</w:t>
      </w:r>
      <w:r w:rsidR="006D5744">
        <w:rPr>
          <w:rFonts w:ascii="Times New Roman" w:eastAsia="Calibri" w:hAnsi="Times New Roman" w:cs="Times New Roman"/>
          <w:b/>
        </w:rPr>
        <w:t xml:space="preserve">: </w:t>
      </w:r>
      <w:r w:rsidR="00B64020" w:rsidRPr="00B64020">
        <w:rPr>
          <w:rFonts w:ascii="Times New Roman" w:eastAsia="Calibri" w:hAnsi="Times New Roman" w:cs="Times New Roman"/>
          <w:sz w:val="24"/>
          <w:szCs w:val="24"/>
        </w:rPr>
        <w:t xml:space="preserve">To ascertain whether a sample originates from a particular distribution, the one-sample Kolmogorov-Smirnov Test (K-S) was employed. It identified a statistically significant threshold of 0.05, corresponding to a 5% probability of mistakenly rejecting the null hypothesis </w:t>
      </w:r>
      <w:r w:rsidR="0035138D">
        <w:rPr>
          <w:rFonts w:ascii="Times New Roman" w:eastAsia="Calibri" w:hAnsi="Times New Roman" w:cs="Times New Roman"/>
          <w:sz w:val="24"/>
          <w:szCs w:val="24"/>
        </w:rPr>
        <w:t>even when it is</w:t>
      </w:r>
      <w:r w:rsidR="00B64020" w:rsidRPr="00B64020">
        <w:rPr>
          <w:rFonts w:ascii="Times New Roman" w:eastAsia="Calibri" w:hAnsi="Times New Roman" w:cs="Times New Roman"/>
          <w:sz w:val="24"/>
          <w:szCs w:val="24"/>
        </w:rPr>
        <w:t xml:space="preserve"> true. Consequently, all null hypotheses were rejected. </w:t>
      </w:r>
    </w:p>
    <w:p w:rsidR="00B64020" w:rsidRPr="005123F2" w:rsidRDefault="00D56561" w:rsidP="00B64020">
      <w:pPr>
        <w:spacing w:before="100" w:beforeAutospacing="1" w:line="360" w:lineRule="auto"/>
        <w:jc w:val="both"/>
        <w:rPr>
          <w:rFonts w:ascii="Times New Roman" w:eastAsia="Calibri" w:hAnsi="Times New Roman" w:cs="Times New Roman"/>
          <w:b/>
          <w:sz w:val="32"/>
          <w:szCs w:val="24"/>
        </w:rPr>
      </w:pPr>
      <w:r w:rsidRPr="005123F2">
        <w:rPr>
          <w:rFonts w:ascii="Times New Roman" w:eastAsia="Calibri" w:hAnsi="Times New Roman" w:cs="Times New Roman"/>
          <w:b/>
          <w:sz w:val="32"/>
          <w:szCs w:val="24"/>
        </w:rPr>
        <w:t>6</w:t>
      </w:r>
      <w:r w:rsidR="005123F2" w:rsidRPr="005123F2">
        <w:rPr>
          <w:rFonts w:ascii="Times New Roman" w:eastAsia="Calibri" w:hAnsi="Times New Roman" w:cs="Times New Roman"/>
          <w:b/>
          <w:sz w:val="32"/>
          <w:szCs w:val="24"/>
        </w:rPr>
        <w:t>.</w:t>
      </w:r>
      <w:r w:rsidRPr="005123F2">
        <w:rPr>
          <w:rFonts w:ascii="Times New Roman" w:eastAsia="Calibri" w:hAnsi="Times New Roman" w:cs="Times New Roman"/>
          <w:b/>
          <w:sz w:val="32"/>
          <w:szCs w:val="24"/>
        </w:rPr>
        <w:t xml:space="preserve"> </w:t>
      </w:r>
      <w:r w:rsidR="00B64020" w:rsidRPr="005123F2">
        <w:rPr>
          <w:rFonts w:ascii="Times New Roman" w:eastAsia="Calibri" w:hAnsi="Times New Roman" w:cs="Times New Roman"/>
          <w:b/>
          <w:sz w:val="32"/>
          <w:szCs w:val="24"/>
        </w:rPr>
        <w:t>Measurement Model Results</w:t>
      </w:r>
    </w:p>
    <w:p w:rsidR="00B64020" w:rsidRPr="00B64020" w:rsidRDefault="00B64020" w:rsidP="00B64020">
      <w:pPr>
        <w:spacing w:before="100" w:beforeAutospacing="1" w:line="360" w:lineRule="auto"/>
        <w:jc w:val="both"/>
        <w:rPr>
          <w:rFonts w:ascii="Times New Roman" w:eastAsia="Calibri" w:hAnsi="Times New Roman" w:cs="Times New Roman"/>
          <w:color w:val="FF0000"/>
          <w:sz w:val="24"/>
          <w:szCs w:val="24"/>
        </w:rPr>
      </w:pPr>
      <w:r w:rsidRPr="00B64020">
        <w:rPr>
          <w:rFonts w:ascii="Times New Roman" w:eastAsia="Calibri" w:hAnsi="Times New Roman" w:cs="Times New Roman"/>
          <w:sz w:val="24"/>
          <w:szCs w:val="24"/>
        </w:rPr>
        <w:t xml:space="preserve">The model examined how HR practices, when effectively implemented to cultivate trust, may yield quantifiable </w:t>
      </w:r>
      <w:r w:rsidR="00E4365B">
        <w:rPr>
          <w:rFonts w:ascii="Times New Roman" w:eastAsia="Calibri" w:hAnsi="Times New Roman" w:cs="Times New Roman"/>
          <w:sz w:val="24"/>
          <w:szCs w:val="24"/>
        </w:rPr>
        <w:t>improvements in employee performance</w:t>
      </w:r>
      <w:r w:rsidRPr="00B64020">
        <w:rPr>
          <w:rFonts w:ascii="Times New Roman" w:eastAsia="Calibri" w:hAnsi="Times New Roman" w:cs="Times New Roman"/>
          <w:sz w:val="24"/>
          <w:szCs w:val="24"/>
        </w:rPr>
        <w:t xml:space="preserve">. </w:t>
      </w:r>
      <w:r w:rsidR="00626161">
        <w:rPr>
          <w:rFonts w:ascii="Times New Roman" w:eastAsia="Calibri" w:hAnsi="Times New Roman" w:cs="Times New Roman"/>
          <w:sz w:val="24"/>
          <w:szCs w:val="24"/>
        </w:rPr>
        <w:t xml:space="preserve"> T</w:t>
      </w:r>
      <w:r w:rsidRPr="00B64020">
        <w:rPr>
          <w:rFonts w:ascii="Times New Roman" w:eastAsia="Calibri" w:hAnsi="Times New Roman" w:cs="Times New Roman"/>
          <w:sz w:val="24"/>
          <w:szCs w:val="24"/>
        </w:rPr>
        <w:t xml:space="preserve">he model </w:t>
      </w:r>
      <w:r w:rsidR="00626161">
        <w:rPr>
          <w:rFonts w:ascii="Times New Roman" w:eastAsia="Calibri" w:hAnsi="Times New Roman" w:cs="Times New Roman"/>
          <w:sz w:val="24"/>
          <w:szCs w:val="24"/>
        </w:rPr>
        <w:t xml:space="preserve">first </w:t>
      </w:r>
      <w:r w:rsidRPr="00B64020">
        <w:rPr>
          <w:rFonts w:ascii="Times New Roman" w:eastAsia="Calibri" w:hAnsi="Times New Roman" w:cs="Times New Roman"/>
          <w:sz w:val="24"/>
          <w:szCs w:val="24"/>
        </w:rPr>
        <w:t>ensured the validity and reliability of the measurement framework by assessing indicator reliability, internal consistency, and both discriminant and convergent validity.</w:t>
      </w:r>
    </w:p>
    <w:p w:rsidR="00B64020" w:rsidRPr="00B64020" w:rsidRDefault="00B64020" w:rsidP="00B64020">
      <w:pPr>
        <w:spacing w:before="100" w:beforeAutospacing="1" w:line="360" w:lineRule="auto"/>
        <w:jc w:val="center"/>
        <w:rPr>
          <w:rFonts w:ascii="Times New Roman" w:eastAsia="Calibri" w:hAnsi="Times New Roman" w:cs="Times New Roman"/>
          <w:b/>
          <w:sz w:val="24"/>
          <w:szCs w:val="24"/>
        </w:rPr>
      </w:pPr>
      <w:r w:rsidRPr="00B64020">
        <w:rPr>
          <w:rFonts w:ascii="Calibri" w:eastAsia="Times New Roman" w:hAnsi="Calibri" w:cs="Times New Roman"/>
          <w:noProof/>
        </w:rPr>
        <w:drawing>
          <wp:inline distT="0" distB="0" distL="0" distR="0" wp14:anchorId="4ACBF126" wp14:editId="07E66801">
            <wp:extent cx="5105400" cy="3200400"/>
            <wp:effectExtent l="0" t="0" r="0" b="0"/>
            <wp:docPr id="21" name="Picture 21" descr="C:\Users\LYDIAM~1\AppData\Local\Temp\ksohtml11084\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YDIAM~1\AppData\Local\Temp\ksohtml11084\wps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200400"/>
                    </a:xfrm>
                    <a:prstGeom prst="rect">
                      <a:avLst/>
                    </a:prstGeom>
                    <a:noFill/>
                    <a:ln>
                      <a:noFill/>
                    </a:ln>
                  </pic:spPr>
                </pic:pic>
              </a:graphicData>
            </a:graphic>
          </wp:inline>
        </w:drawing>
      </w:r>
      <w:r w:rsidRPr="00B64020">
        <w:rPr>
          <w:rFonts w:ascii="Times New Roman" w:eastAsia="Calibri" w:hAnsi="Times New Roman" w:cs="Times New Roman"/>
          <w:b/>
          <w:sz w:val="24"/>
          <w:szCs w:val="24"/>
        </w:rPr>
        <w:t xml:space="preserve"> </w:t>
      </w:r>
    </w:p>
    <w:p w:rsidR="00B64020" w:rsidRPr="00B64020" w:rsidRDefault="006D5744" w:rsidP="00B64020">
      <w:pPr>
        <w:spacing w:before="100" w:beforeAutospacing="1" w:line="360" w:lineRule="auto"/>
        <w:jc w:val="both"/>
        <w:rPr>
          <w:rFonts w:ascii="Times New Roman" w:eastAsia="Calibri" w:hAnsi="Times New Roman" w:cs="Times New Roman"/>
          <w:b/>
          <w:color w:val="FF0000"/>
          <w:sz w:val="24"/>
          <w:szCs w:val="24"/>
        </w:rPr>
      </w:pPr>
      <w:r>
        <w:rPr>
          <w:rFonts w:ascii="Times New Roman" w:eastAsia="Calibri" w:hAnsi="Times New Roman" w:cs="Times New Roman"/>
          <w:b/>
          <w:sz w:val="24"/>
          <w:szCs w:val="24"/>
        </w:rPr>
        <w:t>Figure 5</w:t>
      </w:r>
      <w:r w:rsidR="00B64020" w:rsidRPr="00B64020">
        <w:rPr>
          <w:rFonts w:ascii="Times New Roman" w:eastAsia="Calibri" w:hAnsi="Times New Roman" w:cs="Times New Roman"/>
          <w:b/>
          <w:sz w:val="24"/>
          <w:szCs w:val="24"/>
        </w:rPr>
        <w:t>: PLS Measurement Model Estimation</w:t>
      </w:r>
    </w:p>
    <w:p w:rsidR="00D56561" w:rsidRDefault="00D56561" w:rsidP="00D56561">
      <w:pPr>
        <w:spacing w:before="100" w:beforeAutospacing="1" w:line="360" w:lineRule="auto"/>
        <w:jc w:val="both"/>
        <w:rPr>
          <w:rFonts w:ascii="Times New Roman" w:eastAsia="Calibri" w:hAnsi="Times New Roman" w:cs="Times New Roman"/>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.1</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Indicator Reliability</w:t>
      </w:r>
      <w:r w:rsidR="006D5744" w:rsidRPr="005123F2">
        <w:rPr>
          <w:rFonts w:ascii="Times New Roman" w:eastAsia="Calibri" w:hAnsi="Times New Roman" w:cs="Times New Roman"/>
          <w:b/>
          <w:sz w:val="24"/>
          <w:szCs w:val="24"/>
        </w:rPr>
        <w:t>:</w:t>
      </w:r>
      <w:r w:rsidR="006D5744">
        <w:rPr>
          <w:rFonts w:ascii="Times New Roman" w:eastAsia="Calibri" w:hAnsi="Times New Roman" w:cs="Times New Roman"/>
          <w:b/>
          <w:sz w:val="24"/>
          <w:szCs w:val="24"/>
        </w:rPr>
        <w:t xml:space="preserve"> </w:t>
      </w:r>
      <w:r w:rsidR="00B64020" w:rsidRPr="00B64020">
        <w:rPr>
          <w:rFonts w:ascii="Times New Roman" w:eastAsia="Calibri" w:hAnsi="Times New Roman" w:cs="Times New Roman"/>
          <w:sz w:val="24"/>
          <w:szCs w:val="24"/>
        </w:rPr>
        <w:t>Several indicators had loadings below 0.65. A loading relevance test assessed whether removing these indicators improved the average variance extracted (AVE) and composite reliability. According to Hair et al. (2017), indicators with loadings below 0.40 should be eliminated. Indicators were considered for deletion if their removal increased AVE and composite reliability above 0.5 and 0.7, respectively (Hair et al., 2013). Removing the indicators significantly improved content validity as they showed o</w:t>
      </w:r>
      <w:r>
        <w:rPr>
          <w:rFonts w:ascii="Times New Roman" w:eastAsia="Calibri" w:hAnsi="Times New Roman" w:cs="Times New Roman"/>
          <w:sz w:val="24"/>
          <w:szCs w:val="24"/>
        </w:rPr>
        <w:t>uter loadings of 0.7 or higher.6</w:t>
      </w:r>
    </w:p>
    <w:p w:rsidR="00B64020" w:rsidRPr="00B64020" w:rsidRDefault="00D56561" w:rsidP="00D56561">
      <w:pPr>
        <w:spacing w:before="100" w:beforeAutospacing="1" w:line="360" w:lineRule="auto"/>
        <w:jc w:val="both"/>
        <w:rPr>
          <w:rFonts w:ascii="Times New Roman" w:eastAsia="Calibri" w:hAnsi="Times New Roman" w:cs="Times New Roman"/>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.2</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Outer Loadings and Internal Consistency Reliability</w:t>
      </w:r>
      <w:r w:rsidR="006D5744" w:rsidRPr="005123F2">
        <w:rPr>
          <w:rFonts w:ascii="Times New Roman" w:eastAsia="Calibri" w:hAnsi="Times New Roman" w:cs="Times New Roman"/>
          <w:b/>
          <w:sz w:val="24"/>
          <w:szCs w:val="24"/>
        </w:rPr>
        <w:t>:</w:t>
      </w:r>
      <w:r w:rsidR="006D5744">
        <w:rPr>
          <w:rFonts w:ascii="Times New Roman" w:eastAsia="Calibri" w:hAnsi="Times New Roman" w:cs="Times New Roman"/>
          <w:b/>
          <w:sz w:val="24"/>
          <w:szCs w:val="24"/>
        </w:rPr>
        <w:t xml:space="preserve"> </w:t>
      </w:r>
      <w:r w:rsidR="00B64020" w:rsidRPr="00B64020">
        <w:rPr>
          <w:rFonts w:ascii="Times New Roman" w:eastAsia="Calibri" w:hAnsi="Times New Roman" w:cs="Times New Roman"/>
          <w:sz w:val="24"/>
          <w:szCs w:val="24"/>
        </w:rPr>
        <w:t>Hair et al. (2013) states that values should be ≥0.60 but ≤0.95 in exploratory research to avoid redundancy. Table 5 shows that the composite reliability coefficients for HR Practices (0.906), Employee Performance (0.899), and Trust (0.884) are within the recommended range, indicating strong internal consistency.</w:t>
      </w:r>
    </w:p>
    <w:p w:rsidR="0069034B" w:rsidRDefault="0069034B" w:rsidP="00AD35FE">
      <w:pPr>
        <w:spacing w:before="100" w:beforeAutospacing="1" w:after="0" w:line="360" w:lineRule="auto"/>
        <w:jc w:val="center"/>
        <w:rPr>
          <w:rFonts w:ascii="Times New Roman" w:eastAsia="Calibri" w:hAnsi="Times New Roman" w:cs="Times New Roman"/>
          <w:b/>
          <w:color w:val="000000"/>
          <w:sz w:val="24"/>
          <w:szCs w:val="24"/>
        </w:rPr>
      </w:pPr>
    </w:p>
    <w:p w:rsidR="0069034B" w:rsidRDefault="0069034B" w:rsidP="00AD35FE">
      <w:pPr>
        <w:spacing w:before="100" w:beforeAutospacing="1" w:after="0" w:line="360" w:lineRule="auto"/>
        <w:jc w:val="center"/>
        <w:rPr>
          <w:rFonts w:ascii="Times New Roman" w:eastAsia="Calibri" w:hAnsi="Times New Roman" w:cs="Times New Roman"/>
          <w:b/>
          <w:color w:val="000000"/>
          <w:sz w:val="24"/>
          <w:szCs w:val="24"/>
        </w:rPr>
      </w:pPr>
    </w:p>
    <w:p w:rsidR="0069034B" w:rsidRDefault="0069034B" w:rsidP="00AD35FE">
      <w:pPr>
        <w:spacing w:before="100" w:beforeAutospacing="1" w:after="0" w:line="360" w:lineRule="auto"/>
        <w:jc w:val="center"/>
        <w:rPr>
          <w:rFonts w:ascii="Times New Roman" w:eastAsia="Calibri" w:hAnsi="Times New Roman" w:cs="Times New Roman"/>
          <w:b/>
          <w:color w:val="000000"/>
          <w:sz w:val="24"/>
          <w:szCs w:val="24"/>
        </w:rPr>
      </w:pPr>
    </w:p>
    <w:p w:rsidR="00B64020" w:rsidRPr="00B64020" w:rsidRDefault="00B64020" w:rsidP="00AD35FE">
      <w:pPr>
        <w:spacing w:before="100" w:beforeAutospacing="1" w:after="0" w:line="360" w:lineRule="auto"/>
        <w:jc w:val="center"/>
        <w:rPr>
          <w:rFonts w:ascii="Times New Roman" w:eastAsia="Calibri" w:hAnsi="Times New Roman" w:cs="Times New Roman"/>
          <w:sz w:val="24"/>
          <w:szCs w:val="24"/>
        </w:rPr>
      </w:pPr>
      <w:r w:rsidRPr="00B64020">
        <w:rPr>
          <w:rFonts w:ascii="Times New Roman" w:eastAsia="Calibri" w:hAnsi="Times New Roman" w:cs="Times New Roman"/>
          <w:b/>
          <w:color w:val="000000"/>
          <w:sz w:val="24"/>
          <w:szCs w:val="24"/>
        </w:rPr>
        <w:t>Table 5:</w:t>
      </w:r>
      <w:r w:rsidRPr="00B64020">
        <w:rPr>
          <w:rFonts w:ascii="Times New Roman" w:eastAsia="Calibri" w:hAnsi="Times New Roman" w:cs="Times New Roman"/>
          <w:color w:val="000000"/>
          <w:sz w:val="24"/>
          <w:szCs w:val="24"/>
        </w:rPr>
        <w:t xml:space="preserve"> </w:t>
      </w:r>
      <w:r w:rsidRPr="00B64020">
        <w:rPr>
          <w:rFonts w:ascii="Times New Roman" w:eastAsia="Calibri" w:hAnsi="Times New Roman" w:cs="Times New Roman"/>
          <w:b/>
          <w:sz w:val="24"/>
          <w:szCs w:val="24"/>
        </w:rPr>
        <w:t>Outer Loadings and Internal Consistency Reliability</w:t>
      </w:r>
    </w:p>
    <w:tbl>
      <w:tblPr>
        <w:tblStyle w:val="TableGrid"/>
        <w:tblW w:w="0" w:type="auto"/>
        <w:jc w:val="center"/>
        <w:tblInd w:w="0" w:type="dxa"/>
        <w:tblLook w:val="04A0" w:firstRow="1" w:lastRow="0" w:firstColumn="1" w:lastColumn="0" w:noHBand="0" w:noVBand="1"/>
      </w:tblPr>
      <w:tblGrid>
        <w:gridCol w:w="2620"/>
        <w:gridCol w:w="3135"/>
        <w:gridCol w:w="1898"/>
        <w:gridCol w:w="1697"/>
      </w:tblGrid>
      <w:tr w:rsidR="00B64020" w:rsidRPr="00B64020" w:rsidTr="00B64020">
        <w:trPr>
          <w:jc w:val="center"/>
        </w:trPr>
        <w:tc>
          <w:tcPr>
            <w:tcW w:w="2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rPr>
                <w:b/>
                <w:sz w:val="18"/>
                <w:szCs w:val="18"/>
              </w:rPr>
            </w:pPr>
            <w:r w:rsidRPr="00B64020">
              <w:rPr>
                <w:rFonts w:eastAsia="Times New Roman" w:cs="Calibri" w:hint="eastAsia"/>
                <w:b/>
                <w:sz w:val="18"/>
                <w:szCs w:val="18"/>
              </w:rPr>
              <w:t>Construct (Latent Variables)</w:t>
            </w:r>
          </w:p>
        </w:tc>
        <w:tc>
          <w:tcPr>
            <w:tcW w:w="313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rPr>
                <w:rFonts w:eastAsia="Times New Roman"/>
                <w:b/>
                <w:sz w:val="18"/>
                <w:szCs w:val="18"/>
              </w:rPr>
            </w:pPr>
            <w:r w:rsidRPr="00B64020">
              <w:rPr>
                <w:rFonts w:eastAsia="Times New Roman" w:cs="Calibri" w:hint="eastAsia"/>
                <w:b/>
                <w:sz w:val="18"/>
                <w:szCs w:val="18"/>
              </w:rPr>
              <w:t xml:space="preserve">Sub-Dimensions </w:t>
            </w:r>
            <w:r w:rsidRPr="00B64020">
              <w:rPr>
                <w:rFonts w:eastAsia="Times New Roman" w:cs="Calibri"/>
                <w:b/>
                <w:sz w:val="18"/>
                <w:szCs w:val="18"/>
              </w:rPr>
              <w:t xml:space="preserve">                     </w:t>
            </w:r>
            <w:r w:rsidRPr="00B64020">
              <w:rPr>
                <w:rFonts w:eastAsia="Times New Roman" w:cs="Calibri" w:hint="eastAsia"/>
                <w:b/>
                <w:sz w:val="18"/>
                <w:szCs w:val="18"/>
              </w:rPr>
              <w:t>Indicators</w:t>
            </w:r>
          </w:p>
        </w:tc>
        <w:tc>
          <w:tcPr>
            <w:tcW w:w="1898"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rPr>
                <w:rFonts w:eastAsia="Times New Roman"/>
                <w:b/>
                <w:sz w:val="18"/>
                <w:szCs w:val="18"/>
              </w:rPr>
            </w:pPr>
            <w:r w:rsidRPr="00B64020">
              <w:rPr>
                <w:rFonts w:eastAsia="Times New Roman" w:cs="Calibri" w:hint="eastAsia"/>
                <w:b/>
                <w:sz w:val="18"/>
                <w:szCs w:val="18"/>
              </w:rPr>
              <w:t>Composite Reliability</w:t>
            </w:r>
          </w:p>
        </w:tc>
        <w:tc>
          <w:tcPr>
            <w:tcW w:w="1697"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rPr>
                <w:rFonts w:eastAsia="Times New Roman"/>
                <w:b/>
                <w:sz w:val="18"/>
                <w:szCs w:val="18"/>
              </w:rPr>
            </w:pPr>
            <w:r w:rsidRPr="00B64020">
              <w:rPr>
                <w:rFonts w:eastAsia="Times New Roman" w:cs="Calibri" w:hint="eastAsia"/>
                <w:b/>
                <w:sz w:val="18"/>
                <w:szCs w:val="18"/>
              </w:rPr>
              <w:t>Outer Loadings</w:t>
            </w:r>
          </w:p>
        </w:tc>
      </w:tr>
      <w:tr w:rsidR="00B64020"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hideMark/>
          </w:tcPr>
          <w:p w:rsidR="00B64020" w:rsidRPr="00B64020" w:rsidRDefault="00B64020" w:rsidP="00AD35FE">
            <w:pPr>
              <w:rPr>
                <w:rFonts w:eastAsia="Times New Roman"/>
                <w:b/>
                <w:sz w:val="18"/>
                <w:szCs w:val="18"/>
              </w:rPr>
            </w:pPr>
            <w:r w:rsidRPr="00B64020">
              <w:rPr>
                <w:rFonts w:eastAsia="Times New Roman" w:cs="Calibri" w:hint="eastAsia"/>
                <w:b/>
                <w:sz w:val="18"/>
                <w:szCs w:val="18"/>
              </w:rPr>
              <w:t>HR Practices</w:t>
            </w:r>
          </w:p>
        </w:tc>
        <w:tc>
          <w:tcPr>
            <w:tcW w:w="3135" w:type="dxa"/>
            <w:tcBorders>
              <w:top w:val="single" w:sz="4" w:space="0" w:color="000000"/>
              <w:left w:val="single" w:sz="4" w:space="0" w:color="000000"/>
              <w:bottom w:val="single" w:sz="4" w:space="0" w:color="000000"/>
              <w:right w:val="single" w:sz="4" w:space="0" w:color="000000"/>
            </w:tcBorders>
          </w:tcPr>
          <w:p w:rsidR="00B64020" w:rsidRPr="00B64020" w:rsidRDefault="00B64020" w:rsidP="00AD35FE">
            <w:pPr>
              <w:rPr>
                <w:rFonts w:eastAsia="Times New Roman"/>
                <w:b/>
                <w:sz w:val="18"/>
                <w:szCs w:val="18"/>
              </w:rPr>
            </w:pPr>
          </w:p>
        </w:tc>
        <w:tc>
          <w:tcPr>
            <w:tcW w:w="1898"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center"/>
              <w:rPr>
                <w:rFonts w:eastAsia="Times New Roman"/>
                <w:b/>
                <w:sz w:val="18"/>
                <w:szCs w:val="18"/>
              </w:rPr>
            </w:pPr>
            <w:r w:rsidRPr="00B64020">
              <w:rPr>
                <w:rFonts w:eastAsia="Times New Roman" w:cs="Calibri" w:hint="eastAsia"/>
                <w:b/>
                <w:sz w:val="18"/>
                <w:szCs w:val="18"/>
              </w:rPr>
              <w:t>0.906</w:t>
            </w:r>
          </w:p>
        </w:tc>
        <w:tc>
          <w:tcPr>
            <w:tcW w:w="1697" w:type="dxa"/>
            <w:tcBorders>
              <w:top w:val="single" w:sz="4" w:space="0" w:color="000000"/>
              <w:left w:val="single" w:sz="4" w:space="0" w:color="000000"/>
              <w:bottom w:val="single" w:sz="4" w:space="0" w:color="000000"/>
              <w:right w:val="single" w:sz="4" w:space="0" w:color="000000"/>
            </w:tcBorders>
          </w:tcPr>
          <w:p w:rsidR="00B64020" w:rsidRPr="00B64020" w:rsidRDefault="00B64020" w:rsidP="00AD35FE">
            <w:pPr>
              <w:rPr>
                <w:rFonts w:eastAsia="Times New Roman"/>
                <w:sz w:val="18"/>
                <w:szCs w:val="18"/>
              </w:rPr>
            </w:pPr>
          </w:p>
        </w:tc>
      </w:tr>
      <w:tr w:rsidR="001A5700"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1A5700" w:rsidRPr="00B64020" w:rsidRDefault="001A5700" w:rsidP="001A5700">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1A5700" w:rsidRPr="00B64020" w:rsidRDefault="001A5700" w:rsidP="001A5700">
            <w:pPr>
              <w:rPr>
                <w:rFonts w:eastAsia="Times New Roman"/>
                <w:b/>
                <w:sz w:val="18"/>
                <w:szCs w:val="18"/>
              </w:rPr>
            </w:pPr>
            <w:r w:rsidRPr="00B64020">
              <w:rPr>
                <w:rFonts w:eastAsia="Times New Roman" w:cs="Calibri" w:hint="eastAsia"/>
                <w:b/>
                <w:sz w:val="18"/>
                <w:szCs w:val="18"/>
              </w:rPr>
              <w:t>Open</w:t>
            </w:r>
            <w:r>
              <w:rPr>
                <w:rFonts w:eastAsia="Times New Roman" w:cs="Calibri"/>
                <w:b/>
                <w:sz w:val="18"/>
                <w:szCs w:val="18"/>
              </w:rPr>
              <w:t xml:space="preserve">                                                </w:t>
            </w:r>
            <w:r w:rsidR="004826D8">
              <w:rPr>
                <w:rFonts w:eastAsia="Times New Roman" w:cs="Calibri"/>
                <w:b/>
                <w:sz w:val="18"/>
                <w:szCs w:val="18"/>
              </w:rPr>
              <w:t xml:space="preserve"> </w:t>
            </w:r>
            <w:r w:rsidRPr="001A5700">
              <w:rPr>
                <w:rFonts w:eastAsia="Times New Roman" w:cs="Calibri"/>
                <w:sz w:val="18"/>
                <w:szCs w:val="18"/>
              </w:rPr>
              <w:t>HRPO3</w:t>
            </w:r>
          </w:p>
        </w:tc>
        <w:tc>
          <w:tcPr>
            <w:tcW w:w="1898" w:type="dxa"/>
            <w:tcBorders>
              <w:top w:val="single" w:sz="4" w:space="0" w:color="000000"/>
              <w:left w:val="single" w:sz="4" w:space="0" w:color="000000"/>
              <w:bottom w:val="single" w:sz="4" w:space="0" w:color="000000"/>
              <w:right w:val="single" w:sz="4" w:space="0" w:color="000000"/>
            </w:tcBorders>
          </w:tcPr>
          <w:p w:rsidR="001A5700" w:rsidRPr="00B64020" w:rsidRDefault="001A5700" w:rsidP="001A5700">
            <w:pP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1A5700" w:rsidRPr="00B64020" w:rsidRDefault="001A5700" w:rsidP="001A5700">
            <w:pPr>
              <w:rPr>
                <w:rFonts w:eastAsia="Times New Roman"/>
                <w:sz w:val="18"/>
                <w:szCs w:val="18"/>
              </w:rPr>
            </w:pPr>
            <w:r w:rsidRPr="00B64020">
              <w:rPr>
                <w:rFonts w:eastAsia="Times New Roman" w:cs="Calibri" w:hint="eastAsia"/>
                <w:sz w:val="18"/>
                <w:szCs w:val="18"/>
              </w:rPr>
              <w:t>0.717</w:t>
            </w:r>
          </w:p>
        </w:tc>
      </w:tr>
      <w:tr w:rsidR="001A5700" w:rsidRPr="00B64020" w:rsidTr="001A5700">
        <w:trPr>
          <w:jc w:val="center"/>
        </w:trPr>
        <w:tc>
          <w:tcPr>
            <w:tcW w:w="0" w:type="auto"/>
            <w:vMerge/>
            <w:tcBorders>
              <w:top w:val="nil"/>
              <w:left w:val="single" w:sz="4" w:space="0" w:color="000000"/>
              <w:bottom w:val="single" w:sz="4" w:space="0" w:color="000000"/>
              <w:right w:val="single" w:sz="4" w:space="0" w:color="000000"/>
            </w:tcBorders>
            <w:vAlign w:val="center"/>
            <w:hideMark/>
          </w:tcPr>
          <w:p w:rsidR="001A5700" w:rsidRPr="00B64020" w:rsidRDefault="001A5700" w:rsidP="001A5700">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1A5700" w:rsidRPr="00B64020" w:rsidRDefault="001A5700" w:rsidP="001A5700">
            <w:pPr>
              <w:jc w:val="right"/>
              <w:rPr>
                <w:rFonts w:eastAsia="Times New Roman"/>
                <w:sz w:val="18"/>
                <w:szCs w:val="18"/>
              </w:rPr>
            </w:pPr>
            <w:r w:rsidRPr="00B64020">
              <w:rPr>
                <w:rFonts w:eastAsia="Times New Roman" w:cs="Calibri" w:hint="eastAsia"/>
                <w:sz w:val="18"/>
                <w:szCs w:val="18"/>
              </w:rPr>
              <w:t>HRPO</w:t>
            </w:r>
            <w:r>
              <w:rPr>
                <w:rFonts w:eastAsia="Times New Roman" w:cs="Calibri" w:hint="eastAsia"/>
                <w:sz w:val="18"/>
                <w:szCs w:val="18"/>
              </w:rPr>
              <w:t>4</w:t>
            </w:r>
          </w:p>
        </w:tc>
        <w:tc>
          <w:tcPr>
            <w:tcW w:w="1898" w:type="dxa"/>
            <w:tcBorders>
              <w:top w:val="single" w:sz="4" w:space="0" w:color="000000"/>
              <w:left w:val="single" w:sz="4" w:space="0" w:color="000000"/>
              <w:bottom w:val="single" w:sz="4" w:space="0" w:color="000000"/>
              <w:right w:val="single" w:sz="4" w:space="0" w:color="000000"/>
            </w:tcBorders>
          </w:tcPr>
          <w:p w:rsidR="001A5700" w:rsidRPr="00B64020" w:rsidRDefault="001A5700" w:rsidP="001A5700">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1A5700" w:rsidRPr="00B64020" w:rsidRDefault="001A5700" w:rsidP="001A5700">
            <w:pPr>
              <w:rPr>
                <w:rFonts w:eastAsia="Times New Roman"/>
                <w:sz w:val="18"/>
                <w:szCs w:val="18"/>
              </w:rPr>
            </w:pPr>
            <w:r w:rsidRPr="00B64020">
              <w:rPr>
                <w:rFonts w:eastAsia="Times New Roman" w:cs="Calibri" w:hint="eastAsia"/>
                <w:sz w:val="18"/>
                <w:szCs w:val="18"/>
              </w:rPr>
              <w:t>0.871</w:t>
            </w:r>
          </w:p>
        </w:tc>
      </w:tr>
      <w:tr w:rsidR="001A5700" w:rsidRPr="00B64020" w:rsidTr="001A5700">
        <w:trPr>
          <w:jc w:val="center"/>
        </w:trPr>
        <w:tc>
          <w:tcPr>
            <w:tcW w:w="0" w:type="auto"/>
            <w:vMerge/>
            <w:tcBorders>
              <w:top w:val="nil"/>
              <w:left w:val="single" w:sz="4" w:space="0" w:color="000000"/>
              <w:bottom w:val="single" w:sz="4" w:space="0" w:color="000000"/>
              <w:right w:val="single" w:sz="4" w:space="0" w:color="000000"/>
            </w:tcBorders>
            <w:vAlign w:val="center"/>
            <w:hideMark/>
          </w:tcPr>
          <w:p w:rsidR="001A5700" w:rsidRPr="00B64020" w:rsidRDefault="001A5700" w:rsidP="001A5700">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1A5700" w:rsidRPr="00B64020" w:rsidRDefault="001A5700" w:rsidP="004826D8">
            <w:pPr>
              <w:jc w:val="right"/>
              <w:rPr>
                <w:rFonts w:eastAsia="Times New Roman"/>
                <w:sz w:val="18"/>
                <w:szCs w:val="18"/>
              </w:rPr>
            </w:pPr>
            <w:r>
              <w:rPr>
                <w:rFonts w:eastAsia="Times New Roman" w:cs="Calibri" w:hint="eastAsia"/>
                <w:sz w:val="18"/>
                <w:szCs w:val="18"/>
              </w:rPr>
              <w:t>HRPO5</w:t>
            </w:r>
          </w:p>
        </w:tc>
        <w:tc>
          <w:tcPr>
            <w:tcW w:w="1898" w:type="dxa"/>
            <w:tcBorders>
              <w:top w:val="single" w:sz="4" w:space="0" w:color="000000"/>
              <w:left w:val="single" w:sz="4" w:space="0" w:color="000000"/>
              <w:bottom w:val="single" w:sz="4" w:space="0" w:color="000000"/>
              <w:right w:val="single" w:sz="4" w:space="0" w:color="000000"/>
            </w:tcBorders>
          </w:tcPr>
          <w:p w:rsidR="001A5700" w:rsidRPr="00B64020" w:rsidRDefault="001A5700" w:rsidP="001A5700">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1A5700" w:rsidRPr="00B64020" w:rsidRDefault="001A5700" w:rsidP="001A5700">
            <w:pPr>
              <w:rPr>
                <w:rFonts w:eastAsia="Times New Roman"/>
                <w:sz w:val="18"/>
                <w:szCs w:val="18"/>
              </w:rPr>
            </w:pPr>
            <w:r w:rsidRPr="00B64020">
              <w:rPr>
                <w:rFonts w:eastAsia="Times New Roman" w:cs="Calibri" w:hint="eastAsia"/>
                <w:sz w:val="18"/>
                <w:szCs w:val="18"/>
              </w:rPr>
              <w:t>0.766</w:t>
            </w: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tcPr>
          <w:p w:rsidR="004826D8" w:rsidRPr="00B64020" w:rsidRDefault="004826D8" w:rsidP="004826D8">
            <w:pPr>
              <w:jc w:val="right"/>
              <w:rPr>
                <w:rFonts w:eastAsia="Times New Roman"/>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1A5700" w:rsidRDefault="004826D8" w:rsidP="004826D8">
            <w:pPr>
              <w:rPr>
                <w:rFonts w:eastAsia="Times New Roman"/>
                <w:sz w:val="18"/>
                <w:szCs w:val="18"/>
              </w:rPr>
            </w:pPr>
            <w:r w:rsidRPr="00B64020">
              <w:rPr>
                <w:rFonts w:eastAsia="Times New Roman" w:cs="Calibri" w:hint="eastAsia"/>
                <w:b/>
                <w:sz w:val="18"/>
                <w:szCs w:val="18"/>
              </w:rPr>
              <w:t>Fair</w:t>
            </w:r>
            <w:r>
              <w:rPr>
                <w:rFonts w:eastAsia="Times New Roman" w:cs="Calibri"/>
                <w:b/>
                <w:sz w:val="18"/>
                <w:szCs w:val="18"/>
              </w:rPr>
              <w:t xml:space="preserve">                                                     </w:t>
            </w:r>
            <w:r>
              <w:rPr>
                <w:rFonts w:eastAsia="Times New Roman" w:cs="Calibri"/>
                <w:sz w:val="18"/>
                <w:szCs w:val="18"/>
              </w:rPr>
              <w:t xml:space="preserve">HRPF2 </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r w:rsidRPr="00B64020">
              <w:rPr>
                <w:rFonts w:eastAsia="Times New Roman" w:cs="Calibri" w:hint="eastAsia"/>
                <w:sz w:val="18"/>
                <w:szCs w:val="18"/>
              </w:rPr>
              <w:t>0.660</w:t>
            </w:r>
          </w:p>
        </w:tc>
      </w:tr>
      <w:tr w:rsidR="004826D8" w:rsidRPr="00B64020" w:rsidTr="004826D8">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HRPF</w:t>
            </w:r>
            <w:r>
              <w:rPr>
                <w:rFonts w:eastAsia="Times New Roman" w:cs="Calibri"/>
                <w:sz w:val="18"/>
                <w:szCs w:val="18"/>
              </w:rPr>
              <w:t>4</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r w:rsidRPr="00B64020">
              <w:rPr>
                <w:rFonts w:eastAsia="Times New Roman" w:cs="Calibri" w:hint="eastAsia"/>
                <w:sz w:val="18"/>
                <w:szCs w:val="18"/>
              </w:rPr>
              <w:t>0.827</w:t>
            </w:r>
          </w:p>
        </w:tc>
      </w:tr>
      <w:tr w:rsidR="004826D8" w:rsidRPr="00B64020" w:rsidTr="004826D8">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Pr>
                <w:rFonts w:eastAsia="Times New Roman" w:cs="Calibri" w:hint="eastAsia"/>
                <w:sz w:val="18"/>
                <w:szCs w:val="18"/>
              </w:rPr>
              <w:t>HRPF5</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r w:rsidRPr="00B64020">
              <w:rPr>
                <w:rFonts w:eastAsia="Times New Roman" w:cs="Calibri" w:hint="eastAsia"/>
                <w:sz w:val="18"/>
                <w:szCs w:val="18"/>
              </w:rPr>
              <w:t>0.709</w:t>
            </w: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tcPr>
          <w:p w:rsidR="004826D8" w:rsidRPr="00B64020" w:rsidRDefault="004826D8" w:rsidP="004826D8">
            <w:pPr>
              <w:jc w:val="right"/>
              <w:rPr>
                <w:rFonts w:eastAsia="Times New Roman"/>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4826D8" w:rsidRDefault="004826D8" w:rsidP="004826D8">
            <w:pPr>
              <w:rPr>
                <w:rFonts w:eastAsia="Times New Roman"/>
                <w:sz w:val="18"/>
                <w:szCs w:val="18"/>
              </w:rPr>
            </w:pPr>
            <w:r w:rsidRPr="00B64020">
              <w:rPr>
                <w:rFonts w:eastAsia="Times New Roman" w:cs="Calibri" w:hint="eastAsia"/>
                <w:b/>
                <w:sz w:val="18"/>
                <w:szCs w:val="18"/>
              </w:rPr>
              <w:t>Equitable</w:t>
            </w:r>
            <w:r>
              <w:rPr>
                <w:rFonts w:eastAsia="Times New Roman" w:cs="Calibri"/>
                <w:b/>
                <w:sz w:val="18"/>
                <w:szCs w:val="18"/>
              </w:rPr>
              <w:t xml:space="preserve">                                          </w:t>
            </w:r>
            <w:r>
              <w:rPr>
                <w:rFonts w:eastAsia="Times New Roman" w:cs="Calibri"/>
                <w:sz w:val="18"/>
                <w:szCs w:val="18"/>
              </w:rPr>
              <w:t>HRPE1</w:t>
            </w:r>
          </w:p>
          <w:p w:rsidR="004826D8" w:rsidRPr="00B64020" w:rsidRDefault="004826D8" w:rsidP="004826D8">
            <w:pPr>
              <w:jc w:val="right"/>
              <w:rPr>
                <w:rFonts w:eastAsia="Times New Roman"/>
                <w:sz w:val="18"/>
                <w:szCs w:val="18"/>
              </w:rPr>
            </w:pPr>
            <w:r w:rsidRPr="00B64020">
              <w:rPr>
                <w:rFonts w:eastAsia="Times New Roman" w:cs="Calibri" w:hint="eastAsia"/>
                <w:sz w:val="18"/>
                <w:szCs w:val="18"/>
              </w:rPr>
              <w:t>HRPE</w:t>
            </w:r>
            <w:r>
              <w:rPr>
                <w:rFonts w:eastAsia="Times New Roman" w:cs="Calibri"/>
                <w:sz w:val="18"/>
                <w:szCs w:val="18"/>
              </w:rPr>
              <w:t>2</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Default="004826D8" w:rsidP="004826D8">
            <w:pPr>
              <w:rPr>
                <w:rFonts w:eastAsia="Times New Roman" w:cs="Calibri"/>
                <w:sz w:val="18"/>
                <w:szCs w:val="18"/>
              </w:rPr>
            </w:pPr>
            <w:r w:rsidRPr="00B64020">
              <w:rPr>
                <w:rFonts w:eastAsia="Times New Roman" w:cs="Calibri" w:hint="eastAsia"/>
                <w:sz w:val="18"/>
                <w:szCs w:val="18"/>
              </w:rPr>
              <w:t>0.813</w:t>
            </w:r>
          </w:p>
          <w:p w:rsidR="009B3E23" w:rsidRPr="00B64020" w:rsidRDefault="009B3E23" w:rsidP="004826D8">
            <w:pPr>
              <w:rPr>
                <w:rFonts w:eastAsia="Times New Roman"/>
                <w:sz w:val="18"/>
                <w:szCs w:val="18"/>
              </w:rPr>
            </w:pPr>
            <w:r>
              <w:rPr>
                <w:rFonts w:eastAsia="Times New Roman" w:cs="Calibri"/>
                <w:sz w:val="18"/>
                <w:szCs w:val="18"/>
              </w:rPr>
              <w:t>0.808</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HRPE</w:t>
            </w:r>
            <w:r>
              <w:rPr>
                <w:rFonts w:eastAsia="Times New Roman" w:cs="Calibri"/>
                <w:sz w:val="18"/>
                <w:szCs w:val="18"/>
              </w:rPr>
              <w:t>3</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9B3E23" w:rsidP="004826D8">
            <w:pPr>
              <w:rPr>
                <w:rFonts w:eastAsia="Times New Roman"/>
                <w:sz w:val="18"/>
                <w:szCs w:val="18"/>
              </w:rPr>
            </w:pPr>
            <w:r>
              <w:rPr>
                <w:rFonts w:eastAsia="Times New Roman" w:cs="Calibri" w:hint="eastAsia"/>
                <w:sz w:val="18"/>
                <w:szCs w:val="18"/>
              </w:rPr>
              <w:t>0.8</w:t>
            </w:r>
            <w:r>
              <w:rPr>
                <w:rFonts w:eastAsia="Times New Roman" w:cs="Calibri"/>
                <w:sz w:val="18"/>
                <w:szCs w:val="18"/>
              </w:rPr>
              <w:t>55</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Pr>
                <w:rFonts w:eastAsia="Times New Roman" w:cs="Calibri" w:hint="eastAsia"/>
                <w:sz w:val="18"/>
                <w:szCs w:val="18"/>
              </w:rPr>
              <w:t>HRPE</w:t>
            </w:r>
            <w:r>
              <w:rPr>
                <w:rFonts w:eastAsia="Times New Roman" w:cs="Calibri"/>
                <w:sz w:val="18"/>
                <w:szCs w:val="18"/>
              </w:rPr>
              <w:t>4</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9B3E23" w:rsidP="004826D8">
            <w:pPr>
              <w:rPr>
                <w:rFonts w:eastAsia="Times New Roman"/>
                <w:sz w:val="18"/>
                <w:szCs w:val="18"/>
              </w:rPr>
            </w:pPr>
            <w:r>
              <w:rPr>
                <w:rFonts w:eastAsia="Times New Roman" w:cs="Calibri" w:hint="eastAsia"/>
                <w:sz w:val="18"/>
                <w:szCs w:val="18"/>
              </w:rPr>
              <w:t>0.</w:t>
            </w:r>
            <w:r>
              <w:rPr>
                <w:rFonts w:eastAsia="Times New Roman" w:cs="Calibri"/>
                <w:sz w:val="18"/>
                <w:szCs w:val="18"/>
              </w:rPr>
              <w:t>775</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Pr>
                <w:rFonts w:eastAsia="Times New Roman" w:cs="Calibri" w:hint="eastAsia"/>
                <w:sz w:val="18"/>
                <w:szCs w:val="18"/>
              </w:rPr>
              <w:t>HRPE</w:t>
            </w:r>
            <w:r>
              <w:rPr>
                <w:rFonts w:eastAsia="Times New Roman" w:cs="Calibri"/>
                <w:sz w:val="18"/>
                <w:szCs w:val="18"/>
              </w:rPr>
              <w:t>5</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9B3E23" w:rsidP="004826D8">
            <w:pPr>
              <w:rPr>
                <w:rFonts w:eastAsia="Times New Roman"/>
                <w:sz w:val="18"/>
                <w:szCs w:val="18"/>
              </w:rPr>
            </w:pPr>
            <w:r>
              <w:rPr>
                <w:rFonts w:eastAsia="Times New Roman" w:cs="Calibri" w:hint="eastAsia"/>
                <w:sz w:val="18"/>
                <w:szCs w:val="18"/>
              </w:rPr>
              <w:t>0.7</w:t>
            </w:r>
            <w:r>
              <w:rPr>
                <w:rFonts w:eastAsia="Times New Roman" w:cs="Calibri"/>
                <w:sz w:val="18"/>
                <w:szCs w:val="18"/>
              </w:rPr>
              <w:t>24</w:t>
            </w: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hideMark/>
          </w:tcPr>
          <w:p w:rsidR="004826D8" w:rsidRPr="00B64020" w:rsidRDefault="004826D8" w:rsidP="004826D8">
            <w:pPr>
              <w:tabs>
                <w:tab w:val="center" w:pos="1202"/>
              </w:tabs>
              <w:rPr>
                <w:rFonts w:eastAsia="Times New Roman"/>
                <w:b/>
                <w:sz w:val="18"/>
                <w:szCs w:val="18"/>
              </w:rPr>
            </w:pPr>
            <w:r w:rsidRPr="00B64020">
              <w:rPr>
                <w:rFonts w:eastAsia="Times New Roman" w:cs="Calibri" w:hint="eastAsia"/>
                <w:b/>
                <w:sz w:val="18"/>
                <w:szCs w:val="18"/>
              </w:rPr>
              <w:t>Trust</w:t>
            </w:r>
            <w:r w:rsidRPr="00B64020">
              <w:rPr>
                <w:rFonts w:eastAsia="Times New Roman" w:hint="eastAsia"/>
                <w:b/>
                <w:sz w:val="18"/>
                <w:szCs w:val="18"/>
              </w:rPr>
              <w:tab/>
            </w:r>
          </w:p>
        </w:tc>
        <w:tc>
          <w:tcPr>
            <w:tcW w:w="3135"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b/>
                <w:sz w:val="18"/>
                <w:szCs w:val="18"/>
              </w:rPr>
            </w:pPr>
          </w:p>
        </w:tc>
        <w:tc>
          <w:tcPr>
            <w:tcW w:w="1898"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center"/>
              <w:rPr>
                <w:rFonts w:eastAsia="Times New Roman"/>
                <w:b/>
                <w:sz w:val="18"/>
                <w:szCs w:val="18"/>
              </w:rPr>
            </w:pPr>
            <w:r w:rsidRPr="00B64020">
              <w:rPr>
                <w:rFonts w:eastAsia="Times New Roman" w:cs="Calibri" w:hint="eastAsia"/>
                <w:b/>
                <w:sz w:val="18"/>
                <w:szCs w:val="18"/>
              </w:rPr>
              <w:t>0.884</w:t>
            </w: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IT8</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0.847</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IT9</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0.826</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IT10</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0.823</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IT11</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0.754</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IT12</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0.868</w:t>
            </w: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hideMark/>
          </w:tcPr>
          <w:p w:rsidR="004826D8" w:rsidRPr="00B64020" w:rsidRDefault="004826D8" w:rsidP="004826D8">
            <w:pPr>
              <w:rPr>
                <w:rFonts w:eastAsia="Times New Roman"/>
                <w:b/>
                <w:sz w:val="18"/>
                <w:szCs w:val="18"/>
              </w:rPr>
            </w:pPr>
            <w:r w:rsidRPr="00B64020">
              <w:rPr>
                <w:rFonts w:eastAsia="Times New Roman" w:cs="Calibri" w:hint="eastAsia"/>
                <w:b/>
                <w:sz w:val="18"/>
                <w:szCs w:val="18"/>
              </w:rPr>
              <w:t>Employee Performance</w:t>
            </w:r>
          </w:p>
        </w:tc>
        <w:tc>
          <w:tcPr>
            <w:tcW w:w="3135"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b/>
                <w:sz w:val="18"/>
                <w:szCs w:val="18"/>
              </w:rPr>
            </w:pPr>
          </w:p>
        </w:tc>
        <w:tc>
          <w:tcPr>
            <w:tcW w:w="1898"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center"/>
              <w:rPr>
                <w:rFonts w:eastAsia="Times New Roman"/>
                <w:b/>
                <w:sz w:val="18"/>
                <w:szCs w:val="18"/>
              </w:rPr>
            </w:pPr>
            <w:r w:rsidRPr="00B64020">
              <w:rPr>
                <w:rFonts w:eastAsia="Times New Roman" w:cs="Calibri" w:hint="eastAsia"/>
                <w:b/>
                <w:sz w:val="18"/>
                <w:szCs w:val="18"/>
              </w:rPr>
              <w:t>0.899</w:t>
            </w: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b/>
                <w:sz w:val="18"/>
                <w:szCs w:val="18"/>
              </w:rPr>
            </w:pPr>
            <w:r w:rsidRPr="00B64020">
              <w:rPr>
                <w:rFonts w:eastAsia="Times New Roman" w:cs="Calibri" w:hint="eastAsia"/>
                <w:b/>
                <w:sz w:val="18"/>
                <w:szCs w:val="18"/>
              </w:rPr>
              <w:t>Commitment</w:t>
            </w:r>
          </w:p>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EPC2</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p w:rsidR="004826D8" w:rsidRPr="00B64020" w:rsidRDefault="004826D8" w:rsidP="004826D8">
            <w:pPr>
              <w:rPr>
                <w:rFonts w:eastAsia="Times New Roman"/>
                <w:sz w:val="18"/>
                <w:szCs w:val="18"/>
              </w:rPr>
            </w:pPr>
            <w:r w:rsidRPr="00B64020">
              <w:rPr>
                <w:rFonts w:eastAsia="Times New Roman" w:cs="Calibri" w:hint="eastAsia"/>
                <w:sz w:val="18"/>
                <w:szCs w:val="18"/>
              </w:rPr>
              <w:t>0.804</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EPC3</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0.855</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EPC4</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0.867</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EPC5</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0.802</w:t>
            </w: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tcPr>
          <w:p w:rsidR="004826D8" w:rsidRPr="00B64020" w:rsidRDefault="004826D8" w:rsidP="004826D8">
            <w:pPr>
              <w:rPr>
                <w:rFonts w:eastAsia="Times New Roman"/>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b/>
                <w:sz w:val="18"/>
                <w:szCs w:val="18"/>
              </w:rPr>
            </w:pPr>
            <w:r w:rsidRPr="00B64020">
              <w:rPr>
                <w:rFonts w:eastAsia="Times New Roman" w:cs="Calibri" w:hint="eastAsia"/>
                <w:b/>
                <w:sz w:val="18"/>
                <w:szCs w:val="18"/>
              </w:rPr>
              <w:t>Engagement</w:t>
            </w:r>
          </w:p>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EPE1</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p w:rsidR="004826D8" w:rsidRPr="00B64020" w:rsidRDefault="004826D8" w:rsidP="004826D8">
            <w:pPr>
              <w:rPr>
                <w:rFonts w:eastAsia="Times New Roman"/>
                <w:sz w:val="18"/>
                <w:szCs w:val="18"/>
              </w:rPr>
            </w:pPr>
            <w:r w:rsidRPr="00B64020">
              <w:rPr>
                <w:rFonts w:eastAsia="Times New Roman" w:cs="Calibri" w:hint="eastAsia"/>
                <w:sz w:val="18"/>
                <w:szCs w:val="18"/>
              </w:rPr>
              <w:t>0.836</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EPE2</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0.835</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EPE3</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0.876</w:t>
            </w: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tcPr>
          <w:p w:rsidR="004826D8" w:rsidRPr="00B64020" w:rsidRDefault="004826D8" w:rsidP="004826D8">
            <w:pPr>
              <w:rPr>
                <w:rFonts w:eastAsia="Times New Roman"/>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b/>
                <w:sz w:val="18"/>
                <w:szCs w:val="18"/>
              </w:rPr>
            </w:pPr>
            <w:r w:rsidRPr="00B64020">
              <w:rPr>
                <w:rFonts w:eastAsia="Times New Roman" w:cs="Calibri" w:hint="eastAsia"/>
                <w:b/>
                <w:sz w:val="18"/>
                <w:szCs w:val="18"/>
              </w:rPr>
              <w:t>Productivity</w:t>
            </w:r>
          </w:p>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EPP1</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p w:rsidR="004826D8" w:rsidRPr="00B64020" w:rsidRDefault="004826D8" w:rsidP="004826D8">
            <w:pPr>
              <w:rPr>
                <w:rFonts w:eastAsia="Times New Roman"/>
                <w:sz w:val="18"/>
                <w:szCs w:val="18"/>
              </w:rPr>
            </w:pPr>
            <w:r w:rsidRPr="00B64020">
              <w:rPr>
                <w:rFonts w:eastAsia="Times New Roman" w:cs="Calibri" w:hint="eastAsia"/>
                <w:sz w:val="18"/>
                <w:szCs w:val="18"/>
              </w:rPr>
              <w:t>0.750</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EPP2</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0.694</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EPP4</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0.716</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EPP5</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0.842</w:t>
            </w:r>
          </w:p>
        </w:tc>
      </w:tr>
      <w:tr w:rsidR="004826D8" w:rsidRPr="00B64020" w:rsidTr="00B64020">
        <w:trPr>
          <w:jc w:val="center"/>
        </w:trPr>
        <w:tc>
          <w:tcPr>
            <w:tcW w:w="2620"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b/>
                <w:sz w:val="18"/>
                <w:szCs w:val="18"/>
              </w:rPr>
            </w:pPr>
            <w:r w:rsidRPr="00B64020">
              <w:rPr>
                <w:rFonts w:eastAsia="Times New Roman" w:cs="Calibri" w:hint="eastAsia"/>
                <w:b/>
                <w:sz w:val="18"/>
                <w:szCs w:val="18"/>
              </w:rPr>
              <w:t>Effectiveness</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b/>
                <w:sz w:val="18"/>
                <w:szCs w:val="18"/>
              </w:rPr>
            </w:pPr>
          </w:p>
        </w:tc>
        <w:tc>
          <w:tcPr>
            <w:tcW w:w="1697"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rPr>
                <w:rFonts w:eastAsia="Times New Roman"/>
                <w:sz w:val="18"/>
                <w:szCs w:val="18"/>
              </w:rPr>
            </w:pPr>
          </w:p>
        </w:tc>
      </w:tr>
      <w:tr w:rsidR="004826D8" w:rsidRPr="00B64020" w:rsidTr="00B64020">
        <w:trPr>
          <w:jc w:val="center"/>
        </w:trPr>
        <w:tc>
          <w:tcPr>
            <w:tcW w:w="2620" w:type="dxa"/>
            <w:vMerge w:val="restart"/>
            <w:tcBorders>
              <w:top w:val="nil"/>
              <w:left w:val="single" w:sz="4" w:space="0" w:color="000000"/>
              <w:bottom w:val="single" w:sz="4" w:space="0" w:color="000000"/>
              <w:right w:val="single" w:sz="4" w:space="0" w:color="000000"/>
            </w:tcBorders>
          </w:tcPr>
          <w:p w:rsidR="004826D8" w:rsidRPr="00B64020" w:rsidRDefault="004826D8" w:rsidP="004826D8">
            <w:pPr>
              <w:rPr>
                <w:rFonts w:eastAsia="Times New Roman"/>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EPEF2</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0.673</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EPEF3</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0.738</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EPEF4</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0.767</w:t>
            </w:r>
          </w:p>
        </w:tc>
      </w:tr>
      <w:tr w:rsidR="004826D8" w:rsidRPr="00B64020" w:rsidTr="00B64020">
        <w:trPr>
          <w:jc w:val="center"/>
        </w:trPr>
        <w:tc>
          <w:tcPr>
            <w:tcW w:w="0" w:type="auto"/>
            <w:vMerge/>
            <w:tcBorders>
              <w:top w:val="nil"/>
              <w:left w:val="single" w:sz="4" w:space="0" w:color="000000"/>
              <w:bottom w:val="single" w:sz="4" w:space="0" w:color="000000"/>
              <w:right w:val="single" w:sz="4" w:space="0" w:color="000000"/>
            </w:tcBorders>
            <w:vAlign w:val="center"/>
            <w:hideMark/>
          </w:tcPr>
          <w:p w:rsidR="004826D8" w:rsidRPr="00B64020" w:rsidRDefault="004826D8" w:rsidP="004826D8">
            <w:pPr>
              <w:rPr>
                <w:b/>
                <w:sz w:val="18"/>
                <w:szCs w:val="18"/>
              </w:rPr>
            </w:pPr>
          </w:p>
        </w:tc>
        <w:tc>
          <w:tcPr>
            <w:tcW w:w="3135"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jc w:val="right"/>
              <w:rPr>
                <w:rFonts w:eastAsia="Times New Roman"/>
                <w:sz w:val="18"/>
                <w:szCs w:val="18"/>
              </w:rPr>
            </w:pPr>
            <w:r w:rsidRPr="00B64020">
              <w:rPr>
                <w:rFonts w:eastAsia="Times New Roman" w:cs="Calibri" w:hint="eastAsia"/>
                <w:sz w:val="18"/>
                <w:szCs w:val="18"/>
              </w:rPr>
              <w:t>EPEF5</w:t>
            </w:r>
          </w:p>
        </w:tc>
        <w:tc>
          <w:tcPr>
            <w:tcW w:w="1898" w:type="dxa"/>
            <w:tcBorders>
              <w:top w:val="single" w:sz="4" w:space="0" w:color="000000"/>
              <w:left w:val="single" w:sz="4" w:space="0" w:color="000000"/>
              <w:bottom w:val="single" w:sz="4" w:space="0" w:color="000000"/>
              <w:right w:val="single" w:sz="4" w:space="0" w:color="000000"/>
            </w:tcBorders>
          </w:tcPr>
          <w:p w:rsidR="004826D8" w:rsidRPr="00B64020" w:rsidRDefault="004826D8" w:rsidP="004826D8">
            <w:pPr>
              <w:jc w:val="center"/>
              <w:rPr>
                <w:rFonts w:eastAsia="Times New Roman"/>
                <w:sz w:val="18"/>
                <w:szCs w:val="18"/>
              </w:rPr>
            </w:pPr>
          </w:p>
        </w:tc>
        <w:tc>
          <w:tcPr>
            <w:tcW w:w="1697" w:type="dxa"/>
            <w:tcBorders>
              <w:top w:val="single" w:sz="4" w:space="0" w:color="000000"/>
              <w:left w:val="single" w:sz="4" w:space="0" w:color="000000"/>
              <w:bottom w:val="single" w:sz="4" w:space="0" w:color="000000"/>
              <w:right w:val="single" w:sz="4" w:space="0" w:color="000000"/>
            </w:tcBorders>
            <w:hideMark/>
          </w:tcPr>
          <w:p w:rsidR="004826D8" w:rsidRPr="00B64020" w:rsidRDefault="004826D8" w:rsidP="004826D8">
            <w:pPr>
              <w:rPr>
                <w:rFonts w:eastAsia="Times New Roman"/>
                <w:sz w:val="18"/>
                <w:szCs w:val="18"/>
              </w:rPr>
            </w:pPr>
            <w:r w:rsidRPr="00B64020">
              <w:rPr>
                <w:rFonts w:eastAsia="Times New Roman" w:cs="Calibri" w:hint="eastAsia"/>
                <w:sz w:val="18"/>
                <w:szCs w:val="18"/>
              </w:rPr>
              <w:t>0.733</w:t>
            </w:r>
          </w:p>
        </w:tc>
      </w:tr>
    </w:tbl>
    <w:p w:rsidR="00B64020" w:rsidRPr="00B64020" w:rsidRDefault="00D56561" w:rsidP="005123F2">
      <w:pPr>
        <w:spacing w:before="100" w:beforeAutospacing="1" w:line="360" w:lineRule="auto"/>
        <w:jc w:val="both"/>
        <w:rPr>
          <w:rFonts w:ascii="Times New Roman" w:eastAsia="Calibri" w:hAnsi="Times New Roman" w:cs="Times New Roman"/>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.3</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Convergent Validity and Discriminant Validity</w:t>
      </w:r>
      <w:r w:rsidR="005123F2">
        <w:rPr>
          <w:rFonts w:ascii="Times New Roman" w:eastAsia="Calibri" w:hAnsi="Times New Roman" w:cs="Times New Roman"/>
          <w:b/>
          <w:sz w:val="24"/>
          <w:szCs w:val="24"/>
        </w:rPr>
        <w:t xml:space="preserve">: </w:t>
      </w:r>
      <w:r w:rsidR="00B64020" w:rsidRPr="00B64020">
        <w:rPr>
          <w:rFonts w:ascii="Times New Roman" w:eastAsia="Calibri" w:hAnsi="Times New Roman" w:cs="Times New Roman"/>
          <w:sz w:val="24"/>
          <w:szCs w:val="24"/>
        </w:rPr>
        <w:t xml:space="preserve">Convergent and discriminant validity are key for PLS-SEM measurement model quality. The Fornell &amp; Larcker (1981) criterion is the accepted method for evaluating both, with Average Variance Extracted (AVE) as a strong metric for convergent validity; the square root of AVE for each construct must exceed its correlations with others. Results in Table 5.11 show satisfactory convergent and discriminant validity in the measurement model. Specifically, HR practices, trust, and performance surpassed their inter-construct correlations. Convergent validity test results indicate that all indicators for HR practices, performance, and trust have outer loading values over 0.5, showing strong relationships with the constructs and confirming their validity. </w:t>
      </w:r>
    </w:p>
    <w:p w:rsidR="00B64020" w:rsidRPr="00B64020" w:rsidRDefault="00B64020" w:rsidP="00AD35FE">
      <w:pPr>
        <w:spacing w:before="100" w:beforeAutospacing="1" w:line="360" w:lineRule="auto"/>
        <w:jc w:val="center"/>
        <w:rPr>
          <w:rFonts w:ascii="Times New Roman" w:eastAsia="Calibri" w:hAnsi="Times New Roman" w:cs="Times New Roman"/>
          <w:b/>
          <w:color w:val="000000"/>
          <w:sz w:val="24"/>
          <w:szCs w:val="24"/>
        </w:rPr>
      </w:pPr>
      <w:r w:rsidRPr="00B64020">
        <w:rPr>
          <w:rFonts w:ascii="Times New Roman" w:eastAsia="Calibri" w:hAnsi="Times New Roman" w:cs="Times New Roman"/>
          <w:b/>
          <w:color w:val="000000"/>
          <w:sz w:val="24"/>
          <w:szCs w:val="24"/>
        </w:rPr>
        <w:t xml:space="preserve">Table </w:t>
      </w:r>
      <w:r w:rsidRPr="006D5744">
        <w:rPr>
          <w:rFonts w:ascii="Times New Roman" w:eastAsia="Calibri" w:hAnsi="Times New Roman" w:cs="Times New Roman"/>
          <w:b/>
          <w:color w:val="000000"/>
          <w:sz w:val="24"/>
          <w:szCs w:val="24"/>
        </w:rPr>
        <w:t>6</w:t>
      </w:r>
      <w:r w:rsidR="006D5744">
        <w:rPr>
          <w:rFonts w:ascii="Times New Roman" w:eastAsia="Calibri" w:hAnsi="Times New Roman" w:cs="Times New Roman"/>
          <w:b/>
          <w:color w:val="000000"/>
          <w:sz w:val="24"/>
          <w:szCs w:val="24"/>
        </w:rPr>
        <w:t>:</w:t>
      </w:r>
      <w:r w:rsidRPr="006D5744">
        <w:rPr>
          <w:rFonts w:ascii="Times New Roman" w:eastAsia="Calibri" w:hAnsi="Times New Roman" w:cs="Times New Roman"/>
          <w:b/>
          <w:color w:val="000000"/>
          <w:sz w:val="24"/>
          <w:szCs w:val="24"/>
        </w:rPr>
        <w:t xml:space="preserve"> </w:t>
      </w:r>
      <w:r w:rsidRPr="00B64020">
        <w:rPr>
          <w:rFonts w:ascii="Times New Roman" w:eastAsia="Calibri" w:hAnsi="Times New Roman" w:cs="Times New Roman"/>
          <w:b/>
          <w:color w:val="000000"/>
          <w:sz w:val="24"/>
          <w:szCs w:val="24"/>
        </w:rPr>
        <w:t>Convergent and Discriminant Validity</w:t>
      </w:r>
    </w:p>
    <w:tbl>
      <w:tblPr>
        <w:tblW w:w="4450" w:type="pct"/>
        <w:jc w:val="center"/>
        <w:tblLook w:val="04A0" w:firstRow="1" w:lastRow="0" w:firstColumn="1" w:lastColumn="0" w:noHBand="0" w:noVBand="1"/>
      </w:tblPr>
      <w:tblGrid>
        <w:gridCol w:w="1012"/>
        <w:gridCol w:w="845"/>
        <w:gridCol w:w="845"/>
        <w:gridCol w:w="925"/>
        <w:gridCol w:w="845"/>
        <w:gridCol w:w="982"/>
        <w:gridCol w:w="968"/>
        <w:gridCol w:w="1012"/>
        <w:gridCol w:w="882"/>
      </w:tblGrid>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EPC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EPE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EPEF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EPP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HRPE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HRPF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HRPO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Trust </w:t>
            </w: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EPC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sz w:val="24"/>
                <w:szCs w:val="24"/>
              </w:rPr>
            </w:pPr>
            <w:r w:rsidRPr="00B64020">
              <w:rPr>
                <w:rFonts w:ascii="Times New Roman" w:eastAsia="SimSun" w:hAnsi="Times New Roman" w:cs="Times New Roman"/>
                <w:b/>
                <w:i/>
                <w:sz w:val="24"/>
                <w:szCs w:val="24"/>
              </w:rPr>
              <w:t>0.828</w:t>
            </w:r>
            <w:r w:rsidRPr="00B64020">
              <w:rPr>
                <w:rFonts w:ascii="Times New Roman" w:eastAsia="SimSun" w:hAnsi="Times New Roman" w:cs="Times New Roman"/>
                <w:b/>
                <w:sz w:val="24"/>
                <w:szCs w:val="24"/>
              </w:rPr>
              <w:t xml:space="preserve">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EPE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0.724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sz w:val="24"/>
                <w:szCs w:val="24"/>
              </w:rPr>
            </w:pPr>
            <w:r w:rsidRPr="00B64020">
              <w:rPr>
                <w:rFonts w:ascii="Times New Roman" w:eastAsia="SimSun" w:hAnsi="Times New Roman" w:cs="Times New Roman"/>
                <w:b/>
                <w:i/>
                <w:sz w:val="24"/>
                <w:szCs w:val="24"/>
              </w:rPr>
              <w:t>0.822</w:t>
            </w:r>
            <w:r w:rsidRPr="00B64020">
              <w:rPr>
                <w:rFonts w:ascii="Times New Roman" w:eastAsia="SimSun" w:hAnsi="Times New Roman" w:cs="Times New Roman"/>
                <w:b/>
                <w:sz w:val="24"/>
                <w:szCs w:val="24"/>
              </w:rPr>
              <w:t xml:space="preserve">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EPEF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0.245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0.255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i/>
                <w:sz w:val="24"/>
                <w:szCs w:val="24"/>
              </w:rPr>
            </w:pPr>
            <w:r w:rsidRPr="00B64020">
              <w:rPr>
                <w:rFonts w:ascii="Times New Roman" w:eastAsia="SimSun" w:hAnsi="Times New Roman" w:cs="Times New Roman"/>
                <w:b/>
                <w:i/>
                <w:sz w:val="24"/>
                <w:szCs w:val="24"/>
              </w:rPr>
              <w:t xml:space="preserve">0.719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EPP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0.200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0.233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0.509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i/>
                <w:sz w:val="24"/>
                <w:szCs w:val="24"/>
              </w:rPr>
            </w:pPr>
            <w:r w:rsidRPr="00B64020">
              <w:rPr>
                <w:rFonts w:ascii="Times New Roman" w:eastAsia="SimSun" w:hAnsi="Times New Roman" w:cs="Times New Roman"/>
                <w:b/>
                <w:i/>
                <w:sz w:val="24"/>
                <w:szCs w:val="24"/>
              </w:rPr>
              <w:t xml:space="preserve">0.728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HRPE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0.637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0.559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0.208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0.158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i/>
                <w:sz w:val="24"/>
                <w:szCs w:val="24"/>
              </w:rPr>
            </w:pPr>
            <w:r w:rsidRPr="00B64020">
              <w:rPr>
                <w:rFonts w:ascii="Times New Roman" w:eastAsia="SimSun" w:hAnsi="Times New Roman" w:cs="Times New Roman"/>
                <w:b/>
                <w:i/>
                <w:sz w:val="24"/>
                <w:szCs w:val="24"/>
              </w:rPr>
              <w:t xml:space="preserve">0.788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HRPF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0.582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0.533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0.195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0.137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0.638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i/>
                <w:sz w:val="24"/>
                <w:szCs w:val="24"/>
              </w:rPr>
            </w:pPr>
            <w:r w:rsidRPr="00B64020">
              <w:rPr>
                <w:rFonts w:ascii="Times New Roman" w:eastAsia="SimSun" w:hAnsi="Times New Roman" w:cs="Times New Roman"/>
                <w:b/>
                <w:i/>
                <w:sz w:val="24"/>
                <w:szCs w:val="24"/>
              </w:rPr>
              <w:t xml:space="preserve">0.731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HRPO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0.594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0.540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0.246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0.257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0.666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0.620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i/>
                <w:sz w:val="24"/>
                <w:szCs w:val="24"/>
              </w:rPr>
            </w:pPr>
            <w:r w:rsidRPr="00B64020">
              <w:rPr>
                <w:rFonts w:ascii="Times New Roman" w:eastAsia="SimSun" w:hAnsi="Times New Roman" w:cs="Times New Roman"/>
                <w:b/>
                <w:i/>
                <w:sz w:val="24"/>
                <w:szCs w:val="24"/>
              </w:rPr>
              <w:t xml:space="preserve">0.779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tcPr>
          <w:p w:rsidR="00B64020" w:rsidRPr="00B64020" w:rsidRDefault="00B64020" w:rsidP="00AD35FE">
            <w:pPr>
              <w:spacing w:after="0" w:line="256" w:lineRule="auto"/>
              <w:rPr>
                <w:rFonts w:ascii="Calibri" w:eastAsia="SimSun" w:hAnsi="Calibri" w:cs="Times New Roman"/>
              </w:rPr>
            </w:pPr>
          </w:p>
        </w:tc>
      </w:tr>
      <w:tr w:rsidR="00B64020" w:rsidRPr="00B64020" w:rsidTr="00B640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rPr>
                <w:rFonts w:ascii="Times New Roman" w:eastAsia="SimSun" w:hAnsi="Times New Roman" w:cs="Times New Roman"/>
                <w:b/>
                <w:bCs/>
                <w:sz w:val="24"/>
                <w:szCs w:val="24"/>
              </w:rPr>
            </w:pPr>
            <w:r w:rsidRPr="00B64020">
              <w:rPr>
                <w:rFonts w:ascii="Times New Roman" w:eastAsia="SimSun" w:hAnsi="Times New Roman" w:cs="Times New Roman"/>
                <w:b/>
                <w:bCs/>
                <w:sz w:val="24"/>
                <w:szCs w:val="24"/>
              </w:rPr>
              <w:t xml:space="preserve">Trust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0.573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0.527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0.130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0.166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0.536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0.509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sz w:val="24"/>
                <w:szCs w:val="24"/>
              </w:rPr>
            </w:pPr>
            <w:r w:rsidRPr="00B64020">
              <w:rPr>
                <w:rFonts w:ascii="Times New Roman" w:eastAsia="SimSun" w:hAnsi="Times New Roman" w:cs="Times New Roman"/>
                <w:sz w:val="24"/>
                <w:szCs w:val="24"/>
              </w:rPr>
              <w:t xml:space="preserve">0.547 </w:t>
            </w:r>
          </w:p>
        </w:tc>
        <w:tc>
          <w:tcPr>
            <w:tcW w:w="0" w:type="auto"/>
            <w:tcBorders>
              <w:top w:val="single" w:sz="6" w:space="0" w:color="000000"/>
              <w:left w:val="nil"/>
              <w:bottom w:val="single" w:sz="6" w:space="0" w:color="000000"/>
              <w:right w:val="single" w:sz="6" w:space="0" w:color="000000"/>
            </w:tcBorders>
            <w:tcMar>
              <w:top w:w="0" w:type="dxa"/>
              <w:left w:w="120" w:type="dxa"/>
              <w:bottom w:w="0" w:type="dxa"/>
              <w:right w:w="120" w:type="dxa"/>
            </w:tcMar>
            <w:vAlign w:val="center"/>
            <w:hideMark/>
          </w:tcPr>
          <w:p w:rsidR="00B64020" w:rsidRPr="00B64020" w:rsidRDefault="00B64020" w:rsidP="00AD35FE">
            <w:pPr>
              <w:spacing w:after="0" w:line="256" w:lineRule="auto"/>
              <w:jc w:val="right"/>
              <w:rPr>
                <w:rFonts w:ascii="Times New Roman" w:eastAsia="SimSun" w:hAnsi="Times New Roman" w:cs="Times New Roman"/>
                <w:b/>
                <w:i/>
                <w:sz w:val="24"/>
                <w:szCs w:val="24"/>
              </w:rPr>
            </w:pPr>
            <w:r w:rsidRPr="00B64020">
              <w:rPr>
                <w:rFonts w:ascii="Times New Roman" w:eastAsia="SimSun" w:hAnsi="Times New Roman" w:cs="Times New Roman"/>
                <w:b/>
                <w:i/>
                <w:sz w:val="24"/>
                <w:szCs w:val="24"/>
              </w:rPr>
              <w:t xml:space="preserve">0.766 </w:t>
            </w:r>
          </w:p>
        </w:tc>
      </w:tr>
    </w:tbl>
    <w:p w:rsidR="00B64020" w:rsidRPr="00B64020" w:rsidRDefault="00B64020" w:rsidP="00B64020">
      <w:pPr>
        <w:spacing w:before="100" w:beforeAutospacing="1" w:after="0" w:line="256" w:lineRule="auto"/>
        <w:jc w:val="both"/>
        <w:rPr>
          <w:rFonts w:ascii="Times New Roman" w:eastAsia="Calibri" w:hAnsi="Times New Roman" w:cs="Times New Roman"/>
        </w:rPr>
      </w:pPr>
      <w:r w:rsidRPr="00B64020">
        <w:rPr>
          <w:rFonts w:ascii="Times New Roman" w:eastAsia="Calibri" w:hAnsi="Times New Roman" w:cs="Times New Roman"/>
        </w:rPr>
        <w:t xml:space="preserve"> </w:t>
      </w:r>
      <w:r w:rsidR="00626161">
        <w:rPr>
          <w:rFonts w:ascii="Times New Roman" w:eastAsia="Calibri" w:hAnsi="Times New Roman" w:cs="Times New Roman"/>
        </w:rPr>
        <w:tab/>
      </w:r>
      <w:r w:rsidRPr="00B64020">
        <w:rPr>
          <w:rFonts w:ascii="Times New Roman" w:eastAsia="Calibri" w:hAnsi="Times New Roman" w:cs="Times New Roman"/>
        </w:rPr>
        <w:t xml:space="preserve">The values of AVE shown in bold in the diagonal and non-diagonal positions are the latent </w:t>
      </w:r>
      <w:r w:rsidRPr="00B64020">
        <w:rPr>
          <w:rFonts w:ascii="Times New Roman" w:eastAsia="Calibri" w:hAnsi="Times New Roman" w:cs="Times New Roman"/>
        </w:rPr>
        <w:tab/>
        <w:t>elements of the latent-variable correlations (LVC).</w:t>
      </w:r>
    </w:p>
    <w:p w:rsidR="00B64020" w:rsidRPr="005123F2" w:rsidRDefault="005123F2" w:rsidP="00AD35FE">
      <w:pPr>
        <w:spacing w:before="100" w:beforeAutospacing="1" w:after="0" w:line="256" w:lineRule="auto"/>
        <w:jc w:val="both"/>
        <w:rPr>
          <w:rFonts w:ascii="Times New Roman" w:eastAsia="Calibri" w:hAnsi="Times New Roman" w:cs="Times New Roman"/>
          <w:b/>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.4</w:t>
      </w:r>
      <w:r w:rsidR="00B64020" w:rsidRPr="005123F2">
        <w:rPr>
          <w:rFonts w:ascii="Times New Roman" w:eastAsia="Calibri" w:hAnsi="Times New Roman" w:cs="Times New Roman"/>
          <w:b/>
          <w:sz w:val="24"/>
          <w:szCs w:val="24"/>
        </w:rPr>
        <w:tab/>
        <w:t>Evaluation of the Structural Model in PLS-SEM</w:t>
      </w:r>
    </w:p>
    <w:p w:rsidR="00B64020" w:rsidRPr="00B64020" w:rsidRDefault="00B64020" w:rsidP="00B64020">
      <w:pPr>
        <w:spacing w:before="100" w:beforeAutospacing="1" w:line="360" w:lineRule="auto"/>
        <w:jc w:val="center"/>
        <w:rPr>
          <w:rFonts w:ascii="Times New Roman" w:eastAsia="Calibri" w:hAnsi="Times New Roman" w:cs="Times New Roman"/>
          <w:sz w:val="24"/>
          <w:szCs w:val="24"/>
        </w:rPr>
      </w:pPr>
      <w:r w:rsidRPr="00B64020">
        <w:rPr>
          <w:rFonts w:ascii="Calibri" w:eastAsia="Times New Roman" w:hAnsi="Calibri" w:cs="Times New Roman"/>
          <w:noProof/>
        </w:rPr>
        <w:drawing>
          <wp:inline distT="0" distB="0" distL="0" distR="0" wp14:anchorId="0CEF1A12" wp14:editId="70707A5A">
            <wp:extent cx="5962650" cy="3409950"/>
            <wp:effectExtent l="0" t="0" r="0" b="0"/>
            <wp:docPr id="22" name="Picture 22" descr="C:\Users\LYDIAM~1\AppData\Local\Temp\ksohtml11084\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YDIAM~1\AppData\Local\Temp\ksohtml11084\wps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409950"/>
                    </a:xfrm>
                    <a:prstGeom prst="rect">
                      <a:avLst/>
                    </a:prstGeom>
                    <a:noFill/>
                    <a:ln>
                      <a:noFill/>
                    </a:ln>
                  </pic:spPr>
                </pic:pic>
              </a:graphicData>
            </a:graphic>
          </wp:inline>
        </w:drawing>
      </w:r>
      <w:r w:rsidRPr="00B64020">
        <w:rPr>
          <w:rFonts w:ascii="Times New Roman" w:eastAsia="Calibri" w:hAnsi="Times New Roman" w:cs="Times New Roman"/>
          <w:sz w:val="24"/>
          <w:szCs w:val="24"/>
        </w:rPr>
        <w:t xml:space="preserve"> </w:t>
      </w:r>
    </w:p>
    <w:p w:rsidR="00B64020" w:rsidRPr="00B64020" w:rsidRDefault="00B64020" w:rsidP="00B64020">
      <w:pPr>
        <w:spacing w:before="100" w:beforeAutospacing="1" w:line="360" w:lineRule="auto"/>
        <w:jc w:val="both"/>
        <w:rPr>
          <w:rFonts w:ascii="Times New Roman" w:eastAsia="Calibri" w:hAnsi="Times New Roman" w:cs="Times New Roman"/>
          <w:b/>
          <w:sz w:val="24"/>
          <w:szCs w:val="24"/>
        </w:rPr>
      </w:pPr>
      <w:r w:rsidRPr="00B64020">
        <w:rPr>
          <w:rFonts w:ascii="Times New Roman" w:eastAsia="Calibri" w:hAnsi="Times New Roman" w:cs="Times New Roman"/>
          <w:b/>
          <w:sz w:val="24"/>
          <w:szCs w:val="24"/>
        </w:rPr>
        <w:t>Figure 5: Structural Model Estimation</w:t>
      </w:r>
    </w:p>
    <w:p w:rsidR="00B64020" w:rsidRPr="00B64020" w:rsidRDefault="00BE6B90" w:rsidP="00B64020">
      <w:pPr>
        <w:spacing w:before="100" w:beforeAutospacing="1" w:after="0" w:line="360" w:lineRule="auto"/>
        <w:jc w:val="both"/>
        <w:rPr>
          <w:rFonts w:ascii="Times New Roman" w:eastAsia="Calibri" w:hAnsi="Times New Roman" w:cs="Times New Roman"/>
          <w:color w:val="000000"/>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.5</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Collinearity Assessment</w:t>
      </w:r>
      <w:r w:rsidR="006D5744" w:rsidRPr="005123F2">
        <w:rPr>
          <w:rFonts w:ascii="Times New Roman" w:eastAsia="Calibri" w:hAnsi="Times New Roman" w:cs="Times New Roman"/>
          <w:b/>
          <w:sz w:val="24"/>
          <w:szCs w:val="24"/>
        </w:rPr>
        <w:t>:</w:t>
      </w:r>
      <w:r w:rsidR="006D5744">
        <w:rPr>
          <w:rFonts w:ascii="Times New Roman" w:eastAsia="Calibri" w:hAnsi="Times New Roman" w:cs="Times New Roman"/>
          <w:b/>
          <w:sz w:val="24"/>
          <w:szCs w:val="24"/>
        </w:rPr>
        <w:t xml:space="preserve"> </w:t>
      </w:r>
      <w:r w:rsidR="00B64020" w:rsidRPr="00B64020">
        <w:rPr>
          <w:rFonts w:ascii="Times New Roman" w:eastAsia="Calibri" w:hAnsi="Times New Roman" w:cs="Times New Roman"/>
          <w:sz w:val="24"/>
          <w:szCs w:val="24"/>
        </w:rPr>
        <w:t xml:space="preserve">A VIF of 5 or higher indicates problematic collinearity (Hair et al., 2013). </w:t>
      </w:r>
      <w:r w:rsidR="00B64020" w:rsidRPr="00B64020">
        <w:rPr>
          <w:rFonts w:ascii="Times New Roman" w:eastAsia="Calibri" w:hAnsi="Times New Roman" w:cs="Times New Roman"/>
          <w:color w:val="000000"/>
          <w:sz w:val="24"/>
          <w:szCs w:val="24"/>
        </w:rPr>
        <w:t>The collinearity assessment in Table 7 shows that all VIF values are below 5, indicating that multicollinearity is not an issue among predictors. VIFs below 5 are a good result, ensuring a healthy model regarding predictor collinearity.</w:t>
      </w:r>
    </w:p>
    <w:p w:rsidR="00B64020" w:rsidRPr="00B64020" w:rsidRDefault="00B64020" w:rsidP="00626161">
      <w:pPr>
        <w:spacing w:before="100" w:beforeAutospacing="1" w:after="0" w:line="360" w:lineRule="auto"/>
        <w:jc w:val="center"/>
        <w:rPr>
          <w:rFonts w:ascii="Times New Roman" w:eastAsia="Calibri" w:hAnsi="Times New Roman" w:cs="Times New Roman"/>
          <w:b/>
          <w:sz w:val="24"/>
          <w:szCs w:val="24"/>
        </w:rPr>
      </w:pPr>
      <w:r w:rsidRPr="00B64020">
        <w:rPr>
          <w:rFonts w:ascii="Times New Roman" w:eastAsia="Calibri" w:hAnsi="Times New Roman" w:cs="Times New Roman"/>
          <w:b/>
          <w:color w:val="000000"/>
          <w:sz w:val="24"/>
          <w:szCs w:val="24"/>
        </w:rPr>
        <w:t>Table 7</w:t>
      </w:r>
      <w:r w:rsidRPr="00B64020">
        <w:rPr>
          <w:rFonts w:ascii="Times New Roman" w:eastAsia="Calibri" w:hAnsi="Times New Roman" w:cs="Times New Roman"/>
          <w:b/>
          <w:sz w:val="24"/>
          <w:szCs w:val="24"/>
        </w:rPr>
        <w:t>: Collinearity Statistics Evaluation</w:t>
      </w:r>
    </w:p>
    <w:tbl>
      <w:tblPr>
        <w:tblStyle w:val="TableGrid"/>
        <w:tblW w:w="0" w:type="auto"/>
        <w:jc w:val="center"/>
        <w:tblInd w:w="0" w:type="dxa"/>
        <w:tblLook w:val="04A0" w:firstRow="1" w:lastRow="0" w:firstColumn="1" w:lastColumn="0" w:noHBand="0" w:noVBand="1"/>
      </w:tblPr>
      <w:tblGrid>
        <w:gridCol w:w="4045"/>
        <w:gridCol w:w="1170"/>
        <w:gridCol w:w="1980"/>
      </w:tblGrid>
      <w:tr w:rsidR="00B64020" w:rsidRPr="00B64020" w:rsidTr="00626161">
        <w:trPr>
          <w:jc w:val="center"/>
        </w:trPr>
        <w:tc>
          <w:tcPr>
            <w:tcW w:w="404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both"/>
              <w:rPr>
                <w:rFonts w:ascii="Times New Roman" w:hAnsi="Times New Roman"/>
                <w:b/>
                <w:sz w:val="24"/>
                <w:szCs w:val="24"/>
              </w:rPr>
            </w:pPr>
            <w:r w:rsidRPr="00B64020">
              <w:rPr>
                <w:rFonts w:ascii="Times New Roman" w:eastAsia="Times New Roman" w:hAnsi="Times New Roman" w:hint="eastAsia"/>
                <w:b/>
                <w:sz w:val="24"/>
                <w:szCs w:val="24"/>
              </w:rPr>
              <w:t>Construct</w:t>
            </w:r>
          </w:p>
        </w:tc>
        <w:tc>
          <w:tcPr>
            <w:tcW w:w="1170" w:type="dxa"/>
            <w:tcBorders>
              <w:top w:val="single" w:sz="4" w:space="0" w:color="000000"/>
              <w:left w:val="single" w:sz="4" w:space="0" w:color="000000"/>
              <w:bottom w:val="single" w:sz="4" w:space="0" w:color="000000"/>
              <w:right w:val="single" w:sz="4" w:space="0" w:color="000000"/>
            </w:tcBorders>
            <w:hideMark/>
          </w:tcPr>
          <w:p w:rsidR="00B64020" w:rsidRDefault="00B64020" w:rsidP="00AD35FE">
            <w:pPr>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VIF</w:t>
            </w:r>
          </w:p>
          <w:p w:rsidR="006D5744" w:rsidRPr="00B64020" w:rsidRDefault="006D5744" w:rsidP="00AD35FE">
            <w:pPr>
              <w:jc w:val="center"/>
              <w:rPr>
                <w:rFonts w:ascii="Times New Roman" w:eastAsia="Times New Roman" w:hAnsi="Times New Roman"/>
                <w:b/>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Collinearity Problem?</w:t>
            </w:r>
          </w:p>
          <w:p w:rsidR="00B64020" w:rsidRPr="00B64020" w:rsidRDefault="00B64020" w:rsidP="00AD35FE">
            <w:pPr>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(VIF&gt;5?)</w:t>
            </w:r>
          </w:p>
        </w:tc>
      </w:tr>
      <w:tr w:rsidR="00B64020" w:rsidRPr="00B64020" w:rsidTr="00626161">
        <w:trPr>
          <w:jc w:val="center"/>
        </w:trPr>
        <w:tc>
          <w:tcPr>
            <w:tcW w:w="404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both"/>
              <w:rPr>
                <w:rFonts w:ascii="Times New Roman" w:eastAsia="Times New Roman" w:hAnsi="Times New Roman"/>
                <w:sz w:val="24"/>
                <w:szCs w:val="24"/>
              </w:rPr>
            </w:pPr>
            <w:r w:rsidRPr="00B64020">
              <w:rPr>
                <w:rFonts w:ascii="Times New Roman" w:eastAsia="Times New Roman" w:hAnsi="Times New Roman" w:hint="eastAsia"/>
                <w:sz w:val="24"/>
                <w:szCs w:val="24"/>
              </w:rPr>
              <w:t>HR Practices &gt; Performance</w:t>
            </w:r>
          </w:p>
        </w:tc>
        <w:tc>
          <w:tcPr>
            <w:tcW w:w="117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center"/>
              <w:rPr>
                <w:rFonts w:ascii="Times New Roman" w:eastAsia="Times New Roman" w:hAnsi="Times New Roman"/>
                <w:sz w:val="24"/>
                <w:szCs w:val="24"/>
              </w:rPr>
            </w:pPr>
            <w:r w:rsidRPr="00B64020">
              <w:rPr>
                <w:rFonts w:ascii="Times New Roman" w:eastAsia="Times New Roman" w:hAnsi="Times New Roman" w:hint="eastAsia"/>
                <w:sz w:val="24"/>
                <w:szCs w:val="24"/>
              </w:rPr>
              <w:t>1.168</w:t>
            </w:r>
          </w:p>
        </w:tc>
        <w:tc>
          <w:tcPr>
            <w:tcW w:w="198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center"/>
              <w:rPr>
                <w:rFonts w:ascii="Times New Roman" w:eastAsia="Times New Roman" w:hAnsi="Times New Roman"/>
                <w:sz w:val="24"/>
                <w:szCs w:val="24"/>
              </w:rPr>
            </w:pPr>
            <w:r w:rsidRPr="00B64020">
              <w:rPr>
                <w:rFonts w:ascii="Times New Roman" w:eastAsia="Times New Roman" w:hAnsi="Times New Roman" w:hint="eastAsia"/>
                <w:sz w:val="24"/>
                <w:szCs w:val="24"/>
              </w:rPr>
              <w:t>NO</w:t>
            </w:r>
          </w:p>
        </w:tc>
      </w:tr>
      <w:tr w:rsidR="00B64020" w:rsidRPr="00B64020" w:rsidTr="00626161">
        <w:trPr>
          <w:jc w:val="center"/>
        </w:trPr>
        <w:tc>
          <w:tcPr>
            <w:tcW w:w="404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both"/>
              <w:rPr>
                <w:rFonts w:ascii="Times New Roman" w:eastAsia="Times New Roman" w:hAnsi="Times New Roman"/>
                <w:sz w:val="24"/>
                <w:szCs w:val="24"/>
              </w:rPr>
            </w:pPr>
            <w:r w:rsidRPr="00B64020">
              <w:rPr>
                <w:rFonts w:ascii="Times New Roman" w:eastAsia="Times New Roman" w:hAnsi="Times New Roman" w:hint="eastAsia"/>
                <w:sz w:val="24"/>
                <w:szCs w:val="24"/>
              </w:rPr>
              <w:t>HR Practices &gt; Trust</w:t>
            </w:r>
          </w:p>
        </w:tc>
        <w:tc>
          <w:tcPr>
            <w:tcW w:w="117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center"/>
              <w:rPr>
                <w:rFonts w:ascii="Times New Roman" w:eastAsia="Times New Roman" w:hAnsi="Times New Roman"/>
                <w:sz w:val="24"/>
                <w:szCs w:val="24"/>
              </w:rPr>
            </w:pPr>
            <w:r w:rsidRPr="00B64020">
              <w:rPr>
                <w:rFonts w:ascii="Times New Roman" w:eastAsia="Times New Roman" w:hAnsi="Times New Roman" w:hint="eastAsia"/>
                <w:sz w:val="24"/>
                <w:szCs w:val="24"/>
              </w:rPr>
              <w:t>1.000</w:t>
            </w:r>
          </w:p>
        </w:tc>
        <w:tc>
          <w:tcPr>
            <w:tcW w:w="198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AD35FE">
            <w:pPr>
              <w:jc w:val="center"/>
              <w:rPr>
                <w:rFonts w:ascii="Times New Roman" w:eastAsia="Times New Roman" w:hAnsi="Times New Roman"/>
                <w:sz w:val="24"/>
                <w:szCs w:val="24"/>
              </w:rPr>
            </w:pPr>
            <w:r w:rsidRPr="00B64020">
              <w:rPr>
                <w:rFonts w:ascii="Times New Roman" w:eastAsia="Times New Roman" w:hAnsi="Times New Roman" w:hint="eastAsia"/>
                <w:sz w:val="24"/>
                <w:szCs w:val="24"/>
              </w:rPr>
              <w:t>NO</w:t>
            </w:r>
          </w:p>
        </w:tc>
      </w:tr>
    </w:tbl>
    <w:p w:rsidR="00B64020" w:rsidRPr="00B64020" w:rsidRDefault="00B64020" w:rsidP="00B64020">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b/>
          <w:sz w:val="24"/>
          <w:szCs w:val="24"/>
        </w:rPr>
        <w:t xml:space="preserve"> </w:t>
      </w:r>
      <w:r w:rsidRPr="00B64020">
        <w:rPr>
          <w:rFonts w:ascii="Times New Roman" w:eastAsia="Calibri" w:hAnsi="Times New Roman" w:cs="Times New Roman"/>
          <w:sz w:val="24"/>
          <w:szCs w:val="24"/>
        </w:rPr>
        <w:t xml:space="preserve">The 1.653 VIF value for HR Practices &gt; Trust is ideal and indicates no multicollinearity for the predictor variable; it is completely independent of the other predictors in the model, while the value of 1.168 VIF (approximately 16.8%) for Performance indicates low to moderate multicollinearity, generally considered acceptable and not a substantial concern for the model. </w:t>
      </w:r>
    </w:p>
    <w:p w:rsidR="00B64020" w:rsidRPr="00B64020" w:rsidRDefault="00BE6B90" w:rsidP="006D5744">
      <w:pPr>
        <w:spacing w:before="100" w:beforeAutospacing="1" w:line="360" w:lineRule="auto"/>
        <w:jc w:val="both"/>
        <w:rPr>
          <w:rFonts w:ascii="Times New Roman" w:eastAsia="Calibri" w:hAnsi="Times New Roman" w:cs="Times New Roman"/>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.6</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Coefficient of Determination (R</w:t>
      </w:r>
      <w:r w:rsidR="00B64020" w:rsidRPr="005123F2">
        <w:rPr>
          <w:rFonts w:ascii="Times New Roman" w:eastAsia="Calibri" w:hAnsi="Times New Roman" w:cs="Times New Roman"/>
          <w:b/>
          <w:sz w:val="24"/>
          <w:szCs w:val="24"/>
          <w:vertAlign w:val="superscript"/>
        </w:rPr>
        <w:t>2</w:t>
      </w:r>
      <w:r w:rsidR="00B64020" w:rsidRPr="005123F2">
        <w:rPr>
          <w:rFonts w:ascii="Times New Roman" w:eastAsia="Calibri" w:hAnsi="Times New Roman" w:cs="Times New Roman"/>
          <w:b/>
          <w:sz w:val="24"/>
          <w:szCs w:val="24"/>
        </w:rPr>
        <w:t>)</w:t>
      </w:r>
      <w:r w:rsidR="006D5744">
        <w:rPr>
          <w:rFonts w:ascii="Times New Roman" w:eastAsia="Calibri" w:hAnsi="Times New Roman" w:cs="Times New Roman"/>
          <w:b/>
          <w:sz w:val="24"/>
          <w:szCs w:val="24"/>
        </w:rPr>
        <w:t xml:space="preserve">: </w:t>
      </w:r>
      <w:r w:rsidR="00B64020" w:rsidRPr="00B64020">
        <w:rPr>
          <w:rFonts w:ascii="Times New Roman" w:eastAsia="Calibri" w:hAnsi="Times New Roman" w:cs="Times New Roman"/>
          <w:sz w:val="24"/>
          <w:szCs w:val="24"/>
        </w:rPr>
        <w:t>A major part of structural model evaluation is assessing the coefficient of determination (R</w:t>
      </w:r>
      <w:r w:rsidR="00B64020" w:rsidRPr="00B64020">
        <w:rPr>
          <w:rFonts w:ascii="Times New Roman" w:eastAsia="Calibri" w:hAnsi="Times New Roman" w:cs="Times New Roman"/>
          <w:sz w:val="24"/>
          <w:szCs w:val="24"/>
          <w:vertAlign w:val="superscript"/>
        </w:rPr>
        <w:t>2</w:t>
      </w:r>
      <w:r w:rsidR="00B64020" w:rsidRPr="00B64020">
        <w:rPr>
          <w:rFonts w:ascii="Times New Roman" w:eastAsia="Calibri" w:hAnsi="Times New Roman" w:cs="Times New Roman"/>
          <w:sz w:val="24"/>
          <w:szCs w:val="24"/>
        </w:rPr>
        <w:t>). In this model, employee performance is the main construct of interest.  From the PLS path model estimation diagram (see Figure 5.4 above), the overall R</w:t>
      </w:r>
      <w:r w:rsidR="00B64020" w:rsidRPr="00B64020">
        <w:rPr>
          <w:rFonts w:ascii="Times New Roman" w:eastAsia="Calibri" w:hAnsi="Times New Roman" w:cs="Times New Roman"/>
          <w:sz w:val="24"/>
          <w:szCs w:val="24"/>
          <w:vertAlign w:val="superscript"/>
        </w:rPr>
        <w:t>2</w:t>
      </w:r>
      <w:r w:rsidR="00B64020" w:rsidRPr="00B64020">
        <w:rPr>
          <w:rFonts w:ascii="Times New Roman" w:eastAsia="Calibri" w:hAnsi="Times New Roman" w:cs="Times New Roman"/>
          <w:sz w:val="24"/>
          <w:szCs w:val="24"/>
        </w:rPr>
        <w:t xml:space="preserve"> is 0.443.  Given that the threshold values of 0.25, 0.5, and 0.7 describe a weak, moderate, and strong coefficient of determination (Hair et al., 2013), the R</w:t>
      </w:r>
      <w:r w:rsidR="00B64020" w:rsidRPr="00B64020">
        <w:rPr>
          <w:rFonts w:ascii="Times New Roman" w:eastAsia="Calibri" w:hAnsi="Times New Roman" w:cs="Times New Roman"/>
          <w:sz w:val="24"/>
          <w:szCs w:val="24"/>
          <w:vertAlign w:val="superscript"/>
        </w:rPr>
        <w:t>2</w:t>
      </w:r>
      <w:r w:rsidR="00B64020" w:rsidRPr="00B64020">
        <w:rPr>
          <w:rFonts w:ascii="Times New Roman" w:eastAsia="Calibri" w:hAnsi="Times New Roman" w:cs="Times New Roman"/>
          <w:sz w:val="24"/>
          <w:szCs w:val="24"/>
        </w:rPr>
        <w:t xml:space="preserve"> falls in the weak to moderate range.  In this case, it suggests that the two constructs, HR Practices and Trust, jointly explain 44.3% of the variance in the endogenous construct, employee performance.  </w:t>
      </w:r>
    </w:p>
    <w:p w:rsidR="00B64020" w:rsidRPr="00B64020" w:rsidRDefault="00B64020" w:rsidP="00B64020">
      <w:pPr>
        <w:spacing w:before="100" w:beforeAutospacing="1" w:after="0" w:line="360" w:lineRule="auto"/>
        <w:jc w:val="both"/>
        <w:rPr>
          <w:rFonts w:ascii="Times New Roman" w:eastAsia="Calibri" w:hAnsi="Times New Roman" w:cs="Times New Roman"/>
          <w:sz w:val="24"/>
          <w:szCs w:val="24"/>
        </w:rPr>
      </w:pPr>
      <w:r w:rsidRPr="00D56627">
        <w:rPr>
          <w:rFonts w:ascii="Times New Roman" w:eastAsia="Calibri" w:hAnsi="Times New Roman" w:cs="Times New Roman"/>
          <w:sz w:val="24"/>
          <w:szCs w:val="24"/>
        </w:rPr>
        <w:t xml:space="preserve"> R</w:t>
      </w:r>
      <w:r w:rsidRPr="00D56627">
        <w:rPr>
          <w:rFonts w:ascii="Times New Roman" w:eastAsia="Calibri" w:hAnsi="Times New Roman" w:cs="Times New Roman"/>
          <w:sz w:val="24"/>
          <w:szCs w:val="24"/>
          <w:vertAlign w:val="superscript"/>
        </w:rPr>
        <w:t>2</w:t>
      </w:r>
      <w:r w:rsidRPr="00D56627">
        <w:rPr>
          <w:rFonts w:ascii="Times New Roman" w:eastAsia="Calibri" w:hAnsi="Times New Roman" w:cs="Times New Roman"/>
          <w:sz w:val="24"/>
          <w:szCs w:val="24"/>
        </w:rPr>
        <w:t>, the coefficient of determination, reflects a model’s predictive performance.</w:t>
      </w:r>
      <w:r w:rsidRPr="00B64020">
        <w:rPr>
          <w:rFonts w:ascii="Times New Roman" w:eastAsia="Calibri" w:hAnsi="Times New Roman" w:cs="Times New Roman"/>
          <w:color w:val="FF0000"/>
          <w:sz w:val="24"/>
          <w:szCs w:val="24"/>
        </w:rPr>
        <w:t xml:space="preserve"> </w:t>
      </w:r>
      <w:r w:rsidRPr="00B64020">
        <w:rPr>
          <w:rFonts w:ascii="Times New Roman" w:eastAsia="Calibri" w:hAnsi="Times New Roman" w:cs="Times New Roman"/>
          <w:sz w:val="24"/>
          <w:szCs w:val="24"/>
        </w:rPr>
        <w:t>In the present study, higher R</w:t>
      </w:r>
      <w:r w:rsidRPr="00B64020">
        <w:rPr>
          <w:rFonts w:ascii="Times New Roman" w:eastAsia="Calibri" w:hAnsi="Times New Roman" w:cs="Times New Roman"/>
          <w:sz w:val="24"/>
          <w:szCs w:val="24"/>
          <w:vertAlign w:val="superscript"/>
        </w:rPr>
        <w:t xml:space="preserve">2 </w:t>
      </w:r>
      <w:r w:rsidRPr="00B64020">
        <w:rPr>
          <w:rFonts w:ascii="Times New Roman" w:eastAsia="Calibri" w:hAnsi="Times New Roman" w:cs="Times New Roman"/>
          <w:sz w:val="24"/>
          <w:szCs w:val="24"/>
        </w:rPr>
        <w:t xml:space="preserve">values </w:t>
      </w:r>
      <w:r w:rsidR="00D56627">
        <w:rPr>
          <w:rFonts w:ascii="Times New Roman" w:eastAsia="Calibri" w:hAnsi="Times New Roman" w:cs="Times New Roman"/>
          <w:sz w:val="24"/>
          <w:szCs w:val="24"/>
        </w:rPr>
        <w:t>indicate greater explanatory power</w:t>
      </w:r>
      <w:r w:rsidRPr="00B64020">
        <w:rPr>
          <w:rFonts w:ascii="Times New Roman" w:eastAsia="Calibri" w:hAnsi="Times New Roman" w:cs="Times New Roman"/>
          <w:sz w:val="24"/>
          <w:szCs w:val="24"/>
        </w:rPr>
        <w:t>. Values near 0.2 generally signal limited predictive power, whereas estimates exceeding 0.3 suggest moderate accuracy. Specifically, Performance (0.433) and Trust (0.373) demonstrate moderate explanatory strength. Gupta et al. (2024) notes that in the social sciences, R</w:t>
      </w:r>
      <w:r w:rsidRPr="00B64020">
        <w:rPr>
          <w:rFonts w:ascii="Times New Roman" w:eastAsia="Calibri" w:hAnsi="Times New Roman" w:cs="Times New Roman"/>
          <w:sz w:val="24"/>
          <w:szCs w:val="24"/>
          <w:vertAlign w:val="superscript"/>
        </w:rPr>
        <w:t xml:space="preserve">2 </w:t>
      </w:r>
      <w:r w:rsidRPr="00B64020">
        <w:rPr>
          <w:rFonts w:ascii="Times New Roman" w:eastAsia="Calibri" w:hAnsi="Times New Roman" w:cs="Times New Roman"/>
          <w:sz w:val="24"/>
          <w:szCs w:val="24"/>
        </w:rPr>
        <w:t>values within the 0.10–0.30 range are often considered acceptable, owing to the inherent complexity of human behavior. Hair et al. (2013) further propose the following benchmarks: an R</w:t>
      </w:r>
      <w:r w:rsidRPr="00B64020">
        <w:rPr>
          <w:rFonts w:ascii="Times New Roman" w:eastAsia="Calibri" w:hAnsi="Times New Roman" w:cs="Times New Roman"/>
          <w:sz w:val="24"/>
          <w:szCs w:val="24"/>
          <w:vertAlign w:val="superscript"/>
        </w:rPr>
        <w:t xml:space="preserve">2 </w:t>
      </w:r>
      <w:r w:rsidRPr="00B64020">
        <w:rPr>
          <w:rFonts w:ascii="Times New Roman" w:eastAsia="Calibri" w:hAnsi="Times New Roman" w:cs="Times New Roman"/>
          <w:sz w:val="24"/>
          <w:szCs w:val="24"/>
        </w:rPr>
        <w:t>of 0.75 accounts for 75% of the variance in the dependent variables; an R</w:t>
      </w:r>
      <w:r w:rsidRPr="00B64020">
        <w:rPr>
          <w:rFonts w:ascii="Times New Roman" w:eastAsia="Calibri" w:hAnsi="Times New Roman" w:cs="Times New Roman"/>
          <w:sz w:val="24"/>
          <w:szCs w:val="24"/>
          <w:vertAlign w:val="superscript"/>
        </w:rPr>
        <w:t>2</w:t>
      </w:r>
      <w:r w:rsidRPr="00B64020">
        <w:rPr>
          <w:rFonts w:ascii="Times New Roman" w:eastAsia="Calibri" w:hAnsi="Times New Roman" w:cs="Times New Roman"/>
          <w:sz w:val="24"/>
          <w:szCs w:val="24"/>
        </w:rPr>
        <w:t xml:space="preserve"> of 0.50 denotes moderate variance explained; and an R</w:t>
      </w:r>
      <w:r w:rsidRPr="00B64020">
        <w:rPr>
          <w:rFonts w:ascii="Times New Roman" w:eastAsia="Calibri" w:hAnsi="Times New Roman" w:cs="Times New Roman"/>
          <w:sz w:val="24"/>
          <w:szCs w:val="24"/>
          <w:vertAlign w:val="superscript"/>
        </w:rPr>
        <w:t>2</w:t>
      </w:r>
      <w:r w:rsidRPr="00B64020">
        <w:rPr>
          <w:rFonts w:ascii="Times New Roman" w:eastAsia="Calibri" w:hAnsi="Times New Roman" w:cs="Times New Roman"/>
          <w:sz w:val="24"/>
          <w:szCs w:val="24"/>
        </w:rPr>
        <w:t xml:space="preserve"> of 0.25 indicates weak variance explained.</w:t>
      </w:r>
    </w:p>
    <w:p w:rsidR="00D56627" w:rsidRPr="00B64020" w:rsidRDefault="00D56627" w:rsidP="00D56627">
      <w:pPr>
        <w:spacing w:before="100" w:beforeAutospacing="1" w:line="360" w:lineRule="auto"/>
        <w:jc w:val="center"/>
        <w:rPr>
          <w:rFonts w:ascii="Times New Roman" w:eastAsia="Calibri" w:hAnsi="Times New Roman" w:cs="Times New Roman"/>
          <w:b/>
          <w:sz w:val="24"/>
          <w:szCs w:val="24"/>
        </w:rPr>
      </w:pPr>
      <w:r w:rsidRPr="00B64020">
        <w:rPr>
          <w:rFonts w:ascii="Times New Roman" w:eastAsia="Calibri" w:hAnsi="Times New Roman" w:cs="Times New Roman"/>
          <w:b/>
          <w:color w:val="000000"/>
          <w:sz w:val="24"/>
          <w:szCs w:val="24"/>
        </w:rPr>
        <w:t xml:space="preserve">Table 8: </w:t>
      </w:r>
      <w:r w:rsidRPr="00B64020">
        <w:rPr>
          <w:rFonts w:ascii="Times New Roman" w:eastAsia="Calibri" w:hAnsi="Times New Roman" w:cs="Times New Roman"/>
          <w:b/>
          <w:sz w:val="24"/>
          <w:szCs w:val="24"/>
        </w:rPr>
        <w:t>R-Square Mean, t-values, and p-values</w:t>
      </w:r>
    </w:p>
    <w:tbl>
      <w:tblPr>
        <w:tblStyle w:val="TableGrid"/>
        <w:tblW w:w="0" w:type="auto"/>
        <w:jc w:val="center"/>
        <w:tblInd w:w="0" w:type="dxa"/>
        <w:tblLook w:val="04A0" w:firstRow="1" w:lastRow="0" w:firstColumn="1" w:lastColumn="0" w:noHBand="0" w:noVBand="1"/>
      </w:tblPr>
      <w:tblGrid>
        <w:gridCol w:w="1443"/>
        <w:gridCol w:w="1432"/>
        <w:gridCol w:w="1432"/>
        <w:gridCol w:w="1620"/>
      </w:tblGrid>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tcPr>
          <w:p w:rsidR="00B64020" w:rsidRPr="00B64020" w:rsidRDefault="00B64020" w:rsidP="00B64020">
            <w:pPr>
              <w:spacing w:line="256" w:lineRule="auto"/>
              <w:jc w:val="both"/>
              <w:rPr>
                <w:rFonts w:ascii="Times New Roman" w:hAnsi="Times New Roman"/>
                <w:b/>
                <w:sz w:val="24"/>
                <w:szCs w:val="24"/>
              </w:rPr>
            </w:pP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Mean</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t-values</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p-values</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EPC</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rPr>
            </w:pPr>
            <w:r w:rsidRPr="00B64020">
              <w:rPr>
                <w:rFonts w:ascii="Times New Roman" w:eastAsia="Times New Roman" w:hAnsi="Times New Roman" w:hint="eastAsia"/>
              </w:rPr>
              <w:t>0.700</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rPr>
            </w:pPr>
            <w:r w:rsidRPr="00B64020">
              <w:rPr>
                <w:rFonts w:ascii="Times New Roman" w:eastAsia="Times New Roman" w:hAnsi="Times New Roman" w:hint="eastAsia"/>
              </w:rPr>
              <w:t>0.701</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EPE</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0.683</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0.684</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EPEF</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0.381</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0.383</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EPP</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0.193</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0.196</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HRPE</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0.806</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0.807</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HRPF</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0.715</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0.716</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HRPO</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0.760</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0.760</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Performance</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0.433</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0.443</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r w:rsidR="00B64020" w:rsidRPr="00B64020" w:rsidTr="00B64020">
        <w:trPr>
          <w:jc w:val="center"/>
        </w:trPr>
        <w:tc>
          <w:tcPr>
            <w:tcW w:w="1443"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both"/>
              <w:rPr>
                <w:rFonts w:ascii="Times New Roman" w:eastAsia="Times New Roman" w:hAnsi="Times New Roman"/>
              </w:rPr>
            </w:pPr>
            <w:r w:rsidRPr="00B64020">
              <w:rPr>
                <w:rFonts w:ascii="Times New Roman" w:eastAsia="Times New Roman" w:hAnsi="Times New Roman" w:hint="eastAsia"/>
              </w:rPr>
              <w:t>Trust</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0.373</w:t>
            </w:r>
          </w:p>
        </w:tc>
        <w:tc>
          <w:tcPr>
            <w:tcW w:w="1432"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0.475</w:t>
            </w:r>
          </w:p>
        </w:tc>
        <w:tc>
          <w:tcPr>
            <w:tcW w:w="162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eastAsia="Times New Roman"/>
              </w:rPr>
            </w:pPr>
            <w:r w:rsidRPr="00B64020">
              <w:rPr>
                <w:rFonts w:ascii="Times New Roman" w:eastAsia="Times New Roman" w:hAnsi="Times New Roman" w:hint="eastAsia"/>
              </w:rPr>
              <w:t>0.000</w:t>
            </w:r>
          </w:p>
        </w:tc>
      </w:tr>
    </w:tbl>
    <w:p w:rsidR="00B64020" w:rsidRPr="00B64020" w:rsidRDefault="00B64020" w:rsidP="009B3E23">
      <w:pPr>
        <w:spacing w:before="100" w:beforeAutospacing="1" w:after="0" w:line="360" w:lineRule="auto"/>
        <w:jc w:val="both"/>
        <w:rPr>
          <w:rFonts w:ascii="Times New Roman" w:eastAsia="Calibri" w:hAnsi="Times New Roman" w:cs="Times New Roman"/>
          <w:b/>
          <w:sz w:val="24"/>
          <w:szCs w:val="24"/>
        </w:rPr>
      </w:pPr>
      <w:r w:rsidRPr="00B64020">
        <w:rPr>
          <w:rFonts w:ascii="Times New Roman" w:eastAsia="Calibri" w:hAnsi="Times New Roman" w:cs="Times New Roman"/>
          <w:b/>
          <w:sz w:val="24"/>
          <w:szCs w:val="24"/>
        </w:rPr>
        <w:t xml:space="preserve">Analysis of Path Coefficients </w:t>
      </w:r>
    </w:p>
    <w:p w:rsidR="00B64020" w:rsidRPr="00B64020" w:rsidRDefault="00B64020" w:rsidP="00D56627">
      <w:pPr>
        <w:spacing w:before="100" w:beforeAutospacing="1" w:line="360" w:lineRule="auto"/>
        <w:jc w:val="center"/>
        <w:rPr>
          <w:rFonts w:ascii="Times New Roman" w:eastAsia="Calibri" w:hAnsi="Times New Roman" w:cs="Times New Roman"/>
          <w:bCs/>
          <w:sz w:val="24"/>
          <w:szCs w:val="24"/>
        </w:rPr>
      </w:pPr>
      <w:r w:rsidRPr="00B64020">
        <w:rPr>
          <w:rFonts w:ascii="Times New Roman" w:eastAsia="Calibri" w:hAnsi="Times New Roman" w:cs="Times New Roman"/>
          <w:b/>
          <w:sz w:val="24"/>
          <w:szCs w:val="24"/>
        </w:rPr>
        <w:t>Table 9:</w:t>
      </w:r>
      <w:r w:rsidRPr="00B64020">
        <w:rPr>
          <w:rFonts w:ascii="Times New Roman" w:eastAsia="Calibri" w:hAnsi="Times New Roman" w:cs="Times New Roman"/>
          <w:bCs/>
          <w:sz w:val="24"/>
          <w:szCs w:val="24"/>
        </w:rPr>
        <w:t xml:space="preserve">  Significance Testing of the Structural Model Path Coefficients</w:t>
      </w:r>
    </w:p>
    <w:tbl>
      <w:tblPr>
        <w:tblStyle w:val="TableGrid"/>
        <w:tblW w:w="0" w:type="auto"/>
        <w:jc w:val="center"/>
        <w:tblInd w:w="0" w:type="dxa"/>
        <w:tblLook w:val="04A0" w:firstRow="1" w:lastRow="0" w:firstColumn="1" w:lastColumn="0" w:noHBand="0" w:noVBand="1"/>
      </w:tblPr>
      <w:tblGrid>
        <w:gridCol w:w="805"/>
        <w:gridCol w:w="3060"/>
        <w:gridCol w:w="1800"/>
        <w:gridCol w:w="1080"/>
        <w:gridCol w:w="1080"/>
      </w:tblGrid>
      <w:tr w:rsidR="00B64020" w:rsidRPr="009B3E23" w:rsidTr="00D56627">
        <w:trPr>
          <w:jc w:val="center"/>
        </w:trPr>
        <w:tc>
          <w:tcPr>
            <w:tcW w:w="805" w:type="dxa"/>
            <w:tcBorders>
              <w:top w:val="single" w:sz="4" w:space="0" w:color="000000"/>
              <w:left w:val="single" w:sz="4" w:space="0" w:color="000000"/>
              <w:bottom w:val="single" w:sz="4" w:space="0" w:color="000000"/>
              <w:right w:val="single" w:sz="4" w:space="0" w:color="000000"/>
            </w:tcBorders>
          </w:tcPr>
          <w:p w:rsidR="00B64020" w:rsidRPr="009B3E23" w:rsidRDefault="00B64020" w:rsidP="00B64020">
            <w:pPr>
              <w:spacing w:line="256" w:lineRule="auto"/>
              <w:jc w:val="both"/>
              <w:rPr>
                <w:rFonts w:ascii="Times New Roman" w:hAnsi="Times New Roman"/>
                <w:szCs w:val="24"/>
              </w:rPr>
            </w:pPr>
          </w:p>
        </w:tc>
        <w:tc>
          <w:tcPr>
            <w:tcW w:w="306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both"/>
              <w:rPr>
                <w:rFonts w:ascii="Times New Roman" w:eastAsia="Times New Roman" w:hAnsi="Times New Roman"/>
                <w:b/>
                <w:szCs w:val="24"/>
              </w:rPr>
            </w:pPr>
            <w:r w:rsidRPr="009B3E23">
              <w:rPr>
                <w:rFonts w:ascii="Times New Roman" w:eastAsia="Times New Roman" w:hAnsi="Times New Roman" w:hint="eastAsia"/>
                <w:b/>
                <w:szCs w:val="24"/>
              </w:rPr>
              <w:t>Path</w:t>
            </w:r>
          </w:p>
        </w:tc>
        <w:tc>
          <w:tcPr>
            <w:tcW w:w="180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b/>
                <w:szCs w:val="24"/>
              </w:rPr>
            </w:pPr>
            <w:r w:rsidRPr="009B3E23">
              <w:rPr>
                <w:rFonts w:ascii="Times New Roman" w:eastAsia="Times New Roman" w:hAnsi="Times New Roman" w:hint="eastAsia"/>
                <w:b/>
                <w:szCs w:val="24"/>
              </w:rPr>
              <w:t>Path Coefficients</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b/>
                <w:szCs w:val="24"/>
              </w:rPr>
            </w:pPr>
            <w:r w:rsidRPr="009B3E23">
              <w:rPr>
                <w:rFonts w:ascii="Times New Roman" w:eastAsia="Times New Roman" w:hAnsi="Times New Roman" w:hint="eastAsia"/>
                <w:b/>
                <w:szCs w:val="24"/>
              </w:rPr>
              <w:t>t-values</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b/>
                <w:szCs w:val="24"/>
              </w:rPr>
            </w:pPr>
            <w:r w:rsidRPr="009B3E23">
              <w:rPr>
                <w:rFonts w:ascii="Times New Roman" w:eastAsia="Times New Roman" w:hAnsi="Times New Roman" w:hint="eastAsia"/>
                <w:b/>
                <w:szCs w:val="24"/>
              </w:rPr>
              <w:t>p-values</w:t>
            </w:r>
          </w:p>
        </w:tc>
      </w:tr>
      <w:tr w:rsidR="00B64020" w:rsidRPr="009B3E23" w:rsidTr="00D56627">
        <w:trPr>
          <w:jc w:val="center"/>
        </w:trPr>
        <w:tc>
          <w:tcPr>
            <w:tcW w:w="805"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both"/>
              <w:rPr>
                <w:rFonts w:ascii="Times New Roman" w:eastAsia="Times New Roman" w:hAnsi="Times New Roman"/>
                <w:szCs w:val="24"/>
              </w:rPr>
            </w:pPr>
            <w:r w:rsidRPr="009B3E23">
              <w:rPr>
                <w:rFonts w:ascii="Times New Roman" w:eastAsia="Times New Roman" w:hAnsi="Times New Roman" w:hint="eastAsia"/>
                <w:szCs w:val="24"/>
              </w:rPr>
              <w:t>H1</w:t>
            </w:r>
          </w:p>
        </w:tc>
        <w:tc>
          <w:tcPr>
            <w:tcW w:w="306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rPr>
                <w:rFonts w:ascii="Times New Roman" w:eastAsia="Times New Roman" w:hAnsi="Times New Roman"/>
                <w:szCs w:val="24"/>
              </w:rPr>
            </w:pPr>
            <w:r w:rsidRPr="009B3E23">
              <w:rPr>
                <w:rFonts w:ascii="Times New Roman" w:eastAsia="Times New Roman" w:hAnsi="Times New Roman" w:hint="eastAsia"/>
                <w:szCs w:val="24"/>
              </w:rPr>
              <w:t>HR Practices &gt; Performance</w:t>
            </w:r>
          </w:p>
        </w:tc>
        <w:tc>
          <w:tcPr>
            <w:tcW w:w="180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0.576</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8.442</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0.000</w:t>
            </w:r>
          </w:p>
        </w:tc>
      </w:tr>
      <w:tr w:rsidR="00B64020" w:rsidRPr="009B3E23" w:rsidTr="00D56627">
        <w:trPr>
          <w:jc w:val="center"/>
        </w:trPr>
        <w:tc>
          <w:tcPr>
            <w:tcW w:w="805"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both"/>
              <w:rPr>
                <w:rFonts w:ascii="Times New Roman" w:eastAsia="Times New Roman" w:hAnsi="Times New Roman"/>
                <w:szCs w:val="24"/>
              </w:rPr>
            </w:pPr>
            <w:r w:rsidRPr="009B3E23">
              <w:rPr>
                <w:rFonts w:ascii="Times New Roman" w:eastAsia="Times New Roman" w:hAnsi="Times New Roman" w:hint="eastAsia"/>
                <w:szCs w:val="24"/>
              </w:rPr>
              <w:t>H2</w:t>
            </w:r>
          </w:p>
        </w:tc>
        <w:tc>
          <w:tcPr>
            <w:tcW w:w="306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rPr>
                <w:rFonts w:ascii="Times New Roman" w:eastAsia="Times New Roman" w:hAnsi="Times New Roman"/>
                <w:szCs w:val="24"/>
              </w:rPr>
            </w:pPr>
            <w:r w:rsidRPr="009B3E23">
              <w:rPr>
                <w:rFonts w:ascii="Times New Roman" w:eastAsia="Times New Roman" w:hAnsi="Times New Roman" w:hint="eastAsia"/>
                <w:szCs w:val="24"/>
              </w:rPr>
              <w:t>HR Practices &gt; Trust</w:t>
            </w:r>
          </w:p>
        </w:tc>
        <w:tc>
          <w:tcPr>
            <w:tcW w:w="180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0.837</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31.433</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0.000</w:t>
            </w:r>
          </w:p>
        </w:tc>
      </w:tr>
      <w:tr w:rsidR="00B64020" w:rsidRPr="009B3E23" w:rsidTr="00D56627">
        <w:trPr>
          <w:jc w:val="center"/>
        </w:trPr>
        <w:tc>
          <w:tcPr>
            <w:tcW w:w="805"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both"/>
              <w:rPr>
                <w:rFonts w:ascii="Times New Roman" w:eastAsia="Times New Roman" w:hAnsi="Times New Roman"/>
                <w:szCs w:val="24"/>
              </w:rPr>
            </w:pPr>
            <w:r w:rsidRPr="009B3E23">
              <w:rPr>
                <w:rFonts w:ascii="Times New Roman" w:eastAsia="Times New Roman" w:hAnsi="Times New Roman" w:hint="eastAsia"/>
                <w:szCs w:val="24"/>
              </w:rPr>
              <w:t>H3</w:t>
            </w:r>
          </w:p>
        </w:tc>
        <w:tc>
          <w:tcPr>
            <w:tcW w:w="306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rPr>
                <w:rFonts w:ascii="Times New Roman" w:eastAsia="Times New Roman" w:hAnsi="Times New Roman"/>
                <w:szCs w:val="24"/>
              </w:rPr>
            </w:pPr>
            <w:r w:rsidRPr="009B3E23">
              <w:rPr>
                <w:rFonts w:ascii="Times New Roman" w:eastAsia="Times New Roman" w:hAnsi="Times New Roman" w:hint="eastAsia"/>
                <w:szCs w:val="24"/>
              </w:rPr>
              <w:t>Trust &gt; Performance</w:t>
            </w:r>
          </w:p>
        </w:tc>
        <w:tc>
          <w:tcPr>
            <w:tcW w:w="180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0.120</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1.910</w:t>
            </w:r>
          </w:p>
        </w:tc>
        <w:tc>
          <w:tcPr>
            <w:tcW w:w="1080" w:type="dxa"/>
            <w:tcBorders>
              <w:top w:val="single" w:sz="4" w:space="0" w:color="000000"/>
              <w:left w:val="single" w:sz="4" w:space="0" w:color="000000"/>
              <w:bottom w:val="single" w:sz="4" w:space="0" w:color="000000"/>
              <w:right w:val="single" w:sz="4" w:space="0" w:color="000000"/>
            </w:tcBorders>
            <w:hideMark/>
          </w:tcPr>
          <w:p w:rsidR="00B64020" w:rsidRPr="009B3E23" w:rsidRDefault="00B64020" w:rsidP="00B64020">
            <w:pPr>
              <w:spacing w:line="256" w:lineRule="auto"/>
              <w:jc w:val="center"/>
              <w:rPr>
                <w:rFonts w:ascii="Times New Roman" w:eastAsia="Times New Roman" w:hAnsi="Times New Roman"/>
                <w:szCs w:val="24"/>
              </w:rPr>
            </w:pPr>
            <w:r w:rsidRPr="009B3E23">
              <w:rPr>
                <w:rFonts w:ascii="Times New Roman" w:eastAsia="Times New Roman" w:hAnsi="Times New Roman" w:hint="eastAsia"/>
                <w:szCs w:val="24"/>
              </w:rPr>
              <w:t>0.028</w:t>
            </w:r>
          </w:p>
        </w:tc>
      </w:tr>
    </w:tbl>
    <w:p w:rsidR="00B64020" w:rsidRPr="00B64020" w:rsidRDefault="00BE6B90" w:rsidP="00B64020">
      <w:pPr>
        <w:spacing w:before="100" w:beforeAutospacing="1" w:line="360" w:lineRule="auto"/>
        <w:jc w:val="both"/>
        <w:rPr>
          <w:rFonts w:ascii="Times New Roman" w:eastAsia="Calibri" w:hAnsi="Times New Roman" w:cs="Times New Roman"/>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.7</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Predictive Relevance (Q</w:t>
      </w:r>
      <w:r w:rsidR="00B64020" w:rsidRPr="005123F2">
        <w:rPr>
          <w:rFonts w:ascii="Times New Roman" w:eastAsia="Calibri" w:hAnsi="Times New Roman" w:cs="Times New Roman"/>
          <w:b/>
          <w:sz w:val="24"/>
          <w:szCs w:val="24"/>
          <w:vertAlign w:val="superscript"/>
        </w:rPr>
        <w:t>2</w:t>
      </w:r>
      <w:r w:rsidR="00B64020" w:rsidRPr="005123F2">
        <w:rPr>
          <w:rFonts w:ascii="Times New Roman" w:eastAsia="Calibri" w:hAnsi="Times New Roman" w:cs="Times New Roman"/>
          <w:b/>
          <w:sz w:val="24"/>
          <w:szCs w:val="24"/>
        </w:rPr>
        <w:t>)</w:t>
      </w:r>
      <w:r w:rsidR="006D5744" w:rsidRPr="005123F2">
        <w:rPr>
          <w:rFonts w:ascii="Times New Roman" w:eastAsia="Calibri" w:hAnsi="Times New Roman" w:cs="Times New Roman"/>
          <w:b/>
          <w:sz w:val="24"/>
          <w:szCs w:val="24"/>
        </w:rPr>
        <w:t>:</w:t>
      </w:r>
      <w:r w:rsidR="006D5744">
        <w:rPr>
          <w:rFonts w:ascii="Times New Roman" w:eastAsia="Calibri" w:hAnsi="Times New Roman" w:cs="Times New Roman"/>
          <w:b/>
          <w:sz w:val="24"/>
          <w:szCs w:val="24"/>
        </w:rPr>
        <w:t xml:space="preserve"> </w:t>
      </w:r>
      <w:r w:rsidR="00B64020" w:rsidRPr="00B64020">
        <w:rPr>
          <w:rFonts w:ascii="Times New Roman" w:eastAsia="Calibri" w:hAnsi="Times New Roman" w:cs="Times New Roman"/>
          <w:sz w:val="24"/>
          <w:szCs w:val="24"/>
        </w:rPr>
        <w:t>Q</w:t>
      </w:r>
      <w:r w:rsidR="00B64020" w:rsidRPr="00B64020">
        <w:rPr>
          <w:rFonts w:ascii="Times New Roman" w:eastAsia="Calibri" w:hAnsi="Times New Roman" w:cs="Times New Roman"/>
          <w:sz w:val="24"/>
          <w:szCs w:val="24"/>
          <w:vertAlign w:val="superscript"/>
        </w:rPr>
        <w:t>2</w:t>
      </w:r>
      <w:r w:rsidR="00B64020" w:rsidRPr="00B64020">
        <w:rPr>
          <w:rFonts w:ascii="Times New Roman" w:eastAsia="Calibri" w:hAnsi="Times New Roman" w:cs="Times New Roman"/>
          <w:sz w:val="24"/>
          <w:szCs w:val="24"/>
        </w:rPr>
        <w:t xml:space="preserve"> values indicate a model's predictive ability for the dependent variable using independent variables. Common benchmarks are: &lt;0, 0.02 -0.15, 0.15 – 0.35, and &gt; 0.35, representing zero, small, medium, and large predictive relevance (Hair et al., 2013). In this study, the Blindfolding Algorithm yielded: HR Practices had a Q</w:t>
      </w:r>
      <w:r w:rsidR="00B64020" w:rsidRPr="00B64020">
        <w:rPr>
          <w:rFonts w:ascii="Times New Roman" w:eastAsia="Calibri" w:hAnsi="Times New Roman" w:cs="Times New Roman"/>
          <w:sz w:val="24"/>
          <w:szCs w:val="24"/>
          <w:vertAlign w:val="superscript"/>
        </w:rPr>
        <w:t>2</w:t>
      </w:r>
      <w:r w:rsidR="00B64020" w:rsidRPr="00B64020">
        <w:rPr>
          <w:rFonts w:ascii="Times New Roman" w:eastAsia="Calibri" w:hAnsi="Times New Roman" w:cs="Times New Roman"/>
          <w:sz w:val="24"/>
          <w:szCs w:val="24"/>
        </w:rPr>
        <w:t xml:space="preserve"> value of 0.990, accounting for 99% variance in test outcomes. This shows remarkable predictive relevance and model effectiveness for new data points. Q</w:t>
      </w:r>
      <w:r w:rsidR="00B64020" w:rsidRPr="00B64020">
        <w:rPr>
          <w:rFonts w:ascii="Times New Roman" w:eastAsia="Calibri" w:hAnsi="Times New Roman" w:cs="Times New Roman"/>
          <w:sz w:val="24"/>
          <w:szCs w:val="24"/>
          <w:vertAlign w:val="superscript"/>
        </w:rPr>
        <w:t>2</w:t>
      </w:r>
      <w:r w:rsidR="00B64020" w:rsidRPr="00B64020">
        <w:rPr>
          <w:rFonts w:ascii="Times New Roman" w:eastAsia="Calibri" w:hAnsi="Times New Roman" w:cs="Times New Roman"/>
          <w:sz w:val="24"/>
          <w:szCs w:val="24"/>
        </w:rPr>
        <w:t xml:space="preserve"> for Trust (0.368) and Performance (0.412) falls in the large predictive relevance category with substantial power. </w:t>
      </w:r>
    </w:p>
    <w:p w:rsidR="00B64020" w:rsidRPr="00B64020" w:rsidRDefault="00D56627" w:rsidP="00B64020">
      <w:pPr>
        <w:spacing w:before="100" w:beforeAutospacing="1"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Table 10</w:t>
      </w:r>
      <w:r w:rsidR="00B64020" w:rsidRPr="00B64020">
        <w:rPr>
          <w:rFonts w:ascii="Times New Roman" w:eastAsia="Calibri" w:hAnsi="Times New Roman" w:cs="Times New Roman"/>
          <w:b/>
          <w:sz w:val="24"/>
          <w:szCs w:val="24"/>
        </w:rPr>
        <w:t>: Results of Coefficient of Determination (R</w:t>
      </w:r>
      <w:r w:rsidR="00B64020" w:rsidRPr="00B64020">
        <w:rPr>
          <w:rFonts w:ascii="Times New Roman" w:eastAsia="Calibri" w:hAnsi="Times New Roman" w:cs="Times New Roman"/>
          <w:b/>
          <w:sz w:val="24"/>
          <w:szCs w:val="24"/>
          <w:vertAlign w:val="superscript"/>
        </w:rPr>
        <w:t>2</w:t>
      </w:r>
      <w:r w:rsidR="00B64020" w:rsidRPr="00B64020">
        <w:rPr>
          <w:rFonts w:ascii="Times New Roman" w:eastAsia="Calibri" w:hAnsi="Times New Roman" w:cs="Times New Roman"/>
          <w:b/>
          <w:sz w:val="24"/>
          <w:szCs w:val="24"/>
        </w:rPr>
        <w:t>) and Predictive Relevance (Q</w:t>
      </w:r>
      <w:r w:rsidR="00B64020" w:rsidRPr="00B64020">
        <w:rPr>
          <w:rFonts w:ascii="Times New Roman" w:eastAsia="Calibri" w:hAnsi="Times New Roman" w:cs="Times New Roman"/>
          <w:b/>
          <w:sz w:val="24"/>
          <w:szCs w:val="24"/>
          <w:vertAlign w:val="superscript"/>
        </w:rPr>
        <w:t>2</w:t>
      </w:r>
      <w:r w:rsidR="00B64020" w:rsidRPr="00B64020">
        <w:rPr>
          <w:rFonts w:ascii="Times New Roman" w:eastAsia="Calibri" w:hAnsi="Times New Roman" w:cs="Times New Roman"/>
          <w:b/>
          <w:sz w:val="24"/>
          <w:szCs w:val="24"/>
        </w:rPr>
        <w:t>)</w:t>
      </w:r>
    </w:p>
    <w:tbl>
      <w:tblPr>
        <w:tblStyle w:val="TableGrid"/>
        <w:tblW w:w="0" w:type="auto"/>
        <w:jc w:val="center"/>
        <w:tblInd w:w="0" w:type="dxa"/>
        <w:tblLook w:val="04A0" w:firstRow="1" w:lastRow="0" w:firstColumn="1" w:lastColumn="0" w:noHBand="0" w:noVBand="1"/>
      </w:tblPr>
      <w:tblGrid>
        <w:gridCol w:w="3415"/>
        <w:gridCol w:w="1265"/>
        <w:gridCol w:w="1615"/>
      </w:tblGrid>
      <w:tr w:rsidR="00B64020" w:rsidRPr="00B64020" w:rsidTr="00B64020">
        <w:trPr>
          <w:jc w:val="center"/>
        </w:trPr>
        <w:tc>
          <w:tcPr>
            <w:tcW w:w="34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hAnsi="Times New Roman"/>
                <w:b/>
                <w:sz w:val="24"/>
                <w:szCs w:val="24"/>
              </w:rPr>
            </w:pPr>
            <w:r w:rsidRPr="00B64020">
              <w:rPr>
                <w:rFonts w:ascii="Times New Roman" w:eastAsia="Times New Roman" w:hAnsi="Times New Roman" w:hint="eastAsia"/>
                <w:b/>
                <w:sz w:val="24"/>
                <w:szCs w:val="24"/>
              </w:rPr>
              <w:t>Endogenous Latent Variables</w:t>
            </w:r>
          </w:p>
        </w:tc>
        <w:tc>
          <w:tcPr>
            <w:tcW w:w="126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R</w:t>
            </w:r>
            <w:r w:rsidRPr="00B64020">
              <w:rPr>
                <w:rFonts w:ascii="Times New Roman" w:eastAsia="Times New Roman" w:hAnsi="Times New Roman" w:hint="eastAsia"/>
                <w:b/>
                <w:sz w:val="24"/>
                <w:szCs w:val="24"/>
                <w:vertAlign w:val="superscript"/>
              </w:rPr>
              <w:t>2</w:t>
            </w:r>
            <w:r w:rsidRPr="00B64020">
              <w:rPr>
                <w:rFonts w:ascii="Times New Roman" w:eastAsia="Times New Roman" w:hAnsi="Times New Roman"/>
                <w:b/>
                <w:sz w:val="24"/>
                <w:szCs w:val="24"/>
              </w:rPr>
              <w:t xml:space="preserve"> </w:t>
            </w:r>
            <w:r w:rsidRPr="00B64020">
              <w:rPr>
                <w:rFonts w:ascii="Times New Roman" w:eastAsia="Times New Roman" w:hAnsi="Times New Roman" w:hint="eastAsia"/>
                <w:b/>
                <w:sz w:val="24"/>
                <w:szCs w:val="24"/>
              </w:rPr>
              <w:t>Value</w:t>
            </w:r>
          </w:p>
        </w:tc>
        <w:tc>
          <w:tcPr>
            <w:tcW w:w="16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b/>
                <w:sz w:val="24"/>
                <w:szCs w:val="24"/>
              </w:rPr>
            </w:pPr>
            <w:r w:rsidRPr="00B64020">
              <w:rPr>
                <w:rFonts w:ascii="Times New Roman" w:eastAsia="Times New Roman" w:hAnsi="Times New Roman" w:hint="eastAsia"/>
                <w:b/>
                <w:sz w:val="24"/>
                <w:szCs w:val="24"/>
              </w:rPr>
              <w:t>Q</w:t>
            </w:r>
            <w:r w:rsidRPr="00B64020">
              <w:rPr>
                <w:rFonts w:ascii="Times New Roman" w:eastAsia="Times New Roman" w:hAnsi="Times New Roman" w:hint="eastAsia"/>
                <w:b/>
                <w:sz w:val="24"/>
                <w:szCs w:val="24"/>
                <w:vertAlign w:val="superscript"/>
              </w:rPr>
              <w:t>2</w:t>
            </w:r>
            <w:r w:rsidRPr="00B64020">
              <w:rPr>
                <w:rFonts w:ascii="Times New Roman" w:eastAsia="Times New Roman" w:hAnsi="Times New Roman"/>
                <w:b/>
                <w:sz w:val="24"/>
                <w:szCs w:val="24"/>
              </w:rPr>
              <w:t xml:space="preserve"> </w:t>
            </w:r>
            <w:r w:rsidRPr="00B64020">
              <w:rPr>
                <w:rFonts w:ascii="Times New Roman" w:eastAsia="Times New Roman" w:hAnsi="Times New Roman" w:hint="eastAsia"/>
                <w:b/>
                <w:sz w:val="24"/>
                <w:szCs w:val="24"/>
              </w:rPr>
              <w:t>Value</w:t>
            </w:r>
          </w:p>
        </w:tc>
      </w:tr>
      <w:tr w:rsidR="00B64020" w:rsidRPr="00B64020" w:rsidTr="00B64020">
        <w:trPr>
          <w:jc w:val="center"/>
        </w:trPr>
        <w:tc>
          <w:tcPr>
            <w:tcW w:w="34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Trust</w:t>
            </w:r>
          </w:p>
        </w:tc>
        <w:tc>
          <w:tcPr>
            <w:tcW w:w="126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0.377</w:t>
            </w:r>
          </w:p>
        </w:tc>
        <w:tc>
          <w:tcPr>
            <w:tcW w:w="16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0.368</w:t>
            </w:r>
          </w:p>
        </w:tc>
      </w:tr>
      <w:tr w:rsidR="00B64020" w:rsidRPr="00B64020" w:rsidTr="00B64020">
        <w:trPr>
          <w:jc w:val="center"/>
        </w:trPr>
        <w:tc>
          <w:tcPr>
            <w:tcW w:w="34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Performance</w:t>
            </w:r>
          </w:p>
        </w:tc>
        <w:tc>
          <w:tcPr>
            <w:tcW w:w="126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0.385</w:t>
            </w:r>
          </w:p>
        </w:tc>
        <w:tc>
          <w:tcPr>
            <w:tcW w:w="16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0.412</w:t>
            </w:r>
          </w:p>
        </w:tc>
      </w:tr>
    </w:tbl>
    <w:p w:rsidR="00B64020" w:rsidRPr="00B64020" w:rsidRDefault="00B64020" w:rsidP="00B64020">
      <w:pPr>
        <w:spacing w:before="100" w:beforeAutospacing="1" w:line="360" w:lineRule="auto"/>
        <w:jc w:val="both"/>
        <w:rPr>
          <w:rFonts w:ascii="Times New Roman" w:eastAsia="Calibri" w:hAnsi="Times New Roman" w:cs="Times New Roman"/>
          <w:b/>
          <w:sz w:val="24"/>
          <w:szCs w:val="24"/>
        </w:rPr>
      </w:pPr>
      <w:r w:rsidRPr="00B64020">
        <w:rPr>
          <w:rFonts w:ascii="Times New Roman" w:eastAsia="Calibri" w:hAnsi="Times New Roman" w:cs="Times New Roman"/>
          <w:color w:val="FF0000"/>
          <w:sz w:val="24"/>
          <w:szCs w:val="24"/>
        </w:rPr>
        <w:t xml:space="preserve"> </w:t>
      </w:r>
      <w:r w:rsidRPr="00B64020">
        <w:rPr>
          <w:rFonts w:ascii="Times New Roman" w:eastAsia="Calibri" w:hAnsi="Times New Roman" w:cs="Times New Roman"/>
          <w:sz w:val="24"/>
          <w:szCs w:val="24"/>
        </w:rPr>
        <w:t>To summarize, the Q</w:t>
      </w:r>
      <w:r w:rsidRPr="00B64020">
        <w:rPr>
          <w:rFonts w:ascii="Times New Roman" w:eastAsia="Calibri" w:hAnsi="Times New Roman" w:cs="Times New Roman"/>
          <w:sz w:val="24"/>
          <w:szCs w:val="24"/>
          <w:vertAlign w:val="superscript"/>
        </w:rPr>
        <w:t>2</w:t>
      </w:r>
      <w:r w:rsidRPr="00B64020">
        <w:rPr>
          <w:rFonts w:ascii="Times New Roman" w:eastAsia="Calibri" w:hAnsi="Times New Roman" w:cs="Times New Roman"/>
          <w:sz w:val="24"/>
          <w:szCs w:val="24"/>
        </w:rPr>
        <w:t xml:space="preserve"> values have a strong to exceptional ability to predict out-of-sample data.</w:t>
      </w:r>
    </w:p>
    <w:p w:rsidR="00B64020" w:rsidRDefault="00BE6B90" w:rsidP="006D5744">
      <w:pPr>
        <w:spacing w:before="100" w:beforeAutospacing="1" w:line="360" w:lineRule="auto"/>
        <w:jc w:val="both"/>
        <w:rPr>
          <w:rFonts w:ascii="Times New Roman" w:eastAsia="Times New Roman" w:hAnsi="Times New Roman" w:cs="Times New Roman"/>
          <w:sz w:val="24"/>
          <w:szCs w:val="24"/>
        </w:rPr>
      </w:pPr>
      <w:r w:rsidRPr="005123F2">
        <w:rPr>
          <w:rFonts w:ascii="Times New Roman" w:eastAsia="Calibri" w:hAnsi="Times New Roman" w:cs="Times New Roman"/>
          <w:b/>
          <w:sz w:val="24"/>
          <w:szCs w:val="24"/>
        </w:rPr>
        <w:t>6</w:t>
      </w:r>
      <w:r w:rsidR="00B64020" w:rsidRPr="005123F2">
        <w:rPr>
          <w:rFonts w:ascii="Times New Roman" w:eastAsia="Calibri" w:hAnsi="Times New Roman" w:cs="Times New Roman"/>
          <w:b/>
          <w:sz w:val="24"/>
          <w:szCs w:val="24"/>
        </w:rPr>
        <w:t>.8</w:t>
      </w:r>
      <w:r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The f</w:t>
      </w:r>
      <w:r w:rsidR="00B64020" w:rsidRPr="005123F2">
        <w:rPr>
          <w:rFonts w:ascii="Times New Roman" w:eastAsia="Calibri" w:hAnsi="Times New Roman" w:cs="Times New Roman"/>
          <w:b/>
          <w:sz w:val="24"/>
          <w:szCs w:val="24"/>
          <w:vertAlign w:val="superscript"/>
        </w:rPr>
        <w:t>2</w:t>
      </w:r>
      <w:r w:rsidR="00B64020" w:rsidRPr="005123F2">
        <w:rPr>
          <w:rFonts w:ascii="Times New Roman" w:eastAsia="Calibri" w:hAnsi="Times New Roman" w:cs="Times New Roman"/>
          <w:b/>
          <w:sz w:val="24"/>
          <w:szCs w:val="24"/>
        </w:rPr>
        <w:t xml:space="preserve"> Effect Size</w:t>
      </w:r>
      <w:r w:rsidR="006D5744" w:rsidRPr="005123F2">
        <w:rPr>
          <w:rFonts w:ascii="Times New Roman" w:eastAsia="Calibri" w:hAnsi="Times New Roman" w:cs="Times New Roman"/>
          <w:b/>
          <w:sz w:val="24"/>
          <w:szCs w:val="24"/>
        </w:rPr>
        <w:t>:</w:t>
      </w:r>
      <w:r w:rsidR="006D5744">
        <w:rPr>
          <w:rFonts w:ascii="Times New Roman" w:eastAsia="Calibri" w:hAnsi="Times New Roman" w:cs="Times New Roman"/>
          <w:b/>
          <w:sz w:val="24"/>
          <w:szCs w:val="24"/>
        </w:rPr>
        <w:t xml:space="preserve"> </w:t>
      </w:r>
      <w:r w:rsidR="00B64020" w:rsidRPr="00B64020">
        <w:rPr>
          <w:rFonts w:ascii="Times New Roman" w:eastAsia="Times New Roman" w:hAnsi="Times New Roman" w:cs="Times New Roman"/>
          <w:i/>
          <w:iCs/>
          <w:sz w:val="24"/>
          <w:szCs w:val="24"/>
        </w:rPr>
        <w:t>f</w:t>
      </w:r>
      <w:r w:rsidR="00B64020" w:rsidRPr="00B64020">
        <w:rPr>
          <w:rFonts w:ascii="Times New Roman" w:eastAsia="Times New Roman" w:hAnsi="Times New Roman" w:cs="Times New Roman"/>
          <w:i/>
          <w:iCs/>
          <w:sz w:val="24"/>
          <w:szCs w:val="24"/>
          <w:vertAlign w:val="superscript"/>
        </w:rPr>
        <w:t>2</w:t>
      </w:r>
      <w:r w:rsidR="00B64020" w:rsidRPr="00B64020">
        <w:rPr>
          <w:rFonts w:ascii="Times New Roman" w:eastAsia="Times New Roman" w:hAnsi="Times New Roman" w:cs="Times New Roman"/>
          <w:sz w:val="24"/>
          <w:szCs w:val="24"/>
        </w:rPr>
        <w:t xml:space="preserve"> indicates a predictor's contribution to the model. According to Cohen (1988), values of 0.02, 0.15, and 0.35 represent small, medium, and large effects of an exogenous variable on an endogenous variable. Values less than 0.02 indicate no effect. </w:t>
      </w:r>
      <w:r w:rsidR="0062181F" w:rsidRPr="0062181F">
        <w:rPr>
          <w:rFonts w:ascii="Times New Roman" w:eastAsia="Times New Roman" w:hAnsi="Times New Roman" w:cs="Times New Roman"/>
          <w:sz w:val="24"/>
          <w:szCs w:val="24"/>
        </w:rPr>
        <w:t>Table 11 s</w:t>
      </w:r>
      <w:r w:rsidR="00B64020" w:rsidRPr="00B64020">
        <w:rPr>
          <w:rFonts w:ascii="Times New Roman" w:eastAsia="Times New Roman" w:hAnsi="Times New Roman" w:cs="Times New Roman"/>
          <w:sz w:val="24"/>
          <w:szCs w:val="24"/>
        </w:rPr>
        <w:t xml:space="preserve">hows that the exogenous variable has a substantial effect on the endogenous variable, with the largest impact being HR Practices &gt; Trust (0.599) and the smallest (0.016) on Trust &gt; Performance, indicating a small effect of the exogenous variable on the endogenous variable. </w:t>
      </w:r>
    </w:p>
    <w:p w:rsidR="00B64020" w:rsidRPr="00D56627" w:rsidRDefault="00D56627" w:rsidP="00D56627">
      <w:pPr>
        <w:spacing w:before="100" w:beforeAutospacing="1" w:after="0" w:line="360" w:lineRule="auto"/>
        <w:jc w:val="center"/>
        <w:rPr>
          <w:rFonts w:ascii="Times New Roman" w:eastAsia="Calibri" w:hAnsi="Times New Roman" w:cs="Times New Roman"/>
          <w:b/>
          <w:sz w:val="24"/>
          <w:szCs w:val="24"/>
        </w:rPr>
      </w:pPr>
      <w:r>
        <w:rPr>
          <w:rFonts w:ascii="Times New Roman" w:eastAsia="Calibri" w:hAnsi="Times New Roman" w:cs="Times New Roman"/>
          <w:b/>
          <w:color w:val="000000"/>
          <w:sz w:val="24"/>
          <w:szCs w:val="24"/>
        </w:rPr>
        <w:t>Table 11</w:t>
      </w:r>
      <w:r w:rsidR="00B64020" w:rsidRPr="00B64020">
        <w:rPr>
          <w:rFonts w:ascii="Times New Roman" w:eastAsia="Calibri" w:hAnsi="Times New Roman" w:cs="Times New Roman"/>
          <w:b/>
          <w:color w:val="000000"/>
          <w:sz w:val="24"/>
          <w:szCs w:val="24"/>
        </w:rPr>
        <w:t>:</w:t>
      </w:r>
      <w:r w:rsidR="00B64020" w:rsidRPr="00B64020">
        <w:rPr>
          <w:rFonts w:ascii="Times New Roman" w:eastAsia="Calibri" w:hAnsi="Times New Roman" w:cs="Times New Roman"/>
          <w:b/>
          <w:color w:val="FF0000"/>
          <w:sz w:val="24"/>
          <w:szCs w:val="24"/>
        </w:rPr>
        <w:t xml:space="preserve"> </w:t>
      </w:r>
      <w:r w:rsidR="00B64020" w:rsidRPr="00B64020">
        <w:rPr>
          <w:rFonts w:ascii="Times New Roman" w:eastAsia="Calibri" w:hAnsi="Times New Roman" w:cs="Times New Roman"/>
          <w:b/>
          <w:sz w:val="24"/>
          <w:szCs w:val="24"/>
        </w:rPr>
        <w:t xml:space="preserve">Results of </w:t>
      </w:r>
      <w:r w:rsidR="00B64020" w:rsidRPr="00B64020">
        <w:rPr>
          <w:rFonts w:ascii="Times New Roman" w:eastAsia="Calibri" w:hAnsi="Times New Roman" w:cs="Times New Roman"/>
          <w:b/>
          <w:i/>
          <w:sz w:val="24"/>
          <w:szCs w:val="24"/>
        </w:rPr>
        <w:t>f</w:t>
      </w:r>
      <w:r w:rsidR="00B64020" w:rsidRPr="00B64020">
        <w:rPr>
          <w:rFonts w:ascii="Times New Roman" w:eastAsia="Calibri" w:hAnsi="Times New Roman" w:cs="Times New Roman"/>
          <w:b/>
          <w:i/>
          <w:sz w:val="24"/>
          <w:szCs w:val="24"/>
          <w:vertAlign w:val="superscript"/>
        </w:rPr>
        <w:t>2</w:t>
      </w:r>
    </w:p>
    <w:tbl>
      <w:tblPr>
        <w:tblStyle w:val="TableGrid"/>
        <w:tblW w:w="0" w:type="auto"/>
        <w:jc w:val="center"/>
        <w:tblInd w:w="0" w:type="dxa"/>
        <w:tblLook w:val="04A0" w:firstRow="1" w:lastRow="0" w:firstColumn="1" w:lastColumn="0" w:noHBand="0" w:noVBand="1"/>
      </w:tblPr>
      <w:tblGrid>
        <w:gridCol w:w="4675"/>
        <w:gridCol w:w="1980"/>
        <w:gridCol w:w="2160"/>
      </w:tblGrid>
      <w:tr w:rsidR="00B64020" w:rsidRPr="00B64020" w:rsidTr="00D56627">
        <w:trPr>
          <w:jc w:val="center"/>
        </w:trPr>
        <w:tc>
          <w:tcPr>
            <w:tcW w:w="8815" w:type="dxa"/>
            <w:gridSpan w:val="3"/>
            <w:tcBorders>
              <w:top w:val="single" w:sz="4" w:space="0" w:color="000000"/>
              <w:left w:val="single" w:sz="4" w:space="0" w:color="000000"/>
              <w:bottom w:val="single" w:sz="4" w:space="0" w:color="000000"/>
              <w:right w:val="single" w:sz="4" w:space="0" w:color="000000"/>
            </w:tcBorders>
            <w:hideMark/>
          </w:tcPr>
          <w:p w:rsidR="00B64020" w:rsidRPr="00B51348" w:rsidRDefault="00B64020" w:rsidP="00B64020">
            <w:pPr>
              <w:spacing w:line="360" w:lineRule="auto"/>
              <w:jc w:val="right"/>
              <w:rPr>
                <w:rFonts w:ascii="Times New Roman" w:hAnsi="Times New Roman"/>
                <w:b/>
                <w:szCs w:val="24"/>
              </w:rPr>
            </w:pPr>
            <w:r w:rsidRPr="00B51348">
              <w:rPr>
                <w:rFonts w:ascii="Times New Roman" w:eastAsia="Times New Roman" w:hAnsi="Times New Roman" w:hint="eastAsia"/>
                <w:b/>
                <w:szCs w:val="24"/>
              </w:rPr>
              <w:t xml:space="preserve">HR Practices, Trust, and Performance </w:t>
            </w:r>
            <w:r w:rsidRPr="00B51348">
              <w:rPr>
                <w:rFonts w:ascii="Times New Roman" w:eastAsia="Times New Roman" w:hAnsi="Times New Roman"/>
                <w:b/>
                <w:szCs w:val="24"/>
              </w:rPr>
              <w:t xml:space="preserve">  </w:t>
            </w:r>
          </w:p>
        </w:tc>
      </w:tr>
      <w:tr w:rsidR="00B64020" w:rsidRPr="00B64020" w:rsidTr="00D56627">
        <w:trPr>
          <w:jc w:val="center"/>
        </w:trPr>
        <w:tc>
          <w:tcPr>
            <w:tcW w:w="4675" w:type="dxa"/>
            <w:tcBorders>
              <w:top w:val="single" w:sz="4" w:space="0" w:color="000000"/>
              <w:left w:val="single" w:sz="4" w:space="0" w:color="000000"/>
              <w:bottom w:val="single" w:sz="4" w:space="0" w:color="000000"/>
              <w:right w:val="single" w:sz="4" w:space="0" w:color="000000"/>
            </w:tcBorders>
          </w:tcPr>
          <w:p w:rsidR="00B64020" w:rsidRPr="00B64020" w:rsidRDefault="00B64020" w:rsidP="00B64020">
            <w:pPr>
              <w:spacing w:line="360" w:lineRule="auto"/>
              <w:jc w:val="both"/>
              <w:rPr>
                <w:rFonts w:ascii="Times New Roman" w:eastAsia="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rsidR="00B64020" w:rsidRPr="00B51348" w:rsidRDefault="00B64020" w:rsidP="00B64020">
            <w:pPr>
              <w:spacing w:line="256" w:lineRule="auto"/>
              <w:jc w:val="center"/>
              <w:rPr>
                <w:rFonts w:ascii="Times New Roman" w:eastAsia="Times New Roman" w:hAnsi="Times New Roman"/>
                <w:b/>
                <w:szCs w:val="24"/>
              </w:rPr>
            </w:pPr>
            <w:r w:rsidRPr="00B51348">
              <w:rPr>
                <w:rFonts w:ascii="Times New Roman" w:eastAsia="Times New Roman" w:hAnsi="Times New Roman" w:hint="eastAsia"/>
                <w:b/>
                <w:szCs w:val="24"/>
              </w:rPr>
              <w:t>Path Coefficient</w:t>
            </w:r>
          </w:p>
        </w:tc>
        <w:tc>
          <w:tcPr>
            <w:tcW w:w="2160" w:type="dxa"/>
            <w:tcBorders>
              <w:top w:val="single" w:sz="4" w:space="0" w:color="000000"/>
              <w:left w:val="single" w:sz="4" w:space="0" w:color="000000"/>
              <w:bottom w:val="single" w:sz="4" w:space="0" w:color="000000"/>
              <w:right w:val="single" w:sz="4" w:space="0" w:color="000000"/>
            </w:tcBorders>
            <w:hideMark/>
          </w:tcPr>
          <w:p w:rsidR="00B64020" w:rsidRPr="00B51348" w:rsidRDefault="00B64020" w:rsidP="00B64020">
            <w:pPr>
              <w:spacing w:line="360" w:lineRule="auto"/>
              <w:jc w:val="center"/>
              <w:rPr>
                <w:rFonts w:ascii="Times New Roman" w:eastAsia="Times New Roman" w:hAnsi="Times New Roman"/>
                <w:szCs w:val="24"/>
              </w:rPr>
            </w:pPr>
            <w:r w:rsidRPr="00B51348">
              <w:rPr>
                <w:rFonts w:ascii="Times New Roman" w:eastAsia="Times New Roman" w:hAnsi="Times New Roman" w:hint="eastAsia"/>
                <w:b/>
                <w:i/>
                <w:szCs w:val="24"/>
              </w:rPr>
              <w:t>f</w:t>
            </w:r>
            <w:r w:rsidRPr="00B51348">
              <w:rPr>
                <w:rFonts w:ascii="Times New Roman" w:eastAsia="Times New Roman" w:hAnsi="Times New Roman" w:hint="eastAsia"/>
                <w:b/>
                <w:i/>
                <w:szCs w:val="24"/>
                <w:vertAlign w:val="superscript"/>
              </w:rPr>
              <w:t>2</w:t>
            </w:r>
            <w:r w:rsidRPr="00B51348">
              <w:rPr>
                <w:rFonts w:ascii="Times New Roman" w:eastAsia="Times New Roman" w:hAnsi="Times New Roman"/>
                <w:b/>
                <w:i/>
                <w:szCs w:val="24"/>
              </w:rPr>
              <w:t xml:space="preserve"> </w:t>
            </w:r>
            <w:r w:rsidRPr="00B51348">
              <w:rPr>
                <w:rFonts w:ascii="Times New Roman" w:eastAsia="Times New Roman" w:hAnsi="Times New Roman" w:hint="eastAsia"/>
                <w:b/>
                <w:szCs w:val="24"/>
              </w:rPr>
              <w:t>Effect Size</w:t>
            </w:r>
          </w:p>
        </w:tc>
      </w:tr>
      <w:tr w:rsidR="00B64020" w:rsidRPr="00B64020" w:rsidTr="00D56627">
        <w:trPr>
          <w:jc w:val="center"/>
        </w:trPr>
        <w:tc>
          <w:tcPr>
            <w:tcW w:w="4675" w:type="dxa"/>
            <w:tcBorders>
              <w:top w:val="single" w:sz="4" w:space="0" w:color="000000"/>
              <w:left w:val="single" w:sz="4" w:space="0" w:color="000000"/>
              <w:bottom w:val="single" w:sz="4" w:space="0" w:color="000000"/>
              <w:right w:val="single" w:sz="4" w:space="0" w:color="000000"/>
            </w:tcBorders>
            <w:hideMark/>
          </w:tcPr>
          <w:p w:rsidR="00B64020" w:rsidRPr="00B51348" w:rsidRDefault="00B64020" w:rsidP="00B64020">
            <w:pPr>
              <w:spacing w:line="256" w:lineRule="auto"/>
              <w:jc w:val="both"/>
              <w:rPr>
                <w:rFonts w:ascii="Times New Roman" w:eastAsia="Times New Roman" w:hAnsi="Times New Roman"/>
                <w:szCs w:val="24"/>
              </w:rPr>
            </w:pPr>
            <w:r w:rsidRPr="00B51348">
              <w:rPr>
                <w:rFonts w:ascii="Times New Roman" w:eastAsia="Times New Roman" w:hAnsi="Times New Roman" w:hint="eastAsia"/>
                <w:szCs w:val="24"/>
              </w:rPr>
              <w:t>HR Practices &gt; Performance</w:t>
            </w:r>
          </w:p>
          <w:p w:rsidR="00B64020" w:rsidRPr="00B51348" w:rsidRDefault="00B64020" w:rsidP="00B64020">
            <w:pPr>
              <w:spacing w:line="256" w:lineRule="auto"/>
              <w:jc w:val="both"/>
              <w:rPr>
                <w:rFonts w:ascii="Times New Roman" w:eastAsia="Times New Roman" w:hAnsi="Times New Roman"/>
                <w:szCs w:val="24"/>
              </w:rPr>
            </w:pPr>
            <w:r w:rsidRPr="00B51348">
              <w:rPr>
                <w:rFonts w:ascii="Times New Roman" w:eastAsia="Times New Roman" w:hAnsi="Times New Roman" w:hint="eastAsia"/>
                <w:szCs w:val="24"/>
              </w:rPr>
              <w:t>HR Practices &gt; Trust</w:t>
            </w:r>
          </w:p>
          <w:p w:rsidR="00B64020" w:rsidRPr="00B51348" w:rsidRDefault="00B64020" w:rsidP="00B64020">
            <w:pPr>
              <w:spacing w:line="256" w:lineRule="auto"/>
              <w:jc w:val="both"/>
              <w:rPr>
                <w:rFonts w:ascii="Times New Roman" w:eastAsia="Times New Roman" w:hAnsi="Times New Roman"/>
                <w:szCs w:val="24"/>
              </w:rPr>
            </w:pPr>
            <w:r w:rsidRPr="00B51348">
              <w:rPr>
                <w:rFonts w:ascii="Times New Roman" w:eastAsia="Times New Roman" w:hAnsi="Times New Roman" w:hint="eastAsia"/>
                <w:szCs w:val="24"/>
              </w:rPr>
              <w:t>Trust &gt; Performance</w:t>
            </w:r>
          </w:p>
        </w:tc>
        <w:tc>
          <w:tcPr>
            <w:tcW w:w="1980" w:type="dxa"/>
            <w:tcBorders>
              <w:top w:val="single" w:sz="4" w:space="0" w:color="000000"/>
              <w:left w:val="single" w:sz="4" w:space="0" w:color="000000"/>
              <w:bottom w:val="single" w:sz="4" w:space="0" w:color="000000"/>
              <w:right w:val="single" w:sz="4" w:space="0" w:color="000000"/>
            </w:tcBorders>
            <w:hideMark/>
          </w:tcPr>
          <w:p w:rsidR="00B64020" w:rsidRPr="00B51348" w:rsidRDefault="00B64020" w:rsidP="00B64020">
            <w:pPr>
              <w:spacing w:line="256" w:lineRule="auto"/>
              <w:jc w:val="center"/>
              <w:rPr>
                <w:rFonts w:ascii="Times New Roman" w:eastAsia="Times New Roman" w:hAnsi="Times New Roman"/>
                <w:szCs w:val="24"/>
              </w:rPr>
            </w:pPr>
            <w:r w:rsidRPr="00B51348">
              <w:rPr>
                <w:rFonts w:ascii="Times New Roman" w:eastAsia="Times New Roman" w:hAnsi="Times New Roman" w:hint="eastAsia"/>
                <w:szCs w:val="24"/>
              </w:rPr>
              <w:t>0.361</w:t>
            </w:r>
          </w:p>
          <w:p w:rsidR="00B64020" w:rsidRPr="00B51348" w:rsidRDefault="00B64020" w:rsidP="00B64020">
            <w:pPr>
              <w:spacing w:line="256" w:lineRule="auto"/>
              <w:jc w:val="center"/>
              <w:rPr>
                <w:rFonts w:ascii="Times New Roman" w:eastAsia="Times New Roman" w:hAnsi="Times New Roman"/>
                <w:szCs w:val="24"/>
              </w:rPr>
            </w:pPr>
            <w:r w:rsidRPr="00B51348">
              <w:rPr>
                <w:rFonts w:ascii="Times New Roman" w:eastAsia="Times New Roman" w:hAnsi="Times New Roman" w:hint="eastAsia"/>
                <w:szCs w:val="24"/>
              </w:rPr>
              <w:t>0.599</w:t>
            </w:r>
          </w:p>
          <w:p w:rsidR="00B64020" w:rsidRPr="00B51348" w:rsidRDefault="00B64020" w:rsidP="00B64020">
            <w:pPr>
              <w:spacing w:line="256" w:lineRule="auto"/>
              <w:jc w:val="center"/>
              <w:rPr>
                <w:rFonts w:ascii="Times New Roman" w:eastAsia="Times New Roman" w:hAnsi="Times New Roman"/>
                <w:szCs w:val="24"/>
              </w:rPr>
            </w:pPr>
            <w:r w:rsidRPr="00B51348">
              <w:rPr>
                <w:rFonts w:ascii="Times New Roman" w:eastAsia="Times New Roman" w:hAnsi="Times New Roman" w:hint="eastAsia"/>
                <w:szCs w:val="24"/>
              </w:rPr>
              <w:t>0.016</w:t>
            </w:r>
          </w:p>
        </w:tc>
        <w:tc>
          <w:tcPr>
            <w:tcW w:w="2160" w:type="dxa"/>
            <w:tcBorders>
              <w:top w:val="single" w:sz="4" w:space="0" w:color="000000"/>
              <w:left w:val="single" w:sz="4" w:space="0" w:color="000000"/>
              <w:bottom w:val="single" w:sz="4" w:space="0" w:color="000000"/>
              <w:right w:val="single" w:sz="4" w:space="0" w:color="000000"/>
            </w:tcBorders>
            <w:hideMark/>
          </w:tcPr>
          <w:p w:rsidR="00B64020" w:rsidRPr="00B51348" w:rsidRDefault="00B64020" w:rsidP="00B64020">
            <w:pPr>
              <w:spacing w:line="256" w:lineRule="auto"/>
              <w:jc w:val="center"/>
              <w:rPr>
                <w:rFonts w:ascii="Times New Roman" w:eastAsia="Times New Roman" w:hAnsi="Times New Roman"/>
                <w:szCs w:val="24"/>
              </w:rPr>
            </w:pPr>
            <w:r w:rsidRPr="00B51348">
              <w:rPr>
                <w:rFonts w:ascii="Times New Roman" w:eastAsia="Times New Roman" w:hAnsi="Times New Roman" w:hint="eastAsia"/>
                <w:szCs w:val="24"/>
              </w:rPr>
              <w:t>0.361</w:t>
            </w:r>
          </w:p>
          <w:p w:rsidR="00B64020" w:rsidRPr="00B51348" w:rsidRDefault="00B64020" w:rsidP="00B64020">
            <w:pPr>
              <w:spacing w:line="256" w:lineRule="auto"/>
              <w:jc w:val="center"/>
              <w:rPr>
                <w:rFonts w:ascii="Times New Roman" w:eastAsia="Times New Roman" w:hAnsi="Times New Roman"/>
                <w:szCs w:val="24"/>
              </w:rPr>
            </w:pPr>
            <w:r w:rsidRPr="00B51348">
              <w:rPr>
                <w:rFonts w:ascii="Times New Roman" w:eastAsia="Times New Roman" w:hAnsi="Times New Roman" w:hint="eastAsia"/>
                <w:szCs w:val="24"/>
              </w:rPr>
              <w:t>0.599</w:t>
            </w:r>
          </w:p>
          <w:p w:rsidR="00B64020" w:rsidRPr="00B51348" w:rsidRDefault="00B64020" w:rsidP="00B64020">
            <w:pPr>
              <w:spacing w:line="256" w:lineRule="auto"/>
              <w:jc w:val="center"/>
              <w:rPr>
                <w:rFonts w:ascii="Times New Roman" w:eastAsia="Times New Roman" w:hAnsi="Times New Roman"/>
                <w:szCs w:val="24"/>
              </w:rPr>
            </w:pPr>
            <w:r w:rsidRPr="00B51348">
              <w:rPr>
                <w:rFonts w:ascii="Times New Roman" w:eastAsia="Times New Roman" w:hAnsi="Times New Roman" w:hint="eastAsia"/>
                <w:szCs w:val="24"/>
              </w:rPr>
              <w:t>0.016</w:t>
            </w:r>
          </w:p>
        </w:tc>
      </w:tr>
    </w:tbl>
    <w:p w:rsidR="00B64020" w:rsidRPr="00B64020" w:rsidRDefault="00B64020" w:rsidP="00D56627">
      <w:pPr>
        <w:spacing w:before="100" w:beforeAutospacing="1" w:after="0" w:line="360" w:lineRule="auto"/>
        <w:jc w:val="both"/>
        <w:rPr>
          <w:rFonts w:ascii="Times New Roman" w:eastAsia="Calibri" w:hAnsi="Times New Roman" w:cs="Times New Roman"/>
          <w:b/>
          <w:sz w:val="24"/>
          <w:szCs w:val="24"/>
        </w:rPr>
      </w:pPr>
      <w:r w:rsidRPr="00B64020">
        <w:rPr>
          <w:rFonts w:ascii="Times New Roman" w:eastAsia="Calibri" w:hAnsi="Times New Roman" w:cs="Times New Roman"/>
          <w:b/>
          <w:sz w:val="24"/>
          <w:szCs w:val="24"/>
        </w:rPr>
        <w:t xml:space="preserve"> Summary of Hypotheses Testing</w:t>
      </w:r>
    </w:p>
    <w:p w:rsidR="00B64020" w:rsidRPr="00B64020" w:rsidRDefault="00B64020" w:rsidP="00B64020">
      <w:pPr>
        <w:spacing w:before="100" w:beforeAutospacing="1" w:line="360" w:lineRule="auto"/>
        <w:jc w:val="both"/>
        <w:rPr>
          <w:rFonts w:ascii="Times New Roman" w:eastAsia="Calibri" w:hAnsi="Times New Roman" w:cs="Times New Roman"/>
          <w:sz w:val="24"/>
          <w:szCs w:val="24"/>
        </w:rPr>
      </w:pPr>
      <w:r w:rsidRPr="00B64020">
        <w:rPr>
          <w:rFonts w:ascii="Times New Roman" w:eastAsia="Calibri" w:hAnsi="Times New Roman" w:cs="Times New Roman"/>
          <w:sz w:val="24"/>
          <w:szCs w:val="24"/>
        </w:rPr>
        <w:t>Table 5.15 indicates that the relationships between HR practices and performance (H1), as well as between HR practices and trust (H2), are statistically significant at p &lt; 0.005. However, the proposed pathway from trust to performance (H3) is not supported at p &lt; 0.005, despite yielding a p value of 0.043.</w:t>
      </w:r>
    </w:p>
    <w:p w:rsidR="00B64020" w:rsidRPr="00B64020" w:rsidRDefault="00D56627" w:rsidP="00D56627">
      <w:pPr>
        <w:spacing w:before="100" w:beforeAutospacing="1" w:line="360" w:lineRule="auto"/>
        <w:jc w:val="center"/>
        <w:rPr>
          <w:rFonts w:ascii="Times New Roman" w:eastAsia="Calibri" w:hAnsi="Times New Roman" w:cs="Times New Roman"/>
          <w:b/>
          <w:sz w:val="24"/>
          <w:szCs w:val="24"/>
        </w:rPr>
      </w:pPr>
      <w:r>
        <w:rPr>
          <w:rFonts w:ascii="Times New Roman" w:eastAsia="Calibri" w:hAnsi="Times New Roman" w:cs="Times New Roman"/>
          <w:b/>
          <w:color w:val="000000"/>
          <w:sz w:val="24"/>
          <w:szCs w:val="24"/>
        </w:rPr>
        <w:t>Table 12</w:t>
      </w:r>
      <w:r w:rsidR="00B64020" w:rsidRPr="00B64020">
        <w:rPr>
          <w:rFonts w:ascii="Times New Roman" w:eastAsia="Calibri" w:hAnsi="Times New Roman" w:cs="Times New Roman"/>
          <w:b/>
          <w:color w:val="000000"/>
          <w:sz w:val="24"/>
          <w:szCs w:val="24"/>
        </w:rPr>
        <w:t>:</w:t>
      </w:r>
      <w:r w:rsidR="00B64020" w:rsidRPr="00B64020">
        <w:rPr>
          <w:rFonts w:ascii="Times New Roman" w:eastAsia="Calibri" w:hAnsi="Times New Roman" w:cs="Times New Roman"/>
          <w:b/>
          <w:sz w:val="24"/>
          <w:szCs w:val="24"/>
        </w:rPr>
        <w:t xml:space="preserve"> Summary of Hypothesis Testing</w:t>
      </w:r>
    </w:p>
    <w:tbl>
      <w:tblPr>
        <w:tblStyle w:val="TableGrid"/>
        <w:tblW w:w="0" w:type="auto"/>
        <w:jc w:val="center"/>
        <w:tblInd w:w="0" w:type="dxa"/>
        <w:tblLook w:val="04A0" w:firstRow="1" w:lastRow="0" w:firstColumn="1" w:lastColumn="0" w:noHBand="0" w:noVBand="1"/>
      </w:tblPr>
      <w:tblGrid>
        <w:gridCol w:w="715"/>
        <w:gridCol w:w="2970"/>
        <w:gridCol w:w="1440"/>
      </w:tblGrid>
      <w:tr w:rsidR="00B64020" w:rsidRPr="00B64020" w:rsidTr="00D56627">
        <w:trPr>
          <w:jc w:val="center"/>
        </w:trPr>
        <w:tc>
          <w:tcPr>
            <w:tcW w:w="715" w:type="dxa"/>
            <w:tcBorders>
              <w:top w:val="single" w:sz="4" w:space="0" w:color="000000"/>
              <w:left w:val="single" w:sz="4" w:space="0" w:color="000000"/>
              <w:bottom w:val="single" w:sz="4" w:space="0" w:color="000000"/>
              <w:right w:val="single" w:sz="4" w:space="0" w:color="000000"/>
            </w:tcBorders>
          </w:tcPr>
          <w:p w:rsidR="00B64020" w:rsidRPr="00B64020" w:rsidRDefault="00B64020" w:rsidP="00B64020">
            <w:pPr>
              <w:spacing w:line="256" w:lineRule="auto"/>
              <w:rPr>
                <w:rFonts w:ascii="Times New Roman" w:hAnsi="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b/>
                <w:sz w:val="24"/>
                <w:szCs w:val="24"/>
              </w:rPr>
            </w:pPr>
            <w:r w:rsidRPr="00B64020">
              <w:rPr>
                <w:rFonts w:ascii="Times New Roman" w:eastAsia="Times New Roman" w:hAnsi="Times New Roman" w:hint="eastAsia"/>
                <w:b/>
                <w:sz w:val="24"/>
                <w:szCs w:val="24"/>
              </w:rPr>
              <w:t>Hypothesis</w:t>
            </w:r>
          </w:p>
        </w:tc>
        <w:tc>
          <w:tcPr>
            <w:tcW w:w="144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b/>
                <w:sz w:val="24"/>
                <w:szCs w:val="24"/>
              </w:rPr>
            </w:pPr>
            <w:r w:rsidRPr="00B64020">
              <w:rPr>
                <w:rFonts w:ascii="Times New Roman" w:eastAsia="Times New Roman" w:hAnsi="Times New Roman" w:hint="eastAsia"/>
                <w:b/>
                <w:sz w:val="24"/>
                <w:szCs w:val="24"/>
              </w:rPr>
              <w:t>Supported?</w:t>
            </w:r>
          </w:p>
          <w:p w:rsidR="00B64020" w:rsidRPr="00B64020" w:rsidRDefault="00B64020" w:rsidP="00B64020">
            <w:pPr>
              <w:spacing w:line="256" w:lineRule="auto"/>
              <w:rPr>
                <w:rFonts w:ascii="Times New Roman" w:eastAsia="Times New Roman" w:hAnsi="Times New Roman"/>
                <w:b/>
                <w:sz w:val="24"/>
                <w:szCs w:val="24"/>
              </w:rPr>
            </w:pPr>
            <w:r w:rsidRPr="00B64020">
              <w:rPr>
                <w:rFonts w:ascii="Times New Roman" w:eastAsia="Times New Roman" w:hAnsi="Times New Roman" w:hint="eastAsia"/>
                <w:b/>
                <w:sz w:val="24"/>
                <w:szCs w:val="24"/>
              </w:rPr>
              <w:t>YES/NO</w:t>
            </w:r>
          </w:p>
        </w:tc>
      </w:tr>
      <w:tr w:rsidR="00B64020" w:rsidRPr="00B64020" w:rsidTr="00D56627">
        <w:trPr>
          <w:jc w:val="center"/>
        </w:trPr>
        <w:tc>
          <w:tcPr>
            <w:tcW w:w="7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H1</w:t>
            </w:r>
          </w:p>
        </w:tc>
        <w:tc>
          <w:tcPr>
            <w:tcW w:w="297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HR Practices &gt; Performance</w:t>
            </w:r>
          </w:p>
        </w:tc>
        <w:tc>
          <w:tcPr>
            <w:tcW w:w="144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YES</w:t>
            </w:r>
          </w:p>
        </w:tc>
      </w:tr>
      <w:tr w:rsidR="00B64020" w:rsidRPr="00B64020" w:rsidTr="00D56627">
        <w:trPr>
          <w:jc w:val="center"/>
        </w:trPr>
        <w:tc>
          <w:tcPr>
            <w:tcW w:w="7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H2</w:t>
            </w:r>
          </w:p>
        </w:tc>
        <w:tc>
          <w:tcPr>
            <w:tcW w:w="297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HR Practices &gt; Trust</w:t>
            </w:r>
          </w:p>
        </w:tc>
        <w:tc>
          <w:tcPr>
            <w:tcW w:w="144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YES</w:t>
            </w:r>
          </w:p>
        </w:tc>
      </w:tr>
      <w:tr w:rsidR="00B64020" w:rsidRPr="00B64020" w:rsidTr="00D56627">
        <w:trPr>
          <w:jc w:val="center"/>
        </w:trPr>
        <w:tc>
          <w:tcPr>
            <w:tcW w:w="715"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H3</w:t>
            </w:r>
          </w:p>
        </w:tc>
        <w:tc>
          <w:tcPr>
            <w:tcW w:w="297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rPr>
                <w:rFonts w:ascii="Times New Roman" w:eastAsia="Times New Roman" w:hAnsi="Times New Roman"/>
                <w:sz w:val="24"/>
                <w:szCs w:val="24"/>
              </w:rPr>
            </w:pPr>
            <w:r w:rsidRPr="00B64020">
              <w:rPr>
                <w:rFonts w:ascii="Times New Roman" w:eastAsia="Times New Roman" w:hAnsi="Times New Roman" w:hint="eastAsia"/>
                <w:sz w:val="24"/>
                <w:szCs w:val="24"/>
              </w:rPr>
              <w:t>Trust &gt; Performance</w:t>
            </w:r>
          </w:p>
        </w:tc>
        <w:tc>
          <w:tcPr>
            <w:tcW w:w="1440" w:type="dxa"/>
            <w:tcBorders>
              <w:top w:val="single" w:sz="4" w:space="0" w:color="000000"/>
              <w:left w:val="single" w:sz="4" w:space="0" w:color="000000"/>
              <w:bottom w:val="single" w:sz="4" w:space="0" w:color="000000"/>
              <w:right w:val="single" w:sz="4" w:space="0" w:color="000000"/>
            </w:tcBorders>
            <w:hideMark/>
          </w:tcPr>
          <w:p w:rsidR="00B64020" w:rsidRPr="00B64020" w:rsidRDefault="00B64020" w:rsidP="00B64020">
            <w:pPr>
              <w:spacing w:line="256" w:lineRule="auto"/>
              <w:jc w:val="center"/>
              <w:rPr>
                <w:rFonts w:ascii="Times New Roman" w:eastAsia="Times New Roman" w:hAnsi="Times New Roman"/>
                <w:sz w:val="24"/>
                <w:szCs w:val="24"/>
              </w:rPr>
            </w:pPr>
            <w:r w:rsidRPr="00B64020">
              <w:rPr>
                <w:rFonts w:ascii="Times New Roman" w:eastAsia="Times New Roman" w:hAnsi="Times New Roman" w:hint="eastAsia"/>
                <w:sz w:val="24"/>
                <w:szCs w:val="24"/>
              </w:rPr>
              <w:t>NO</w:t>
            </w:r>
          </w:p>
        </w:tc>
      </w:tr>
    </w:tbl>
    <w:p w:rsidR="00B64020" w:rsidRPr="005123F2" w:rsidRDefault="00B64020" w:rsidP="00B64020">
      <w:pPr>
        <w:spacing w:before="100" w:beforeAutospacing="1" w:line="360" w:lineRule="auto"/>
        <w:jc w:val="both"/>
        <w:rPr>
          <w:rFonts w:ascii="Times New Roman" w:eastAsia="Calibri" w:hAnsi="Times New Roman" w:cs="Times New Roman"/>
          <w:b/>
          <w:sz w:val="24"/>
          <w:szCs w:val="24"/>
        </w:rPr>
      </w:pPr>
      <w:r w:rsidRPr="005123F2">
        <w:rPr>
          <w:rFonts w:ascii="Times New Roman" w:eastAsia="Calibri" w:hAnsi="Times New Roman" w:cs="Times New Roman"/>
          <w:sz w:val="24"/>
          <w:szCs w:val="24"/>
        </w:rPr>
        <w:t xml:space="preserve"> </w:t>
      </w:r>
      <w:r w:rsidRPr="005123F2">
        <w:rPr>
          <w:rFonts w:ascii="Times New Roman" w:eastAsia="Calibri" w:hAnsi="Times New Roman" w:cs="Times New Roman"/>
          <w:b/>
          <w:sz w:val="24"/>
          <w:szCs w:val="24"/>
        </w:rPr>
        <w:t xml:space="preserve">Conclusions of the Model  </w:t>
      </w:r>
    </w:p>
    <w:p w:rsidR="00B64020" w:rsidRPr="00B64020" w:rsidRDefault="00B64020" w:rsidP="00B64020">
      <w:pPr>
        <w:spacing w:before="100" w:beforeAutospacing="1" w:after="120" w:line="360" w:lineRule="auto"/>
        <w:jc w:val="both"/>
        <w:rPr>
          <w:rFonts w:ascii="Times New Roman" w:eastAsia="Times New Roman" w:hAnsi="Times New Roman" w:cs="Times New Roman"/>
          <w:bCs/>
          <w:sz w:val="24"/>
          <w:szCs w:val="24"/>
        </w:rPr>
      </w:pPr>
      <w:r w:rsidRPr="00B64020">
        <w:rPr>
          <w:rFonts w:ascii="Times New Roman" w:eastAsia="Times New Roman" w:hAnsi="Times New Roman" w:cs="Times New Roman"/>
          <w:bCs/>
          <w:sz w:val="24"/>
          <w:szCs w:val="24"/>
        </w:rPr>
        <w:t>The model results show that well-designed HR practices significantly boost trust and performance. Analysis confirms a strong measurement model with high reliability and validity. Structural equation modeling indicates that HR practices enhance trust (H</w:t>
      </w:r>
      <w:r w:rsidRPr="00B64020">
        <w:rPr>
          <w:rFonts w:ascii="Times New Roman" w:eastAsia="Times New Roman" w:hAnsi="Times New Roman" w:cs="Times New Roman"/>
          <w:bCs/>
          <w:sz w:val="24"/>
          <w:szCs w:val="24"/>
          <w:vertAlign w:val="subscript"/>
        </w:rPr>
        <w:t>2</w:t>
      </w:r>
      <w:r w:rsidRPr="00B64020">
        <w:rPr>
          <w:rFonts w:ascii="Times New Roman" w:eastAsia="Times New Roman" w:hAnsi="Times New Roman" w:cs="Times New Roman"/>
          <w:bCs/>
          <w:sz w:val="24"/>
          <w:szCs w:val="24"/>
        </w:rPr>
        <w:t>) and performance (H</w:t>
      </w:r>
      <w:r w:rsidRPr="00B64020">
        <w:rPr>
          <w:rFonts w:ascii="Times New Roman" w:eastAsia="Times New Roman" w:hAnsi="Times New Roman" w:cs="Times New Roman"/>
          <w:bCs/>
          <w:sz w:val="24"/>
          <w:szCs w:val="24"/>
          <w:vertAlign w:val="subscript"/>
        </w:rPr>
        <w:t>1</w:t>
      </w:r>
      <w:r w:rsidRPr="00B64020">
        <w:rPr>
          <w:rFonts w:ascii="Times New Roman" w:eastAsia="Times New Roman" w:hAnsi="Times New Roman" w:cs="Times New Roman"/>
          <w:bCs/>
          <w:sz w:val="24"/>
          <w:szCs w:val="24"/>
        </w:rPr>
        <w:t>) at significant levels (p &lt; 0.005). However, the trust-performance path (H</w:t>
      </w:r>
      <w:r w:rsidRPr="00B64020">
        <w:rPr>
          <w:rFonts w:ascii="Times New Roman" w:eastAsia="Times New Roman" w:hAnsi="Times New Roman" w:cs="Times New Roman"/>
          <w:bCs/>
          <w:sz w:val="24"/>
          <w:szCs w:val="24"/>
          <w:vertAlign w:val="subscript"/>
        </w:rPr>
        <w:t>3</w:t>
      </w:r>
      <w:r w:rsidRPr="00B64020">
        <w:rPr>
          <w:rFonts w:ascii="Times New Roman" w:eastAsia="Times New Roman" w:hAnsi="Times New Roman" w:cs="Times New Roman"/>
          <w:bCs/>
          <w:sz w:val="24"/>
          <w:szCs w:val="24"/>
        </w:rPr>
        <w:t>) lacks statistical support, indicating that trust alone can't directly improve performance but works best with effective HR practices. The model has strong predictive relevance (Q</w:t>
      </w:r>
      <w:r w:rsidRPr="00B64020">
        <w:rPr>
          <w:rFonts w:ascii="Times New Roman" w:eastAsia="Times New Roman" w:hAnsi="Times New Roman" w:cs="Times New Roman"/>
          <w:bCs/>
          <w:sz w:val="24"/>
          <w:szCs w:val="24"/>
          <w:vertAlign w:val="superscript"/>
        </w:rPr>
        <w:t>2</w:t>
      </w:r>
      <w:r w:rsidRPr="00B64020">
        <w:rPr>
          <w:rFonts w:ascii="Times New Roman" w:eastAsia="Times New Roman" w:hAnsi="Times New Roman" w:cs="Times New Roman"/>
          <w:bCs/>
          <w:sz w:val="24"/>
          <w:szCs w:val="24"/>
        </w:rPr>
        <w:t xml:space="preserve">), </w:t>
      </w:r>
      <w:r w:rsidR="00D56627">
        <w:rPr>
          <w:rFonts w:ascii="Times New Roman" w:eastAsia="Times New Roman" w:hAnsi="Times New Roman" w:cs="Times New Roman"/>
          <w:bCs/>
          <w:sz w:val="24"/>
          <w:szCs w:val="24"/>
        </w:rPr>
        <w:t>moderate-to-high</w:t>
      </w:r>
      <w:r w:rsidRPr="00B64020">
        <w:rPr>
          <w:rFonts w:ascii="Times New Roman" w:eastAsia="Times New Roman" w:hAnsi="Times New Roman" w:cs="Times New Roman"/>
          <w:bCs/>
          <w:sz w:val="24"/>
          <w:szCs w:val="24"/>
        </w:rPr>
        <w:t xml:space="preserve"> explanatory power (R</w:t>
      </w:r>
      <w:r w:rsidRPr="00B64020">
        <w:rPr>
          <w:rFonts w:ascii="Times New Roman" w:eastAsia="Times New Roman" w:hAnsi="Times New Roman" w:cs="Times New Roman"/>
          <w:bCs/>
          <w:sz w:val="24"/>
          <w:szCs w:val="24"/>
          <w:vertAlign w:val="superscript"/>
        </w:rPr>
        <w:t>2</w:t>
      </w:r>
      <w:r w:rsidRPr="00B64020">
        <w:rPr>
          <w:rFonts w:ascii="Times New Roman" w:eastAsia="Times New Roman" w:hAnsi="Times New Roman" w:cs="Times New Roman"/>
          <w:bCs/>
          <w:sz w:val="24"/>
          <w:szCs w:val="24"/>
        </w:rPr>
        <w:t>), and significant effect sizes for HR predictors. Overall, building trust through targeted HR practices effectively drives performance, while trust is necessary but not sufficient for optimal performance.</w:t>
      </w:r>
    </w:p>
    <w:p w:rsidR="00B64020" w:rsidRPr="005123F2" w:rsidRDefault="005123F2" w:rsidP="00B64020">
      <w:pPr>
        <w:spacing w:before="100" w:beforeAutospacing="1"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r w:rsidR="00BE6B90"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Mediation Analysis</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HR practices significantly affect performance (H</w:t>
      </w:r>
      <w:r w:rsidRPr="00B64020">
        <w:rPr>
          <w:rFonts w:ascii="Times New Roman" w:eastAsia="Times New Roman" w:hAnsi="Times New Roman" w:cs="Times New Roman"/>
          <w:sz w:val="24"/>
          <w:szCs w:val="24"/>
          <w:vertAlign w:val="superscript"/>
        </w:rPr>
        <w:t>2</w:t>
      </w:r>
      <w:r w:rsidRPr="00B64020">
        <w:rPr>
          <w:rFonts w:ascii="Times New Roman" w:eastAsia="Times New Roman" w:hAnsi="Times New Roman" w:cs="Times New Roman"/>
          <w:sz w:val="24"/>
          <w:szCs w:val="24"/>
        </w:rPr>
        <w:t>: β = 0.608, p = 0.000). With a mediating variable, the effect became insignificant (β = 0.066, t = 1.691, p = 0.045). The direct effect of HR practices on performance through trust is significant (β = 0.452, p = 0.000). The indirect effect via trust is not significant, as the 95% confidence interval includes zeros, indicating no mediation between HR practices and performance.</w:t>
      </w:r>
    </w:p>
    <w:p w:rsidR="00B64020" w:rsidRPr="005123F2" w:rsidRDefault="005123F2" w:rsidP="00B64020">
      <w:pPr>
        <w:spacing w:before="100" w:beforeAutospacing="1"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8</w:t>
      </w:r>
      <w:r w:rsidR="00B64020" w:rsidRPr="005123F2">
        <w:rPr>
          <w:rFonts w:ascii="Times New Roman" w:eastAsia="Calibri" w:hAnsi="Times New Roman" w:cs="Times New Roman"/>
          <w:b/>
          <w:sz w:val="24"/>
          <w:szCs w:val="24"/>
        </w:rPr>
        <w:t>.</w:t>
      </w:r>
      <w:r w:rsidR="00BE6B90" w:rsidRPr="005123F2">
        <w:rPr>
          <w:rFonts w:ascii="Times New Roman" w:eastAsia="Calibri" w:hAnsi="Times New Roman" w:cs="Times New Roman"/>
          <w:b/>
          <w:sz w:val="24"/>
          <w:szCs w:val="24"/>
        </w:rPr>
        <w:t xml:space="preserve"> </w:t>
      </w:r>
      <w:r w:rsidR="00B64020" w:rsidRPr="005123F2">
        <w:rPr>
          <w:rFonts w:ascii="Times New Roman" w:eastAsia="Calibri" w:hAnsi="Times New Roman" w:cs="Times New Roman"/>
          <w:b/>
          <w:sz w:val="24"/>
          <w:szCs w:val="24"/>
        </w:rPr>
        <w:t>Multi-Group Analysis Results</w:t>
      </w:r>
    </w:p>
    <w:p w:rsidR="00B64020" w:rsidRPr="00B64020" w:rsidRDefault="00B64020" w:rsidP="00B64020">
      <w:pPr>
        <w:spacing w:before="100" w:beforeAutospacing="1" w:after="100" w:afterAutospacing="1" w:line="360" w:lineRule="auto"/>
        <w:jc w:val="both"/>
        <w:outlineLvl w:val="3"/>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Multiple-group analysis (MGA) is a technique that allows researchers to study differences across demographics using structural equation models (SEMs) with group-specific or equal estimates. (Laura C.S., 2025). According to Ringle et al. (2024), SmartPLS provides MGA results to test if data groups differ statistically in parameter estimates (e.g., outer weights, loadings, path coefficients) via a permutation procedure. </w:t>
      </w:r>
      <w:r w:rsidRPr="00B64020">
        <w:rPr>
          <w:rFonts w:ascii="Times New Roman" w:eastAsia="Calibri" w:hAnsi="Times New Roman" w:cs="Times New Roman"/>
          <w:sz w:val="24"/>
          <w:szCs w:val="24"/>
        </w:rPr>
        <w:t xml:space="preserve">The analysis focused primarily on the two-tailed p-values obtained from the Bootstrap MGA, Parametric, and Welch-Satterthwaite tests. A p-value below 0.05 indicates a statistically significant difference in the pathways between Private and Public Higher Education Institutions.  </w:t>
      </w:r>
      <w:r w:rsidRPr="00B64020">
        <w:rPr>
          <w:rFonts w:ascii="Times New Roman" w:eastAsia="Times New Roman" w:hAnsi="Times New Roman" w:cs="Times New Roman"/>
          <w:sz w:val="24"/>
          <w:szCs w:val="24"/>
        </w:rPr>
        <w:t>All alternative pathways, such as HR Practices &gt; Performance, Trust &gt; Performance, and Performance &gt; Outcome variables, yielded p-values exceeding 0.05. This indicates that there are no statistically significant distinctions between private and public higher education institutions regarding these relationships. The effect sizes were commensurate across both categories of institutions.</w:t>
      </w:r>
    </w:p>
    <w:p w:rsidR="00AD35FE" w:rsidRPr="005123F2" w:rsidRDefault="005123F2" w:rsidP="00AD35FE">
      <w:pPr>
        <w:spacing w:after="0" w:line="360" w:lineRule="auto"/>
        <w:jc w:val="both"/>
        <w:rPr>
          <w:rFonts w:ascii="Times New Roman" w:eastAsia="Times New Roman" w:hAnsi="Times New Roman" w:cs="Times New Roman"/>
          <w:b/>
          <w:bCs/>
          <w:sz w:val="32"/>
          <w:szCs w:val="24"/>
        </w:rPr>
      </w:pPr>
      <w:r w:rsidRPr="005123F2">
        <w:rPr>
          <w:rFonts w:ascii="Times New Roman" w:eastAsia="Times New Roman" w:hAnsi="Times New Roman" w:cs="Times New Roman"/>
          <w:b/>
          <w:bCs/>
          <w:sz w:val="32"/>
          <w:szCs w:val="24"/>
        </w:rPr>
        <w:t>9</w:t>
      </w:r>
      <w:r w:rsidR="00B64020" w:rsidRPr="005123F2">
        <w:rPr>
          <w:rFonts w:ascii="Times New Roman" w:eastAsia="Times New Roman" w:hAnsi="Times New Roman" w:cs="Times New Roman"/>
          <w:b/>
          <w:bCs/>
          <w:sz w:val="32"/>
          <w:szCs w:val="24"/>
        </w:rPr>
        <w:t>.</w:t>
      </w:r>
      <w:r w:rsidR="00BE6B90" w:rsidRPr="005123F2">
        <w:rPr>
          <w:rFonts w:ascii="Times New Roman" w:eastAsia="Times New Roman" w:hAnsi="Times New Roman" w:cs="Times New Roman"/>
          <w:b/>
          <w:bCs/>
          <w:sz w:val="32"/>
          <w:szCs w:val="24"/>
        </w:rPr>
        <w:t xml:space="preserve"> </w:t>
      </w:r>
      <w:r w:rsidR="00B64020" w:rsidRPr="005123F2">
        <w:rPr>
          <w:rFonts w:ascii="Times New Roman" w:eastAsia="Times New Roman" w:hAnsi="Times New Roman" w:cs="Times New Roman"/>
          <w:b/>
          <w:bCs/>
          <w:sz w:val="32"/>
          <w:szCs w:val="24"/>
        </w:rPr>
        <w:t>Discussion</w:t>
      </w:r>
      <w:r w:rsidR="00E4365B" w:rsidRPr="005123F2">
        <w:rPr>
          <w:rFonts w:ascii="Times New Roman" w:eastAsia="Times New Roman" w:hAnsi="Times New Roman" w:cs="Times New Roman"/>
          <w:b/>
          <w:bCs/>
          <w:sz w:val="32"/>
          <w:szCs w:val="24"/>
        </w:rPr>
        <w:t xml:space="preserve"> </w:t>
      </w:r>
      <w:r w:rsidR="00B64020" w:rsidRPr="005123F2">
        <w:rPr>
          <w:rFonts w:ascii="Times New Roman" w:eastAsia="Times New Roman" w:hAnsi="Times New Roman" w:cs="Times New Roman"/>
          <w:b/>
          <w:bCs/>
          <w:sz w:val="32"/>
          <w:szCs w:val="24"/>
        </w:rPr>
        <w:t>of Findings</w:t>
      </w:r>
    </w:p>
    <w:p w:rsidR="00B64020" w:rsidRPr="00AD35FE" w:rsidRDefault="00D56627" w:rsidP="00AD35FE">
      <w:pPr>
        <w:spacing w:after="0" w:line="360" w:lineRule="auto"/>
        <w:jc w:val="both"/>
        <w:rPr>
          <w:rFonts w:ascii="Times New Roman" w:eastAsia="Times New Roman" w:hAnsi="Times New Roman" w:cs="Times New Roman"/>
          <w:b/>
          <w:bCs/>
          <w:i/>
          <w:sz w:val="24"/>
          <w:szCs w:val="24"/>
        </w:rPr>
      </w:pPr>
      <w:r>
        <w:rPr>
          <w:rFonts w:ascii="Times New Roman" w:eastAsia="Calibri" w:hAnsi="Times New Roman" w:cs="Times New Roman"/>
          <w:sz w:val="24"/>
          <w:szCs w:val="24"/>
        </w:rPr>
        <w:t>Results rev</w:t>
      </w:r>
      <w:r w:rsidR="00B64020" w:rsidRPr="00B64020">
        <w:rPr>
          <w:rFonts w:ascii="Times New Roman" w:eastAsia="Times New Roman" w:hAnsi="Times New Roman" w:cs="Times New Roman"/>
          <w:sz w:val="24"/>
          <w:szCs w:val="24"/>
        </w:rPr>
        <w:t xml:space="preserve">ealed that HR practices significantly </w:t>
      </w:r>
      <w:r w:rsidR="009F067E">
        <w:rPr>
          <w:rFonts w:ascii="Times New Roman" w:eastAsia="Times New Roman" w:hAnsi="Times New Roman" w:cs="Times New Roman"/>
          <w:sz w:val="24"/>
          <w:szCs w:val="24"/>
        </w:rPr>
        <w:t>affect</w:t>
      </w:r>
      <w:r w:rsidR="00B64020" w:rsidRPr="00B64020">
        <w:rPr>
          <w:rFonts w:ascii="Times New Roman" w:eastAsia="Times New Roman" w:hAnsi="Times New Roman" w:cs="Times New Roman"/>
          <w:sz w:val="24"/>
          <w:szCs w:val="24"/>
        </w:rPr>
        <w:t xml:space="preserve"> trust among academic staff in both public and private HEIs</w:t>
      </w:r>
      <w:r w:rsidR="00D91181">
        <w:rPr>
          <w:rFonts w:ascii="Times New Roman" w:eastAsia="Times New Roman" w:hAnsi="Times New Roman" w:cs="Times New Roman"/>
          <w:sz w:val="24"/>
          <w:szCs w:val="24"/>
        </w:rPr>
        <w:t xml:space="preserve">, and clearly </w:t>
      </w:r>
      <w:r w:rsidR="00B64020" w:rsidRPr="00B64020">
        <w:rPr>
          <w:rFonts w:ascii="Times New Roman" w:eastAsia="Times New Roman" w:hAnsi="Times New Roman" w:cs="Times New Roman"/>
          <w:sz w:val="24"/>
          <w:szCs w:val="24"/>
        </w:rPr>
        <w:t xml:space="preserve">demonstrate that open, fair, and equitable HR practices have a significant positive effect on trust. </w:t>
      </w:r>
      <w:r w:rsidR="00B64020" w:rsidRPr="00B64020">
        <w:rPr>
          <w:rFonts w:ascii="Times New Roman" w:eastAsia="Calibri" w:hAnsi="Times New Roman" w:cs="Times New Roman"/>
          <w:sz w:val="24"/>
          <w:szCs w:val="24"/>
        </w:rPr>
        <w:t xml:space="preserve">These findings align with organisational behaviour theory, which treats HR practices as essential antecedents of trust. Open, fair, and equitable HR practices observed in this study corroborate previous research highlighting their importance in fostering organizational trust.  Prior studies (Whitener, 1997; Jain, 2020; Verma &amp; Kaur, 2024; Zeffane &amp; Connell, 2003; Alfes et al., 2013) consistently highlight HR practices as antecedents of trust.  Results confirm Social Exchange Theory by reinforcing trust across institutional types.  By linking HR practices to trust outcomes in HEIs, this study advances </w:t>
      </w:r>
      <w:r w:rsidR="00D91181">
        <w:rPr>
          <w:rFonts w:ascii="Times New Roman" w:eastAsia="Calibri" w:hAnsi="Times New Roman" w:cs="Times New Roman"/>
          <w:sz w:val="24"/>
          <w:szCs w:val="24"/>
        </w:rPr>
        <w:t>organizational justice theory by contextualizing</w:t>
      </w:r>
      <w:r w:rsidR="00B64020" w:rsidRPr="00B64020">
        <w:rPr>
          <w:rFonts w:ascii="Times New Roman" w:eastAsia="Calibri" w:hAnsi="Times New Roman" w:cs="Times New Roman"/>
          <w:sz w:val="24"/>
          <w:szCs w:val="24"/>
        </w:rPr>
        <w:t xml:space="preserve"> fairness and equity in a Sub-Saharan African setting.  While Equity Theory predicts negative outcomes from perceived unfairness, this study shows that in Zambia</w:t>
      </w:r>
      <w:r w:rsidR="00D91181">
        <w:rPr>
          <w:rFonts w:ascii="Times New Roman" w:eastAsia="Calibri" w:hAnsi="Times New Roman" w:cs="Times New Roman"/>
          <w:sz w:val="24"/>
          <w:szCs w:val="24"/>
        </w:rPr>
        <w:t>,</w:t>
      </w:r>
      <w:r w:rsidR="00B64020" w:rsidRPr="00B64020">
        <w:rPr>
          <w:rFonts w:ascii="Times New Roman" w:eastAsia="Calibri" w:hAnsi="Times New Roman" w:cs="Times New Roman"/>
          <w:sz w:val="24"/>
          <w:szCs w:val="24"/>
        </w:rPr>
        <w:t xml:space="preserve"> transparent HR practices foster trust equally in public and private HEIs.  </w:t>
      </w:r>
    </w:p>
    <w:p w:rsidR="00AD35FE" w:rsidRDefault="00AD35FE" w:rsidP="00B64020">
      <w:pPr>
        <w:spacing w:after="0" w:line="360" w:lineRule="auto"/>
        <w:jc w:val="both"/>
        <w:rPr>
          <w:rFonts w:ascii="Times New Roman" w:eastAsia="Times New Roman" w:hAnsi="Times New Roman" w:cs="Times New Roman"/>
          <w:sz w:val="24"/>
          <w:szCs w:val="24"/>
        </w:rPr>
      </w:pPr>
    </w:p>
    <w:p w:rsidR="00B64020" w:rsidRPr="00B64020" w:rsidRDefault="00B64020" w:rsidP="00B64020">
      <w:pPr>
        <w:spacing w:after="0" w:line="360" w:lineRule="auto"/>
        <w:jc w:val="both"/>
        <w:rPr>
          <w:rFonts w:ascii="Times New Roman" w:eastAsia="Times New Roman" w:hAnsi="Times New Roman" w:cs="Times New Roman"/>
          <w:sz w:val="28"/>
          <w:szCs w:val="28"/>
        </w:rPr>
      </w:pPr>
      <w:r w:rsidRPr="00B64020">
        <w:rPr>
          <w:rFonts w:ascii="Times New Roman" w:eastAsia="Times New Roman" w:hAnsi="Times New Roman" w:cs="Times New Roman"/>
          <w:sz w:val="24"/>
          <w:szCs w:val="24"/>
        </w:rPr>
        <w:t xml:space="preserve">Studies specific to HEIs (Agabekova &amp; Kaptoyeva, 2021; Ali et al., 2022) support the current findings, reinforcing the relevance of open, fair, and equitable HR practices in both public and private university contexts in Zambia. The evidence suggests that academic staff who perceive HR practices as transparent and just are more likely to trust their institutions. The study reveals that HR practices should promote </w:t>
      </w:r>
      <w:r w:rsidR="00D91181">
        <w:rPr>
          <w:rFonts w:ascii="Times New Roman" w:eastAsia="Times New Roman" w:hAnsi="Times New Roman" w:cs="Times New Roman"/>
          <w:sz w:val="24"/>
          <w:szCs w:val="24"/>
        </w:rPr>
        <w:t>workplace equity</w:t>
      </w:r>
      <w:r w:rsidRPr="00B64020">
        <w:rPr>
          <w:rFonts w:ascii="Times New Roman" w:eastAsia="Times New Roman" w:hAnsi="Times New Roman" w:cs="Times New Roman"/>
          <w:sz w:val="24"/>
          <w:szCs w:val="24"/>
        </w:rPr>
        <w:t>, ensure fair treatment and equal opportunity, and address disparities (Omidi et al.</w:t>
      </w:r>
      <w:r w:rsidR="00D91181">
        <w:rPr>
          <w:rFonts w:ascii="Times New Roman" w:eastAsia="Times New Roman" w:hAnsi="Times New Roman" w:cs="Times New Roman"/>
          <w:sz w:val="24"/>
          <w:szCs w:val="24"/>
        </w:rPr>
        <w:t>,</w:t>
      </w:r>
      <w:r w:rsidRPr="00B64020">
        <w:rPr>
          <w:rFonts w:ascii="Times New Roman" w:eastAsia="Times New Roman" w:hAnsi="Times New Roman" w:cs="Times New Roman"/>
          <w:sz w:val="24"/>
          <w:szCs w:val="24"/>
        </w:rPr>
        <w:t xml:space="preserve"> 2023).  Thus, this aligns with the three indicators of HR practices (open, fair, and equitable) to enhance employee trust, demonstrating that transparent and equitable HR practices have a significant positive effect on trust in both public and private HEIs in Zambia.  This underscores the responsibility of HR practitioners in HEIs to foster a supportive climate that meets academic staff's expectations and enhances performance.</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b/>
          <w:bCs/>
          <w:sz w:val="24"/>
          <w:szCs w:val="24"/>
        </w:rPr>
        <w:t>Implication</w:t>
      </w:r>
      <w:r w:rsidRPr="00B64020">
        <w:rPr>
          <w:rFonts w:ascii="Times New Roman" w:eastAsia="Times New Roman" w:hAnsi="Times New Roman" w:cs="Times New Roman"/>
          <w:sz w:val="24"/>
          <w:szCs w:val="24"/>
        </w:rPr>
        <w:t>: For policymakers, these findings challenge current HR practices</w:t>
      </w:r>
      <w:r w:rsidR="00D91181">
        <w:rPr>
          <w:rFonts w:ascii="Times New Roman" w:eastAsia="Times New Roman" w:hAnsi="Times New Roman" w:cs="Times New Roman"/>
          <w:sz w:val="24"/>
          <w:szCs w:val="24"/>
        </w:rPr>
        <w:t xml:space="preserve">, as efficiency-driven </w:t>
      </w:r>
      <w:r w:rsidRPr="00B64020">
        <w:rPr>
          <w:rFonts w:ascii="Times New Roman" w:eastAsia="Times New Roman" w:hAnsi="Times New Roman" w:cs="Times New Roman"/>
          <w:sz w:val="24"/>
          <w:szCs w:val="24"/>
        </w:rPr>
        <w:t>models risk eroding trust.  Rather, Zambian HEIs must prioritise fairness and equity to sustain staff commitment.   The findings highlight the importance of institutionalizing robust HRM systems that enhance openness, fairness, and equity.  Based on such policies, HR practitioners should develop and enforce guidelines that mandate open, fair, and equitable practices to foster trust and enhance performance among academic staff</w:t>
      </w:r>
      <w:r w:rsidR="00D91181">
        <w:rPr>
          <w:rFonts w:ascii="Times New Roman" w:eastAsia="Times New Roman" w:hAnsi="Times New Roman" w:cs="Times New Roman"/>
          <w:sz w:val="24"/>
          <w:szCs w:val="24"/>
        </w:rPr>
        <w:t>. Trust-building practices also attract talent and reduce turnover by creating a culture of inclusion and increasing</w:t>
      </w:r>
      <w:r w:rsidRPr="00B64020">
        <w:rPr>
          <w:rFonts w:ascii="Times New Roman" w:eastAsia="Times New Roman" w:hAnsi="Times New Roman" w:cs="Times New Roman"/>
          <w:sz w:val="24"/>
          <w:szCs w:val="24"/>
        </w:rPr>
        <w:t xml:space="preserve"> employee productivity and engagement.  Practitioners also need to avoid overly rigid, efficiency-driven HR practices as they can lead to negative outcomes such as increased turnover and decreased morale.  Thus, striking the right balance between fairness and efficiency in HR policies and procedures is important.</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This research on open, fair, and equitable HR practices advances knowledge by empirically validating that transparent HR Practices foster trust equally in public and private HEIs in Zambia, challenging assumptions of institutional disparity.  It bridges organisational justice theories with practical outcomes, which directly increase employee commitment, trust, engagement, and performance, and reduce intention to leave.  The study, therefore, contributes to knowledge by contextualizing HR practices-trust subtleties within Zambian HEIs.  </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The study also reveals that trust</w:t>
      </w:r>
      <w:r w:rsidR="00192A63">
        <w:rPr>
          <w:rFonts w:ascii="Times New Roman" w:eastAsia="Times New Roman" w:hAnsi="Times New Roman" w:cs="Times New Roman"/>
          <w:sz w:val="24"/>
          <w:szCs w:val="24"/>
        </w:rPr>
        <w:t xml:space="preserve"> is strongly associated with </w:t>
      </w:r>
      <w:r w:rsidRPr="00B64020">
        <w:rPr>
          <w:rFonts w:ascii="Times New Roman" w:eastAsia="Times New Roman" w:hAnsi="Times New Roman" w:cs="Times New Roman"/>
          <w:sz w:val="24"/>
          <w:szCs w:val="24"/>
        </w:rPr>
        <w:t>employee performance.  Results show that t</w:t>
      </w:r>
      <w:r w:rsidRPr="00B64020">
        <w:rPr>
          <w:rFonts w:ascii="Times New Roman" w:eastAsia="Calibri" w:hAnsi="Times New Roman" w:cs="Times New Roman"/>
          <w:sz w:val="24"/>
          <w:szCs w:val="24"/>
        </w:rPr>
        <w:t xml:space="preserve">he effect of trust on employee performance is statistically not different between private and public HEIs. </w:t>
      </w:r>
      <w:r w:rsidRPr="00B64020">
        <w:rPr>
          <w:rFonts w:ascii="Times New Roman" w:eastAsia="Times New Roman" w:hAnsi="Times New Roman" w:cs="Times New Roman"/>
          <w:sz w:val="24"/>
          <w:szCs w:val="24"/>
        </w:rPr>
        <w:t>The findings echo previous studies in organisational behaviour theory, which place trust as an essential antecedent of employee performance.  Prior studies (Fulmer &amp; Gelfand, 2012; Shore et al., 2006; Judge &amp; Colquitt, 2004) consistently highlight trust as a performance antecedent.  The results substantiate the critical role of trust in fostering greater commitment, engagement, productivity, and effectiveness, proof that in high-trust environments, employees are more likely to collaborate, innovate, and deliver superior performance outcomes, ultimately advancing the mission of HEIs.  Findings also align with social exchange theory, which posits that a successful social exchange circle involves trust, which</w:t>
      </w:r>
      <w:r w:rsidR="00E71D69">
        <w:rPr>
          <w:rFonts w:ascii="Times New Roman" w:eastAsia="Times New Roman" w:hAnsi="Times New Roman" w:cs="Times New Roman"/>
          <w:sz w:val="24"/>
          <w:szCs w:val="24"/>
        </w:rPr>
        <w:t>, in turn, is linked to</w:t>
      </w:r>
      <w:r w:rsidRPr="00B64020">
        <w:rPr>
          <w:rFonts w:ascii="Times New Roman" w:eastAsia="Times New Roman" w:hAnsi="Times New Roman" w:cs="Times New Roman"/>
          <w:sz w:val="24"/>
          <w:szCs w:val="24"/>
        </w:rPr>
        <w:t xml:space="preserve"> employee performance (Zuker, 1986; Shore et al., 2006; Butler, 1991; Al-Subaie, 2021; Covey &amp; Conant, 2016).</w:t>
      </w:r>
    </w:p>
    <w:p w:rsidR="00B64020" w:rsidRPr="00B64020" w:rsidRDefault="006D5744" w:rsidP="00B6402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Another implication is that u</w:t>
      </w:r>
      <w:r w:rsidR="00B64020" w:rsidRPr="00B64020">
        <w:rPr>
          <w:rFonts w:ascii="Times New Roman" w:eastAsia="Times New Roman" w:hAnsi="Times New Roman" w:cs="Times New Roman"/>
          <w:sz w:val="24"/>
          <w:szCs w:val="24"/>
        </w:rPr>
        <w:t xml:space="preserve">nlike contexts in which trust is assumed to vary by institutional type, Zambia’s HEIs require unified trust-building policies across public and private institutions.  Policymakers need to underscore that building trust in higher education institutions is a strategic priority that shapes how well institutions perform and how much confidence the public places in them, </w:t>
      </w:r>
      <w:r w:rsidR="00D91181">
        <w:rPr>
          <w:rFonts w:ascii="Times New Roman" w:eastAsia="Times New Roman" w:hAnsi="Times New Roman" w:cs="Times New Roman"/>
          <w:sz w:val="24"/>
          <w:szCs w:val="24"/>
        </w:rPr>
        <w:t>as trust establishes</w:t>
      </w:r>
      <w:r w:rsidR="00B64020" w:rsidRPr="00B64020">
        <w:rPr>
          <w:rFonts w:ascii="Times New Roman" w:eastAsia="Times New Roman" w:hAnsi="Times New Roman" w:cs="Times New Roman"/>
          <w:sz w:val="24"/>
          <w:szCs w:val="24"/>
        </w:rPr>
        <w:t xml:space="preserve"> credibility. In turn, for HEIs, credibility attracts talent, research funding, and international partnerships. It also makes governance easier, because high-trust environments tend to show less resistance to change and greater cooperation, whether in public restructuring or encouraging private institutions to align with national goals.</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At the individual level, such policies </w:t>
      </w:r>
      <w:r w:rsidR="00D91181">
        <w:rPr>
          <w:rFonts w:ascii="Times New Roman" w:eastAsia="Times New Roman" w:hAnsi="Times New Roman" w:cs="Times New Roman"/>
          <w:sz w:val="24"/>
          <w:szCs w:val="24"/>
        </w:rPr>
        <w:t>improve students'</w:t>
      </w:r>
      <w:r w:rsidRPr="00B64020">
        <w:rPr>
          <w:rFonts w:ascii="Times New Roman" w:eastAsia="Times New Roman" w:hAnsi="Times New Roman" w:cs="Times New Roman"/>
          <w:sz w:val="24"/>
          <w:szCs w:val="24"/>
        </w:rPr>
        <w:t xml:space="preserve"> experience by increasing staff motivation.  For private institutions in particular, trust is a competitive advantage; it helps them grow and operate effectively in a regulated market.  Ultimately, trust is built through three things: transparent governance, clear accountability for results, and open communication between policymakers, institutional leaders, and the public.  </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The findings provide clear support for the alternative hypotheses and firmly reject the null.  The central contribution of this study in the context of Zambian HEIs, where this area is under-researched, is the robust evidence that trust is a key predictor of employee performance.  By demonstrating trust’s equal predictive power across institutional types, this study advances social exchange theory by contextualising reciprocity in higher education settings. This advances organisational behaviour theory by showing that both open, fair, and equitable HR practices bear the responsibility of building trust among academic staff. </w:t>
      </w:r>
    </w:p>
    <w:p w:rsidR="00B64020" w:rsidRPr="00B64020" w:rsidRDefault="00B64020" w:rsidP="00B64020">
      <w:pPr>
        <w:spacing w:before="100" w:beforeAutospacing="1" w:line="360" w:lineRule="auto"/>
        <w:jc w:val="both"/>
        <w:rPr>
          <w:rFonts w:ascii="Calibri" w:eastAsia="Times New Roman" w:hAnsi="Calibri" w:cs="Times New Roman"/>
        </w:rPr>
      </w:pPr>
      <w:r w:rsidRPr="00B64020">
        <w:rPr>
          <w:rFonts w:ascii="Times New Roman" w:eastAsia="Times New Roman" w:hAnsi="Times New Roman" w:cs="Times New Roman"/>
          <w:sz w:val="24"/>
          <w:szCs w:val="24"/>
        </w:rPr>
        <w:t xml:space="preserve">The results confirm that trust serves as a significant mediator for the effects of HR practices on performance, advancing theoretical understanding by positioning trust as a central mechanism through which these antecedents shape organizational outcomes.  Prior studies (Yanik, 2018; Aryee et al., 2002) consistently highlight trust as a mediator of organisational outcomes. These findings reinforce the pivotal role of trust in translating HR practices into improved performance. </w:t>
      </w:r>
    </w:p>
    <w:p w:rsidR="00B64020" w:rsidRPr="00B64020" w:rsidRDefault="00B64020" w:rsidP="00B64020">
      <w:pPr>
        <w:spacing w:before="100" w:beforeAutospacing="1" w:after="100" w:afterAutospacing="1" w:line="360" w:lineRule="auto"/>
        <w:jc w:val="both"/>
        <w:outlineLvl w:val="3"/>
        <w:rPr>
          <w:rFonts w:ascii="Times New Roman" w:eastAsia="Calibri" w:hAnsi="Times New Roman" w:cs="Times New Roman"/>
          <w:sz w:val="24"/>
          <w:szCs w:val="24"/>
        </w:rPr>
      </w:pPr>
      <w:r w:rsidRPr="00B64020">
        <w:rPr>
          <w:rFonts w:ascii="Times New Roman" w:eastAsia="Times New Roman" w:hAnsi="Times New Roman" w:cs="Times New Roman"/>
          <w:b/>
          <w:sz w:val="24"/>
          <w:szCs w:val="24"/>
        </w:rPr>
        <w:t xml:space="preserve">Results of Multi-Group Analysis: </w:t>
      </w:r>
      <w:r w:rsidRPr="00B64020">
        <w:rPr>
          <w:rFonts w:ascii="Times New Roman" w:eastAsia="Times New Roman" w:hAnsi="Times New Roman" w:cs="Times New Roman"/>
          <w:sz w:val="24"/>
          <w:szCs w:val="24"/>
        </w:rPr>
        <w:t xml:space="preserve">While prior studies often assume institutional type moderates organisational outcomes, this study shows </w:t>
      </w:r>
      <w:r w:rsidRPr="00B64020">
        <w:rPr>
          <w:rFonts w:ascii="Times New Roman" w:eastAsia="Calibri" w:hAnsi="Times New Roman" w:cs="Times New Roman"/>
          <w:bCs/>
          <w:sz w:val="24"/>
          <w:szCs w:val="24"/>
        </w:rPr>
        <w:t>a lack of significant differences, suggesting trust-performance dynamics are universal across HEIs.  None of the examined paths showed a statistically significant difference between the public and private HEIs.</w:t>
      </w:r>
      <w:r w:rsidRPr="00B64020">
        <w:rPr>
          <w:rFonts w:ascii="Times New Roman" w:eastAsia="Calibri" w:hAnsi="Times New Roman" w:cs="Times New Roman"/>
          <w:b/>
          <w:sz w:val="24"/>
          <w:szCs w:val="24"/>
        </w:rPr>
        <w:t xml:space="preserve">  </w:t>
      </w:r>
      <w:r w:rsidRPr="00B64020">
        <w:rPr>
          <w:rFonts w:ascii="Times New Roman" w:eastAsia="Calibri" w:hAnsi="Times New Roman" w:cs="Times New Roman"/>
          <w:sz w:val="24"/>
          <w:szCs w:val="24"/>
        </w:rPr>
        <w:t xml:space="preserve">The closest to significance was the path </w:t>
      </w:r>
      <w:r w:rsidRPr="00B64020">
        <w:rPr>
          <w:rFonts w:ascii="Times New Roman" w:eastAsia="Calibri" w:hAnsi="Times New Roman" w:cs="Times New Roman"/>
          <w:bCs/>
          <w:sz w:val="24"/>
          <w:szCs w:val="24"/>
        </w:rPr>
        <w:t>Trust → Performance</w:t>
      </w:r>
      <w:r w:rsidRPr="00B64020">
        <w:rPr>
          <w:rFonts w:ascii="Times New Roman" w:eastAsia="Calibri" w:hAnsi="Times New Roman" w:cs="Times New Roman"/>
          <w:b/>
          <w:sz w:val="24"/>
          <w:szCs w:val="24"/>
        </w:rPr>
        <w:t>,</w:t>
      </w:r>
      <w:r w:rsidRPr="00B64020">
        <w:rPr>
          <w:rFonts w:ascii="Times New Roman" w:eastAsia="Calibri" w:hAnsi="Times New Roman" w:cs="Times New Roman"/>
          <w:sz w:val="24"/>
          <w:szCs w:val="24"/>
        </w:rPr>
        <w:t xml:space="preserve"> suggesting a possible trend, but it does not meet conventional significance thresholds. While prior studies </w:t>
      </w:r>
      <w:r w:rsidRPr="00B64020">
        <w:rPr>
          <w:rFonts w:ascii="Times New Roman" w:eastAsia="Times New Roman" w:hAnsi="Times New Roman" w:cs="Times New Roman"/>
          <w:sz w:val="24"/>
          <w:szCs w:val="24"/>
        </w:rPr>
        <w:t>(Schaffer, 2014; Dinesen et al., 2018) highlight mixed effects of institutional type, but this study confirms uniformity.</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b/>
          <w:bCs/>
          <w:sz w:val="24"/>
          <w:szCs w:val="24"/>
        </w:rPr>
        <w:t>Implicat</w:t>
      </w:r>
      <w:r w:rsidR="00F926C5">
        <w:rPr>
          <w:rFonts w:ascii="Times New Roman" w:eastAsia="Times New Roman" w:hAnsi="Times New Roman" w:cs="Times New Roman"/>
          <w:b/>
          <w:bCs/>
          <w:sz w:val="24"/>
          <w:szCs w:val="24"/>
        </w:rPr>
        <w:t>i</w:t>
      </w:r>
      <w:r w:rsidRPr="00B64020">
        <w:rPr>
          <w:rFonts w:ascii="Times New Roman" w:eastAsia="Times New Roman" w:hAnsi="Times New Roman" w:cs="Times New Roman"/>
          <w:b/>
          <w:bCs/>
          <w:sz w:val="24"/>
          <w:szCs w:val="24"/>
        </w:rPr>
        <w:t>on</w:t>
      </w:r>
      <w:r w:rsidRPr="00B64020">
        <w:rPr>
          <w:rFonts w:ascii="Times New Roman" w:eastAsia="Times New Roman" w:hAnsi="Times New Roman" w:cs="Times New Roman"/>
          <w:sz w:val="24"/>
          <w:szCs w:val="24"/>
        </w:rPr>
        <w:t>: The importance of the MGA findings for policymakers is that they convey a clear, practical message: a one-size-fits-all approach will work here. Because the structural relationships in the model held consistently across both public and private HEIs, there is no need to design separate or segmented policies for each institution type. A unified policy framework is not only justified by the data; it is the more efficient path forward.  This simplifies implementation, reduces the cost and complexity of specialised interventions, and ensures that diversity, equity, and inclusion efforts are applied consistently across the higher education landscape. For HR practitioners operating within these institutions, the implication is equally clear: practices and policies must be equitable and standardized, regardless of whether the institution is publicly or privately run.</w:t>
      </w:r>
    </w:p>
    <w:p w:rsidR="00B64020" w:rsidRPr="00B64020" w:rsidRDefault="00B64020" w:rsidP="00B64020">
      <w:pPr>
        <w:spacing w:before="100" w:beforeAutospacing="1" w:after="100" w:afterAutospacing="1" w:line="360" w:lineRule="auto"/>
        <w:jc w:val="both"/>
        <w:rPr>
          <w:rFonts w:ascii="Times New Roman" w:eastAsia="Times New Roman" w:hAnsi="Times New Roman" w:cs="Times New Roman"/>
          <w:sz w:val="24"/>
          <w:szCs w:val="24"/>
        </w:rPr>
      </w:pPr>
      <w:r w:rsidRPr="00B64020">
        <w:rPr>
          <w:rFonts w:ascii="Times New Roman" w:eastAsia="Times New Roman" w:hAnsi="Times New Roman" w:cs="Times New Roman"/>
          <w:sz w:val="24"/>
          <w:szCs w:val="24"/>
        </w:rPr>
        <w:t xml:space="preserve">In a </w:t>
      </w:r>
      <w:r w:rsidR="00D91181">
        <w:rPr>
          <w:rFonts w:ascii="Times New Roman" w:eastAsia="Times New Roman" w:hAnsi="Times New Roman" w:cs="Times New Roman"/>
          <w:sz w:val="24"/>
          <w:szCs w:val="24"/>
        </w:rPr>
        <w:t xml:space="preserve">developing-country context like Zambia, where public and private HEIs often operate under very different conditions </w:t>
      </w:r>
      <w:r w:rsidR="00E71D69">
        <w:rPr>
          <w:rFonts w:ascii="Times New Roman" w:eastAsia="Times New Roman" w:hAnsi="Times New Roman" w:cs="Times New Roman"/>
          <w:sz w:val="24"/>
          <w:szCs w:val="24"/>
        </w:rPr>
        <w:t>regarding</w:t>
      </w:r>
      <w:r w:rsidRPr="00B64020">
        <w:rPr>
          <w:rFonts w:ascii="Times New Roman" w:eastAsia="Times New Roman" w:hAnsi="Times New Roman" w:cs="Times New Roman"/>
          <w:sz w:val="24"/>
          <w:szCs w:val="24"/>
        </w:rPr>
        <w:t xml:space="preserve"> funding, governance, and resources, the assumption has typically been that their experiences and needs differ significantly. These findings challenge that assumption.  The fact that group membership (public vs. private) did not </w:t>
      </w:r>
      <w:r w:rsidR="009F067E">
        <w:rPr>
          <w:rFonts w:ascii="Times New Roman" w:eastAsia="Times New Roman" w:hAnsi="Times New Roman" w:cs="Times New Roman"/>
          <w:sz w:val="24"/>
          <w:szCs w:val="24"/>
        </w:rPr>
        <w:t>influence</w:t>
      </w:r>
      <w:r w:rsidRPr="00B64020">
        <w:rPr>
          <w:rFonts w:ascii="Times New Roman" w:eastAsia="Times New Roman" w:hAnsi="Times New Roman" w:cs="Times New Roman"/>
          <w:sz w:val="24"/>
          <w:szCs w:val="24"/>
        </w:rPr>
        <w:t xml:space="preserve"> the model's structural relationships suggests that the underlying dynamics of trust, performance, and stakeholder engagement transcend institutional type. This is a meaningful contribution to the literature, as it validates the </w:t>
      </w:r>
      <w:r w:rsidR="00D91181">
        <w:rPr>
          <w:rFonts w:ascii="Times New Roman" w:eastAsia="Times New Roman" w:hAnsi="Times New Roman" w:cs="Times New Roman"/>
          <w:sz w:val="24"/>
          <w:szCs w:val="24"/>
        </w:rPr>
        <w:t xml:space="preserve">model's robustness and generalisability </w:t>
      </w:r>
      <w:r w:rsidRPr="00B64020">
        <w:rPr>
          <w:rFonts w:ascii="Times New Roman" w:eastAsia="Times New Roman" w:hAnsi="Times New Roman" w:cs="Times New Roman"/>
          <w:sz w:val="24"/>
          <w:szCs w:val="24"/>
        </w:rPr>
        <w:t>in a Sub-Saharan African context — a setting that is often underrepresented in HEI research.</w:t>
      </w:r>
    </w:p>
    <w:p w:rsidR="00B64020" w:rsidRPr="00B64020" w:rsidRDefault="00B64020" w:rsidP="00B64020">
      <w:pPr>
        <w:spacing w:before="100" w:beforeAutospacing="1" w:line="360" w:lineRule="auto"/>
        <w:jc w:val="both"/>
        <w:rPr>
          <w:rFonts w:ascii="Calibri" w:eastAsia="Times New Roman" w:hAnsi="Calibri" w:cs="Times New Roman"/>
        </w:rPr>
      </w:pPr>
      <w:r w:rsidRPr="00B64020">
        <w:rPr>
          <w:rFonts w:ascii="Times New Roman" w:eastAsia="Times New Roman" w:hAnsi="Times New Roman" w:cs="Times New Roman"/>
          <w:sz w:val="24"/>
          <w:szCs w:val="24"/>
        </w:rPr>
        <w:t>For Zambia specifically, this provides an evidence base for national policy coherence, encouraging a more integrated approach to higher education governance rather than fragmented, institution-type-specific strategies.</w:t>
      </w:r>
    </w:p>
    <w:p w:rsidR="00B64020" w:rsidRPr="00910868" w:rsidRDefault="00910868" w:rsidP="00910868">
      <w:pPr>
        <w:spacing w:after="0" w:line="360" w:lineRule="auto"/>
        <w:jc w:val="both"/>
        <w:rPr>
          <w:rFonts w:ascii="Times New Roman" w:eastAsia="Times New Roman" w:hAnsi="Times New Roman" w:cs="Times New Roman"/>
          <w:b/>
          <w:bCs/>
          <w:sz w:val="32"/>
        </w:rPr>
      </w:pPr>
      <w:r>
        <w:rPr>
          <w:rFonts w:ascii="Times New Roman" w:eastAsia="Times New Roman" w:hAnsi="Times New Roman" w:cs="Times New Roman"/>
          <w:b/>
          <w:bCs/>
          <w:sz w:val="32"/>
        </w:rPr>
        <w:t>10.</w:t>
      </w:r>
      <w:r w:rsidR="00BE6B90" w:rsidRPr="00910868">
        <w:rPr>
          <w:rFonts w:ascii="Times New Roman" w:eastAsia="Times New Roman" w:hAnsi="Times New Roman" w:cs="Times New Roman"/>
          <w:b/>
          <w:bCs/>
          <w:sz w:val="32"/>
        </w:rPr>
        <w:t xml:space="preserve"> </w:t>
      </w:r>
      <w:r w:rsidR="00B64020" w:rsidRPr="00910868">
        <w:rPr>
          <w:rFonts w:ascii="Times New Roman" w:eastAsia="Times New Roman" w:hAnsi="Times New Roman" w:cs="Times New Roman"/>
          <w:b/>
          <w:bCs/>
          <w:sz w:val="32"/>
        </w:rPr>
        <w:t>Conclusion</w:t>
      </w:r>
    </w:p>
    <w:p w:rsidR="006D5744" w:rsidRDefault="00B64020" w:rsidP="00B64020">
      <w:pPr>
        <w:spacing w:before="100" w:beforeAutospacing="1" w:after="100" w:afterAutospacing="1" w:line="360" w:lineRule="auto"/>
        <w:contextualSpacing/>
        <w:jc w:val="both"/>
        <w:rPr>
          <w:rFonts w:ascii="Times New Roman" w:eastAsia="DengXian" w:hAnsi="Times New Roman" w:cs="Times New Roman"/>
          <w:bCs/>
          <w:sz w:val="24"/>
          <w:szCs w:val="24"/>
        </w:rPr>
      </w:pPr>
      <w:r w:rsidRPr="00B64020">
        <w:rPr>
          <w:rFonts w:ascii="Times New Roman" w:eastAsia="DengXian" w:hAnsi="Times New Roman" w:cs="Times New Roman"/>
          <w:sz w:val="24"/>
          <w:szCs w:val="24"/>
        </w:rPr>
        <w:t xml:space="preserve">The research demonstrates that well-designed HR practices have a significant, positive direct effect on both trust and performance. The measurement model showed strong reliability and validity, and structural equation modelling revealed that HR practices significantly enhance trust and performance. However, the direct path from trust to performance was not always statistically significant at the same threshold, suggesting that trust alone may not be sufficient to drive performance; rather, it is most effective when coupled with robust HR practices. These findings validate the strategy of fostering trust through targeted HR practices as an effective approach to improving performance.  Lastly, </w:t>
      </w:r>
      <w:r w:rsidR="00D91181">
        <w:rPr>
          <w:rFonts w:ascii="Times New Roman" w:eastAsia="DengXian" w:hAnsi="Times New Roman" w:cs="Times New Roman"/>
          <w:sz w:val="24"/>
          <w:szCs w:val="24"/>
        </w:rPr>
        <w:t xml:space="preserve">the study's multi-group analysis revealed no significant differences, suggesting that </w:t>
      </w:r>
      <w:r w:rsidRPr="00B64020">
        <w:rPr>
          <w:rFonts w:ascii="Times New Roman" w:eastAsia="DengXian" w:hAnsi="Times New Roman" w:cs="Times New Roman"/>
          <w:bCs/>
          <w:sz w:val="24"/>
          <w:szCs w:val="24"/>
        </w:rPr>
        <w:t>trust-performance dynamics are universal across Zambian HEIs.</w:t>
      </w:r>
    </w:p>
    <w:p w:rsidR="00910868" w:rsidRDefault="00910868" w:rsidP="00B64020">
      <w:pPr>
        <w:spacing w:before="100" w:beforeAutospacing="1" w:after="100" w:afterAutospacing="1" w:line="360" w:lineRule="auto"/>
        <w:contextualSpacing/>
        <w:jc w:val="both"/>
        <w:rPr>
          <w:rFonts w:ascii="Times New Roman" w:eastAsia="DengXian" w:hAnsi="Times New Roman" w:cs="Times New Roman"/>
          <w:bCs/>
          <w:sz w:val="24"/>
          <w:szCs w:val="24"/>
        </w:rPr>
      </w:pPr>
    </w:p>
    <w:p w:rsidR="00B64020" w:rsidRPr="00910868" w:rsidRDefault="00910868" w:rsidP="00910868">
      <w:pPr>
        <w:shd w:val="clear" w:color="auto" w:fill="FFFFFF"/>
        <w:spacing w:after="0" w:line="360" w:lineRule="auto"/>
        <w:jc w:val="both"/>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11.</w:t>
      </w:r>
      <w:r w:rsidR="00BE6B90" w:rsidRPr="00910868">
        <w:rPr>
          <w:rFonts w:ascii="Times New Roman" w:eastAsia="Times New Roman" w:hAnsi="Times New Roman" w:cs="Times New Roman"/>
          <w:b/>
          <w:sz w:val="32"/>
          <w:shd w:val="clear" w:color="auto" w:fill="FFFFFF"/>
        </w:rPr>
        <w:t xml:space="preserve"> </w:t>
      </w:r>
      <w:r w:rsidR="00B64020" w:rsidRPr="00910868">
        <w:rPr>
          <w:rFonts w:ascii="Times New Roman" w:eastAsia="Times New Roman" w:hAnsi="Times New Roman" w:cs="Times New Roman"/>
          <w:b/>
          <w:sz w:val="32"/>
          <w:shd w:val="clear" w:color="auto" w:fill="FFFFFF"/>
        </w:rPr>
        <w:t>Limitations and Future Research</w:t>
      </w:r>
    </w:p>
    <w:p w:rsidR="00AF1C4E" w:rsidRDefault="00AF1C4E" w:rsidP="0069034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This stud</w:t>
      </w:r>
      <w:r w:rsidR="00E71D69">
        <w:rPr>
          <w:rFonts w:ascii="Times New Roman" w:eastAsia="Calibri" w:hAnsi="Times New Roman" w:cs="Times New Roman"/>
          <w:sz w:val="24"/>
          <w:szCs w:val="24"/>
        </w:rPr>
        <w:t>y</w:t>
      </w:r>
      <w:r>
        <w:rPr>
          <w:rFonts w:ascii="Times New Roman" w:eastAsia="Calibri" w:hAnsi="Times New Roman" w:cs="Times New Roman"/>
          <w:sz w:val="24"/>
          <w:szCs w:val="24"/>
        </w:rPr>
        <w:t xml:space="preserve"> provides valuable insights into the relationship between trust, human resource practices, and performance outcomes in Zambian higher education institutions.  However, several limitations must be acknowledged.</w:t>
      </w:r>
    </w:p>
    <w:p w:rsidR="00AF1C4E" w:rsidRDefault="00AF1C4E" w:rsidP="00AF1C4E">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First, the cross-sectional design restricts </w:t>
      </w:r>
      <w:r w:rsidR="00E71D69">
        <w:rPr>
          <w:rFonts w:ascii="Times New Roman" w:eastAsia="Calibri" w:hAnsi="Times New Roman" w:cs="Times New Roman"/>
          <w:sz w:val="24"/>
          <w:szCs w:val="24"/>
        </w:rPr>
        <w:t xml:space="preserve">the </w:t>
      </w:r>
      <w:r>
        <w:rPr>
          <w:rFonts w:ascii="Times New Roman" w:eastAsia="Calibri" w:hAnsi="Times New Roman" w:cs="Times New Roman"/>
          <w:sz w:val="24"/>
          <w:szCs w:val="24"/>
        </w:rPr>
        <w:t>ability to infer causality; the observed associations between trust, HR practices, and performance may vary over time.  Future studies should adopt longitudinal designs to capture the dynamic evolution of trust and its impact on performance.</w:t>
      </w:r>
    </w:p>
    <w:p w:rsidR="00AF1C4E" w:rsidRDefault="00AF1C4E" w:rsidP="00AF1C4E">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Second, the reliance on self-reported survey data introduces the possibility of response bias, as participants may have provided socially desirable answers.  Incorporating multiple data sources, such as interviews, focus groups, or institutional records, would strengthen validity.</w:t>
      </w:r>
    </w:p>
    <w:p w:rsidR="00AF1C4E" w:rsidRDefault="00AF1C4E" w:rsidP="00AF1C4E">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Third, the study’s focus on Zambian HEIs limits generalizability to other cultural and institutional contexts.  Comparative, multi-country research would help identify contextual differences and similarities in trust-building mechanisms.</w:t>
      </w:r>
    </w:p>
    <w:p w:rsidR="00AF1C4E" w:rsidRDefault="00AF1C4E" w:rsidP="00AF1C4E">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Fourth, while the study employed Smart PLS-SEM to test mediation, additional moderators and control variables such as organisational culture, leadership style, or diversity dimensions could provide a more nuanced understanding of the trust-performance relationship.</w:t>
      </w:r>
    </w:p>
    <w:p w:rsidR="00BC56FC" w:rsidRDefault="00AF1C4E" w:rsidP="00AF1C4E">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Finally, the literature review, though comprehensive, highlighted over</w:t>
      </w:r>
      <w:r w:rsidR="00BC56FC">
        <w:rPr>
          <w:rFonts w:ascii="Times New Roman" w:eastAsia="Calibri" w:hAnsi="Times New Roman" w:cs="Times New Roman"/>
          <w:sz w:val="24"/>
          <w:szCs w:val="24"/>
        </w:rPr>
        <w:t>lapping definitions of trust without fully integrating them into a unified theoretical framework.  Future research should streamline conceptual models and deepen theoretical integration, particularly with Social Exchange Theory, to enhance explanatory power.</w:t>
      </w:r>
    </w:p>
    <w:p w:rsidR="00BF1EA1" w:rsidRDefault="00BC56FC" w:rsidP="00AF1C4E">
      <w:pPr>
        <w:spacing w:before="100" w:before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Future inquiries could also explore qualitative approaches to capture the lived experiences of academic staff, thereby enriching the quantitative findings.  Additionally, examining the role of distrust alongside trust</w:t>
      </w:r>
      <w:r w:rsidR="00B64020" w:rsidRPr="00B64020">
        <w:rPr>
          <w:rFonts w:ascii="Tahoma" w:eastAsia="Calibri" w:hAnsi="Tahoma" w:cs="Tahoma"/>
          <w:b/>
          <w:sz w:val="24"/>
          <w:szCs w:val="24"/>
        </w:rPr>
        <w:t xml:space="preserve"> </w:t>
      </w:r>
      <w:r>
        <w:rPr>
          <w:rFonts w:ascii="Times New Roman" w:eastAsia="Calibri" w:hAnsi="Times New Roman" w:cs="Times New Roman"/>
          <w:sz w:val="24"/>
          <w:szCs w:val="24"/>
        </w:rPr>
        <w:t>may provide a more balanced understanding of employee relations in HEIs.  By addressing these limitations, subsequent studies can build on the present findings to advance both theory and practice in higher education management.</w:t>
      </w:r>
    </w:p>
    <w:p w:rsidR="00BE6B90" w:rsidRPr="00BE6B90" w:rsidRDefault="00BE6B90" w:rsidP="00AF1C4E">
      <w:pPr>
        <w:spacing w:before="100" w:beforeAutospacing="1" w:line="360" w:lineRule="auto"/>
        <w:jc w:val="both"/>
        <w:rPr>
          <w:rFonts w:ascii="Times New Roman" w:eastAsia="Calibri" w:hAnsi="Times New Roman" w:cs="Times New Roman"/>
          <w:b/>
          <w:sz w:val="24"/>
          <w:szCs w:val="24"/>
        </w:rPr>
      </w:pPr>
      <w:r w:rsidRPr="00BE6B90">
        <w:rPr>
          <w:rFonts w:ascii="Times New Roman" w:eastAsia="Calibri" w:hAnsi="Times New Roman" w:cs="Times New Roman"/>
          <w:b/>
          <w:sz w:val="24"/>
          <w:szCs w:val="24"/>
        </w:rPr>
        <w:t>References</w:t>
      </w:r>
    </w:p>
    <w:p w:rsidR="00FE4897" w:rsidRDefault="00FE4897" w:rsidP="00185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Akar, H. (2018). Meta-analysis of organisational trust studies conducted in educational organisations in the years between 2008 and 2018. </w:t>
      </w:r>
      <w:r w:rsidRPr="00513EF7">
        <w:rPr>
          <w:rFonts w:ascii="Times New Roman" w:eastAsia="Times New Roman" w:hAnsi="Times New Roman" w:cs="Times New Roman"/>
          <w:i/>
          <w:sz w:val="24"/>
          <w:szCs w:val="24"/>
        </w:rPr>
        <w:t>International Journal of Education Methodology</w:t>
      </w:r>
      <w:r>
        <w:rPr>
          <w:rFonts w:ascii="Times New Roman" w:eastAsia="Times New Roman" w:hAnsi="Times New Roman" w:cs="Times New Roman"/>
          <w:sz w:val="24"/>
          <w:szCs w:val="24"/>
        </w:rPr>
        <w:t xml:space="preserve">. </w:t>
      </w:r>
      <w:r w:rsidRPr="00F66509">
        <w:rPr>
          <w:rFonts w:ascii="Times New Roman" w:eastAsia="Times New Roman" w:hAnsi="Times New Roman" w:cs="Times New Roman"/>
          <w:sz w:val="24"/>
          <w:szCs w:val="24"/>
        </w:rPr>
        <w:t>https://files.eric.</w:t>
      </w:r>
      <w:r>
        <w:rPr>
          <w:rFonts w:ascii="Times New Roman" w:eastAsia="Times New Roman" w:hAnsi="Times New Roman" w:cs="Times New Roman"/>
          <w:sz w:val="24"/>
          <w:szCs w:val="24"/>
        </w:rPr>
        <w:t>ed.gov/fulltext/EJ1196516.pdf</w:t>
      </w:r>
    </w:p>
    <w:p w:rsidR="00FE4897" w:rsidRDefault="00FE4897" w:rsidP="001858B2">
      <w:pPr>
        <w:spacing w:after="0" w:line="240" w:lineRule="auto"/>
        <w:jc w:val="both"/>
        <w:rPr>
          <w:rFonts w:ascii="Times New Roman" w:eastAsia="Times New Roman" w:hAnsi="Times New Roman" w:cs="Times New Roman"/>
          <w:sz w:val="24"/>
          <w:szCs w:val="24"/>
        </w:rPr>
      </w:pPr>
    </w:p>
    <w:p w:rsidR="00A04F34" w:rsidRPr="00276267" w:rsidRDefault="00756055" w:rsidP="001858B2">
      <w:pPr>
        <w:spacing w:after="0" w:line="240" w:lineRule="auto"/>
        <w:jc w:val="both"/>
        <w:rPr>
          <w:rFonts w:ascii="Times New Roman" w:eastAsia="Times New Roman" w:hAnsi="Times New Roman" w:cs="Times New Roman"/>
          <w:sz w:val="24"/>
          <w:szCs w:val="24"/>
        </w:rPr>
      </w:pPr>
      <w:hyperlink r:id="rId14" w:history="1">
        <w:r w:rsidR="00A04F34" w:rsidRPr="00890228">
          <w:rPr>
            <w:rStyle w:val="Hyperlink"/>
            <w:rFonts w:ascii="Times New Roman" w:hAnsi="Times New Roman" w:cs="Times New Roman"/>
            <w:sz w:val="24"/>
            <w:szCs w:val="24"/>
          </w:rPr>
          <w:t>Alfes</w:t>
        </w:r>
      </w:hyperlink>
      <w:r w:rsidR="00A04F34" w:rsidRPr="00890228">
        <w:rPr>
          <w:rStyle w:val="comma-separator"/>
          <w:rFonts w:ascii="Times New Roman" w:hAnsi="Times New Roman" w:cs="Times New Roman"/>
          <w:sz w:val="24"/>
          <w:szCs w:val="24"/>
        </w:rPr>
        <w:t>, K., </w:t>
      </w:r>
      <w:hyperlink r:id="rId15" w:history="1">
        <w:r w:rsidR="00A04F34" w:rsidRPr="00890228">
          <w:rPr>
            <w:rStyle w:val="Hyperlink"/>
            <w:rFonts w:ascii="Times New Roman" w:hAnsi="Times New Roman" w:cs="Times New Roman"/>
            <w:sz w:val="24"/>
            <w:szCs w:val="24"/>
          </w:rPr>
          <w:t>Truss</w:t>
        </w:r>
      </w:hyperlink>
      <w:r w:rsidR="00A04F34" w:rsidRPr="00890228">
        <w:rPr>
          <w:rStyle w:val="comma-separator"/>
          <w:rFonts w:ascii="Times New Roman" w:hAnsi="Times New Roman" w:cs="Times New Roman"/>
          <w:sz w:val="24"/>
          <w:szCs w:val="24"/>
        </w:rPr>
        <w:t>, C.,  </w:t>
      </w:r>
      <w:hyperlink r:id="rId16" w:history="1">
        <w:r w:rsidR="00A04F34" w:rsidRPr="00890228">
          <w:rPr>
            <w:rStyle w:val="Hyperlink"/>
            <w:rFonts w:ascii="Times New Roman" w:hAnsi="Times New Roman" w:cs="Times New Roman"/>
            <w:sz w:val="24"/>
            <w:szCs w:val="24"/>
          </w:rPr>
          <w:t>Soane</w:t>
        </w:r>
      </w:hyperlink>
      <w:r w:rsidR="00A04F34" w:rsidRPr="00890228">
        <w:rPr>
          <w:rStyle w:val="comma-separator"/>
          <w:rFonts w:ascii="Times New Roman" w:hAnsi="Times New Roman" w:cs="Times New Roman"/>
          <w:sz w:val="24"/>
          <w:szCs w:val="24"/>
        </w:rPr>
        <w:t>, E.C., </w:t>
      </w:r>
      <w:hyperlink r:id="rId17" w:history="1">
        <w:r w:rsidR="00A04F34" w:rsidRPr="00890228">
          <w:rPr>
            <w:rStyle w:val="Hyperlink"/>
            <w:rFonts w:ascii="Times New Roman" w:hAnsi="Times New Roman" w:cs="Times New Roman"/>
            <w:sz w:val="24"/>
            <w:szCs w:val="24"/>
          </w:rPr>
          <w:t>Rees</w:t>
        </w:r>
      </w:hyperlink>
      <w:r w:rsidR="00A04F34" w:rsidRPr="00890228">
        <w:rPr>
          <w:rStyle w:val="comma-separator"/>
          <w:rFonts w:ascii="Times New Roman" w:hAnsi="Times New Roman" w:cs="Times New Roman"/>
          <w:sz w:val="24"/>
          <w:szCs w:val="24"/>
        </w:rPr>
        <w:t>, C. &amp; </w:t>
      </w:r>
      <w:hyperlink r:id="rId18" w:history="1">
        <w:r w:rsidR="00A04F34" w:rsidRPr="00890228">
          <w:rPr>
            <w:rStyle w:val="Hyperlink"/>
            <w:rFonts w:ascii="Times New Roman" w:hAnsi="Times New Roman" w:cs="Times New Roman"/>
            <w:sz w:val="24"/>
            <w:szCs w:val="24"/>
          </w:rPr>
          <w:t>Gatenby</w:t>
        </w:r>
      </w:hyperlink>
      <w:r w:rsidR="00A04F34" w:rsidRPr="00890228">
        <w:rPr>
          <w:rStyle w:val="accordion-tabbedtab-mobile"/>
          <w:rFonts w:ascii="Times New Roman" w:hAnsi="Times New Roman" w:cs="Times New Roman"/>
          <w:sz w:val="24"/>
          <w:szCs w:val="24"/>
        </w:rPr>
        <w:t xml:space="preserve">, M. (2013). </w:t>
      </w:r>
      <w:r w:rsidR="00A04F34" w:rsidRPr="00890228">
        <w:rPr>
          <w:rFonts w:ascii="Times New Roman" w:hAnsi="Times New Roman" w:cs="Times New Roman"/>
          <w:sz w:val="24"/>
          <w:szCs w:val="24"/>
          <w:lang w:val="en"/>
        </w:rPr>
        <w:t>The Relationship Between Line Manager Behavior, Perceived HRM Practices, and</w:t>
      </w:r>
      <w:r w:rsidR="00A04F34" w:rsidRPr="00276267">
        <w:rPr>
          <w:rFonts w:ascii="Times New Roman" w:hAnsi="Times New Roman" w:cs="Times New Roman"/>
          <w:sz w:val="24"/>
          <w:szCs w:val="24"/>
          <w:lang w:val="en"/>
        </w:rPr>
        <w:t xml:space="preserve"> Individual Performance: Examining the Mediating Role of Engagement. </w:t>
      </w:r>
      <w:r w:rsidR="00A04F34" w:rsidRPr="00276267">
        <w:rPr>
          <w:rFonts w:ascii="Times New Roman" w:hAnsi="Times New Roman" w:cs="Times New Roman"/>
          <w:i/>
          <w:sz w:val="24"/>
          <w:szCs w:val="24"/>
          <w:lang w:val="en"/>
        </w:rPr>
        <w:t>Human Resource Management and the Line</w:t>
      </w:r>
      <w:r w:rsidR="00A04F34" w:rsidRPr="00276267">
        <w:rPr>
          <w:rFonts w:ascii="Times New Roman" w:hAnsi="Times New Roman" w:cs="Times New Roman"/>
          <w:sz w:val="24"/>
          <w:szCs w:val="24"/>
          <w:lang w:val="en"/>
        </w:rPr>
        <w:t xml:space="preserve">. Vol. 52 Special Issue, Nov/Dec 2013. </w:t>
      </w:r>
      <w:hyperlink r:id="rId19" w:history="1">
        <w:r w:rsidR="00A04F34" w:rsidRPr="00276267">
          <w:rPr>
            <w:rStyle w:val="Hyperlink"/>
            <w:sz w:val="24"/>
            <w:szCs w:val="24"/>
            <w:lang w:val="en"/>
          </w:rPr>
          <w:t>https://doi.org/10.1002/hrm.21512</w:t>
        </w:r>
      </w:hyperlink>
      <w:r w:rsidR="00A04F34" w:rsidRPr="00276267">
        <w:rPr>
          <w:rFonts w:ascii="Times New Roman" w:hAnsi="Times New Roman" w:cs="Times New Roman"/>
          <w:sz w:val="24"/>
          <w:szCs w:val="24"/>
          <w:lang w:val="en"/>
        </w:rPr>
        <w:t>, pages 839-859</w:t>
      </w:r>
    </w:p>
    <w:p w:rsidR="00A04F34" w:rsidRDefault="00A04F34" w:rsidP="001858B2">
      <w:pPr>
        <w:spacing w:after="0" w:line="240" w:lineRule="auto"/>
        <w:jc w:val="both"/>
        <w:rPr>
          <w:rFonts w:ascii="Times New Roman" w:eastAsia="Times New Roman" w:hAnsi="Times New Roman" w:cs="Times New Roman"/>
          <w:sz w:val="24"/>
          <w:szCs w:val="24"/>
        </w:rPr>
      </w:pPr>
    </w:p>
    <w:p w:rsidR="00A04F34" w:rsidRPr="00276267" w:rsidRDefault="00A04F34"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Alshamary, M.H. (2025). Organisational Commitment as a Mediating Factor between Trust in Management and the Achievement of Organisational Goals – An Applied Case in Tikrit University. </w:t>
      </w:r>
      <w:r w:rsidRPr="00276267">
        <w:rPr>
          <w:rFonts w:ascii="Times New Roman" w:eastAsia="Times New Roman" w:hAnsi="Times New Roman" w:cs="Times New Roman"/>
          <w:i/>
          <w:sz w:val="24"/>
          <w:szCs w:val="24"/>
        </w:rPr>
        <w:t>South Asian Research Journal of Business and Management</w:t>
      </w:r>
      <w:r w:rsidRPr="00276267">
        <w:rPr>
          <w:rFonts w:ascii="Times New Roman" w:eastAsia="Times New Roman" w:hAnsi="Times New Roman" w:cs="Times New Roman"/>
          <w:sz w:val="24"/>
          <w:szCs w:val="24"/>
        </w:rPr>
        <w:t xml:space="preserve">, 7(3), 321-332. DOI: https//doi.org10.36346/sarjbm.2025.v07i03.016 CC BY-NC 4.0 </w:t>
      </w:r>
    </w:p>
    <w:p w:rsidR="00A04F34" w:rsidRDefault="00A04F34" w:rsidP="001858B2">
      <w:pPr>
        <w:spacing w:after="0" w:line="240" w:lineRule="auto"/>
        <w:jc w:val="both"/>
        <w:rPr>
          <w:rFonts w:ascii="Times New Roman" w:eastAsia="Times New Roman" w:hAnsi="Times New Roman" w:cs="Times New Roman"/>
          <w:sz w:val="24"/>
          <w:szCs w:val="24"/>
        </w:rPr>
      </w:pPr>
    </w:p>
    <w:p w:rsidR="00356699" w:rsidRPr="00276267" w:rsidRDefault="00356699"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Al-Subaie, O.B.A. (2021). Leading organisational trust in educational institutions: A proposed leadership model. </w:t>
      </w:r>
      <w:r w:rsidRPr="00276267">
        <w:rPr>
          <w:rFonts w:ascii="Times New Roman" w:eastAsia="Times New Roman" w:hAnsi="Times New Roman" w:cs="Times New Roman"/>
          <w:i/>
          <w:sz w:val="24"/>
          <w:szCs w:val="24"/>
        </w:rPr>
        <w:t>Journal of Entrepreneurship Education</w:t>
      </w:r>
      <w:r w:rsidRPr="00276267">
        <w:rPr>
          <w:rFonts w:ascii="Times New Roman" w:eastAsia="Times New Roman" w:hAnsi="Times New Roman" w:cs="Times New Roman"/>
          <w:sz w:val="24"/>
          <w:szCs w:val="24"/>
        </w:rPr>
        <w:t xml:space="preserve">, 24(6). https://www.abacademies.org/articles/leading-organizational-trust-in-educational-institutions-a-proposed-leadership-model-11071.html </w:t>
      </w:r>
    </w:p>
    <w:p w:rsidR="00356699" w:rsidRDefault="00356699" w:rsidP="001858B2">
      <w:pPr>
        <w:spacing w:after="0" w:line="240" w:lineRule="auto"/>
        <w:jc w:val="both"/>
        <w:rPr>
          <w:rFonts w:ascii="Times New Roman" w:eastAsia="Times New Roman" w:hAnsi="Times New Roman" w:cs="Times New Roman"/>
          <w:sz w:val="24"/>
          <w:szCs w:val="24"/>
        </w:rPr>
      </w:pPr>
    </w:p>
    <w:p w:rsidR="00FE4897" w:rsidRPr="00276267" w:rsidRDefault="00FE4897"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Barney, J. B., &amp; Hansen, M. H. (1994). Trustworthiness as a Source of Competitive Advantage. </w:t>
      </w:r>
      <w:r w:rsidRPr="00276267">
        <w:rPr>
          <w:rFonts w:ascii="Times New Roman" w:eastAsia="Times New Roman" w:hAnsi="Times New Roman" w:cs="Times New Roman"/>
          <w:i/>
          <w:sz w:val="24"/>
          <w:szCs w:val="24"/>
        </w:rPr>
        <w:t>Strategic Management Journal</w:t>
      </w:r>
      <w:r w:rsidRPr="00276267">
        <w:rPr>
          <w:rFonts w:ascii="Times New Roman" w:eastAsia="Times New Roman" w:hAnsi="Times New Roman" w:cs="Times New Roman"/>
          <w:sz w:val="24"/>
          <w:szCs w:val="24"/>
        </w:rPr>
        <w:t xml:space="preserve">, 15, 175–190. </w:t>
      </w:r>
      <w:hyperlink r:id="rId20" w:history="1">
        <w:r w:rsidRPr="007F2606">
          <w:rPr>
            <w:rStyle w:val="Hyperlink"/>
            <w:sz w:val="24"/>
            <w:szCs w:val="24"/>
          </w:rPr>
          <w:t>http://www.jstor.org/stable/2486817</w:t>
        </w:r>
      </w:hyperlink>
      <w:r w:rsidRPr="00276267">
        <w:rPr>
          <w:rFonts w:ascii="Times New Roman" w:eastAsia="Times New Roman" w:hAnsi="Times New Roman" w:cs="Times New Roman"/>
          <w:sz w:val="24"/>
          <w:szCs w:val="24"/>
        </w:rPr>
        <w:t xml:space="preserve"> </w:t>
      </w:r>
    </w:p>
    <w:p w:rsidR="00FE4897" w:rsidRDefault="00FE4897" w:rsidP="001858B2">
      <w:pPr>
        <w:spacing w:after="0" w:line="240" w:lineRule="auto"/>
        <w:jc w:val="both"/>
        <w:rPr>
          <w:rFonts w:ascii="Times New Roman" w:hAnsi="Times New Roman" w:cs="Times New Roman"/>
          <w:sz w:val="24"/>
        </w:rPr>
      </w:pPr>
    </w:p>
    <w:p w:rsidR="00FE4897" w:rsidRPr="00276267" w:rsidRDefault="00FE4897" w:rsidP="001858B2">
      <w:pPr>
        <w:spacing w:after="0" w:line="240" w:lineRule="auto"/>
        <w:jc w:val="both"/>
        <w:rPr>
          <w:rFonts w:ascii="Times New Roman" w:eastAsia="Times New Roman" w:hAnsi="Times New Roman" w:cs="Times New Roman"/>
          <w:sz w:val="28"/>
          <w:szCs w:val="24"/>
        </w:rPr>
      </w:pPr>
      <w:r w:rsidRPr="00276267">
        <w:rPr>
          <w:rFonts w:ascii="Times New Roman" w:hAnsi="Times New Roman" w:cs="Times New Roman"/>
          <w:sz w:val="24"/>
        </w:rPr>
        <w:t xml:space="preserve">Botwe, P.B., Kenneth, A.B. and Masih, E. 2016. Concept of Trust and Its Effect on Performance in an Organisation. </w:t>
      </w:r>
      <w:r w:rsidRPr="00276267">
        <w:rPr>
          <w:rFonts w:ascii="Times New Roman" w:hAnsi="Times New Roman" w:cs="Times New Roman"/>
          <w:i/>
          <w:iCs/>
          <w:sz w:val="24"/>
        </w:rPr>
        <w:t>The International Journal of Business &amp; Management</w:t>
      </w:r>
      <w:r w:rsidRPr="00276267">
        <w:rPr>
          <w:rFonts w:ascii="Times New Roman" w:hAnsi="Times New Roman" w:cs="Times New Roman"/>
          <w:sz w:val="24"/>
        </w:rPr>
        <w:t>. 4, 2 (Feb. 2016).</w:t>
      </w:r>
    </w:p>
    <w:p w:rsidR="00FE4897" w:rsidRDefault="00FE4897" w:rsidP="001858B2">
      <w:pPr>
        <w:spacing w:after="0" w:line="240" w:lineRule="auto"/>
        <w:jc w:val="both"/>
        <w:rPr>
          <w:rFonts w:ascii="Times New Roman" w:eastAsia="Times New Roman" w:hAnsi="Times New Roman" w:cs="Times New Roman"/>
          <w:sz w:val="24"/>
          <w:szCs w:val="24"/>
        </w:rPr>
      </w:pPr>
    </w:p>
    <w:p w:rsidR="00FE4897" w:rsidRDefault="00FE4897" w:rsidP="00185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Camilleri, M. (2020). The Performance Management in Higher Education. </w:t>
      </w:r>
    </w:p>
    <w:p w:rsidR="00FE4897" w:rsidRDefault="00FE4897" w:rsidP="001858B2">
      <w:pPr>
        <w:spacing w:after="0" w:line="240" w:lineRule="auto"/>
        <w:jc w:val="both"/>
        <w:rPr>
          <w:rFonts w:ascii="Times New Roman" w:eastAsia="Times New Roman" w:hAnsi="Times New Roman" w:cs="Times New Roman"/>
          <w:sz w:val="24"/>
          <w:szCs w:val="24"/>
        </w:rPr>
      </w:pPr>
      <w:r w:rsidRPr="00316D46">
        <w:rPr>
          <w:rFonts w:ascii="Times New Roman" w:eastAsia="Times New Roman" w:hAnsi="Times New Roman" w:cs="Times New Roman"/>
          <w:sz w:val="24"/>
          <w:szCs w:val="24"/>
        </w:rPr>
        <w:t>https://drmarkcamilleri.com/2020/04/03/the-performance-management-in-higher-education/</w:t>
      </w:r>
    </w:p>
    <w:p w:rsidR="00A04F34" w:rsidRPr="00EC6F11" w:rsidRDefault="00A04F34" w:rsidP="001858B2">
      <w:pPr>
        <w:spacing w:before="100" w:beforeAutospacing="1" w:after="100" w:afterAutospacing="1" w:line="300" w:lineRule="atLeast"/>
        <w:jc w:val="both"/>
        <w:rPr>
          <w:rFonts w:ascii="Times New Roman" w:eastAsia="Times New Roman" w:hAnsi="Times New Roman" w:cs="Times New Roman"/>
          <w:sz w:val="24"/>
          <w:szCs w:val="24"/>
        </w:rPr>
      </w:pPr>
      <w:r w:rsidRPr="00EC6F11">
        <w:rPr>
          <w:rFonts w:ascii="Times New Roman" w:eastAsia="Times New Roman" w:hAnsi="Times New Roman" w:cs="Times New Roman"/>
          <w:sz w:val="24"/>
          <w:szCs w:val="24"/>
        </w:rPr>
        <w:t xml:space="preserve">Carrell, M.R. and Dittrich, J.E. (1978) Equity Theory: The Recent Literature, Methodological Considerations, and New Directions. </w:t>
      </w:r>
      <w:r w:rsidRPr="00EC6F11">
        <w:rPr>
          <w:rFonts w:ascii="Times New Roman" w:eastAsia="Times New Roman" w:hAnsi="Times New Roman" w:cs="Times New Roman"/>
          <w:i/>
          <w:sz w:val="24"/>
          <w:szCs w:val="24"/>
        </w:rPr>
        <w:t>Academy of Management Review</w:t>
      </w:r>
      <w:r w:rsidRPr="00EC6F11">
        <w:rPr>
          <w:rFonts w:ascii="Times New Roman" w:eastAsia="Times New Roman" w:hAnsi="Times New Roman" w:cs="Times New Roman"/>
          <w:sz w:val="24"/>
          <w:szCs w:val="24"/>
        </w:rPr>
        <w:t xml:space="preserve">, 3, 202-210. </w:t>
      </w:r>
      <w:r w:rsidRPr="00EC6F11">
        <w:rPr>
          <w:rFonts w:ascii="Times New Roman" w:eastAsia="Times New Roman" w:hAnsi="Times New Roman" w:cs="Times New Roman"/>
          <w:sz w:val="24"/>
          <w:szCs w:val="24"/>
        </w:rPr>
        <w:br/>
        <w:t xml:space="preserve">https://doi.org/10.2307/257661 </w:t>
      </w:r>
    </w:p>
    <w:p w:rsidR="00FE4897" w:rsidRPr="00B64273" w:rsidRDefault="00FE4897" w:rsidP="001858B2">
      <w:pPr>
        <w:spacing w:before="100" w:beforeAutospacing="1" w:after="100" w:afterAutospacing="1" w:line="240" w:lineRule="auto"/>
        <w:jc w:val="both"/>
        <w:rPr>
          <w:rFonts w:ascii="Times New Roman" w:eastAsia="Times New Roman" w:hAnsi="Times New Roman" w:cs="Times New Roman"/>
          <w:sz w:val="24"/>
          <w:szCs w:val="24"/>
        </w:rPr>
      </w:pPr>
      <w:r w:rsidRPr="00D268E6">
        <w:rPr>
          <w:rFonts w:ascii="Times New Roman" w:eastAsia="Times New Roman" w:hAnsi="Times New Roman" w:cs="Times New Roman"/>
          <w:bCs/>
          <w:sz w:val="24"/>
          <w:szCs w:val="24"/>
        </w:rPr>
        <w:t xml:space="preserve">Cummings, L. L., &amp; Bromiley, P. (1996). The Organizational Trust Inventory (OTI): Development and validation. In R. M. Kramer &amp; T. R. Tyler (Eds.), </w:t>
      </w:r>
      <w:r w:rsidRPr="00D268E6">
        <w:rPr>
          <w:rFonts w:ascii="Times New Roman" w:eastAsia="Times New Roman" w:hAnsi="Times New Roman" w:cs="Times New Roman"/>
          <w:bCs/>
          <w:i/>
          <w:iCs/>
          <w:sz w:val="24"/>
          <w:szCs w:val="24"/>
        </w:rPr>
        <w:t>Trust in organizations: Frontiers of theory and research</w:t>
      </w:r>
      <w:r w:rsidRPr="00D268E6">
        <w:rPr>
          <w:rFonts w:ascii="Times New Roman" w:eastAsia="Times New Roman" w:hAnsi="Times New Roman" w:cs="Times New Roman"/>
          <w:bCs/>
          <w:sz w:val="24"/>
          <w:szCs w:val="24"/>
        </w:rPr>
        <w:t xml:space="preserve"> (pp. 302–330). Sage Publications.</w:t>
      </w:r>
    </w:p>
    <w:p w:rsidR="00FE4897" w:rsidRPr="00276267" w:rsidRDefault="00FE4897"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Dirks, K.T. and Ferrin, D.L., 2002. Trust in leadership: meta-analytic findings and implications for research and practice. </w:t>
      </w:r>
      <w:r w:rsidRPr="00276267">
        <w:rPr>
          <w:rFonts w:ascii="Times New Roman" w:eastAsia="Times New Roman" w:hAnsi="Times New Roman" w:cs="Times New Roman"/>
          <w:i/>
          <w:sz w:val="24"/>
          <w:szCs w:val="24"/>
        </w:rPr>
        <w:t>Journal of applied psychology,</w:t>
      </w:r>
      <w:r w:rsidRPr="00276267">
        <w:rPr>
          <w:rFonts w:ascii="Times New Roman" w:eastAsia="Times New Roman" w:hAnsi="Times New Roman" w:cs="Times New Roman"/>
          <w:sz w:val="24"/>
          <w:szCs w:val="24"/>
        </w:rPr>
        <w:t xml:space="preserve"> 87(4), p.611. doi: 10.3389/fpsyg.2022.797443. https://www.ncbi.nlm.nih.gov/pmc/articles/PMC9012151/pdf/fpsyg-13-797443.pdf </w:t>
      </w:r>
    </w:p>
    <w:p w:rsidR="00581AAE" w:rsidRDefault="00581AAE" w:rsidP="001858B2">
      <w:pPr>
        <w:spacing w:after="0" w:line="240" w:lineRule="auto"/>
        <w:jc w:val="both"/>
        <w:rPr>
          <w:rFonts w:ascii="Times New Roman" w:eastAsia="Times New Roman" w:hAnsi="Times New Roman" w:cs="Times New Roman"/>
          <w:sz w:val="24"/>
          <w:szCs w:val="24"/>
        </w:rPr>
      </w:pPr>
    </w:p>
    <w:p w:rsidR="00581AAE" w:rsidRPr="00276267"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Dzansi, L.W. (2016). The Clute Institute A South African Study of Influence of Fairness of Human Resource Management Practices on Service Quality. </w:t>
      </w:r>
      <w:r w:rsidRPr="00276267">
        <w:rPr>
          <w:rFonts w:ascii="Times New Roman" w:eastAsia="Times New Roman" w:hAnsi="Times New Roman" w:cs="Times New Roman"/>
          <w:i/>
          <w:sz w:val="24"/>
          <w:szCs w:val="24"/>
        </w:rPr>
        <w:t>The Journal of Applied Business Research</w:t>
      </w:r>
      <w:r w:rsidRPr="00276267">
        <w:rPr>
          <w:rFonts w:ascii="Times New Roman" w:eastAsia="Times New Roman" w:hAnsi="Times New Roman" w:cs="Times New Roman"/>
          <w:sz w:val="24"/>
          <w:szCs w:val="24"/>
        </w:rPr>
        <w:t xml:space="preserve">, May/June 2016 Volume 32, Number 3. </w:t>
      </w:r>
    </w:p>
    <w:p w:rsidR="00581AAE" w:rsidRPr="00276267" w:rsidRDefault="00581AAE" w:rsidP="001858B2">
      <w:pPr>
        <w:spacing w:after="0" w:line="240" w:lineRule="auto"/>
        <w:jc w:val="both"/>
        <w:rPr>
          <w:rFonts w:ascii="Times New Roman" w:eastAsia="Times New Roman" w:hAnsi="Times New Roman" w:cs="Times New Roman"/>
          <w:sz w:val="24"/>
          <w:szCs w:val="24"/>
        </w:rPr>
      </w:pPr>
    </w:p>
    <w:p w:rsidR="00581AAE" w:rsidRPr="00276267"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Dziminska, M., Fijalkwska, J., Sulkowski, L. (2018). Trust-based quality culture conceptual model for higher education institutions. </w:t>
      </w:r>
      <w:r w:rsidRPr="00276267">
        <w:rPr>
          <w:rFonts w:ascii="Times New Roman" w:eastAsia="Times New Roman" w:hAnsi="Times New Roman" w:cs="Times New Roman"/>
          <w:i/>
          <w:sz w:val="24"/>
          <w:szCs w:val="24"/>
        </w:rPr>
        <w:t>Sustainability</w:t>
      </w:r>
      <w:r w:rsidRPr="00276267">
        <w:rPr>
          <w:rFonts w:ascii="Times New Roman" w:eastAsia="Times New Roman" w:hAnsi="Times New Roman" w:cs="Times New Roman"/>
          <w:sz w:val="24"/>
          <w:szCs w:val="24"/>
        </w:rPr>
        <w:t xml:space="preserve"> July 24, 10 (8): 2599 </w:t>
      </w:r>
    </w:p>
    <w:p w:rsidR="005F68FB" w:rsidRDefault="005F68FB" w:rsidP="001858B2">
      <w:pPr>
        <w:spacing w:after="0" w:line="240" w:lineRule="auto"/>
        <w:jc w:val="both"/>
        <w:rPr>
          <w:rFonts w:ascii="Times New Roman" w:eastAsia="Times New Roman" w:hAnsi="Times New Roman" w:cs="Times New Roman"/>
          <w:sz w:val="24"/>
          <w:szCs w:val="24"/>
        </w:rPr>
      </w:pPr>
    </w:p>
    <w:p w:rsidR="00581AAE" w:rsidRPr="004861D3" w:rsidRDefault="00581AAE" w:rsidP="001858B2">
      <w:pPr>
        <w:spacing w:after="0" w:line="240" w:lineRule="auto"/>
        <w:jc w:val="both"/>
        <w:rPr>
          <w:rFonts w:ascii="Times New Roman" w:eastAsia="Times New Roman" w:hAnsi="Times New Roman" w:cs="Times New Roman"/>
          <w:sz w:val="24"/>
          <w:szCs w:val="24"/>
        </w:rPr>
      </w:pPr>
      <w:r w:rsidRPr="004861D3">
        <w:rPr>
          <w:rFonts w:ascii="Times New Roman" w:eastAsia="Times New Roman" w:hAnsi="Times New Roman" w:cs="Times New Roman"/>
          <w:sz w:val="24"/>
          <w:szCs w:val="24"/>
        </w:rPr>
        <w:t>Golembiewski, R.T., &amp; McConkie, M. (1975). The Centrality of Trust in Group Processes. In C.L. Cooper (Ed.), Theories of Group Processes (pp. 131–185). New York: Wiley.</w:t>
      </w:r>
    </w:p>
    <w:p w:rsidR="00581AAE" w:rsidRDefault="00581AAE" w:rsidP="001858B2">
      <w:pPr>
        <w:jc w:val="both"/>
        <w:rPr>
          <w:rFonts w:ascii="Times New Roman" w:eastAsia="Times New Roman" w:hAnsi="Times New Roman" w:cs="Times New Roman"/>
          <w:sz w:val="24"/>
          <w:szCs w:val="24"/>
        </w:rPr>
      </w:pPr>
    </w:p>
    <w:p w:rsidR="00356699" w:rsidRPr="00276267" w:rsidRDefault="00356699"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Fulmer, Ashley &amp; Gelfand, Michele. (2012). At What Level (and in Whom) We Trust : Trust Across Multiple Organizational Levels. </w:t>
      </w:r>
      <w:r w:rsidRPr="00276267">
        <w:rPr>
          <w:rFonts w:ascii="Times New Roman" w:eastAsia="Times New Roman" w:hAnsi="Times New Roman" w:cs="Times New Roman"/>
          <w:i/>
          <w:sz w:val="24"/>
          <w:szCs w:val="24"/>
        </w:rPr>
        <w:t>Journal of Management</w:t>
      </w:r>
      <w:r w:rsidRPr="00276267">
        <w:rPr>
          <w:rFonts w:ascii="Times New Roman" w:eastAsia="Times New Roman" w:hAnsi="Times New Roman" w:cs="Times New Roman"/>
          <w:sz w:val="24"/>
          <w:szCs w:val="24"/>
        </w:rPr>
        <w:t>. 38. 1167-1230. 10.2139/ssrn.1873149.</w:t>
      </w:r>
    </w:p>
    <w:p w:rsidR="005F68FB" w:rsidRDefault="005F68FB" w:rsidP="001858B2">
      <w:pPr>
        <w:spacing w:after="0" w:line="240" w:lineRule="auto"/>
        <w:jc w:val="both"/>
        <w:rPr>
          <w:rFonts w:ascii="Times New Roman" w:eastAsia="Times New Roman" w:hAnsi="Times New Roman" w:cs="Times New Roman"/>
          <w:sz w:val="24"/>
          <w:szCs w:val="24"/>
        </w:rPr>
      </w:pPr>
    </w:p>
    <w:p w:rsidR="00356699" w:rsidRPr="00E85348" w:rsidRDefault="00356699" w:rsidP="001858B2">
      <w:pPr>
        <w:spacing w:after="0" w:line="240" w:lineRule="auto"/>
        <w:jc w:val="both"/>
        <w:rPr>
          <w:rFonts w:ascii="Times New Roman" w:eastAsia="Times New Roman" w:hAnsi="Times New Roman" w:cs="Times New Roman"/>
          <w:sz w:val="24"/>
          <w:szCs w:val="24"/>
        </w:rPr>
      </w:pPr>
      <w:r w:rsidRPr="00E85348">
        <w:rPr>
          <w:rFonts w:ascii="Times New Roman" w:eastAsia="Times New Roman" w:hAnsi="Times New Roman" w:cs="Times New Roman"/>
          <w:sz w:val="24"/>
          <w:szCs w:val="24"/>
        </w:rPr>
        <w:t>Gimeno, D., G</w:t>
      </w:r>
      <w:r>
        <w:rPr>
          <w:rFonts w:ascii="Times New Roman" w:eastAsia="Times New Roman" w:hAnsi="Times New Roman" w:cs="Times New Roman"/>
          <w:sz w:val="24"/>
          <w:szCs w:val="24"/>
        </w:rPr>
        <w:t>eroy, C. Y Prado, N. (2025). Em</w:t>
      </w:r>
      <w:r w:rsidRPr="00E85348">
        <w:rPr>
          <w:rFonts w:ascii="Times New Roman" w:eastAsia="Times New Roman" w:hAnsi="Times New Roman" w:cs="Times New Roman"/>
          <w:sz w:val="24"/>
          <w:szCs w:val="24"/>
        </w:rPr>
        <w:t>ployee Engagement, Job Satisfaction, and</w:t>
      </w:r>
    </w:p>
    <w:p w:rsidR="00356699" w:rsidRPr="00E85348" w:rsidRDefault="00356699" w:rsidP="001858B2">
      <w:pPr>
        <w:spacing w:after="0" w:line="240" w:lineRule="auto"/>
        <w:jc w:val="both"/>
        <w:rPr>
          <w:rFonts w:ascii="Times New Roman" w:eastAsia="Times New Roman" w:hAnsi="Times New Roman" w:cs="Times New Roman"/>
          <w:sz w:val="24"/>
          <w:szCs w:val="24"/>
        </w:rPr>
      </w:pPr>
      <w:r w:rsidRPr="00E85348">
        <w:rPr>
          <w:rFonts w:ascii="Times New Roman" w:eastAsia="Times New Roman" w:hAnsi="Times New Roman" w:cs="Times New Roman"/>
          <w:sz w:val="24"/>
          <w:szCs w:val="24"/>
        </w:rPr>
        <w:t>Organizational Commitment on Employee</w:t>
      </w:r>
      <w:r>
        <w:rPr>
          <w:rFonts w:ascii="Times New Roman" w:eastAsia="Times New Roman" w:hAnsi="Times New Roman" w:cs="Times New Roman"/>
          <w:sz w:val="24"/>
          <w:szCs w:val="24"/>
        </w:rPr>
        <w:t xml:space="preserve"> </w:t>
      </w:r>
      <w:r w:rsidRPr="00E85348">
        <w:rPr>
          <w:rFonts w:ascii="Times New Roman" w:eastAsia="Times New Roman" w:hAnsi="Times New Roman" w:cs="Times New Roman"/>
          <w:sz w:val="24"/>
          <w:szCs w:val="24"/>
        </w:rPr>
        <w:t>Productivity in Higher Education Settings.</w:t>
      </w:r>
    </w:p>
    <w:p w:rsidR="00356699" w:rsidRPr="00E85348" w:rsidRDefault="00356699" w:rsidP="001858B2">
      <w:pPr>
        <w:spacing w:after="0" w:line="240" w:lineRule="auto"/>
        <w:jc w:val="both"/>
        <w:rPr>
          <w:rFonts w:ascii="Times New Roman" w:eastAsia="Times New Roman" w:hAnsi="Times New Roman" w:cs="Times New Roman"/>
          <w:sz w:val="24"/>
          <w:szCs w:val="24"/>
        </w:rPr>
      </w:pPr>
      <w:r w:rsidRPr="00E85348">
        <w:rPr>
          <w:rFonts w:ascii="Times New Roman" w:eastAsia="Times New Roman" w:hAnsi="Times New Roman" w:cs="Times New Roman"/>
          <w:i/>
          <w:sz w:val="24"/>
          <w:szCs w:val="24"/>
        </w:rPr>
        <w:t>International Journal of Research and Innovation in Social Science</w:t>
      </w:r>
      <w:r w:rsidRPr="00E85348">
        <w:rPr>
          <w:rFonts w:ascii="Times New Roman" w:eastAsia="Times New Roman" w:hAnsi="Times New Roman" w:cs="Times New Roman"/>
          <w:sz w:val="24"/>
          <w:szCs w:val="24"/>
        </w:rPr>
        <w:t>.</w:t>
      </w:r>
    </w:p>
    <w:p w:rsidR="00356699" w:rsidRDefault="00356699" w:rsidP="001858B2">
      <w:pPr>
        <w:spacing w:after="0" w:line="240" w:lineRule="auto"/>
        <w:jc w:val="both"/>
        <w:rPr>
          <w:rFonts w:ascii="Times New Roman" w:eastAsia="Times New Roman" w:hAnsi="Times New Roman" w:cs="Times New Roman"/>
          <w:sz w:val="24"/>
          <w:szCs w:val="24"/>
        </w:rPr>
      </w:pPr>
      <w:r w:rsidRPr="00E85348">
        <w:rPr>
          <w:rFonts w:ascii="Times New Roman" w:eastAsia="Times New Roman" w:hAnsi="Times New Roman" w:cs="Times New Roman"/>
          <w:sz w:val="24"/>
          <w:szCs w:val="24"/>
        </w:rPr>
        <w:t>https://doi.org/10.47772/ijriss.2025.903sedu0177</w:t>
      </w:r>
    </w:p>
    <w:p w:rsidR="00356699" w:rsidRDefault="00356699" w:rsidP="001858B2">
      <w:pPr>
        <w:jc w:val="both"/>
        <w:rPr>
          <w:rFonts w:ascii="Times New Roman" w:eastAsia="Times New Roman" w:hAnsi="Times New Roman" w:cs="Times New Roman"/>
          <w:sz w:val="24"/>
          <w:szCs w:val="24"/>
        </w:rPr>
      </w:pPr>
    </w:p>
    <w:p w:rsidR="00581AAE" w:rsidRPr="00276267" w:rsidRDefault="00581AAE" w:rsidP="001858B2">
      <w:pPr>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Guest, D. E. (1997). Human resource management and performance: a review and research agenda. </w:t>
      </w:r>
      <w:r w:rsidRPr="00276267">
        <w:rPr>
          <w:rFonts w:ascii="Times New Roman" w:eastAsia="Times New Roman" w:hAnsi="Times New Roman" w:cs="Times New Roman"/>
          <w:i/>
          <w:iCs/>
          <w:sz w:val="24"/>
          <w:szCs w:val="24"/>
        </w:rPr>
        <w:t>The International Journal of Human Resource Management</w:t>
      </w:r>
      <w:r w:rsidRPr="00276267">
        <w:rPr>
          <w:rFonts w:ascii="Times New Roman" w:eastAsia="Times New Roman" w:hAnsi="Times New Roman" w:cs="Times New Roman"/>
          <w:sz w:val="24"/>
          <w:szCs w:val="24"/>
        </w:rPr>
        <w:t xml:space="preserve">, </w:t>
      </w:r>
      <w:r w:rsidRPr="00276267">
        <w:rPr>
          <w:rFonts w:ascii="Times New Roman" w:eastAsia="Times New Roman" w:hAnsi="Times New Roman" w:cs="Times New Roman"/>
          <w:i/>
          <w:iCs/>
          <w:sz w:val="24"/>
          <w:szCs w:val="24"/>
        </w:rPr>
        <w:t>8</w:t>
      </w:r>
      <w:r w:rsidRPr="00276267">
        <w:rPr>
          <w:rFonts w:ascii="Times New Roman" w:eastAsia="Times New Roman" w:hAnsi="Times New Roman" w:cs="Times New Roman"/>
          <w:sz w:val="24"/>
          <w:szCs w:val="24"/>
        </w:rPr>
        <w:t>(3), 263–276. https://doi.org/10.1080/095851997341630</w:t>
      </w:r>
    </w:p>
    <w:p w:rsidR="00581AAE" w:rsidRPr="00C7670D" w:rsidRDefault="00581AAE" w:rsidP="001858B2">
      <w:pPr>
        <w:spacing w:after="0" w:line="240" w:lineRule="auto"/>
        <w:jc w:val="both"/>
        <w:rPr>
          <w:rFonts w:ascii="Times New Roman" w:eastAsia="Times New Roman" w:hAnsi="Times New Roman" w:cs="Times New Roman"/>
          <w:sz w:val="24"/>
          <w:szCs w:val="24"/>
        </w:rPr>
      </w:pPr>
      <w:r w:rsidRPr="00C7670D">
        <w:rPr>
          <w:rFonts w:ascii="Times New Roman" w:eastAsia="Times New Roman" w:hAnsi="Times New Roman" w:cs="Times New Roman"/>
          <w:sz w:val="24"/>
          <w:szCs w:val="24"/>
        </w:rPr>
        <w:t xml:space="preserve">Jameson, J., Barnard, J., Rumyantseva, N., Essex, R., &amp; Gkinopoulos, T. (2023). A systematic scoping review and textual narrative synthesis of trust amongst staff in higher education settings. </w:t>
      </w:r>
      <w:r w:rsidRPr="00C7670D">
        <w:rPr>
          <w:rFonts w:ascii="Times New Roman" w:eastAsia="Times New Roman" w:hAnsi="Times New Roman" w:cs="Times New Roman"/>
          <w:i/>
          <w:iCs/>
          <w:sz w:val="24"/>
          <w:szCs w:val="24"/>
        </w:rPr>
        <w:t>Studies in Higher Education</w:t>
      </w:r>
      <w:r w:rsidRPr="00C7670D">
        <w:rPr>
          <w:rFonts w:ascii="Times New Roman" w:eastAsia="Times New Roman" w:hAnsi="Times New Roman" w:cs="Times New Roman"/>
          <w:sz w:val="24"/>
          <w:szCs w:val="24"/>
        </w:rPr>
        <w:t xml:space="preserve">, </w:t>
      </w:r>
      <w:r w:rsidRPr="00C7670D">
        <w:rPr>
          <w:rFonts w:ascii="Times New Roman" w:eastAsia="Times New Roman" w:hAnsi="Times New Roman" w:cs="Times New Roman"/>
          <w:i/>
          <w:iCs/>
          <w:sz w:val="24"/>
          <w:szCs w:val="24"/>
        </w:rPr>
        <w:t>48</w:t>
      </w:r>
      <w:r w:rsidRPr="00C7670D">
        <w:rPr>
          <w:rFonts w:ascii="Times New Roman" w:eastAsia="Times New Roman" w:hAnsi="Times New Roman" w:cs="Times New Roman"/>
          <w:sz w:val="24"/>
          <w:szCs w:val="24"/>
        </w:rPr>
        <w:t>(3), 424–444. https://doi.org/10.1080/03075079.2022.2145278</w:t>
      </w:r>
    </w:p>
    <w:p w:rsidR="00581AAE" w:rsidRDefault="00581AAE" w:rsidP="001858B2">
      <w:pPr>
        <w:spacing w:after="0" w:line="240" w:lineRule="auto"/>
        <w:jc w:val="both"/>
        <w:rPr>
          <w:rFonts w:ascii="Times New Roman" w:eastAsia="Times New Roman" w:hAnsi="Times New Roman" w:cs="Times New Roman"/>
          <w:sz w:val="24"/>
          <w:szCs w:val="24"/>
        </w:rPr>
      </w:pPr>
    </w:p>
    <w:p w:rsidR="00581AAE" w:rsidRPr="00276267"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Lewicka, D. (2022). Building and rebuilding trust in higher education institutions (HEIs). Student's perspective. </w:t>
      </w:r>
      <w:r w:rsidRPr="00276267">
        <w:rPr>
          <w:rFonts w:ascii="Times New Roman" w:eastAsia="Times New Roman" w:hAnsi="Times New Roman" w:cs="Times New Roman"/>
          <w:i/>
          <w:sz w:val="24"/>
          <w:szCs w:val="24"/>
        </w:rPr>
        <w:t>Journal of Organizational Change Management</w:t>
      </w:r>
      <w:r w:rsidRPr="00276267">
        <w:rPr>
          <w:rFonts w:ascii="Times New Roman" w:eastAsia="Times New Roman" w:hAnsi="Times New Roman" w:cs="Times New Roman"/>
          <w:sz w:val="24"/>
          <w:szCs w:val="24"/>
        </w:rPr>
        <w:t xml:space="preserve"> 1 November 2022; 35 (6): 887–915. </w:t>
      </w:r>
      <w:hyperlink r:id="rId21" w:history="1">
        <w:r w:rsidRPr="007F2606">
          <w:rPr>
            <w:rStyle w:val="Hyperlink"/>
            <w:sz w:val="24"/>
            <w:szCs w:val="24"/>
          </w:rPr>
          <w:t>https://doi.org/10.1108/JOCM-02-2022-0037</w:t>
        </w:r>
      </w:hyperlink>
      <w:r w:rsidRPr="00276267">
        <w:rPr>
          <w:rFonts w:ascii="Times New Roman" w:eastAsia="Times New Roman" w:hAnsi="Times New Roman" w:cs="Times New Roman"/>
          <w:sz w:val="24"/>
          <w:szCs w:val="24"/>
        </w:rPr>
        <w:t xml:space="preserve"> </w:t>
      </w:r>
    </w:p>
    <w:p w:rsidR="00581AAE" w:rsidRDefault="00581AAE" w:rsidP="001858B2">
      <w:pPr>
        <w:spacing w:after="0" w:line="240" w:lineRule="auto"/>
        <w:jc w:val="both"/>
        <w:rPr>
          <w:rFonts w:ascii="Times New Roman" w:eastAsia="Times New Roman" w:hAnsi="Times New Roman" w:cs="Times New Roman"/>
          <w:sz w:val="24"/>
          <w:szCs w:val="24"/>
        </w:rPr>
      </w:pPr>
    </w:p>
    <w:p w:rsidR="00581AAE"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Mayer, R. C., Davis, J. H., &amp; Schoorman, F. D. (1995). An Integrative Model of Organizational Trust. </w:t>
      </w:r>
      <w:r w:rsidRPr="00276267">
        <w:rPr>
          <w:rFonts w:ascii="Times New Roman" w:eastAsia="Times New Roman" w:hAnsi="Times New Roman" w:cs="Times New Roman"/>
          <w:i/>
          <w:sz w:val="24"/>
          <w:szCs w:val="24"/>
        </w:rPr>
        <w:t>The Academy of Management Review</w:t>
      </w:r>
      <w:r w:rsidRPr="00276267">
        <w:rPr>
          <w:rFonts w:ascii="Times New Roman" w:eastAsia="Times New Roman" w:hAnsi="Times New Roman" w:cs="Times New Roman"/>
          <w:sz w:val="24"/>
          <w:szCs w:val="24"/>
        </w:rPr>
        <w:t xml:space="preserve">, 20(3), 709–734. </w:t>
      </w:r>
    </w:p>
    <w:p w:rsidR="00581AAE" w:rsidRPr="00061D55" w:rsidRDefault="00581AAE" w:rsidP="001858B2">
      <w:pPr>
        <w:spacing w:before="100" w:beforeAutospacing="1" w:after="100" w:afterAutospacing="1" w:line="240" w:lineRule="auto"/>
        <w:jc w:val="both"/>
        <w:rPr>
          <w:rFonts w:ascii="Times New Roman" w:eastAsia="Times New Roman" w:hAnsi="Times New Roman" w:cs="Times New Roman"/>
          <w:sz w:val="24"/>
          <w:szCs w:val="24"/>
        </w:rPr>
      </w:pPr>
      <w:r w:rsidRPr="00061D55">
        <w:rPr>
          <w:rFonts w:ascii="Times New Roman" w:eastAsia="Times New Roman" w:hAnsi="Times New Roman" w:cs="Times New Roman"/>
          <w:sz w:val="24"/>
          <w:szCs w:val="24"/>
        </w:rPr>
        <w:t xml:space="preserve">Mayer, R. C., &amp; Gavin, M. B. (1999). Trust in management and performance: Who minds the shop while the employees watch the boss? </w:t>
      </w:r>
      <w:r w:rsidRPr="00061D55">
        <w:rPr>
          <w:rFonts w:ascii="Times New Roman" w:eastAsia="Times New Roman" w:hAnsi="Times New Roman" w:cs="Times New Roman"/>
          <w:i/>
          <w:iCs/>
          <w:sz w:val="24"/>
          <w:szCs w:val="24"/>
        </w:rPr>
        <w:t>Academy of Management Journal, 42</w:t>
      </w:r>
      <w:r w:rsidRPr="00061D55">
        <w:rPr>
          <w:rFonts w:ascii="Times New Roman" w:eastAsia="Times New Roman" w:hAnsi="Times New Roman" w:cs="Times New Roman"/>
          <w:sz w:val="24"/>
          <w:szCs w:val="24"/>
        </w:rPr>
        <w:t>(5), 874–888.</w:t>
      </w:r>
    </w:p>
    <w:p w:rsidR="00581AAE" w:rsidRPr="00276267"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McAllister, D. (1995). Affect- and Cognition-Based Trust Formations for Interpersonal Cooperation in Organizations. </w:t>
      </w:r>
      <w:r w:rsidRPr="00276267">
        <w:rPr>
          <w:rFonts w:ascii="Times New Roman" w:eastAsia="Times New Roman" w:hAnsi="Times New Roman" w:cs="Times New Roman"/>
          <w:i/>
          <w:sz w:val="24"/>
          <w:szCs w:val="24"/>
        </w:rPr>
        <w:t>Academy of Management Journal</w:t>
      </w:r>
      <w:r w:rsidRPr="00276267">
        <w:rPr>
          <w:rFonts w:ascii="Times New Roman" w:eastAsia="Times New Roman" w:hAnsi="Times New Roman" w:cs="Times New Roman"/>
          <w:sz w:val="24"/>
          <w:szCs w:val="24"/>
        </w:rPr>
        <w:t xml:space="preserve">. 38. 24-59. 10.2307/256727. </w:t>
      </w:r>
    </w:p>
    <w:p w:rsidR="00581AAE" w:rsidRDefault="00581AAE" w:rsidP="001858B2">
      <w:pPr>
        <w:spacing w:after="0" w:line="240" w:lineRule="auto"/>
        <w:jc w:val="both"/>
        <w:rPr>
          <w:rFonts w:ascii="Times New Roman" w:eastAsia="Times New Roman" w:hAnsi="Times New Roman" w:cs="Times New Roman"/>
          <w:sz w:val="24"/>
          <w:szCs w:val="24"/>
        </w:rPr>
      </w:pPr>
    </w:p>
    <w:p w:rsidR="00581AAE" w:rsidRPr="007F2606"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Mugimu, C.B. (2021). Higher Education Institutions (HEIs) in Africa Embracing the “New Normal” for Knowledge Production and Innovation: Barriers, Realities, and Possibilities. </w:t>
      </w:r>
      <w:hyperlink r:id="rId22" w:history="1">
        <w:r w:rsidRPr="007F2606">
          <w:rPr>
            <w:rStyle w:val="Hyperlink"/>
            <w:sz w:val="24"/>
            <w:szCs w:val="24"/>
          </w:rPr>
          <w:t>https://www.intechopen.com/chapters/79255</w:t>
        </w:r>
      </w:hyperlink>
      <w:r w:rsidRPr="007F2606">
        <w:rPr>
          <w:rFonts w:ascii="Times New Roman" w:eastAsia="Times New Roman" w:hAnsi="Times New Roman" w:cs="Times New Roman"/>
          <w:sz w:val="24"/>
          <w:szCs w:val="24"/>
        </w:rPr>
        <w:t xml:space="preserve"> </w:t>
      </w:r>
    </w:p>
    <w:p w:rsidR="00581AAE" w:rsidRDefault="00581AAE" w:rsidP="001858B2">
      <w:pPr>
        <w:spacing w:after="0" w:line="240" w:lineRule="auto"/>
        <w:jc w:val="both"/>
        <w:rPr>
          <w:rFonts w:ascii="Times New Roman" w:eastAsia="Times New Roman" w:hAnsi="Times New Roman" w:cs="Times New Roman"/>
          <w:sz w:val="24"/>
          <w:szCs w:val="24"/>
        </w:rPr>
      </w:pPr>
    </w:p>
    <w:p w:rsidR="00581AAE" w:rsidRPr="00070F59"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Mushi, D., Njema, J., Maeda, A., Kahembe, N. (2020). Enhancing Leadership and Job Performance in Higher Public Education in Tanzania. </w:t>
      </w:r>
      <w:r w:rsidRPr="00276267">
        <w:rPr>
          <w:rFonts w:ascii="Times New Roman" w:eastAsia="Times New Roman" w:hAnsi="Times New Roman" w:cs="Times New Roman"/>
          <w:i/>
          <w:sz w:val="24"/>
          <w:szCs w:val="24"/>
        </w:rPr>
        <w:t>International Journal of Management Sciences and Business Research</w:t>
      </w:r>
      <w:r w:rsidRPr="00276267">
        <w:rPr>
          <w:rFonts w:ascii="Times New Roman" w:eastAsia="Times New Roman" w:hAnsi="Times New Roman" w:cs="Times New Roman"/>
          <w:sz w:val="24"/>
          <w:szCs w:val="24"/>
        </w:rPr>
        <w:t xml:space="preserve">, June-2020 ISSN (2226-8235) vol-9, Issue 6. </w:t>
      </w:r>
      <w:hyperlink r:id="rId23" w:history="1">
        <w:r w:rsidRPr="00070F59">
          <w:rPr>
            <w:rStyle w:val="Hyperlink"/>
            <w:sz w:val="24"/>
            <w:szCs w:val="24"/>
          </w:rPr>
          <w:t>https://www.ijmsbr.com</w:t>
        </w:r>
      </w:hyperlink>
      <w:r w:rsidRPr="00070F59">
        <w:rPr>
          <w:rFonts w:ascii="Times New Roman" w:eastAsia="Times New Roman" w:hAnsi="Times New Roman" w:cs="Times New Roman"/>
          <w:sz w:val="24"/>
          <w:szCs w:val="24"/>
        </w:rPr>
        <w:t xml:space="preserve"> </w:t>
      </w:r>
    </w:p>
    <w:p w:rsidR="00581AAE" w:rsidRDefault="00581AAE" w:rsidP="001858B2">
      <w:pPr>
        <w:spacing w:after="0" w:line="240" w:lineRule="auto"/>
        <w:jc w:val="both"/>
        <w:rPr>
          <w:rFonts w:ascii="Times New Roman" w:eastAsia="Times New Roman" w:hAnsi="Times New Roman" w:cs="Times New Roman"/>
          <w:sz w:val="24"/>
          <w:szCs w:val="24"/>
        </w:rPr>
      </w:pPr>
    </w:p>
    <w:p w:rsidR="00356699" w:rsidRPr="00276267" w:rsidRDefault="00356699"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Nanteza, N., Mugizi, W., Nagasha, J.I., Waiswa, M.M. (2023). Diversity Management and Work Engagement of academic staff of Kyambogo University, Uganda. The </w:t>
      </w:r>
      <w:r w:rsidRPr="00276267">
        <w:rPr>
          <w:rFonts w:ascii="Times New Roman" w:eastAsia="Times New Roman" w:hAnsi="Times New Roman" w:cs="Times New Roman"/>
          <w:i/>
          <w:sz w:val="24"/>
          <w:szCs w:val="24"/>
        </w:rPr>
        <w:t>Uganda Higher Education Review</w:t>
      </w:r>
      <w:r w:rsidRPr="00276267">
        <w:rPr>
          <w:rFonts w:ascii="Times New Roman" w:eastAsia="Times New Roman" w:hAnsi="Times New Roman" w:cs="Times New Roman"/>
          <w:sz w:val="24"/>
          <w:szCs w:val="24"/>
        </w:rPr>
        <w:t>.</w:t>
      </w:r>
      <w:r w:rsidRPr="00070F59">
        <w:rPr>
          <w:rFonts w:ascii="Times New Roman" w:eastAsia="Times New Roman" w:hAnsi="Times New Roman" w:cs="Times New Roman"/>
          <w:sz w:val="24"/>
          <w:szCs w:val="24"/>
        </w:rPr>
        <w:t xml:space="preserve"> </w:t>
      </w:r>
      <w:hyperlink r:id="rId24" w:history="1">
        <w:r w:rsidRPr="00070F59">
          <w:rPr>
            <w:rStyle w:val="Hyperlink"/>
            <w:sz w:val="24"/>
            <w:szCs w:val="24"/>
          </w:rPr>
          <w:t>https://doi.org/10.58653/nche.v11i.11</w:t>
        </w:r>
      </w:hyperlink>
      <w:r w:rsidRPr="00070F59">
        <w:rPr>
          <w:rFonts w:ascii="Times New Roman" w:eastAsia="Times New Roman" w:hAnsi="Times New Roman" w:cs="Times New Roman"/>
          <w:sz w:val="24"/>
          <w:szCs w:val="24"/>
        </w:rPr>
        <w:t xml:space="preserve"> </w:t>
      </w:r>
    </w:p>
    <w:p w:rsidR="00356699" w:rsidRDefault="00356699" w:rsidP="001858B2">
      <w:pPr>
        <w:spacing w:after="0" w:line="240" w:lineRule="auto"/>
        <w:jc w:val="both"/>
        <w:rPr>
          <w:rFonts w:ascii="Times New Roman" w:eastAsia="Times New Roman" w:hAnsi="Times New Roman" w:cs="Times New Roman"/>
          <w:sz w:val="24"/>
          <w:szCs w:val="24"/>
        </w:rPr>
      </w:pPr>
    </w:p>
    <w:p w:rsidR="00581AAE" w:rsidRPr="00070F59"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Nishanthi, H. M., &amp; Kulathunga, M. G. M. D. (2018). The Impact of Human Resource Management Practices on Impersonal Organizational Trust (With special reference to financial institutions in Sri Lanka). </w:t>
      </w:r>
      <w:r w:rsidRPr="00276267">
        <w:rPr>
          <w:rFonts w:ascii="Times New Roman" w:eastAsia="Times New Roman" w:hAnsi="Times New Roman" w:cs="Times New Roman"/>
          <w:i/>
          <w:sz w:val="24"/>
          <w:szCs w:val="24"/>
        </w:rPr>
        <w:t>Kelaniya Journal of Management</w:t>
      </w:r>
      <w:r w:rsidRPr="00276267">
        <w:rPr>
          <w:rFonts w:ascii="Times New Roman" w:eastAsia="Times New Roman" w:hAnsi="Times New Roman" w:cs="Times New Roman"/>
          <w:sz w:val="24"/>
          <w:szCs w:val="24"/>
        </w:rPr>
        <w:t xml:space="preserve">, 7(1), 68. </w:t>
      </w:r>
      <w:hyperlink r:id="rId25" w:history="1">
        <w:r w:rsidRPr="00070F59">
          <w:rPr>
            <w:rStyle w:val="Hyperlink"/>
            <w:sz w:val="24"/>
            <w:szCs w:val="24"/>
          </w:rPr>
          <w:t>https://doi.org/10.4038/kjm.v7i1.7555</w:t>
        </w:r>
      </w:hyperlink>
      <w:r w:rsidRPr="00070F59">
        <w:rPr>
          <w:rFonts w:ascii="Times New Roman" w:eastAsia="Times New Roman" w:hAnsi="Times New Roman" w:cs="Times New Roman"/>
          <w:sz w:val="24"/>
          <w:szCs w:val="24"/>
        </w:rPr>
        <w:t xml:space="preserve"> </w:t>
      </w:r>
    </w:p>
    <w:p w:rsidR="00581AAE" w:rsidRDefault="00581AAE" w:rsidP="001858B2">
      <w:pPr>
        <w:spacing w:after="0" w:line="240" w:lineRule="auto"/>
        <w:jc w:val="both"/>
        <w:rPr>
          <w:rFonts w:ascii="Times New Roman" w:eastAsia="Times New Roman" w:hAnsi="Times New Roman" w:cs="Times New Roman"/>
          <w:sz w:val="24"/>
          <w:szCs w:val="24"/>
        </w:rPr>
      </w:pPr>
    </w:p>
    <w:p w:rsidR="00581AAE" w:rsidRPr="00276267" w:rsidRDefault="00581AAE"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Rono, J. K. (2015). Effects of human resource management practices on industrial dispute in public universities in Kenya. Egerton and Maasaimara University, Kenya. </w:t>
      </w:r>
    </w:p>
    <w:p w:rsidR="00E71A55" w:rsidRDefault="00E71A55" w:rsidP="001858B2">
      <w:pPr>
        <w:spacing w:after="0" w:line="240" w:lineRule="auto"/>
        <w:jc w:val="both"/>
        <w:rPr>
          <w:rFonts w:ascii="Times New Roman" w:eastAsia="Times New Roman" w:hAnsi="Times New Roman" w:cs="Times New Roman"/>
          <w:sz w:val="24"/>
          <w:szCs w:val="24"/>
        </w:rPr>
      </w:pPr>
    </w:p>
    <w:p w:rsidR="00E71A55" w:rsidRDefault="00E71A55" w:rsidP="00185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TrustAfrica Annual Report FY 2022. “Shaping the future we want for Africa.”</w:t>
      </w:r>
    </w:p>
    <w:bookmarkStart w:id="0" w:name="_GoBack"/>
    <w:bookmarkEnd w:id="0"/>
    <w:p w:rsidR="00E71A55" w:rsidRPr="00070F59" w:rsidRDefault="00756055" w:rsidP="001858B2">
      <w:pPr>
        <w:spacing w:after="0" w:line="240" w:lineRule="auto"/>
        <w:jc w:val="both"/>
        <w:rPr>
          <w:rFonts w:ascii="Times New Roman" w:eastAsia="Times New Roman" w:hAnsi="Times New Roman" w:cs="Times New Roman"/>
          <w:sz w:val="24"/>
          <w:szCs w:val="24"/>
        </w:rPr>
      </w:pPr>
      <w:r>
        <w:rPr>
          <w:rStyle w:val="Hyperlink"/>
          <w:rFonts w:ascii="Times New Roman" w:eastAsia="Times New Roman" w:hAnsi="Times New Roman" w:cs="Times New Roman"/>
          <w:sz w:val="24"/>
          <w:szCs w:val="24"/>
        </w:rPr>
        <w:fldChar w:fldCharType="begin"/>
      </w:r>
      <w:r>
        <w:rPr>
          <w:rStyle w:val="Hyperlink"/>
          <w:rFonts w:ascii="Times New Roman" w:eastAsia="Times New Roman" w:hAnsi="Times New Roman" w:cs="Times New Roman"/>
          <w:sz w:val="24"/>
          <w:szCs w:val="24"/>
        </w:rPr>
        <w:instrText xml:space="preserve"> HYPERLINK "https://trustafrica.org/publication/annual-report-2022/" </w:instrText>
      </w:r>
      <w:r>
        <w:rPr>
          <w:rStyle w:val="Hyperlink"/>
          <w:rFonts w:ascii="Times New Roman" w:eastAsia="Times New Roman" w:hAnsi="Times New Roman" w:cs="Times New Roman"/>
          <w:sz w:val="24"/>
          <w:szCs w:val="24"/>
        </w:rPr>
        <w:fldChar w:fldCharType="separate"/>
      </w:r>
      <w:r w:rsidR="00E71A55" w:rsidRPr="00070F59">
        <w:rPr>
          <w:rStyle w:val="Hyperlink"/>
          <w:rFonts w:ascii="Times New Roman" w:eastAsia="Times New Roman" w:hAnsi="Times New Roman" w:cs="Times New Roman"/>
          <w:sz w:val="24"/>
          <w:szCs w:val="24"/>
        </w:rPr>
        <w:t>https://trustafrica.org/publication/annual-report-2022/</w:t>
      </w:r>
      <w:r>
        <w:rPr>
          <w:rStyle w:val="Hyperlink"/>
          <w:rFonts w:ascii="Times New Roman" w:eastAsia="Times New Roman" w:hAnsi="Times New Roman" w:cs="Times New Roman"/>
          <w:sz w:val="24"/>
          <w:szCs w:val="24"/>
        </w:rPr>
        <w:fldChar w:fldCharType="end"/>
      </w:r>
    </w:p>
    <w:p w:rsidR="00E71A55" w:rsidRDefault="00E71A55" w:rsidP="001858B2">
      <w:pPr>
        <w:spacing w:after="0" w:line="240" w:lineRule="auto"/>
        <w:jc w:val="both"/>
        <w:rPr>
          <w:rFonts w:ascii="Times New Roman" w:eastAsia="Times New Roman" w:hAnsi="Times New Roman" w:cs="Times New Roman"/>
          <w:sz w:val="24"/>
          <w:szCs w:val="24"/>
        </w:rPr>
      </w:pPr>
    </w:p>
    <w:p w:rsidR="00E71A55" w:rsidRPr="00070F59" w:rsidRDefault="00E71A55" w:rsidP="00185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Tse, S. &amp; Hildebrand, C. (2023). Putting trust at the heart of higher education. </w:t>
      </w:r>
      <w:hyperlink r:id="rId26" w:history="1">
        <w:r w:rsidRPr="00070F59">
          <w:rPr>
            <w:rStyle w:val="Hyperlink"/>
            <w:rFonts w:ascii="Times New Roman" w:eastAsia="Times New Roman" w:hAnsi="Times New Roman" w:cs="Times New Roman"/>
            <w:sz w:val="24"/>
            <w:szCs w:val="24"/>
          </w:rPr>
          <w:t>https://www.timeshighereducation.com/campus/putting-trust-heart-higher-education</w:t>
        </w:r>
      </w:hyperlink>
    </w:p>
    <w:p w:rsidR="00E71A55" w:rsidRDefault="00E71A55" w:rsidP="001858B2">
      <w:pPr>
        <w:spacing w:after="0" w:line="240" w:lineRule="auto"/>
        <w:jc w:val="both"/>
        <w:rPr>
          <w:rFonts w:ascii="Times New Roman" w:eastAsia="Times New Roman" w:hAnsi="Times New Roman" w:cs="Times New Roman"/>
          <w:sz w:val="24"/>
          <w:szCs w:val="24"/>
        </w:rPr>
      </w:pPr>
    </w:p>
    <w:p w:rsidR="00E71A55" w:rsidRPr="00276267" w:rsidRDefault="00E71A55" w:rsidP="001858B2">
      <w:pPr>
        <w:spacing w:after="0" w:line="240" w:lineRule="auto"/>
        <w:jc w:val="both"/>
        <w:rPr>
          <w:rFonts w:ascii="Times New Roman" w:eastAsia="Times New Roman" w:hAnsi="Times New Roman" w:cs="Times New Roman"/>
          <w:sz w:val="24"/>
          <w:szCs w:val="24"/>
        </w:rPr>
      </w:pPr>
      <w:r w:rsidRPr="00276267">
        <w:rPr>
          <w:rFonts w:ascii="Times New Roman" w:eastAsia="Times New Roman" w:hAnsi="Times New Roman" w:cs="Times New Roman"/>
          <w:sz w:val="24"/>
          <w:szCs w:val="24"/>
        </w:rPr>
        <w:t xml:space="preserve">Tzafrir, Shay &amp; Dolan, Simon. (2004). Trust Me: A Scale for Measuring Manager-Employee Trust. </w:t>
      </w:r>
      <w:r w:rsidRPr="00276267">
        <w:rPr>
          <w:rFonts w:ascii="Times New Roman" w:eastAsia="Times New Roman" w:hAnsi="Times New Roman" w:cs="Times New Roman"/>
          <w:i/>
          <w:sz w:val="24"/>
          <w:szCs w:val="24"/>
        </w:rPr>
        <w:t>Management Research</w:t>
      </w:r>
      <w:r w:rsidRPr="00276267">
        <w:rPr>
          <w:rFonts w:ascii="Times New Roman" w:eastAsia="Times New Roman" w:hAnsi="Times New Roman" w:cs="Times New Roman"/>
          <w:sz w:val="24"/>
          <w:szCs w:val="24"/>
        </w:rPr>
        <w:t xml:space="preserve">. 2. 115-132. 10.1108/15365430480000505. </w:t>
      </w:r>
    </w:p>
    <w:p w:rsidR="00E71A55" w:rsidRDefault="00E71A55" w:rsidP="001858B2">
      <w:pPr>
        <w:spacing w:after="0" w:line="240" w:lineRule="auto"/>
        <w:jc w:val="both"/>
        <w:rPr>
          <w:rFonts w:ascii="Times New Roman" w:eastAsia="Times New Roman" w:hAnsi="Times New Roman" w:cs="Times New Roman"/>
          <w:sz w:val="24"/>
          <w:szCs w:val="24"/>
        </w:rPr>
      </w:pPr>
    </w:p>
    <w:p w:rsidR="00356699" w:rsidRDefault="00356699" w:rsidP="001858B2">
      <w:pPr>
        <w:jc w:val="both"/>
        <w:rPr>
          <w:rFonts w:ascii="Times New Roman" w:hAnsi="Times New Roman" w:cs="Times New Roman"/>
          <w:sz w:val="24"/>
        </w:rPr>
      </w:pPr>
      <w:r>
        <w:rPr>
          <w:rFonts w:ascii="Times New Roman" w:hAnsi="Times New Roman" w:cs="Times New Roman"/>
          <w:sz w:val="24"/>
        </w:rPr>
        <w:t xml:space="preserve">Yanik, O. (2018). The mediating role of trust in the effect of ethical leadership on employee attitudes and behaviours. </w:t>
      </w:r>
      <w:r w:rsidRPr="001A4480">
        <w:rPr>
          <w:rFonts w:ascii="Times New Roman" w:hAnsi="Times New Roman" w:cs="Times New Roman"/>
          <w:i/>
          <w:sz w:val="24"/>
        </w:rPr>
        <w:t>Journal of Business Research Turk</w:t>
      </w:r>
      <w:r>
        <w:rPr>
          <w:rFonts w:ascii="Times New Roman" w:hAnsi="Times New Roman" w:cs="Times New Roman"/>
          <w:sz w:val="24"/>
        </w:rPr>
        <w:t xml:space="preserve">. </w:t>
      </w:r>
      <w:r w:rsidRPr="001A4480">
        <w:rPr>
          <w:rFonts w:ascii="Times New Roman" w:hAnsi="Times New Roman" w:cs="Times New Roman"/>
          <w:sz w:val="24"/>
        </w:rPr>
        <w:t>https://isarder.org/2018/vol.10_issue.1_article23_extensive_summary.pdf</w:t>
      </w:r>
    </w:p>
    <w:p w:rsidR="00356699" w:rsidRDefault="00356699" w:rsidP="001858B2">
      <w:pPr>
        <w:spacing w:after="0" w:line="240" w:lineRule="auto"/>
        <w:jc w:val="both"/>
        <w:rPr>
          <w:rFonts w:ascii="Times New Roman" w:eastAsia="Times New Roman" w:hAnsi="Times New Roman" w:cs="Times New Roman"/>
          <w:sz w:val="24"/>
          <w:szCs w:val="24"/>
        </w:rPr>
      </w:pPr>
    </w:p>
    <w:p w:rsidR="00E71A55" w:rsidRPr="00D9516E" w:rsidRDefault="00E71A55" w:rsidP="001858B2">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4"/>
          <w:szCs w:val="24"/>
        </w:rPr>
        <w:t>Zeleza, P</w:t>
      </w:r>
      <w:r w:rsidRPr="00D56479">
        <w:rPr>
          <w:rFonts w:ascii="Times New Roman" w:eastAsia="Times New Roman" w:hAnsi="Times New Roman" w:cs="Times New Roman"/>
          <w:sz w:val="24"/>
          <w:szCs w:val="24"/>
        </w:rPr>
        <w:t xml:space="preserve">. (2021). </w:t>
      </w:r>
      <w:r>
        <w:rPr>
          <w:rFonts w:ascii="Times New Roman" w:eastAsia="Times New Roman" w:hAnsi="Times New Roman" w:cs="Times New Roman"/>
          <w:sz w:val="24"/>
          <w:szCs w:val="24"/>
        </w:rPr>
        <w:t xml:space="preserve">Quality higher education ‘indispensable’ for Africa’s future. Universityworldnews.com. Presentation </w:t>
      </w:r>
      <w:r w:rsidRPr="00D9516E">
        <w:rPr>
          <w:rFonts w:ascii="Times New Roman" w:hAnsi="Times New Roman" w:cs="Times New Roman"/>
          <w:iCs/>
          <w:sz w:val="24"/>
        </w:rPr>
        <w:t>at the general conference of the Associati</w:t>
      </w:r>
      <w:r>
        <w:rPr>
          <w:rFonts w:ascii="Times New Roman" w:hAnsi="Times New Roman" w:cs="Times New Roman"/>
          <w:iCs/>
          <w:sz w:val="24"/>
        </w:rPr>
        <w:t>on of African Universities on 5</w:t>
      </w:r>
      <w:r w:rsidRPr="00D9516E">
        <w:rPr>
          <w:rFonts w:ascii="Times New Roman" w:hAnsi="Times New Roman" w:cs="Times New Roman"/>
          <w:iCs/>
          <w:sz w:val="24"/>
          <w:vertAlign w:val="superscript"/>
        </w:rPr>
        <w:t>th</w:t>
      </w:r>
      <w:r>
        <w:rPr>
          <w:rFonts w:ascii="Times New Roman" w:hAnsi="Times New Roman" w:cs="Times New Roman"/>
          <w:iCs/>
          <w:sz w:val="24"/>
        </w:rPr>
        <w:t xml:space="preserve"> July, 2021.</w:t>
      </w:r>
    </w:p>
    <w:p w:rsidR="00356699" w:rsidRDefault="00356699" w:rsidP="001858B2">
      <w:pPr>
        <w:spacing w:after="0" w:line="240" w:lineRule="auto"/>
        <w:jc w:val="both"/>
        <w:rPr>
          <w:rFonts w:ascii="Times New Roman" w:eastAsia="Times New Roman" w:hAnsi="Times New Roman" w:cs="Times New Roman"/>
          <w:sz w:val="24"/>
          <w:szCs w:val="24"/>
        </w:rPr>
      </w:pPr>
    </w:p>
    <w:p w:rsidR="00E71A55" w:rsidRPr="001858B2" w:rsidRDefault="00356699" w:rsidP="001858B2">
      <w:pPr>
        <w:spacing w:after="0" w:line="240" w:lineRule="auto"/>
        <w:jc w:val="both"/>
        <w:rPr>
          <w:rFonts w:ascii="Times New Roman" w:eastAsia="Times New Roman" w:hAnsi="Times New Roman" w:cs="Times New Roman"/>
          <w:sz w:val="24"/>
          <w:szCs w:val="24"/>
        </w:rPr>
      </w:pPr>
      <w:r w:rsidRPr="009A6B1B">
        <w:rPr>
          <w:rFonts w:ascii="Times New Roman" w:eastAsia="Times New Roman" w:hAnsi="Times New Roman" w:cs="Times New Roman"/>
          <w:sz w:val="24"/>
          <w:szCs w:val="24"/>
        </w:rPr>
        <w:t xml:space="preserve">Zucker, L. G. (1986). Production of trust: Institutional sources of economic structure, 1840–1920. </w:t>
      </w:r>
      <w:r w:rsidRPr="009A6B1B">
        <w:rPr>
          <w:rFonts w:ascii="Times New Roman" w:eastAsia="Times New Roman" w:hAnsi="Times New Roman" w:cs="Times New Roman"/>
          <w:i/>
          <w:iCs/>
          <w:sz w:val="24"/>
          <w:szCs w:val="24"/>
        </w:rPr>
        <w:t>Research in Organizational Behavior, 8,</w:t>
      </w:r>
      <w:r w:rsidRPr="009A6B1B">
        <w:rPr>
          <w:rFonts w:ascii="Times New Roman" w:eastAsia="Times New Roman" w:hAnsi="Times New Roman" w:cs="Times New Roman"/>
          <w:sz w:val="24"/>
          <w:szCs w:val="24"/>
        </w:rPr>
        <w:t xml:space="preserve"> 53–111.</w:t>
      </w:r>
      <w:r>
        <w:rPr>
          <w:rFonts w:ascii="Times New Roman" w:eastAsia="Times New Roman" w:hAnsi="Times New Roman" w:cs="Times New Roman"/>
          <w:sz w:val="24"/>
          <w:szCs w:val="24"/>
        </w:rPr>
        <w:t xml:space="preserve"> </w:t>
      </w:r>
      <w:r w:rsidRPr="009A6B1B">
        <w:rPr>
          <w:rFonts w:ascii="Times New Roman" w:eastAsia="Times New Roman" w:hAnsi="Times New Roman" w:cs="Times New Roman"/>
          <w:sz w:val="24"/>
          <w:szCs w:val="24"/>
        </w:rPr>
        <w:t>https://psycne</w:t>
      </w:r>
      <w:r w:rsidR="001858B2">
        <w:rPr>
          <w:rFonts w:ascii="Times New Roman" w:eastAsia="Times New Roman" w:hAnsi="Times New Roman" w:cs="Times New Roman"/>
          <w:sz w:val="24"/>
          <w:szCs w:val="24"/>
        </w:rPr>
        <w:t>t.apa.org/record/1988-10420-001</w:t>
      </w:r>
    </w:p>
    <w:sectPr w:rsidR="00E71A55" w:rsidRPr="001858B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13E" w:rsidRDefault="0092113E" w:rsidP="00DF56F6">
      <w:pPr>
        <w:spacing w:after="0" w:line="240" w:lineRule="auto"/>
      </w:pPr>
      <w:r>
        <w:separator/>
      </w:r>
    </w:p>
  </w:endnote>
  <w:endnote w:type="continuationSeparator" w:id="0">
    <w:p w:rsidR="0092113E" w:rsidRDefault="0092113E" w:rsidP="00DF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155435"/>
      <w:docPartObj>
        <w:docPartGallery w:val="Page Numbers (Bottom of Page)"/>
        <w:docPartUnique/>
      </w:docPartObj>
    </w:sdtPr>
    <w:sdtContent>
      <w:p w:rsidR="00756055" w:rsidRDefault="00756055">
        <w:pPr>
          <w:pStyle w:val="Footer"/>
          <w:jc w:val="center"/>
        </w:pPr>
        <w:r>
          <w:t>[</w:t>
        </w:r>
        <w:r>
          <w:fldChar w:fldCharType="begin"/>
        </w:r>
        <w:r>
          <w:instrText xml:space="preserve"> PAGE   \* MERGEFORMAT </w:instrText>
        </w:r>
        <w:r>
          <w:fldChar w:fldCharType="separate"/>
        </w:r>
        <w:r w:rsidR="0092113E">
          <w:rPr>
            <w:noProof/>
          </w:rPr>
          <w:t>1</w:t>
        </w:r>
        <w:r>
          <w:rPr>
            <w:noProof/>
          </w:rPr>
          <w:fldChar w:fldCharType="end"/>
        </w:r>
        <w:r>
          <w:t>]</w:t>
        </w:r>
      </w:p>
    </w:sdtContent>
  </w:sdt>
  <w:p w:rsidR="00756055" w:rsidRDefault="00756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13E" w:rsidRDefault="0092113E" w:rsidP="00DF56F6">
      <w:pPr>
        <w:spacing w:after="0" w:line="240" w:lineRule="auto"/>
      </w:pPr>
      <w:r>
        <w:separator/>
      </w:r>
    </w:p>
  </w:footnote>
  <w:footnote w:type="continuationSeparator" w:id="0">
    <w:p w:rsidR="0092113E" w:rsidRDefault="0092113E" w:rsidP="00DF5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92879"/>
    <w:multiLevelType w:val="hybridMultilevel"/>
    <w:tmpl w:val="A844DD16"/>
    <w:lvl w:ilvl="0" w:tplc="D9C4EC3E">
      <w:start w:val="10"/>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D16BB2"/>
    <w:multiLevelType w:val="multilevel"/>
    <w:tmpl w:val="2DD16B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5A548BF"/>
    <w:multiLevelType w:val="multilevel"/>
    <w:tmpl w:val="2C229204"/>
    <w:lvl w:ilvl="0">
      <w:start w:val="1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02B75FF"/>
    <w:multiLevelType w:val="multilevel"/>
    <w:tmpl w:val="05D06D44"/>
    <w:lvl w:ilvl="0">
      <w:start w:val="10"/>
      <w:numFmt w:val="decimal"/>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43F617E"/>
    <w:multiLevelType w:val="multilevel"/>
    <w:tmpl w:val="E43086B0"/>
    <w:lvl w:ilvl="0">
      <w:start w:val="1"/>
      <w:numFmt w:val="lowerLetter"/>
      <w:suff w:val="space"/>
      <w:lvlText w:val="(%1)"/>
      <w:lvlJc w:val="left"/>
      <w:pPr>
        <w:ind w:left="42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020"/>
    <w:rsid w:val="000712BB"/>
    <w:rsid w:val="00097F4F"/>
    <w:rsid w:val="00126AD8"/>
    <w:rsid w:val="0015733F"/>
    <w:rsid w:val="001858B2"/>
    <w:rsid w:val="00192A63"/>
    <w:rsid w:val="001A5700"/>
    <w:rsid w:val="001B4FCC"/>
    <w:rsid w:val="00213DDC"/>
    <w:rsid w:val="00260381"/>
    <w:rsid w:val="002D08E4"/>
    <w:rsid w:val="0035138D"/>
    <w:rsid w:val="00356699"/>
    <w:rsid w:val="00366437"/>
    <w:rsid w:val="0038584E"/>
    <w:rsid w:val="003D12BB"/>
    <w:rsid w:val="00480B68"/>
    <w:rsid w:val="004826D8"/>
    <w:rsid w:val="004E3D4A"/>
    <w:rsid w:val="005123F2"/>
    <w:rsid w:val="00525BED"/>
    <w:rsid w:val="005624F3"/>
    <w:rsid w:val="00581AAE"/>
    <w:rsid w:val="005F68FB"/>
    <w:rsid w:val="0062181F"/>
    <w:rsid w:val="00626161"/>
    <w:rsid w:val="0069034B"/>
    <w:rsid w:val="006B21AF"/>
    <w:rsid w:val="006D5744"/>
    <w:rsid w:val="006F03AC"/>
    <w:rsid w:val="00727C6A"/>
    <w:rsid w:val="0073455A"/>
    <w:rsid w:val="00747A9F"/>
    <w:rsid w:val="00756055"/>
    <w:rsid w:val="00821184"/>
    <w:rsid w:val="00906731"/>
    <w:rsid w:val="00910868"/>
    <w:rsid w:val="0092113E"/>
    <w:rsid w:val="009A41A3"/>
    <w:rsid w:val="009B3E23"/>
    <w:rsid w:val="009F067E"/>
    <w:rsid w:val="009F4A84"/>
    <w:rsid w:val="00A04F34"/>
    <w:rsid w:val="00AC7FA2"/>
    <w:rsid w:val="00AD35FE"/>
    <w:rsid w:val="00AF1C4E"/>
    <w:rsid w:val="00B51348"/>
    <w:rsid w:val="00B64020"/>
    <w:rsid w:val="00BC56FC"/>
    <w:rsid w:val="00BE6B90"/>
    <w:rsid w:val="00BF1EA1"/>
    <w:rsid w:val="00C446D5"/>
    <w:rsid w:val="00CB5C00"/>
    <w:rsid w:val="00D26F7E"/>
    <w:rsid w:val="00D52C87"/>
    <w:rsid w:val="00D56561"/>
    <w:rsid w:val="00D56627"/>
    <w:rsid w:val="00D91181"/>
    <w:rsid w:val="00DF56F6"/>
    <w:rsid w:val="00E4365B"/>
    <w:rsid w:val="00E50ADC"/>
    <w:rsid w:val="00E71A55"/>
    <w:rsid w:val="00E71D69"/>
    <w:rsid w:val="00EB1DDD"/>
    <w:rsid w:val="00EE0D28"/>
    <w:rsid w:val="00F72284"/>
    <w:rsid w:val="00F85A75"/>
    <w:rsid w:val="00F926C5"/>
    <w:rsid w:val="00FE4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521F1"/>
  <w15:chartTrackingRefBased/>
  <w15:docId w15:val="{4CF4656A-834B-4AC0-84E2-48459AD7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64020"/>
  </w:style>
  <w:style w:type="paragraph" w:customStyle="1" w:styleId="msonormal0">
    <w:name w:val="msonormal"/>
    <w:basedOn w:val="Normal"/>
    <w:rsid w:val="00B6402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6402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B64020"/>
    <w:pPr>
      <w:spacing w:before="100" w:beforeAutospacing="1" w:after="200" w:line="273" w:lineRule="auto"/>
      <w:ind w:left="1080"/>
      <w:contextualSpacing/>
    </w:pPr>
    <w:rPr>
      <w:rFonts w:ascii="Tahoma" w:eastAsia="DengXian" w:hAnsi="Tahoma" w:cs="Tahoma"/>
      <w:sz w:val="24"/>
      <w:szCs w:val="24"/>
    </w:rPr>
  </w:style>
  <w:style w:type="paragraph" w:styleId="Footer">
    <w:name w:val="footer"/>
    <w:basedOn w:val="Normal"/>
    <w:link w:val="FooterChar"/>
    <w:uiPriority w:val="99"/>
    <w:unhideWhenUsed/>
    <w:rsid w:val="00B64020"/>
    <w:pPr>
      <w:tabs>
        <w:tab w:val="center" w:pos="4680"/>
        <w:tab w:val="right" w:pos="9360"/>
      </w:tabs>
      <w:spacing w:before="100" w:beforeAutospacing="1"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B64020"/>
    <w:rPr>
      <w:rFonts w:ascii="Calibri" w:eastAsia="Times New Roman" w:hAnsi="Calibri" w:cs="Times New Roman"/>
    </w:rPr>
  </w:style>
  <w:style w:type="paragraph" w:customStyle="1" w:styleId="mb15">
    <w:name w:val="mb15"/>
    <w:basedOn w:val="Normal"/>
    <w:rsid w:val="00B640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rsid w:val="00B6402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B64020"/>
    <w:pPr>
      <w:spacing w:before="100" w:beforeAutospacing="1" w:after="0" w:line="240" w:lineRule="auto"/>
    </w:pPr>
    <w:rPr>
      <w:rFonts w:ascii="Calibri" w:eastAsia="DengXian" w:hAnsi="Calibri" w:cs="Times New Roman"/>
      <w:sz w:val="20"/>
      <w:szCs w:val="20"/>
    </w:rPr>
  </w:style>
  <w:style w:type="character" w:customStyle="1" w:styleId="FootnoteTextChar">
    <w:name w:val="Footnote Text Char"/>
    <w:basedOn w:val="DefaultParagraphFont"/>
    <w:link w:val="FootnoteText"/>
    <w:uiPriority w:val="99"/>
    <w:semiHidden/>
    <w:rsid w:val="00B64020"/>
    <w:rPr>
      <w:rFonts w:ascii="Calibri" w:eastAsia="DengXian" w:hAnsi="Calibri" w:cs="Times New Roman"/>
      <w:sz w:val="20"/>
      <w:szCs w:val="20"/>
    </w:rPr>
  </w:style>
  <w:style w:type="character" w:customStyle="1" w:styleId="10">
    <w:name w:val="10"/>
    <w:basedOn w:val="DefaultParagraphFont"/>
    <w:rsid w:val="00B64020"/>
    <w:rPr>
      <w:rFonts w:ascii="Calibri" w:hAnsi="Calibri" w:cs="Calibri" w:hint="default"/>
    </w:rPr>
  </w:style>
  <w:style w:type="character" w:customStyle="1" w:styleId="15">
    <w:name w:val="15"/>
    <w:basedOn w:val="DefaultParagraphFont"/>
    <w:rsid w:val="00B64020"/>
    <w:rPr>
      <w:rFonts w:ascii="Calibri" w:hAnsi="Calibri" w:cs="Calibri" w:hint="default"/>
      <w:i/>
      <w:iCs/>
    </w:rPr>
  </w:style>
  <w:style w:type="character" w:customStyle="1" w:styleId="16">
    <w:name w:val="16"/>
    <w:basedOn w:val="DefaultParagraphFont"/>
    <w:rsid w:val="00B64020"/>
    <w:rPr>
      <w:rFonts w:ascii="Calibri" w:hAnsi="Calibri" w:cs="Calibri" w:hint="default"/>
      <w:b/>
      <w:bCs/>
    </w:rPr>
  </w:style>
  <w:style w:type="character" w:customStyle="1" w:styleId="17">
    <w:name w:val="17"/>
    <w:basedOn w:val="DefaultParagraphFont"/>
    <w:rsid w:val="00B64020"/>
    <w:rPr>
      <w:rFonts w:ascii="Calibri" w:hAnsi="Calibri" w:cs="Calibri" w:hint="default"/>
      <w:vertAlign w:val="superscript"/>
    </w:rPr>
  </w:style>
  <w:style w:type="character" w:customStyle="1" w:styleId="18">
    <w:name w:val="18"/>
    <w:basedOn w:val="DefaultParagraphFont"/>
    <w:rsid w:val="00B64020"/>
    <w:rPr>
      <w:rFonts w:ascii="Calibri" w:hAnsi="Calibri" w:cs="Calibri" w:hint="default"/>
      <w:b/>
      <w:bCs/>
    </w:rPr>
  </w:style>
  <w:style w:type="table" w:styleId="TableGrid">
    <w:name w:val="Table Grid"/>
    <w:basedOn w:val="TableNormal"/>
    <w:uiPriority w:val="99"/>
    <w:unhideWhenUsed/>
    <w:rsid w:val="00B64020"/>
    <w:pPr>
      <w:spacing w:after="0" w:line="240" w:lineRule="auto"/>
    </w:pPr>
    <w:rPr>
      <w:rFonts w:ascii="Calibri" w:eastAsia="DengXian"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097F4F"/>
    <w:rPr>
      <w:color w:val="0563C1" w:themeColor="hyperlink"/>
      <w:u w:val="single"/>
    </w:rPr>
  </w:style>
  <w:style w:type="paragraph" w:styleId="Header">
    <w:name w:val="header"/>
    <w:basedOn w:val="Normal"/>
    <w:link w:val="HeaderChar"/>
    <w:uiPriority w:val="99"/>
    <w:unhideWhenUsed/>
    <w:rsid w:val="00DF5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6F6"/>
  </w:style>
  <w:style w:type="character" w:customStyle="1" w:styleId="accordion-tabbedtab-mobile">
    <w:name w:val="accordion-tabbed__tab-mobile"/>
    <w:basedOn w:val="DefaultParagraphFont"/>
    <w:rsid w:val="00A04F34"/>
  </w:style>
  <w:style w:type="character" w:customStyle="1" w:styleId="comma-separator">
    <w:name w:val="comma-separator"/>
    <w:basedOn w:val="DefaultParagraphFont"/>
    <w:qFormat/>
    <w:rsid w:val="00A04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66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dia.mhango@gmail.com" TargetMode="External"/><Relationship Id="rId13" Type="http://schemas.openxmlformats.org/officeDocument/2006/relationships/image" Target="media/image4.jpeg"/><Relationship Id="rId18" Type="http://schemas.openxmlformats.org/officeDocument/2006/relationships/hyperlink" Target="https://onlinelibrary.wiley.com/authored-by/Gatenby/Mark" TargetMode="External"/><Relationship Id="rId26" Type="http://schemas.openxmlformats.org/officeDocument/2006/relationships/hyperlink" Target="https://www.timeshighereducation.com/campus/putting-trust-heart-higher-education" TargetMode="External"/><Relationship Id="rId3" Type="http://schemas.openxmlformats.org/officeDocument/2006/relationships/styles" Target="styles.xml"/><Relationship Id="rId21" Type="http://schemas.openxmlformats.org/officeDocument/2006/relationships/hyperlink" Target="https://doi.org/10.1108/JOCM-02-2022-003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onlinelibrary.wiley.com/authored-by/Rees/Chris" TargetMode="External"/><Relationship Id="rId25" Type="http://schemas.openxmlformats.org/officeDocument/2006/relationships/hyperlink" Target="https://doi.org/10.4038/kjm.v7i1.7555" TargetMode="External"/><Relationship Id="rId2" Type="http://schemas.openxmlformats.org/officeDocument/2006/relationships/numbering" Target="numbering.xml"/><Relationship Id="rId16" Type="http://schemas.openxmlformats.org/officeDocument/2006/relationships/hyperlink" Target="https://onlinelibrary.wiley.com/authored-by/Soane/Emma+C." TargetMode="External"/><Relationship Id="rId20" Type="http://schemas.openxmlformats.org/officeDocument/2006/relationships/hyperlink" Target="http://www.jstor.org/stable/248681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58653/nche.v11i.11" TargetMode="External"/><Relationship Id="rId5" Type="http://schemas.openxmlformats.org/officeDocument/2006/relationships/webSettings" Target="webSettings.xml"/><Relationship Id="rId15" Type="http://schemas.openxmlformats.org/officeDocument/2006/relationships/hyperlink" Target="https://onlinelibrary.wiley.com/authored-by/Truss/Catherine" TargetMode="External"/><Relationship Id="rId23" Type="http://schemas.openxmlformats.org/officeDocument/2006/relationships/hyperlink" Target="https://www.ijmsbr.com"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02/hrm.21512" TargetMode="External"/><Relationship Id="rId4" Type="http://schemas.openxmlformats.org/officeDocument/2006/relationships/settings" Target="settings.xml"/><Relationship Id="rId9" Type="http://schemas.openxmlformats.org/officeDocument/2006/relationships/hyperlink" Target="mailto:chandasichinsambwe@gmail.com" TargetMode="External"/><Relationship Id="rId14" Type="http://schemas.openxmlformats.org/officeDocument/2006/relationships/hyperlink" Target="https://onlinelibrary.wiley.com/authored-by/Alfes/Kerstin" TargetMode="External"/><Relationship Id="rId22" Type="http://schemas.openxmlformats.org/officeDocument/2006/relationships/hyperlink" Target="https://www.intechopen.com/chapters/79255"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7CBF-3DB4-42A7-B8E1-27CF71ED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28</Pages>
  <Words>8841</Words>
  <Characters>50395</Characters>
  <Application>Microsoft Office Word</Application>
  <DocSecurity>0</DocSecurity>
  <Lines>419</Lines>
  <Paragraphs>118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5. Methodology</vt:lpstr>
      <vt:lpstr>        5.1 Research Design and Population</vt:lpstr>
      <vt:lpstr>        5.2 Sample and Data Collection</vt:lpstr>
      <vt:lpstr>        5.3 Measures</vt:lpstr>
      <vt:lpstr>        5.4 Data Analysis</vt:lpstr>
    </vt:vector>
  </TitlesOfParts>
  <Company/>
  <LinksUpToDate>false</LinksUpToDate>
  <CharactersWithSpaces>59118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MHANGO</dc:creator>
  <cp:keywords/>
  <dc:description/>
  <cp:lastModifiedBy>LYDIA MHANGO</cp:lastModifiedBy>
  <cp:revision>15</cp:revision>
  <dcterms:created xsi:type="dcterms:W3CDTF">2026-06-13T06:37:00Z</dcterms:created>
  <dcterms:modified xsi:type="dcterms:W3CDTF">2026-06-19T04:25:00Z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95e8990b-2834-49ec-8b17-513d916ba57a</vt:lpwstr>
  </property>
</Properties>
</file>