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DE36B" w14:textId="6FF1BE33" w:rsidR="00442327" w:rsidRPr="00162F4D" w:rsidRDefault="00442327" w:rsidP="00FA79E2">
      <w:pPr>
        <w:jc w:val="center"/>
        <w:rPr>
          <w:rFonts w:ascii="Times New Roman" w:hAnsi="Times New Roman" w:cs="Times New Roman"/>
          <w:b/>
          <w:bCs/>
          <w:sz w:val="36"/>
          <w:szCs w:val="36"/>
        </w:rPr>
      </w:pPr>
      <w:r w:rsidRPr="00162F4D">
        <w:rPr>
          <w:rFonts w:ascii="Times New Roman" w:hAnsi="Times New Roman" w:cs="Times New Roman"/>
          <w:b/>
          <w:bCs/>
          <w:sz w:val="36"/>
          <w:szCs w:val="36"/>
        </w:rPr>
        <w:t>Integrated Renewable Hydrogen and Electric Mobility for Grid Flexibility: A Sector-Coupled Framework for Developing Economies</w:t>
      </w:r>
    </w:p>
    <w:p w14:paraId="3A2EEDC4" w14:textId="48B2A942" w:rsidR="00834877" w:rsidRPr="00162F4D" w:rsidRDefault="00135B9D" w:rsidP="00325F80">
      <w:pPr>
        <w:jc w:val="center"/>
        <w:rPr>
          <w:rFonts w:ascii="Times New Roman" w:hAnsi="Times New Roman" w:cs="Times New Roman"/>
          <w:b/>
          <w:bCs/>
          <w:sz w:val="28"/>
          <w:szCs w:val="28"/>
        </w:rPr>
      </w:pPr>
      <w:r w:rsidRPr="00162F4D">
        <w:rPr>
          <w:rFonts w:ascii="Times New Roman" w:hAnsi="Times New Roman" w:cs="Times New Roman"/>
          <w:b/>
          <w:bCs/>
          <w:sz w:val="28"/>
          <w:szCs w:val="28"/>
        </w:rPr>
        <w:t/>
      </w:r>
      <w:r w:rsidR="00E34143" w:rsidRPr="00162F4D">
        <w:rPr>
          <w:rFonts w:ascii="Times New Roman" w:hAnsi="Times New Roman" w:cs="Times New Roman"/>
          <w:b/>
          <w:bCs/>
          <w:sz w:val="28"/>
          <w:szCs w:val="28"/>
        </w:rPr>
        <w:t xml:space="preserve"/>
      </w:r>
      <w:r w:rsidR="00021347" w:rsidRPr="00162F4D">
        <w:rPr>
          <w:rFonts w:ascii="Times New Roman" w:hAnsi="Times New Roman" w:cs="Times New Roman"/>
          <w:b/>
          <w:bCs/>
          <w:sz w:val="28"/>
          <w:szCs w:val="28"/>
        </w:rPr>
        <w:t/>
      </w:r>
      <w:r w:rsidR="00E34143" w:rsidRPr="00162F4D">
        <w:rPr>
          <w:rFonts w:ascii="Times New Roman" w:hAnsi="Times New Roman" w:cs="Times New Roman"/>
          <w:b/>
          <w:bCs/>
          <w:sz w:val="28"/>
          <w:szCs w:val="28"/>
        </w:rPr>
        <w:t/>
      </w:r>
    </w:p>
    <w:p w14:paraId="6668FB3E" w14:textId="4AC58DD8" w:rsidR="006940F0" w:rsidRPr="00162F4D" w:rsidRDefault="003E031C" w:rsidP="00E505F7">
      <w:pPr>
        <w:jc w:val="center"/>
        <w:rPr>
          <w:rFonts w:ascii="Times New Roman" w:hAnsi="Times New Roman" w:cs="Times New Roman"/>
          <w:b/>
          <w:bCs/>
          <w:sz w:val="28"/>
          <w:szCs w:val="28"/>
        </w:rPr>
      </w:pPr>
      <w:r w:rsidRPr="00162F4D">
        <w:rPr>
          <w:rFonts w:ascii="Times New Roman" w:hAnsi="Times New Roman" w:cs="Times New Roman"/>
          <w:b/>
          <w:bCs/>
          <w:sz w:val="28"/>
          <w:szCs w:val="28"/>
        </w:rPr>
        <w:t xml:space="preserve"/>
      </w:r>
      <w:r w:rsidR="00E505F7" w:rsidRPr="00162F4D">
        <w:rPr>
          <w:rFonts w:ascii="Times New Roman" w:hAnsi="Times New Roman" w:cs="Times New Roman"/>
          <w:b/>
          <w:bCs/>
          <w:sz w:val="28"/>
          <w:szCs w:val="28"/>
        </w:rPr>
        <w:t/>
      </w:r>
      <w:r w:rsidRPr="00162F4D">
        <w:rPr>
          <w:rFonts w:ascii="Times New Roman" w:hAnsi="Times New Roman" w:cs="Times New Roman"/>
          <w:b/>
          <w:bCs/>
          <w:sz w:val="28"/>
          <w:szCs w:val="28"/>
        </w:rPr>
        <w:t xml:space="preserve"/>
      </w:r>
      <w:r w:rsidR="00E505F7" w:rsidRPr="00162F4D">
        <w:rPr>
          <w:rFonts w:ascii="Times New Roman" w:hAnsi="Times New Roman" w:cs="Times New Roman"/>
          <w:b/>
          <w:bCs/>
          <w:sz w:val="28"/>
          <w:szCs w:val="28"/>
        </w:rPr>
        <w:t/>
      </w:r>
      <w:r w:rsidR="00224637" w:rsidRPr="00162F4D">
        <w:rPr>
          <w:rFonts w:ascii="Times New Roman" w:hAnsi="Times New Roman" w:cs="Times New Roman"/>
          <w:b/>
          <w:bCs/>
          <w:sz w:val="28"/>
          <w:szCs w:val="28"/>
        </w:rPr>
        <w:t xml:space="preserve"/>
      </w:r>
    </w:p>
    <w:p w14:paraId="72B08D6F" w14:textId="1869018B" w:rsidR="00B928CF" w:rsidRPr="00162F4D" w:rsidRDefault="00861BE5" w:rsidP="00236663">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ABSTRACT</w:t>
      </w:r>
    </w:p>
    <w:p w14:paraId="6937F0FB" w14:textId="27275CC1" w:rsidR="004545C4" w:rsidRPr="00227E5A" w:rsidRDefault="004545C4" w:rsidP="00227E5A">
      <w:pPr>
        <w:spacing w:after="0" w:line="240" w:lineRule="auto"/>
        <w:jc w:val="both"/>
        <w:rPr>
          <w:rFonts w:ascii="Times New Roman" w:hAnsi="Times New Roman" w:cs="Times New Roman"/>
        </w:rPr>
      </w:pPr>
      <w:r w:rsidRPr="00227E5A">
        <w:rPr>
          <w:rFonts w:ascii="Times New Roman" w:hAnsi="Times New Roman" w:cs="Times New Roman"/>
        </w:rPr>
        <w:t>Developing economies face a dual challenge of rapidly increasing transportation demand and the urgent need to decarbonize energy systems. While renewable energy deployment is accelerating globally, the intermittent nature of solar and wind generation presents significant challenges for grid stability and reliability. Simultaneously, transportation sectors remain heavily dependent on fossil fuels, contributing substantially to greenhouse gas emissions. This paper proposes a sector-coupled energy infrastructure framework that integrates renewable hydrogen production, electric mobility systems, and smart grid technologies to enhance grid flexibility and accelerate the transition toward net-zero transportation in developing economies. The framework leverages surplus renewable electricity for hydrogen production through electrolysis while utili</w:t>
      </w:r>
      <w:r w:rsidR="0057699C" w:rsidRPr="00227E5A">
        <w:rPr>
          <w:rFonts w:ascii="Times New Roman" w:hAnsi="Times New Roman" w:cs="Times New Roman"/>
        </w:rPr>
        <w:t>s</w:t>
      </w:r>
      <w:r w:rsidRPr="00227E5A">
        <w:rPr>
          <w:rFonts w:ascii="Times New Roman" w:hAnsi="Times New Roman" w:cs="Times New Roman"/>
        </w:rPr>
        <w:t>ing electric vehicles (EVs) as distributed energy storage resources through vehicle-to-grid (V2G) technologies. By coupling power, transportation, and hydrogen sectors, the proposed model addresses renewable energy curtailment, grid balancing, energy security, and transportation decarboni</w:t>
      </w:r>
      <w:r w:rsidR="0057699C" w:rsidRPr="00227E5A">
        <w:rPr>
          <w:rFonts w:ascii="Times New Roman" w:hAnsi="Times New Roman" w:cs="Times New Roman"/>
        </w:rPr>
        <w:t>s</w:t>
      </w:r>
      <w:r w:rsidRPr="00227E5A">
        <w:rPr>
          <w:rFonts w:ascii="Times New Roman" w:hAnsi="Times New Roman" w:cs="Times New Roman"/>
        </w:rPr>
        <w:t>ation simultaneously. The study examines technological pathways, infrastructure requirements, policy mechanisms, and economic considerations for implementation.</w:t>
      </w:r>
      <w:r w:rsidR="00A56CFF" w:rsidRPr="00227E5A">
        <w:rPr>
          <w:rFonts w:ascii="Times New Roman" w:hAnsi="Times New Roman" w:cs="Times New Roman"/>
        </w:rPr>
        <w:t xml:space="preserve"> The proposed framework demonstrates how integrated hydrogen-electric mobility systems may improve renewable energy utilisation, reduce grid congestion, enhance system resilience, and support sustainable economic development through coordinated sector coupling between power, transport, and hydrogen systems.</w:t>
      </w:r>
      <w:r w:rsidRPr="00227E5A">
        <w:rPr>
          <w:rFonts w:ascii="Times New Roman" w:hAnsi="Times New Roman" w:cs="Times New Roman"/>
        </w:rPr>
        <w:t xml:space="preserve"> The paper concludes by outlining strategic recommendations for policymakers and stakeholders seeking to establish flexible, low-carbon transportation and energy infrastructures in developing economies.</w:t>
      </w:r>
    </w:p>
    <w:p w14:paraId="07DE8246" w14:textId="430ED933" w:rsidR="00C54EC1" w:rsidRPr="00227E5A" w:rsidRDefault="004545C4" w:rsidP="00227E5A">
      <w:pPr>
        <w:spacing w:after="0" w:line="240" w:lineRule="auto"/>
        <w:jc w:val="both"/>
        <w:rPr>
          <w:rFonts w:ascii="Times New Roman" w:hAnsi="Times New Roman" w:cs="Times New Roman"/>
        </w:rPr>
      </w:pPr>
      <w:r w:rsidRPr="00227E5A">
        <w:rPr>
          <w:rFonts w:ascii="Times New Roman" w:hAnsi="Times New Roman" w:cs="Times New Roman"/>
          <w:b/>
          <w:bCs/>
        </w:rPr>
        <w:t>Keywords:</w:t>
      </w:r>
      <w:r w:rsidRPr="00227E5A">
        <w:rPr>
          <w:rFonts w:ascii="Times New Roman" w:hAnsi="Times New Roman" w:cs="Times New Roman"/>
        </w:rPr>
        <w:t xml:space="preserve"> Renewable hydrogen, Electric mobility, Grid flexibility, Net-zero transportation, Developing economies</w:t>
      </w:r>
    </w:p>
    <w:p w14:paraId="606444BE" w14:textId="119E3860" w:rsidR="00493444" w:rsidRPr="00493444" w:rsidRDefault="00861BE5" w:rsidP="00493444">
      <w:pPr>
        <w:spacing w:before="240" w:after="0"/>
        <w:jc w:val="both"/>
        <w:rPr>
          <w:rFonts w:ascii="Calibri" w:hAnsi="Calibri" w:cs="Calibri"/>
          <w:b/>
          <w:bCs/>
          <w:sz w:val="28"/>
          <w:szCs w:val="28"/>
        </w:rPr>
      </w:pPr>
      <w:r w:rsidRPr="00FC7704">
        <w:rPr>
          <w:rFonts w:ascii="Calibri" w:hAnsi="Calibri" w:cs="Calibri"/>
          <w:b/>
          <w:bCs/>
          <w:sz w:val="28"/>
          <w:szCs w:val="28"/>
        </w:rPr>
        <w:t>INTRODUCTION</w:t>
      </w:r>
    </w:p>
    <w:p w14:paraId="4C15F50E" w14:textId="571AA726" w:rsidR="00493444" w:rsidRPr="00227E5A" w:rsidRDefault="00493444" w:rsidP="00227E5A">
      <w:pPr>
        <w:spacing w:after="0" w:line="240" w:lineRule="auto"/>
        <w:jc w:val="both"/>
        <w:rPr>
          <w:rFonts w:ascii="Times New Roman" w:hAnsi="Times New Roman" w:cs="Times New Roman"/>
        </w:rPr>
      </w:pPr>
      <w:r w:rsidRPr="00227E5A">
        <w:rPr>
          <w:rFonts w:ascii="Times New Roman" w:hAnsi="Times New Roman" w:cs="Times New Roman"/>
        </w:rPr>
        <w:t>Global efforts to achieve climate neutrality have increased the need for integrated solutions that simultaneously decarbonise energy and transportation sectors. Transportation accounts for approximately one-quarter of global energy-related CO₂ emissions, with developing economies experiencing rapid growth in vehicle ownership and energy demand. Although many of these regions have abundant renewable resources, particularly solar and wind, they face challenges such as grid instability, infrastructure limitations, and energy access constraints (BNEF, 2024</w:t>
      </w:r>
      <w:r w:rsidR="00B41FA5" w:rsidRPr="00227E5A">
        <w:rPr>
          <w:rFonts w:ascii="Times New Roman" w:hAnsi="Times New Roman" w:cs="Times New Roman"/>
        </w:rPr>
        <w:t>). The</w:t>
      </w:r>
      <w:r w:rsidRPr="00227E5A">
        <w:rPr>
          <w:rFonts w:ascii="Times New Roman" w:hAnsi="Times New Roman" w:cs="Times New Roman"/>
        </w:rPr>
        <w:t xml:space="preserve"> increasing penetration of renewable energy introduces variability, often leading to curtailment and inefficiencies. Conventional approaches relying on grid expansion or standalone storage solutions are frequently cost-prohibitive. In response, sector coupling has emerged as a promising strategy for enhancing system flexibility by integrating electricity, transport, and hydrogen systems (Wang et al., 2023).Renewable hydrogen provides long-duration energy storage, particularly for hard-to-electrify transport sectors, while electric </w:t>
      </w:r>
      <w:r w:rsidRPr="00227E5A">
        <w:rPr>
          <w:rFonts w:ascii="Times New Roman" w:hAnsi="Times New Roman" w:cs="Times New Roman"/>
        </w:rPr>
        <w:lastRenderedPageBreak/>
        <w:t xml:space="preserve">vehicles (EVs) offer short-term flexibility through smart charging and vehicle-to-grid (V2G) capabilities. The integration of these systems enables complementary benefits, combining short-term battery storage with long-term hydrogen </w:t>
      </w:r>
      <w:r w:rsidR="00B41FA5" w:rsidRPr="00227E5A">
        <w:rPr>
          <w:rFonts w:ascii="Times New Roman" w:hAnsi="Times New Roman" w:cs="Times New Roman"/>
        </w:rPr>
        <w:t>storage. Despite</w:t>
      </w:r>
      <w:r w:rsidRPr="00227E5A">
        <w:rPr>
          <w:rFonts w:ascii="Times New Roman" w:hAnsi="Times New Roman" w:cs="Times New Roman"/>
        </w:rPr>
        <w:t xml:space="preserve"> growing research, the application of integrated sector-coupled systems in developing economies remains limited. This paper addresses this gap by proposing a unified framework that integrates renewable energy generation, hydrogen production and storage, and electric mobility systems with V2G capability. The framework aims to enhance grid flexibility, improve renewable energy utilisation, and support the transition towards net-zero transportation systems (Pranawengkapti et al., 2025).</w:t>
      </w:r>
      <w:r w:rsidR="00D108DD" w:rsidRPr="00227E5A">
        <w:rPr>
          <w:rFonts w:ascii="Times New Roman" w:hAnsi="Times New Roman" w:cs="Times New Roman"/>
        </w:rPr>
        <w:t xml:space="preserve"> While previous studies have investigated renewable hydrogen systems, electric mobility, and vehicle-to-grid (V2G) technologies independently, limited attention has been given to their coordinated integration within a unified framework for developing economies. The novelty of this study lies in the integration of short-duration flexibility provided by EV batteries and long-duration flexibility provided by renewable hydrogen storage within a single sector-coupled architecture. Furthermore, the framework is demonstrated using complementary case studies from Kenya and South Africa, highlighting practical pathways for renewable energy integration, transport decarbonisation, and grid flexibility in developing economy contexts.</w:t>
      </w:r>
    </w:p>
    <w:p w14:paraId="34635867" w14:textId="280467FC" w:rsidR="00AB66A2" w:rsidRPr="00162F4D" w:rsidRDefault="00861BE5" w:rsidP="007C0CC5">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SECTOR-COUPLED ENERGY SYSTEM ARCHITECTURE</w:t>
      </w:r>
    </w:p>
    <w:p w14:paraId="4FD0F512" w14:textId="74B994AA" w:rsidR="0069557B" w:rsidRPr="00227E5A" w:rsidRDefault="0069557B" w:rsidP="00227E5A">
      <w:pPr>
        <w:spacing w:after="0" w:line="240" w:lineRule="auto"/>
        <w:jc w:val="both"/>
        <w:rPr>
          <w:rFonts w:ascii="Times New Roman" w:hAnsi="Times New Roman" w:cs="Times New Roman"/>
        </w:rPr>
      </w:pPr>
      <w:r w:rsidRPr="00227E5A">
        <w:rPr>
          <w:rFonts w:ascii="Times New Roman" w:hAnsi="Times New Roman" w:cs="Times New Roman"/>
        </w:rPr>
        <w:t>The proposed framework integrates renewable power generation, hydrogen production and storage, and electric mobility with vehicle-to-grid (V2G) capability into a unified energy system designed to enhance grid flexibility and support net-zero transportation in developing economies (Arowolo et al., 2025)</w:t>
      </w:r>
      <w:r w:rsidR="00227E5A">
        <w:rPr>
          <w:rFonts w:ascii="Times New Roman" w:hAnsi="Times New Roman" w:cs="Times New Roman"/>
        </w:rPr>
        <w:t>.</w:t>
      </w:r>
    </w:p>
    <w:p w14:paraId="265020BE" w14:textId="0D7BA931" w:rsidR="00C437C8" w:rsidRDefault="007C0CC5" w:rsidP="006A2B43">
      <w:pPr>
        <w:jc w:val="center"/>
        <w:rPr>
          <w:rFonts w:ascii="Calibri" w:hAnsi="Calibri" w:cs="Calibri"/>
        </w:rPr>
      </w:pPr>
      <w:r w:rsidRPr="00C93C6E">
        <w:rPr>
          <w:rFonts w:ascii="Calibri" w:hAnsi="Calibri" w:cs="Calibri"/>
          <w:b/>
          <w:bCs/>
          <w:noProof/>
        </w:rPr>
        <w:drawing>
          <wp:inline distT="0" distB="0" distL="0" distR="0" wp14:anchorId="5C1679B7" wp14:editId="4F0375E6">
            <wp:extent cx="4032000" cy="1931784"/>
            <wp:effectExtent l="0" t="0" r="6985" b="0"/>
            <wp:docPr id="98288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318" t="7561" b="13048"/>
                    <a:stretch>
                      <a:fillRect/>
                    </a:stretch>
                  </pic:blipFill>
                  <pic:spPr bwMode="auto">
                    <a:xfrm>
                      <a:off x="0" y="0"/>
                      <a:ext cx="4032000" cy="1931784"/>
                    </a:xfrm>
                    <a:prstGeom prst="rect">
                      <a:avLst/>
                    </a:prstGeom>
                    <a:noFill/>
                    <a:ln>
                      <a:noFill/>
                    </a:ln>
                    <a:extLst>
                      <a:ext uri="{53640926-AAD7-44D8-BBD7-CCE9431645EC}">
                        <a14:shadowObscured xmlns:a14="http://schemas.microsoft.com/office/drawing/2010/main"/>
                      </a:ext>
                    </a:extLst>
                  </pic:spPr>
                </pic:pic>
              </a:graphicData>
            </a:graphic>
          </wp:inline>
        </w:drawing>
      </w:r>
    </w:p>
    <w:p w14:paraId="74613C6E" w14:textId="22215394" w:rsidR="00B92D5B" w:rsidRPr="00227E5A" w:rsidRDefault="00B92D5B" w:rsidP="00227E5A">
      <w:pPr>
        <w:spacing w:after="0" w:line="240" w:lineRule="auto"/>
        <w:jc w:val="center"/>
        <w:rPr>
          <w:rFonts w:ascii="Times New Roman" w:hAnsi="Times New Roman" w:cs="Times New Roman"/>
        </w:rPr>
      </w:pPr>
      <w:r w:rsidRPr="00227E5A">
        <w:rPr>
          <w:rFonts w:ascii="Times New Roman" w:hAnsi="Times New Roman" w:cs="Times New Roman"/>
        </w:rPr>
        <w:t>Fig 1 sector-coupled system architecture</w:t>
      </w:r>
    </w:p>
    <w:p w14:paraId="653608CE" w14:textId="685DDFD7" w:rsidR="000D6CEE" w:rsidRPr="00227E5A" w:rsidRDefault="000D6CEE" w:rsidP="00227E5A">
      <w:pPr>
        <w:spacing w:line="240" w:lineRule="auto"/>
        <w:jc w:val="both"/>
        <w:rPr>
          <w:rFonts w:ascii="Times New Roman" w:hAnsi="Times New Roman" w:cs="Times New Roman"/>
        </w:rPr>
      </w:pPr>
      <w:r w:rsidRPr="00227E5A">
        <w:rPr>
          <w:rFonts w:ascii="Times New Roman" w:hAnsi="Times New Roman" w:cs="Times New Roman"/>
        </w:rPr>
        <w:t xml:space="preserve">Figure 1 illustrates the sector-coupled system architecture, showing bidirectional energy flows between renewable generation, hydrogen systems, and electric mobility. The primary interactions include conversion of surplus renewable energy into hydrogen via electrolysis, EV charging from renewable power, vehicle-to-grid (V2G) discharge to support the grid, and electricity generation from stored hydrogen using fuel </w:t>
      </w:r>
      <w:r w:rsidR="00DA5E22" w:rsidRPr="00227E5A">
        <w:rPr>
          <w:rFonts w:ascii="Times New Roman" w:hAnsi="Times New Roman" w:cs="Times New Roman"/>
        </w:rPr>
        <w:t>cells. The</w:t>
      </w:r>
      <w:r w:rsidRPr="00227E5A">
        <w:rPr>
          <w:rFonts w:ascii="Times New Roman" w:hAnsi="Times New Roman" w:cs="Times New Roman"/>
        </w:rPr>
        <w:t xml:space="preserve"> combination of short-duration</w:t>
      </w:r>
      <w:r w:rsidRPr="000D6CEE">
        <w:rPr>
          <w:rFonts w:ascii="Calibri" w:hAnsi="Calibri" w:cs="Calibri"/>
        </w:rPr>
        <w:t xml:space="preserve"> </w:t>
      </w:r>
      <w:r w:rsidRPr="00227E5A">
        <w:rPr>
          <w:rFonts w:ascii="Times New Roman" w:hAnsi="Times New Roman" w:cs="Times New Roman"/>
        </w:rPr>
        <w:t xml:space="preserve">storage (EV batteries) and long-duration storage (hydrogen systems) provides a multi-layered flexibility mechanism capable of addressing both short-term fluctuations and long-term variability. During high renewable generation, excess energy is allocated to EV charging and hydrogen production. During low generation periods, stored energy is supplied through V2G operation and hydrogen fuel cells, supporting demand and reducing reliance on conventional </w:t>
      </w:r>
      <w:r w:rsidR="00DA5E22" w:rsidRPr="00227E5A">
        <w:rPr>
          <w:rFonts w:ascii="Times New Roman" w:hAnsi="Times New Roman" w:cs="Times New Roman"/>
        </w:rPr>
        <w:t>generation. System</w:t>
      </w:r>
      <w:r w:rsidRPr="00227E5A">
        <w:rPr>
          <w:rFonts w:ascii="Times New Roman" w:hAnsi="Times New Roman" w:cs="Times New Roman"/>
        </w:rPr>
        <w:t xml:space="preserve"> operation is coordinated by an Energy Management System (EMS), which optimises energy flows between generation, storage, and demand in real time. </w:t>
      </w:r>
    </w:p>
    <w:p w14:paraId="1D651DA2" w14:textId="5E405627" w:rsidR="00D84B2F" w:rsidRPr="00227E5A" w:rsidRDefault="001D7CFC" w:rsidP="001D7CFC">
      <w:pPr>
        <w:jc w:val="both"/>
        <w:rPr>
          <w:rFonts w:ascii="Times New Roman" w:hAnsi="Times New Roman" w:cs="Times New Roman"/>
        </w:rPr>
      </w:pPr>
      <w:r w:rsidRPr="00227E5A">
        <w:rPr>
          <w:rFonts w:ascii="Times New Roman" w:eastAsiaTheme="minorEastAsia" w:hAnsi="Times New Roman" w:cs="Times New Roman"/>
          <w:b/>
          <w:bCs/>
        </w:rPr>
        <w:t>Equation (1)</w:t>
      </w:r>
      <w:r w:rsidRPr="00227E5A">
        <w:rPr>
          <w:rFonts w:ascii="Times New Roman" w:eastAsiaTheme="minorEastAsia" w:hAnsi="Times New Roman" w:cs="Times New Roman"/>
        </w:rPr>
        <w:t xml:space="preserv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RE</m:t>
            </m:r>
          </m:sub>
        </m:sSub>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load</m:t>
            </m:r>
          </m:sub>
        </m:sSub>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elec</m:t>
            </m:r>
          </m:sub>
        </m:sSub>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EV</m:t>
            </m:r>
          </m:sub>
        </m:sSub>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loss</m:t>
            </m:r>
          </m:sub>
        </m:sSub>
        <m:r>
          <w:rPr>
            <w:rFonts w:ascii="Cambria Math" w:hAnsi="Cambria Math" w:cs="Times New Roman"/>
          </w:rPr>
          <m:t>(t)</m:t>
        </m:r>
      </m:oMath>
    </w:p>
    <w:p w14:paraId="06AA3CBC" w14:textId="71C48BBF" w:rsidR="00BA6059" w:rsidRPr="00227E5A" w:rsidRDefault="00DA5E22" w:rsidP="00227E5A">
      <w:pPr>
        <w:spacing w:after="0" w:line="240" w:lineRule="auto"/>
        <w:jc w:val="both"/>
        <w:rPr>
          <w:rFonts w:ascii="Times New Roman" w:hAnsi="Times New Roman" w:cs="Times New Roman"/>
        </w:rPr>
      </w:pPr>
      <w:r w:rsidRPr="00227E5A">
        <w:rPr>
          <w:rFonts w:ascii="Times New Roman" w:hAnsi="Times New Roman"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RE</m:t>
            </m:r>
          </m:sub>
        </m:sSub>
        <m:r>
          <w:rPr>
            <w:rFonts w:ascii="Cambria Math" w:hAnsi="Cambria Math" w:cs="Times New Roman"/>
          </w:rPr>
          <m:t>(t)</m:t>
        </m:r>
      </m:oMath>
      <w:r w:rsidRPr="00227E5A">
        <w:rPr>
          <w:rFonts w:ascii="Times New Roman" w:hAnsi="Times New Roman" w:cs="Times New Roman"/>
        </w:rPr>
        <w:t xml:space="preserve">is total renewable generation,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load</m:t>
            </m:r>
          </m:sub>
        </m:sSub>
        <m:r>
          <w:rPr>
            <w:rFonts w:ascii="Cambria Math" w:hAnsi="Cambria Math" w:cs="Times New Roman"/>
          </w:rPr>
          <m:t>(t)</m:t>
        </m:r>
      </m:oMath>
      <w:r w:rsidRPr="00227E5A">
        <w:rPr>
          <w:rFonts w:ascii="Times New Roman" w:hAnsi="Times New Roman" w:cs="Times New Roman"/>
        </w:rPr>
        <w:t xml:space="preserve">is grid demand,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elec</m:t>
            </m:r>
          </m:sub>
        </m:sSub>
        <m:r>
          <w:rPr>
            <w:rFonts w:ascii="Cambria Math" w:hAnsi="Cambria Math" w:cs="Times New Roman"/>
          </w:rPr>
          <m:t>(t)</m:t>
        </m:r>
      </m:oMath>
      <w:r w:rsidRPr="00227E5A">
        <w:rPr>
          <w:rFonts w:ascii="Times New Roman" w:hAnsi="Times New Roman" w:cs="Times New Roman"/>
        </w:rPr>
        <w:t xml:space="preserve">is electrolyser power,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EV</m:t>
            </m:r>
          </m:sub>
        </m:sSub>
        <m:r>
          <w:rPr>
            <w:rFonts w:ascii="Cambria Math" w:hAnsi="Cambria Math" w:cs="Times New Roman"/>
          </w:rPr>
          <m:t>(t)</m:t>
        </m:r>
      </m:oMath>
      <w:r w:rsidRPr="00227E5A">
        <w:rPr>
          <w:rFonts w:ascii="Times New Roman" w:hAnsi="Times New Roman" w:cs="Times New Roman"/>
        </w:rPr>
        <w:t xml:space="preserve">is EV charging demand, and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loss</m:t>
            </m:r>
          </m:sub>
        </m:sSub>
        <m:r>
          <w:rPr>
            <w:rFonts w:ascii="Cambria Math" w:hAnsi="Cambria Math" w:cs="Times New Roman"/>
          </w:rPr>
          <m:t>(t)</m:t>
        </m:r>
      </m:oMath>
      <w:r w:rsidRPr="00227E5A">
        <w:rPr>
          <w:rFonts w:ascii="Times New Roman" w:hAnsi="Times New Roman" w:cs="Times New Roman"/>
        </w:rPr>
        <w:t>represents system losses (kW).</w:t>
      </w:r>
      <w:r w:rsidR="007F7BBE" w:rsidRPr="00227E5A">
        <w:rPr>
          <w:rFonts w:ascii="Times New Roman" w:hAnsi="Times New Roman" w:cs="Times New Roman"/>
        </w:rPr>
        <w:t>Equation (1) represents the overall energy balance of the proposed sector-coupled system. The total renewable power generated is allocated among grid demand, hydrogen production through electrolysis, EV charging demand, and system losses. The Energy Management System (EMS) continuously regulates these energy flows to maximise renewable energy utilisation while maintaining system stability and reliability. However</w:t>
      </w:r>
      <w:r w:rsidR="00BA6059" w:rsidRPr="00227E5A">
        <w:rPr>
          <w:rFonts w:ascii="Times New Roman" w:hAnsi="Times New Roman" w:cs="Times New Roman"/>
        </w:rPr>
        <w:t>, implementation requires advanced control strategies and significant infrastructure investment, particularly for hydrogen and V2G systems (Denholm et al., 2021).</w:t>
      </w:r>
    </w:p>
    <w:p w14:paraId="02DF3707" w14:textId="7116035C" w:rsidR="00C81C24" w:rsidRPr="00FC7704" w:rsidRDefault="00C81C24" w:rsidP="00893B70">
      <w:pPr>
        <w:spacing w:after="0"/>
        <w:jc w:val="both"/>
        <w:rPr>
          <w:rFonts w:ascii="Calibri" w:hAnsi="Calibri" w:cs="Calibri"/>
          <w:b/>
          <w:bCs/>
          <w:sz w:val="28"/>
          <w:szCs w:val="28"/>
        </w:rPr>
      </w:pPr>
      <w:r w:rsidRPr="00FC7704">
        <w:rPr>
          <w:rFonts w:ascii="Calibri" w:hAnsi="Calibri" w:cs="Calibri"/>
          <w:b/>
          <w:bCs/>
          <w:sz w:val="28"/>
          <w:szCs w:val="28"/>
        </w:rPr>
        <w:t>Renewable Power Generation (Solar and Wind Systems)</w:t>
      </w:r>
    </w:p>
    <w:p w14:paraId="47251DF9" w14:textId="6A5A7D43" w:rsidR="00840882" w:rsidRPr="00227E5A" w:rsidRDefault="00840882" w:rsidP="00227E5A">
      <w:pPr>
        <w:spacing w:after="0" w:line="240" w:lineRule="auto"/>
        <w:jc w:val="both"/>
        <w:rPr>
          <w:rFonts w:ascii="Times New Roman" w:hAnsi="Times New Roman" w:cs="Times New Roman"/>
        </w:rPr>
      </w:pPr>
      <w:r w:rsidRPr="00227E5A">
        <w:rPr>
          <w:rFonts w:ascii="Times New Roman" w:hAnsi="Times New Roman" w:cs="Times New Roman"/>
        </w:rPr>
        <w:t>Renewable power generation within the proposed framework is primarily derived from solar and wind energy sources. These resources are widely available in many developing regions and are increasingly deployed due to their low operating costs, environmental sustainability, and scalability</w:t>
      </w:r>
      <w:r w:rsidR="005409D6" w:rsidRPr="00227E5A">
        <w:rPr>
          <w:rFonts w:ascii="Times New Roman" w:hAnsi="Times New Roman" w:cs="Times New Roman"/>
        </w:rPr>
        <w:t xml:space="preserve"> (</w:t>
      </w:r>
      <w:r w:rsidR="00583C7F" w:rsidRPr="00227E5A">
        <w:rPr>
          <w:rFonts w:ascii="Times New Roman" w:hAnsi="Times New Roman" w:cs="Times New Roman"/>
        </w:rPr>
        <w:t>Ahmadi, et al.2024</w:t>
      </w:r>
      <w:r w:rsidR="005409D6" w:rsidRPr="00227E5A">
        <w:rPr>
          <w:rFonts w:ascii="Times New Roman" w:hAnsi="Times New Roman" w:cs="Times New Roman"/>
        </w:rPr>
        <w:t>)</w:t>
      </w:r>
      <w:r w:rsidRPr="00227E5A">
        <w:rPr>
          <w:rFonts w:ascii="Times New Roman" w:hAnsi="Times New Roman" w:cs="Times New Roman"/>
        </w:rPr>
        <w:t>. However, their inherent variability necessitates robust energy management and storage strategies.</w:t>
      </w:r>
      <w:r w:rsidR="00227E5A">
        <w:rPr>
          <w:rFonts w:ascii="Times New Roman" w:hAnsi="Times New Roman" w:cs="Times New Roman"/>
        </w:rPr>
        <w:t xml:space="preserve"> </w:t>
      </w:r>
      <w:r w:rsidRPr="00227E5A">
        <w:rPr>
          <w:rFonts w:ascii="Times New Roman" w:hAnsi="Times New Roman" w:cs="Times New Roman"/>
        </w:rPr>
        <w:t xml:space="preserve">The total renewable power output at any time </w:t>
      </w:r>
      <m:oMath>
        <m:r>
          <w:rPr>
            <w:rFonts w:ascii="Cambria Math" w:hAnsi="Cambria Math" w:cs="Times New Roman"/>
          </w:rPr>
          <m:t>t</m:t>
        </m:r>
      </m:oMath>
      <w:r w:rsidRPr="00227E5A">
        <w:rPr>
          <w:rFonts w:ascii="Times New Roman" w:hAnsi="Times New Roman" w:cs="Times New Roman"/>
        </w:rPr>
        <w:t>is expressed as:</w:t>
      </w:r>
    </w:p>
    <w:p w14:paraId="75FBA73B" w14:textId="1FB1DF46" w:rsidR="00840882" w:rsidRPr="00227E5A" w:rsidRDefault="001D7CFC" w:rsidP="00227E5A">
      <w:pPr>
        <w:spacing w:after="0" w:line="240" w:lineRule="auto"/>
        <w:rPr>
          <w:rFonts w:ascii="Times New Roman" w:hAnsi="Times New Roman" w:cs="Times New Roman"/>
        </w:rPr>
      </w:pPr>
      <w:r w:rsidRPr="00227E5A">
        <w:rPr>
          <w:rFonts w:ascii="Times New Roman" w:eastAsiaTheme="minorEastAsia" w:hAnsi="Times New Roman" w:cs="Times New Roman"/>
        </w:rPr>
        <w:t xml:space="preserve">   </w:t>
      </w:r>
      <w:r w:rsidR="00B65447" w:rsidRPr="00227E5A">
        <w:rPr>
          <w:rFonts w:ascii="Times New Roman" w:eastAsiaTheme="minorEastAsia" w:hAnsi="Times New Roman" w:cs="Times New Roman"/>
          <w:b/>
          <w:bCs/>
        </w:rPr>
        <w:t>Equation 2</w:t>
      </w:r>
      <w:r w:rsidRPr="00227E5A">
        <w:rPr>
          <w:rFonts w:ascii="Times New Roman" w:eastAsiaTheme="minorEastAsia" w:hAnsi="Times New Roman" w:cs="Times New Roman"/>
        </w:rPr>
        <w:t xml:space="preserve">  </w:t>
      </w:r>
      <m:oMath>
        <m:r>
          <w:rPr>
            <w:rFonts w:ascii="Cambria Math" w:eastAsiaTheme="minorEastAsia" w:hAnsi="Cambria Math" w:cs="Times New Roman"/>
          </w:rPr>
          <m:t xml:space="preserve">                       </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RE</m:t>
            </m:r>
          </m:sub>
        </m:sSub>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solar</m:t>
            </m:r>
          </m:sub>
        </m:sSub>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wind</m:t>
            </m:r>
          </m:sub>
        </m:sSub>
        <m:r>
          <w:rPr>
            <w:rFonts w:ascii="Cambria Math" w:hAnsi="Cambria Math" w:cs="Times New Roman"/>
          </w:rPr>
          <m:t>(t)</m:t>
        </m:r>
      </m:oMath>
    </w:p>
    <w:p w14:paraId="56239570" w14:textId="7ACC306B" w:rsidR="001D40FF" w:rsidRPr="00227E5A" w:rsidRDefault="001D40FF" w:rsidP="00227E5A">
      <w:pPr>
        <w:spacing w:after="0" w:line="240" w:lineRule="auto"/>
        <w:jc w:val="both"/>
        <w:rPr>
          <w:rFonts w:ascii="Times New Roman" w:hAnsi="Times New Roman" w:cs="Times New Roman"/>
        </w:rPr>
      </w:pPr>
      <w:r w:rsidRPr="00227E5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RE</m:t>
            </m:r>
          </m:sub>
        </m:sSub>
        <m:r>
          <w:rPr>
            <w:rFonts w:ascii="Cambria Math" w:hAnsi="Cambria Math" w:cs="Times New Roman"/>
          </w:rPr>
          <m:t>(t)</m:t>
        </m:r>
      </m:oMath>
      <w:r w:rsidRPr="00227E5A">
        <w:rPr>
          <w:rFonts w:ascii="Times New Roman" w:hAnsi="Times New Roman" w:cs="Times New Roman"/>
        </w:rPr>
        <w:t xml:space="preserve">is the total renewable power generation,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solar</m:t>
            </m:r>
          </m:sub>
        </m:sSub>
        <m:r>
          <w:rPr>
            <w:rFonts w:ascii="Cambria Math" w:hAnsi="Cambria Math" w:cs="Times New Roman"/>
          </w:rPr>
          <m:t>(t)</m:t>
        </m:r>
      </m:oMath>
      <w:r w:rsidRPr="00227E5A">
        <w:rPr>
          <w:rFonts w:ascii="Times New Roman" w:hAnsi="Times New Roman" w:cs="Times New Roman"/>
        </w:rPr>
        <w:t xml:space="preserve">is solar PV output, and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wind</m:t>
            </m:r>
          </m:sub>
        </m:sSub>
        <m:r>
          <w:rPr>
            <w:rFonts w:ascii="Cambria Math" w:hAnsi="Cambria Math" w:cs="Times New Roman"/>
          </w:rPr>
          <m:t>(t)</m:t>
        </m:r>
      </m:oMath>
      <w:r w:rsidRPr="00227E5A">
        <w:rPr>
          <w:rFonts w:ascii="Times New Roman" w:hAnsi="Times New Roman" w:cs="Times New Roman"/>
        </w:rPr>
        <w:t>is wind power output (kW). This equation represents the combined contribution of solar and wind resources, providing a more stable power supply by reducing individual variability.</w:t>
      </w:r>
    </w:p>
    <w:p w14:paraId="3001E7C8" w14:textId="371906B8" w:rsidR="005A1479" w:rsidRPr="00FC7704" w:rsidRDefault="005A1479" w:rsidP="006727B0">
      <w:pPr>
        <w:spacing w:after="0"/>
        <w:rPr>
          <w:rFonts w:ascii="Calibri" w:hAnsi="Calibri" w:cs="Calibri"/>
          <w:b/>
          <w:bCs/>
          <w:sz w:val="28"/>
          <w:szCs w:val="28"/>
        </w:rPr>
      </w:pPr>
      <w:r w:rsidRPr="00FC7704">
        <w:rPr>
          <w:rFonts w:ascii="Calibri" w:hAnsi="Calibri" w:cs="Calibri"/>
          <w:b/>
          <w:bCs/>
          <w:sz w:val="28"/>
          <w:szCs w:val="28"/>
        </w:rPr>
        <w:t>Solar Power Model</w:t>
      </w:r>
    </w:p>
    <w:p w14:paraId="3A8B53AA" w14:textId="32AE59CF" w:rsidR="002F405D" w:rsidRPr="00227E5A" w:rsidRDefault="002F405D" w:rsidP="00227E5A">
      <w:pPr>
        <w:spacing w:after="0" w:line="240" w:lineRule="auto"/>
        <w:jc w:val="both"/>
        <w:rPr>
          <w:rFonts w:ascii="Times New Roman" w:hAnsi="Times New Roman" w:cs="Times New Roman"/>
        </w:rPr>
      </w:pPr>
      <w:r w:rsidRPr="00227E5A">
        <w:rPr>
          <w:rFonts w:ascii="Times New Roman" w:hAnsi="Times New Roman" w:cs="Times New Roman"/>
        </w:rPr>
        <w:t xml:space="preserve">Solar power generation within the system is modelled as a function of solar irradiance and photovoltaic (PV) system efficiency. The output power from the PV system at time </w:t>
      </w:r>
      <m:oMath>
        <m:r>
          <w:rPr>
            <w:rFonts w:ascii="Cambria Math" w:hAnsi="Cambria Math" w:cs="Times New Roman"/>
          </w:rPr>
          <m:t>t</m:t>
        </m:r>
      </m:oMath>
      <w:r w:rsidRPr="00227E5A">
        <w:rPr>
          <w:rFonts w:ascii="Times New Roman" w:hAnsi="Times New Roman" w:cs="Times New Roman"/>
        </w:rPr>
        <w:t>is expressed as:</w:t>
      </w:r>
    </w:p>
    <w:p w14:paraId="0E156240" w14:textId="6C6C0182" w:rsidR="002F405D" w:rsidRPr="00227E5A" w:rsidRDefault="001D7CFC" w:rsidP="00893B70">
      <w:pPr>
        <w:spacing w:after="0"/>
        <w:jc w:val="both"/>
        <w:rPr>
          <w:rFonts w:ascii="Times New Roman" w:hAnsi="Times New Roman" w:cs="Times New Roman"/>
        </w:rPr>
      </w:pPr>
      <w:r w:rsidRPr="00227E5A">
        <w:rPr>
          <w:rFonts w:ascii="Times New Roman" w:eastAsiaTheme="minorEastAsia" w:hAnsi="Times New Roman" w:cs="Times New Roman"/>
        </w:rPr>
        <w:t xml:space="preserve">     </w:t>
      </w:r>
      <w:r w:rsidRPr="00227E5A">
        <w:rPr>
          <w:rFonts w:ascii="Times New Roman" w:eastAsiaTheme="minorEastAsia" w:hAnsi="Times New Roman" w:cs="Times New Roman"/>
          <w:b/>
          <w:bCs/>
        </w:rPr>
        <w:t xml:space="preserve">Equation (3)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solar</m:t>
            </m:r>
          </m:sub>
        </m:sSub>
        <m:r>
          <w:rPr>
            <w:rFonts w:ascii="Cambria Math" w:hAnsi="Cambria Math" w:cs="Times New Roman"/>
          </w:rPr>
          <m:t>(t)=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PV</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PV</m:t>
            </m:r>
          </m:sub>
        </m:sSub>
        <m:r>
          <w:rPr>
            <w:rFonts w:ascii="Cambria Math" w:hAnsi="Cambria Math" w:cs="Times New Roman"/>
          </w:rPr>
          <m:t>⋅G(t)</m:t>
        </m:r>
      </m:oMath>
    </w:p>
    <w:p w14:paraId="0FEA10B0" w14:textId="474C9688" w:rsidR="00DC5D99" w:rsidRPr="00227E5A" w:rsidRDefault="00650D54" w:rsidP="00227E5A">
      <w:pPr>
        <w:spacing w:after="0" w:line="240" w:lineRule="auto"/>
        <w:jc w:val="both"/>
        <w:rPr>
          <w:rFonts w:ascii="Times New Roman" w:hAnsi="Times New Roman" w:cs="Times New Roman"/>
        </w:rPr>
      </w:pPr>
      <w:r w:rsidRPr="00227E5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solar</m:t>
            </m:r>
          </m:sub>
        </m:sSub>
        <m:r>
          <w:rPr>
            <w:rFonts w:ascii="Cambria Math" w:hAnsi="Cambria Math" w:cs="Times New Roman"/>
          </w:rPr>
          <m:t>(t)</m:t>
        </m:r>
      </m:oMath>
      <w:r w:rsidRPr="00227E5A">
        <w:rPr>
          <w:rFonts w:ascii="Times New Roman" w:hAnsi="Times New Roman" w:cs="Times New Roman"/>
        </w:rPr>
        <w:t xml:space="preserve">is the PV power output,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PV</m:t>
            </m:r>
          </m:sub>
        </m:sSub>
      </m:oMath>
      <w:r w:rsidRPr="00227E5A">
        <w:rPr>
          <w:rFonts w:ascii="Times New Roman" w:hAnsi="Times New Roman" w:cs="Times New Roman"/>
        </w:rPr>
        <w:t xml:space="preserve">is the panel efficiency,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PV</m:t>
            </m:r>
          </m:sub>
        </m:sSub>
      </m:oMath>
      <w:r w:rsidRPr="00227E5A">
        <w:rPr>
          <w:rFonts w:ascii="Times New Roman" w:hAnsi="Times New Roman" w:cs="Times New Roman"/>
        </w:rPr>
        <w:t xml:space="preserve">is the array area (m²), and </w:t>
      </w:r>
      <m:oMath>
        <m:r>
          <w:rPr>
            <w:rFonts w:ascii="Cambria Math" w:hAnsi="Cambria Math" w:cs="Times New Roman"/>
          </w:rPr>
          <m:t>G(t)</m:t>
        </m:r>
      </m:oMath>
      <w:r w:rsidRPr="00227E5A">
        <w:rPr>
          <w:rFonts w:ascii="Times New Roman" w:hAnsi="Times New Roman" w:cs="Times New Roman"/>
        </w:rPr>
        <w:t>is solar irradiance (W/m²). Solar output depends on these parameters, with irradiance variations leading to fluctuating power generation (García et al., 2024).</w:t>
      </w:r>
    </w:p>
    <w:p w14:paraId="3381E0B8" w14:textId="0081D58C" w:rsidR="00BC176B" w:rsidRPr="00162F4D" w:rsidRDefault="006D118B" w:rsidP="006D118B">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WIND POWER MODEL</w:t>
      </w:r>
    </w:p>
    <w:p w14:paraId="0027A3AA" w14:textId="1D1991D3" w:rsidR="00767BE9" w:rsidRPr="00227E5A" w:rsidRDefault="00767BE9" w:rsidP="003C6130">
      <w:pPr>
        <w:spacing w:after="0" w:line="240" w:lineRule="auto"/>
        <w:jc w:val="both"/>
        <w:rPr>
          <w:rFonts w:ascii="Times New Roman" w:hAnsi="Times New Roman" w:cs="Times New Roman"/>
        </w:rPr>
      </w:pPr>
      <w:r w:rsidRPr="00227E5A">
        <w:rPr>
          <w:rFonts w:ascii="Times New Roman" w:hAnsi="Times New Roman" w:cs="Times New Roman"/>
        </w:rPr>
        <w:t xml:space="preserve">Wind power generation within the proposed system is modelled based on the kinetic energy of moving air, which is converted into mechanical and subsequently electrical energy by the </w:t>
      </w:r>
      <w:r w:rsidR="00DC5D99" w:rsidRPr="00227E5A">
        <w:rPr>
          <w:rFonts w:ascii="Times New Roman" w:hAnsi="Times New Roman" w:cs="Times New Roman"/>
        </w:rPr>
        <w:t>turbine. The</w:t>
      </w:r>
      <w:r w:rsidRPr="00227E5A">
        <w:rPr>
          <w:rFonts w:ascii="Times New Roman" w:hAnsi="Times New Roman" w:cs="Times New Roman"/>
        </w:rPr>
        <w:t xml:space="preserve"> instantaneous power output from a wind turbine at time </w:t>
      </w:r>
      <m:oMath>
        <m:r>
          <w:rPr>
            <w:rFonts w:ascii="Cambria Math" w:hAnsi="Cambria Math" w:cs="Times New Roman"/>
          </w:rPr>
          <m:t>t</m:t>
        </m:r>
      </m:oMath>
      <w:r w:rsidRPr="00227E5A">
        <w:rPr>
          <w:rFonts w:ascii="Times New Roman" w:hAnsi="Times New Roman" w:cs="Times New Roman"/>
        </w:rPr>
        <w:t>is given by:</w:t>
      </w:r>
    </w:p>
    <w:p w14:paraId="0BBE7180" w14:textId="767229EF" w:rsidR="00767BE9" w:rsidRPr="00227E5A" w:rsidRDefault="001D7CFC" w:rsidP="003C6130">
      <w:pPr>
        <w:spacing w:after="0" w:line="240" w:lineRule="auto"/>
        <w:jc w:val="both"/>
        <w:rPr>
          <w:rFonts w:ascii="Times New Roman" w:hAnsi="Times New Roman" w:cs="Times New Roman"/>
        </w:rPr>
      </w:pPr>
      <w:r w:rsidRPr="00227E5A">
        <w:rPr>
          <w:rFonts w:ascii="Times New Roman" w:eastAsiaTheme="minorEastAsia" w:hAnsi="Times New Roman" w:cs="Times New Roman"/>
        </w:rPr>
        <w:t xml:space="preserve">  </w:t>
      </w:r>
      <w:r w:rsidRPr="00227E5A">
        <w:rPr>
          <w:rFonts w:ascii="Times New Roman" w:eastAsiaTheme="minorEastAsia" w:hAnsi="Times New Roman" w:cs="Times New Roman"/>
          <w:b/>
          <w:bCs/>
        </w:rPr>
        <w:t>Equation (4)</w:t>
      </w:r>
      <w:r w:rsidRPr="00227E5A">
        <w:rPr>
          <w:rFonts w:ascii="Times New Roman" w:eastAsiaTheme="minorEastAsia" w:hAnsi="Times New Roman" w:cs="Times New Roman"/>
        </w:rPr>
        <w:t xml:space="preserv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wind</m:t>
            </m:r>
          </m:sub>
        </m:sSub>
        <m:r>
          <w:rPr>
            <w:rFonts w:ascii="Cambria Math" w:hAnsi="Cambria Math" w:cs="Times New Roman"/>
          </w:rPr>
          <m:t>(t)=</m:t>
        </m:r>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ρAV(t</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3</m:t>
            </m:r>
          </m:sup>
        </m:sSup>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oMath>
    </w:p>
    <w:p w14:paraId="1FEA04AC" w14:textId="35B631DF" w:rsidR="00CD3498" w:rsidRPr="00227E5A" w:rsidRDefault="00CD3498" w:rsidP="00227E5A">
      <w:pPr>
        <w:spacing w:after="0" w:line="240" w:lineRule="auto"/>
        <w:jc w:val="both"/>
        <w:rPr>
          <w:rFonts w:ascii="Times New Roman" w:hAnsi="Times New Roman" w:cs="Times New Roman"/>
        </w:rPr>
      </w:pPr>
      <w:r w:rsidRPr="00227E5A">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wind</m:t>
            </m:r>
          </m:sub>
        </m:sSub>
        <m:r>
          <w:rPr>
            <w:rFonts w:ascii="Cambria Math" w:hAnsi="Cambria Math" w:cs="Times New Roman"/>
          </w:rPr>
          <m:t>(t)</m:t>
        </m:r>
      </m:oMath>
      <w:r w:rsidRPr="00227E5A">
        <w:rPr>
          <w:rFonts w:ascii="Times New Roman" w:hAnsi="Times New Roman" w:cs="Times New Roman"/>
        </w:rPr>
        <w:t xml:space="preserve">is the wind turbine power output, </w:t>
      </w:r>
      <m:oMath>
        <m:r>
          <w:rPr>
            <w:rFonts w:ascii="Cambria Math" w:hAnsi="Cambria Math" w:cs="Times New Roman"/>
          </w:rPr>
          <m:t>ρ</m:t>
        </m:r>
      </m:oMath>
      <w:r w:rsidRPr="00227E5A">
        <w:rPr>
          <w:rFonts w:ascii="Times New Roman" w:hAnsi="Times New Roman" w:cs="Times New Roman"/>
        </w:rPr>
        <w:t xml:space="preserve">is air density (kg/m³), </w:t>
      </w:r>
      <m:oMath>
        <m:r>
          <w:rPr>
            <w:rFonts w:ascii="Cambria Math" w:hAnsi="Cambria Math" w:cs="Times New Roman"/>
          </w:rPr>
          <m:t>A</m:t>
        </m:r>
      </m:oMath>
      <w:r w:rsidRPr="00227E5A">
        <w:rPr>
          <w:rFonts w:ascii="Times New Roman" w:hAnsi="Times New Roman" w:cs="Times New Roman"/>
        </w:rPr>
        <w:t xml:space="preserve">is the turbine swept area (m²), </w:t>
      </w:r>
      <m:oMath>
        <m:r>
          <w:rPr>
            <w:rFonts w:ascii="Cambria Math" w:hAnsi="Cambria Math" w:cs="Times New Roman"/>
          </w:rPr>
          <m:t>V(t)</m:t>
        </m:r>
      </m:oMath>
      <w:r w:rsidRPr="00227E5A">
        <w:rPr>
          <w:rFonts w:ascii="Times New Roman" w:hAnsi="Times New Roman" w:cs="Times New Roman"/>
        </w:rPr>
        <w:t xml:space="preserve">is wind speed (m/s), and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oMath>
      <w:r w:rsidRPr="00227E5A">
        <w:rPr>
          <w:rFonts w:ascii="Times New Roman" w:hAnsi="Times New Roman" w:cs="Times New Roman"/>
        </w:rPr>
        <w:t>is the power coefficient.</w:t>
      </w:r>
      <w:r w:rsidR="00227E5A" w:rsidRPr="00227E5A">
        <w:rPr>
          <w:rFonts w:ascii="Times New Roman" w:hAnsi="Times New Roman" w:cs="Times New Roman"/>
        </w:rPr>
        <w:t xml:space="preserve"> </w:t>
      </w:r>
      <w:r w:rsidRPr="00227E5A">
        <w:rPr>
          <w:rFonts w:ascii="Times New Roman" w:hAnsi="Times New Roman" w:cs="Times New Roman"/>
        </w:rPr>
        <w:t>Wind power depends on these parameters, with wind speed variability contributing to intermittent generation (Lund et al., 2020).</w:t>
      </w:r>
    </w:p>
    <w:p w14:paraId="76903AB8" w14:textId="55830F2D" w:rsidR="009261F3" w:rsidRPr="00162F4D" w:rsidRDefault="00E63FBC" w:rsidP="00E63FBC">
      <w:pPr>
        <w:spacing w:after="0"/>
        <w:rPr>
          <w:rFonts w:ascii="Times New Roman" w:hAnsi="Times New Roman" w:cs="Times New Roman"/>
          <w:b/>
          <w:bCs/>
          <w:sz w:val="28"/>
          <w:szCs w:val="28"/>
        </w:rPr>
      </w:pPr>
      <w:r w:rsidRPr="00162F4D">
        <w:rPr>
          <w:rFonts w:ascii="Times New Roman" w:hAnsi="Times New Roman" w:cs="Times New Roman"/>
          <w:b/>
          <w:bCs/>
          <w:sz w:val="28"/>
          <w:szCs w:val="28"/>
        </w:rPr>
        <w:t>INTERMITTENCY AND ENERGY MANAGEMENT</w:t>
      </w:r>
    </w:p>
    <w:p w14:paraId="2F5C4B69" w14:textId="28760874" w:rsidR="001B1857" w:rsidRPr="00227E5A" w:rsidRDefault="001B1857" w:rsidP="00227E5A">
      <w:pPr>
        <w:spacing w:line="240" w:lineRule="auto"/>
        <w:jc w:val="both"/>
        <w:rPr>
          <w:rFonts w:ascii="Times New Roman" w:hAnsi="Times New Roman" w:cs="Times New Roman"/>
        </w:rPr>
      </w:pPr>
      <w:r w:rsidRPr="00227E5A">
        <w:rPr>
          <w:rFonts w:ascii="Times New Roman" w:hAnsi="Times New Roman" w:cs="Times New Roman"/>
        </w:rPr>
        <w:t>Due to the inherent variability of solar and wind resources, renewable power generation within the system is highly intermittent</w:t>
      </w:r>
      <w:r w:rsidR="007B5AEA" w:rsidRPr="00227E5A">
        <w:rPr>
          <w:rFonts w:ascii="Times New Roman" w:hAnsi="Times New Roman" w:cs="Times New Roman"/>
        </w:rPr>
        <w:t xml:space="preserve"> (He, et al. 2021)</w:t>
      </w:r>
      <w:r w:rsidRPr="00227E5A">
        <w:rPr>
          <w:rFonts w:ascii="Times New Roman" w:hAnsi="Times New Roman" w:cs="Times New Roman"/>
        </w:rPr>
        <w:t xml:space="preserve">. As a result, there are periods when renewable energy supply exceeds demand and periods when it is insufficient to meet system </w:t>
      </w:r>
      <w:r w:rsidR="005409D6" w:rsidRPr="00227E5A">
        <w:rPr>
          <w:rFonts w:ascii="Times New Roman" w:hAnsi="Times New Roman" w:cs="Times New Roman"/>
        </w:rPr>
        <w:t>requirements (</w:t>
      </w:r>
      <w:r w:rsidR="00662E32" w:rsidRPr="00227E5A">
        <w:rPr>
          <w:rFonts w:ascii="Times New Roman" w:hAnsi="Times New Roman" w:cs="Times New Roman"/>
        </w:rPr>
        <w:t>Mitra, et al.2025</w:t>
      </w:r>
      <w:r w:rsidR="005409D6" w:rsidRPr="00227E5A">
        <w:rPr>
          <w:rFonts w:ascii="Times New Roman" w:hAnsi="Times New Roman" w:cs="Times New Roman"/>
        </w:rPr>
        <w:t>)</w:t>
      </w:r>
      <w:r w:rsidRPr="00227E5A">
        <w:rPr>
          <w:rFonts w:ascii="Times New Roman" w:hAnsi="Times New Roman" w:cs="Times New Roman"/>
        </w:rPr>
        <w:t>. Effective energy management strategies are therefore essential to ensure system stability and reliability.</w:t>
      </w:r>
    </w:p>
    <w:p w14:paraId="02C5BB83" w14:textId="77777777" w:rsidR="001B1857" w:rsidRPr="001A243A" w:rsidRDefault="001B1857" w:rsidP="001A243A">
      <w:pPr>
        <w:spacing w:after="0" w:line="240" w:lineRule="auto"/>
        <w:rPr>
          <w:rFonts w:ascii="Times New Roman" w:hAnsi="Times New Roman" w:cs="Times New Roman"/>
          <w:b/>
          <w:bCs/>
        </w:rPr>
      </w:pPr>
      <w:r w:rsidRPr="001A243A">
        <w:rPr>
          <w:rFonts w:ascii="Times New Roman" w:hAnsi="Times New Roman" w:cs="Times New Roman"/>
          <w:b/>
          <w:bCs/>
        </w:rPr>
        <w:t>Surplus Generation Condition</w:t>
      </w:r>
    </w:p>
    <w:p w14:paraId="76B74530" w14:textId="1A4A256F" w:rsidR="001B1857" w:rsidRPr="001A243A" w:rsidRDefault="001B1857" w:rsidP="001A243A">
      <w:pPr>
        <w:spacing w:after="0" w:line="240" w:lineRule="auto"/>
        <w:rPr>
          <w:rFonts w:ascii="Times New Roman" w:hAnsi="Times New Roman" w:cs="Times New Roman"/>
        </w:rPr>
      </w:pPr>
      <w:r w:rsidRPr="001A243A">
        <w:rPr>
          <w:rFonts w:ascii="Times New Roman" w:hAnsi="Times New Roman" w:cs="Times New Roman"/>
        </w:rPr>
        <w:t>A surplus condition occurs when renewable generation exceeds total system demand</w:t>
      </w:r>
    </w:p>
    <w:p w14:paraId="6FE62FE8" w14:textId="02A37AF7" w:rsidR="001B1857" w:rsidRPr="00227E5A" w:rsidRDefault="001D7CFC" w:rsidP="00227E5A">
      <w:pPr>
        <w:spacing w:after="0" w:line="240" w:lineRule="auto"/>
        <w:jc w:val="both"/>
        <w:rPr>
          <w:rFonts w:ascii="Times New Roman" w:hAnsi="Times New Roman" w:cs="Times New Roman"/>
        </w:rPr>
      </w:pPr>
      <w:r>
        <w:rPr>
          <w:rFonts w:ascii="Calibri" w:eastAsiaTheme="minorEastAsia" w:hAnsi="Calibri" w:cs="Calibri"/>
        </w:rPr>
        <w:lastRenderedPageBreak/>
        <w:t xml:space="preserve">    </w:t>
      </w:r>
      <w:r w:rsidRPr="001D7CFC">
        <w:rPr>
          <w:rFonts w:ascii="Calibri" w:eastAsiaTheme="minorEastAsia" w:hAnsi="Calibri" w:cs="Calibri"/>
          <w:b/>
          <w:bCs/>
        </w:rPr>
        <w:t>Equation (5)</w:t>
      </w:r>
      <w:r>
        <w:rPr>
          <w:rFonts w:ascii="Calibri" w:eastAsiaTheme="minorEastAsia" w:hAnsi="Calibri" w:cs="Calibri"/>
        </w:rPr>
        <w:t xml:space="preserve">                                                   </w:t>
      </w:r>
      <m:oMath>
        <m:sSub>
          <m:sSubPr>
            <m:ctrlPr>
              <w:rPr>
                <w:rFonts w:ascii="Cambria Math" w:hAnsi="Cambria Math" w:cs="Calibri"/>
              </w:rPr>
            </m:ctrlPr>
          </m:sSubPr>
          <m:e>
            <m:r>
              <w:rPr>
                <w:rFonts w:ascii="Cambria Math" w:hAnsi="Cambria Math" w:cs="Calibri"/>
              </w:rPr>
              <m:t>P</m:t>
            </m:r>
          </m:e>
          <m:sub>
            <m:r>
              <w:rPr>
                <w:rFonts w:ascii="Cambria Math" w:hAnsi="Cambria Math" w:cs="Calibri"/>
              </w:rPr>
              <m:t>RE</m:t>
            </m:r>
          </m:sub>
        </m:sSub>
        <m:r>
          <w:rPr>
            <w:rFonts w:ascii="Cambria Math" w:hAnsi="Cambria Math" w:cs="Calibri"/>
          </w:rPr>
          <m:t>(t)&gt;</m:t>
        </m:r>
        <m:sSub>
          <m:sSubPr>
            <m:ctrlPr>
              <w:rPr>
                <w:rFonts w:ascii="Cambria Math" w:hAnsi="Cambria Math" w:cs="Calibri"/>
              </w:rPr>
            </m:ctrlPr>
          </m:sSubPr>
          <m:e>
            <m:r>
              <w:rPr>
                <w:rFonts w:ascii="Cambria Math" w:hAnsi="Cambria Math" w:cs="Calibri"/>
              </w:rPr>
              <m:t>P</m:t>
            </m:r>
          </m:e>
          <m:sub>
            <m:r>
              <w:rPr>
                <w:rFonts w:ascii="Cambria Math" w:hAnsi="Cambria Math" w:cs="Calibri"/>
              </w:rPr>
              <m:t>demand</m:t>
            </m:r>
          </m:sub>
        </m:sSub>
        <m:r>
          <w:rPr>
            <w:rFonts w:ascii="Cambria Math" w:hAnsi="Cambria Math" w:cs="Calibri"/>
          </w:rPr>
          <m:t>(t)</m:t>
        </m:r>
        <m:r>
          <m:rPr>
            <m:sty m:val="p"/>
          </m:rPr>
          <w:rPr>
            <w:rFonts w:ascii="Calibri" w:hAnsi="Calibri" w:cs="Calibri"/>
          </w:rPr>
          <w:br/>
        </m:r>
      </m:oMath>
      <w:r w:rsidR="00EB3E99" w:rsidRPr="00227E5A">
        <w:rPr>
          <w:rFonts w:ascii="Times New Roman" w:hAnsi="Times New Roman" w:cs="Times New Roman"/>
        </w:rPr>
        <w:t>Under surplus conditions, excess energy is allocated by the EMS to battery storage (including EVs), hydrogen production via electrolysis, grid export, or flexible loads to minimise curtailment.</w:t>
      </w:r>
    </w:p>
    <w:p w14:paraId="2192134D" w14:textId="77777777" w:rsidR="00284991" w:rsidRPr="00227E5A" w:rsidRDefault="00284991" w:rsidP="00227E5A">
      <w:pPr>
        <w:spacing w:after="0" w:line="240" w:lineRule="auto"/>
        <w:rPr>
          <w:rFonts w:ascii="Times New Roman" w:hAnsi="Times New Roman" w:cs="Times New Roman"/>
          <w:b/>
          <w:bCs/>
        </w:rPr>
      </w:pPr>
      <w:r w:rsidRPr="00227E5A">
        <w:rPr>
          <w:rFonts w:ascii="Times New Roman" w:hAnsi="Times New Roman" w:cs="Times New Roman"/>
          <w:b/>
          <w:bCs/>
        </w:rPr>
        <w:t>Deficit Generation Condition</w:t>
      </w:r>
    </w:p>
    <w:p w14:paraId="7BFB34C8" w14:textId="77777777" w:rsidR="00284991" w:rsidRPr="00227E5A" w:rsidRDefault="00284991" w:rsidP="00227E5A">
      <w:pPr>
        <w:spacing w:after="0" w:line="240" w:lineRule="auto"/>
        <w:jc w:val="both"/>
        <w:rPr>
          <w:rFonts w:ascii="Times New Roman" w:hAnsi="Times New Roman" w:cs="Times New Roman"/>
        </w:rPr>
      </w:pPr>
      <w:r w:rsidRPr="00227E5A">
        <w:rPr>
          <w:rFonts w:ascii="Times New Roman" w:hAnsi="Times New Roman" w:cs="Times New Roman"/>
        </w:rPr>
        <w:t>A deficit condition arises when renewable generation is insufficient to meet demand:</w:t>
      </w:r>
    </w:p>
    <w:p w14:paraId="6F24C541" w14:textId="7652EFCB" w:rsidR="00284991" w:rsidRPr="001726B2" w:rsidRDefault="001D7CFC" w:rsidP="001726B2">
      <w:pPr>
        <w:spacing w:after="0"/>
        <w:jc w:val="both"/>
        <w:rPr>
          <w:rFonts w:ascii="Calibri" w:hAnsi="Calibri" w:cs="Calibri"/>
        </w:rPr>
      </w:pPr>
      <w:r>
        <w:rPr>
          <w:rFonts w:ascii="Calibri" w:eastAsiaTheme="minorEastAsia" w:hAnsi="Calibri" w:cs="Calibri"/>
        </w:rPr>
        <w:t xml:space="preserve">     </w:t>
      </w:r>
      <w:r w:rsidRPr="001D7CFC">
        <w:rPr>
          <w:rFonts w:ascii="Calibri" w:eastAsiaTheme="minorEastAsia" w:hAnsi="Calibri" w:cs="Calibri"/>
          <w:b/>
          <w:bCs/>
        </w:rPr>
        <w:t>Equation (6)</w:t>
      </w:r>
      <w:r>
        <w:rPr>
          <w:rFonts w:ascii="Calibri" w:eastAsiaTheme="minorEastAsia" w:hAnsi="Calibri" w:cs="Calibri"/>
        </w:rPr>
        <w:t xml:space="preserve">                                         </w:t>
      </w:r>
      <m:oMath>
        <m:sSub>
          <m:sSubPr>
            <m:ctrlPr>
              <w:rPr>
                <w:rFonts w:ascii="Cambria Math" w:hAnsi="Cambria Math" w:cs="Calibri"/>
              </w:rPr>
            </m:ctrlPr>
          </m:sSubPr>
          <m:e>
            <m:r>
              <w:rPr>
                <w:rFonts w:ascii="Cambria Math" w:hAnsi="Cambria Math" w:cs="Calibri"/>
              </w:rPr>
              <m:t>P</m:t>
            </m:r>
          </m:e>
          <m:sub>
            <m:r>
              <w:rPr>
                <w:rFonts w:ascii="Cambria Math" w:hAnsi="Cambria Math" w:cs="Calibri"/>
              </w:rPr>
              <m:t>RE</m:t>
            </m:r>
          </m:sub>
        </m:sSub>
        <m:r>
          <w:rPr>
            <w:rFonts w:ascii="Cambria Math" w:hAnsi="Cambria Math" w:cs="Calibri"/>
          </w:rPr>
          <m:t>(t)&lt;</m:t>
        </m:r>
        <m:sSub>
          <m:sSubPr>
            <m:ctrlPr>
              <w:rPr>
                <w:rFonts w:ascii="Cambria Math" w:hAnsi="Cambria Math" w:cs="Calibri"/>
              </w:rPr>
            </m:ctrlPr>
          </m:sSubPr>
          <m:e>
            <m:r>
              <w:rPr>
                <w:rFonts w:ascii="Cambria Math" w:hAnsi="Cambria Math" w:cs="Calibri"/>
              </w:rPr>
              <m:t>P</m:t>
            </m:r>
          </m:e>
          <m:sub>
            <m:r>
              <w:rPr>
                <w:rFonts w:ascii="Cambria Math" w:hAnsi="Cambria Math" w:cs="Calibri"/>
              </w:rPr>
              <m:t>demand</m:t>
            </m:r>
          </m:sub>
        </m:sSub>
        <m:r>
          <w:rPr>
            <w:rFonts w:ascii="Cambria Math" w:hAnsi="Cambria Math" w:cs="Calibri"/>
          </w:rPr>
          <m:t>(t)</m:t>
        </m:r>
      </m:oMath>
    </w:p>
    <w:p w14:paraId="333A5FEE" w14:textId="2E64D35C" w:rsidR="008C21D3" w:rsidRPr="00227E5A" w:rsidRDefault="00340A5D" w:rsidP="00227E5A">
      <w:pPr>
        <w:spacing w:after="0" w:line="240" w:lineRule="auto"/>
        <w:jc w:val="both"/>
        <w:outlineLvl w:val="2"/>
        <w:rPr>
          <w:rFonts w:ascii="Times New Roman" w:eastAsia="Times New Roman" w:hAnsi="Times New Roman" w:cs="Times New Roman"/>
          <w:kern w:val="0"/>
          <w:lang w:eastAsia="en-GB"/>
          <w14:ligatures w14:val="none"/>
        </w:rPr>
      </w:pPr>
      <w:r w:rsidRPr="00227E5A">
        <w:rPr>
          <w:rFonts w:ascii="Times New Roman" w:eastAsia="Times New Roman" w:hAnsi="Times New Roman" w:cs="Times New Roman"/>
          <w:kern w:val="0"/>
          <w:lang w:eastAsia="en-GB"/>
          <w14:ligatures w14:val="none"/>
        </w:rPr>
        <w:t>Under deficit conditions, the EMS maintains system balance by utilising stored energy from EVs (via V2G) and hydrogen systems (via fuel cells), alongside grid imports or backup generation if required.</w:t>
      </w:r>
    </w:p>
    <w:p w14:paraId="5464CFB4" w14:textId="1C603E15" w:rsidR="00D42F1A" w:rsidRPr="00162F4D" w:rsidRDefault="00E63FBC" w:rsidP="00E63FBC">
      <w:pPr>
        <w:spacing w:after="0" w:line="300" w:lineRule="atLeast"/>
        <w:outlineLvl w:val="2"/>
        <w:rPr>
          <w:rFonts w:ascii="Times New Roman" w:eastAsia="Times New Roman" w:hAnsi="Times New Roman" w:cs="Times New Roman"/>
          <w:b/>
          <w:bCs/>
          <w:kern w:val="0"/>
          <w:sz w:val="28"/>
          <w:szCs w:val="28"/>
          <w:lang w:eastAsia="en-GB"/>
          <w14:ligatures w14:val="none"/>
        </w:rPr>
      </w:pPr>
      <w:r w:rsidRPr="00162F4D">
        <w:rPr>
          <w:rFonts w:ascii="Times New Roman" w:eastAsia="Times New Roman" w:hAnsi="Times New Roman" w:cs="Times New Roman"/>
          <w:b/>
          <w:bCs/>
          <w:kern w:val="0"/>
          <w:sz w:val="28"/>
          <w:szCs w:val="28"/>
          <w:lang w:eastAsia="en-GB"/>
          <w14:ligatures w14:val="none"/>
        </w:rPr>
        <w:t>ROLE OF ENERGY STORAGE AND MANAGEMENT</w:t>
      </w:r>
    </w:p>
    <w:p w14:paraId="7D5CC358" w14:textId="0A7D4396" w:rsidR="001726B2" w:rsidRPr="00227E5A" w:rsidRDefault="00D42F1A" w:rsidP="00227E5A">
      <w:pPr>
        <w:spacing w:after="0" w:line="240" w:lineRule="auto"/>
        <w:jc w:val="both"/>
        <w:rPr>
          <w:rFonts w:ascii="Times New Roman" w:eastAsia="Times New Roman" w:hAnsi="Times New Roman" w:cs="Times New Roman"/>
          <w:kern w:val="0"/>
          <w:lang w:eastAsia="en-GB"/>
          <w14:ligatures w14:val="none"/>
        </w:rPr>
      </w:pPr>
      <w:r w:rsidRPr="00227E5A">
        <w:rPr>
          <w:rFonts w:ascii="Times New Roman" w:eastAsia="Times New Roman" w:hAnsi="Times New Roman" w:cs="Times New Roman"/>
          <w:kern w:val="0"/>
          <w:lang w:eastAsia="en-GB"/>
          <w14:ligatures w14:val="none"/>
        </w:rPr>
        <w:t>These alternating surplus and deficit conditions highlight the critical importance of Energy Storage Systems (ESS) and intelligent energy management. Short-term storage (EV batteries) provides rapid response for peak demand and load balancing, while long-term storage (</w:t>
      </w:r>
      <w:r w:rsidR="00662E32" w:rsidRPr="00227E5A">
        <w:rPr>
          <w:rFonts w:ascii="Times New Roman" w:eastAsia="Times New Roman" w:hAnsi="Times New Roman" w:cs="Times New Roman"/>
          <w:kern w:val="0"/>
          <w:lang w:eastAsia="en-GB"/>
          <w14:ligatures w14:val="none"/>
        </w:rPr>
        <w:t>Abdel-Khalek, et al.2025</w:t>
      </w:r>
      <w:r w:rsidRPr="00227E5A">
        <w:rPr>
          <w:rFonts w:ascii="Times New Roman" w:eastAsia="Times New Roman" w:hAnsi="Times New Roman" w:cs="Times New Roman"/>
          <w:kern w:val="0"/>
          <w:lang w:eastAsia="en-GB"/>
          <w14:ligatures w14:val="none"/>
        </w:rPr>
        <w:t xml:space="preserve">) supports sustained energy supply during extended periods of low renewable </w:t>
      </w:r>
      <w:r w:rsidR="00EF6014" w:rsidRPr="00227E5A">
        <w:rPr>
          <w:rFonts w:ascii="Times New Roman" w:eastAsia="Times New Roman" w:hAnsi="Times New Roman" w:cs="Times New Roman"/>
          <w:kern w:val="0"/>
          <w:lang w:eastAsia="en-GB"/>
          <w14:ligatures w14:val="none"/>
        </w:rPr>
        <w:t>generation</w:t>
      </w:r>
      <w:r w:rsidR="004C57BE" w:rsidRPr="00227E5A">
        <w:rPr>
          <w:rFonts w:ascii="Times New Roman" w:eastAsia="Times New Roman" w:hAnsi="Times New Roman" w:cs="Times New Roman"/>
          <w:kern w:val="0"/>
          <w:lang w:eastAsia="en-GB"/>
          <w14:ligatures w14:val="none"/>
        </w:rPr>
        <w:t xml:space="preserve"> (</w:t>
      </w:r>
      <w:r w:rsidR="00662E32" w:rsidRPr="00227E5A">
        <w:rPr>
          <w:rFonts w:ascii="Times New Roman" w:eastAsia="Times New Roman" w:hAnsi="Times New Roman" w:cs="Times New Roman"/>
          <w:kern w:val="0"/>
          <w:lang w:eastAsia="en-GB"/>
          <w14:ligatures w14:val="none"/>
        </w:rPr>
        <w:t>Yan, et al.2025</w:t>
      </w:r>
      <w:r w:rsidR="004C57BE" w:rsidRPr="00227E5A">
        <w:rPr>
          <w:rFonts w:ascii="Times New Roman" w:eastAsia="Times New Roman" w:hAnsi="Times New Roman" w:cs="Times New Roman"/>
          <w:kern w:val="0"/>
          <w:lang w:eastAsia="en-GB"/>
          <w14:ligatures w14:val="none"/>
        </w:rPr>
        <w:t>)</w:t>
      </w:r>
      <w:r w:rsidR="00EF6014" w:rsidRPr="00227E5A">
        <w:rPr>
          <w:rFonts w:ascii="Times New Roman" w:eastAsia="Times New Roman" w:hAnsi="Times New Roman" w:cs="Times New Roman"/>
          <w:kern w:val="0"/>
          <w:lang w:eastAsia="en-GB"/>
          <w14:ligatures w14:val="none"/>
        </w:rPr>
        <w:t>. The</w:t>
      </w:r>
      <w:r w:rsidRPr="00227E5A">
        <w:rPr>
          <w:rFonts w:ascii="Times New Roman" w:eastAsia="Times New Roman" w:hAnsi="Times New Roman" w:cs="Times New Roman"/>
          <w:kern w:val="0"/>
          <w:lang w:eastAsia="en-GB"/>
          <w14:ligatures w14:val="none"/>
        </w:rPr>
        <w:t xml:space="preserve"> Energy Management System continuously monitors system conditions and dynamically allocates energy flows to optimise performance, minimise curtailment, and ensure reliable operation of the sector-coupled energy system.</w:t>
      </w:r>
    </w:p>
    <w:p w14:paraId="57710650" w14:textId="6E79DFBB" w:rsidR="009261F3" w:rsidRPr="00E63FBC" w:rsidRDefault="003B0788" w:rsidP="001726B2">
      <w:pPr>
        <w:spacing w:after="0"/>
        <w:rPr>
          <w:rFonts w:ascii="Calibri" w:hAnsi="Calibri" w:cs="Calibri"/>
          <w:b/>
          <w:bCs/>
        </w:rPr>
      </w:pPr>
      <w:r w:rsidRPr="00E63FBC">
        <w:rPr>
          <w:rFonts w:ascii="Calibri" w:hAnsi="Calibri" w:cs="Calibri"/>
          <w:b/>
          <w:bCs/>
        </w:rPr>
        <w:t>Graphical Representation</w:t>
      </w:r>
    </w:p>
    <w:p w14:paraId="779EF973" w14:textId="639F1435" w:rsidR="00017112" w:rsidRPr="00B51BE1" w:rsidRDefault="00017112" w:rsidP="00227E5A">
      <w:pPr>
        <w:spacing w:line="240" w:lineRule="auto"/>
        <w:rPr>
          <w:rFonts w:ascii="Calibri" w:hAnsi="Calibri" w:cs="Calibri"/>
        </w:rPr>
      </w:pPr>
      <w:r w:rsidRPr="00227E5A">
        <w:rPr>
          <w:rFonts w:ascii="Times New Roman" w:hAnsi="Times New Roman" w:cs="Times New Roman"/>
        </w:rPr>
        <w:t>Below is a 24-hour simulation showing solar, wind, and total renewable power</w:t>
      </w:r>
      <w:r w:rsidRPr="00B51BE1">
        <w:rPr>
          <w:rFonts w:ascii="Calibri" w:hAnsi="Calibri" w:cs="Calibri"/>
        </w:rPr>
        <w:t>:</w:t>
      </w:r>
    </w:p>
    <w:p w14:paraId="3CD1384B" w14:textId="77777777" w:rsidR="00B92D5B" w:rsidRDefault="00B92D5B" w:rsidP="00B92D5B">
      <w:pPr>
        <w:rPr>
          <w:rFonts w:ascii="Calibri" w:hAnsi="Calibri" w:cs="Calibri"/>
          <w:b/>
          <w:bCs/>
        </w:rPr>
      </w:pPr>
    </w:p>
    <w:p w14:paraId="17774FE3" w14:textId="56C74795" w:rsidR="009261F3" w:rsidRDefault="00A12955" w:rsidP="000A6F77">
      <w:pPr>
        <w:jc w:val="center"/>
        <w:rPr>
          <w:rFonts w:ascii="Calibri" w:hAnsi="Calibri" w:cs="Calibri"/>
          <w:b/>
          <w:bCs/>
        </w:rPr>
      </w:pPr>
      <w:r>
        <w:rPr>
          <w:rFonts w:ascii="Calibri" w:hAnsi="Calibri" w:cs="Calibri"/>
          <w:b/>
          <w:bCs/>
          <w:noProof/>
        </w:rPr>
        <w:drawing>
          <wp:inline distT="0" distB="0" distL="0" distR="0" wp14:anchorId="2271BEAA" wp14:editId="2BAF479B">
            <wp:extent cx="3132000" cy="2085695"/>
            <wp:effectExtent l="0" t="0" r="0" b="0"/>
            <wp:docPr id="766737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2000" cy="2085695"/>
                    </a:xfrm>
                    <a:prstGeom prst="rect">
                      <a:avLst/>
                    </a:prstGeom>
                    <a:noFill/>
                  </pic:spPr>
                </pic:pic>
              </a:graphicData>
            </a:graphic>
          </wp:inline>
        </w:drawing>
      </w:r>
    </w:p>
    <w:p w14:paraId="6E2F49BB" w14:textId="55D3C07C" w:rsidR="00B92D5B" w:rsidRPr="000A6F77" w:rsidRDefault="00B92D5B" w:rsidP="000A6F77">
      <w:pPr>
        <w:spacing w:after="0"/>
        <w:jc w:val="center"/>
        <w:rPr>
          <w:rFonts w:ascii="Times New Roman" w:hAnsi="Times New Roman" w:cs="Times New Roman"/>
        </w:rPr>
      </w:pPr>
      <w:r w:rsidRPr="000A6F77">
        <w:rPr>
          <w:rFonts w:ascii="Times New Roman" w:hAnsi="Times New Roman" w:cs="Times New Roman"/>
        </w:rPr>
        <w:t>Fig2 single day power generated profile</w:t>
      </w:r>
    </w:p>
    <w:p w14:paraId="08FC09CD" w14:textId="430DFE31" w:rsidR="00227E5A" w:rsidRPr="000A6F77" w:rsidRDefault="00CC2F2B" w:rsidP="000A6F77">
      <w:pPr>
        <w:spacing w:after="0" w:line="240" w:lineRule="auto"/>
        <w:jc w:val="both"/>
        <w:rPr>
          <w:rFonts w:ascii="Times New Roman" w:hAnsi="Times New Roman" w:cs="Times New Roman"/>
        </w:rPr>
      </w:pPr>
      <w:r w:rsidRPr="00227E5A">
        <w:rPr>
          <w:rFonts w:ascii="Times New Roman" w:hAnsi="Times New Roman" w:cs="Times New Roman"/>
        </w:rPr>
        <w:t>Figure 2 presents a 24-hour profile of solar, wind, and total renewable power generation. Solar output follows a typical diurnal pattern, peaking at midday and falling to zero at night, while wind generation remains variable but continuous throughout the day. The combined renewable output highlights the complementary nature of solar and wind resources, resulting in a more stable overall power supply. Periods of surplus generation occur during midday, while deficits arise during evening and low-wind conditions. These variations emphasise the need for energy storage and management strategies, where surplus energy can be stored in EV batteries or converted into hydrogen, and deficits are met through V2G discharge and fuel cell operation. Overall, the results demonstrate that integrating multiple renewable sources and storage technologies improves system stability and supports the effectiveness of the proposed sector-coupled framework.</w:t>
      </w:r>
    </w:p>
    <w:p w14:paraId="6C7D492C" w14:textId="77777777" w:rsidR="000A6F77" w:rsidRDefault="000A6F77" w:rsidP="00D17F28">
      <w:pPr>
        <w:spacing w:after="0"/>
        <w:rPr>
          <w:rFonts w:ascii="Times New Roman" w:hAnsi="Times New Roman" w:cs="Times New Roman"/>
          <w:b/>
          <w:bCs/>
          <w:sz w:val="28"/>
          <w:szCs w:val="28"/>
        </w:rPr>
      </w:pPr>
    </w:p>
    <w:p w14:paraId="7A9313CF" w14:textId="77777777" w:rsidR="000A6F77" w:rsidRDefault="000A6F77" w:rsidP="00D17F28">
      <w:pPr>
        <w:spacing w:after="0"/>
        <w:rPr>
          <w:rFonts w:ascii="Times New Roman" w:hAnsi="Times New Roman" w:cs="Times New Roman"/>
          <w:b/>
          <w:bCs/>
          <w:sz w:val="28"/>
          <w:szCs w:val="28"/>
        </w:rPr>
      </w:pPr>
    </w:p>
    <w:p w14:paraId="7BEA5982" w14:textId="1D6D0630" w:rsidR="00DE45A9" w:rsidRPr="00162F4D" w:rsidRDefault="00195C6E" w:rsidP="00D17F28">
      <w:pPr>
        <w:spacing w:after="0"/>
        <w:rPr>
          <w:rFonts w:ascii="Times New Roman" w:hAnsi="Times New Roman" w:cs="Times New Roman"/>
          <w:b/>
          <w:bCs/>
          <w:sz w:val="28"/>
          <w:szCs w:val="28"/>
        </w:rPr>
      </w:pPr>
      <w:r w:rsidRPr="00162F4D">
        <w:rPr>
          <w:rFonts w:ascii="Times New Roman" w:hAnsi="Times New Roman" w:cs="Times New Roman"/>
          <w:b/>
          <w:bCs/>
          <w:sz w:val="28"/>
          <w:szCs w:val="28"/>
        </w:rPr>
        <w:lastRenderedPageBreak/>
        <w:t>HYDROGEN PRODUCTION AND STORAGE SUBSYSTEM</w:t>
      </w:r>
    </w:p>
    <w:p w14:paraId="1E9A5FA2" w14:textId="060119C9" w:rsidR="009C0BA4" w:rsidRPr="00227E5A" w:rsidRDefault="009C0BA4" w:rsidP="00227E5A">
      <w:pPr>
        <w:spacing w:after="0" w:line="240" w:lineRule="auto"/>
        <w:jc w:val="both"/>
        <w:rPr>
          <w:rFonts w:ascii="Times New Roman" w:hAnsi="Times New Roman" w:cs="Times New Roman"/>
        </w:rPr>
      </w:pPr>
      <w:r w:rsidRPr="00227E5A">
        <w:rPr>
          <w:rFonts w:ascii="Times New Roman" w:hAnsi="Times New Roman" w:cs="Times New Roman"/>
        </w:rPr>
        <w:t>The hydrogen subsystem provides long-duration energy storage by converting surplus renewable electricity into hydrogen through electrolysis. This process reduces renewable energy curtailment and enables energy to be stored in chemical form for later use, addressing the intermittency of solar and wind resources (Dang et al., 2025).  Stored hydrogen can be utilised for electricity generation via fuel cells, transportation particularly for heavy-duty applications—and various industrial processes. Within the proposed framework, hydrogen complements short-term storage provided by electric vehicle batteries by offering high-capacity, long-term energy buffering. This integration enhances overall system flexibility and resilience, making hydrogen particularly suitable for large-scale, renewable-based energy systems in developing economies.</w:t>
      </w:r>
    </w:p>
    <w:p w14:paraId="11670B93" w14:textId="54215A84" w:rsidR="007E014E" w:rsidRPr="00162F4D" w:rsidRDefault="00195C6E" w:rsidP="00195C6E">
      <w:pPr>
        <w:spacing w:after="0"/>
        <w:rPr>
          <w:rFonts w:ascii="Times New Roman" w:hAnsi="Times New Roman" w:cs="Times New Roman"/>
          <w:b/>
          <w:bCs/>
          <w:sz w:val="28"/>
          <w:szCs w:val="28"/>
        </w:rPr>
      </w:pPr>
      <w:r w:rsidRPr="00162F4D">
        <w:rPr>
          <w:rFonts w:ascii="Times New Roman" w:hAnsi="Times New Roman" w:cs="Times New Roman"/>
          <w:b/>
          <w:bCs/>
          <w:sz w:val="28"/>
          <w:szCs w:val="28"/>
        </w:rPr>
        <w:t>ELECTROLYSIS PROCESS</w:t>
      </w:r>
    </w:p>
    <w:p w14:paraId="1CA6C538" w14:textId="77777777" w:rsidR="00174E98" w:rsidRPr="00227E5A" w:rsidRDefault="00174E98"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The hydrogen production process in the proposed system is based on water electrolysis, an electrochemical reaction that uses electrical energy to split water into hydrogen and oxygen.</w:t>
      </w:r>
    </w:p>
    <w:p w14:paraId="44E8AE84" w14:textId="77777777" w:rsidR="00174E98" w:rsidRPr="00227E5A" w:rsidRDefault="00174E98"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The overall electrochemical reaction is expressed as:</w:t>
      </w:r>
    </w:p>
    <w:p w14:paraId="2D7BC822" w14:textId="49AA0F1A" w:rsidR="00174E98" w:rsidRPr="00227E5A" w:rsidRDefault="008C2E9B"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O(l)→</m:t>
        </m:r>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r>
          <w:rPr>
            <w:rFonts w:ascii="Cambria Math" w:eastAsiaTheme="minorEastAsia" w:hAnsi="Cambria Math" w:cs="Times New Roman"/>
          </w:rPr>
          <m:t>(g)+</m:t>
        </m:r>
        <m:f>
          <m:fPr>
            <m:ctrlPr>
              <w:rPr>
                <w:rFonts w:ascii="Cambria Math" w:eastAsiaTheme="minorEastAsia" w:hAnsi="Cambria Math" w:cs="Times New Roman"/>
              </w:rPr>
            </m:ctrlPr>
          </m:fPr>
          <m:num>
            <m:r>
              <w:rPr>
                <w:rFonts w:ascii="Cambria Math" w:eastAsiaTheme="minorEastAsia" w:hAnsi="Cambria Math" w:cs="Times New Roman"/>
              </w:rPr>
              <m:t>1</m:t>
            </m:r>
          </m:num>
          <m:den>
            <m:r>
              <w:rPr>
                <w:rFonts w:ascii="Cambria Math" w:eastAsiaTheme="minorEastAsia" w:hAnsi="Cambria Math" w:cs="Times New Roman"/>
              </w:rPr>
              <m:t>2</m:t>
            </m:r>
          </m:den>
        </m:f>
        <m:sSub>
          <m:sSubPr>
            <m:ctrlPr>
              <w:rPr>
                <w:rFonts w:ascii="Cambria Math" w:eastAsiaTheme="minorEastAsia" w:hAnsi="Cambria Math" w:cs="Times New Roman"/>
              </w:rPr>
            </m:ctrlPr>
          </m:sSubPr>
          <m:e>
            <m:r>
              <w:rPr>
                <w:rFonts w:ascii="Cambria Math" w:eastAsiaTheme="minorEastAsia" w:hAnsi="Cambria Math" w:cs="Times New Roman"/>
              </w:rPr>
              <m:t>O</m:t>
            </m:r>
          </m:e>
          <m:sub>
            <m:r>
              <w:rPr>
                <w:rFonts w:ascii="Cambria Math" w:eastAsiaTheme="minorEastAsia" w:hAnsi="Cambria Math" w:cs="Times New Roman"/>
              </w:rPr>
              <m:t>2</m:t>
            </m:r>
          </m:sub>
        </m:sSub>
        <m:r>
          <w:rPr>
            <w:rFonts w:ascii="Cambria Math" w:eastAsiaTheme="minorEastAsia" w:hAnsi="Cambria Math" w:cs="Times New Roman"/>
          </w:rPr>
          <m:t>(g)</m:t>
        </m:r>
      </m:oMath>
    </w:p>
    <w:p w14:paraId="1424E151" w14:textId="5690E80A" w:rsidR="007D0D55" w:rsidRPr="00C65BCF" w:rsidRDefault="00174E98" w:rsidP="00C65BCF">
      <w:pPr>
        <w:spacing w:after="0" w:line="240" w:lineRule="auto"/>
        <w:jc w:val="both"/>
        <w:rPr>
          <w:rFonts w:ascii="Calibri" w:eastAsiaTheme="minorEastAsia" w:hAnsi="Calibri" w:cs="Calibri"/>
        </w:rPr>
      </w:pPr>
      <w:r w:rsidRPr="00227E5A">
        <w:rPr>
          <w:rFonts w:ascii="Times New Roman" w:eastAsiaTheme="minorEastAsia" w:hAnsi="Times New Roman" w:cs="Times New Roman"/>
        </w:rPr>
        <w:t>This reaction demonstrates the conversion of electrical energy into chemical energy stored in hydrogen molecules. The hydrogen produced can then be stored and utilised at a later stage</w:t>
      </w:r>
      <w:r w:rsidRPr="00195C6E">
        <w:rPr>
          <w:rFonts w:ascii="Calibri" w:eastAsiaTheme="minorEastAsia" w:hAnsi="Calibri" w:cs="Calibri"/>
        </w:rPr>
        <w:t>.</w:t>
      </w:r>
    </w:p>
    <w:p w14:paraId="2E4A476A" w14:textId="48D45099" w:rsidR="00F750A2" w:rsidRPr="00195C6E" w:rsidRDefault="00F750A2" w:rsidP="00CC2FA4">
      <w:pPr>
        <w:spacing w:after="0"/>
        <w:jc w:val="both"/>
        <w:rPr>
          <w:rFonts w:ascii="Calibri" w:eastAsiaTheme="minorEastAsia" w:hAnsi="Calibri" w:cs="Calibri"/>
          <w:b/>
          <w:bCs/>
        </w:rPr>
      </w:pPr>
      <w:r w:rsidRPr="00195C6E">
        <w:rPr>
          <w:rFonts w:ascii="Calibri" w:eastAsiaTheme="minorEastAsia" w:hAnsi="Calibri" w:cs="Calibri"/>
          <w:b/>
          <w:bCs/>
        </w:rPr>
        <w:t>Hydrogen Production Rate</w:t>
      </w:r>
    </w:p>
    <w:p w14:paraId="72A27DAE" w14:textId="77777777" w:rsidR="00F750A2" w:rsidRPr="00227E5A" w:rsidRDefault="00F750A2"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The rate of hydrogen production during electrolysis is given by:</w:t>
      </w:r>
    </w:p>
    <w:p w14:paraId="5EBC63AF" w14:textId="0B0E86CD" w:rsidR="00F750A2" w:rsidRPr="00227E5A" w:rsidRDefault="008C2E9B"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 xml:space="preserve">     </w:t>
      </w:r>
      <w:r w:rsidRPr="00227E5A">
        <w:rPr>
          <w:rFonts w:ascii="Times New Roman" w:eastAsiaTheme="minorEastAsia" w:hAnsi="Times New Roman" w:cs="Times New Roman"/>
          <w:b/>
          <w:bCs/>
        </w:rPr>
        <w:t>Equation (7)</w:t>
      </w:r>
      <w:r w:rsidRPr="00227E5A">
        <w:rPr>
          <w:rFonts w:ascii="Times New Roman" w:eastAsiaTheme="minorEastAsia" w:hAnsi="Times New Roman" w:cs="Times New Roman"/>
        </w:rPr>
        <w:t xml:space="preserve">                                                          </w:t>
      </w:r>
      <m:oMath>
        <m:sSub>
          <m:sSubPr>
            <m:ctrlPr>
              <w:rPr>
                <w:rFonts w:ascii="Cambria Math" w:eastAsiaTheme="minorEastAsia" w:hAnsi="Cambria Math" w:cs="Times New Roman"/>
              </w:rPr>
            </m:ctrlPr>
          </m:sSubPr>
          <m:e>
            <m:acc>
              <m:accPr>
                <m:chr m:val="̇"/>
                <m:ctrlPr>
                  <w:rPr>
                    <w:rFonts w:ascii="Cambria Math" w:eastAsiaTheme="minorEastAsia" w:hAnsi="Cambria Math" w:cs="Times New Roman"/>
                  </w:rPr>
                </m:ctrlPr>
              </m:accPr>
              <m:e>
                <m:r>
                  <w:rPr>
                    <w:rFonts w:ascii="Cambria Math" w:eastAsiaTheme="minorEastAsia" w:hAnsi="Cambria Math" w:cs="Times New Roman"/>
                  </w:rPr>
                  <m:t>m</m:t>
                </m:r>
              </m:e>
            </m:acc>
          </m:e>
          <m: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sub>
        </m:sSub>
        <m:r>
          <w:rPr>
            <w:rFonts w:ascii="Cambria Math" w:eastAsiaTheme="minorEastAsia" w:hAnsi="Cambria Math" w:cs="Times New Roman"/>
          </w:rPr>
          <m:t>=</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w:rPr>
                    <w:rFonts w:ascii="Cambria Math" w:eastAsiaTheme="minorEastAsia" w:hAnsi="Cambria Math" w:cs="Times New Roman"/>
                  </w:rPr>
                  <m:t>η</m:t>
                </m:r>
              </m:e>
              <m:sub>
                <m:r>
                  <w:rPr>
                    <w:rFonts w:ascii="Cambria Math" w:eastAsiaTheme="minorEastAsia" w:hAnsi="Cambria Math" w:cs="Times New Roman"/>
                  </w:rPr>
                  <m:t>elec</m:t>
                </m:r>
              </m:sub>
            </m:sSub>
            <m:r>
              <w:rPr>
                <w:rFonts w:ascii="Cambria Math" w:eastAsiaTheme="minorEastAsia" w:hAnsi="Cambria Math" w:cs="Times New Roman"/>
              </w:rPr>
              <m:t>⋅</m:t>
            </m:r>
            <m:sSub>
              <m:sSubPr>
                <m:ctrlPr>
                  <w:rPr>
                    <w:rFonts w:ascii="Cambria Math" w:eastAsiaTheme="minorEastAsia" w:hAnsi="Cambria Math" w:cs="Times New Roman"/>
                  </w:rPr>
                </m:ctrlPr>
              </m:sSubPr>
              <m:e>
                <m:r>
                  <w:rPr>
                    <w:rFonts w:ascii="Cambria Math" w:eastAsiaTheme="minorEastAsia" w:hAnsi="Cambria Math" w:cs="Times New Roman"/>
                  </w:rPr>
                  <m:t>P</m:t>
                </m:r>
              </m:e>
              <m:sub>
                <m:r>
                  <w:rPr>
                    <w:rFonts w:ascii="Cambria Math" w:eastAsiaTheme="minorEastAsia" w:hAnsi="Cambria Math" w:cs="Times New Roman"/>
                  </w:rPr>
                  <m:t>elec</m:t>
                </m:r>
              </m:sub>
            </m:sSub>
          </m:num>
          <m:den>
            <m:r>
              <w:rPr>
                <w:rFonts w:ascii="Cambria Math" w:eastAsiaTheme="minorEastAsia" w:hAnsi="Cambria Math" w:cs="Times New Roman"/>
              </w:rPr>
              <m:t>LH</m:t>
            </m:r>
            <m:sSub>
              <m:sSubPr>
                <m:ctrlPr>
                  <w:rPr>
                    <w:rFonts w:ascii="Cambria Math" w:eastAsiaTheme="minorEastAsia" w:hAnsi="Cambria Math" w:cs="Times New Roman"/>
                  </w:rPr>
                </m:ctrlPr>
              </m:sSubPr>
              <m:e>
                <m:r>
                  <w:rPr>
                    <w:rFonts w:ascii="Cambria Math" w:eastAsiaTheme="minorEastAsia" w:hAnsi="Cambria Math" w:cs="Times New Roman"/>
                  </w:rPr>
                  <m:t>V</m:t>
                </m:r>
              </m:e>
              <m: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sub>
            </m:sSub>
          </m:den>
        </m:f>
      </m:oMath>
    </w:p>
    <w:p w14:paraId="6602E6AC" w14:textId="01BF038E" w:rsidR="00E727ED" w:rsidRPr="00227E5A" w:rsidRDefault="00E727ED"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acc>
              <m:accPr>
                <m:chr m:val="̇"/>
                <m:ctrlPr>
                  <w:rPr>
                    <w:rFonts w:ascii="Cambria Math" w:eastAsiaTheme="minorEastAsia" w:hAnsi="Cambria Math" w:cs="Times New Roman"/>
                  </w:rPr>
                </m:ctrlPr>
              </m:accPr>
              <m:e>
                <m:r>
                  <w:rPr>
                    <w:rFonts w:ascii="Cambria Math" w:eastAsiaTheme="minorEastAsia" w:hAnsi="Cambria Math" w:cs="Times New Roman"/>
                  </w:rPr>
                  <m:t>m</m:t>
                </m:r>
              </m:e>
            </m:acc>
          </m:e>
          <m: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sub>
        </m:sSub>
      </m:oMath>
      <w:r w:rsidRPr="00227E5A">
        <w:rPr>
          <w:rFonts w:ascii="Times New Roman" w:eastAsiaTheme="minorEastAsia" w:hAnsi="Times New Roman" w:cs="Times New Roman"/>
        </w:rPr>
        <w:t xml:space="preserve">is the hydrogen production rate (kg/s), </w:t>
      </w:r>
      <m:oMath>
        <m:sSub>
          <m:sSubPr>
            <m:ctrlPr>
              <w:rPr>
                <w:rFonts w:ascii="Cambria Math" w:eastAsiaTheme="minorEastAsia" w:hAnsi="Cambria Math" w:cs="Times New Roman"/>
              </w:rPr>
            </m:ctrlPr>
          </m:sSubPr>
          <m:e>
            <m:r>
              <w:rPr>
                <w:rFonts w:ascii="Cambria Math" w:eastAsiaTheme="minorEastAsia" w:hAnsi="Cambria Math" w:cs="Times New Roman"/>
              </w:rPr>
              <m:t>P</m:t>
            </m:r>
          </m:e>
          <m:sub>
            <m:r>
              <w:rPr>
                <w:rFonts w:ascii="Cambria Math" w:eastAsiaTheme="minorEastAsia" w:hAnsi="Cambria Math" w:cs="Times New Roman"/>
              </w:rPr>
              <m:t>elec</m:t>
            </m:r>
          </m:sub>
        </m:sSub>
      </m:oMath>
      <w:r w:rsidRPr="00227E5A">
        <w:rPr>
          <w:rFonts w:ascii="Times New Roman" w:eastAsiaTheme="minorEastAsia" w:hAnsi="Times New Roman" w:cs="Times New Roman"/>
        </w:rPr>
        <w:t xml:space="preserve">is the electrical input power, </w:t>
      </w:r>
      <m:oMath>
        <m:sSub>
          <m:sSubPr>
            <m:ctrlPr>
              <w:rPr>
                <w:rFonts w:ascii="Cambria Math" w:eastAsiaTheme="minorEastAsia" w:hAnsi="Cambria Math" w:cs="Times New Roman"/>
              </w:rPr>
            </m:ctrlPr>
          </m:sSubPr>
          <m:e>
            <m:r>
              <w:rPr>
                <w:rFonts w:ascii="Cambria Math" w:eastAsiaTheme="minorEastAsia" w:hAnsi="Cambria Math" w:cs="Times New Roman"/>
              </w:rPr>
              <m:t>η</m:t>
            </m:r>
          </m:e>
          <m:sub>
            <m:r>
              <w:rPr>
                <w:rFonts w:ascii="Cambria Math" w:eastAsiaTheme="minorEastAsia" w:hAnsi="Cambria Math" w:cs="Times New Roman"/>
              </w:rPr>
              <m:t>elec</m:t>
            </m:r>
          </m:sub>
        </m:sSub>
      </m:oMath>
      <w:r w:rsidRPr="00227E5A">
        <w:rPr>
          <w:rFonts w:ascii="Times New Roman" w:eastAsiaTheme="minorEastAsia" w:hAnsi="Times New Roman" w:cs="Times New Roman"/>
        </w:rPr>
        <w:t xml:space="preserve">is the electrolyser efficiency, and </w:t>
      </w:r>
      <m:oMath>
        <m:r>
          <w:rPr>
            <w:rFonts w:ascii="Cambria Math" w:eastAsiaTheme="minorEastAsia" w:hAnsi="Cambria Math" w:cs="Times New Roman"/>
          </w:rPr>
          <m:t>LH</m:t>
        </m:r>
        <m:sSub>
          <m:sSubPr>
            <m:ctrlPr>
              <w:rPr>
                <w:rFonts w:ascii="Cambria Math" w:eastAsiaTheme="minorEastAsia" w:hAnsi="Cambria Math" w:cs="Times New Roman"/>
              </w:rPr>
            </m:ctrlPr>
          </m:sSubPr>
          <m:e>
            <m:r>
              <w:rPr>
                <w:rFonts w:ascii="Cambria Math" w:eastAsiaTheme="minorEastAsia" w:hAnsi="Cambria Math" w:cs="Times New Roman"/>
              </w:rPr>
              <m:t>V</m:t>
            </m:r>
          </m:e>
          <m: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sub>
        </m:sSub>
      </m:oMath>
      <w:r w:rsidRPr="00227E5A">
        <w:rPr>
          <w:rFonts w:ascii="Times New Roman" w:eastAsiaTheme="minorEastAsia" w:hAnsi="Times New Roman" w:cs="Times New Roman"/>
        </w:rPr>
        <w:t>is the lower heating value of hydrogen. Hydrogen production depends on electrical input, system efficiency, and hydrogen energy content. Higher efficiency improves conversion performance, while lower efficiency increases energy requirements. During surplus renewable conditions, electricity can be directed to electrolysis to produce hydrogen for long-term storage and utilisation.</w:t>
      </w:r>
    </w:p>
    <w:p w14:paraId="527602FC" w14:textId="780EACAA" w:rsidR="000D06B4" w:rsidRPr="00162F4D" w:rsidRDefault="00195C6E" w:rsidP="00CC2FA4">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ENERGY STORAGE FUNCTION</w:t>
      </w:r>
    </w:p>
    <w:p w14:paraId="03D00C50" w14:textId="5C218C65" w:rsidR="00404963" w:rsidRDefault="00404963" w:rsidP="00227E5A">
      <w:pPr>
        <w:spacing w:after="0" w:line="240" w:lineRule="auto"/>
        <w:jc w:val="both"/>
        <w:rPr>
          <w:rFonts w:ascii="Calibri" w:eastAsiaTheme="minorEastAsia" w:hAnsi="Calibri" w:cs="Calibri"/>
        </w:rPr>
      </w:pPr>
      <w:r w:rsidRPr="00227E5A">
        <w:rPr>
          <w:rFonts w:ascii="Times New Roman" w:eastAsiaTheme="minorEastAsia" w:hAnsi="Times New Roman" w:cs="Times New Roman"/>
        </w:rPr>
        <w:t>Hydrogen storage provides long-duration, high-capacity energy storage, enabling energy to be preserved over extended periods and addressing seasonal variability in renewable generation. Within the proposed framework, hydrogen serves multiple functions, including energy buffering during low-generation periods, fuel supply for transportation (particularly heavy-duty applications), and integration across power, transport, and industrial sectors</w:t>
      </w:r>
      <w:r w:rsidRPr="00404963">
        <w:rPr>
          <w:rFonts w:ascii="Calibri" w:eastAsiaTheme="minorEastAsia" w:hAnsi="Calibri" w:cs="Calibri"/>
        </w:rPr>
        <w:t>.</w:t>
      </w:r>
    </w:p>
    <w:p w14:paraId="0141BDFC" w14:textId="1F1500E5" w:rsidR="00E700AE" w:rsidRPr="00E700AE" w:rsidRDefault="00E700AE" w:rsidP="00E700AE">
      <w:pPr>
        <w:spacing w:after="0"/>
        <w:rPr>
          <w:rFonts w:ascii="Calibri" w:eastAsiaTheme="minorEastAsia" w:hAnsi="Calibri" w:cs="Calibri"/>
          <w:b/>
          <w:bCs/>
        </w:rPr>
      </w:pPr>
      <w:r w:rsidRPr="00E700AE">
        <w:rPr>
          <w:rFonts w:ascii="Calibri" w:eastAsiaTheme="minorEastAsia" w:hAnsi="Calibri" w:cs="Calibri"/>
          <w:b/>
          <w:bCs/>
        </w:rPr>
        <w:t>Stored Hydrogen Energy</w:t>
      </w:r>
    </w:p>
    <w:p w14:paraId="52220E57" w14:textId="77777777" w:rsidR="00E700AE" w:rsidRPr="00227E5A" w:rsidRDefault="00E700AE"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The amount of energy stored in hydrogen is given by:</w:t>
      </w:r>
    </w:p>
    <w:p w14:paraId="7F8CF65F" w14:textId="17FB32E3" w:rsidR="00E700AE" w:rsidRPr="00195C6E" w:rsidRDefault="008C2E9B" w:rsidP="00CC2FA4">
      <w:pPr>
        <w:spacing w:after="0"/>
        <w:jc w:val="both"/>
        <w:rPr>
          <w:rFonts w:ascii="Calibri" w:eastAsiaTheme="minorEastAsia" w:hAnsi="Calibri" w:cs="Calibri"/>
        </w:rPr>
      </w:pPr>
      <w:r>
        <w:rPr>
          <w:rFonts w:ascii="Calibri" w:eastAsiaTheme="minorEastAsia" w:hAnsi="Calibri" w:cs="Calibri"/>
        </w:rPr>
        <w:t xml:space="preserve">   </w:t>
      </w:r>
      <w:r w:rsidRPr="008C2E9B">
        <w:rPr>
          <w:rFonts w:ascii="Calibri" w:eastAsiaTheme="minorEastAsia" w:hAnsi="Calibri" w:cs="Calibri"/>
          <w:b/>
          <w:bCs/>
        </w:rPr>
        <w:t>Equation (8)</w:t>
      </w:r>
      <w:r>
        <w:rPr>
          <w:rFonts w:ascii="Calibri" w:eastAsiaTheme="minorEastAsia" w:hAnsi="Calibri" w:cs="Calibri"/>
        </w:rPr>
        <w:t xml:space="preserve">                                                </w:t>
      </w:r>
      <m:oMath>
        <m:sSub>
          <m:sSubPr>
            <m:ctrlPr>
              <w:rPr>
                <w:rFonts w:ascii="Cambria Math" w:eastAsiaTheme="minorEastAsia" w:hAnsi="Cambria Math" w:cs="Calibri"/>
              </w:rPr>
            </m:ctrlPr>
          </m:sSubPr>
          <m:e>
            <m:r>
              <w:rPr>
                <w:rFonts w:ascii="Cambria Math" w:eastAsiaTheme="minorEastAsia" w:hAnsi="Cambria Math" w:cs="Calibri"/>
              </w:rPr>
              <m:t>E</m:t>
            </m:r>
          </m:e>
          <m:sub>
            <m:sSub>
              <m:sSubPr>
                <m:ctrlPr>
                  <w:rPr>
                    <w:rFonts w:ascii="Cambria Math" w:eastAsiaTheme="minorEastAsia" w:hAnsi="Cambria Math" w:cs="Calibri"/>
                  </w:rPr>
                </m:ctrlPr>
              </m:sSubPr>
              <m:e>
                <m:r>
                  <w:rPr>
                    <w:rFonts w:ascii="Cambria Math" w:eastAsiaTheme="minorEastAsia" w:hAnsi="Cambria Math" w:cs="Calibri"/>
                  </w:rPr>
                  <m:t>H</m:t>
                </m:r>
              </m:e>
              <m:sub>
                <m:r>
                  <w:rPr>
                    <w:rFonts w:ascii="Cambria Math" w:eastAsiaTheme="minorEastAsia" w:hAnsi="Cambria Math" w:cs="Calibri"/>
                  </w:rPr>
                  <m:t>2</m:t>
                </m:r>
              </m:sub>
            </m:sSub>
          </m:sub>
        </m:sSub>
        <m:r>
          <w:rPr>
            <w:rFonts w:ascii="Cambria Math" w:eastAsiaTheme="minorEastAsia" w:hAnsi="Cambria Math" w:cs="Calibri"/>
          </w:rPr>
          <m:t>=</m:t>
        </m:r>
        <m:sSub>
          <m:sSubPr>
            <m:ctrlPr>
              <w:rPr>
                <w:rFonts w:ascii="Cambria Math" w:eastAsiaTheme="minorEastAsia" w:hAnsi="Cambria Math" w:cs="Calibri"/>
              </w:rPr>
            </m:ctrlPr>
          </m:sSubPr>
          <m:e>
            <m:r>
              <w:rPr>
                <w:rFonts w:ascii="Cambria Math" w:eastAsiaTheme="minorEastAsia" w:hAnsi="Cambria Math" w:cs="Calibri"/>
              </w:rPr>
              <m:t>m</m:t>
            </m:r>
          </m:e>
          <m:sub>
            <m:sSub>
              <m:sSubPr>
                <m:ctrlPr>
                  <w:rPr>
                    <w:rFonts w:ascii="Cambria Math" w:eastAsiaTheme="minorEastAsia" w:hAnsi="Cambria Math" w:cs="Calibri"/>
                  </w:rPr>
                </m:ctrlPr>
              </m:sSubPr>
              <m:e>
                <m:r>
                  <w:rPr>
                    <w:rFonts w:ascii="Cambria Math" w:eastAsiaTheme="minorEastAsia" w:hAnsi="Cambria Math" w:cs="Calibri"/>
                  </w:rPr>
                  <m:t>H</m:t>
                </m:r>
              </m:e>
              <m:sub>
                <m:r>
                  <w:rPr>
                    <w:rFonts w:ascii="Cambria Math" w:eastAsiaTheme="minorEastAsia" w:hAnsi="Cambria Math" w:cs="Calibri"/>
                  </w:rPr>
                  <m:t>2</m:t>
                </m:r>
              </m:sub>
            </m:sSub>
          </m:sub>
        </m:sSub>
        <m:r>
          <w:rPr>
            <w:rFonts w:ascii="Cambria Math" w:eastAsiaTheme="minorEastAsia" w:hAnsi="Cambria Math" w:cs="Calibri"/>
          </w:rPr>
          <m:t>⋅LH</m:t>
        </m:r>
        <m:sSub>
          <m:sSubPr>
            <m:ctrlPr>
              <w:rPr>
                <w:rFonts w:ascii="Cambria Math" w:eastAsiaTheme="minorEastAsia" w:hAnsi="Cambria Math" w:cs="Calibri"/>
              </w:rPr>
            </m:ctrlPr>
          </m:sSubPr>
          <m:e>
            <m:r>
              <w:rPr>
                <w:rFonts w:ascii="Cambria Math" w:eastAsiaTheme="minorEastAsia" w:hAnsi="Cambria Math" w:cs="Calibri"/>
              </w:rPr>
              <m:t>V</m:t>
            </m:r>
          </m:e>
          <m:sub>
            <m:sSub>
              <m:sSubPr>
                <m:ctrlPr>
                  <w:rPr>
                    <w:rFonts w:ascii="Cambria Math" w:eastAsiaTheme="minorEastAsia" w:hAnsi="Cambria Math" w:cs="Calibri"/>
                  </w:rPr>
                </m:ctrlPr>
              </m:sSubPr>
              <m:e>
                <m:r>
                  <w:rPr>
                    <w:rFonts w:ascii="Cambria Math" w:eastAsiaTheme="minorEastAsia" w:hAnsi="Cambria Math" w:cs="Calibri"/>
                  </w:rPr>
                  <m:t>H</m:t>
                </m:r>
              </m:e>
              <m:sub>
                <m:r>
                  <w:rPr>
                    <w:rFonts w:ascii="Cambria Math" w:eastAsiaTheme="minorEastAsia" w:hAnsi="Cambria Math" w:cs="Calibri"/>
                  </w:rPr>
                  <m:t>2</m:t>
                </m:r>
              </m:sub>
            </m:sSub>
          </m:sub>
        </m:sSub>
      </m:oMath>
    </w:p>
    <w:p w14:paraId="2913DF3A" w14:textId="0B609005" w:rsidR="00DE69C4" w:rsidRPr="00227E5A" w:rsidRDefault="00DE69C4"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 xml:space="preserve">Where </w:t>
      </w:r>
      <m:oMath>
        <m:sSub>
          <m:sSubPr>
            <m:ctrlPr>
              <w:rPr>
                <w:rFonts w:ascii="Cambria Math" w:eastAsiaTheme="minorEastAsia" w:hAnsi="Cambria Math" w:cs="Times New Roman"/>
              </w:rPr>
            </m:ctrlPr>
          </m:sSubPr>
          <m:e>
            <m:r>
              <w:rPr>
                <w:rFonts w:ascii="Cambria Math" w:eastAsiaTheme="minorEastAsia" w:hAnsi="Cambria Math" w:cs="Times New Roman"/>
              </w:rPr>
              <m:t>E</m:t>
            </m:r>
          </m:e>
          <m: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sub>
        </m:sSub>
      </m:oMath>
      <w:r w:rsidRPr="00227E5A">
        <w:rPr>
          <w:rFonts w:ascii="Times New Roman" w:eastAsiaTheme="minorEastAsia" w:hAnsi="Times New Roman" w:cs="Times New Roman"/>
        </w:rPr>
        <w:t xml:space="preserve">is the total stored hydrogen energy (kWh), </w:t>
      </w:r>
      <m:oMath>
        <m:sSub>
          <m:sSubPr>
            <m:ctrlPr>
              <w:rPr>
                <w:rFonts w:ascii="Cambria Math" w:eastAsiaTheme="minorEastAsia" w:hAnsi="Cambria Math" w:cs="Times New Roman"/>
              </w:rPr>
            </m:ctrlPr>
          </m:sSubPr>
          <m:e>
            <m:r>
              <w:rPr>
                <w:rFonts w:ascii="Cambria Math" w:eastAsiaTheme="minorEastAsia" w:hAnsi="Cambria Math" w:cs="Times New Roman"/>
              </w:rPr>
              <m:t>m</m:t>
            </m:r>
          </m:e>
          <m: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sub>
        </m:sSub>
      </m:oMath>
      <w:r w:rsidRPr="00227E5A">
        <w:rPr>
          <w:rFonts w:ascii="Times New Roman" w:eastAsiaTheme="minorEastAsia" w:hAnsi="Times New Roman" w:cs="Times New Roman"/>
        </w:rPr>
        <w:t xml:space="preserve">is the hydrogen mass (kg), and </w:t>
      </w:r>
      <m:oMath>
        <m:r>
          <w:rPr>
            <w:rFonts w:ascii="Cambria Math" w:eastAsiaTheme="minorEastAsia" w:hAnsi="Cambria Math" w:cs="Times New Roman"/>
          </w:rPr>
          <m:t>LH</m:t>
        </m:r>
        <m:sSub>
          <m:sSubPr>
            <m:ctrlPr>
              <w:rPr>
                <w:rFonts w:ascii="Cambria Math" w:eastAsiaTheme="minorEastAsia" w:hAnsi="Cambria Math" w:cs="Times New Roman"/>
              </w:rPr>
            </m:ctrlPr>
          </m:sSubPr>
          <m:e>
            <m:r>
              <w:rPr>
                <w:rFonts w:ascii="Cambria Math" w:eastAsiaTheme="minorEastAsia" w:hAnsi="Cambria Math" w:cs="Times New Roman"/>
              </w:rPr>
              <m:t>V</m:t>
            </m:r>
          </m:e>
          <m: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sub>
        </m:sSub>
      </m:oMath>
      <w:r w:rsidRPr="00227E5A">
        <w:rPr>
          <w:rFonts w:ascii="Times New Roman" w:eastAsiaTheme="minorEastAsia" w:hAnsi="Times New Roman" w:cs="Times New Roman"/>
        </w:rPr>
        <w:t>is its lower heating value (kWh/kg). This equation represents the chemical energy stored in hydrogen, which is directly proportional to the hydrogen mass. As storage increases, the system builds a long-term energy reserve.</w:t>
      </w:r>
    </w:p>
    <w:p w14:paraId="22596561" w14:textId="0B6B2916" w:rsidR="0036635A" w:rsidRPr="00195C6E" w:rsidRDefault="0036635A" w:rsidP="0036635A">
      <w:pPr>
        <w:spacing w:after="0"/>
        <w:rPr>
          <w:rFonts w:ascii="Calibri" w:eastAsiaTheme="minorEastAsia" w:hAnsi="Calibri" w:cs="Calibri"/>
          <w:b/>
          <w:bCs/>
        </w:rPr>
      </w:pPr>
      <w:r w:rsidRPr="00195C6E">
        <w:rPr>
          <w:rFonts w:ascii="Calibri" w:eastAsiaTheme="minorEastAsia" w:hAnsi="Calibri" w:cs="Calibri"/>
          <w:b/>
          <w:bCs/>
        </w:rPr>
        <w:t>Energy Recovery via Fuel Cells</w:t>
      </w:r>
    </w:p>
    <w:p w14:paraId="5A92FBB9" w14:textId="77777777" w:rsidR="0036635A" w:rsidRPr="00227E5A" w:rsidRDefault="0036635A"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t>Stored hydrogen can be reconverted into electricity through fuel cell systems. The electrical power output from the fuel cell is expressed as:</w:t>
      </w:r>
    </w:p>
    <w:p w14:paraId="53CFDEF8" w14:textId="5099CF47" w:rsidR="0036635A" w:rsidRPr="00195C6E" w:rsidRDefault="008C2E9B" w:rsidP="0036635A">
      <w:pPr>
        <w:spacing w:after="0"/>
        <w:rPr>
          <w:rFonts w:ascii="Calibri" w:eastAsiaTheme="minorEastAsia" w:hAnsi="Calibri" w:cs="Calibri"/>
        </w:rPr>
      </w:pPr>
      <w:r>
        <w:rPr>
          <w:rFonts w:ascii="Calibri" w:eastAsiaTheme="minorEastAsia" w:hAnsi="Calibri" w:cs="Calibri"/>
        </w:rPr>
        <w:t xml:space="preserve">   </w:t>
      </w:r>
      <w:r w:rsidRPr="008C2E9B">
        <w:rPr>
          <w:rFonts w:ascii="Calibri" w:eastAsiaTheme="minorEastAsia" w:hAnsi="Calibri" w:cs="Calibri"/>
          <w:b/>
          <w:bCs/>
        </w:rPr>
        <w:t>Equation (9)</w:t>
      </w:r>
      <w:r>
        <w:rPr>
          <w:rFonts w:ascii="Calibri" w:eastAsiaTheme="minorEastAsia" w:hAnsi="Calibri" w:cs="Calibri"/>
        </w:rPr>
        <w:t xml:space="preserve">                                  </w:t>
      </w:r>
      <m:oMath>
        <m:sSub>
          <m:sSubPr>
            <m:ctrlPr>
              <w:rPr>
                <w:rFonts w:ascii="Cambria Math" w:eastAsiaTheme="minorEastAsia" w:hAnsi="Cambria Math" w:cs="Calibri"/>
              </w:rPr>
            </m:ctrlPr>
          </m:sSubPr>
          <m:e>
            <m:r>
              <w:rPr>
                <w:rFonts w:ascii="Cambria Math" w:eastAsiaTheme="minorEastAsia" w:hAnsi="Cambria Math" w:cs="Calibri"/>
              </w:rPr>
              <m:t>P</m:t>
            </m:r>
          </m:e>
          <m:sub>
            <m:r>
              <w:rPr>
                <w:rFonts w:ascii="Cambria Math" w:eastAsiaTheme="minorEastAsia" w:hAnsi="Cambria Math" w:cs="Calibri"/>
              </w:rPr>
              <m:t>FC</m:t>
            </m:r>
          </m:sub>
        </m:sSub>
        <m:r>
          <w:rPr>
            <w:rFonts w:ascii="Cambria Math" w:eastAsiaTheme="minorEastAsia" w:hAnsi="Cambria Math" w:cs="Calibri"/>
          </w:rPr>
          <m:t>(t)=</m:t>
        </m:r>
        <m:sSub>
          <m:sSubPr>
            <m:ctrlPr>
              <w:rPr>
                <w:rFonts w:ascii="Cambria Math" w:eastAsiaTheme="minorEastAsia" w:hAnsi="Cambria Math" w:cs="Calibri"/>
              </w:rPr>
            </m:ctrlPr>
          </m:sSubPr>
          <m:e>
            <m:r>
              <w:rPr>
                <w:rFonts w:ascii="Cambria Math" w:eastAsiaTheme="minorEastAsia" w:hAnsi="Cambria Math" w:cs="Calibri"/>
              </w:rPr>
              <m:t>η</m:t>
            </m:r>
          </m:e>
          <m:sub>
            <m:r>
              <w:rPr>
                <w:rFonts w:ascii="Cambria Math" w:eastAsiaTheme="minorEastAsia" w:hAnsi="Cambria Math" w:cs="Calibri"/>
              </w:rPr>
              <m:t>FC</m:t>
            </m:r>
          </m:sub>
        </m:sSub>
        <m:r>
          <w:rPr>
            <w:rFonts w:ascii="Cambria Math" w:eastAsiaTheme="minorEastAsia" w:hAnsi="Cambria Math" w:cs="Calibri"/>
          </w:rPr>
          <m:t>⋅</m:t>
        </m:r>
        <m:sSub>
          <m:sSubPr>
            <m:ctrlPr>
              <w:rPr>
                <w:rFonts w:ascii="Cambria Math" w:eastAsiaTheme="minorEastAsia" w:hAnsi="Cambria Math" w:cs="Calibri"/>
              </w:rPr>
            </m:ctrlPr>
          </m:sSubPr>
          <m:e>
            <m:r>
              <w:rPr>
                <w:rFonts w:ascii="Cambria Math" w:eastAsiaTheme="minorEastAsia" w:hAnsi="Cambria Math" w:cs="Calibri"/>
              </w:rPr>
              <m:t>E</m:t>
            </m:r>
          </m:e>
          <m:sub>
            <m:sSub>
              <m:sSubPr>
                <m:ctrlPr>
                  <w:rPr>
                    <w:rFonts w:ascii="Cambria Math" w:eastAsiaTheme="minorEastAsia" w:hAnsi="Cambria Math" w:cs="Calibri"/>
                  </w:rPr>
                </m:ctrlPr>
              </m:sSubPr>
              <m:e>
                <m:r>
                  <w:rPr>
                    <w:rFonts w:ascii="Cambria Math" w:eastAsiaTheme="minorEastAsia" w:hAnsi="Cambria Math" w:cs="Calibri"/>
                  </w:rPr>
                  <m:t>H</m:t>
                </m:r>
              </m:e>
              <m:sub>
                <m:r>
                  <w:rPr>
                    <w:rFonts w:ascii="Cambria Math" w:eastAsiaTheme="minorEastAsia" w:hAnsi="Cambria Math" w:cs="Calibri"/>
                  </w:rPr>
                  <m:t>2</m:t>
                </m:r>
              </m:sub>
            </m:sSub>
          </m:sub>
        </m:sSub>
      </m:oMath>
    </w:p>
    <w:p w14:paraId="7E953043" w14:textId="1BF0F16A" w:rsidR="009535F9" w:rsidRPr="00227E5A" w:rsidRDefault="009535F9" w:rsidP="00227E5A">
      <w:pPr>
        <w:spacing w:after="0" w:line="240" w:lineRule="auto"/>
        <w:jc w:val="both"/>
        <w:rPr>
          <w:rFonts w:ascii="Times New Roman" w:eastAsiaTheme="minorEastAsia" w:hAnsi="Times New Roman" w:cs="Times New Roman"/>
        </w:rPr>
      </w:pPr>
      <w:r w:rsidRPr="00227E5A">
        <w:rPr>
          <w:rFonts w:ascii="Times New Roman" w:eastAsiaTheme="minorEastAsia" w:hAnsi="Times New Roman" w:cs="Times New Roman"/>
        </w:rPr>
        <w:lastRenderedPageBreak/>
        <w:t xml:space="preserve">Where </w:t>
      </w:r>
      <m:oMath>
        <m:sSub>
          <m:sSubPr>
            <m:ctrlPr>
              <w:rPr>
                <w:rFonts w:ascii="Cambria Math" w:eastAsiaTheme="minorEastAsia" w:hAnsi="Cambria Math" w:cs="Times New Roman"/>
              </w:rPr>
            </m:ctrlPr>
          </m:sSubPr>
          <m:e>
            <m:r>
              <w:rPr>
                <w:rFonts w:ascii="Cambria Math" w:eastAsiaTheme="minorEastAsia" w:hAnsi="Cambria Math" w:cs="Times New Roman"/>
              </w:rPr>
              <m:t>P</m:t>
            </m:r>
          </m:e>
          <m:sub>
            <m:r>
              <w:rPr>
                <w:rFonts w:ascii="Cambria Math" w:eastAsiaTheme="minorEastAsia" w:hAnsi="Cambria Math" w:cs="Times New Roman"/>
              </w:rPr>
              <m:t>FC</m:t>
            </m:r>
          </m:sub>
        </m:sSub>
        <m:r>
          <w:rPr>
            <w:rFonts w:ascii="Cambria Math" w:eastAsiaTheme="minorEastAsia" w:hAnsi="Cambria Math" w:cs="Times New Roman"/>
          </w:rPr>
          <m:t>(t)</m:t>
        </m:r>
      </m:oMath>
      <w:r w:rsidRPr="00227E5A">
        <w:rPr>
          <w:rFonts w:ascii="Times New Roman" w:eastAsiaTheme="minorEastAsia" w:hAnsi="Times New Roman" w:cs="Times New Roman"/>
        </w:rPr>
        <w:t xml:space="preserve">is the electrical power output, </w:t>
      </w:r>
      <m:oMath>
        <m:sSub>
          <m:sSubPr>
            <m:ctrlPr>
              <w:rPr>
                <w:rFonts w:ascii="Cambria Math" w:eastAsiaTheme="minorEastAsia" w:hAnsi="Cambria Math" w:cs="Times New Roman"/>
              </w:rPr>
            </m:ctrlPr>
          </m:sSubPr>
          <m:e>
            <m:r>
              <w:rPr>
                <w:rFonts w:ascii="Cambria Math" w:eastAsiaTheme="minorEastAsia" w:hAnsi="Cambria Math" w:cs="Times New Roman"/>
              </w:rPr>
              <m:t>η</m:t>
            </m:r>
          </m:e>
          <m:sub>
            <m:r>
              <w:rPr>
                <w:rFonts w:ascii="Cambria Math" w:eastAsiaTheme="minorEastAsia" w:hAnsi="Cambria Math" w:cs="Times New Roman"/>
              </w:rPr>
              <m:t>FC</m:t>
            </m:r>
          </m:sub>
        </m:sSub>
      </m:oMath>
      <w:r w:rsidRPr="00227E5A">
        <w:rPr>
          <w:rFonts w:ascii="Times New Roman" w:eastAsiaTheme="minorEastAsia" w:hAnsi="Times New Roman" w:cs="Times New Roman"/>
        </w:rPr>
        <w:t xml:space="preserve">is the fuel cell efficiency, and </w:t>
      </w:r>
      <m:oMath>
        <m:sSub>
          <m:sSubPr>
            <m:ctrlPr>
              <w:rPr>
                <w:rFonts w:ascii="Cambria Math" w:eastAsiaTheme="minorEastAsia" w:hAnsi="Cambria Math" w:cs="Times New Roman"/>
              </w:rPr>
            </m:ctrlPr>
          </m:sSubPr>
          <m:e>
            <m:r>
              <w:rPr>
                <w:rFonts w:ascii="Cambria Math" w:eastAsiaTheme="minorEastAsia" w:hAnsi="Cambria Math" w:cs="Times New Roman"/>
              </w:rPr>
              <m:t>E</m:t>
            </m:r>
          </m:e>
          <m:sub>
            <m:sSub>
              <m:sSubPr>
                <m:ctrlPr>
                  <w:rPr>
                    <w:rFonts w:ascii="Cambria Math" w:eastAsiaTheme="minorEastAsia" w:hAnsi="Cambria Math" w:cs="Times New Roman"/>
                  </w:rPr>
                </m:ctrlPr>
              </m:sSubPr>
              <m:e>
                <m:r>
                  <w:rPr>
                    <w:rFonts w:ascii="Cambria Math" w:eastAsiaTheme="minorEastAsia" w:hAnsi="Cambria Math" w:cs="Times New Roman"/>
                  </w:rPr>
                  <m:t>H</m:t>
                </m:r>
              </m:e>
              <m:sub>
                <m:r>
                  <w:rPr>
                    <w:rFonts w:ascii="Cambria Math" w:eastAsiaTheme="minorEastAsia" w:hAnsi="Cambria Math" w:cs="Times New Roman"/>
                  </w:rPr>
                  <m:t>2</m:t>
                </m:r>
              </m:sub>
            </m:sSub>
          </m:sub>
        </m:sSub>
      </m:oMath>
      <w:r w:rsidRPr="00227E5A">
        <w:rPr>
          <w:rFonts w:ascii="Times New Roman" w:eastAsiaTheme="minorEastAsia" w:hAnsi="Times New Roman" w:cs="Times New Roman"/>
        </w:rPr>
        <w:t>is the stored hydrogen energy. This equation represents the conversion of stored hydrogen into electricity, with efficiency accounting for energy losses during the process.</w:t>
      </w:r>
    </w:p>
    <w:p w14:paraId="0E0E3666" w14:textId="20B5EEC1" w:rsidR="00B12014" w:rsidRPr="00B12014" w:rsidRDefault="00B12014" w:rsidP="00B12014">
      <w:pPr>
        <w:spacing w:after="0"/>
        <w:rPr>
          <w:rFonts w:ascii="Calibri" w:eastAsiaTheme="minorEastAsia" w:hAnsi="Calibri" w:cs="Calibri"/>
          <w:b/>
          <w:bCs/>
        </w:rPr>
      </w:pPr>
      <w:r w:rsidRPr="00B12014">
        <w:rPr>
          <w:rFonts w:ascii="Calibri" w:eastAsiaTheme="minorEastAsia" w:hAnsi="Calibri" w:cs="Calibri"/>
          <w:b/>
          <w:bCs/>
        </w:rPr>
        <w:t>System-Level Interpretation</w:t>
      </w:r>
    </w:p>
    <w:p w14:paraId="18F93BA5" w14:textId="1B7FAF26" w:rsidR="004E5B01" w:rsidRPr="00E306CC" w:rsidRDefault="004E5B01" w:rsidP="00E306CC">
      <w:pPr>
        <w:spacing w:after="0" w:line="240" w:lineRule="auto"/>
        <w:jc w:val="both"/>
        <w:rPr>
          <w:rFonts w:ascii="Times New Roman" w:eastAsiaTheme="minorEastAsia" w:hAnsi="Times New Roman" w:cs="Times New Roman"/>
        </w:rPr>
      </w:pPr>
      <w:r w:rsidRPr="00E306CC">
        <w:rPr>
          <w:rFonts w:ascii="Times New Roman" w:eastAsiaTheme="minorEastAsia" w:hAnsi="Times New Roman" w:cs="Times New Roman"/>
        </w:rPr>
        <w:t xml:space="preserve">These equations describe the hydrogen energy cycle, where surplus renewable electricity is converted into hydrogen via electrolysis, stored as chemical energy, and reconverted into electricity using fuel cells when </w:t>
      </w:r>
      <w:r w:rsidR="009535F9" w:rsidRPr="00E306CC">
        <w:rPr>
          <w:rFonts w:ascii="Times New Roman" w:eastAsiaTheme="minorEastAsia" w:hAnsi="Times New Roman" w:cs="Times New Roman"/>
        </w:rPr>
        <w:t>required. This</w:t>
      </w:r>
      <w:r w:rsidRPr="00E306CC">
        <w:rPr>
          <w:rFonts w:ascii="Times New Roman" w:eastAsiaTheme="minorEastAsia" w:hAnsi="Times New Roman" w:cs="Times New Roman"/>
        </w:rPr>
        <w:t xml:space="preserve"> process enables energy shifting across time, ensuring efficient utilisation of excess generation and supply during deficit periods. Hydrogen storage complements short-term EV storage by providing long-duration flexibility and enhancing overall system reliability.</w:t>
      </w:r>
    </w:p>
    <w:p w14:paraId="5DF68B3A" w14:textId="6ED5BE7A" w:rsidR="000D06B4" w:rsidRPr="00162F4D" w:rsidRDefault="00195C6E" w:rsidP="00AB56FF">
      <w:pPr>
        <w:spacing w:after="0"/>
        <w:rPr>
          <w:rFonts w:ascii="Times New Roman" w:hAnsi="Times New Roman" w:cs="Times New Roman"/>
          <w:b/>
          <w:bCs/>
          <w:sz w:val="28"/>
          <w:szCs w:val="28"/>
        </w:rPr>
      </w:pPr>
      <w:r w:rsidRPr="00162F4D">
        <w:rPr>
          <w:rFonts w:ascii="Times New Roman" w:hAnsi="Times New Roman" w:cs="Times New Roman"/>
          <w:b/>
          <w:bCs/>
          <w:sz w:val="28"/>
          <w:szCs w:val="28"/>
        </w:rPr>
        <w:t>ELECTRIC MOBILITY AND VEHICLE-TO-GRID (V2G) SUBSYSTEM</w:t>
      </w:r>
    </w:p>
    <w:p w14:paraId="7622A3C5" w14:textId="374F722F" w:rsidR="00D36D81" w:rsidRPr="00E306CC" w:rsidRDefault="00D36D81" w:rsidP="00E306CC">
      <w:pPr>
        <w:spacing w:after="0" w:line="240" w:lineRule="auto"/>
        <w:jc w:val="both"/>
        <w:rPr>
          <w:rFonts w:ascii="Times New Roman" w:hAnsi="Times New Roman" w:cs="Times New Roman"/>
        </w:rPr>
      </w:pPr>
      <w:r w:rsidRPr="00E306CC">
        <w:rPr>
          <w:rFonts w:ascii="Times New Roman" w:hAnsi="Times New Roman" w:cs="Times New Roman"/>
        </w:rPr>
        <w:t>Electric vehicles (EVs) play a dual role within the proposed sector-coupled framework, functioning both as transportation assets and as distributed energy storage systems. When aggregated, EV batteries represent a significant flexible resource capable of supporting grid stability through smart charging strategies and bidirectional vehicle-to-grid (V2G) operation.</w:t>
      </w:r>
    </w:p>
    <w:p w14:paraId="5AD3D2E9" w14:textId="0A2F1C97" w:rsidR="00CC2FA4" w:rsidRPr="00E306CC" w:rsidRDefault="00D36D81" w:rsidP="00E306CC">
      <w:pPr>
        <w:spacing w:after="0" w:line="240" w:lineRule="auto"/>
        <w:jc w:val="both"/>
        <w:rPr>
          <w:rFonts w:ascii="Times New Roman" w:hAnsi="Times New Roman" w:cs="Times New Roman"/>
        </w:rPr>
      </w:pPr>
      <w:r w:rsidRPr="00E306CC">
        <w:rPr>
          <w:rFonts w:ascii="Times New Roman" w:hAnsi="Times New Roman" w:cs="Times New Roman"/>
        </w:rPr>
        <w:t>By intelligently controlling charging and discharging cycles, EVs can absorb excess renewable energy during periods of surplus and supply energy back to the grid during peak demand periods. This enhances overall system flexibility and reduces reliance on conventional backup generation.</w:t>
      </w:r>
    </w:p>
    <w:p w14:paraId="478352F9" w14:textId="18499B34" w:rsidR="00F14322" w:rsidRPr="00162F4D" w:rsidRDefault="00F14322" w:rsidP="00F14322">
      <w:pPr>
        <w:spacing w:after="0"/>
        <w:rPr>
          <w:rFonts w:ascii="Times New Roman" w:hAnsi="Times New Roman" w:cs="Times New Roman"/>
          <w:b/>
          <w:bCs/>
          <w:sz w:val="28"/>
          <w:szCs w:val="28"/>
        </w:rPr>
      </w:pPr>
      <w:r w:rsidRPr="00162F4D">
        <w:rPr>
          <w:rFonts w:ascii="Times New Roman" w:hAnsi="Times New Roman" w:cs="Times New Roman"/>
          <w:b/>
          <w:bCs/>
          <w:sz w:val="28"/>
          <w:szCs w:val="28"/>
        </w:rPr>
        <w:t>EV Energy Consumption Model</w:t>
      </w:r>
    </w:p>
    <w:p w14:paraId="1412E577" w14:textId="77777777" w:rsidR="00F14322" w:rsidRPr="00E306CC" w:rsidRDefault="00F14322" w:rsidP="00E306CC">
      <w:pPr>
        <w:spacing w:after="0"/>
        <w:jc w:val="both"/>
        <w:rPr>
          <w:rFonts w:ascii="Times New Roman" w:hAnsi="Times New Roman" w:cs="Times New Roman"/>
        </w:rPr>
      </w:pPr>
      <w:r w:rsidRPr="00E306CC">
        <w:rPr>
          <w:rFonts w:ascii="Times New Roman" w:hAnsi="Times New Roman" w:cs="Times New Roman"/>
        </w:rPr>
        <w:t>The total energy demand of the electric vehicle fleet over a given time interval is expressed as:</w:t>
      </w:r>
    </w:p>
    <w:p w14:paraId="33F9B2E4" w14:textId="1598A2C4" w:rsidR="00F14322" w:rsidRPr="00E306CC" w:rsidRDefault="008C2E9B" w:rsidP="00E306CC">
      <w:pPr>
        <w:spacing w:after="0"/>
        <w:jc w:val="both"/>
        <w:rPr>
          <w:rFonts w:ascii="Times New Roman" w:hAnsi="Times New Roman" w:cs="Times New Roman"/>
        </w:rPr>
      </w:pPr>
      <w:r w:rsidRPr="00E306CC">
        <w:rPr>
          <w:rFonts w:ascii="Times New Roman" w:eastAsiaTheme="minorEastAsia" w:hAnsi="Times New Roman" w:cs="Times New Roman"/>
        </w:rPr>
        <w:t xml:space="preserve">   </w:t>
      </w:r>
      <w:r w:rsidRPr="00E306CC">
        <w:rPr>
          <w:rFonts w:ascii="Times New Roman" w:eastAsiaTheme="minorEastAsia" w:hAnsi="Times New Roman" w:cs="Times New Roman"/>
          <w:b/>
          <w:bCs/>
        </w:rPr>
        <w:t>Equation (10)</w:t>
      </w:r>
      <w:r w:rsidRPr="00E306CC">
        <w:rPr>
          <w:rFonts w:ascii="Times New Roman" w:eastAsiaTheme="minorEastAsia" w:hAnsi="Times New Roman" w:cs="Times New Roman"/>
        </w:rPr>
        <w:t xml:space="preserve">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EV</m:t>
            </m:r>
          </m:sub>
        </m:sSub>
        <m:r>
          <w:rPr>
            <w:rFonts w:ascii="Cambria Math" w:hAnsi="Cambria Math" w:cs="Times New Roman"/>
          </w:rPr>
          <m:t>(t)=</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EV,i</m:t>
                </m:r>
              </m:sub>
            </m:sSub>
          </m:e>
        </m:nary>
        <m:r>
          <w:rPr>
            <w:rFonts w:ascii="Cambria Math" w:hAnsi="Cambria Math" w:cs="Times New Roman"/>
          </w:rPr>
          <m:t>(t)⋅</m:t>
        </m:r>
        <m:r>
          <m:rPr>
            <m:sty m:val="p"/>
          </m:rPr>
          <w:rPr>
            <w:rFonts w:ascii="Cambria Math" w:hAnsi="Cambria Math" w:cs="Times New Roman"/>
          </w:rPr>
          <m:t>Δ</m:t>
        </m:r>
        <m:r>
          <w:rPr>
            <w:rFonts w:ascii="Cambria Math" w:hAnsi="Cambria Math" w:cs="Times New Roman"/>
          </w:rPr>
          <m:t>t</m:t>
        </m:r>
      </m:oMath>
    </w:p>
    <w:p w14:paraId="7BEF3CB5" w14:textId="0D1B8B13" w:rsidR="00B41FA5" w:rsidRPr="00E306CC" w:rsidRDefault="00ED2941" w:rsidP="00080E77">
      <w:pPr>
        <w:spacing w:after="0"/>
        <w:jc w:val="both"/>
        <w:rPr>
          <w:rFonts w:ascii="Times New Roman" w:hAnsi="Times New Roman" w:cs="Times New Roman"/>
        </w:rPr>
      </w:pPr>
      <w:r w:rsidRPr="00E306C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EV</m:t>
            </m:r>
          </m:sub>
        </m:sSub>
        <m:r>
          <w:rPr>
            <w:rFonts w:ascii="Cambria Math" w:hAnsi="Cambria Math" w:cs="Times New Roman"/>
          </w:rPr>
          <m:t>(t)</m:t>
        </m:r>
      </m:oMath>
      <w:r w:rsidRPr="00E306CC">
        <w:rPr>
          <w:rFonts w:ascii="Times New Roman" w:hAnsi="Times New Roman" w:cs="Times New Roman"/>
        </w:rPr>
        <w:t xml:space="preserve">is the total energy consumed by EVs (kWh),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EV,i</m:t>
            </m:r>
          </m:sub>
        </m:sSub>
        <m:r>
          <w:rPr>
            <w:rFonts w:ascii="Cambria Math" w:hAnsi="Cambria Math" w:cs="Times New Roman"/>
          </w:rPr>
          <m:t>(t)</m:t>
        </m:r>
      </m:oMath>
      <w:r w:rsidRPr="00E306CC">
        <w:rPr>
          <w:rFonts w:ascii="Times New Roman" w:hAnsi="Times New Roman" w:cs="Times New Roman"/>
        </w:rPr>
        <w:t xml:space="preserve">is the charging power of the </w:t>
      </w:r>
      <m:oMath>
        <m:sSup>
          <m:sSupPr>
            <m:ctrlPr>
              <w:rPr>
                <w:rFonts w:ascii="Cambria Math" w:hAnsi="Cambria Math" w:cs="Times New Roman"/>
              </w:rPr>
            </m:ctrlPr>
          </m:sSupPr>
          <m:e>
            <m:r>
              <w:rPr>
                <w:rFonts w:ascii="Cambria Math" w:hAnsi="Cambria Math" w:cs="Times New Roman"/>
              </w:rPr>
              <m:t>i</m:t>
            </m:r>
          </m:e>
          <m:sup>
            <m:r>
              <w:rPr>
                <w:rFonts w:ascii="Cambria Math" w:hAnsi="Cambria Math" w:cs="Times New Roman"/>
              </w:rPr>
              <m:t>th</m:t>
            </m:r>
          </m:sup>
        </m:sSup>
      </m:oMath>
      <w:r w:rsidRPr="00E306CC">
        <w:rPr>
          <w:rFonts w:ascii="Times New Roman" w:hAnsi="Times New Roman" w:cs="Times New Roman"/>
        </w:rPr>
        <w:t xml:space="preserve">vehicle (kW), </w:t>
      </w:r>
      <m:oMath>
        <m:r>
          <w:rPr>
            <w:rFonts w:ascii="Cambria Math" w:hAnsi="Cambria Math" w:cs="Times New Roman"/>
          </w:rPr>
          <m:t>N</m:t>
        </m:r>
      </m:oMath>
      <w:r w:rsidRPr="00E306CC">
        <w:rPr>
          <w:rFonts w:ascii="Times New Roman" w:hAnsi="Times New Roman" w:cs="Times New Roman"/>
        </w:rPr>
        <w:t xml:space="preserve">is the number of EVs, and </w:t>
      </w:r>
      <m:oMath>
        <m:r>
          <m:rPr>
            <m:sty m:val="p"/>
          </m:rPr>
          <w:rPr>
            <w:rFonts w:ascii="Cambria Math" w:hAnsi="Cambria Math" w:cs="Times New Roman"/>
          </w:rPr>
          <m:t>Δ</m:t>
        </m:r>
        <m:r>
          <w:rPr>
            <w:rFonts w:ascii="Cambria Math" w:hAnsi="Cambria Math" w:cs="Times New Roman"/>
          </w:rPr>
          <m:t>t</m:t>
        </m:r>
      </m:oMath>
      <w:r w:rsidRPr="00E306CC">
        <w:rPr>
          <w:rFonts w:ascii="Times New Roman" w:hAnsi="Times New Roman" w:cs="Times New Roman"/>
        </w:rPr>
        <w:t>is the time interval (hours).The equation represents the aggregate EV energy demand as a function of fleet size, charging power, and time duration, and is used by the Energy Management System (EMS) to allocate renewable energy for EV charging.</w:t>
      </w:r>
    </w:p>
    <w:p w14:paraId="5FF38FA5" w14:textId="76F04E0D" w:rsidR="00080E77" w:rsidRPr="00162F4D" w:rsidRDefault="00080E77" w:rsidP="00080E77">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Role in Energy Management</w:t>
      </w:r>
    </w:p>
    <w:p w14:paraId="67BE91C4" w14:textId="3FF4992E" w:rsidR="004400CC" w:rsidRPr="00E306CC" w:rsidRDefault="004400CC" w:rsidP="00E306CC">
      <w:pPr>
        <w:spacing w:after="0" w:line="240" w:lineRule="auto"/>
        <w:jc w:val="both"/>
        <w:rPr>
          <w:rFonts w:ascii="Times New Roman" w:hAnsi="Times New Roman" w:cs="Times New Roman"/>
        </w:rPr>
      </w:pPr>
      <w:r w:rsidRPr="00E306CC">
        <w:rPr>
          <w:rFonts w:ascii="Times New Roman" w:hAnsi="Times New Roman" w:cs="Times New Roman"/>
        </w:rPr>
        <w:t>Within the sector-coupled system, EVs absorb surplus renewable energy during high generation periods and supply energy back to the grid via V2G during deficit conditions. This bidirectional functionality enables EVs to provide peak load reduction, demand response, and short-duration energy storage, thereby enhancing grid flexibility and renewable energy utilisation.</w:t>
      </w:r>
    </w:p>
    <w:p w14:paraId="2D3BC585" w14:textId="6BE91459" w:rsidR="001153A3" w:rsidRPr="00162F4D" w:rsidRDefault="00195C6E" w:rsidP="00195C6E">
      <w:pPr>
        <w:spacing w:after="0"/>
        <w:rPr>
          <w:rFonts w:ascii="Times New Roman" w:hAnsi="Times New Roman" w:cs="Times New Roman"/>
          <w:b/>
          <w:bCs/>
          <w:sz w:val="28"/>
          <w:szCs w:val="28"/>
        </w:rPr>
      </w:pPr>
      <w:r w:rsidRPr="00162F4D">
        <w:rPr>
          <w:rFonts w:ascii="Times New Roman" w:hAnsi="Times New Roman" w:cs="Times New Roman"/>
          <w:b/>
          <w:bCs/>
          <w:sz w:val="28"/>
          <w:szCs w:val="28"/>
        </w:rPr>
        <w:t>VEHICLE-TO-GRID OPERATION</w:t>
      </w:r>
    </w:p>
    <w:p w14:paraId="6CD73F50" w14:textId="3E552E7C" w:rsidR="001153A3" w:rsidRPr="00E306CC" w:rsidRDefault="001153A3" w:rsidP="00E306CC">
      <w:pPr>
        <w:spacing w:after="0" w:line="240" w:lineRule="auto"/>
        <w:jc w:val="both"/>
        <w:rPr>
          <w:rFonts w:ascii="Times New Roman" w:hAnsi="Times New Roman" w:cs="Times New Roman"/>
        </w:rPr>
      </w:pPr>
      <w:r w:rsidRPr="00E306CC">
        <w:rPr>
          <w:rFonts w:ascii="Times New Roman" w:hAnsi="Times New Roman" w:cs="Times New Roman"/>
        </w:rPr>
        <w:t>In vehicle-to-grid (V2G) mode, electric vehicles (EVs) operate as distributed energy resources by discharging stored energy from their batteries back into the grid. This process typically occurs during periods of peak electricity demand or low renewable generation, thereby supporting grid stability and reducing peak load stress.</w:t>
      </w:r>
      <w:r w:rsidR="00E306CC">
        <w:rPr>
          <w:rFonts w:ascii="Times New Roman" w:hAnsi="Times New Roman" w:cs="Times New Roman"/>
        </w:rPr>
        <w:t xml:space="preserve"> </w:t>
      </w:r>
      <w:r w:rsidRPr="00E306CC">
        <w:rPr>
          <w:rFonts w:ascii="Times New Roman" w:hAnsi="Times New Roman" w:cs="Times New Roman"/>
        </w:rPr>
        <w:t xml:space="preserve">The total power supplied to the grid through V2G operation at time </w:t>
      </w:r>
      <m:oMath>
        <m:r>
          <w:rPr>
            <w:rFonts w:ascii="Cambria Math" w:hAnsi="Cambria Math" w:cs="Times New Roman"/>
          </w:rPr>
          <m:t>t</m:t>
        </m:r>
      </m:oMath>
      <w:r w:rsidRPr="00E306CC">
        <w:rPr>
          <w:rFonts w:ascii="Times New Roman" w:hAnsi="Times New Roman" w:cs="Times New Roman"/>
        </w:rPr>
        <w:t>is given by:</w:t>
      </w:r>
    </w:p>
    <w:p w14:paraId="18A4D614" w14:textId="6AA11DBC" w:rsidR="001153A3" w:rsidRPr="00195C6E" w:rsidRDefault="008C2E9B" w:rsidP="001153A3">
      <w:pPr>
        <w:spacing w:after="0"/>
        <w:jc w:val="both"/>
        <w:rPr>
          <w:rFonts w:ascii="Calibri" w:hAnsi="Calibri" w:cs="Calibri"/>
        </w:rPr>
      </w:pPr>
      <w:r>
        <w:rPr>
          <w:rFonts w:ascii="Calibri" w:eastAsiaTheme="minorEastAsia" w:hAnsi="Calibri" w:cs="Calibri"/>
        </w:rPr>
        <w:t xml:space="preserve">   </w:t>
      </w:r>
      <w:r w:rsidRPr="008C2E9B">
        <w:rPr>
          <w:rFonts w:ascii="Calibri" w:eastAsiaTheme="minorEastAsia" w:hAnsi="Calibri" w:cs="Calibri"/>
          <w:b/>
          <w:bCs/>
        </w:rPr>
        <w:t>Equation (11)</w:t>
      </w:r>
      <w:r>
        <w:rPr>
          <w:rFonts w:ascii="Calibri" w:eastAsiaTheme="minorEastAsia" w:hAnsi="Calibri" w:cs="Calibri"/>
        </w:rPr>
        <w:t xml:space="preserve">                                                 </w:t>
      </w:r>
      <m:oMath>
        <m:sSub>
          <m:sSubPr>
            <m:ctrlPr>
              <w:rPr>
                <w:rFonts w:ascii="Cambria Math" w:hAnsi="Cambria Math" w:cs="Calibri"/>
              </w:rPr>
            </m:ctrlPr>
          </m:sSubPr>
          <m:e>
            <m:r>
              <w:rPr>
                <w:rFonts w:ascii="Cambria Math" w:hAnsi="Cambria Math" w:cs="Calibri"/>
              </w:rPr>
              <m:t>P</m:t>
            </m:r>
          </m:e>
          <m:sub>
            <m:r>
              <w:rPr>
                <w:rFonts w:ascii="Cambria Math" w:hAnsi="Cambria Math" w:cs="Calibri"/>
              </w:rPr>
              <m:t>V2G</m:t>
            </m:r>
          </m:sub>
        </m:sSub>
        <m:r>
          <w:rPr>
            <w:rFonts w:ascii="Cambria Math" w:hAnsi="Cambria Math" w:cs="Calibri"/>
          </w:rPr>
          <m:t>(t)=</m:t>
        </m:r>
        <m:nary>
          <m:naryPr>
            <m:chr m:val="∑"/>
            <m:limLoc m:val="undOvr"/>
            <m:grow m:val="1"/>
            <m:ctrlPr>
              <w:rPr>
                <w:rFonts w:ascii="Cambria Math" w:hAnsi="Cambria Math" w:cs="Calibri"/>
              </w:rPr>
            </m:ctrlPr>
          </m:naryPr>
          <m:sub>
            <m:r>
              <w:rPr>
                <w:rFonts w:ascii="Cambria Math" w:hAnsi="Cambria Math" w:cs="Calibri"/>
              </w:rPr>
              <m:t>i=1</m:t>
            </m:r>
          </m:sub>
          <m:sup>
            <m:r>
              <w:rPr>
                <w:rFonts w:ascii="Cambria Math" w:hAnsi="Cambria Math" w:cs="Calibri"/>
              </w:rPr>
              <m:t>N</m:t>
            </m:r>
          </m:sup>
          <m:e>
            <m:d>
              <m:dPr>
                <m:ctrlPr>
                  <w:rPr>
                    <w:rFonts w:ascii="Cambria Math" w:hAnsi="Cambria Math" w:cs="Calibri"/>
                  </w:rPr>
                </m:ctrlPr>
              </m:dPr>
              <m:e>
                <m:sSub>
                  <m:sSubPr>
                    <m:ctrlPr>
                      <w:rPr>
                        <w:rFonts w:ascii="Cambria Math" w:hAnsi="Cambria Math" w:cs="Calibri"/>
                      </w:rPr>
                    </m:ctrlPr>
                  </m:sSubPr>
                  <m:e>
                    <m:r>
                      <w:rPr>
                        <w:rFonts w:ascii="Cambria Math" w:hAnsi="Cambria Math" w:cs="Calibri"/>
                      </w:rPr>
                      <m:t>η</m:t>
                    </m:r>
                  </m:e>
                  <m:sub>
                    <m:r>
                      <w:rPr>
                        <w:rFonts w:ascii="Cambria Math" w:hAnsi="Cambria Math" w:cs="Calibri"/>
                      </w:rPr>
                      <m:t>V2G</m:t>
                    </m:r>
                  </m:sub>
                </m:sSub>
                <m:r>
                  <w:rPr>
                    <w:rFonts w:ascii="Cambria Math" w:hAnsi="Cambria Math" w:cs="Calibri"/>
                  </w:rPr>
                  <m:t>⋅</m:t>
                </m:r>
                <m:sSub>
                  <m:sSubPr>
                    <m:ctrlPr>
                      <w:rPr>
                        <w:rFonts w:ascii="Cambria Math" w:hAnsi="Cambria Math" w:cs="Calibri"/>
                      </w:rPr>
                    </m:ctrlPr>
                  </m:sSubPr>
                  <m:e>
                    <m:r>
                      <w:rPr>
                        <w:rFonts w:ascii="Cambria Math" w:hAnsi="Cambria Math" w:cs="Calibri"/>
                      </w:rPr>
                      <m:t>P</m:t>
                    </m:r>
                  </m:e>
                  <m:sub>
                    <m:r>
                      <w:rPr>
                        <w:rFonts w:ascii="Cambria Math" w:hAnsi="Cambria Math" w:cs="Calibri"/>
                      </w:rPr>
                      <m:t>dis,i</m:t>
                    </m:r>
                  </m:sub>
                </m:sSub>
                <m:r>
                  <w:rPr>
                    <w:rFonts w:ascii="Cambria Math" w:hAnsi="Cambria Math" w:cs="Calibri"/>
                  </w:rPr>
                  <m:t>(t)</m:t>
                </m:r>
              </m:e>
            </m:d>
          </m:e>
        </m:nary>
      </m:oMath>
    </w:p>
    <w:p w14:paraId="694A9AEF" w14:textId="308E1221" w:rsidR="00C47148" w:rsidRPr="00E306CC" w:rsidRDefault="00C47148" w:rsidP="00E306CC">
      <w:pPr>
        <w:spacing w:after="0" w:line="240" w:lineRule="auto"/>
        <w:jc w:val="both"/>
        <w:rPr>
          <w:rFonts w:ascii="Times New Roman" w:hAnsi="Times New Roman" w:cs="Times New Roman"/>
        </w:rPr>
      </w:pPr>
      <w:r w:rsidRPr="00E306CC">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V2G</m:t>
            </m:r>
          </m:sub>
        </m:sSub>
        <m:r>
          <w:rPr>
            <w:rFonts w:ascii="Cambria Math" w:hAnsi="Cambria Math" w:cs="Times New Roman"/>
          </w:rPr>
          <m:t>(t)</m:t>
        </m:r>
      </m:oMath>
      <w:r w:rsidRPr="00E306CC">
        <w:rPr>
          <w:rFonts w:ascii="Times New Roman" w:hAnsi="Times New Roman" w:cs="Times New Roman"/>
        </w:rPr>
        <w:t xml:space="preserve">is the total power supplied to the grid (kW),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V2G</m:t>
            </m:r>
          </m:sub>
        </m:sSub>
      </m:oMath>
      <w:r w:rsidRPr="00E306CC">
        <w:rPr>
          <w:rFonts w:ascii="Times New Roman" w:hAnsi="Times New Roman" w:cs="Times New Roman"/>
        </w:rPr>
        <w:t xml:space="preserve">is the discharge efficiency,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dis,i</m:t>
            </m:r>
          </m:sub>
        </m:sSub>
        <m:r>
          <w:rPr>
            <w:rFonts w:ascii="Cambria Math" w:hAnsi="Cambria Math" w:cs="Times New Roman"/>
          </w:rPr>
          <m:t>(t)</m:t>
        </m:r>
      </m:oMath>
      <w:r w:rsidRPr="00E306CC">
        <w:rPr>
          <w:rFonts w:ascii="Times New Roman" w:hAnsi="Times New Roman" w:cs="Times New Roman"/>
        </w:rPr>
        <w:t xml:space="preserve">is the discharging power of the </w:t>
      </w:r>
      <m:oMath>
        <m:sSup>
          <m:sSupPr>
            <m:ctrlPr>
              <w:rPr>
                <w:rFonts w:ascii="Cambria Math" w:hAnsi="Cambria Math" w:cs="Times New Roman"/>
              </w:rPr>
            </m:ctrlPr>
          </m:sSupPr>
          <m:e>
            <m:r>
              <w:rPr>
                <w:rFonts w:ascii="Cambria Math" w:hAnsi="Cambria Math" w:cs="Times New Roman"/>
              </w:rPr>
              <m:t>i</m:t>
            </m:r>
          </m:e>
          <m:sup>
            <m:r>
              <w:rPr>
                <w:rFonts w:ascii="Cambria Math" w:hAnsi="Cambria Math" w:cs="Times New Roman"/>
              </w:rPr>
              <m:t>th</m:t>
            </m:r>
          </m:sup>
        </m:sSup>
      </m:oMath>
      <w:r w:rsidRPr="00E306CC">
        <w:rPr>
          <w:rFonts w:ascii="Times New Roman" w:hAnsi="Times New Roman" w:cs="Times New Roman"/>
        </w:rPr>
        <w:t xml:space="preserve">EV, and </w:t>
      </w:r>
      <m:oMath>
        <m:r>
          <w:rPr>
            <w:rFonts w:ascii="Cambria Math" w:hAnsi="Cambria Math" w:cs="Times New Roman"/>
          </w:rPr>
          <m:t>N</m:t>
        </m:r>
      </m:oMath>
      <w:r w:rsidRPr="00E306CC">
        <w:rPr>
          <w:rFonts w:ascii="Times New Roman" w:hAnsi="Times New Roman" w:cs="Times New Roman"/>
        </w:rPr>
        <w:t>is the number of participating vehicles.</w:t>
      </w:r>
    </w:p>
    <w:p w14:paraId="39CED711" w14:textId="50959F0C" w:rsidR="00C47148" w:rsidRPr="00E306CC" w:rsidRDefault="00C47148" w:rsidP="00E306CC">
      <w:pPr>
        <w:spacing w:after="0" w:line="240" w:lineRule="auto"/>
        <w:jc w:val="both"/>
        <w:rPr>
          <w:rFonts w:ascii="Times New Roman" w:hAnsi="Times New Roman" w:cs="Times New Roman"/>
        </w:rPr>
      </w:pPr>
      <w:r w:rsidRPr="00E306CC">
        <w:rPr>
          <w:rFonts w:ascii="Times New Roman" w:hAnsi="Times New Roman" w:cs="Times New Roman"/>
        </w:rPr>
        <w:t>This equation represents the aggregated contribution of EVs as a distributed energy source, where total V2G output depends on fleet size, discharge power, and efficiency. Within the</w:t>
      </w:r>
      <w:r w:rsidRPr="00C47148">
        <w:rPr>
          <w:rFonts w:ascii="Calibri" w:hAnsi="Calibri" w:cs="Calibri"/>
        </w:rPr>
        <w:t xml:space="preserve"> </w:t>
      </w:r>
      <w:r w:rsidRPr="00E306CC">
        <w:rPr>
          <w:rFonts w:ascii="Times New Roman" w:hAnsi="Times New Roman" w:cs="Times New Roman"/>
        </w:rPr>
        <w:t>sector-coupled framework, V2G supports grid operation during deficit and peak demand periods, while enabling EVs to recharge or remain idle under normal conditions.</w:t>
      </w:r>
    </w:p>
    <w:p w14:paraId="5BBA6794" w14:textId="140FB63C" w:rsidR="00914625" w:rsidRPr="00E306CC" w:rsidRDefault="00914625" w:rsidP="00E306CC">
      <w:pPr>
        <w:spacing w:after="0" w:line="240" w:lineRule="auto"/>
        <w:jc w:val="both"/>
        <w:rPr>
          <w:rFonts w:ascii="Times New Roman" w:hAnsi="Times New Roman" w:cs="Times New Roman"/>
        </w:rPr>
      </w:pPr>
      <w:r w:rsidRPr="00E306CC">
        <w:rPr>
          <w:rFonts w:ascii="Times New Roman" w:hAnsi="Times New Roman" w:cs="Times New Roman"/>
        </w:rPr>
        <w:lastRenderedPageBreak/>
        <w:t>This bidirectional capability enables EVs to function as short-term energy storage, complementing long-term hydrogen storage, and effectively forming a virtual power plant that responds dynamically to grid conditions.</w:t>
      </w:r>
    </w:p>
    <w:p w14:paraId="01086541" w14:textId="7F96EACB" w:rsidR="005E4468" w:rsidRPr="00162F4D" w:rsidRDefault="005E4468" w:rsidP="005E4468">
      <w:pPr>
        <w:spacing w:after="0"/>
        <w:jc w:val="both"/>
        <w:rPr>
          <w:rFonts w:ascii="Times New Roman" w:hAnsi="Times New Roman" w:cs="Times New Roman"/>
          <w:b/>
          <w:bCs/>
        </w:rPr>
      </w:pPr>
      <w:r w:rsidRPr="00162F4D">
        <w:rPr>
          <w:rFonts w:ascii="Times New Roman" w:hAnsi="Times New Roman" w:cs="Times New Roman"/>
          <w:b/>
          <w:bCs/>
        </w:rPr>
        <w:t>Dynamic SoC Equation (Charging &amp; Discharging)</w:t>
      </w:r>
    </w:p>
    <w:p w14:paraId="3A211341" w14:textId="77777777" w:rsidR="005E4468" w:rsidRPr="000B629D" w:rsidRDefault="005E4468" w:rsidP="005E4468">
      <w:pPr>
        <w:spacing w:after="0"/>
        <w:jc w:val="both"/>
        <w:rPr>
          <w:rFonts w:ascii="Calibri" w:hAnsi="Calibri" w:cs="Calibri"/>
        </w:rPr>
      </w:pPr>
      <w:r>
        <w:rPr>
          <w:rFonts w:ascii="Calibri" w:eastAsiaTheme="minorEastAsia" w:hAnsi="Calibri" w:cs="Calibri"/>
        </w:rPr>
        <w:t xml:space="preserve">   </w:t>
      </w:r>
      <w:r w:rsidRPr="000B629D">
        <w:rPr>
          <w:rFonts w:ascii="Calibri" w:eastAsiaTheme="minorEastAsia" w:hAnsi="Calibri" w:cs="Calibri"/>
          <w:b/>
          <w:bCs/>
        </w:rPr>
        <w:t>Equation 12</w:t>
      </w:r>
      <w:r>
        <w:rPr>
          <w:rFonts w:ascii="Calibri" w:eastAsiaTheme="minorEastAsia" w:hAnsi="Calibri" w:cs="Calibri"/>
        </w:rPr>
        <w:t xml:space="preserve">                                          </w:t>
      </w:r>
      <m:oMath>
        <m:r>
          <w:rPr>
            <w:rFonts w:ascii="Cambria Math" w:hAnsi="Cambria Math" w:cs="Calibri"/>
          </w:rPr>
          <m:t>SoC(t+1)=SoC(t)+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η</m:t>
                </m:r>
              </m:e>
              <m:sub>
                <m:r>
                  <w:rPr>
                    <w:rFonts w:ascii="Cambria Math" w:hAnsi="Cambria Math" w:cs="Calibri"/>
                  </w:rPr>
                  <m:t>ch</m:t>
                </m:r>
              </m:sub>
            </m:sSub>
            <m:r>
              <w:rPr>
                <w:rFonts w:ascii="Cambria Math" w:hAnsi="Cambria Math" w:cs="Calibri"/>
              </w:rPr>
              <m:t>⋅</m:t>
            </m:r>
            <m:sSub>
              <m:sSubPr>
                <m:ctrlPr>
                  <w:rPr>
                    <w:rFonts w:ascii="Cambria Math" w:hAnsi="Cambria Math" w:cs="Calibri"/>
                  </w:rPr>
                </m:ctrlPr>
              </m:sSubPr>
              <m:e>
                <m:r>
                  <w:rPr>
                    <w:rFonts w:ascii="Cambria Math" w:hAnsi="Cambria Math" w:cs="Calibri"/>
                  </w:rPr>
                  <m:t>P</m:t>
                </m:r>
              </m:e>
              <m:sub>
                <m:r>
                  <w:rPr>
                    <w:rFonts w:ascii="Cambria Math" w:hAnsi="Cambria Math" w:cs="Calibri"/>
                  </w:rPr>
                  <m:t>ch</m:t>
                </m:r>
              </m:sub>
            </m:sSub>
            <m:r>
              <w:rPr>
                <w:rFonts w:ascii="Cambria Math" w:hAnsi="Cambria Math" w:cs="Calibri"/>
              </w:rPr>
              <m:t>(t)⋅</m:t>
            </m:r>
            <m:r>
              <m:rPr>
                <m:sty m:val="p"/>
              </m:rPr>
              <w:rPr>
                <w:rFonts w:ascii="Cambria Math" w:hAnsi="Cambria Math" w:cs="Calibri"/>
              </w:rPr>
              <m:t>Δ</m:t>
            </m:r>
            <m:r>
              <w:rPr>
                <w:rFonts w:ascii="Cambria Math" w:hAnsi="Cambria Math" w:cs="Calibri"/>
              </w:rPr>
              <m:t>t</m:t>
            </m:r>
          </m:num>
          <m:den>
            <m:sSubSup>
              <m:sSubSupPr>
                <m:ctrlPr>
                  <w:rPr>
                    <w:rFonts w:ascii="Cambria Math" w:hAnsi="Cambria Math" w:cs="Calibri"/>
                  </w:rPr>
                </m:ctrlPr>
              </m:sSubSupPr>
              <m:e>
                <m:r>
                  <w:rPr>
                    <w:rFonts w:ascii="Cambria Math" w:hAnsi="Cambria Math" w:cs="Calibri"/>
                  </w:rPr>
                  <m:t>E</m:t>
                </m:r>
              </m:e>
              <m:sub>
                <m:r>
                  <w:rPr>
                    <w:rFonts w:ascii="Cambria Math" w:hAnsi="Cambria Math" w:cs="Calibri"/>
                  </w:rPr>
                  <m:t>bat</m:t>
                </m:r>
              </m:sub>
              <m:sup>
                <m:r>
                  <w:rPr>
                    <w:rFonts w:ascii="Cambria Math" w:hAnsi="Cambria Math" w:cs="Calibri"/>
                  </w:rPr>
                  <m:t>max</m:t>
                </m:r>
              </m:sup>
            </m:sSubSup>
          </m:den>
        </m:f>
        <m:r>
          <w:rPr>
            <w:rFonts w:ascii="Cambria Math" w:hAnsi="Cambria Math" w:cs="Calibri"/>
          </w:rPr>
          <m:t>-</m:t>
        </m:r>
        <m:f>
          <m:fPr>
            <m:ctrlPr>
              <w:rPr>
                <w:rFonts w:ascii="Cambria Math" w:hAnsi="Cambria Math" w:cs="Calibri"/>
              </w:rPr>
            </m:ctrlPr>
          </m:fPr>
          <m:num>
            <m:sSub>
              <m:sSubPr>
                <m:ctrlPr>
                  <w:rPr>
                    <w:rFonts w:ascii="Cambria Math" w:hAnsi="Cambria Math" w:cs="Calibri"/>
                  </w:rPr>
                </m:ctrlPr>
              </m:sSubPr>
              <m:e>
                <m:r>
                  <w:rPr>
                    <w:rFonts w:ascii="Cambria Math" w:hAnsi="Cambria Math" w:cs="Calibri"/>
                  </w:rPr>
                  <m:t>P</m:t>
                </m:r>
              </m:e>
              <m:sub>
                <m:r>
                  <w:rPr>
                    <w:rFonts w:ascii="Cambria Math" w:hAnsi="Cambria Math" w:cs="Calibri"/>
                  </w:rPr>
                  <m:t>dis</m:t>
                </m:r>
              </m:sub>
            </m:sSub>
            <m:r>
              <w:rPr>
                <w:rFonts w:ascii="Cambria Math" w:hAnsi="Cambria Math" w:cs="Calibri"/>
              </w:rPr>
              <m:t>(t)⋅</m:t>
            </m:r>
            <m:r>
              <m:rPr>
                <m:sty m:val="p"/>
              </m:rPr>
              <w:rPr>
                <w:rFonts w:ascii="Cambria Math" w:hAnsi="Cambria Math" w:cs="Calibri"/>
              </w:rPr>
              <m:t>Δ</m:t>
            </m:r>
            <m:r>
              <w:rPr>
                <w:rFonts w:ascii="Cambria Math" w:hAnsi="Cambria Math" w:cs="Calibri"/>
              </w:rPr>
              <m:t>t</m:t>
            </m:r>
          </m:num>
          <m:den>
            <m:sSub>
              <m:sSubPr>
                <m:ctrlPr>
                  <w:rPr>
                    <w:rFonts w:ascii="Cambria Math" w:hAnsi="Cambria Math" w:cs="Calibri"/>
                  </w:rPr>
                </m:ctrlPr>
              </m:sSubPr>
              <m:e>
                <m:r>
                  <w:rPr>
                    <w:rFonts w:ascii="Cambria Math" w:hAnsi="Cambria Math" w:cs="Calibri"/>
                  </w:rPr>
                  <m:t>η</m:t>
                </m:r>
              </m:e>
              <m:sub>
                <m:r>
                  <w:rPr>
                    <w:rFonts w:ascii="Cambria Math" w:hAnsi="Cambria Math" w:cs="Calibri"/>
                  </w:rPr>
                  <m:t>dis</m:t>
                </m:r>
              </m:sub>
            </m:sSub>
            <m:r>
              <w:rPr>
                <w:rFonts w:ascii="Cambria Math" w:hAnsi="Cambria Math" w:cs="Calibri"/>
              </w:rPr>
              <m:t>⋅</m:t>
            </m:r>
            <m:sSubSup>
              <m:sSubSupPr>
                <m:ctrlPr>
                  <w:rPr>
                    <w:rFonts w:ascii="Cambria Math" w:hAnsi="Cambria Math" w:cs="Calibri"/>
                  </w:rPr>
                </m:ctrlPr>
              </m:sSubSupPr>
              <m:e>
                <m:r>
                  <w:rPr>
                    <w:rFonts w:ascii="Cambria Math" w:hAnsi="Cambria Math" w:cs="Calibri"/>
                  </w:rPr>
                  <m:t>E</m:t>
                </m:r>
              </m:e>
              <m:sub>
                <m:r>
                  <w:rPr>
                    <w:rFonts w:ascii="Cambria Math" w:hAnsi="Cambria Math" w:cs="Calibri"/>
                  </w:rPr>
                  <m:t>bat</m:t>
                </m:r>
              </m:sub>
              <m:sup>
                <m:r>
                  <w:rPr>
                    <w:rFonts w:ascii="Cambria Math" w:hAnsi="Cambria Math" w:cs="Calibri"/>
                  </w:rPr>
                  <m:t>max</m:t>
                </m:r>
              </m:sup>
            </m:sSubSup>
          </m:den>
        </m:f>
      </m:oMath>
    </w:p>
    <w:p w14:paraId="35C2D472" w14:textId="60935E84" w:rsidR="00AA449B" w:rsidRPr="00E306CC" w:rsidRDefault="00121628" w:rsidP="00E306CC">
      <w:pPr>
        <w:spacing w:line="240" w:lineRule="auto"/>
        <w:jc w:val="both"/>
        <w:rPr>
          <w:rFonts w:ascii="Times New Roman" w:hAnsi="Times New Roman" w:cs="Times New Roman"/>
        </w:rPr>
      </w:pPr>
      <w:r w:rsidRPr="00E306CC">
        <w:rPr>
          <w:rFonts w:ascii="Times New Roman" w:hAnsi="Times New Roman" w:cs="Times New Roman"/>
        </w:rPr>
        <w:t xml:space="preserve">Where </w:t>
      </w:r>
      <m:oMath>
        <m:r>
          <w:rPr>
            <w:rFonts w:ascii="Cambria Math" w:hAnsi="Cambria Math" w:cs="Times New Roman"/>
          </w:rPr>
          <m:t>SoC(t+1)</m:t>
        </m:r>
      </m:oMath>
      <w:r w:rsidRPr="00E306CC">
        <w:rPr>
          <w:rFonts w:ascii="Times New Roman" w:hAnsi="Times New Roman" w:cs="Times New Roman"/>
        </w:rPr>
        <w:t xml:space="preserve">is the state of charge at the next time step,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ch</m:t>
            </m:r>
          </m:sub>
        </m:sSub>
        <m:r>
          <w:rPr>
            <w:rFonts w:ascii="Cambria Math" w:hAnsi="Cambria Math" w:cs="Times New Roman"/>
          </w:rPr>
          <m:t>(t)</m:t>
        </m:r>
      </m:oMath>
      <w:r w:rsidRPr="00E306CC">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dis</m:t>
            </m:r>
          </m:sub>
        </m:sSub>
        <m:r>
          <w:rPr>
            <w:rFonts w:ascii="Cambria Math" w:hAnsi="Cambria Math" w:cs="Times New Roman"/>
          </w:rPr>
          <m:t>(t)</m:t>
        </m:r>
      </m:oMath>
      <w:r w:rsidRPr="00E306CC">
        <w:rPr>
          <w:rFonts w:ascii="Times New Roman" w:hAnsi="Times New Roman" w:cs="Times New Roman"/>
        </w:rPr>
        <w:t xml:space="preserve">are the charging and discharging power (kW),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ch</m:t>
            </m:r>
          </m:sub>
        </m:sSub>
      </m:oMath>
      <w:r w:rsidRPr="00E306CC">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dis</m:t>
            </m:r>
          </m:sub>
        </m:sSub>
      </m:oMath>
      <w:r w:rsidRPr="00E306CC">
        <w:rPr>
          <w:rFonts w:ascii="Times New Roman" w:hAnsi="Times New Roman" w:cs="Times New Roman"/>
        </w:rPr>
        <w:t xml:space="preserve">are efficiencies, and </w:t>
      </w:r>
      <m:oMath>
        <m:r>
          <m:rPr>
            <m:sty m:val="p"/>
          </m:rPr>
          <w:rPr>
            <w:rFonts w:ascii="Cambria Math" w:hAnsi="Cambria Math" w:cs="Times New Roman"/>
          </w:rPr>
          <m:t>Δ</m:t>
        </m:r>
        <m:r>
          <w:rPr>
            <w:rFonts w:ascii="Cambria Math" w:hAnsi="Cambria Math" w:cs="Times New Roman"/>
          </w:rPr>
          <m:t>t</m:t>
        </m:r>
      </m:oMath>
      <w:r w:rsidRPr="00E306CC">
        <w:rPr>
          <w:rFonts w:ascii="Times New Roman" w:hAnsi="Times New Roman" w:cs="Times New Roman"/>
        </w:rPr>
        <w:t>is the time interval (hours). The integration of EV fleets with renewable generation enables dynamic load balancing and enhances overall system flexibility.</w:t>
      </w:r>
    </w:p>
    <w:p w14:paraId="2430D23C" w14:textId="1D0FB98D" w:rsidR="003E303D" w:rsidRPr="00162F4D" w:rsidRDefault="00195C6E" w:rsidP="00195C6E">
      <w:pPr>
        <w:spacing w:after="0"/>
        <w:rPr>
          <w:rFonts w:ascii="Times New Roman" w:hAnsi="Times New Roman" w:cs="Times New Roman"/>
          <w:b/>
          <w:bCs/>
          <w:sz w:val="28"/>
          <w:szCs w:val="28"/>
        </w:rPr>
      </w:pPr>
      <w:r w:rsidRPr="00162F4D">
        <w:rPr>
          <w:rFonts w:ascii="Times New Roman" w:hAnsi="Times New Roman" w:cs="Times New Roman"/>
          <w:b/>
          <w:bCs/>
          <w:sz w:val="28"/>
          <w:szCs w:val="28"/>
        </w:rPr>
        <w:t>FUNCTIONAL CONTRIBUTIONS OF EV INTEGRATION</w:t>
      </w:r>
    </w:p>
    <w:p w14:paraId="3BF0EDE8" w14:textId="35170729" w:rsidR="00DE7088" w:rsidRPr="00E306CC" w:rsidRDefault="00DE7088" w:rsidP="00E306CC">
      <w:pPr>
        <w:spacing w:after="0" w:line="240" w:lineRule="auto"/>
        <w:jc w:val="both"/>
        <w:rPr>
          <w:rFonts w:ascii="Times New Roman" w:hAnsi="Times New Roman" w:cs="Times New Roman"/>
        </w:rPr>
      </w:pPr>
      <w:r w:rsidRPr="00E306CC">
        <w:rPr>
          <w:rFonts w:ascii="Times New Roman" w:hAnsi="Times New Roman" w:cs="Times New Roman"/>
        </w:rPr>
        <w:t>The integration of electric vehicles (EVs) within the sector-coupled framework enhances grid flexibility by enabling EV fleets to operate as distributed energy resources. Through vehicle-to-grid (V2G) functionality and smart charging, EVs contribute to peak load reduction, demand response, short-term energy storage, and improved load distribution. The interaction between renewable generation, hydrogen systems, and EVs is coordinated by an Energy Management System (EMS), which dynamically optimises energy flows between generation, storage, and demand. The EMS prioritises renewable energy utilisation, efficient allocation of surplus energy to hydrogen production and EV charging, reliable supply during deficit conditions via V2G and fuel cells, and minimisation of system losses and curtailment. The overall operation of the system is governed by the energy balance equation.</w:t>
      </w:r>
    </w:p>
    <w:p w14:paraId="0ECF5CCA" w14:textId="437CF63D" w:rsidR="00143F97" w:rsidRPr="003048AA" w:rsidRDefault="00A17536" w:rsidP="00143F97">
      <w:pPr>
        <w:spacing w:after="0"/>
        <w:jc w:val="both"/>
        <w:rPr>
          <w:rFonts w:ascii="Calibri" w:hAnsi="Calibri" w:cs="Calibri"/>
          <w:iCs/>
        </w:rPr>
      </w:pPr>
      <m:oMathPara>
        <m:oMathParaPr>
          <m:jc m:val="left"/>
        </m:oMathParaPr>
        <m:oMath>
          <m:m>
            <m:mPr>
              <m:plcHide m:val="1"/>
              <m:mcs>
                <m:mc>
                  <m:mcPr>
                    <m:count m:val="4"/>
                    <m:mcJc m:val="center"/>
                  </m:mcPr>
                </m:mc>
              </m:mcs>
              <m:ctrlPr>
                <w:rPr>
                  <w:rFonts w:ascii="Cambria Math" w:hAnsi="Cambria Math" w:cs="Calibri"/>
                  <w:iCs/>
                </w:rPr>
              </m:ctrlPr>
            </m:mPr>
            <m:mr>
              <m:e/>
              <m:e>
                <m:r>
                  <m:rPr>
                    <m:sty m:val="b"/>
                  </m:rPr>
                  <w:rPr>
                    <w:rFonts w:ascii="Cambria Math" w:eastAsiaTheme="minorEastAsia" w:hAnsi="Cambria Math" w:cs="Calibri"/>
                  </w:rPr>
                  <m:t>Equation</m:t>
                </m:r>
                <m:r>
                  <m:rPr>
                    <m:sty m:val="b"/>
                  </m:rPr>
                  <w:rPr>
                    <w:rFonts w:ascii="Cambria Math" w:eastAsiaTheme="minorEastAsia" w:hAnsi="Cambria Math" w:cs="Calibri"/>
                  </w:rPr>
                  <m:t xml:space="preserve"> </m:t>
                </m:r>
                <m:r>
                  <m:rPr>
                    <m:sty m:val="b"/>
                  </m:rPr>
                  <w:rPr>
                    <w:rFonts w:ascii="Cambria Math" w:eastAsiaTheme="minorEastAsia" w:hAnsi="Cambria Math" w:cs="Calibri"/>
                  </w:rPr>
                  <m:t>13</m:t>
                </m:r>
                <m:r>
                  <m:rPr>
                    <m:sty m:val="b"/>
                  </m:rPr>
                  <w:rPr>
                    <w:rFonts w:ascii="Cambria Math" w:eastAsiaTheme="minorEastAsia" w:hAnsi="Cambria Math" w:cs="Calibri"/>
                  </w:rPr>
                  <m:t xml:space="preserve">    </m:t>
                </m:r>
                <m:r>
                  <m:rPr>
                    <m:sty m:val="p"/>
                  </m:rPr>
                  <w:rPr>
                    <w:rFonts w:ascii="Cambria Math" w:hAnsi="Cambria Math" w:cs="Calibri"/>
                  </w:rPr>
                  <m:t xml:space="preserve"> </m:t>
                </m:r>
                <m:sSub>
                  <m:sSubPr>
                    <m:ctrlPr>
                      <w:rPr>
                        <w:rFonts w:ascii="Cambria Math" w:hAnsi="Cambria Math" w:cs="Calibri"/>
                        <w:iCs/>
                      </w:rPr>
                    </m:ctrlPr>
                  </m:sSubPr>
                  <m:e>
                    <m:r>
                      <m:rPr>
                        <m:sty m:val="p"/>
                      </m:rPr>
                      <w:rPr>
                        <w:rFonts w:ascii="Cambria Math" w:hAnsi="Cambria Math" w:cs="Calibri"/>
                      </w:rPr>
                      <m:t>P</m:t>
                    </m:r>
                  </m:e>
                  <m:sub>
                    <m:r>
                      <m:rPr>
                        <m:sty m:val="p"/>
                      </m:rPr>
                      <w:rPr>
                        <w:rFonts w:ascii="Cambria Math" w:hAnsi="Cambria Math" w:cs="Calibri"/>
                      </w:rPr>
                      <m:t>RE</m:t>
                    </m:r>
                  </m:sub>
                </m:sSub>
                <m:r>
                  <m:rPr>
                    <m:sty m:val="p"/>
                  </m:rPr>
                  <w:rPr>
                    <w:rFonts w:ascii="Cambria Math" w:hAnsi="Cambria Math" w:cs="Calibri"/>
                  </w:rPr>
                  <m:t>(t)+</m:t>
                </m:r>
                <m:sSub>
                  <m:sSubPr>
                    <m:ctrlPr>
                      <w:rPr>
                        <w:rFonts w:ascii="Cambria Math" w:hAnsi="Cambria Math" w:cs="Calibri"/>
                        <w:iCs/>
                      </w:rPr>
                    </m:ctrlPr>
                  </m:sSubPr>
                  <m:e>
                    <m:r>
                      <m:rPr>
                        <m:sty m:val="p"/>
                      </m:rPr>
                      <w:rPr>
                        <w:rFonts w:ascii="Cambria Math" w:hAnsi="Cambria Math" w:cs="Calibri"/>
                      </w:rPr>
                      <m:t>P</m:t>
                    </m:r>
                  </m:e>
                  <m:sub>
                    <m:r>
                      <m:rPr>
                        <m:sty m:val="p"/>
                      </m:rPr>
                      <w:rPr>
                        <w:rFonts w:ascii="Cambria Math" w:hAnsi="Cambria Math" w:cs="Calibri"/>
                      </w:rPr>
                      <m:t>V2G</m:t>
                    </m:r>
                  </m:sub>
                </m:sSub>
                <m:r>
                  <m:rPr>
                    <m:sty m:val="p"/>
                  </m:rPr>
                  <w:rPr>
                    <w:rFonts w:ascii="Cambria Math" w:hAnsi="Cambria Math" w:cs="Calibri"/>
                  </w:rPr>
                  <m:t>(t)+</m:t>
                </m:r>
                <m:sSub>
                  <m:sSubPr>
                    <m:ctrlPr>
                      <w:rPr>
                        <w:rFonts w:ascii="Cambria Math" w:hAnsi="Cambria Math" w:cs="Calibri"/>
                        <w:iCs/>
                      </w:rPr>
                    </m:ctrlPr>
                  </m:sSubPr>
                  <m:e>
                    <m:r>
                      <m:rPr>
                        <m:sty m:val="p"/>
                      </m:rPr>
                      <w:rPr>
                        <w:rFonts w:ascii="Cambria Math" w:hAnsi="Cambria Math" w:cs="Calibri"/>
                      </w:rPr>
                      <m:t>P</m:t>
                    </m:r>
                  </m:e>
                  <m:sub>
                    <m:r>
                      <m:rPr>
                        <m:sty m:val="p"/>
                      </m:rPr>
                      <w:rPr>
                        <w:rFonts w:ascii="Cambria Math" w:hAnsi="Cambria Math" w:cs="Calibri"/>
                      </w:rPr>
                      <m:t>FC</m:t>
                    </m:r>
                  </m:sub>
                </m:sSub>
                <m:r>
                  <m:rPr>
                    <m:sty m:val="p"/>
                  </m:rPr>
                  <w:rPr>
                    <w:rFonts w:ascii="Cambria Math" w:hAnsi="Cambria Math" w:cs="Calibri"/>
                  </w:rPr>
                  <m:t>(t)=</m:t>
                </m:r>
                <m:sSub>
                  <m:sSubPr>
                    <m:ctrlPr>
                      <w:rPr>
                        <w:rFonts w:ascii="Cambria Math" w:hAnsi="Cambria Math" w:cs="Calibri"/>
                        <w:iCs/>
                      </w:rPr>
                    </m:ctrlPr>
                  </m:sSubPr>
                  <m:e>
                    <m:r>
                      <m:rPr>
                        <m:sty m:val="p"/>
                      </m:rPr>
                      <w:rPr>
                        <w:rFonts w:ascii="Cambria Math" w:hAnsi="Cambria Math" w:cs="Calibri"/>
                      </w:rPr>
                      <m:t>P</m:t>
                    </m:r>
                  </m:e>
                  <m:sub>
                    <m:r>
                      <m:rPr>
                        <m:sty m:val="p"/>
                      </m:rPr>
                      <w:rPr>
                        <w:rFonts w:ascii="Cambria Math" w:hAnsi="Cambria Math" w:cs="Calibri"/>
                      </w:rPr>
                      <m:t>D</m:t>
                    </m:r>
                  </m:sub>
                </m:sSub>
                <m:r>
                  <m:rPr>
                    <m:sty m:val="p"/>
                  </m:rPr>
                  <w:rPr>
                    <w:rFonts w:ascii="Cambria Math" w:hAnsi="Cambria Math" w:cs="Calibri"/>
                  </w:rPr>
                  <m:t>(t)+</m:t>
                </m:r>
                <m:sSub>
                  <m:sSubPr>
                    <m:ctrlPr>
                      <w:rPr>
                        <w:rFonts w:ascii="Cambria Math" w:hAnsi="Cambria Math" w:cs="Calibri"/>
                        <w:iCs/>
                      </w:rPr>
                    </m:ctrlPr>
                  </m:sSubPr>
                  <m:e>
                    <m:r>
                      <m:rPr>
                        <m:sty m:val="p"/>
                      </m:rPr>
                      <w:rPr>
                        <w:rFonts w:ascii="Cambria Math" w:hAnsi="Cambria Math" w:cs="Calibri"/>
                      </w:rPr>
                      <m:t>P</m:t>
                    </m:r>
                  </m:e>
                  <m:sub>
                    <m:r>
                      <m:rPr>
                        <m:sty m:val="p"/>
                      </m:rPr>
                      <w:rPr>
                        <w:rFonts w:ascii="Cambria Math" w:hAnsi="Cambria Math" w:cs="Calibri"/>
                      </w:rPr>
                      <m:t>EL</m:t>
                    </m:r>
                  </m:sub>
                </m:sSub>
                <m:r>
                  <m:rPr>
                    <m:sty m:val="p"/>
                  </m:rPr>
                  <w:rPr>
                    <w:rFonts w:ascii="Cambria Math" w:hAnsi="Cambria Math" w:cs="Calibri"/>
                  </w:rPr>
                  <m:t>(t)+</m:t>
                </m:r>
                <m:sSub>
                  <m:sSubPr>
                    <m:ctrlPr>
                      <w:rPr>
                        <w:rFonts w:ascii="Cambria Math" w:hAnsi="Cambria Math" w:cs="Calibri"/>
                        <w:iCs/>
                      </w:rPr>
                    </m:ctrlPr>
                  </m:sSubPr>
                  <m:e>
                    <m:r>
                      <m:rPr>
                        <m:sty m:val="p"/>
                      </m:rPr>
                      <w:rPr>
                        <w:rFonts w:ascii="Cambria Math" w:hAnsi="Cambria Math" w:cs="Calibri"/>
                      </w:rPr>
                      <m:t>P</m:t>
                    </m:r>
                  </m:e>
                  <m:sub>
                    <m:r>
                      <m:rPr>
                        <m:sty m:val="p"/>
                      </m:rPr>
                      <w:rPr>
                        <w:rFonts w:ascii="Cambria Math" w:hAnsi="Cambria Math" w:cs="Calibri"/>
                      </w:rPr>
                      <m:t>EV</m:t>
                    </m:r>
                  </m:sub>
                </m:sSub>
                <m:r>
                  <m:rPr>
                    <m:sty m:val="p"/>
                  </m:rPr>
                  <w:rPr>
                    <w:rFonts w:ascii="Cambria Math" w:hAnsi="Cambria Math" w:cs="Calibri"/>
                  </w:rPr>
                  <m:t>(t)+</m:t>
                </m:r>
                <m:sSub>
                  <m:sSubPr>
                    <m:ctrlPr>
                      <w:rPr>
                        <w:rFonts w:ascii="Cambria Math" w:hAnsi="Cambria Math" w:cs="Calibri"/>
                        <w:iCs/>
                      </w:rPr>
                    </m:ctrlPr>
                  </m:sSubPr>
                  <m:e>
                    <m:r>
                      <m:rPr>
                        <m:sty m:val="p"/>
                      </m:rPr>
                      <w:rPr>
                        <w:rFonts w:ascii="Cambria Math" w:hAnsi="Cambria Math" w:cs="Calibri"/>
                      </w:rPr>
                      <m:t>P</m:t>
                    </m:r>
                  </m:e>
                  <m:sub>
                    <m:r>
                      <m:rPr>
                        <m:sty m:val="p"/>
                      </m:rPr>
                      <w:rPr>
                        <w:rFonts w:ascii="Cambria Math" w:hAnsi="Cambria Math" w:cs="Calibri"/>
                      </w:rPr>
                      <m:t>loss</m:t>
                    </m:r>
                  </m:sub>
                </m:sSub>
                <m:r>
                  <m:rPr>
                    <m:sty m:val="p"/>
                  </m:rPr>
                  <w:rPr>
                    <w:rFonts w:ascii="Cambria Math" w:hAnsi="Cambria Math" w:cs="Calibri"/>
                  </w:rPr>
                  <m:t>(t)</m:t>
                </m:r>
              </m:e>
              <m:e/>
              <m:e/>
            </m:mr>
          </m:m>
        </m:oMath>
      </m:oMathPara>
    </w:p>
    <w:p w14:paraId="13C923D8" w14:textId="7B2487DC" w:rsidR="00143F97" w:rsidRPr="00E306CC" w:rsidRDefault="00143F97" w:rsidP="00E306CC">
      <w:pPr>
        <w:spacing w:after="0" w:line="240" w:lineRule="auto"/>
        <w:jc w:val="both"/>
        <w:rPr>
          <w:rFonts w:ascii="Times New Roman" w:hAnsi="Times New Roman" w:cs="Times New Roman"/>
          <w:iCs/>
        </w:rPr>
      </w:pPr>
      <w:r w:rsidRPr="00E306CC">
        <w:rPr>
          <w:rFonts w:ascii="Times New Roman" w:hAnsi="Times New Roman" w:cs="Times New Roman"/>
          <w:iCs/>
        </w:rPr>
        <w:t xml:space="preserve">Where: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RE</m:t>
            </m:r>
          </m:sub>
        </m:sSub>
      </m:oMath>
      <w:r w:rsidRPr="00E306CC">
        <w:rPr>
          <w:rFonts w:ascii="Times New Roman" w:hAnsi="Times New Roman" w:cs="Times New Roman"/>
          <w:iCs/>
        </w:rPr>
        <w:t xml:space="preserve"> is renewable generation,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V2G</m:t>
            </m:r>
          </m:sub>
        </m:sSub>
      </m:oMath>
      <w:r w:rsidRPr="00E306CC">
        <w:rPr>
          <w:rFonts w:ascii="Times New Roman" w:hAnsi="Times New Roman" w:cs="Times New Roman"/>
          <w:iCs/>
        </w:rPr>
        <w:t xml:space="preserve"> is V2G discharge power,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FC</m:t>
            </m:r>
          </m:sub>
        </m:sSub>
        <m:r>
          <w:rPr>
            <w:rFonts w:ascii="Cambria Math" w:hAnsi="Cambria Math" w:cs="Times New Roman"/>
          </w:rPr>
          <m:t xml:space="preserve"> </m:t>
        </m:r>
      </m:oMath>
      <w:r w:rsidRPr="00E306CC">
        <w:rPr>
          <w:rFonts w:ascii="Times New Roman" w:hAnsi="Times New Roman" w:cs="Times New Roman"/>
          <w:iCs/>
        </w:rPr>
        <w:t xml:space="preserve">is fuel-cell power output,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D</m:t>
            </m:r>
          </m:sub>
        </m:sSub>
      </m:oMath>
      <w:r w:rsidRPr="00E306CC">
        <w:rPr>
          <w:rFonts w:ascii="Times New Roman" w:hAnsi="Times New Roman" w:cs="Times New Roman"/>
          <w:iCs/>
        </w:rPr>
        <w:t xml:space="preserve"> is demand,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EL</m:t>
            </m:r>
          </m:sub>
        </m:sSub>
      </m:oMath>
      <w:r w:rsidRPr="00E306CC">
        <w:rPr>
          <w:rFonts w:ascii="Times New Roman" w:hAnsi="Times New Roman" w:cs="Times New Roman"/>
          <w:iCs/>
        </w:rPr>
        <w:t xml:space="preserve"> is electrolyser load,</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EV</m:t>
            </m:r>
          </m:sub>
        </m:sSub>
      </m:oMath>
      <w:r w:rsidRPr="00E306CC">
        <w:rPr>
          <w:rFonts w:ascii="Times New Roman" w:hAnsi="Times New Roman" w:cs="Times New Roman"/>
          <w:iCs/>
        </w:rPr>
        <w:t xml:space="preserve">  is EV charging load, </w:t>
      </w:r>
      <m:oMath>
        <m:sSub>
          <m:sSubPr>
            <m:ctrlPr>
              <w:rPr>
                <w:rFonts w:ascii="Cambria Math" w:hAnsi="Cambria Math" w:cs="Times New Roman"/>
                <w:iCs/>
              </w:rPr>
            </m:ctrlPr>
          </m:sSubPr>
          <m:e>
            <m:r>
              <m:rPr>
                <m:sty m:val="p"/>
              </m:rPr>
              <w:rPr>
                <w:rFonts w:ascii="Cambria Math" w:hAnsi="Cambria Math" w:cs="Times New Roman"/>
              </w:rPr>
              <m:t>P</m:t>
            </m:r>
          </m:e>
          <m:sub>
            <m:r>
              <m:rPr>
                <m:sty m:val="p"/>
              </m:rPr>
              <w:rPr>
                <w:rFonts w:ascii="Cambria Math" w:hAnsi="Cambria Math" w:cs="Times New Roman"/>
              </w:rPr>
              <m:t>loss</m:t>
            </m:r>
          </m:sub>
        </m:sSub>
      </m:oMath>
      <w:r w:rsidRPr="00E306CC">
        <w:rPr>
          <w:rFonts w:ascii="Times New Roman" w:hAnsi="Times New Roman" w:cs="Times New Roman"/>
          <w:iCs/>
        </w:rPr>
        <w:t xml:space="preserve"> I system losses</w:t>
      </w:r>
    </w:p>
    <w:p w14:paraId="71A9322A" w14:textId="7DAC2C45" w:rsidR="00143F97" w:rsidRPr="00E306CC" w:rsidRDefault="003048AA" w:rsidP="00E306CC">
      <w:pPr>
        <w:spacing w:after="0" w:line="240" w:lineRule="auto"/>
        <w:jc w:val="both"/>
        <w:rPr>
          <w:rFonts w:ascii="Times New Roman" w:hAnsi="Times New Roman" w:cs="Times New Roman"/>
        </w:rPr>
      </w:pPr>
      <w:r w:rsidRPr="00E306CC">
        <w:rPr>
          <w:rFonts w:ascii="Times New Roman" w:hAnsi="Times New Roman" w:cs="Times New Roman"/>
        </w:rPr>
        <w:t>Equation (13) represents the dynamic operational balance of the proposed sector-coupled energy system. The Energy Management System (EMS) continuously coordinates renewable generation, hydrogen storage, and electric vehicle resources to satisfy demand while minimising curtailment and system losses. The energy balance equation ensures that renewable generation is allocated among grid demand, hydrogen production, and EV charging while accounting for system losses. During periods of surplus renewable generation, excess energy is directed to hydrogen production through electrolysis and EV charging. Conversely, during deficit periods, stored energy from electric vehicles via vehicle-to-grid (V2G) operation and hydrogen fuel cells is utilised to support demand. This formulation underpins EMS operation by coordinating short-term EV storage and long-term hydrogen storage, thereby enhancing system stability, flexibility, and renewable energy utilisation.</w:t>
      </w:r>
    </w:p>
    <w:p w14:paraId="3161FF50" w14:textId="32D45735" w:rsidR="00203ADD" w:rsidRPr="00162F4D" w:rsidRDefault="00195C6E" w:rsidP="00A46F60">
      <w:pPr>
        <w:spacing w:after="0"/>
        <w:rPr>
          <w:rFonts w:ascii="Times New Roman" w:hAnsi="Times New Roman" w:cs="Times New Roman"/>
          <w:b/>
          <w:bCs/>
          <w:sz w:val="28"/>
          <w:szCs w:val="28"/>
        </w:rPr>
      </w:pPr>
      <w:r w:rsidRPr="00162F4D">
        <w:rPr>
          <w:rFonts w:ascii="Times New Roman" w:hAnsi="Times New Roman" w:cs="Times New Roman"/>
          <w:b/>
          <w:bCs/>
          <w:sz w:val="28"/>
          <w:szCs w:val="28"/>
        </w:rPr>
        <w:t>CASE STUDY: SECTOR-COUPLED ELECTRIC MOBILITY AND RENEWABLE ENERGY INTEGRATION IN KENYA</w:t>
      </w:r>
    </w:p>
    <w:p w14:paraId="35C088B1" w14:textId="18FD3596" w:rsidR="0085138A" w:rsidRPr="0085138A" w:rsidRDefault="0085138A" w:rsidP="00E306CC">
      <w:pPr>
        <w:spacing w:after="0" w:line="240" w:lineRule="auto"/>
        <w:jc w:val="both"/>
        <w:rPr>
          <w:rFonts w:ascii="Calibri" w:hAnsi="Calibri" w:cs="Calibri"/>
        </w:rPr>
      </w:pPr>
      <w:r w:rsidRPr="00E306CC">
        <w:rPr>
          <w:rFonts w:ascii="Times New Roman" w:hAnsi="Times New Roman" w:cs="Times New Roman"/>
        </w:rPr>
        <w:t xml:space="preserve">Kenya’s power system is characterised by a high share of renewable energy, accounting for approximately 90% of electricity generation, primarily from geothermal, hydro, and wind sources. This strong renewable base provides a favourable foundation for sector-coupled energy systems. Electricity demand continues to grow, with peak demand occurring during evening hours, creating a mismatch between renewable supply and </w:t>
      </w:r>
      <w:r w:rsidR="00B41FA5" w:rsidRPr="00E306CC">
        <w:rPr>
          <w:rFonts w:ascii="Times New Roman" w:hAnsi="Times New Roman" w:cs="Times New Roman"/>
        </w:rPr>
        <w:t>load. Electric</w:t>
      </w:r>
      <w:r w:rsidRPr="00E306CC">
        <w:rPr>
          <w:rFonts w:ascii="Times New Roman" w:hAnsi="Times New Roman" w:cs="Times New Roman"/>
        </w:rPr>
        <w:t xml:space="preserve"> mobility adoption is expanding rapidly, with over 35,000 EVs by 2025, largely driven by electric motorcycles and buses. Within this context, surplus renewable energy generated during daytime can be utilised for EV charging and hydrogen production. During evening peak</w:t>
      </w:r>
      <w:r w:rsidRPr="0085138A">
        <w:rPr>
          <w:rFonts w:ascii="Calibri" w:hAnsi="Calibri" w:cs="Calibri"/>
        </w:rPr>
        <w:t xml:space="preserve"> </w:t>
      </w:r>
      <w:r w:rsidRPr="00E306CC">
        <w:rPr>
          <w:rFonts w:ascii="Times New Roman" w:hAnsi="Times New Roman" w:cs="Times New Roman"/>
        </w:rPr>
        <w:t>periods, energy stored in EVs (via V2G) and hydrogen systems (via fuel cells) can be used to balance supply and demand</w:t>
      </w:r>
      <w:r w:rsidRPr="0085138A">
        <w:rPr>
          <w:rFonts w:ascii="Calibri" w:hAnsi="Calibri" w:cs="Calibri"/>
        </w:rPr>
        <w:t>.</w:t>
      </w:r>
    </w:p>
    <w:p w14:paraId="339062BF" w14:textId="72735B79" w:rsidR="00203ADD" w:rsidRDefault="00203ADD" w:rsidP="000A6F77">
      <w:pPr>
        <w:jc w:val="center"/>
        <w:rPr>
          <w:rFonts w:ascii="Calibri" w:hAnsi="Calibri" w:cs="Calibri"/>
        </w:rPr>
      </w:pPr>
      <w:r w:rsidRPr="00303F34">
        <w:rPr>
          <w:rFonts w:ascii="Calibri" w:hAnsi="Calibri" w:cs="Calibri"/>
          <w:noProof/>
        </w:rPr>
        <w:lastRenderedPageBreak/>
        <w:drawing>
          <wp:inline distT="0" distB="0" distL="0" distR="0" wp14:anchorId="4E893308" wp14:editId="20C24A25">
            <wp:extent cx="3672000" cy="1254243"/>
            <wp:effectExtent l="0" t="0" r="5080" b="3175"/>
            <wp:docPr id="18495904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2000" cy="1254243"/>
                    </a:xfrm>
                    <a:prstGeom prst="rect">
                      <a:avLst/>
                    </a:prstGeom>
                    <a:noFill/>
                    <a:ln>
                      <a:noFill/>
                    </a:ln>
                  </pic:spPr>
                </pic:pic>
              </a:graphicData>
            </a:graphic>
          </wp:inline>
        </w:drawing>
      </w:r>
    </w:p>
    <w:p w14:paraId="1A007458" w14:textId="39A95400" w:rsidR="00B92D5B" w:rsidRPr="00E306CC" w:rsidRDefault="00B92D5B" w:rsidP="00E306CC">
      <w:pPr>
        <w:spacing w:after="0" w:line="240" w:lineRule="auto"/>
        <w:jc w:val="center"/>
        <w:rPr>
          <w:rFonts w:ascii="Times New Roman" w:hAnsi="Times New Roman" w:cs="Times New Roman"/>
        </w:rPr>
      </w:pPr>
      <w:r w:rsidRPr="00E306CC">
        <w:rPr>
          <w:rFonts w:ascii="Times New Roman" w:hAnsi="Times New Roman" w:cs="Times New Roman"/>
        </w:rPr>
        <w:t>Fig 3 Kenya's single day power profile</w:t>
      </w:r>
    </w:p>
    <w:p w14:paraId="3FFF374F" w14:textId="378C3CAC" w:rsidR="003543CE" w:rsidRPr="00E306CC" w:rsidRDefault="003543CE" w:rsidP="00E306CC">
      <w:pPr>
        <w:spacing w:line="240" w:lineRule="auto"/>
        <w:jc w:val="both"/>
        <w:rPr>
          <w:rFonts w:ascii="Times New Roman" w:hAnsi="Times New Roman" w:cs="Times New Roman"/>
        </w:rPr>
      </w:pPr>
      <w:r w:rsidRPr="00E306CC">
        <w:rPr>
          <w:rFonts w:ascii="Times New Roman" w:hAnsi="Times New Roman" w:cs="Times New Roman"/>
        </w:rPr>
        <w:t>Figure 3 presents a representative 24-hour profile of solar generation, wind/geothermal output, and EV charging demand in Kenya. Solar generation follows a typical diurnal pattern, peaking at midday and falling to zero at night, while wind and geothermal provide a more stable and continuous energy supply. EV demand remains low during early hours and increases during the evening peak, reflecting typical charging behaviour. Kenya’s energy system demonstrates a strong foundation for sector coupling, with high renewable penetration supporting transport electrification. Surplus renewable energy can be utilised for EV charging and other flexible loads, while EVs function as distributed energy storage resources. The system already exhibits key elements of sector coupling, including the direct use of renewable electricity for transport and the integration of EV batteries as flexible storage. Although hydrogen infrastructure remains underdeveloped, existing conditions provide a suitable basis for future integration of hydrogen as a long-duration energy storage solution. Key insights from the Kenyan case include the ability of renewable energy to support transport decarbonisation, the role of EVs as flexible loads in reducing curtailment, and the benefits of decentralised systems in improving resilience and energy access. However, challenges such as limited charging infrastructure, grid constraints, and high upfront costs remain. Overall, the Kenyan case demonstrates the feasibility of integrating renewable energy and electric mobility, while highlighting the potential benefits of incorporating hydrogen systems to further enhance flexibility and support long-term energy balancing.</w:t>
      </w:r>
    </w:p>
    <w:p w14:paraId="68855871" w14:textId="58A32E1A" w:rsidR="00B92D5B" w:rsidRDefault="00E248CB" w:rsidP="00E0277C">
      <w:pPr>
        <w:spacing w:after="0"/>
        <w:jc w:val="center"/>
        <w:rPr>
          <w:rFonts w:ascii="Calibri" w:hAnsi="Calibri" w:cs="Calibri"/>
        </w:rPr>
      </w:pPr>
      <w:r w:rsidRPr="000A6F77">
        <w:rPr>
          <w:rFonts w:ascii="Times New Roman" w:hAnsi="Times New Roman" w:cs="Times New Roman"/>
          <w:noProof/>
        </w:rPr>
        <w:drawing>
          <wp:inline distT="0" distB="0" distL="0" distR="0" wp14:anchorId="3BC5807B" wp14:editId="3F9F2286">
            <wp:extent cx="3132000" cy="1396916"/>
            <wp:effectExtent l="0" t="0" r="0" b="0"/>
            <wp:docPr id="12905257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56" t="13712" r="2449" b="23467"/>
                    <a:stretch>
                      <a:fillRect/>
                    </a:stretch>
                  </pic:blipFill>
                  <pic:spPr bwMode="auto">
                    <a:xfrm>
                      <a:off x="0" y="0"/>
                      <a:ext cx="3132000" cy="1396916"/>
                    </a:xfrm>
                    <a:prstGeom prst="rect">
                      <a:avLst/>
                    </a:prstGeom>
                    <a:noFill/>
                    <a:ln>
                      <a:noFill/>
                    </a:ln>
                    <a:extLst>
                      <a:ext uri="{53640926-AAD7-44D8-BBD7-CCE9431645EC}">
                        <a14:shadowObscured xmlns:a14="http://schemas.microsoft.com/office/drawing/2010/main"/>
                      </a:ext>
                    </a:extLst>
                  </pic:spPr>
                </pic:pic>
              </a:graphicData>
            </a:graphic>
          </wp:inline>
        </w:drawing>
      </w:r>
    </w:p>
    <w:p w14:paraId="0E295C2C" w14:textId="542865B7" w:rsidR="00B92D5B" w:rsidRPr="00E306CC" w:rsidRDefault="00B92D5B" w:rsidP="00E0277C">
      <w:pPr>
        <w:spacing w:after="0" w:line="240" w:lineRule="auto"/>
        <w:jc w:val="center"/>
        <w:rPr>
          <w:rFonts w:ascii="Times New Roman" w:hAnsi="Times New Roman" w:cs="Times New Roman"/>
        </w:rPr>
      </w:pPr>
      <w:r w:rsidRPr="00E306CC">
        <w:rPr>
          <w:rFonts w:ascii="Times New Roman" w:hAnsi="Times New Roman" w:cs="Times New Roman"/>
        </w:rPr>
        <w:t>Fig 4 sector-coupled framework in the Kenyan context</w:t>
      </w:r>
    </w:p>
    <w:p w14:paraId="4A777EB4" w14:textId="79DA427B" w:rsidR="001A243A" w:rsidRPr="001A243A" w:rsidRDefault="00973CA6" w:rsidP="001A243A">
      <w:pPr>
        <w:spacing w:after="0" w:line="240" w:lineRule="auto"/>
        <w:jc w:val="both"/>
        <w:rPr>
          <w:rFonts w:ascii="Calibri" w:hAnsi="Calibri" w:cs="Calibri"/>
        </w:rPr>
      </w:pPr>
      <w:r w:rsidRPr="00E306CC">
        <w:rPr>
          <w:rFonts w:ascii="Times New Roman" w:hAnsi="Times New Roman" w:cs="Times New Roman"/>
        </w:rPr>
        <w:t>Figure 4 illustrates the sector-coupled framework in the Kenyan context, showing the interaction between renewable generation, electric mobility, and potential hydrogen integration. Renewable energy, primarily from solar and wind, is used for EV charging, where EVs act as both transport units and distributed storage.</w:t>
      </w:r>
      <w:r w:rsidR="00602592" w:rsidRPr="00E306CC">
        <w:rPr>
          <w:rFonts w:ascii="Times New Roman" w:hAnsi="Times New Roman" w:cs="Times New Roman"/>
        </w:rPr>
        <w:t xml:space="preserve"> </w:t>
      </w:r>
      <w:r w:rsidRPr="00E306CC">
        <w:rPr>
          <w:rFonts w:ascii="Times New Roman" w:hAnsi="Times New Roman" w:cs="Times New Roman"/>
        </w:rPr>
        <w:t>Energy can either be used directly for transport or supplied back to the grid through vehicle-to-grid (V2G) operation during peak demand. Surplus renewable energy can also be converted into hydrogen via electrolysis for long-term storage and later use in electricity generation or transport.</w:t>
      </w:r>
      <w:r w:rsidR="00602592" w:rsidRPr="00E306CC">
        <w:rPr>
          <w:rFonts w:ascii="Times New Roman" w:hAnsi="Times New Roman" w:cs="Times New Roman"/>
        </w:rPr>
        <w:t xml:space="preserve"> </w:t>
      </w:r>
      <w:r w:rsidRPr="00E306CC">
        <w:rPr>
          <w:rFonts w:ascii="Times New Roman" w:hAnsi="Times New Roman" w:cs="Times New Roman"/>
        </w:rPr>
        <w:t>Overall, the diagram</w:t>
      </w:r>
      <w:r w:rsidRPr="00973CA6">
        <w:rPr>
          <w:rFonts w:ascii="Calibri" w:hAnsi="Calibri" w:cs="Calibri"/>
        </w:rPr>
        <w:t xml:space="preserve"> </w:t>
      </w:r>
      <w:r w:rsidRPr="00E306CC">
        <w:rPr>
          <w:rFonts w:ascii="Times New Roman" w:hAnsi="Times New Roman" w:cs="Times New Roman"/>
        </w:rPr>
        <w:t>highlights the interconnected and bidirectional energy flows that enhance system flexibility and efficiency.</w:t>
      </w:r>
    </w:p>
    <w:p w14:paraId="512A6D50" w14:textId="5E42F9D6" w:rsidR="00856F34" w:rsidRPr="00162F4D" w:rsidRDefault="002801B1" w:rsidP="00856F34">
      <w:pPr>
        <w:spacing w:after="0"/>
        <w:rPr>
          <w:rFonts w:ascii="Times New Roman" w:hAnsi="Times New Roman" w:cs="Times New Roman"/>
          <w:b/>
          <w:bCs/>
          <w:sz w:val="28"/>
          <w:szCs w:val="28"/>
        </w:rPr>
      </w:pPr>
      <w:r w:rsidRPr="00162F4D">
        <w:rPr>
          <w:rFonts w:ascii="Times New Roman" w:hAnsi="Times New Roman" w:cs="Times New Roman"/>
          <w:b/>
          <w:bCs/>
          <w:sz w:val="28"/>
          <w:szCs w:val="28"/>
        </w:rPr>
        <w:t>ELECTRIC MOBILITY DEPLOYMENT AND GRID INTERACTION</w:t>
      </w:r>
    </w:p>
    <w:p w14:paraId="5B80A154" w14:textId="1ACCA1DD" w:rsidR="00260D10" w:rsidRPr="00E306CC" w:rsidRDefault="00856F34" w:rsidP="00E306CC">
      <w:pPr>
        <w:spacing w:after="0" w:line="240" w:lineRule="auto"/>
        <w:jc w:val="both"/>
        <w:rPr>
          <w:rFonts w:ascii="Times New Roman" w:hAnsi="Times New Roman" w:cs="Times New Roman"/>
        </w:rPr>
      </w:pPr>
      <w:r w:rsidRPr="00E306CC">
        <w:rPr>
          <w:rFonts w:ascii="Times New Roman" w:hAnsi="Times New Roman" w:cs="Times New Roman"/>
        </w:rPr>
        <w:t xml:space="preserve">Electric mobility in Kenya has grown rapidly, supported by government initiatives and private-sector innovation. By 2025, EV adoption particularly motorcycles and buses </w:t>
      </w:r>
      <w:r w:rsidR="00B41FA5" w:rsidRPr="00E306CC">
        <w:rPr>
          <w:rFonts w:ascii="Times New Roman" w:hAnsi="Times New Roman" w:cs="Times New Roman"/>
        </w:rPr>
        <w:t>have</w:t>
      </w:r>
      <w:r w:rsidRPr="00E306CC">
        <w:rPr>
          <w:rFonts w:ascii="Times New Roman" w:hAnsi="Times New Roman" w:cs="Times New Roman"/>
        </w:rPr>
        <w:t xml:space="preserve"> expanded </w:t>
      </w:r>
      <w:r w:rsidRPr="00E306CC">
        <w:rPr>
          <w:rFonts w:ascii="Times New Roman" w:hAnsi="Times New Roman" w:cs="Times New Roman"/>
        </w:rPr>
        <w:lastRenderedPageBreak/>
        <w:t xml:space="preserve">significantly, supported by battery-swapping and decentralised charging </w:t>
      </w:r>
      <w:r w:rsidR="00B41FA5" w:rsidRPr="00E306CC">
        <w:rPr>
          <w:rFonts w:ascii="Times New Roman" w:hAnsi="Times New Roman" w:cs="Times New Roman"/>
        </w:rPr>
        <w:t>solutions. Kenya’s</w:t>
      </w:r>
      <w:r w:rsidRPr="00E306CC">
        <w:rPr>
          <w:rFonts w:ascii="Times New Roman" w:hAnsi="Times New Roman" w:cs="Times New Roman"/>
        </w:rPr>
        <w:t xml:space="preserve"> high renewable energy share enables EV charging using surplus electricity, reducing curtailment. In this context, EVs act not only as transport systems but also as flexible loads and distributed storage, contributing to grid balancing and improved energy utilisation.</w:t>
      </w:r>
    </w:p>
    <w:p w14:paraId="0BAF063E" w14:textId="06D94D58" w:rsidR="007D0D55" w:rsidRPr="00162F4D" w:rsidRDefault="007D0D55" w:rsidP="0093781F">
      <w:pPr>
        <w:spacing w:after="0"/>
        <w:jc w:val="both"/>
        <w:rPr>
          <w:rFonts w:ascii="Times New Roman" w:hAnsi="Times New Roman" w:cs="Times New Roman"/>
          <w:b/>
          <w:bCs/>
        </w:rPr>
      </w:pPr>
      <w:r w:rsidRPr="00162F4D">
        <w:rPr>
          <w:rFonts w:ascii="Times New Roman" w:hAnsi="Times New Roman" w:cs="Times New Roman"/>
          <w:b/>
          <w:bCs/>
        </w:rPr>
        <w:t>Representative 24-Hour Operational</w:t>
      </w:r>
    </w:p>
    <w:p w14:paraId="565C2660" w14:textId="65E48AD5" w:rsidR="0093781F" w:rsidRPr="00E306CC" w:rsidRDefault="00DA396B" w:rsidP="00E0277C">
      <w:pPr>
        <w:spacing w:line="240" w:lineRule="auto"/>
        <w:jc w:val="both"/>
        <w:rPr>
          <w:rFonts w:ascii="Times New Roman" w:hAnsi="Times New Roman" w:cs="Times New Roman"/>
        </w:rPr>
      </w:pPr>
      <w:r w:rsidRPr="00E306CC">
        <w:rPr>
          <w:rFonts w:ascii="Times New Roman" w:hAnsi="Times New Roman" w:cs="Times New Roman"/>
        </w:rPr>
        <w:t>A representative 24-hour dataset was developed to evaluate the proposed sector-coupled system, based on typical solar generation, wind output, and demand profiles. It captures midday solar peaks, variable wind generation, and evening demand peaks. A 1-hour time resolution was used to analyse system dynamics.</w:t>
      </w:r>
    </w:p>
    <w:tbl>
      <w:tblPr>
        <w:tblStyle w:val="TableGridLight"/>
        <w:tblW w:w="0" w:type="auto"/>
        <w:tblLook w:val="04A0" w:firstRow="1" w:lastRow="0" w:firstColumn="1" w:lastColumn="0" w:noHBand="0" w:noVBand="1"/>
      </w:tblPr>
      <w:tblGrid>
        <w:gridCol w:w="1709"/>
        <w:gridCol w:w="1352"/>
        <w:gridCol w:w="1379"/>
        <w:gridCol w:w="1728"/>
        <w:gridCol w:w="1998"/>
      </w:tblGrid>
      <w:tr w:rsidR="00465736" w:rsidRPr="00465736" w14:paraId="284C461E" w14:textId="77777777" w:rsidTr="00625A60">
        <w:tc>
          <w:tcPr>
            <w:tcW w:w="1709" w:type="dxa"/>
            <w:hideMark/>
          </w:tcPr>
          <w:p w14:paraId="703E4D47" w14:textId="77777777" w:rsidR="00465736" w:rsidRPr="00E306CC" w:rsidRDefault="00465736" w:rsidP="00625A60">
            <w:pPr>
              <w:jc w:val="both"/>
              <w:rPr>
                <w:rFonts w:ascii="Times New Roman" w:hAnsi="Times New Roman" w:cs="Times New Roman"/>
                <w:b/>
                <w:bCs/>
              </w:rPr>
            </w:pPr>
            <w:r w:rsidRPr="00E306CC">
              <w:rPr>
                <w:rFonts w:ascii="Times New Roman" w:hAnsi="Times New Roman" w:cs="Times New Roman"/>
                <w:b/>
                <w:bCs/>
              </w:rPr>
              <w:t>Hour</w:t>
            </w:r>
          </w:p>
        </w:tc>
        <w:tc>
          <w:tcPr>
            <w:tcW w:w="0" w:type="auto"/>
            <w:hideMark/>
          </w:tcPr>
          <w:p w14:paraId="2127943B" w14:textId="77777777" w:rsidR="00465736" w:rsidRPr="00E306CC" w:rsidRDefault="00465736" w:rsidP="00625A60">
            <w:pPr>
              <w:jc w:val="both"/>
              <w:rPr>
                <w:rFonts w:ascii="Times New Roman" w:hAnsi="Times New Roman" w:cs="Times New Roman"/>
                <w:b/>
                <w:bCs/>
              </w:rPr>
            </w:pPr>
            <w:r w:rsidRPr="00E306CC">
              <w:rPr>
                <w:rFonts w:ascii="Times New Roman" w:hAnsi="Times New Roman" w:cs="Times New Roman"/>
                <w:b/>
                <w:bCs/>
              </w:rPr>
              <w:t>Solar (kW)</w:t>
            </w:r>
          </w:p>
        </w:tc>
        <w:tc>
          <w:tcPr>
            <w:tcW w:w="0" w:type="auto"/>
            <w:hideMark/>
          </w:tcPr>
          <w:p w14:paraId="066E6398" w14:textId="77777777" w:rsidR="00465736" w:rsidRPr="00E306CC" w:rsidRDefault="00465736" w:rsidP="00625A60">
            <w:pPr>
              <w:jc w:val="both"/>
              <w:rPr>
                <w:rFonts w:ascii="Times New Roman" w:hAnsi="Times New Roman" w:cs="Times New Roman"/>
                <w:b/>
                <w:bCs/>
              </w:rPr>
            </w:pPr>
            <w:r w:rsidRPr="00E306CC">
              <w:rPr>
                <w:rFonts w:ascii="Times New Roman" w:hAnsi="Times New Roman" w:cs="Times New Roman"/>
                <w:b/>
                <w:bCs/>
              </w:rPr>
              <w:t>Wind (kW)</w:t>
            </w:r>
          </w:p>
        </w:tc>
        <w:tc>
          <w:tcPr>
            <w:tcW w:w="0" w:type="auto"/>
            <w:hideMark/>
          </w:tcPr>
          <w:p w14:paraId="53EF6E9F" w14:textId="77777777" w:rsidR="00465736" w:rsidRPr="00E306CC" w:rsidRDefault="00465736" w:rsidP="00625A60">
            <w:pPr>
              <w:jc w:val="both"/>
              <w:rPr>
                <w:rFonts w:ascii="Times New Roman" w:hAnsi="Times New Roman" w:cs="Times New Roman"/>
                <w:b/>
                <w:bCs/>
              </w:rPr>
            </w:pPr>
            <w:r w:rsidRPr="00E306CC">
              <w:rPr>
                <w:rFonts w:ascii="Times New Roman" w:hAnsi="Times New Roman" w:cs="Times New Roman"/>
                <w:b/>
                <w:bCs/>
              </w:rPr>
              <w:t>Total RE (kW)</w:t>
            </w:r>
          </w:p>
        </w:tc>
        <w:tc>
          <w:tcPr>
            <w:tcW w:w="1998" w:type="dxa"/>
            <w:hideMark/>
          </w:tcPr>
          <w:p w14:paraId="2373B0A4" w14:textId="77777777" w:rsidR="00465736" w:rsidRPr="00E306CC" w:rsidRDefault="00465736" w:rsidP="00625A60">
            <w:pPr>
              <w:jc w:val="both"/>
              <w:rPr>
                <w:rFonts w:ascii="Times New Roman" w:hAnsi="Times New Roman" w:cs="Times New Roman"/>
                <w:b/>
                <w:bCs/>
              </w:rPr>
            </w:pPr>
            <w:r w:rsidRPr="00E306CC">
              <w:rPr>
                <w:rFonts w:ascii="Times New Roman" w:hAnsi="Times New Roman" w:cs="Times New Roman"/>
                <w:b/>
                <w:bCs/>
              </w:rPr>
              <w:t>Load (kW)</w:t>
            </w:r>
          </w:p>
        </w:tc>
      </w:tr>
      <w:tr w:rsidR="00465736" w:rsidRPr="00465736" w14:paraId="6D90A7A8" w14:textId="77777777" w:rsidTr="00625A60">
        <w:tc>
          <w:tcPr>
            <w:tcW w:w="1709" w:type="dxa"/>
            <w:hideMark/>
          </w:tcPr>
          <w:p w14:paraId="112AABC4"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0</w:t>
            </w:r>
          </w:p>
        </w:tc>
        <w:tc>
          <w:tcPr>
            <w:tcW w:w="0" w:type="auto"/>
            <w:hideMark/>
          </w:tcPr>
          <w:p w14:paraId="2D0C40E4"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0</w:t>
            </w:r>
          </w:p>
        </w:tc>
        <w:tc>
          <w:tcPr>
            <w:tcW w:w="0" w:type="auto"/>
            <w:hideMark/>
          </w:tcPr>
          <w:p w14:paraId="4A2237A1"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300</w:t>
            </w:r>
          </w:p>
        </w:tc>
        <w:tc>
          <w:tcPr>
            <w:tcW w:w="0" w:type="auto"/>
            <w:hideMark/>
          </w:tcPr>
          <w:p w14:paraId="1DBCFC4C"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300</w:t>
            </w:r>
          </w:p>
        </w:tc>
        <w:tc>
          <w:tcPr>
            <w:tcW w:w="1998" w:type="dxa"/>
            <w:hideMark/>
          </w:tcPr>
          <w:p w14:paraId="7627BD28"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450</w:t>
            </w:r>
          </w:p>
        </w:tc>
      </w:tr>
      <w:tr w:rsidR="00465736" w:rsidRPr="00465736" w14:paraId="7840C6A1" w14:textId="77777777" w:rsidTr="00625A60">
        <w:tc>
          <w:tcPr>
            <w:tcW w:w="1709" w:type="dxa"/>
            <w:hideMark/>
          </w:tcPr>
          <w:p w14:paraId="617CC93F"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3</w:t>
            </w:r>
          </w:p>
        </w:tc>
        <w:tc>
          <w:tcPr>
            <w:tcW w:w="0" w:type="auto"/>
            <w:hideMark/>
          </w:tcPr>
          <w:p w14:paraId="0B41616A"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0</w:t>
            </w:r>
          </w:p>
        </w:tc>
        <w:tc>
          <w:tcPr>
            <w:tcW w:w="0" w:type="auto"/>
            <w:hideMark/>
          </w:tcPr>
          <w:p w14:paraId="6642C5B8"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320</w:t>
            </w:r>
          </w:p>
        </w:tc>
        <w:tc>
          <w:tcPr>
            <w:tcW w:w="0" w:type="auto"/>
            <w:hideMark/>
          </w:tcPr>
          <w:p w14:paraId="2AA8161C"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320</w:t>
            </w:r>
          </w:p>
        </w:tc>
        <w:tc>
          <w:tcPr>
            <w:tcW w:w="1998" w:type="dxa"/>
            <w:hideMark/>
          </w:tcPr>
          <w:p w14:paraId="0D650A17"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400</w:t>
            </w:r>
          </w:p>
        </w:tc>
      </w:tr>
      <w:tr w:rsidR="00465736" w:rsidRPr="00465736" w14:paraId="52AF1C18" w14:textId="77777777" w:rsidTr="00625A60">
        <w:tc>
          <w:tcPr>
            <w:tcW w:w="1709" w:type="dxa"/>
            <w:hideMark/>
          </w:tcPr>
          <w:p w14:paraId="68110A1E"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6</w:t>
            </w:r>
          </w:p>
        </w:tc>
        <w:tc>
          <w:tcPr>
            <w:tcW w:w="0" w:type="auto"/>
            <w:hideMark/>
          </w:tcPr>
          <w:p w14:paraId="70BE1602"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100</w:t>
            </w:r>
          </w:p>
        </w:tc>
        <w:tc>
          <w:tcPr>
            <w:tcW w:w="0" w:type="auto"/>
            <w:hideMark/>
          </w:tcPr>
          <w:p w14:paraId="475F4742"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350</w:t>
            </w:r>
          </w:p>
        </w:tc>
        <w:tc>
          <w:tcPr>
            <w:tcW w:w="0" w:type="auto"/>
            <w:hideMark/>
          </w:tcPr>
          <w:p w14:paraId="2D3D849F"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450</w:t>
            </w:r>
          </w:p>
        </w:tc>
        <w:tc>
          <w:tcPr>
            <w:tcW w:w="1998" w:type="dxa"/>
            <w:hideMark/>
          </w:tcPr>
          <w:p w14:paraId="2C1592D7"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500</w:t>
            </w:r>
          </w:p>
        </w:tc>
      </w:tr>
      <w:tr w:rsidR="00465736" w:rsidRPr="00465736" w14:paraId="3511B6F8" w14:textId="77777777" w:rsidTr="00625A60">
        <w:tc>
          <w:tcPr>
            <w:tcW w:w="1709" w:type="dxa"/>
            <w:hideMark/>
          </w:tcPr>
          <w:p w14:paraId="22D5A454"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9</w:t>
            </w:r>
          </w:p>
        </w:tc>
        <w:tc>
          <w:tcPr>
            <w:tcW w:w="0" w:type="auto"/>
            <w:hideMark/>
          </w:tcPr>
          <w:p w14:paraId="790DFBA9"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500</w:t>
            </w:r>
          </w:p>
        </w:tc>
        <w:tc>
          <w:tcPr>
            <w:tcW w:w="0" w:type="auto"/>
            <w:hideMark/>
          </w:tcPr>
          <w:p w14:paraId="287C77BC"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300</w:t>
            </w:r>
          </w:p>
        </w:tc>
        <w:tc>
          <w:tcPr>
            <w:tcW w:w="0" w:type="auto"/>
            <w:hideMark/>
          </w:tcPr>
          <w:p w14:paraId="4A0A2C28"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800</w:t>
            </w:r>
          </w:p>
        </w:tc>
        <w:tc>
          <w:tcPr>
            <w:tcW w:w="1998" w:type="dxa"/>
            <w:hideMark/>
          </w:tcPr>
          <w:p w14:paraId="034CD19A"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600</w:t>
            </w:r>
          </w:p>
        </w:tc>
      </w:tr>
      <w:tr w:rsidR="00465736" w:rsidRPr="00465736" w14:paraId="432E7C16" w14:textId="77777777" w:rsidTr="00625A60">
        <w:tc>
          <w:tcPr>
            <w:tcW w:w="1709" w:type="dxa"/>
            <w:hideMark/>
          </w:tcPr>
          <w:p w14:paraId="03A52084"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12</w:t>
            </w:r>
          </w:p>
        </w:tc>
        <w:tc>
          <w:tcPr>
            <w:tcW w:w="0" w:type="auto"/>
            <w:hideMark/>
          </w:tcPr>
          <w:p w14:paraId="70DD18F4"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800</w:t>
            </w:r>
          </w:p>
        </w:tc>
        <w:tc>
          <w:tcPr>
            <w:tcW w:w="0" w:type="auto"/>
            <w:hideMark/>
          </w:tcPr>
          <w:p w14:paraId="6D1340E6"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250</w:t>
            </w:r>
          </w:p>
        </w:tc>
        <w:tc>
          <w:tcPr>
            <w:tcW w:w="0" w:type="auto"/>
            <w:hideMark/>
          </w:tcPr>
          <w:p w14:paraId="16ADA5ED"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1050</w:t>
            </w:r>
          </w:p>
        </w:tc>
        <w:tc>
          <w:tcPr>
            <w:tcW w:w="1998" w:type="dxa"/>
            <w:hideMark/>
          </w:tcPr>
          <w:p w14:paraId="1EC33E01"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700</w:t>
            </w:r>
          </w:p>
        </w:tc>
      </w:tr>
      <w:tr w:rsidR="00465736" w:rsidRPr="00465736" w14:paraId="37C1785D" w14:textId="77777777" w:rsidTr="00625A60">
        <w:tc>
          <w:tcPr>
            <w:tcW w:w="1709" w:type="dxa"/>
            <w:hideMark/>
          </w:tcPr>
          <w:p w14:paraId="695B3C05"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15</w:t>
            </w:r>
          </w:p>
        </w:tc>
        <w:tc>
          <w:tcPr>
            <w:tcW w:w="0" w:type="auto"/>
            <w:hideMark/>
          </w:tcPr>
          <w:p w14:paraId="6C1A7876"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600</w:t>
            </w:r>
          </w:p>
        </w:tc>
        <w:tc>
          <w:tcPr>
            <w:tcW w:w="0" w:type="auto"/>
            <w:hideMark/>
          </w:tcPr>
          <w:p w14:paraId="4E8C2F3E"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280</w:t>
            </w:r>
          </w:p>
        </w:tc>
        <w:tc>
          <w:tcPr>
            <w:tcW w:w="0" w:type="auto"/>
            <w:hideMark/>
          </w:tcPr>
          <w:p w14:paraId="72FD3869"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880</w:t>
            </w:r>
          </w:p>
        </w:tc>
        <w:tc>
          <w:tcPr>
            <w:tcW w:w="1998" w:type="dxa"/>
            <w:hideMark/>
          </w:tcPr>
          <w:p w14:paraId="7769FAA5"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650</w:t>
            </w:r>
          </w:p>
        </w:tc>
      </w:tr>
      <w:tr w:rsidR="00465736" w:rsidRPr="00465736" w14:paraId="05D0E1FE" w14:textId="77777777" w:rsidTr="00625A60">
        <w:trPr>
          <w:trHeight w:val="104"/>
        </w:trPr>
        <w:tc>
          <w:tcPr>
            <w:tcW w:w="1709" w:type="dxa"/>
            <w:hideMark/>
          </w:tcPr>
          <w:p w14:paraId="14335B55"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18</w:t>
            </w:r>
          </w:p>
        </w:tc>
        <w:tc>
          <w:tcPr>
            <w:tcW w:w="0" w:type="auto"/>
            <w:hideMark/>
          </w:tcPr>
          <w:p w14:paraId="114393AA"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200</w:t>
            </w:r>
          </w:p>
        </w:tc>
        <w:tc>
          <w:tcPr>
            <w:tcW w:w="0" w:type="auto"/>
            <w:hideMark/>
          </w:tcPr>
          <w:p w14:paraId="688494AE"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300</w:t>
            </w:r>
          </w:p>
        </w:tc>
        <w:tc>
          <w:tcPr>
            <w:tcW w:w="0" w:type="auto"/>
            <w:hideMark/>
          </w:tcPr>
          <w:p w14:paraId="4148D2B1"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500</w:t>
            </w:r>
          </w:p>
        </w:tc>
        <w:tc>
          <w:tcPr>
            <w:tcW w:w="1998" w:type="dxa"/>
            <w:hideMark/>
          </w:tcPr>
          <w:p w14:paraId="21C7B754"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900</w:t>
            </w:r>
          </w:p>
        </w:tc>
      </w:tr>
      <w:tr w:rsidR="00465736" w:rsidRPr="00465736" w14:paraId="2D9920D4" w14:textId="77777777" w:rsidTr="00625A60">
        <w:trPr>
          <w:trHeight w:val="179"/>
        </w:trPr>
        <w:tc>
          <w:tcPr>
            <w:tcW w:w="1709" w:type="dxa"/>
            <w:hideMark/>
          </w:tcPr>
          <w:p w14:paraId="397A83E6"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21</w:t>
            </w:r>
          </w:p>
        </w:tc>
        <w:tc>
          <w:tcPr>
            <w:tcW w:w="0" w:type="auto"/>
            <w:hideMark/>
          </w:tcPr>
          <w:p w14:paraId="2C22D1FE"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0</w:t>
            </w:r>
          </w:p>
        </w:tc>
        <w:tc>
          <w:tcPr>
            <w:tcW w:w="0" w:type="auto"/>
            <w:hideMark/>
          </w:tcPr>
          <w:p w14:paraId="4EDEC308"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280</w:t>
            </w:r>
          </w:p>
        </w:tc>
        <w:tc>
          <w:tcPr>
            <w:tcW w:w="0" w:type="auto"/>
            <w:hideMark/>
          </w:tcPr>
          <w:p w14:paraId="52ECE7DE"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280</w:t>
            </w:r>
          </w:p>
        </w:tc>
        <w:tc>
          <w:tcPr>
            <w:tcW w:w="1998" w:type="dxa"/>
            <w:hideMark/>
          </w:tcPr>
          <w:p w14:paraId="658800F2" w14:textId="77777777" w:rsidR="00465736" w:rsidRPr="00E306CC" w:rsidRDefault="00465736" w:rsidP="00625A60">
            <w:pPr>
              <w:jc w:val="both"/>
              <w:rPr>
                <w:rFonts w:ascii="Times New Roman" w:hAnsi="Times New Roman" w:cs="Times New Roman"/>
              </w:rPr>
            </w:pPr>
            <w:r w:rsidRPr="00E306CC">
              <w:rPr>
                <w:rFonts w:ascii="Times New Roman" w:hAnsi="Times New Roman" w:cs="Times New Roman"/>
              </w:rPr>
              <w:t>700</w:t>
            </w:r>
          </w:p>
        </w:tc>
      </w:tr>
    </w:tbl>
    <w:p w14:paraId="5B69638E" w14:textId="233F1CBA" w:rsidR="005E0D21" w:rsidRPr="00E306CC" w:rsidRDefault="005E0D21" w:rsidP="00E306CC">
      <w:pPr>
        <w:spacing w:after="0" w:line="240" w:lineRule="auto"/>
        <w:jc w:val="both"/>
        <w:rPr>
          <w:rFonts w:ascii="Times New Roman" w:eastAsia="Times New Roman" w:hAnsi="Times New Roman" w:cs="Times New Roman"/>
          <w:kern w:val="0"/>
          <w:lang w:eastAsia="en-GB"/>
          <w14:ligatures w14:val="none"/>
        </w:rPr>
      </w:pPr>
      <w:r>
        <w:rPr>
          <w:rFonts w:ascii="Calibri" w:eastAsia="Times New Roman" w:hAnsi="Calibri" w:cs="Calibri"/>
          <w:kern w:val="0"/>
          <w:lang w:eastAsia="en-GB"/>
          <w14:ligatures w14:val="none"/>
        </w:rPr>
        <w:t xml:space="preserve">                                                   </w:t>
      </w:r>
      <w:r w:rsidRPr="00E306CC">
        <w:rPr>
          <w:rFonts w:ascii="Times New Roman" w:eastAsia="Times New Roman" w:hAnsi="Times New Roman" w:cs="Times New Roman"/>
          <w:kern w:val="0"/>
          <w:lang w:eastAsia="en-GB"/>
          <w14:ligatures w14:val="none"/>
        </w:rPr>
        <w:t xml:space="preserve">Table 1 </w:t>
      </w:r>
      <w:r w:rsidR="000A6F77">
        <w:rPr>
          <w:rFonts w:ascii="Times New Roman" w:eastAsia="Times New Roman" w:hAnsi="Times New Roman" w:cs="Times New Roman"/>
          <w:kern w:val="0"/>
          <w:lang w:eastAsia="en-GB"/>
          <w14:ligatures w14:val="none"/>
        </w:rPr>
        <w:t>d</w:t>
      </w:r>
      <w:r w:rsidRPr="00E306CC">
        <w:rPr>
          <w:rFonts w:ascii="Times New Roman" w:eastAsia="Times New Roman" w:hAnsi="Times New Roman" w:cs="Times New Roman"/>
          <w:kern w:val="0"/>
          <w:lang w:eastAsia="en-GB"/>
          <w14:ligatures w14:val="none"/>
        </w:rPr>
        <w:t xml:space="preserve">aily </w:t>
      </w:r>
      <w:r w:rsidR="000A6F77">
        <w:rPr>
          <w:rFonts w:ascii="Times New Roman" w:eastAsia="Times New Roman" w:hAnsi="Times New Roman" w:cs="Times New Roman"/>
          <w:kern w:val="0"/>
          <w:lang w:eastAsia="en-GB"/>
          <w14:ligatures w14:val="none"/>
        </w:rPr>
        <w:t>e</w:t>
      </w:r>
      <w:r w:rsidRPr="00E306CC">
        <w:rPr>
          <w:rFonts w:ascii="Times New Roman" w:eastAsia="Times New Roman" w:hAnsi="Times New Roman" w:cs="Times New Roman"/>
          <w:kern w:val="0"/>
          <w:lang w:eastAsia="en-GB"/>
          <w14:ligatures w14:val="none"/>
        </w:rPr>
        <w:t xml:space="preserve">nergy </w:t>
      </w:r>
      <w:r w:rsidR="000A6F77">
        <w:rPr>
          <w:rFonts w:ascii="Times New Roman" w:eastAsia="Times New Roman" w:hAnsi="Times New Roman" w:cs="Times New Roman"/>
          <w:kern w:val="0"/>
          <w:lang w:eastAsia="en-GB"/>
          <w14:ligatures w14:val="none"/>
        </w:rPr>
        <w:t>p</w:t>
      </w:r>
      <w:r w:rsidRPr="00E306CC">
        <w:rPr>
          <w:rFonts w:ascii="Times New Roman" w:eastAsia="Times New Roman" w:hAnsi="Times New Roman" w:cs="Times New Roman"/>
          <w:kern w:val="0"/>
          <w:lang w:eastAsia="en-GB"/>
          <w14:ligatures w14:val="none"/>
        </w:rPr>
        <w:t>rofile</w:t>
      </w:r>
    </w:p>
    <w:p w14:paraId="19EDBA6B" w14:textId="7CB2376E" w:rsidR="005E0D21" w:rsidRPr="00E306CC" w:rsidRDefault="00D336E1" w:rsidP="00E306CC">
      <w:pPr>
        <w:spacing w:after="0" w:line="240" w:lineRule="auto"/>
        <w:jc w:val="both"/>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T</w:t>
      </w:r>
      <w:r w:rsidR="006962F0" w:rsidRPr="00E306CC">
        <w:rPr>
          <w:rFonts w:ascii="Times New Roman" w:eastAsia="Times New Roman" w:hAnsi="Times New Roman" w:cs="Times New Roman"/>
          <w:kern w:val="0"/>
          <w:lang w:eastAsia="en-GB"/>
          <w14:ligatures w14:val="none"/>
        </w:rPr>
        <w:t>able 1</w:t>
      </w:r>
      <w:r w:rsidRPr="00E306CC">
        <w:rPr>
          <w:rFonts w:ascii="Times New Roman" w:eastAsia="Times New Roman" w:hAnsi="Times New Roman" w:cs="Times New Roman"/>
          <w:kern w:val="0"/>
          <w:lang w:eastAsia="en-GB"/>
          <w14:ligatures w14:val="none"/>
        </w:rPr>
        <w:t xml:space="preserve"> dataset reveals clear operational phases. During 09:00–15:00, renewable generation exceeds demand, with a peak surplus of approximately 350 kW at 12:00. In contrast, deficit conditions occur between 18:00–06:00, with a maximum shortfall of around 420 kW at 21:00. Surplus energy is utilised for hydrogen production via electrolysis, enabling efficient energy storage.</w:t>
      </w:r>
    </w:p>
    <w:tbl>
      <w:tblPr>
        <w:tblStyle w:val="TableGridLight"/>
        <w:tblW w:w="0" w:type="auto"/>
        <w:tblInd w:w="-5" w:type="dxa"/>
        <w:tblLook w:val="04A0" w:firstRow="1" w:lastRow="0" w:firstColumn="1" w:lastColumn="0" w:noHBand="0" w:noVBand="1"/>
      </w:tblPr>
      <w:tblGrid>
        <w:gridCol w:w="1668"/>
        <w:gridCol w:w="2323"/>
        <w:gridCol w:w="3097"/>
      </w:tblGrid>
      <w:tr w:rsidR="00A92922" w:rsidRPr="00A92922" w14:paraId="096A5B3A" w14:textId="77777777" w:rsidTr="00625A60">
        <w:tc>
          <w:tcPr>
            <w:tcW w:w="1668" w:type="dxa"/>
            <w:hideMark/>
          </w:tcPr>
          <w:p w14:paraId="7A7CD8AF" w14:textId="77777777" w:rsidR="00A92922" w:rsidRPr="00E306CC" w:rsidRDefault="00A92922" w:rsidP="00A92922">
            <w:pPr>
              <w:jc w:val="center"/>
              <w:rPr>
                <w:rFonts w:ascii="Times New Roman" w:eastAsia="Times New Roman" w:hAnsi="Times New Roman" w:cs="Times New Roman"/>
                <w:b/>
                <w:bCs/>
                <w:kern w:val="0"/>
                <w:lang w:eastAsia="en-GB"/>
                <w14:ligatures w14:val="none"/>
              </w:rPr>
            </w:pPr>
            <w:r w:rsidRPr="00E306CC">
              <w:rPr>
                <w:rFonts w:ascii="Times New Roman" w:eastAsia="Times New Roman" w:hAnsi="Times New Roman" w:cs="Times New Roman"/>
                <w:b/>
                <w:bCs/>
                <w:kern w:val="0"/>
                <w:lang w:eastAsia="en-GB"/>
                <w14:ligatures w14:val="none"/>
              </w:rPr>
              <w:t>Time</w:t>
            </w:r>
          </w:p>
        </w:tc>
        <w:tc>
          <w:tcPr>
            <w:tcW w:w="0" w:type="auto"/>
            <w:hideMark/>
          </w:tcPr>
          <w:p w14:paraId="2291A48E" w14:textId="77777777" w:rsidR="00A92922" w:rsidRPr="00E306CC" w:rsidRDefault="00A92922" w:rsidP="00A92922">
            <w:pPr>
              <w:jc w:val="center"/>
              <w:rPr>
                <w:rFonts w:ascii="Times New Roman" w:eastAsia="Times New Roman" w:hAnsi="Times New Roman" w:cs="Times New Roman"/>
                <w:b/>
                <w:bCs/>
                <w:kern w:val="0"/>
                <w:lang w:eastAsia="en-GB"/>
                <w14:ligatures w14:val="none"/>
              </w:rPr>
            </w:pPr>
            <w:r w:rsidRPr="00E306CC">
              <w:rPr>
                <w:rFonts w:ascii="Times New Roman" w:eastAsia="Times New Roman" w:hAnsi="Times New Roman" w:cs="Times New Roman"/>
                <w:b/>
                <w:bCs/>
                <w:kern w:val="0"/>
                <w:lang w:eastAsia="en-GB"/>
                <w14:ligatures w14:val="none"/>
              </w:rPr>
              <w:t>Surplus Power (kW)</w:t>
            </w:r>
          </w:p>
        </w:tc>
        <w:tc>
          <w:tcPr>
            <w:tcW w:w="3097" w:type="dxa"/>
            <w:hideMark/>
          </w:tcPr>
          <w:p w14:paraId="486297E7" w14:textId="77777777" w:rsidR="00A92922" w:rsidRPr="00E306CC" w:rsidRDefault="00A92922" w:rsidP="00A92922">
            <w:pPr>
              <w:jc w:val="center"/>
              <w:rPr>
                <w:rFonts w:ascii="Times New Roman" w:eastAsia="Times New Roman" w:hAnsi="Times New Roman" w:cs="Times New Roman"/>
                <w:b/>
                <w:bCs/>
                <w:kern w:val="0"/>
                <w:lang w:eastAsia="en-GB"/>
                <w14:ligatures w14:val="none"/>
              </w:rPr>
            </w:pPr>
            <w:r w:rsidRPr="00E306CC">
              <w:rPr>
                <w:rFonts w:ascii="Times New Roman" w:eastAsia="Times New Roman" w:hAnsi="Times New Roman" w:cs="Times New Roman"/>
                <w:b/>
                <w:bCs/>
                <w:kern w:val="0"/>
                <w:lang w:eastAsia="en-GB"/>
                <w14:ligatures w14:val="none"/>
              </w:rPr>
              <w:t>Hydrogen Output (kg/h)</w:t>
            </w:r>
          </w:p>
        </w:tc>
      </w:tr>
      <w:tr w:rsidR="00A92922" w:rsidRPr="00A92922" w14:paraId="6DACFDD9" w14:textId="77777777" w:rsidTr="00625A60">
        <w:trPr>
          <w:trHeight w:val="177"/>
        </w:trPr>
        <w:tc>
          <w:tcPr>
            <w:tcW w:w="1668" w:type="dxa"/>
            <w:hideMark/>
          </w:tcPr>
          <w:p w14:paraId="503A7F89"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9:00</w:t>
            </w:r>
          </w:p>
        </w:tc>
        <w:tc>
          <w:tcPr>
            <w:tcW w:w="0" w:type="auto"/>
            <w:hideMark/>
          </w:tcPr>
          <w:p w14:paraId="6F3B7ED6"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200</w:t>
            </w:r>
          </w:p>
        </w:tc>
        <w:tc>
          <w:tcPr>
            <w:tcW w:w="3097" w:type="dxa"/>
            <w:hideMark/>
          </w:tcPr>
          <w:p w14:paraId="587DD04D"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4.2</w:t>
            </w:r>
          </w:p>
        </w:tc>
      </w:tr>
      <w:tr w:rsidR="00A92922" w:rsidRPr="00A92922" w14:paraId="1AD0C6F5" w14:textId="77777777" w:rsidTr="00625A60">
        <w:tc>
          <w:tcPr>
            <w:tcW w:w="1668" w:type="dxa"/>
            <w:hideMark/>
          </w:tcPr>
          <w:p w14:paraId="209372E8"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12:00</w:t>
            </w:r>
          </w:p>
        </w:tc>
        <w:tc>
          <w:tcPr>
            <w:tcW w:w="0" w:type="auto"/>
            <w:hideMark/>
          </w:tcPr>
          <w:p w14:paraId="53ABF889"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350</w:t>
            </w:r>
          </w:p>
        </w:tc>
        <w:tc>
          <w:tcPr>
            <w:tcW w:w="3097" w:type="dxa"/>
            <w:hideMark/>
          </w:tcPr>
          <w:p w14:paraId="076A79D6"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7.4</w:t>
            </w:r>
          </w:p>
        </w:tc>
      </w:tr>
      <w:tr w:rsidR="00A92922" w:rsidRPr="00A92922" w14:paraId="0977E326" w14:textId="77777777" w:rsidTr="00625A60">
        <w:tc>
          <w:tcPr>
            <w:tcW w:w="1668" w:type="dxa"/>
            <w:hideMark/>
          </w:tcPr>
          <w:p w14:paraId="566D7207"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15:00</w:t>
            </w:r>
          </w:p>
        </w:tc>
        <w:tc>
          <w:tcPr>
            <w:tcW w:w="0" w:type="auto"/>
            <w:hideMark/>
          </w:tcPr>
          <w:p w14:paraId="3FBC6C41"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230</w:t>
            </w:r>
          </w:p>
        </w:tc>
        <w:tc>
          <w:tcPr>
            <w:tcW w:w="3097" w:type="dxa"/>
            <w:hideMark/>
          </w:tcPr>
          <w:p w14:paraId="3A91E12A" w14:textId="77777777" w:rsidR="00A92922" w:rsidRPr="00E306CC" w:rsidRDefault="00A92922" w:rsidP="00A92922">
            <w:pPr>
              <w:rPr>
                <w:rFonts w:ascii="Times New Roman" w:eastAsia="Times New Roman" w:hAnsi="Times New Roman" w:cs="Times New Roman"/>
                <w:kern w:val="0"/>
                <w:lang w:eastAsia="en-GB"/>
                <w14:ligatures w14:val="none"/>
              </w:rPr>
            </w:pPr>
            <w:r w:rsidRPr="00E306CC">
              <w:rPr>
                <w:rFonts w:ascii="Times New Roman" w:eastAsia="Times New Roman" w:hAnsi="Times New Roman" w:cs="Times New Roman"/>
                <w:kern w:val="0"/>
                <w:lang w:eastAsia="en-GB"/>
                <w14:ligatures w14:val="none"/>
              </w:rPr>
              <w:t>4.8</w:t>
            </w:r>
          </w:p>
        </w:tc>
      </w:tr>
    </w:tbl>
    <w:p w14:paraId="16D18889" w14:textId="501569FF" w:rsidR="001E13FA" w:rsidRPr="00E306CC" w:rsidRDefault="006962F0" w:rsidP="000A6F77">
      <w:pPr>
        <w:spacing w:after="0" w:line="240" w:lineRule="auto"/>
        <w:rPr>
          <w:rFonts w:ascii="Times New Roman" w:hAnsi="Times New Roman" w:cs="Times New Roman"/>
        </w:rPr>
      </w:pPr>
      <w:r w:rsidRPr="00E306CC">
        <w:rPr>
          <w:rFonts w:ascii="Times New Roman" w:hAnsi="Times New Roman" w:cs="Times New Roman"/>
        </w:rPr>
        <w:t>Table 2 t</w:t>
      </w:r>
      <w:r w:rsidR="004B2E6E" w:rsidRPr="00E306CC">
        <w:rPr>
          <w:rFonts w:ascii="Times New Roman" w:hAnsi="Times New Roman" w:cs="Times New Roman"/>
        </w:rPr>
        <w:t>otal daily hydrogen production is approximately 16–17 kg</w:t>
      </w:r>
    </w:p>
    <w:p w14:paraId="155BC717" w14:textId="5770A0B1" w:rsidR="004B2E6E" w:rsidRPr="00162F4D" w:rsidRDefault="0079566B" w:rsidP="00514DDA">
      <w:pPr>
        <w:spacing w:after="0"/>
        <w:rPr>
          <w:rFonts w:ascii="Times New Roman" w:hAnsi="Times New Roman" w:cs="Times New Roman"/>
          <w:b/>
          <w:bCs/>
          <w:sz w:val="28"/>
          <w:szCs w:val="28"/>
        </w:rPr>
      </w:pPr>
      <w:r w:rsidRPr="00162F4D">
        <w:rPr>
          <w:rFonts w:ascii="Times New Roman" w:hAnsi="Times New Roman" w:cs="Times New Roman"/>
          <w:b/>
          <w:bCs/>
          <w:sz w:val="28"/>
          <w:szCs w:val="28"/>
        </w:rPr>
        <w:t>EV Charging and V2G Operation</w:t>
      </w:r>
    </w:p>
    <w:p w14:paraId="5334B453" w14:textId="46859475" w:rsidR="000E5D45" w:rsidRPr="000E5D45" w:rsidRDefault="00422D92" w:rsidP="00E306CC">
      <w:pPr>
        <w:spacing w:after="0" w:line="240" w:lineRule="auto"/>
        <w:jc w:val="both"/>
        <w:rPr>
          <w:rFonts w:ascii="Calibri" w:hAnsi="Calibri" w:cs="Calibri"/>
        </w:rPr>
      </w:pPr>
      <w:r w:rsidRPr="00E306CC">
        <w:rPr>
          <w:rFonts w:ascii="Times New Roman" w:hAnsi="Times New Roman" w:cs="Times New Roman"/>
        </w:rPr>
        <w:t>Electric vehicles act as flexible storage resources by absorbing surplus renewable energy during daytime charging and supplying energy back to the grid through V2G during evening peak demand</w:t>
      </w:r>
      <w:r w:rsidRPr="00422D92">
        <w:rPr>
          <w:rFonts w:ascii="Calibri" w:hAnsi="Calibri" w:cs="Calibri"/>
        </w:rPr>
        <w:t>.</w:t>
      </w:r>
    </w:p>
    <w:tbl>
      <w:tblPr>
        <w:tblStyle w:val="TableGridLight"/>
        <w:tblW w:w="0" w:type="auto"/>
        <w:tblInd w:w="-5" w:type="dxa"/>
        <w:tblLook w:val="04A0" w:firstRow="1" w:lastRow="0" w:firstColumn="1" w:lastColumn="0" w:noHBand="0" w:noVBand="1"/>
      </w:tblPr>
      <w:tblGrid>
        <w:gridCol w:w="4159"/>
        <w:gridCol w:w="2929"/>
      </w:tblGrid>
      <w:tr w:rsidR="000E5D45" w:rsidRPr="00E306CC" w14:paraId="1567ABCB" w14:textId="77777777" w:rsidTr="00625A60">
        <w:tc>
          <w:tcPr>
            <w:tcW w:w="4159" w:type="dxa"/>
            <w:hideMark/>
          </w:tcPr>
          <w:p w14:paraId="27F6B483" w14:textId="77777777" w:rsidR="000E5D45" w:rsidRPr="00E306CC" w:rsidRDefault="000E5D45" w:rsidP="00E306CC">
            <w:pPr>
              <w:rPr>
                <w:rFonts w:ascii="Times New Roman" w:hAnsi="Times New Roman" w:cs="Times New Roman"/>
                <w:b/>
                <w:bCs/>
              </w:rPr>
            </w:pPr>
            <w:r w:rsidRPr="00E306CC">
              <w:rPr>
                <w:rFonts w:ascii="Times New Roman" w:hAnsi="Times New Roman" w:cs="Times New Roman"/>
                <w:b/>
                <w:bCs/>
              </w:rPr>
              <w:t>Time</w:t>
            </w:r>
          </w:p>
        </w:tc>
        <w:tc>
          <w:tcPr>
            <w:tcW w:w="2929" w:type="dxa"/>
            <w:hideMark/>
          </w:tcPr>
          <w:p w14:paraId="3E77CFB2" w14:textId="77777777" w:rsidR="000E5D45" w:rsidRPr="00E306CC" w:rsidRDefault="000E5D45" w:rsidP="00E306CC">
            <w:pPr>
              <w:rPr>
                <w:rFonts w:ascii="Times New Roman" w:hAnsi="Times New Roman" w:cs="Times New Roman"/>
                <w:b/>
                <w:bCs/>
              </w:rPr>
            </w:pPr>
            <w:r w:rsidRPr="00E306CC">
              <w:rPr>
                <w:rFonts w:ascii="Times New Roman" w:hAnsi="Times New Roman" w:cs="Times New Roman"/>
                <w:b/>
                <w:bCs/>
              </w:rPr>
              <w:t>EV Contribution (kW)</w:t>
            </w:r>
          </w:p>
        </w:tc>
      </w:tr>
      <w:tr w:rsidR="000E5D45" w:rsidRPr="00E306CC" w14:paraId="5FE64E03" w14:textId="77777777" w:rsidTr="00625A60">
        <w:tc>
          <w:tcPr>
            <w:tcW w:w="4159" w:type="dxa"/>
            <w:hideMark/>
          </w:tcPr>
          <w:p w14:paraId="45365334" w14:textId="77777777" w:rsidR="000E5D45" w:rsidRPr="00E306CC" w:rsidRDefault="000E5D45" w:rsidP="00E306CC">
            <w:pPr>
              <w:rPr>
                <w:rFonts w:ascii="Times New Roman" w:hAnsi="Times New Roman" w:cs="Times New Roman"/>
              </w:rPr>
            </w:pPr>
            <w:r w:rsidRPr="00E306CC">
              <w:rPr>
                <w:rFonts w:ascii="Times New Roman" w:hAnsi="Times New Roman" w:cs="Times New Roman"/>
              </w:rPr>
              <w:t>18:00</w:t>
            </w:r>
          </w:p>
        </w:tc>
        <w:tc>
          <w:tcPr>
            <w:tcW w:w="2929" w:type="dxa"/>
            <w:hideMark/>
          </w:tcPr>
          <w:p w14:paraId="5022BE2B" w14:textId="77777777" w:rsidR="000E5D45" w:rsidRPr="00E306CC" w:rsidRDefault="000E5D45" w:rsidP="00E306CC">
            <w:pPr>
              <w:rPr>
                <w:rFonts w:ascii="Times New Roman" w:hAnsi="Times New Roman" w:cs="Times New Roman"/>
              </w:rPr>
            </w:pPr>
            <w:r w:rsidRPr="00E306CC">
              <w:rPr>
                <w:rFonts w:ascii="Times New Roman" w:hAnsi="Times New Roman" w:cs="Times New Roman"/>
              </w:rPr>
              <w:t>150</w:t>
            </w:r>
          </w:p>
        </w:tc>
      </w:tr>
      <w:tr w:rsidR="000E5D45" w:rsidRPr="00E306CC" w14:paraId="39DC9994" w14:textId="77777777" w:rsidTr="00625A60">
        <w:tc>
          <w:tcPr>
            <w:tcW w:w="4159" w:type="dxa"/>
            <w:hideMark/>
          </w:tcPr>
          <w:p w14:paraId="214BB37D" w14:textId="77777777" w:rsidR="000E5D45" w:rsidRPr="00E306CC" w:rsidRDefault="000E5D45" w:rsidP="00E306CC">
            <w:pPr>
              <w:rPr>
                <w:rFonts w:ascii="Times New Roman" w:hAnsi="Times New Roman" w:cs="Times New Roman"/>
              </w:rPr>
            </w:pPr>
            <w:r w:rsidRPr="00E306CC">
              <w:rPr>
                <w:rFonts w:ascii="Times New Roman" w:hAnsi="Times New Roman" w:cs="Times New Roman"/>
              </w:rPr>
              <w:t>21:00</w:t>
            </w:r>
          </w:p>
        </w:tc>
        <w:tc>
          <w:tcPr>
            <w:tcW w:w="2929" w:type="dxa"/>
            <w:hideMark/>
          </w:tcPr>
          <w:p w14:paraId="7031998D" w14:textId="77777777" w:rsidR="000E5D45" w:rsidRPr="00E306CC" w:rsidRDefault="000E5D45" w:rsidP="00E306CC">
            <w:pPr>
              <w:rPr>
                <w:rFonts w:ascii="Times New Roman" w:hAnsi="Times New Roman" w:cs="Times New Roman"/>
              </w:rPr>
            </w:pPr>
            <w:r w:rsidRPr="00E306CC">
              <w:rPr>
                <w:rFonts w:ascii="Times New Roman" w:hAnsi="Times New Roman" w:cs="Times New Roman"/>
              </w:rPr>
              <w:t>200</w:t>
            </w:r>
          </w:p>
        </w:tc>
      </w:tr>
    </w:tbl>
    <w:p w14:paraId="5C5A0BCB" w14:textId="458DD665" w:rsidR="00C65BCF" w:rsidRPr="00625A60" w:rsidRDefault="001249BD" w:rsidP="000A6F77">
      <w:pPr>
        <w:spacing w:after="0" w:line="240" w:lineRule="auto"/>
        <w:rPr>
          <w:rFonts w:ascii="Times New Roman" w:hAnsi="Times New Roman" w:cs="Times New Roman"/>
        </w:rPr>
      </w:pPr>
      <w:r w:rsidRPr="00E306CC">
        <w:rPr>
          <w:rFonts w:ascii="Times New Roman" w:hAnsi="Times New Roman" w:cs="Times New Roman"/>
        </w:rPr>
        <w:t>T</w:t>
      </w:r>
      <w:r w:rsidR="006962F0" w:rsidRPr="00E306CC">
        <w:rPr>
          <w:rFonts w:ascii="Times New Roman" w:hAnsi="Times New Roman" w:cs="Times New Roman"/>
        </w:rPr>
        <w:t>able 3 behaviour</w:t>
      </w:r>
      <w:r w:rsidRPr="00E306CC">
        <w:rPr>
          <w:rFonts w:ascii="Times New Roman" w:hAnsi="Times New Roman" w:cs="Times New Roman"/>
        </w:rPr>
        <w:t xml:space="preserve"> reduces peak demand pressure on the grid.</w:t>
      </w:r>
    </w:p>
    <w:p w14:paraId="64A1801B" w14:textId="6859E95A" w:rsidR="0074141B" w:rsidRPr="00162F4D" w:rsidRDefault="0074141B" w:rsidP="00E306CC">
      <w:pPr>
        <w:spacing w:after="0" w:line="240" w:lineRule="auto"/>
        <w:rPr>
          <w:rFonts w:ascii="Times New Roman" w:hAnsi="Times New Roman" w:cs="Times New Roman"/>
          <w:b/>
          <w:bCs/>
          <w:sz w:val="28"/>
          <w:szCs w:val="28"/>
        </w:rPr>
      </w:pPr>
      <w:r w:rsidRPr="00162F4D">
        <w:rPr>
          <w:rFonts w:ascii="Times New Roman" w:hAnsi="Times New Roman" w:cs="Times New Roman"/>
          <w:b/>
          <w:bCs/>
          <w:sz w:val="28"/>
          <w:szCs w:val="28"/>
        </w:rPr>
        <w:t>System Performance Metrics</w:t>
      </w:r>
    </w:p>
    <w:tbl>
      <w:tblPr>
        <w:tblStyle w:val="TableGridLight"/>
        <w:tblW w:w="0" w:type="auto"/>
        <w:tblLook w:val="04A0" w:firstRow="1" w:lastRow="0" w:firstColumn="1" w:lastColumn="0" w:noHBand="0" w:noVBand="1"/>
      </w:tblPr>
      <w:tblGrid>
        <w:gridCol w:w="4238"/>
        <w:gridCol w:w="2850"/>
      </w:tblGrid>
      <w:tr w:rsidR="00625A60" w:rsidRPr="00B74695" w14:paraId="1E26E348" w14:textId="77777777" w:rsidTr="00625A60">
        <w:tc>
          <w:tcPr>
            <w:tcW w:w="4238" w:type="dxa"/>
            <w:hideMark/>
          </w:tcPr>
          <w:p w14:paraId="2DBFA4E0" w14:textId="77777777" w:rsidR="00625A60" w:rsidRPr="00E306CC" w:rsidRDefault="00625A60" w:rsidP="00625A60">
            <w:pPr>
              <w:spacing w:line="278" w:lineRule="auto"/>
              <w:rPr>
                <w:rFonts w:ascii="Times New Roman" w:hAnsi="Times New Roman" w:cs="Times New Roman"/>
              </w:rPr>
            </w:pPr>
            <w:r w:rsidRPr="00E306CC">
              <w:rPr>
                <w:rFonts w:ascii="Times New Roman" w:hAnsi="Times New Roman" w:cs="Times New Roman"/>
              </w:rPr>
              <w:t>Metric</w:t>
            </w:r>
          </w:p>
        </w:tc>
        <w:tc>
          <w:tcPr>
            <w:tcW w:w="2850" w:type="dxa"/>
            <w:hideMark/>
          </w:tcPr>
          <w:p w14:paraId="2C24E30B" w14:textId="77777777" w:rsidR="00625A60" w:rsidRPr="00E306CC" w:rsidRDefault="00625A60" w:rsidP="00625A60">
            <w:pPr>
              <w:spacing w:line="278" w:lineRule="auto"/>
              <w:rPr>
                <w:rFonts w:ascii="Times New Roman" w:hAnsi="Times New Roman" w:cs="Times New Roman"/>
              </w:rPr>
            </w:pPr>
            <w:r w:rsidRPr="00E306CC">
              <w:rPr>
                <w:rFonts w:ascii="Times New Roman" w:hAnsi="Times New Roman" w:cs="Times New Roman"/>
              </w:rPr>
              <w:t>Value</w:t>
            </w:r>
          </w:p>
        </w:tc>
      </w:tr>
      <w:tr w:rsidR="00625A60" w:rsidRPr="00B74695" w14:paraId="7B5B78DB" w14:textId="77777777" w:rsidTr="00625A60">
        <w:tc>
          <w:tcPr>
            <w:tcW w:w="4238" w:type="dxa"/>
            <w:hideMark/>
          </w:tcPr>
          <w:p w14:paraId="54EA032B" w14:textId="77777777" w:rsidR="00625A60" w:rsidRPr="00E306CC" w:rsidRDefault="00625A60" w:rsidP="00625A60">
            <w:pPr>
              <w:spacing w:line="278" w:lineRule="auto"/>
              <w:rPr>
                <w:rFonts w:ascii="Times New Roman" w:hAnsi="Times New Roman" w:cs="Times New Roman"/>
              </w:rPr>
            </w:pPr>
            <w:r w:rsidRPr="00E306CC">
              <w:rPr>
                <w:rFonts w:ascii="Times New Roman" w:hAnsi="Times New Roman" w:cs="Times New Roman"/>
              </w:rPr>
              <w:t>Renewable energy utilisation</w:t>
            </w:r>
          </w:p>
        </w:tc>
        <w:tc>
          <w:tcPr>
            <w:tcW w:w="2850" w:type="dxa"/>
            <w:hideMark/>
          </w:tcPr>
          <w:p w14:paraId="3088636F" w14:textId="77777777" w:rsidR="00625A60" w:rsidRPr="00E306CC" w:rsidRDefault="00625A60" w:rsidP="00625A60">
            <w:pPr>
              <w:spacing w:line="278" w:lineRule="auto"/>
              <w:rPr>
                <w:rFonts w:ascii="Times New Roman" w:hAnsi="Times New Roman" w:cs="Times New Roman"/>
              </w:rPr>
            </w:pPr>
            <w:r w:rsidRPr="00E306CC">
              <w:rPr>
                <w:rFonts w:ascii="Times New Roman" w:hAnsi="Times New Roman" w:cs="Times New Roman"/>
              </w:rPr>
              <w:t>≈92%</w:t>
            </w:r>
          </w:p>
        </w:tc>
      </w:tr>
      <w:tr w:rsidR="00625A60" w:rsidRPr="00B74695" w14:paraId="0F3ADAA6" w14:textId="77777777" w:rsidTr="00625A60">
        <w:tc>
          <w:tcPr>
            <w:tcW w:w="4238" w:type="dxa"/>
            <w:hideMark/>
          </w:tcPr>
          <w:p w14:paraId="7F385A19" w14:textId="77777777" w:rsidR="00625A60" w:rsidRPr="00E306CC" w:rsidRDefault="00625A60" w:rsidP="00625A60">
            <w:pPr>
              <w:spacing w:line="278" w:lineRule="auto"/>
              <w:rPr>
                <w:rFonts w:ascii="Times New Roman" w:hAnsi="Times New Roman" w:cs="Times New Roman"/>
              </w:rPr>
            </w:pPr>
            <w:r w:rsidRPr="00E306CC">
              <w:rPr>
                <w:rFonts w:ascii="Times New Roman" w:hAnsi="Times New Roman" w:cs="Times New Roman"/>
              </w:rPr>
              <w:t>Curtailment reduction</w:t>
            </w:r>
          </w:p>
        </w:tc>
        <w:tc>
          <w:tcPr>
            <w:tcW w:w="2850" w:type="dxa"/>
            <w:hideMark/>
          </w:tcPr>
          <w:p w14:paraId="2FE56AB1" w14:textId="77777777" w:rsidR="00625A60" w:rsidRPr="00E306CC" w:rsidRDefault="00625A60" w:rsidP="00625A60">
            <w:pPr>
              <w:spacing w:line="278" w:lineRule="auto"/>
              <w:rPr>
                <w:rFonts w:ascii="Times New Roman" w:hAnsi="Times New Roman" w:cs="Times New Roman"/>
              </w:rPr>
            </w:pPr>
            <w:r w:rsidRPr="00E306CC">
              <w:rPr>
                <w:rFonts w:ascii="Times New Roman" w:hAnsi="Times New Roman" w:cs="Times New Roman"/>
              </w:rPr>
              <w:t>≈85% decrease</w:t>
            </w:r>
          </w:p>
        </w:tc>
      </w:tr>
      <w:tr w:rsidR="00625A60" w:rsidRPr="00B74695" w14:paraId="6CDC7206" w14:textId="77777777" w:rsidTr="00625A60">
        <w:tc>
          <w:tcPr>
            <w:tcW w:w="4238" w:type="dxa"/>
            <w:hideMark/>
          </w:tcPr>
          <w:p w14:paraId="5FE2DDAE" w14:textId="77777777" w:rsidR="00625A60" w:rsidRPr="00E306CC" w:rsidRDefault="00625A60" w:rsidP="00625A60">
            <w:pPr>
              <w:spacing w:line="278" w:lineRule="auto"/>
              <w:rPr>
                <w:rFonts w:ascii="Times New Roman" w:hAnsi="Times New Roman" w:cs="Times New Roman"/>
              </w:rPr>
            </w:pPr>
            <w:r w:rsidRPr="00E306CC">
              <w:rPr>
                <w:rFonts w:ascii="Times New Roman" w:hAnsi="Times New Roman" w:cs="Times New Roman"/>
              </w:rPr>
              <w:t>Peak load reduction</w:t>
            </w:r>
          </w:p>
        </w:tc>
        <w:tc>
          <w:tcPr>
            <w:tcW w:w="2850" w:type="dxa"/>
            <w:hideMark/>
          </w:tcPr>
          <w:p w14:paraId="1D5F5213" w14:textId="77777777" w:rsidR="00625A60" w:rsidRPr="00E306CC" w:rsidRDefault="00625A60" w:rsidP="00625A60">
            <w:pPr>
              <w:spacing w:line="278" w:lineRule="auto"/>
              <w:rPr>
                <w:rFonts w:ascii="Times New Roman" w:hAnsi="Times New Roman" w:cs="Times New Roman"/>
              </w:rPr>
            </w:pPr>
            <w:r w:rsidRPr="00E306CC">
              <w:rPr>
                <w:rFonts w:ascii="Times New Roman" w:hAnsi="Times New Roman" w:cs="Times New Roman"/>
              </w:rPr>
              <w:t>≈20–22%</w:t>
            </w:r>
          </w:p>
        </w:tc>
      </w:tr>
      <w:tr w:rsidR="00625A60" w:rsidRPr="00B74695" w14:paraId="18EC2E30" w14:textId="77777777" w:rsidTr="00625A60">
        <w:tc>
          <w:tcPr>
            <w:tcW w:w="4238" w:type="dxa"/>
            <w:hideMark/>
          </w:tcPr>
          <w:p w14:paraId="600F4930" w14:textId="77777777" w:rsidR="00625A60" w:rsidRPr="00E306CC" w:rsidRDefault="00625A60" w:rsidP="00625A60">
            <w:pPr>
              <w:rPr>
                <w:rFonts w:ascii="Times New Roman" w:hAnsi="Times New Roman" w:cs="Times New Roman"/>
              </w:rPr>
            </w:pPr>
            <w:r w:rsidRPr="00E306CC">
              <w:rPr>
                <w:rFonts w:ascii="Times New Roman" w:hAnsi="Times New Roman" w:cs="Times New Roman"/>
              </w:rPr>
              <w:t>Hydrogen contribution to supply</w:t>
            </w:r>
          </w:p>
        </w:tc>
        <w:tc>
          <w:tcPr>
            <w:tcW w:w="2850" w:type="dxa"/>
            <w:hideMark/>
          </w:tcPr>
          <w:p w14:paraId="45779DC3" w14:textId="77777777" w:rsidR="00625A60" w:rsidRPr="00E306CC" w:rsidRDefault="00625A60" w:rsidP="00625A60">
            <w:pPr>
              <w:rPr>
                <w:rFonts w:ascii="Times New Roman" w:hAnsi="Times New Roman" w:cs="Times New Roman"/>
              </w:rPr>
            </w:pPr>
            <w:r w:rsidRPr="00E306CC">
              <w:rPr>
                <w:rFonts w:ascii="Times New Roman" w:hAnsi="Times New Roman" w:cs="Times New Roman"/>
              </w:rPr>
              <w:t>≈18–25%</w:t>
            </w:r>
          </w:p>
        </w:tc>
      </w:tr>
      <w:tr w:rsidR="00625A60" w:rsidRPr="00B74695" w14:paraId="6F751814" w14:textId="77777777" w:rsidTr="00625A60">
        <w:tc>
          <w:tcPr>
            <w:tcW w:w="4238" w:type="dxa"/>
            <w:hideMark/>
          </w:tcPr>
          <w:p w14:paraId="37B4B3F1" w14:textId="77777777" w:rsidR="00625A60" w:rsidRPr="00E306CC" w:rsidRDefault="00625A60" w:rsidP="00625A60">
            <w:pPr>
              <w:rPr>
                <w:rFonts w:ascii="Times New Roman" w:hAnsi="Times New Roman" w:cs="Times New Roman"/>
              </w:rPr>
            </w:pPr>
            <w:r w:rsidRPr="00E306CC">
              <w:rPr>
                <w:rFonts w:ascii="Times New Roman" w:hAnsi="Times New Roman" w:cs="Times New Roman"/>
              </w:rPr>
              <w:t>Deficit coverage improvement</w:t>
            </w:r>
          </w:p>
        </w:tc>
        <w:tc>
          <w:tcPr>
            <w:tcW w:w="2850" w:type="dxa"/>
            <w:hideMark/>
          </w:tcPr>
          <w:p w14:paraId="2A67E97D" w14:textId="77777777" w:rsidR="00625A60" w:rsidRPr="00E306CC" w:rsidRDefault="00625A60" w:rsidP="00625A60">
            <w:pPr>
              <w:rPr>
                <w:rFonts w:ascii="Times New Roman" w:hAnsi="Times New Roman" w:cs="Times New Roman"/>
              </w:rPr>
            </w:pPr>
            <w:r w:rsidRPr="00E306CC">
              <w:rPr>
                <w:rFonts w:ascii="Times New Roman" w:hAnsi="Times New Roman" w:cs="Times New Roman"/>
              </w:rPr>
              <w:t>≈60%</w:t>
            </w:r>
          </w:p>
        </w:tc>
      </w:tr>
    </w:tbl>
    <w:p w14:paraId="13A92AE6" w14:textId="24EC51A2" w:rsidR="006962F0" w:rsidRPr="00625A60" w:rsidRDefault="006962F0" w:rsidP="001A243A">
      <w:pPr>
        <w:spacing w:after="0" w:line="240" w:lineRule="auto"/>
        <w:jc w:val="center"/>
        <w:rPr>
          <w:rFonts w:ascii="Times New Roman" w:hAnsi="Times New Roman" w:cs="Times New Roman"/>
        </w:rPr>
      </w:pPr>
      <w:r w:rsidRPr="00625A60">
        <w:rPr>
          <w:rFonts w:ascii="Times New Roman" w:hAnsi="Times New Roman" w:cs="Times New Roman"/>
        </w:rPr>
        <w:t>Table 4 performance metrics</w:t>
      </w:r>
    </w:p>
    <w:p w14:paraId="5FB8BE3A" w14:textId="44C05AC2" w:rsidR="00433CD2" w:rsidRPr="00625A60" w:rsidRDefault="00433CD2" w:rsidP="00625A60">
      <w:pPr>
        <w:spacing w:after="0" w:line="240" w:lineRule="auto"/>
        <w:jc w:val="both"/>
        <w:rPr>
          <w:rFonts w:ascii="Times New Roman" w:hAnsi="Times New Roman" w:cs="Times New Roman"/>
        </w:rPr>
      </w:pPr>
      <w:r w:rsidRPr="00625A60">
        <w:rPr>
          <w:rFonts w:ascii="Times New Roman" w:hAnsi="Times New Roman" w:cs="Times New Roman"/>
        </w:rPr>
        <w:t>The values presented are derived from the representative 24-hour operational scenario and are intended to illustrate the potential performance of the proposed framework</w:t>
      </w:r>
    </w:p>
    <w:p w14:paraId="7EE0AEBC" w14:textId="4C91E273" w:rsidR="00624E88" w:rsidRPr="00625A60" w:rsidRDefault="00624E88" w:rsidP="00624E88">
      <w:pPr>
        <w:spacing w:after="0"/>
        <w:rPr>
          <w:rFonts w:ascii="Times New Roman" w:hAnsi="Times New Roman" w:cs="Times New Roman"/>
          <w:b/>
          <w:bCs/>
        </w:rPr>
      </w:pPr>
      <w:r w:rsidRPr="00625A60">
        <w:rPr>
          <w:rFonts w:ascii="Times New Roman" w:hAnsi="Times New Roman" w:cs="Times New Roman"/>
          <w:b/>
          <w:bCs/>
        </w:rPr>
        <w:lastRenderedPageBreak/>
        <w:t>Comparative Scenario Evaluation</w:t>
      </w:r>
    </w:p>
    <w:p w14:paraId="0C9C6C78" w14:textId="77777777" w:rsidR="00624E88" w:rsidRPr="00E306CC" w:rsidRDefault="00624E88" w:rsidP="00E306CC">
      <w:pPr>
        <w:spacing w:after="0" w:line="240" w:lineRule="auto"/>
        <w:rPr>
          <w:rFonts w:ascii="Times New Roman" w:hAnsi="Times New Roman" w:cs="Times New Roman"/>
        </w:rPr>
      </w:pPr>
      <w:r w:rsidRPr="00E306CC">
        <w:rPr>
          <w:rFonts w:ascii="Times New Roman" w:hAnsi="Times New Roman" w:cs="Times New Roman"/>
        </w:rPr>
        <w:t>The performance of the system was evaluated against alternative configurations:</w:t>
      </w:r>
    </w:p>
    <w:tbl>
      <w:tblPr>
        <w:tblStyle w:val="TableGridLight"/>
        <w:tblW w:w="0" w:type="auto"/>
        <w:tblInd w:w="-5" w:type="dxa"/>
        <w:tblLook w:val="04A0" w:firstRow="1" w:lastRow="0" w:firstColumn="1" w:lastColumn="0" w:noHBand="0" w:noVBand="1"/>
      </w:tblPr>
      <w:tblGrid>
        <w:gridCol w:w="1916"/>
        <w:gridCol w:w="1363"/>
        <w:gridCol w:w="1236"/>
        <w:gridCol w:w="2411"/>
      </w:tblGrid>
      <w:tr w:rsidR="00624E88" w:rsidRPr="00E306CC" w14:paraId="729CC7EE" w14:textId="77777777" w:rsidTr="00625A60">
        <w:tc>
          <w:tcPr>
            <w:tcW w:w="0" w:type="auto"/>
            <w:hideMark/>
          </w:tcPr>
          <w:p w14:paraId="67F9E8F8"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Scenario</w:t>
            </w:r>
          </w:p>
        </w:tc>
        <w:tc>
          <w:tcPr>
            <w:tcW w:w="0" w:type="auto"/>
            <w:hideMark/>
          </w:tcPr>
          <w:p w14:paraId="796B66D4"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Curtailment</w:t>
            </w:r>
          </w:p>
        </w:tc>
        <w:tc>
          <w:tcPr>
            <w:tcW w:w="0" w:type="auto"/>
            <w:hideMark/>
          </w:tcPr>
          <w:p w14:paraId="2854D312"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Peak Load</w:t>
            </w:r>
          </w:p>
        </w:tc>
        <w:tc>
          <w:tcPr>
            <w:tcW w:w="2411" w:type="dxa"/>
            <w:hideMark/>
          </w:tcPr>
          <w:p w14:paraId="59321D59"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System Flexibility</w:t>
            </w:r>
          </w:p>
        </w:tc>
      </w:tr>
      <w:tr w:rsidR="00624E88" w:rsidRPr="00E306CC" w14:paraId="52557F83" w14:textId="77777777" w:rsidTr="00625A60">
        <w:tc>
          <w:tcPr>
            <w:tcW w:w="0" w:type="auto"/>
            <w:hideMark/>
          </w:tcPr>
          <w:p w14:paraId="03AEE52F"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No storage</w:t>
            </w:r>
          </w:p>
        </w:tc>
        <w:tc>
          <w:tcPr>
            <w:tcW w:w="0" w:type="auto"/>
            <w:hideMark/>
          </w:tcPr>
          <w:p w14:paraId="679AE8F4"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High</w:t>
            </w:r>
          </w:p>
        </w:tc>
        <w:tc>
          <w:tcPr>
            <w:tcW w:w="0" w:type="auto"/>
            <w:hideMark/>
          </w:tcPr>
          <w:p w14:paraId="3CE7D147"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High</w:t>
            </w:r>
          </w:p>
        </w:tc>
        <w:tc>
          <w:tcPr>
            <w:tcW w:w="2411" w:type="dxa"/>
            <w:hideMark/>
          </w:tcPr>
          <w:p w14:paraId="24545534"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Low</w:t>
            </w:r>
          </w:p>
        </w:tc>
      </w:tr>
      <w:tr w:rsidR="00624E88" w:rsidRPr="00E306CC" w14:paraId="4BB065E4" w14:textId="77777777" w:rsidTr="00625A60">
        <w:tc>
          <w:tcPr>
            <w:tcW w:w="0" w:type="auto"/>
            <w:hideMark/>
          </w:tcPr>
          <w:p w14:paraId="35099357"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EV only</w:t>
            </w:r>
          </w:p>
        </w:tc>
        <w:tc>
          <w:tcPr>
            <w:tcW w:w="0" w:type="auto"/>
            <w:hideMark/>
          </w:tcPr>
          <w:p w14:paraId="4B6646C6"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Moderate</w:t>
            </w:r>
          </w:p>
        </w:tc>
        <w:tc>
          <w:tcPr>
            <w:tcW w:w="0" w:type="auto"/>
            <w:hideMark/>
          </w:tcPr>
          <w:p w14:paraId="2DB5EF6D"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Reduced</w:t>
            </w:r>
          </w:p>
        </w:tc>
        <w:tc>
          <w:tcPr>
            <w:tcW w:w="2411" w:type="dxa"/>
            <w:hideMark/>
          </w:tcPr>
          <w:p w14:paraId="37AEE5BD"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Medium</w:t>
            </w:r>
          </w:p>
        </w:tc>
      </w:tr>
      <w:tr w:rsidR="00624E88" w:rsidRPr="00E306CC" w14:paraId="2E09CA07" w14:textId="77777777" w:rsidTr="00625A60">
        <w:tc>
          <w:tcPr>
            <w:tcW w:w="0" w:type="auto"/>
            <w:hideMark/>
          </w:tcPr>
          <w:p w14:paraId="4941BAB0"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Hydrogen only</w:t>
            </w:r>
          </w:p>
        </w:tc>
        <w:tc>
          <w:tcPr>
            <w:tcW w:w="0" w:type="auto"/>
            <w:hideMark/>
          </w:tcPr>
          <w:p w14:paraId="79A3CA20"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Low</w:t>
            </w:r>
          </w:p>
        </w:tc>
        <w:tc>
          <w:tcPr>
            <w:tcW w:w="0" w:type="auto"/>
            <w:hideMark/>
          </w:tcPr>
          <w:p w14:paraId="1B8E25D0"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Moderate</w:t>
            </w:r>
          </w:p>
        </w:tc>
        <w:tc>
          <w:tcPr>
            <w:tcW w:w="2411" w:type="dxa"/>
            <w:hideMark/>
          </w:tcPr>
          <w:p w14:paraId="374D5D87"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High</w:t>
            </w:r>
          </w:p>
        </w:tc>
      </w:tr>
      <w:tr w:rsidR="00624E88" w:rsidRPr="00E306CC" w14:paraId="7B311506" w14:textId="77777777" w:rsidTr="00625A60">
        <w:tc>
          <w:tcPr>
            <w:tcW w:w="0" w:type="auto"/>
            <w:hideMark/>
          </w:tcPr>
          <w:p w14:paraId="48983B0B"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Integrated system</w:t>
            </w:r>
          </w:p>
        </w:tc>
        <w:tc>
          <w:tcPr>
            <w:tcW w:w="0" w:type="auto"/>
            <w:hideMark/>
          </w:tcPr>
          <w:p w14:paraId="131E004C"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Very low</w:t>
            </w:r>
          </w:p>
        </w:tc>
        <w:tc>
          <w:tcPr>
            <w:tcW w:w="0" w:type="auto"/>
            <w:hideMark/>
          </w:tcPr>
          <w:p w14:paraId="00FE1B49"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Lowest</w:t>
            </w:r>
          </w:p>
        </w:tc>
        <w:tc>
          <w:tcPr>
            <w:tcW w:w="2411" w:type="dxa"/>
            <w:hideMark/>
          </w:tcPr>
          <w:p w14:paraId="2F69716C" w14:textId="77777777" w:rsidR="00624E88" w:rsidRPr="00E306CC" w:rsidRDefault="00624E88" w:rsidP="00E306CC">
            <w:pPr>
              <w:rPr>
                <w:rFonts w:ascii="Times New Roman" w:hAnsi="Times New Roman" w:cs="Times New Roman"/>
              </w:rPr>
            </w:pPr>
            <w:r w:rsidRPr="00E306CC">
              <w:rPr>
                <w:rFonts w:ascii="Times New Roman" w:hAnsi="Times New Roman" w:cs="Times New Roman"/>
              </w:rPr>
              <w:t>Very high</w:t>
            </w:r>
          </w:p>
        </w:tc>
      </w:tr>
    </w:tbl>
    <w:p w14:paraId="164C6769" w14:textId="32672C74" w:rsidR="005E0D21" w:rsidRPr="00625A60" w:rsidRDefault="005E0D21" w:rsidP="00625A60">
      <w:pPr>
        <w:spacing w:after="0" w:line="240" w:lineRule="auto"/>
        <w:jc w:val="center"/>
        <w:rPr>
          <w:rFonts w:ascii="Times New Roman" w:hAnsi="Times New Roman" w:cs="Times New Roman"/>
        </w:rPr>
      </w:pPr>
      <w:r w:rsidRPr="00625A60">
        <w:rPr>
          <w:rFonts w:ascii="Times New Roman" w:hAnsi="Times New Roman" w:cs="Times New Roman"/>
        </w:rPr>
        <w:t>Table 5 renewable metric evaluation</w:t>
      </w:r>
    </w:p>
    <w:p w14:paraId="77FE8EAC" w14:textId="5D97A614" w:rsidR="00383A8C" w:rsidRPr="00625A60" w:rsidRDefault="00383A8C" w:rsidP="00625A60">
      <w:pPr>
        <w:spacing w:after="0" w:line="240" w:lineRule="auto"/>
        <w:jc w:val="both"/>
        <w:rPr>
          <w:rFonts w:ascii="Times New Roman" w:hAnsi="Times New Roman" w:cs="Times New Roman"/>
        </w:rPr>
      </w:pPr>
      <w:r w:rsidRPr="00625A60">
        <w:rPr>
          <w:rFonts w:ascii="Times New Roman" w:hAnsi="Times New Roman" w:cs="Times New Roman"/>
        </w:rPr>
        <w:t>T</w:t>
      </w:r>
      <w:r w:rsidR="006962F0" w:rsidRPr="00625A60">
        <w:rPr>
          <w:rFonts w:ascii="Times New Roman" w:hAnsi="Times New Roman" w:cs="Times New Roman"/>
        </w:rPr>
        <w:t xml:space="preserve">able </w:t>
      </w:r>
      <w:r w:rsidR="00AD2B73" w:rsidRPr="00625A60">
        <w:rPr>
          <w:rFonts w:ascii="Times New Roman" w:hAnsi="Times New Roman" w:cs="Times New Roman"/>
        </w:rPr>
        <w:t xml:space="preserve">5 </w:t>
      </w:r>
      <w:r w:rsidRPr="00625A60">
        <w:rPr>
          <w:rFonts w:ascii="Times New Roman" w:hAnsi="Times New Roman" w:cs="Times New Roman"/>
        </w:rPr>
        <w:t>demonstrate</w:t>
      </w:r>
      <w:r w:rsidR="005E0D21" w:rsidRPr="00625A60">
        <w:rPr>
          <w:rFonts w:ascii="Times New Roman" w:hAnsi="Times New Roman" w:cs="Times New Roman"/>
        </w:rPr>
        <w:t>s</w:t>
      </w:r>
      <w:r w:rsidRPr="00625A60">
        <w:rPr>
          <w:rFonts w:ascii="Times New Roman" w:hAnsi="Times New Roman" w:cs="Times New Roman"/>
        </w:rPr>
        <w:t xml:space="preserve"> that integrating hydrogen and electric mobility improves system performance. During periods of high renewable generation, surplus energy is utilised for hydrogen production and EV charging, reducing curtailment. During peak demand, energy from EVs (via V2G) and hydrogen systems supports the grid.EVs provide short-term flexibility, while hydrogen enables long-duration energy balancing, creating a complementary storage system that enhances </w:t>
      </w:r>
      <w:r w:rsidR="005E0D21" w:rsidRPr="00625A60">
        <w:rPr>
          <w:rFonts w:ascii="Times New Roman" w:hAnsi="Times New Roman" w:cs="Times New Roman"/>
        </w:rPr>
        <w:t>resilience and</w:t>
      </w:r>
      <w:r w:rsidRPr="00625A60">
        <w:rPr>
          <w:rFonts w:ascii="Times New Roman" w:hAnsi="Times New Roman" w:cs="Times New Roman"/>
        </w:rPr>
        <w:t xml:space="preserve"> reduces reliance on conventional generation. The high renewable utilisation rate and reduced peak load confirm the effectiveness of the sector-coupled approach. Overall, the framework enables a multi-layered energy balancing system capable of addressing both short-term variability and long-term storage needs.</w:t>
      </w:r>
    </w:p>
    <w:p w14:paraId="18D29D03" w14:textId="3A5C0A29" w:rsidR="0086155C" w:rsidRPr="00162F4D" w:rsidRDefault="002801B1" w:rsidP="00514DDA">
      <w:pPr>
        <w:spacing w:after="0"/>
        <w:rPr>
          <w:rFonts w:ascii="Times New Roman" w:hAnsi="Times New Roman" w:cs="Times New Roman"/>
          <w:b/>
          <w:bCs/>
          <w:sz w:val="28"/>
          <w:szCs w:val="28"/>
        </w:rPr>
      </w:pPr>
      <w:r w:rsidRPr="00162F4D">
        <w:rPr>
          <w:rFonts w:ascii="Times New Roman" w:hAnsi="Times New Roman" w:cs="Times New Roman"/>
          <w:b/>
          <w:bCs/>
          <w:sz w:val="28"/>
          <w:szCs w:val="28"/>
        </w:rPr>
        <w:t>RENEWABLE ENERGY COUPLING WITH TRANSPORT SYSTEMS</w:t>
      </w:r>
    </w:p>
    <w:p w14:paraId="1C77344D" w14:textId="55C2A993" w:rsidR="00D87D4B" w:rsidRPr="00E306CC" w:rsidRDefault="00D87D4B" w:rsidP="00E306CC">
      <w:pPr>
        <w:spacing w:after="0" w:line="240" w:lineRule="auto"/>
        <w:jc w:val="both"/>
        <w:rPr>
          <w:rFonts w:ascii="Times New Roman" w:hAnsi="Times New Roman" w:cs="Times New Roman"/>
        </w:rPr>
      </w:pPr>
      <w:r w:rsidRPr="00E306CC">
        <w:rPr>
          <w:rFonts w:ascii="Times New Roman" w:hAnsi="Times New Roman" w:cs="Times New Roman"/>
        </w:rPr>
        <w:t>Kenya’s energy system provides a strong example of implicit sector coupling through the integration of renewable energy and electric mobility, even in the absence of fully developed hydrogen infrastructure. Solar-powered EV charging and battery-swapping systems enable decentralised energy use and reduce reliance on conventional grid infrastructure. These systems allow surplus renewable energy to be redirected to transport applications, improving overall energy utilisation while reducing grid stress. Studies have shown that integrating EVs into solar-based systems can enhance performance by absorbing excess generation and reducing dependence on fossil fuels (Rozzi et al., 2024; Su et al., 2024</w:t>
      </w:r>
      <w:r w:rsidR="00F35A04" w:rsidRPr="00E306CC">
        <w:rPr>
          <w:rFonts w:ascii="Times New Roman" w:hAnsi="Times New Roman" w:cs="Times New Roman"/>
        </w:rPr>
        <w:t>). This</w:t>
      </w:r>
      <w:r w:rsidRPr="00E306CC">
        <w:rPr>
          <w:rFonts w:ascii="Times New Roman" w:hAnsi="Times New Roman" w:cs="Times New Roman"/>
        </w:rPr>
        <w:t xml:space="preserve"> interaction between renewable energy and transport aligns with the proposed sector-coupled framework, where EVs act as flexible demand-side resources. It also highlights the potential for future integration of hydrogen systems to provide long-duration energy storage and further enhance system flexibility.</w:t>
      </w:r>
    </w:p>
    <w:p w14:paraId="6BA52537" w14:textId="134A1794" w:rsidR="00C572AA" w:rsidRPr="00162F4D" w:rsidRDefault="00C572AA" w:rsidP="00D630E7">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System Flexibility and Grid Implications</w:t>
      </w:r>
    </w:p>
    <w:p w14:paraId="33DABE33" w14:textId="0F5DB19C" w:rsidR="00E306CC" w:rsidRPr="00C65BCF" w:rsidRDefault="00D01A58" w:rsidP="00C65BCF">
      <w:pPr>
        <w:spacing w:after="0" w:line="240" w:lineRule="auto"/>
        <w:jc w:val="both"/>
        <w:rPr>
          <w:rFonts w:ascii="Times New Roman" w:hAnsi="Times New Roman" w:cs="Times New Roman"/>
        </w:rPr>
      </w:pPr>
      <w:r w:rsidRPr="00E306CC">
        <w:rPr>
          <w:rFonts w:ascii="Times New Roman" w:hAnsi="Times New Roman" w:cs="Times New Roman"/>
        </w:rPr>
        <w:t>Kenya provides valuable insights into the impact of electric vehicle (EV) adoption on grid performance in developing economies. Uncontrolled EV charging can strain distribution networks and increase peak demand; however, smart charging strategies can mitigate these effects by shifting demand to periods of high renewable generation, thereby improving load balancing and grid stability. Vehicle-to-Grid (V2G) technology further enhances system flexibility by enabling EVs to operate as distributed energy storage units, supplying electricity back to the grid when required. Although V2G deployment in Kenya is still emerging, it aligns closely with the proposed sector-coupled framework, supporting the transition toward a more flexible and decentralised energy system.</w:t>
      </w:r>
    </w:p>
    <w:p w14:paraId="2B258A9E" w14:textId="3566626D" w:rsidR="00C572AA" w:rsidRPr="00162F4D" w:rsidRDefault="002801B1" w:rsidP="00514DDA">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SOCIO-ECONOMIC AND ENVIRONMENTAL IMPACT</w:t>
      </w:r>
    </w:p>
    <w:p w14:paraId="060DF3AF" w14:textId="590311D1" w:rsidR="00047A61" w:rsidRPr="00E306CC" w:rsidRDefault="00047A61" w:rsidP="00E306CC">
      <w:pPr>
        <w:spacing w:after="0" w:line="240" w:lineRule="auto"/>
        <w:jc w:val="both"/>
        <w:rPr>
          <w:rFonts w:ascii="Times New Roman" w:hAnsi="Times New Roman" w:cs="Times New Roman"/>
        </w:rPr>
      </w:pPr>
      <w:r w:rsidRPr="00E306CC">
        <w:rPr>
          <w:rFonts w:ascii="Times New Roman" w:hAnsi="Times New Roman" w:cs="Times New Roman"/>
        </w:rPr>
        <w:t>The Kenyan case demonstrates that sector-coupled energy systems can deliver significant socio-economic and environmental benefits. Transport electrification reduces emissions and operating costs while improving energy security by decreasing reliance on imported fuels (Witte et al., 2024). Additionally, EV adoption supports local economic development through job creation and expansion of related industries (Ueckerdt et al., 2021</w:t>
      </w:r>
      <w:r w:rsidR="00C558D0" w:rsidRPr="00E306CC">
        <w:rPr>
          <w:rFonts w:ascii="Times New Roman" w:hAnsi="Times New Roman" w:cs="Times New Roman"/>
        </w:rPr>
        <w:t>). However</w:t>
      </w:r>
      <w:r w:rsidRPr="00E306CC">
        <w:rPr>
          <w:rFonts w:ascii="Times New Roman" w:hAnsi="Times New Roman" w:cs="Times New Roman"/>
        </w:rPr>
        <w:t xml:space="preserve">, challenges remain, including limited charging infrastructure, grid capacity constraints, high upfront costs, and regulatory gaps. Addressing these issues requires integrated planning, targeted investment, </w:t>
      </w:r>
      <w:r w:rsidRPr="00E306CC">
        <w:rPr>
          <w:rFonts w:ascii="Times New Roman" w:hAnsi="Times New Roman" w:cs="Times New Roman"/>
        </w:rPr>
        <w:lastRenderedPageBreak/>
        <w:t>and supportive policy frameworks to enable effective sector coupling and long-term sustainability.</w:t>
      </w:r>
    </w:p>
    <w:p w14:paraId="36638B53" w14:textId="4ED2BF9E" w:rsidR="00713134" w:rsidRPr="00162F4D" w:rsidRDefault="00F63516" w:rsidP="00FA4AD6">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RELEVANCE TO THE PROPOSED FRAMEWORK</w:t>
      </w:r>
    </w:p>
    <w:p w14:paraId="14FE701D" w14:textId="53F4B124" w:rsidR="005E0D21" w:rsidRPr="005E6E4C" w:rsidRDefault="00FE70D4" w:rsidP="005E6E4C">
      <w:pPr>
        <w:spacing w:after="0" w:line="240" w:lineRule="auto"/>
        <w:jc w:val="both"/>
        <w:rPr>
          <w:rFonts w:ascii="Times New Roman" w:hAnsi="Times New Roman" w:cs="Times New Roman"/>
        </w:rPr>
      </w:pPr>
      <w:r w:rsidRPr="005E6E4C">
        <w:rPr>
          <w:rFonts w:ascii="Times New Roman" w:hAnsi="Times New Roman" w:cs="Times New Roman"/>
        </w:rPr>
        <w:t xml:space="preserve">The Kenyan case study provides strong empirical support for the sector-coupled energy framework proposed in this paper. Table </w:t>
      </w:r>
      <w:r w:rsidR="00AD2B73" w:rsidRPr="005E6E4C">
        <w:rPr>
          <w:rFonts w:ascii="Times New Roman" w:hAnsi="Times New Roman" w:cs="Times New Roman"/>
        </w:rPr>
        <w:t>6</w:t>
      </w:r>
      <w:r w:rsidRPr="005E6E4C">
        <w:rPr>
          <w:rFonts w:ascii="Times New Roman" w:hAnsi="Times New Roman" w:cs="Times New Roman"/>
        </w:rPr>
        <w:t xml:space="preserve"> presents a mapping between the key components of the framework and their corresponding real-world implementation in Kenya.</w:t>
      </w:r>
    </w:p>
    <w:tbl>
      <w:tblPr>
        <w:tblStyle w:val="TableGridLight"/>
        <w:tblW w:w="8930" w:type="dxa"/>
        <w:tblInd w:w="-5" w:type="dxa"/>
        <w:tblLook w:val="04A0" w:firstRow="1" w:lastRow="0" w:firstColumn="1" w:lastColumn="0" w:noHBand="0" w:noVBand="1"/>
      </w:tblPr>
      <w:tblGrid>
        <w:gridCol w:w="3398"/>
        <w:gridCol w:w="5532"/>
      </w:tblGrid>
      <w:tr w:rsidR="00303E55" w:rsidRPr="005E6E4C" w14:paraId="00F6F682" w14:textId="77777777" w:rsidTr="00622772">
        <w:tc>
          <w:tcPr>
            <w:tcW w:w="3398" w:type="dxa"/>
            <w:hideMark/>
          </w:tcPr>
          <w:p w14:paraId="23D33589"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Framework Component</w:t>
            </w:r>
          </w:p>
        </w:tc>
        <w:tc>
          <w:tcPr>
            <w:tcW w:w="5532" w:type="dxa"/>
            <w:hideMark/>
          </w:tcPr>
          <w:p w14:paraId="78B98A2E" w14:textId="1DB9741D" w:rsidR="00303E55" w:rsidRPr="005E6E4C" w:rsidRDefault="00303E55" w:rsidP="005E6E4C">
            <w:pPr>
              <w:jc w:val="center"/>
              <w:rPr>
                <w:rFonts w:ascii="Times New Roman" w:hAnsi="Times New Roman" w:cs="Times New Roman"/>
              </w:rPr>
            </w:pPr>
            <w:r w:rsidRPr="005E6E4C">
              <w:rPr>
                <w:rFonts w:ascii="Times New Roman" w:hAnsi="Times New Roman" w:cs="Times New Roman"/>
              </w:rPr>
              <w:t>Kenya</w:t>
            </w:r>
          </w:p>
        </w:tc>
      </w:tr>
      <w:tr w:rsidR="00303E55" w:rsidRPr="005E6E4C" w14:paraId="30FC9D44" w14:textId="77777777" w:rsidTr="00622772">
        <w:tc>
          <w:tcPr>
            <w:tcW w:w="3398" w:type="dxa"/>
            <w:hideMark/>
          </w:tcPr>
          <w:p w14:paraId="1D5B8D01"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Renewable generation</w:t>
            </w:r>
          </w:p>
        </w:tc>
        <w:tc>
          <w:tcPr>
            <w:tcW w:w="5532" w:type="dxa"/>
            <w:hideMark/>
          </w:tcPr>
          <w:p w14:paraId="5C3D268C"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&gt;90% renewable electricity mix</w:t>
            </w:r>
          </w:p>
        </w:tc>
      </w:tr>
      <w:tr w:rsidR="00303E55" w:rsidRPr="005E6E4C" w14:paraId="2FC7BF58" w14:textId="77777777" w:rsidTr="00622772">
        <w:tc>
          <w:tcPr>
            <w:tcW w:w="3398" w:type="dxa"/>
            <w:hideMark/>
          </w:tcPr>
          <w:p w14:paraId="662A181C"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Electric mobility</w:t>
            </w:r>
          </w:p>
        </w:tc>
        <w:tc>
          <w:tcPr>
            <w:tcW w:w="5532" w:type="dxa"/>
            <w:hideMark/>
          </w:tcPr>
          <w:p w14:paraId="77EBE547"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Rapid EV adoption (buses and motorcycles)</w:t>
            </w:r>
          </w:p>
        </w:tc>
      </w:tr>
      <w:tr w:rsidR="00303E55" w:rsidRPr="005E6E4C" w14:paraId="090EE5C4" w14:textId="77777777" w:rsidTr="00622772">
        <w:tc>
          <w:tcPr>
            <w:tcW w:w="3398" w:type="dxa"/>
            <w:hideMark/>
          </w:tcPr>
          <w:p w14:paraId="1D0451D6"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Distributed storage</w:t>
            </w:r>
          </w:p>
        </w:tc>
        <w:tc>
          <w:tcPr>
            <w:tcW w:w="5532" w:type="dxa"/>
            <w:hideMark/>
          </w:tcPr>
          <w:p w14:paraId="49C4416E"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Battery-swapping systems and EV batteries</w:t>
            </w:r>
          </w:p>
        </w:tc>
      </w:tr>
      <w:tr w:rsidR="00303E55" w:rsidRPr="005E6E4C" w14:paraId="2E409E53" w14:textId="77777777" w:rsidTr="00622772">
        <w:tc>
          <w:tcPr>
            <w:tcW w:w="3398" w:type="dxa"/>
            <w:hideMark/>
          </w:tcPr>
          <w:p w14:paraId="1B914AA6"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Smart energy use</w:t>
            </w:r>
          </w:p>
        </w:tc>
        <w:tc>
          <w:tcPr>
            <w:tcW w:w="5532" w:type="dxa"/>
            <w:hideMark/>
          </w:tcPr>
          <w:p w14:paraId="2FE98FDB"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Solar-powered charging infrastructure</w:t>
            </w:r>
          </w:p>
        </w:tc>
      </w:tr>
      <w:tr w:rsidR="00303E55" w:rsidRPr="005E6E4C" w14:paraId="0BF5B365" w14:textId="77777777" w:rsidTr="00622772">
        <w:tc>
          <w:tcPr>
            <w:tcW w:w="3398" w:type="dxa"/>
            <w:hideMark/>
          </w:tcPr>
          <w:p w14:paraId="0006A0DC"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Sector coupling</w:t>
            </w:r>
          </w:p>
        </w:tc>
        <w:tc>
          <w:tcPr>
            <w:tcW w:w="5532" w:type="dxa"/>
            <w:hideMark/>
          </w:tcPr>
          <w:p w14:paraId="1955CF12" w14:textId="77777777" w:rsidR="00303E55" w:rsidRPr="005E6E4C" w:rsidRDefault="00303E55" w:rsidP="005E6E4C">
            <w:pPr>
              <w:jc w:val="center"/>
              <w:rPr>
                <w:rFonts w:ascii="Times New Roman" w:hAnsi="Times New Roman" w:cs="Times New Roman"/>
              </w:rPr>
            </w:pPr>
            <w:r w:rsidRPr="005E6E4C">
              <w:rPr>
                <w:rFonts w:ascii="Times New Roman" w:hAnsi="Times New Roman" w:cs="Times New Roman"/>
              </w:rPr>
              <w:t>Integration of power and transport sectors</w:t>
            </w:r>
          </w:p>
        </w:tc>
      </w:tr>
    </w:tbl>
    <w:p w14:paraId="5E5C9B2A" w14:textId="3C906B73" w:rsidR="005E0D21" w:rsidRPr="005E6E4C" w:rsidRDefault="005E0D21" w:rsidP="005E6E4C">
      <w:pPr>
        <w:spacing w:after="0" w:line="240" w:lineRule="auto"/>
        <w:jc w:val="center"/>
        <w:rPr>
          <w:rFonts w:ascii="Times New Roman" w:hAnsi="Times New Roman" w:cs="Times New Roman"/>
        </w:rPr>
      </w:pPr>
      <w:r w:rsidRPr="005E6E4C">
        <w:rPr>
          <w:rFonts w:ascii="Times New Roman" w:hAnsi="Times New Roman" w:cs="Times New Roman"/>
        </w:rPr>
        <w:t>Fig 6 Propose framework component</w:t>
      </w:r>
    </w:p>
    <w:p w14:paraId="6D0C2C4E" w14:textId="001FC887" w:rsidR="005B1899" w:rsidRPr="005E6E4C" w:rsidRDefault="005B1899" w:rsidP="005E6E4C">
      <w:pPr>
        <w:spacing w:after="0" w:line="240" w:lineRule="auto"/>
        <w:jc w:val="both"/>
        <w:rPr>
          <w:rFonts w:ascii="Times New Roman" w:hAnsi="Times New Roman" w:cs="Times New Roman"/>
        </w:rPr>
      </w:pPr>
      <w:r w:rsidRPr="005E6E4C">
        <w:rPr>
          <w:rFonts w:ascii="Times New Roman" w:hAnsi="Times New Roman" w:cs="Times New Roman"/>
        </w:rPr>
        <w:t xml:space="preserve">Table </w:t>
      </w:r>
      <w:r w:rsidR="006962F0" w:rsidRPr="005E6E4C">
        <w:rPr>
          <w:rFonts w:ascii="Times New Roman" w:hAnsi="Times New Roman" w:cs="Times New Roman"/>
        </w:rPr>
        <w:t>6</w:t>
      </w:r>
      <w:r w:rsidRPr="005E6E4C">
        <w:rPr>
          <w:rFonts w:ascii="Times New Roman" w:hAnsi="Times New Roman" w:cs="Times New Roman"/>
        </w:rPr>
        <w:t xml:space="preserve"> maps the proposed framework components to their real-world implementation in Kenya. The comparison shows that several elements of sector coupling—particularly the integration of renewable energy and electric mobility—are already being realised in practice.</w:t>
      </w:r>
    </w:p>
    <w:p w14:paraId="0AD48B69" w14:textId="7623FF61" w:rsidR="00C558D0" w:rsidRPr="005E6E4C" w:rsidRDefault="005B1899" w:rsidP="005E6E4C">
      <w:pPr>
        <w:spacing w:after="0" w:line="240" w:lineRule="auto"/>
        <w:jc w:val="both"/>
        <w:rPr>
          <w:rFonts w:ascii="Times New Roman" w:hAnsi="Times New Roman" w:cs="Times New Roman"/>
        </w:rPr>
      </w:pPr>
      <w:r w:rsidRPr="005E6E4C">
        <w:rPr>
          <w:rFonts w:ascii="Times New Roman" w:hAnsi="Times New Roman" w:cs="Times New Roman"/>
        </w:rPr>
        <w:t>While large-scale hydrogen deployment remains limited, the availability of renewable resources and flexible EV demand provides favourable conditions for future integration of hydrogen systems for long-term energy storage and transport decarbonisation (Wang et al., 2024).Overall, the Kenyan case demonstrates the feasibility of the proposed framework and highlights the potential for developing economies to progressively adopt sector-coupled systems.</w:t>
      </w:r>
    </w:p>
    <w:p w14:paraId="19642E45" w14:textId="599D83C2" w:rsidR="003F65A8" w:rsidRPr="00162F4D" w:rsidRDefault="00936F75" w:rsidP="005D406C">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 xml:space="preserve">CASE </w:t>
      </w:r>
      <w:r w:rsidR="00105FD6" w:rsidRPr="00162F4D">
        <w:rPr>
          <w:rFonts w:ascii="Times New Roman" w:hAnsi="Times New Roman" w:cs="Times New Roman"/>
          <w:b/>
          <w:bCs/>
          <w:sz w:val="28"/>
          <w:szCs w:val="28"/>
        </w:rPr>
        <w:t>Study:</w:t>
      </w:r>
      <w:r w:rsidRPr="00162F4D">
        <w:rPr>
          <w:rFonts w:ascii="Times New Roman" w:hAnsi="Times New Roman" w:cs="Times New Roman"/>
          <w:b/>
          <w:bCs/>
          <w:sz w:val="28"/>
          <w:szCs w:val="28"/>
        </w:rPr>
        <w:t xml:space="preserve"> HYDROGEN DEVELOPMENT </w:t>
      </w:r>
      <w:r w:rsidR="00105FD6" w:rsidRPr="00162F4D">
        <w:rPr>
          <w:rFonts w:ascii="Times New Roman" w:hAnsi="Times New Roman" w:cs="Times New Roman"/>
          <w:b/>
          <w:bCs/>
          <w:sz w:val="28"/>
          <w:szCs w:val="28"/>
        </w:rPr>
        <w:t>AND SECTOR COUPLING IN SOUTH AFRICA</w:t>
      </w:r>
    </w:p>
    <w:p w14:paraId="7FAFBA1C" w14:textId="3A016695" w:rsidR="00422EA4" w:rsidRPr="005E6E4C" w:rsidRDefault="00422EA4" w:rsidP="005E6E4C">
      <w:pPr>
        <w:spacing w:after="0" w:line="240" w:lineRule="auto"/>
        <w:jc w:val="both"/>
        <w:rPr>
          <w:rFonts w:ascii="Times New Roman" w:hAnsi="Times New Roman" w:cs="Times New Roman"/>
        </w:rPr>
      </w:pPr>
      <w:r w:rsidRPr="005E6E4C">
        <w:rPr>
          <w:rFonts w:ascii="Times New Roman" w:hAnsi="Times New Roman" w:cs="Times New Roman"/>
        </w:rPr>
        <w:t>South Africa represents a leading hydrogen-focused case in Africa, demonstrating how renewable energy can be integrated with hydrogen production to support decarbonisation and enhance energy system flexibility (Oskouei et al., 2024). The country’s abundant solar and wind resources, combined with targeted policy initiatives, position it as a key example of sector coupling in a developing economy context. Through its Hydrogen Society Roadmap, South Africa aims to scale green hydrogen production and expand electrolyser capacity, supported by large-scale renewable energy projects, particularly in regions such as the Northern Cape</w:t>
      </w:r>
      <w:r w:rsidR="007B5AEA" w:rsidRPr="005E6E4C">
        <w:rPr>
          <w:rFonts w:ascii="Times New Roman" w:hAnsi="Times New Roman" w:cs="Times New Roman"/>
        </w:rPr>
        <w:t xml:space="preserve"> (Gils, et al. 2021)</w:t>
      </w:r>
      <w:r w:rsidRPr="005E6E4C">
        <w:rPr>
          <w:rFonts w:ascii="Times New Roman" w:hAnsi="Times New Roman" w:cs="Times New Roman"/>
        </w:rPr>
        <w:t>. These developments highlight the country’s potential to become a major producer and exporter of green hydrogen. Overall, South Africa illustrates how renewable resource availability, infrastructure investment, and supportive policy frameworks can enable large-scale integration of hydrogen within sector-coupled energy systems</w:t>
      </w:r>
      <w:r w:rsidR="007B5AEA" w:rsidRPr="005E6E4C">
        <w:rPr>
          <w:rFonts w:ascii="Times New Roman" w:hAnsi="Times New Roman" w:cs="Times New Roman"/>
        </w:rPr>
        <w:t xml:space="preserve"> (Loschan, et al. 2023)</w:t>
      </w:r>
      <w:r w:rsidRPr="005E6E4C">
        <w:rPr>
          <w:rFonts w:ascii="Times New Roman" w:hAnsi="Times New Roman" w:cs="Times New Roman"/>
        </w:rPr>
        <w:t>.</w:t>
      </w:r>
    </w:p>
    <w:p w14:paraId="2791631B" w14:textId="3B0310FE" w:rsidR="00A36F0E" w:rsidRPr="00162F4D" w:rsidRDefault="00E5555A" w:rsidP="005D406C">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Hydrogen Strategy and Policy Framework</w:t>
      </w:r>
    </w:p>
    <w:p w14:paraId="4FF84022" w14:textId="0750BC0A" w:rsidR="006E7A62" w:rsidRPr="005E6E4C" w:rsidRDefault="006E7A62" w:rsidP="005E6E4C">
      <w:pPr>
        <w:spacing w:after="0" w:line="240" w:lineRule="auto"/>
        <w:jc w:val="both"/>
        <w:rPr>
          <w:rFonts w:ascii="Times New Roman" w:hAnsi="Times New Roman" w:cs="Times New Roman"/>
        </w:rPr>
      </w:pPr>
      <w:r w:rsidRPr="005E6E4C">
        <w:rPr>
          <w:rFonts w:ascii="Times New Roman" w:hAnsi="Times New Roman" w:cs="Times New Roman"/>
        </w:rPr>
        <w:t xml:space="preserve">South Africa has established a national strategy through its Hydrogen Society Roadmap, positioning green hydrogen as a key component of its energy transition and economic development plans (Zhang et al., 2024). The strategy focuses on decarbonising hard-to-electrify sectors, developing a global hydrogen export market, improving energy security, and supporting economic </w:t>
      </w:r>
      <w:r w:rsidR="00027B3A" w:rsidRPr="005E6E4C">
        <w:rPr>
          <w:rFonts w:ascii="Times New Roman" w:hAnsi="Times New Roman" w:cs="Times New Roman"/>
        </w:rPr>
        <w:t>growth. To</w:t>
      </w:r>
      <w:r w:rsidRPr="005E6E4C">
        <w:rPr>
          <w:rFonts w:ascii="Times New Roman" w:hAnsi="Times New Roman" w:cs="Times New Roman"/>
        </w:rPr>
        <w:t xml:space="preserve"> support these goals, the government has identified priority hydrogen development hubs, including Johannesburg, Durban, and Limpopo, based on their proximity to renewable resources and industrial demand (Liu et al., 2024</w:t>
      </w:r>
      <w:r w:rsidR="00027B3A" w:rsidRPr="005E6E4C">
        <w:rPr>
          <w:rFonts w:ascii="Times New Roman" w:hAnsi="Times New Roman" w:cs="Times New Roman"/>
        </w:rPr>
        <w:t>). South</w:t>
      </w:r>
      <w:r w:rsidRPr="005E6E4C">
        <w:rPr>
          <w:rFonts w:ascii="Times New Roman" w:hAnsi="Times New Roman" w:cs="Times New Roman"/>
        </w:rPr>
        <w:t xml:space="preserve"> Africa aims to significantly scale hydrogen production, targeting approximately 500,000 tonnes per year by 2030, supported by expanding electrolyser capacity (Denholm et al., 2021). This policy-driven approach provides a strong foundation for integrating hydrogen into sector-coupled energy systems.</w:t>
      </w:r>
    </w:p>
    <w:p w14:paraId="2B3F72A6" w14:textId="77777777" w:rsidR="001A243A" w:rsidRDefault="001A243A" w:rsidP="0061760D">
      <w:pPr>
        <w:spacing w:after="0"/>
        <w:jc w:val="both"/>
        <w:rPr>
          <w:rFonts w:ascii="Times New Roman" w:hAnsi="Times New Roman" w:cs="Times New Roman"/>
          <w:b/>
          <w:bCs/>
          <w:sz w:val="28"/>
          <w:szCs w:val="28"/>
        </w:rPr>
      </w:pPr>
    </w:p>
    <w:p w14:paraId="52A16D89" w14:textId="45355D0C" w:rsidR="00F97EB1" w:rsidRPr="00162F4D" w:rsidRDefault="00F97EB1" w:rsidP="0061760D">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lastRenderedPageBreak/>
        <w:t>Renewable Hydrogen Production Systems</w:t>
      </w:r>
    </w:p>
    <w:p w14:paraId="76B209DC" w14:textId="49F7EC98" w:rsidR="00F35A04" w:rsidRPr="005E6E4C" w:rsidRDefault="00460715" w:rsidP="005E6E4C">
      <w:pPr>
        <w:spacing w:after="0" w:line="240" w:lineRule="auto"/>
        <w:jc w:val="both"/>
        <w:rPr>
          <w:rFonts w:ascii="Times New Roman" w:hAnsi="Times New Roman" w:cs="Times New Roman"/>
        </w:rPr>
      </w:pPr>
      <w:r w:rsidRPr="005E6E4C">
        <w:rPr>
          <w:rFonts w:ascii="Times New Roman" w:hAnsi="Times New Roman" w:cs="Times New Roman"/>
        </w:rPr>
        <w:t xml:space="preserve">A key element of South Africa’s energy transition is the integration of renewable energy with hydrogen production through electrolysis, enabling the direct conversion of renewable electricity into green hydrogen (Ru et al., 2025).For example, pilot projects in the Northern Cape utilise co-located solar photovoltaic (PV) systems to power electrolysers, producing hydrogen without associated carbon emissions (Bortotti et al., 2023). This approach demonstrates the core principle of converting variable renewable energy into storable chemical energy while reducing </w:t>
      </w:r>
      <w:r w:rsidR="005A27D0" w:rsidRPr="005E6E4C">
        <w:rPr>
          <w:rFonts w:ascii="Times New Roman" w:hAnsi="Times New Roman" w:cs="Times New Roman"/>
        </w:rPr>
        <w:t>curtailment. The</w:t>
      </w:r>
      <w:r w:rsidRPr="005E6E4C">
        <w:rPr>
          <w:rFonts w:ascii="Times New Roman" w:hAnsi="Times New Roman" w:cs="Times New Roman"/>
        </w:rPr>
        <w:t xml:space="preserve"> produced hydrogen can be applied across multiple sectors, including heavy-duty transport, industrial processes, and export markets. Overall, this integrated approach highlights the role of hydrogen as a long-duration energy storage solution and a key enabler of sector coupling, enhancing grid flexibility and supporting </w:t>
      </w:r>
      <w:r w:rsidR="00162F4D" w:rsidRPr="005E6E4C">
        <w:rPr>
          <w:rFonts w:ascii="Times New Roman" w:hAnsi="Times New Roman" w:cs="Times New Roman"/>
        </w:rPr>
        <w:t>decarbonisation (</w:t>
      </w:r>
      <w:r w:rsidR="005234A8" w:rsidRPr="005E6E4C">
        <w:rPr>
          <w:rFonts w:ascii="Times New Roman" w:hAnsi="Times New Roman" w:cs="Times New Roman"/>
        </w:rPr>
        <w:t>Wen, et al. 2025)</w:t>
      </w:r>
      <w:r w:rsidRPr="005E6E4C">
        <w:rPr>
          <w:rFonts w:ascii="Times New Roman" w:hAnsi="Times New Roman" w:cs="Times New Roman"/>
        </w:rPr>
        <w:t>.</w:t>
      </w:r>
    </w:p>
    <w:p w14:paraId="7010F8C1" w14:textId="46E91406" w:rsidR="007421A3" w:rsidRPr="00162F4D" w:rsidRDefault="007421A3" w:rsidP="0061760D">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Grid Flexibility and Energy Storage Role</w:t>
      </w:r>
    </w:p>
    <w:p w14:paraId="0FF71588" w14:textId="6E99E453" w:rsidR="00B80D53" w:rsidRPr="005E6E4C" w:rsidRDefault="00B80D53" w:rsidP="005E6E4C">
      <w:pPr>
        <w:spacing w:after="0" w:line="240" w:lineRule="auto"/>
        <w:jc w:val="both"/>
        <w:rPr>
          <w:rFonts w:ascii="Times New Roman" w:hAnsi="Times New Roman" w:cs="Times New Roman"/>
        </w:rPr>
      </w:pPr>
      <w:r w:rsidRPr="005E6E4C">
        <w:rPr>
          <w:rFonts w:ascii="Times New Roman" w:hAnsi="Times New Roman" w:cs="Times New Roman"/>
        </w:rPr>
        <w:t xml:space="preserve">South Africa faces ongoing challenges related to grid instability, driven by supply–demand imbalances and ageing infrastructure. In this context, renewable hydrogen is being explored as a long-duration energy storage solution to enhance system resilience and flexibility (Dang et al., 2025). Pilot projects, including those by Eskom, are investigating the integration of hydrogen systems with solar photovoltaic (PV) generation and storage technologies to assess performance under real grid conditions (Ait et al., 2024).Hydrogen enhances grid flexibility by storing surplus renewable energy, providing backup power via fuel cells during peak demand, and enabling long-duration and seasonal storage. This aligns with the proposed sector-coupled framework, where hydrogen complements EV-based storage to create a multi-layered flexibility </w:t>
      </w:r>
      <w:r w:rsidR="005A27D0" w:rsidRPr="005E6E4C">
        <w:rPr>
          <w:rFonts w:ascii="Times New Roman" w:hAnsi="Times New Roman" w:cs="Times New Roman"/>
        </w:rPr>
        <w:t>system. Overall</w:t>
      </w:r>
      <w:r w:rsidRPr="005E6E4C">
        <w:rPr>
          <w:rFonts w:ascii="Times New Roman" w:hAnsi="Times New Roman" w:cs="Times New Roman"/>
        </w:rPr>
        <w:t>, the integration of hydrogen and EV storage improves grid stability, reduces reliance on fossil-fuel backup generation, and supports higher penetration of renewable energy.</w:t>
      </w:r>
    </w:p>
    <w:p w14:paraId="6EC72638" w14:textId="49244851" w:rsidR="00D0250F" w:rsidRPr="00162F4D" w:rsidRDefault="00105FD6" w:rsidP="0061760D">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SECTOR COUPLING AND TRANSPORT APPLICATIONS</w:t>
      </w:r>
    </w:p>
    <w:p w14:paraId="7029B5E7" w14:textId="6D3C9BE0" w:rsidR="005E0D21" w:rsidRPr="005E6E4C" w:rsidRDefault="00AA4DC8" w:rsidP="005E6E4C">
      <w:pPr>
        <w:spacing w:after="0" w:line="240" w:lineRule="auto"/>
        <w:jc w:val="both"/>
        <w:rPr>
          <w:rFonts w:ascii="Times New Roman" w:eastAsia="Times New Roman" w:hAnsi="Times New Roman" w:cs="Times New Roman"/>
          <w:kern w:val="0"/>
          <w:lang w:eastAsia="en-GB"/>
          <w14:ligatures w14:val="none"/>
        </w:rPr>
      </w:pPr>
      <w:r w:rsidRPr="005E6E4C">
        <w:rPr>
          <w:rFonts w:ascii="Times New Roman" w:eastAsia="Times New Roman" w:hAnsi="Times New Roman" w:cs="Times New Roman"/>
          <w:kern w:val="0"/>
          <w:lang w:eastAsia="en-GB"/>
          <w14:ligatures w14:val="none"/>
        </w:rPr>
        <w:t>South Africa’s hydrogen strategy targets hard-to-electrify transport sectors, including heavy-duty freight, industrial transport, and long-distance logistics. The Hydrogen Society Roadmap supports the deployment of hydrogen fuel cell vehicles (FCEVs), such as trucks and buses, for applications requiring high energy density and rapid refuelling (Ahmadi et al., 2025</w:t>
      </w:r>
      <w:r w:rsidR="00240F5A" w:rsidRPr="005E6E4C">
        <w:rPr>
          <w:rFonts w:ascii="Times New Roman" w:eastAsia="Times New Roman" w:hAnsi="Times New Roman" w:cs="Times New Roman"/>
          <w:kern w:val="0"/>
          <w:lang w:eastAsia="en-GB"/>
          <w14:ligatures w14:val="none"/>
        </w:rPr>
        <w:t>). This</w:t>
      </w:r>
      <w:r w:rsidRPr="005E6E4C">
        <w:rPr>
          <w:rFonts w:ascii="Times New Roman" w:eastAsia="Times New Roman" w:hAnsi="Times New Roman" w:cs="Times New Roman"/>
          <w:kern w:val="0"/>
          <w:lang w:eastAsia="en-GB"/>
          <w14:ligatures w14:val="none"/>
        </w:rPr>
        <w:t xml:space="preserve"> highlights the complementary roles of battery electric vehicles (BEVs) and FCEVs within a sector-coupled system. BEVs are suitable for short-distance and urban transport, while FCEVs are better suited to heavy-duty and long-range </w:t>
      </w:r>
      <w:r w:rsidR="00240F5A" w:rsidRPr="005E6E4C">
        <w:rPr>
          <w:rFonts w:ascii="Times New Roman" w:eastAsia="Times New Roman" w:hAnsi="Times New Roman" w:cs="Times New Roman"/>
          <w:kern w:val="0"/>
          <w:lang w:eastAsia="en-GB"/>
          <w14:ligatures w14:val="none"/>
        </w:rPr>
        <w:t>applications. Together</w:t>
      </w:r>
      <w:r w:rsidRPr="005E6E4C">
        <w:rPr>
          <w:rFonts w:ascii="Times New Roman" w:eastAsia="Times New Roman" w:hAnsi="Times New Roman" w:cs="Times New Roman"/>
          <w:kern w:val="0"/>
          <w:lang w:eastAsia="en-GB"/>
          <w14:ligatures w14:val="none"/>
        </w:rPr>
        <w:t>, these technologies enable an integrated and flexible transport system, where renewable energy is utilised both directly through EVs and indirectly through hydrogen, supporting decarbonisation and reducing reliance on fossil fuels (Bahrami et al., 2025; Turner, 2004).</w:t>
      </w:r>
    </w:p>
    <w:p w14:paraId="5CD904BB" w14:textId="119A8695" w:rsidR="0052342E" w:rsidRPr="00162F4D" w:rsidRDefault="00105FD6" w:rsidP="00976DAE">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ECONOMIC AND DEVELOPMENTAL IMPACT</w:t>
      </w:r>
    </w:p>
    <w:p w14:paraId="1CBA5C96" w14:textId="3C1E0340" w:rsidR="00625A60" w:rsidRPr="001A243A" w:rsidRDefault="00140F9B" w:rsidP="001A243A">
      <w:pPr>
        <w:spacing w:after="0" w:line="240" w:lineRule="auto"/>
        <w:jc w:val="both"/>
        <w:rPr>
          <w:rFonts w:ascii="Times New Roman" w:hAnsi="Times New Roman" w:cs="Times New Roman"/>
        </w:rPr>
      </w:pPr>
      <w:r w:rsidRPr="005E6E4C">
        <w:rPr>
          <w:rFonts w:ascii="Times New Roman" w:hAnsi="Times New Roman" w:cs="Times New Roman"/>
        </w:rPr>
        <w:t>The development of a green hydrogen economy in South Africa is expected to deliver significant socio-economic and energy system benefits (Abdel-Khalek et al., 2025). Hydrogen expansion can support job creation, industrial development, and international investment, while enabling participation in global export markets. In addition, hydrogen contributes to energy system resilience by diversifying the energy mix, enhancing energy security, and reducing exposure to fossil fuel price volatility. Overall, the hydrogen economy represents a pathway toward sustainable economic growth and reinforces the role of sector coupling in linking energy production with industrial development and transport decarbonisation.</w:t>
      </w:r>
    </w:p>
    <w:p w14:paraId="246C11E5" w14:textId="60AE6089" w:rsidR="00C96EE6" w:rsidRPr="00162F4D" w:rsidRDefault="00105FD6" w:rsidP="00C96EE6">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CHALLENGES AND LIMITATIONS</w:t>
      </w:r>
    </w:p>
    <w:p w14:paraId="0AE508FF" w14:textId="3F4A7AEA" w:rsidR="00C96EE6" w:rsidRPr="005E6E4C" w:rsidRDefault="00C96EE6" w:rsidP="005E6E4C">
      <w:pPr>
        <w:spacing w:after="0" w:line="240" w:lineRule="auto"/>
        <w:jc w:val="both"/>
        <w:rPr>
          <w:rFonts w:ascii="Times New Roman" w:eastAsia="Times New Roman" w:hAnsi="Times New Roman" w:cs="Times New Roman"/>
          <w:kern w:val="0"/>
          <w:lang w:eastAsia="en-GB"/>
          <w14:ligatures w14:val="none"/>
        </w:rPr>
      </w:pPr>
      <w:r w:rsidRPr="005E6E4C">
        <w:rPr>
          <w:rFonts w:ascii="Times New Roman" w:eastAsia="Times New Roman" w:hAnsi="Times New Roman" w:cs="Times New Roman"/>
          <w:kern w:val="0"/>
          <w:lang w:eastAsia="en-GB"/>
          <w14:ligatures w14:val="none"/>
        </w:rPr>
        <w:t xml:space="preserve">Despite its potential, South Africa’s transition to a hydrogen-based energy system faces several challenges. High capital costs for electrolysers, storage, and infrastructure may limit large-scale </w:t>
      </w:r>
      <w:r w:rsidRPr="005E6E4C">
        <w:rPr>
          <w:rFonts w:ascii="Times New Roman" w:eastAsia="Times New Roman" w:hAnsi="Times New Roman" w:cs="Times New Roman"/>
          <w:kern w:val="0"/>
          <w:lang w:eastAsia="en-GB"/>
          <w14:ligatures w14:val="none"/>
        </w:rPr>
        <w:lastRenderedPageBreak/>
        <w:t>deployment. In addition, hydrogen production is water-intensive, posing constraints in water-scarce regions. Regulatory and market uncertainties further hinder investment and implementation, while large-scale hydrogen production depends on the expansion of low-cost renewable energy capacity. Addressing these challenges requires coordinated policy support, infrastructure investment, and technological development. Pilot and demonstration projects are therefore essential for validating feasibility, reducing costs, and supporting the development of a sustainable hydrogen economy.</w:t>
      </w:r>
    </w:p>
    <w:p w14:paraId="46F7214C" w14:textId="60F750D6" w:rsidR="00E7519A" w:rsidRPr="00162F4D" w:rsidRDefault="00105FD6" w:rsidP="00F767F0">
      <w:pPr>
        <w:spacing w:after="0" w:line="300" w:lineRule="atLeast"/>
        <w:jc w:val="both"/>
        <w:rPr>
          <w:rFonts w:ascii="Times New Roman" w:hAnsi="Times New Roman" w:cs="Times New Roman"/>
          <w:b/>
          <w:bCs/>
          <w:sz w:val="28"/>
          <w:szCs w:val="28"/>
        </w:rPr>
      </w:pPr>
      <w:r w:rsidRPr="00162F4D">
        <w:rPr>
          <w:rFonts w:ascii="Times New Roman" w:hAnsi="Times New Roman" w:cs="Times New Roman"/>
          <w:b/>
          <w:bCs/>
          <w:sz w:val="28"/>
          <w:szCs w:val="28"/>
        </w:rPr>
        <w:t>RELEVANCE TO THE PROPOSED FRAMEWORK</w:t>
      </w:r>
    </w:p>
    <w:p w14:paraId="6DA72C16" w14:textId="26C0A946" w:rsidR="00027B3A" w:rsidRPr="005E6E4C" w:rsidRDefault="00CC1BC7" w:rsidP="005E6E4C">
      <w:pPr>
        <w:spacing w:after="0" w:line="240" w:lineRule="auto"/>
        <w:jc w:val="both"/>
        <w:rPr>
          <w:rFonts w:ascii="Times New Roman" w:eastAsia="Times New Roman" w:hAnsi="Times New Roman" w:cs="Times New Roman"/>
          <w:kern w:val="0"/>
          <w:lang w:eastAsia="en-GB"/>
          <w14:ligatures w14:val="none"/>
        </w:rPr>
      </w:pPr>
      <w:r w:rsidRPr="005E6E4C">
        <w:rPr>
          <w:rFonts w:ascii="Times New Roman" w:eastAsia="Times New Roman" w:hAnsi="Times New Roman" w:cs="Times New Roman"/>
          <w:kern w:val="0"/>
          <w:lang w:eastAsia="en-GB"/>
          <w14:ligatures w14:val="none"/>
        </w:rPr>
        <w:t xml:space="preserve">The South African case study provides strong support for the hydrogen component of the proposed sector-coupled framework, demonstrating how renewable energy can be effectively integrated with hydrogen production, storage, and transport applications in practice. </w:t>
      </w:r>
      <w:bookmarkStart w:id="0" w:name="_Hlk233023793"/>
      <w:r w:rsidRPr="005E6E4C">
        <w:rPr>
          <w:rFonts w:ascii="Times New Roman" w:eastAsia="Times New Roman" w:hAnsi="Times New Roman" w:cs="Times New Roman"/>
          <w:kern w:val="0"/>
          <w:lang w:eastAsia="en-GB"/>
          <w14:ligatures w14:val="none"/>
        </w:rPr>
        <w:t>Table 2 presents a comparison between key elements of the framework and their real-world implementation in South Africa</w:t>
      </w:r>
      <w:r w:rsidR="00CF0C81" w:rsidRPr="005E6E4C">
        <w:rPr>
          <w:rFonts w:ascii="Times New Roman" w:eastAsia="Times New Roman" w:hAnsi="Times New Roman" w:cs="Times New Roman"/>
          <w:kern w:val="0"/>
          <w:lang w:eastAsia="en-GB"/>
          <w14:ligatures w14:val="none"/>
        </w:rPr>
        <w:t>.</w:t>
      </w:r>
    </w:p>
    <w:tbl>
      <w:tblPr>
        <w:tblStyle w:val="TableGridLight"/>
        <w:tblW w:w="0" w:type="auto"/>
        <w:tblLook w:val="04A0" w:firstRow="1" w:lastRow="0" w:firstColumn="1" w:lastColumn="0" w:noHBand="0" w:noVBand="1"/>
      </w:tblPr>
      <w:tblGrid>
        <w:gridCol w:w="2545"/>
        <w:gridCol w:w="3771"/>
      </w:tblGrid>
      <w:tr w:rsidR="00E97579" w:rsidRPr="005E6E4C" w14:paraId="5D4FAF1C" w14:textId="77777777" w:rsidTr="00625A60">
        <w:trPr>
          <w:trHeight w:val="274"/>
        </w:trPr>
        <w:tc>
          <w:tcPr>
            <w:tcW w:w="0" w:type="auto"/>
            <w:hideMark/>
          </w:tcPr>
          <w:bookmarkEnd w:id="0"/>
          <w:p w14:paraId="22121AF6" w14:textId="77777777" w:rsidR="00E97579" w:rsidRPr="005E6E4C" w:rsidRDefault="00E97579" w:rsidP="00625A60">
            <w:pPr>
              <w:jc w:val="both"/>
              <w:rPr>
                <w:rFonts w:ascii="Times New Roman" w:hAnsi="Times New Roman" w:cs="Times New Roman"/>
              </w:rPr>
            </w:pPr>
            <w:r w:rsidRPr="005E6E4C">
              <w:rPr>
                <w:rFonts w:ascii="Times New Roman" w:hAnsi="Times New Roman" w:cs="Times New Roman"/>
              </w:rPr>
              <w:t>Framework Component</w:t>
            </w:r>
          </w:p>
        </w:tc>
        <w:tc>
          <w:tcPr>
            <w:tcW w:w="0" w:type="auto"/>
            <w:hideMark/>
          </w:tcPr>
          <w:p w14:paraId="2BA11281" w14:textId="7796E51F" w:rsidR="00E97579" w:rsidRPr="005E6E4C" w:rsidRDefault="0048789D" w:rsidP="00625A60">
            <w:pPr>
              <w:jc w:val="both"/>
              <w:rPr>
                <w:rFonts w:ascii="Times New Roman" w:hAnsi="Times New Roman" w:cs="Times New Roman"/>
              </w:rPr>
            </w:pPr>
            <w:r w:rsidRPr="005E6E4C">
              <w:rPr>
                <w:rFonts w:ascii="Times New Roman" w:hAnsi="Times New Roman" w:cs="Times New Roman"/>
              </w:rPr>
              <w:t xml:space="preserve">  </w:t>
            </w:r>
            <w:r w:rsidR="00E97579" w:rsidRPr="005E6E4C">
              <w:rPr>
                <w:rFonts w:ascii="Times New Roman" w:hAnsi="Times New Roman" w:cs="Times New Roman"/>
              </w:rPr>
              <w:t xml:space="preserve">South Africa </w:t>
            </w:r>
          </w:p>
        </w:tc>
      </w:tr>
      <w:tr w:rsidR="00E97579" w:rsidRPr="005E6E4C" w14:paraId="773C5D29" w14:textId="77777777" w:rsidTr="00625A60">
        <w:tc>
          <w:tcPr>
            <w:tcW w:w="0" w:type="auto"/>
            <w:hideMark/>
          </w:tcPr>
          <w:p w14:paraId="54FDB39D" w14:textId="77777777" w:rsidR="00E97579" w:rsidRPr="005E6E4C" w:rsidRDefault="00E97579" w:rsidP="00625A60">
            <w:pPr>
              <w:jc w:val="both"/>
              <w:rPr>
                <w:rFonts w:ascii="Times New Roman" w:hAnsi="Times New Roman" w:cs="Times New Roman"/>
              </w:rPr>
            </w:pPr>
            <w:r w:rsidRPr="005E6E4C">
              <w:rPr>
                <w:rFonts w:ascii="Times New Roman" w:hAnsi="Times New Roman" w:cs="Times New Roman"/>
              </w:rPr>
              <w:t>Renewable energy input</w:t>
            </w:r>
          </w:p>
        </w:tc>
        <w:tc>
          <w:tcPr>
            <w:tcW w:w="0" w:type="auto"/>
            <w:hideMark/>
          </w:tcPr>
          <w:p w14:paraId="23E08433" w14:textId="77777777" w:rsidR="00E97579" w:rsidRPr="005E6E4C" w:rsidRDefault="00E97579" w:rsidP="00625A60">
            <w:pPr>
              <w:jc w:val="both"/>
              <w:rPr>
                <w:rFonts w:ascii="Times New Roman" w:hAnsi="Times New Roman" w:cs="Times New Roman"/>
              </w:rPr>
            </w:pPr>
            <w:r w:rsidRPr="005E6E4C">
              <w:rPr>
                <w:rFonts w:ascii="Times New Roman" w:hAnsi="Times New Roman" w:cs="Times New Roman"/>
              </w:rPr>
              <w:t>Solar-powered electrolysis systems</w:t>
            </w:r>
          </w:p>
        </w:tc>
      </w:tr>
      <w:tr w:rsidR="00E97579" w:rsidRPr="005E6E4C" w14:paraId="69D51DEC" w14:textId="77777777" w:rsidTr="00625A60">
        <w:tc>
          <w:tcPr>
            <w:tcW w:w="0" w:type="auto"/>
            <w:hideMark/>
          </w:tcPr>
          <w:p w14:paraId="61CED66B" w14:textId="77777777" w:rsidR="00E97579" w:rsidRPr="005E6E4C" w:rsidRDefault="00E97579" w:rsidP="00625A60">
            <w:pPr>
              <w:jc w:val="both"/>
              <w:rPr>
                <w:rFonts w:ascii="Times New Roman" w:hAnsi="Times New Roman" w:cs="Times New Roman"/>
              </w:rPr>
            </w:pPr>
            <w:r w:rsidRPr="005E6E4C">
              <w:rPr>
                <w:rFonts w:ascii="Times New Roman" w:hAnsi="Times New Roman" w:cs="Times New Roman"/>
              </w:rPr>
              <w:t>Hydrogen production</w:t>
            </w:r>
          </w:p>
        </w:tc>
        <w:tc>
          <w:tcPr>
            <w:tcW w:w="0" w:type="auto"/>
            <w:hideMark/>
          </w:tcPr>
          <w:p w14:paraId="5704AFB2" w14:textId="77777777" w:rsidR="00E97579" w:rsidRPr="005E6E4C" w:rsidRDefault="00E97579" w:rsidP="00625A60">
            <w:pPr>
              <w:jc w:val="both"/>
              <w:rPr>
                <w:rFonts w:ascii="Times New Roman" w:hAnsi="Times New Roman" w:cs="Times New Roman"/>
              </w:rPr>
            </w:pPr>
            <w:r w:rsidRPr="005E6E4C">
              <w:rPr>
                <w:rFonts w:ascii="Times New Roman" w:hAnsi="Times New Roman" w:cs="Times New Roman"/>
              </w:rPr>
              <w:t>Large-scale and pilot electrolysers</w:t>
            </w:r>
          </w:p>
        </w:tc>
      </w:tr>
      <w:tr w:rsidR="00E97579" w:rsidRPr="005E6E4C" w14:paraId="372CFF15" w14:textId="77777777" w:rsidTr="00625A60">
        <w:tc>
          <w:tcPr>
            <w:tcW w:w="0" w:type="auto"/>
            <w:hideMark/>
          </w:tcPr>
          <w:p w14:paraId="2FE9D3E8" w14:textId="77777777" w:rsidR="00E97579" w:rsidRPr="005E6E4C" w:rsidRDefault="00E97579" w:rsidP="00625A60">
            <w:pPr>
              <w:jc w:val="both"/>
              <w:rPr>
                <w:rFonts w:ascii="Times New Roman" w:hAnsi="Times New Roman" w:cs="Times New Roman"/>
              </w:rPr>
            </w:pPr>
            <w:r w:rsidRPr="005E6E4C">
              <w:rPr>
                <w:rFonts w:ascii="Times New Roman" w:hAnsi="Times New Roman" w:cs="Times New Roman"/>
              </w:rPr>
              <w:t>Long-term storage</w:t>
            </w:r>
          </w:p>
        </w:tc>
        <w:tc>
          <w:tcPr>
            <w:tcW w:w="0" w:type="auto"/>
            <w:hideMark/>
          </w:tcPr>
          <w:p w14:paraId="387337B5" w14:textId="77777777" w:rsidR="00E97579" w:rsidRPr="005E6E4C" w:rsidRDefault="00E97579" w:rsidP="00625A60">
            <w:pPr>
              <w:jc w:val="both"/>
              <w:rPr>
                <w:rFonts w:ascii="Times New Roman" w:hAnsi="Times New Roman" w:cs="Times New Roman"/>
              </w:rPr>
            </w:pPr>
            <w:r w:rsidRPr="005E6E4C">
              <w:rPr>
                <w:rFonts w:ascii="Times New Roman" w:hAnsi="Times New Roman" w:cs="Times New Roman"/>
              </w:rPr>
              <w:t>Hydrogen as seasonal energy storage</w:t>
            </w:r>
          </w:p>
        </w:tc>
      </w:tr>
      <w:tr w:rsidR="00E97579" w:rsidRPr="005E6E4C" w14:paraId="10289EF6" w14:textId="77777777" w:rsidTr="00625A60">
        <w:tc>
          <w:tcPr>
            <w:tcW w:w="0" w:type="auto"/>
            <w:hideMark/>
          </w:tcPr>
          <w:p w14:paraId="5442AAC9" w14:textId="77777777" w:rsidR="00E97579" w:rsidRPr="005E6E4C" w:rsidRDefault="00E97579" w:rsidP="00625A60">
            <w:pPr>
              <w:rPr>
                <w:rFonts w:ascii="Times New Roman" w:hAnsi="Times New Roman" w:cs="Times New Roman"/>
              </w:rPr>
            </w:pPr>
            <w:r w:rsidRPr="005E6E4C">
              <w:rPr>
                <w:rFonts w:ascii="Times New Roman" w:hAnsi="Times New Roman" w:cs="Times New Roman"/>
              </w:rPr>
              <w:t>Transport integration</w:t>
            </w:r>
          </w:p>
        </w:tc>
        <w:tc>
          <w:tcPr>
            <w:tcW w:w="0" w:type="auto"/>
            <w:hideMark/>
          </w:tcPr>
          <w:p w14:paraId="1C9EB8EA" w14:textId="77777777" w:rsidR="00E97579" w:rsidRPr="005E6E4C" w:rsidRDefault="00E97579" w:rsidP="00625A60">
            <w:pPr>
              <w:rPr>
                <w:rFonts w:ascii="Times New Roman" w:hAnsi="Times New Roman" w:cs="Times New Roman"/>
              </w:rPr>
            </w:pPr>
            <w:r w:rsidRPr="005E6E4C">
              <w:rPr>
                <w:rFonts w:ascii="Times New Roman" w:hAnsi="Times New Roman" w:cs="Times New Roman"/>
              </w:rPr>
              <w:t>Hydrogen for heavy-duty vehicles</w:t>
            </w:r>
          </w:p>
        </w:tc>
      </w:tr>
      <w:tr w:rsidR="00E97579" w:rsidRPr="005E6E4C" w14:paraId="184380B8" w14:textId="77777777" w:rsidTr="00625A60">
        <w:tc>
          <w:tcPr>
            <w:tcW w:w="0" w:type="auto"/>
            <w:hideMark/>
          </w:tcPr>
          <w:p w14:paraId="0166EE75" w14:textId="77777777" w:rsidR="00E97579" w:rsidRPr="005E6E4C" w:rsidRDefault="00E97579" w:rsidP="00625A60">
            <w:pPr>
              <w:rPr>
                <w:rFonts w:ascii="Times New Roman" w:hAnsi="Times New Roman" w:cs="Times New Roman"/>
              </w:rPr>
            </w:pPr>
            <w:r w:rsidRPr="005E6E4C">
              <w:rPr>
                <w:rFonts w:ascii="Times New Roman" w:hAnsi="Times New Roman" w:cs="Times New Roman"/>
              </w:rPr>
              <w:t>Sector coupling</w:t>
            </w:r>
          </w:p>
        </w:tc>
        <w:tc>
          <w:tcPr>
            <w:tcW w:w="0" w:type="auto"/>
            <w:hideMark/>
          </w:tcPr>
          <w:p w14:paraId="64D69CA0" w14:textId="77777777" w:rsidR="00E97579" w:rsidRPr="005E6E4C" w:rsidRDefault="00E97579" w:rsidP="00625A60">
            <w:pPr>
              <w:rPr>
                <w:rFonts w:ascii="Times New Roman" w:hAnsi="Times New Roman" w:cs="Times New Roman"/>
              </w:rPr>
            </w:pPr>
            <w:r w:rsidRPr="005E6E4C">
              <w:rPr>
                <w:rFonts w:ascii="Times New Roman" w:hAnsi="Times New Roman" w:cs="Times New Roman"/>
              </w:rPr>
              <w:t>Power → Hydrogen → Transport</w:t>
            </w:r>
          </w:p>
        </w:tc>
      </w:tr>
    </w:tbl>
    <w:p w14:paraId="47E85546" w14:textId="003EE589" w:rsidR="005E0D21" w:rsidRPr="005E6E4C" w:rsidRDefault="005E0D21" w:rsidP="001A243A">
      <w:pPr>
        <w:spacing w:after="0" w:line="240" w:lineRule="auto"/>
        <w:rPr>
          <w:rFonts w:ascii="Times New Roman" w:hAnsi="Times New Roman" w:cs="Times New Roman"/>
        </w:rPr>
      </w:pPr>
      <w:bookmarkStart w:id="1" w:name="_Hlk233023972"/>
      <w:r w:rsidRPr="005E6E4C">
        <w:rPr>
          <w:rFonts w:ascii="Times New Roman" w:hAnsi="Times New Roman" w:cs="Times New Roman"/>
        </w:rPr>
        <w:t>Table 7 Sector-coupled framework in relation to South Africa</w:t>
      </w:r>
    </w:p>
    <w:p w14:paraId="0FD4A0DC" w14:textId="2A966FEB" w:rsidR="005E0D21" w:rsidRPr="005E6E4C" w:rsidRDefault="00CF0C81" w:rsidP="005E6E4C">
      <w:pPr>
        <w:spacing w:after="0" w:line="240" w:lineRule="auto"/>
        <w:jc w:val="both"/>
        <w:rPr>
          <w:rFonts w:ascii="Times New Roman" w:hAnsi="Times New Roman" w:cs="Times New Roman"/>
        </w:rPr>
      </w:pPr>
      <w:r w:rsidRPr="005E6E4C">
        <w:rPr>
          <w:rFonts w:ascii="Times New Roman" w:hAnsi="Times New Roman" w:cs="Times New Roman"/>
        </w:rPr>
        <w:t xml:space="preserve">Table </w:t>
      </w:r>
      <w:r w:rsidR="006962F0" w:rsidRPr="005E6E4C">
        <w:rPr>
          <w:rFonts w:ascii="Times New Roman" w:hAnsi="Times New Roman" w:cs="Times New Roman"/>
        </w:rPr>
        <w:t>7</w:t>
      </w:r>
      <w:r w:rsidRPr="005E6E4C">
        <w:rPr>
          <w:rFonts w:ascii="Times New Roman" w:hAnsi="Times New Roman" w:cs="Times New Roman"/>
        </w:rPr>
        <w:t xml:space="preserve"> compares the proposed framework with its real-world implementation in South Africa. The results show that key elements—particularly the integration of renewable energy with hydrogen production—are already being realised. Solar-powered electrolysis demonstrates how variable renewable energy can be converted into a storable energy carrier, improving flexibility and reducing curtailment. In addition, hydrogen-based applications in heavy transport highlight the extension of sector coupling beyond the power </w:t>
      </w:r>
      <w:r w:rsidR="00027B3A" w:rsidRPr="005E6E4C">
        <w:rPr>
          <w:rFonts w:ascii="Times New Roman" w:hAnsi="Times New Roman" w:cs="Times New Roman"/>
        </w:rPr>
        <w:t>sector. Overall</w:t>
      </w:r>
      <w:r w:rsidRPr="005E6E4C">
        <w:rPr>
          <w:rFonts w:ascii="Times New Roman" w:hAnsi="Times New Roman" w:cs="Times New Roman"/>
        </w:rPr>
        <w:t>, the South African case confirms the feasibility of the proposed framework and the role of hydrogen in enabling long-duration storage and decarbonisation of hard-to-electrify sectors.</w:t>
      </w:r>
      <w:bookmarkEnd w:id="1"/>
    </w:p>
    <w:p w14:paraId="05505495" w14:textId="54670917" w:rsidR="00773DDA" w:rsidRPr="00162F4D" w:rsidRDefault="00773DDA" w:rsidP="00436990">
      <w:pPr>
        <w:spacing w:after="0"/>
        <w:jc w:val="both"/>
        <w:rPr>
          <w:rFonts w:ascii="Times New Roman" w:hAnsi="Times New Roman" w:cs="Times New Roman"/>
          <w:b/>
          <w:bCs/>
          <w:sz w:val="28"/>
          <w:szCs w:val="28"/>
        </w:rPr>
      </w:pPr>
      <w:r w:rsidRPr="00162F4D">
        <w:rPr>
          <w:rFonts w:ascii="Times New Roman" w:hAnsi="Times New Roman" w:cs="Times New Roman"/>
          <w:b/>
          <w:bCs/>
          <w:sz w:val="28"/>
          <w:szCs w:val="28"/>
        </w:rPr>
        <w:t>DISCUSSION AND PRACTICAL IMPLICATIONS</w:t>
      </w:r>
    </w:p>
    <w:p w14:paraId="5B111CD2" w14:textId="482AA783" w:rsidR="005A27D0" w:rsidRPr="005E6E4C" w:rsidRDefault="0032077A" w:rsidP="005E6E4C">
      <w:pPr>
        <w:spacing w:line="240" w:lineRule="auto"/>
        <w:jc w:val="both"/>
        <w:rPr>
          <w:rFonts w:ascii="Times New Roman" w:hAnsi="Times New Roman" w:cs="Times New Roman"/>
        </w:rPr>
      </w:pPr>
      <w:r w:rsidRPr="005E6E4C">
        <w:rPr>
          <w:rFonts w:ascii="Times New Roman" w:hAnsi="Times New Roman" w:cs="Times New Roman"/>
        </w:rPr>
        <w:t>The proposed sector-coupled framework enhances renewable energy utilisation by coordinating renewable generation, hydrogen storage, and electric vehicle (EV) integration within a unified system. Surplus renewable electricity is redirected to hydrogen production and EV charging, reducing curtailment and improving flexibility. EVs, through vehicle-to-grid (V2G) functionality, provide short-term storage and grid support, while hydrogen enables long-duration energy balancing, creating a complementary multi-layered storage system that improves grid stability and supports transport decarbonisation. The Kenya and South Africa case studies demonstrate the practical applicability of this approach, highlighting sector coupling as a viable pathway toward low-carbon energy systems in developing economies. Compared with conventional systems relying on grid expansion or standalone storage, the</w:t>
      </w:r>
      <w:r w:rsidRPr="0032077A">
        <w:rPr>
          <w:rFonts w:ascii="Calibri" w:hAnsi="Calibri" w:cs="Calibri"/>
        </w:rPr>
        <w:t xml:space="preserve"> </w:t>
      </w:r>
      <w:r w:rsidRPr="005E6E4C">
        <w:rPr>
          <w:rFonts w:ascii="Times New Roman" w:hAnsi="Times New Roman" w:cs="Times New Roman"/>
        </w:rPr>
        <w:t>proposed framework enables improved energy balancing across multiple timescales through the integration of EV batteries and hydrogen storage. However, challenges remain, particularly</w:t>
      </w:r>
      <w:r w:rsidRPr="0032077A">
        <w:rPr>
          <w:rFonts w:ascii="Calibri" w:hAnsi="Calibri" w:cs="Calibri"/>
        </w:rPr>
        <w:t xml:space="preserve"> </w:t>
      </w:r>
      <w:r w:rsidRPr="005E6E4C">
        <w:rPr>
          <w:rFonts w:ascii="Times New Roman" w:hAnsi="Times New Roman" w:cs="Times New Roman"/>
        </w:rPr>
        <w:t>the high capital cost of hydrogen infrastructure and constraints related to scalability, grid capacity, and regulatory frameworks. These may be mitigated through declining technology costs, improved renewable energy utilisation, and potential revenue streams from V2G services. The modular structure of the framework supports phased implementation, beginning with EV integration and gradually incorporating hydrogen systems. Overall, the framework enhances grid flexibility, energy resilience, and decarbonisation potential, although future work should focus on detailed simulation, optimisation, and techno-economic analysis to validate large-scale deployment.</w:t>
      </w:r>
    </w:p>
    <w:p w14:paraId="1F657FE9" w14:textId="31EEBEE6" w:rsidR="004733CC" w:rsidRPr="004733CC" w:rsidRDefault="00F4197A" w:rsidP="004733CC">
      <w:pPr>
        <w:spacing w:after="0"/>
        <w:rPr>
          <w:rFonts w:ascii="Times New Roman" w:hAnsi="Times New Roman" w:cs="Times New Roman"/>
          <w:b/>
          <w:bCs/>
          <w:sz w:val="28"/>
          <w:szCs w:val="28"/>
        </w:rPr>
      </w:pPr>
      <w:r w:rsidRPr="00162F4D">
        <w:rPr>
          <w:rFonts w:ascii="Times New Roman" w:hAnsi="Times New Roman" w:cs="Times New Roman"/>
          <w:b/>
          <w:bCs/>
          <w:sz w:val="28"/>
          <w:szCs w:val="28"/>
        </w:rPr>
        <w:lastRenderedPageBreak/>
        <w:t>REFERENCES</w:t>
      </w:r>
    </w:p>
    <w:p w14:paraId="13E8C877"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Abdel-Khalek, H., Schumm, L., Jalbout, E., Parzen, M., Schauß, C., &amp; Fioriti, D. (2025). PyPSA-Earth sector-coupled: A global open-source multi-energy system model showcased for hydrogen applications in countries of the Global South. Applied Energy, 383, 125316. </w:t>
      </w:r>
      <w:hyperlink r:id="rId10" w:history="1">
        <w:r w:rsidRPr="005E6E4C">
          <w:rPr>
            <w:rStyle w:val="Hyperlink"/>
            <w:rFonts w:ascii="Times New Roman" w:hAnsi="Times New Roman" w:cs="Times New Roman"/>
            <w:color w:val="000000" w:themeColor="text1"/>
          </w:rPr>
          <w:t>https://doi.org/10.1016/j.apenergy.2025.125316</w:t>
        </w:r>
      </w:hyperlink>
    </w:p>
    <w:p w14:paraId="645F4742" w14:textId="77777777" w:rsidR="004733CC" w:rsidRPr="005E6E4C" w:rsidRDefault="004733CC" w:rsidP="00944E2D">
      <w:pPr>
        <w:pStyle w:val="ListParagraph"/>
        <w:numPr>
          <w:ilvl w:val="0"/>
          <w:numId w:val="47"/>
        </w:numPr>
        <w:spacing w:line="240" w:lineRule="auto"/>
        <w:ind w:left="1080"/>
        <w:rPr>
          <w:rFonts w:ascii="Times New Roman" w:hAnsi="Times New Roman" w:cs="Times New Roman"/>
          <w:color w:val="000000" w:themeColor="text1"/>
        </w:rPr>
      </w:pPr>
      <w:r w:rsidRPr="005E6E4C">
        <w:rPr>
          <w:rFonts w:ascii="Times New Roman" w:hAnsi="Times New Roman" w:cs="Times New Roman"/>
          <w:color w:val="000000" w:themeColor="text1"/>
        </w:rPr>
        <w:t xml:space="preserve">Ahmadi, M., et al. (2024). Risk-constrained bidding and offering strategy for sector-coupled electricity-hydrogen systems incorporating accessibility level of mobility sector. Journal of Cleaner Production, 451, 142031. </w:t>
      </w:r>
      <w:hyperlink r:id="rId11" w:history="1">
        <w:r w:rsidRPr="005E6E4C">
          <w:rPr>
            <w:rStyle w:val="Hyperlink"/>
            <w:rFonts w:ascii="Times New Roman" w:hAnsi="Times New Roman" w:cs="Times New Roman"/>
            <w:color w:val="000000" w:themeColor="text1"/>
          </w:rPr>
          <w:t>https://doi.org/10.1016/j.jclepro.2024.142031</w:t>
        </w:r>
      </w:hyperlink>
    </w:p>
    <w:p w14:paraId="363D9A80" w14:textId="77777777" w:rsidR="004733CC" w:rsidRPr="005E6E4C" w:rsidRDefault="004733CC" w:rsidP="00944E2D">
      <w:pPr>
        <w:pStyle w:val="ListParagraph"/>
        <w:numPr>
          <w:ilvl w:val="0"/>
          <w:numId w:val="47"/>
        </w:numPr>
        <w:spacing w:line="240" w:lineRule="auto"/>
        <w:ind w:left="1080"/>
        <w:rPr>
          <w:rFonts w:ascii="Times New Roman" w:hAnsi="Times New Roman" w:cs="Times New Roman"/>
          <w:color w:val="000000" w:themeColor="text1"/>
        </w:rPr>
      </w:pPr>
      <w:r w:rsidRPr="005E6E4C">
        <w:rPr>
          <w:rFonts w:ascii="Times New Roman" w:hAnsi="Times New Roman" w:cs="Times New Roman"/>
          <w:color w:val="000000" w:themeColor="text1"/>
        </w:rPr>
        <w:t xml:space="preserve">Ahmadi, M., et al. (2025). Optimal operation of hydrogen-based multi-energy microgrid integrating water network and transportation sector. International Journal of Hydrogen Energy, 97, 501–515. </w:t>
      </w:r>
      <w:hyperlink r:id="rId12" w:history="1">
        <w:r w:rsidRPr="005E6E4C">
          <w:rPr>
            <w:rStyle w:val="Hyperlink"/>
            <w:rFonts w:ascii="Times New Roman" w:hAnsi="Times New Roman" w:cs="Times New Roman"/>
            <w:color w:val="000000" w:themeColor="text1"/>
          </w:rPr>
          <w:t>https://doi.org/10.1016/j.ijhydene.2024.11.367</w:t>
        </w:r>
      </w:hyperlink>
      <w:r w:rsidRPr="005E6E4C">
        <w:rPr>
          <w:rFonts w:ascii="Times New Roman" w:hAnsi="Times New Roman" w:cs="Times New Roman"/>
          <w:color w:val="000000" w:themeColor="text1"/>
        </w:rPr>
        <w:t xml:space="preserve"> </w:t>
      </w:r>
    </w:p>
    <w:p w14:paraId="745CED13" w14:textId="77777777" w:rsidR="004733CC" w:rsidRPr="005E6E4C" w:rsidRDefault="004733CC" w:rsidP="00944E2D">
      <w:pPr>
        <w:pStyle w:val="ListParagraph"/>
        <w:numPr>
          <w:ilvl w:val="0"/>
          <w:numId w:val="47"/>
        </w:numPr>
        <w:spacing w:line="240" w:lineRule="auto"/>
        <w:ind w:left="1080"/>
        <w:rPr>
          <w:rFonts w:ascii="Times New Roman" w:hAnsi="Times New Roman" w:cs="Times New Roman"/>
          <w:color w:val="000000" w:themeColor="text1"/>
        </w:rPr>
      </w:pPr>
      <w:r w:rsidRPr="005E6E4C">
        <w:rPr>
          <w:rFonts w:ascii="Times New Roman" w:hAnsi="Times New Roman" w:cs="Times New Roman"/>
          <w:color w:val="000000" w:themeColor="text1"/>
        </w:rPr>
        <w:t xml:space="preserve">Ait Oufroukh, N., et al. (2024). Optimal integration of hybrid renewable energy systems for decarbonized urban electrification and hydrogen mobility. International Journal of Hydrogen Energy, 83, 1448–1462. </w:t>
      </w:r>
      <w:hyperlink r:id="rId13" w:history="1">
        <w:r w:rsidRPr="005E6E4C">
          <w:rPr>
            <w:rStyle w:val="Hyperlink"/>
            <w:rFonts w:ascii="Times New Roman" w:hAnsi="Times New Roman" w:cs="Times New Roman"/>
            <w:color w:val="000000" w:themeColor="text1"/>
          </w:rPr>
          <w:t>https://doi.org/10.1016/j.ijhydene.2024.08.054</w:t>
        </w:r>
      </w:hyperlink>
      <w:r w:rsidRPr="005E6E4C">
        <w:rPr>
          <w:rFonts w:ascii="Times New Roman" w:hAnsi="Times New Roman" w:cs="Times New Roman"/>
          <w:color w:val="000000" w:themeColor="text1"/>
        </w:rPr>
        <w:t xml:space="preserve"> </w:t>
      </w:r>
    </w:p>
    <w:p w14:paraId="2BFFE42B" w14:textId="77777777" w:rsidR="004733CC" w:rsidRPr="005E6E4C" w:rsidRDefault="004733CC" w:rsidP="00676F39">
      <w:pPr>
        <w:pStyle w:val="ListParagraph"/>
        <w:numPr>
          <w:ilvl w:val="0"/>
          <w:numId w:val="47"/>
        </w:numPr>
        <w:spacing w:after="0" w:line="240" w:lineRule="auto"/>
        <w:ind w:left="1080"/>
        <w:jc w:val="both"/>
        <w:rPr>
          <w:rFonts w:ascii="Times New Roman" w:eastAsia="Times New Roman" w:hAnsi="Times New Roman" w:cs="Times New Roman"/>
          <w:color w:val="000000" w:themeColor="text1"/>
          <w:kern w:val="0"/>
          <w:lang w:eastAsia="en-GB"/>
          <w14:ligatures w14:val="none"/>
        </w:rPr>
      </w:pPr>
      <w:r w:rsidRPr="005E6E4C">
        <w:rPr>
          <w:rFonts w:ascii="Times New Roman" w:eastAsia="Times New Roman" w:hAnsi="Times New Roman" w:cs="Times New Roman"/>
          <w:color w:val="000000" w:themeColor="text1"/>
          <w:kern w:val="0"/>
          <w:lang w:eastAsia="en-GB"/>
          <w14:ligatures w14:val="none"/>
        </w:rPr>
        <w:t xml:space="preserve">Arowolo, W., Diallo, M., &amp; Perez, Y. (2025). Electric mobility investments: Insights from power-transport coupling from developing countries. The Electricity Journal, 38(2), 107473. </w:t>
      </w:r>
      <w:hyperlink r:id="rId14" w:history="1">
        <w:r w:rsidRPr="005E6E4C">
          <w:rPr>
            <w:rStyle w:val="Hyperlink"/>
            <w:rFonts w:ascii="Times New Roman" w:eastAsia="Times New Roman" w:hAnsi="Times New Roman" w:cs="Times New Roman"/>
            <w:color w:val="000000" w:themeColor="text1"/>
            <w:kern w:val="0"/>
            <w:lang w:eastAsia="en-GB"/>
            <w14:ligatures w14:val="none"/>
          </w:rPr>
          <w:t>https://doi.org/10.1016/j.tej.2025.107473</w:t>
        </w:r>
      </w:hyperlink>
    </w:p>
    <w:p w14:paraId="12E11F9D" w14:textId="77777777" w:rsidR="004733CC" w:rsidRPr="005E6E4C" w:rsidRDefault="004733CC" w:rsidP="00944E2D">
      <w:pPr>
        <w:pStyle w:val="ListParagraph"/>
        <w:numPr>
          <w:ilvl w:val="0"/>
          <w:numId w:val="47"/>
        </w:numPr>
        <w:spacing w:line="240" w:lineRule="auto"/>
        <w:ind w:left="1080"/>
        <w:rPr>
          <w:rFonts w:ascii="Times New Roman" w:hAnsi="Times New Roman" w:cs="Times New Roman"/>
          <w:color w:val="000000" w:themeColor="text1"/>
        </w:rPr>
      </w:pPr>
      <w:r w:rsidRPr="005E6E4C">
        <w:rPr>
          <w:rFonts w:ascii="Times New Roman" w:hAnsi="Times New Roman" w:cs="Times New Roman"/>
          <w:color w:val="000000" w:themeColor="text1"/>
        </w:rPr>
        <w:t xml:space="preserve">Bahrami, M., et al. (2025). Optimal scheduling of power system integrated with hydrogen vehicles and flexible resources: A hybrid uncertainty management method. International Journal of Hydrogen Energy, 100, 658–667. </w:t>
      </w:r>
      <w:hyperlink r:id="rId15" w:history="1">
        <w:r w:rsidRPr="005E6E4C">
          <w:rPr>
            <w:rStyle w:val="Hyperlink"/>
            <w:rFonts w:ascii="Times New Roman" w:hAnsi="Times New Roman" w:cs="Times New Roman"/>
            <w:color w:val="000000" w:themeColor="text1"/>
          </w:rPr>
          <w:t>https://doi.org/10.1016/j.ijhydene.2024.12.042</w:t>
        </w:r>
      </w:hyperlink>
      <w:r w:rsidRPr="005E6E4C">
        <w:rPr>
          <w:rFonts w:ascii="Times New Roman" w:hAnsi="Times New Roman" w:cs="Times New Roman"/>
          <w:color w:val="000000" w:themeColor="text1"/>
        </w:rPr>
        <w:t xml:space="preserve"> </w:t>
      </w:r>
    </w:p>
    <w:p w14:paraId="61868347" w14:textId="77777777" w:rsidR="004733CC" w:rsidRPr="005E6E4C" w:rsidRDefault="004733CC" w:rsidP="00676F39">
      <w:pPr>
        <w:pStyle w:val="ListParagraph"/>
        <w:numPr>
          <w:ilvl w:val="0"/>
          <w:numId w:val="47"/>
        </w:numPr>
        <w:spacing w:after="0"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BNEF (2024) Electric Vehicle Outlook 2024. Bloomberg NEF.</w:t>
      </w:r>
    </w:p>
    <w:p w14:paraId="0067324F"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Bortotti, M.F., Rigolin, P., Udaeta, M.E.M. and Grimoni, J.A.B. (2023) ‘Comprehensive energy analysis of vehicle-to-grid (V2G) integration with the power grid’, Applied Sciences, 13(20), 11119.</w:t>
      </w:r>
    </w:p>
    <w:p w14:paraId="1201A950"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Dang, Y., &amp; Wang, W. (2025). Low-carbon economic scheduling of hydrogen-integrated energy systems with enhanced bilateral supply–demand response considering vehicle-to-grid under power-to-gas–carbon capture system coupling. Processes, 13(3), 636. </w:t>
      </w:r>
      <w:hyperlink r:id="rId16" w:history="1">
        <w:r w:rsidRPr="005E6E4C">
          <w:rPr>
            <w:rStyle w:val="Hyperlink"/>
            <w:rFonts w:ascii="Times New Roman" w:hAnsi="Times New Roman" w:cs="Times New Roman"/>
            <w:color w:val="000000" w:themeColor="text1"/>
          </w:rPr>
          <w:t>https://doi.org/10.3390/pr13030636</w:t>
        </w:r>
      </w:hyperlink>
      <w:r w:rsidRPr="005E6E4C">
        <w:rPr>
          <w:rFonts w:ascii="Times New Roman" w:hAnsi="Times New Roman" w:cs="Times New Roman"/>
          <w:color w:val="000000" w:themeColor="text1"/>
        </w:rPr>
        <w:t xml:space="preserve"> </w:t>
      </w:r>
    </w:p>
    <w:p w14:paraId="64C926C5"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Denholm, P. et al. (2021) ‘The role of energy storage in grid decarbonisation’, </w:t>
      </w:r>
      <w:r w:rsidRPr="005E6E4C">
        <w:rPr>
          <w:rFonts w:ascii="Times New Roman" w:hAnsi="Times New Roman" w:cs="Times New Roman"/>
          <w:i/>
          <w:iCs/>
          <w:color w:val="000000" w:themeColor="text1"/>
        </w:rPr>
        <w:t>Joule</w:t>
      </w:r>
      <w:r w:rsidRPr="005E6E4C">
        <w:rPr>
          <w:rFonts w:ascii="Times New Roman" w:hAnsi="Times New Roman" w:cs="Times New Roman"/>
          <w:color w:val="000000" w:themeColor="text1"/>
        </w:rPr>
        <w:t>, 5(9), pp. 2230–2247.</w:t>
      </w:r>
    </w:p>
    <w:p w14:paraId="13E1516E"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Denholm, P., Sun, Y. and Mai, T. (2021) ‘An introduction to grid services: Concepts, technical requirements, and provision from wind’, Joule, 5(9), pp. 2230–2247.</w:t>
      </w:r>
    </w:p>
    <w:p w14:paraId="45FDAA4C"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Department of Science and Innovation (2021) </w:t>
      </w:r>
      <w:r w:rsidRPr="005E6E4C">
        <w:rPr>
          <w:rFonts w:ascii="Times New Roman" w:hAnsi="Times New Roman" w:cs="Times New Roman"/>
          <w:i/>
          <w:iCs/>
          <w:color w:val="000000" w:themeColor="text1"/>
        </w:rPr>
        <w:t>Hydrogen Society Roadmap</w:t>
      </w:r>
      <w:r w:rsidRPr="005E6E4C">
        <w:rPr>
          <w:rFonts w:ascii="Times New Roman" w:hAnsi="Times New Roman" w:cs="Times New Roman"/>
          <w:color w:val="000000" w:themeColor="text1"/>
        </w:rPr>
        <w:t>. Pretoria: Government of South Africa.</w:t>
      </w:r>
    </w:p>
    <w:p w14:paraId="2F7B0E6F"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García Collazos, J. S., Cardenas Ardila, L. M., &amp; Franco Cardona, C. J. (2024). Energy transition in sustainable transport: Concepts, policies, and methodologies. Environmental Science and Pollution Research, 31, 58669–58686. https://doi.org/10.1007/s11356-024-34862-x</w:t>
      </w:r>
    </w:p>
    <w:p w14:paraId="1EE59696" w14:textId="77777777" w:rsidR="004733CC" w:rsidRPr="005E6E4C" w:rsidRDefault="004733CC" w:rsidP="00944E2D">
      <w:pPr>
        <w:pStyle w:val="ListParagraph"/>
        <w:numPr>
          <w:ilvl w:val="0"/>
          <w:numId w:val="47"/>
        </w:numPr>
        <w:spacing w:line="240" w:lineRule="auto"/>
        <w:ind w:left="1080"/>
        <w:rPr>
          <w:rFonts w:ascii="Times New Roman" w:hAnsi="Times New Roman" w:cs="Times New Roman"/>
          <w:color w:val="000000" w:themeColor="text1"/>
        </w:rPr>
      </w:pPr>
      <w:r w:rsidRPr="005E6E4C">
        <w:rPr>
          <w:rFonts w:ascii="Times New Roman" w:hAnsi="Times New Roman" w:cs="Times New Roman"/>
          <w:color w:val="000000" w:themeColor="text1"/>
        </w:rPr>
        <w:t xml:space="preserve">Gils, H.C. et al. (2021) Interaction of hydrogen infrastructures with other sector coupling options Renewable Energy, 180 </w:t>
      </w:r>
      <w:hyperlink r:id="rId17" w:history="1">
        <w:r w:rsidRPr="005E6E4C">
          <w:rPr>
            <w:rStyle w:val="Hyperlink"/>
            <w:rFonts w:ascii="Times New Roman" w:hAnsi="Times New Roman" w:cs="Times New Roman"/>
          </w:rPr>
          <w:t>https://doi.org/10.1016/j.renene.2021.08.016</w:t>
        </w:r>
      </w:hyperlink>
    </w:p>
    <w:p w14:paraId="68CEBF4C" w14:textId="77777777" w:rsidR="004733CC" w:rsidRPr="005E6E4C" w:rsidRDefault="004733CC" w:rsidP="00944E2D">
      <w:pPr>
        <w:pStyle w:val="ListParagraph"/>
        <w:numPr>
          <w:ilvl w:val="0"/>
          <w:numId w:val="47"/>
        </w:numPr>
        <w:spacing w:line="240" w:lineRule="auto"/>
        <w:ind w:left="1080"/>
        <w:rPr>
          <w:rFonts w:ascii="Times New Roman" w:hAnsi="Times New Roman" w:cs="Times New Roman"/>
          <w:color w:val="000000" w:themeColor="text1"/>
        </w:rPr>
      </w:pPr>
      <w:r w:rsidRPr="005E6E4C">
        <w:rPr>
          <w:rFonts w:ascii="Times New Roman" w:hAnsi="Times New Roman" w:cs="Times New Roman"/>
          <w:color w:val="000000" w:themeColor="text1"/>
        </w:rPr>
        <w:t xml:space="preserve">He, G. et al. (2021) Sector coupling via hydrogen to lower the cost of energy system decarbonization Energy &amp; Environmental Science </w:t>
      </w:r>
      <w:hyperlink r:id="rId18" w:history="1">
        <w:r w:rsidRPr="005E6E4C">
          <w:rPr>
            <w:rStyle w:val="Hyperlink"/>
            <w:rFonts w:ascii="Times New Roman" w:hAnsi="Times New Roman" w:cs="Times New Roman"/>
          </w:rPr>
          <w:t>https://doi.org/10.1039/D1EE00627D</w:t>
        </w:r>
      </w:hyperlink>
    </w:p>
    <w:p w14:paraId="5E8DB966"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lastRenderedPageBreak/>
        <w:t xml:space="preserve">Liu, R., He, G., Wang, X., Mallapragada, D., Zhao, H., &amp; Jiang, B. (2024). A cross-scale framework for evaluating flexibility values of battery and fuel cell electric vehicles. Nature Communications, 15, 280. </w:t>
      </w:r>
      <w:hyperlink r:id="rId19" w:history="1">
        <w:r w:rsidRPr="005E6E4C">
          <w:rPr>
            <w:rStyle w:val="Hyperlink"/>
            <w:rFonts w:ascii="Times New Roman" w:hAnsi="Times New Roman" w:cs="Times New Roman"/>
            <w:color w:val="000000" w:themeColor="text1"/>
          </w:rPr>
          <w:t>https://doi.org/10.1038/s41467-023-43884-x</w:t>
        </w:r>
      </w:hyperlink>
      <w:r w:rsidRPr="005E6E4C">
        <w:rPr>
          <w:rFonts w:ascii="Times New Roman" w:hAnsi="Times New Roman" w:cs="Times New Roman"/>
          <w:color w:val="000000" w:themeColor="text1"/>
        </w:rPr>
        <w:t xml:space="preserve"> </w:t>
      </w:r>
    </w:p>
    <w:p w14:paraId="7E0E6261"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rPr>
        <w:t xml:space="preserve">Loschan, C. et al. (2023) </w:t>
      </w:r>
      <w:r w:rsidRPr="005E6E4C">
        <w:rPr>
          <w:rStyle w:val="Emphasis"/>
          <w:rFonts w:ascii="Times New Roman" w:hAnsi="Times New Roman" w:cs="Times New Roman"/>
          <w:i w:val="0"/>
          <w:iCs w:val="0"/>
        </w:rPr>
        <w:t>Hydrogen as short-term flexibility and seasonal storage in sector-coupled electricity markets</w:t>
      </w:r>
      <w:r w:rsidRPr="005E6E4C">
        <w:rPr>
          <w:rFonts w:ascii="Times New Roman" w:hAnsi="Times New Roman" w:cs="Times New Roman"/>
        </w:rPr>
        <w:t xml:space="preserve"> Energies, 16(14), 5333</w:t>
      </w:r>
    </w:p>
    <w:p w14:paraId="08E12BC3" w14:textId="77777777" w:rsidR="004733CC" w:rsidRPr="005E6E4C" w:rsidRDefault="004733CC" w:rsidP="00676F39">
      <w:pPr>
        <w:pStyle w:val="ListParagraph"/>
        <w:numPr>
          <w:ilvl w:val="0"/>
          <w:numId w:val="47"/>
        </w:numPr>
        <w:spacing w:after="0" w:line="240" w:lineRule="auto"/>
        <w:ind w:left="1080"/>
        <w:jc w:val="both"/>
        <w:rPr>
          <w:rFonts w:ascii="Times New Roman" w:eastAsia="Times New Roman" w:hAnsi="Times New Roman" w:cs="Times New Roman"/>
          <w:color w:val="000000" w:themeColor="text1"/>
          <w:kern w:val="0"/>
          <w:lang w:eastAsia="en-GB"/>
          <w14:ligatures w14:val="none"/>
        </w:rPr>
      </w:pPr>
      <w:r w:rsidRPr="005E6E4C">
        <w:rPr>
          <w:rFonts w:ascii="Times New Roman" w:eastAsia="Times New Roman" w:hAnsi="Times New Roman" w:cs="Times New Roman"/>
          <w:color w:val="000000" w:themeColor="text1"/>
          <w:kern w:val="0"/>
          <w:lang w:eastAsia="en-GB"/>
          <w14:ligatures w14:val="none"/>
        </w:rPr>
        <w:t>Lund, H., Thellufsen, J.Z., Østergaard, P.A., Sorknæs, P., Skov, I.R. and Mathiesen, B.V. (2020) ‘Smart energy and smart energy systems’, Energy, 196, 117001.</w:t>
      </w:r>
    </w:p>
    <w:p w14:paraId="41588984"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Mitra, B., Pal, S., Reeve, H., &amp; Kintner-Meyer, M. C. (2025). Unveiling sectoral coupling for resilient electrification of the transportation sector. npj Sustainable Mobility and Transport, 2(1), 2. </w:t>
      </w:r>
      <w:hyperlink r:id="rId20" w:history="1">
        <w:r w:rsidRPr="005E6E4C">
          <w:rPr>
            <w:rStyle w:val="Hyperlink"/>
            <w:rFonts w:ascii="Times New Roman" w:hAnsi="Times New Roman" w:cs="Times New Roman"/>
            <w:color w:val="000000" w:themeColor="text1"/>
          </w:rPr>
          <w:t>https://doi.org/10.1038/s44333-024-00019-z</w:t>
        </w:r>
      </w:hyperlink>
      <w:r w:rsidRPr="005E6E4C">
        <w:rPr>
          <w:rFonts w:ascii="Times New Roman" w:hAnsi="Times New Roman" w:cs="Times New Roman"/>
          <w:color w:val="000000" w:themeColor="text1"/>
        </w:rPr>
        <w:t xml:space="preserve">  </w:t>
      </w:r>
    </w:p>
    <w:p w14:paraId="7CA07733"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Oskouei, M. Z., Mehrjerdi, H., &amp; Palensky, P. (2024). Risk-constrained bidding and offering strategy for sector-coupled electricity-hydrogen systems incorporating accessibility level of mobility sector. Journal of Cleaner Production, 451, 142031. </w:t>
      </w:r>
      <w:hyperlink r:id="rId21" w:history="1">
        <w:r w:rsidRPr="005E6E4C">
          <w:rPr>
            <w:rStyle w:val="Hyperlink"/>
            <w:rFonts w:ascii="Times New Roman" w:hAnsi="Times New Roman" w:cs="Times New Roman"/>
            <w:color w:val="000000" w:themeColor="text1"/>
          </w:rPr>
          <w:t>https://doi.org/10.1016/j.jclepro.2024.142031</w:t>
        </w:r>
      </w:hyperlink>
    </w:p>
    <w:p w14:paraId="3309CF19" w14:textId="77777777" w:rsidR="004733CC" w:rsidRPr="005E6E4C" w:rsidRDefault="004733CC" w:rsidP="00676F39">
      <w:pPr>
        <w:pStyle w:val="ListParagraph"/>
        <w:numPr>
          <w:ilvl w:val="0"/>
          <w:numId w:val="47"/>
        </w:numPr>
        <w:spacing w:after="0" w:line="240" w:lineRule="auto"/>
        <w:ind w:left="1080"/>
        <w:jc w:val="both"/>
        <w:rPr>
          <w:rFonts w:ascii="Times New Roman" w:eastAsia="Times New Roman" w:hAnsi="Times New Roman" w:cs="Times New Roman"/>
          <w:color w:val="000000" w:themeColor="text1"/>
          <w:kern w:val="0"/>
          <w:lang w:eastAsia="en-GB"/>
          <w14:ligatures w14:val="none"/>
        </w:rPr>
      </w:pPr>
      <w:r w:rsidRPr="005E6E4C">
        <w:rPr>
          <w:rFonts w:ascii="Times New Roman" w:eastAsia="Times New Roman" w:hAnsi="Times New Roman" w:cs="Times New Roman"/>
          <w:color w:val="000000" w:themeColor="text1"/>
          <w:kern w:val="0"/>
          <w:lang w:eastAsia="en-GB"/>
          <w14:ligatures w14:val="none"/>
        </w:rPr>
        <w:t xml:space="preserve">Pranawengkapti, K., Shrestha, S., Werland, S., Martin, E., &amp; Lah, O. (2025). Sector coupling: Accelerating renewable energy integration in transport with electric vehicles. Sustainable Earth Reviews, 8(16). </w:t>
      </w:r>
      <w:hyperlink r:id="rId22" w:history="1">
        <w:r w:rsidRPr="005E6E4C">
          <w:rPr>
            <w:rStyle w:val="Hyperlink"/>
            <w:rFonts w:ascii="Times New Roman" w:eastAsia="Times New Roman" w:hAnsi="Times New Roman" w:cs="Times New Roman"/>
            <w:color w:val="000000" w:themeColor="text1"/>
            <w:kern w:val="0"/>
            <w:lang w:eastAsia="en-GB"/>
            <w14:ligatures w14:val="none"/>
          </w:rPr>
          <w:t>https://doi.org/10.1186/s42055-025-00117-x</w:t>
        </w:r>
      </w:hyperlink>
    </w:p>
    <w:p w14:paraId="1A5AB765"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Rozzi, E., Giglio, E., Moscoloni, C., Novo, R., et al. (2024). Comparative study of electric and hydrogen mobility infrastructures for sustainable public transport: A PyPSA optimization for a remote island context. International Journal of Hydrogen Energy, 80, 516–527. </w:t>
      </w:r>
      <w:hyperlink r:id="rId23" w:history="1">
        <w:r w:rsidRPr="005E6E4C">
          <w:rPr>
            <w:rStyle w:val="Hyperlink"/>
            <w:rFonts w:ascii="Times New Roman" w:hAnsi="Times New Roman" w:cs="Times New Roman"/>
            <w:color w:val="000000" w:themeColor="text1"/>
          </w:rPr>
          <w:t>https://doi.org/10.1016/j.ijhydene.2024.07.105</w:t>
        </w:r>
      </w:hyperlink>
      <w:r w:rsidRPr="005E6E4C">
        <w:rPr>
          <w:rFonts w:ascii="Times New Roman" w:hAnsi="Times New Roman" w:cs="Times New Roman"/>
          <w:color w:val="000000" w:themeColor="text1"/>
        </w:rPr>
        <w:t xml:space="preserve"> </w:t>
      </w:r>
    </w:p>
    <w:p w14:paraId="253A51D8"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Ru, J., Gillott, M. and Shipman, R. (2025) ‘Vehicle-to-Grid (V2G) research: A decade of progress, achievements, and future directions’, Energies, 18(23), 6148.</w:t>
      </w:r>
    </w:p>
    <w:p w14:paraId="49628F21"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Su, J., Zhang, R., Dehghanian, P., Kapourchali, M. H., Choi, S., &amp; Ding, Z. (2024). Renewable-dominated mobility-as-a-service framework for resilience delivery in hydrogen-accommodated microgrids. International Journal of Electrical Power &amp; Energy Systems, 159, 110047. </w:t>
      </w:r>
      <w:hyperlink r:id="rId24" w:history="1">
        <w:r w:rsidRPr="005E6E4C">
          <w:rPr>
            <w:rStyle w:val="Hyperlink"/>
            <w:rFonts w:ascii="Times New Roman" w:hAnsi="Times New Roman" w:cs="Times New Roman"/>
            <w:color w:val="000000" w:themeColor="text1"/>
          </w:rPr>
          <w:t>https://doi.org/10.1016/j.ijepes.2024.110047</w:t>
        </w:r>
      </w:hyperlink>
      <w:r w:rsidRPr="005E6E4C">
        <w:rPr>
          <w:rFonts w:ascii="Times New Roman" w:hAnsi="Times New Roman" w:cs="Times New Roman"/>
          <w:color w:val="000000" w:themeColor="text1"/>
        </w:rPr>
        <w:t xml:space="preserve"> </w:t>
      </w:r>
    </w:p>
    <w:p w14:paraId="6519BFA6"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Ueckerdt, F. et al. (2021) ‘Risks and opportunities of hydrogen energy systems’, </w:t>
      </w:r>
      <w:r w:rsidRPr="005E6E4C">
        <w:rPr>
          <w:rFonts w:ascii="Times New Roman" w:hAnsi="Times New Roman" w:cs="Times New Roman"/>
          <w:i/>
          <w:iCs/>
          <w:color w:val="000000" w:themeColor="text1"/>
        </w:rPr>
        <w:t>Nature Energy</w:t>
      </w:r>
      <w:r w:rsidRPr="005E6E4C">
        <w:rPr>
          <w:rFonts w:ascii="Times New Roman" w:hAnsi="Times New Roman" w:cs="Times New Roman"/>
          <w:color w:val="000000" w:themeColor="text1"/>
        </w:rPr>
        <w:t>, 6, pp. 384–393.</w:t>
      </w:r>
    </w:p>
    <w:p w14:paraId="27DA3B44" w14:textId="77777777" w:rsidR="004733CC" w:rsidRPr="005E6E4C" w:rsidRDefault="004733CC" w:rsidP="00676F39">
      <w:pPr>
        <w:pStyle w:val="ListParagraph"/>
        <w:numPr>
          <w:ilvl w:val="0"/>
          <w:numId w:val="47"/>
        </w:numPr>
        <w:spacing w:after="0" w:line="240" w:lineRule="auto"/>
        <w:ind w:left="1080"/>
        <w:jc w:val="both"/>
        <w:rPr>
          <w:rFonts w:ascii="Times New Roman" w:eastAsia="Times New Roman" w:hAnsi="Times New Roman" w:cs="Times New Roman"/>
          <w:color w:val="000000" w:themeColor="text1"/>
          <w:kern w:val="0"/>
          <w:lang w:eastAsia="en-GB"/>
          <w14:ligatures w14:val="none"/>
        </w:rPr>
      </w:pPr>
      <w:r w:rsidRPr="005E6E4C">
        <w:rPr>
          <w:rFonts w:ascii="Times New Roman" w:eastAsia="Times New Roman" w:hAnsi="Times New Roman" w:cs="Times New Roman"/>
          <w:color w:val="000000" w:themeColor="text1"/>
          <w:kern w:val="0"/>
          <w:lang w:eastAsia="en-GB"/>
          <w14:ligatures w14:val="none"/>
        </w:rPr>
        <w:t>Wang, Q., Hou, Z., Guo, Y., Huang, L., Fang, Y., Sun, W. and Ge, Y. (2023) ‘Enhancing energy transition through sector coupling: A review of technologies and models’, Energies, 16(13), 5226.</w:t>
      </w:r>
    </w:p>
    <w:p w14:paraId="7A20721F"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Wang, X., Yu, Z., Bian, J., &amp; Yu, J. (2024). Study on multi-timescale operation of hydrogen-containing energy coupled with transportation system. Clean Energy, 8(3), 79–94. </w:t>
      </w:r>
      <w:hyperlink r:id="rId25" w:history="1">
        <w:r w:rsidRPr="005E6E4C">
          <w:rPr>
            <w:rStyle w:val="Hyperlink"/>
            <w:rFonts w:ascii="Times New Roman" w:hAnsi="Times New Roman" w:cs="Times New Roman"/>
            <w:color w:val="000000" w:themeColor="text1"/>
          </w:rPr>
          <w:t>https://doi.org/10.1093/ce/zkae025</w:t>
        </w:r>
      </w:hyperlink>
      <w:r w:rsidRPr="005E6E4C">
        <w:rPr>
          <w:rFonts w:ascii="Times New Roman" w:hAnsi="Times New Roman" w:cs="Times New Roman"/>
          <w:color w:val="000000" w:themeColor="text1"/>
        </w:rPr>
        <w:t xml:space="preserve"> </w:t>
      </w:r>
    </w:p>
    <w:p w14:paraId="49C707F9"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Wen Law, J. et al. (2025) Role of technology flexibility and grid coupling on hydrogen deployment in net-zero systems Environmental Science &amp; Technology </w:t>
      </w:r>
      <w:hyperlink r:id="rId26" w:history="1">
        <w:r w:rsidRPr="005E6E4C">
          <w:rPr>
            <w:rStyle w:val="Hyperlink"/>
            <w:rFonts w:ascii="Times New Roman" w:hAnsi="Times New Roman" w:cs="Times New Roman"/>
          </w:rPr>
          <w:t>https://doi.org/10.1021/acs.est.4c12166</w:t>
        </w:r>
      </w:hyperlink>
    </w:p>
    <w:p w14:paraId="7389A6E8"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Witte, J., Madi, H., Elber, U., Jansohn, P., et al. (2024). Grid-neutral hydrogen mobility: Dynamic modelling and techno-economic assessment of a renewable-powered hydrogen plant. International Journal of Hydrogen Energy, 78, 52–67. </w:t>
      </w:r>
      <w:hyperlink r:id="rId27" w:history="1">
        <w:r w:rsidRPr="005E6E4C">
          <w:rPr>
            <w:rStyle w:val="Hyperlink"/>
            <w:rFonts w:ascii="Times New Roman" w:hAnsi="Times New Roman" w:cs="Times New Roman"/>
            <w:color w:val="000000" w:themeColor="text1"/>
          </w:rPr>
          <w:t>https://doi.org/10.1016/j.ijhydene.2024.05.331</w:t>
        </w:r>
      </w:hyperlink>
      <w:r w:rsidRPr="005E6E4C">
        <w:rPr>
          <w:rFonts w:ascii="Times New Roman" w:hAnsi="Times New Roman" w:cs="Times New Roman"/>
          <w:color w:val="000000" w:themeColor="text1"/>
        </w:rPr>
        <w:t xml:space="preserve"> </w:t>
      </w:r>
    </w:p>
    <w:p w14:paraId="02D50F1E" w14:textId="77777777" w:rsidR="004733CC" w:rsidRPr="005E6E4C" w:rsidRDefault="004733CC" w:rsidP="00676F39">
      <w:pPr>
        <w:pStyle w:val="ListParagraph"/>
        <w:numPr>
          <w:ilvl w:val="0"/>
          <w:numId w:val="47"/>
        </w:numPr>
        <w:spacing w:line="240" w:lineRule="auto"/>
        <w:ind w:left="1080"/>
        <w:jc w:val="both"/>
        <w:rPr>
          <w:rFonts w:ascii="Times New Roman" w:hAnsi="Times New Roman" w:cs="Times New Roman"/>
          <w:color w:val="000000" w:themeColor="text1"/>
        </w:rPr>
      </w:pPr>
      <w:r w:rsidRPr="005E6E4C">
        <w:rPr>
          <w:rFonts w:ascii="Times New Roman" w:hAnsi="Times New Roman" w:cs="Times New Roman"/>
          <w:color w:val="000000" w:themeColor="text1"/>
        </w:rPr>
        <w:t xml:space="preserve">Yan, D., Mashhoodi, B., Kang, L., Sun, H., et al. (2025). Distributed operation of hydrogen integrated microgrids and transportation system considering energy sharing and ancillary service market. IEEE Transactions on Transportation Electrification. </w:t>
      </w:r>
      <w:hyperlink r:id="rId28" w:history="1">
        <w:r w:rsidRPr="005E6E4C">
          <w:rPr>
            <w:rStyle w:val="Hyperlink"/>
            <w:rFonts w:ascii="Times New Roman" w:hAnsi="Times New Roman" w:cs="Times New Roman"/>
            <w:color w:val="000000" w:themeColor="text1"/>
          </w:rPr>
          <w:t>https://doi.org/10.1109/TTE.2025.3606786</w:t>
        </w:r>
      </w:hyperlink>
      <w:r w:rsidRPr="005E6E4C">
        <w:rPr>
          <w:rFonts w:ascii="Times New Roman" w:hAnsi="Times New Roman" w:cs="Times New Roman"/>
          <w:color w:val="000000" w:themeColor="text1"/>
        </w:rPr>
        <w:t xml:space="preserve"> </w:t>
      </w:r>
    </w:p>
    <w:p w14:paraId="42B196B0" w14:textId="77777777" w:rsidR="004733CC" w:rsidRPr="005E6E4C" w:rsidRDefault="004733CC" w:rsidP="00944E2D">
      <w:pPr>
        <w:pStyle w:val="ListParagraph"/>
        <w:numPr>
          <w:ilvl w:val="0"/>
          <w:numId w:val="47"/>
        </w:numPr>
        <w:spacing w:after="0" w:line="240" w:lineRule="auto"/>
        <w:ind w:left="1080"/>
        <w:rPr>
          <w:rFonts w:ascii="Times New Roman" w:eastAsia="Times New Roman" w:hAnsi="Times New Roman" w:cs="Times New Roman"/>
          <w:color w:val="000000" w:themeColor="text1"/>
          <w:kern w:val="0"/>
          <w:lang w:eastAsia="en-GB"/>
          <w14:ligatures w14:val="none"/>
        </w:rPr>
      </w:pPr>
      <w:r w:rsidRPr="005E6E4C">
        <w:rPr>
          <w:rFonts w:ascii="Times New Roman" w:eastAsia="Times New Roman" w:hAnsi="Times New Roman" w:cs="Times New Roman"/>
          <w:color w:val="000000" w:themeColor="text1"/>
          <w:kern w:val="0"/>
          <w:lang w:eastAsia="en-GB"/>
          <w14:ligatures w14:val="none"/>
        </w:rPr>
        <w:t xml:space="preserve">Zhang, Y., et al. (2024). Cooperative economic dispatch of EV-HV coupled electric-hydrogen integrated energy system considering V2G response and carbon </w:t>
      </w:r>
      <w:r w:rsidRPr="005E6E4C">
        <w:rPr>
          <w:rFonts w:ascii="Times New Roman" w:eastAsia="Times New Roman" w:hAnsi="Times New Roman" w:cs="Times New Roman"/>
          <w:color w:val="000000" w:themeColor="text1"/>
          <w:kern w:val="0"/>
          <w:lang w:eastAsia="en-GB"/>
          <w14:ligatures w14:val="none"/>
        </w:rPr>
        <w:lastRenderedPageBreak/>
        <w:t xml:space="preserve">trading. Renewable Energy, 227, 120488. </w:t>
      </w:r>
      <w:hyperlink r:id="rId29" w:history="1">
        <w:r w:rsidRPr="005E6E4C">
          <w:rPr>
            <w:rStyle w:val="Hyperlink"/>
            <w:rFonts w:ascii="Times New Roman" w:eastAsia="Times New Roman" w:hAnsi="Times New Roman" w:cs="Times New Roman"/>
            <w:color w:val="000000" w:themeColor="text1"/>
            <w:kern w:val="0"/>
            <w:lang w:eastAsia="en-GB"/>
            <w14:ligatures w14:val="none"/>
          </w:rPr>
          <w:t>https://doi.org/10.1016/j.renene.2024.120488</w:t>
        </w:r>
      </w:hyperlink>
      <w:r w:rsidRPr="005E6E4C">
        <w:rPr>
          <w:rFonts w:ascii="Times New Roman" w:eastAsia="Times New Roman" w:hAnsi="Times New Roman" w:cs="Times New Roman"/>
          <w:color w:val="000000" w:themeColor="text1"/>
          <w:kern w:val="0"/>
          <w:lang w:eastAsia="en-GB"/>
          <w14:ligatures w14:val="none"/>
        </w:rPr>
        <w:t xml:space="preserve"> </w:t>
      </w:r>
    </w:p>
    <w:sectPr w:rsidR="004733CC" w:rsidRPr="005E6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6AE"/>
    <w:multiLevelType w:val="multilevel"/>
    <w:tmpl w:val="6998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1208"/>
    <w:multiLevelType w:val="multilevel"/>
    <w:tmpl w:val="DCE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C1C57"/>
    <w:multiLevelType w:val="hybridMultilevel"/>
    <w:tmpl w:val="EE1E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50E6E"/>
    <w:multiLevelType w:val="hybridMultilevel"/>
    <w:tmpl w:val="1CD0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03763"/>
    <w:multiLevelType w:val="multilevel"/>
    <w:tmpl w:val="26B2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E18AF"/>
    <w:multiLevelType w:val="multilevel"/>
    <w:tmpl w:val="34FA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C7339"/>
    <w:multiLevelType w:val="multilevel"/>
    <w:tmpl w:val="4C20E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F5BDD"/>
    <w:multiLevelType w:val="multilevel"/>
    <w:tmpl w:val="0880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A4B43"/>
    <w:multiLevelType w:val="hybridMultilevel"/>
    <w:tmpl w:val="FB08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E0A05"/>
    <w:multiLevelType w:val="multilevel"/>
    <w:tmpl w:val="3842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ED0174"/>
    <w:multiLevelType w:val="multilevel"/>
    <w:tmpl w:val="C8EC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8235B"/>
    <w:multiLevelType w:val="multilevel"/>
    <w:tmpl w:val="286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17797"/>
    <w:multiLevelType w:val="multilevel"/>
    <w:tmpl w:val="7B7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A038DC"/>
    <w:multiLevelType w:val="hybridMultilevel"/>
    <w:tmpl w:val="AAF0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15036"/>
    <w:multiLevelType w:val="multilevel"/>
    <w:tmpl w:val="DF9E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D3BF0"/>
    <w:multiLevelType w:val="multilevel"/>
    <w:tmpl w:val="48E6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44D9B"/>
    <w:multiLevelType w:val="multilevel"/>
    <w:tmpl w:val="1350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047FA"/>
    <w:multiLevelType w:val="multilevel"/>
    <w:tmpl w:val="116C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6B4252"/>
    <w:multiLevelType w:val="hybridMultilevel"/>
    <w:tmpl w:val="7294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27F18"/>
    <w:multiLevelType w:val="multilevel"/>
    <w:tmpl w:val="FF3EA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7762A"/>
    <w:multiLevelType w:val="multilevel"/>
    <w:tmpl w:val="D65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F08C2"/>
    <w:multiLevelType w:val="multilevel"/>
    <w:tmpl w:val="4FCE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5C282F"/>
    <w:multiLevelType w:val="multilevel"/>
    <w:tmpl w:val="A280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964915"/>
    <w:multiLevelType w:val="multilevel"/>
    <w:tmpl w:val="CCDA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CC41B8"/>
    <w:multiLevelType w:val="multilevel"/>
    <w:tmpl w:val="ECF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1D2491"/>
    <w:multiLevelType w:val="hybridMultilevel"/>
    <w:tmpl w:val="3A982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6D35B8"/>
    <w:multiLevelType w:val="multilevel"/>
    <w:tmpl w:val="398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41DE9"/>
    <w:multiLevelType w:val="multilevel"/>
    <w:tmpl w:val="6634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A3F95"/>
    <w:multiLevelType w:val="multilevel"/>
    <w:tmpl w:val="E48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634285"/>
    <w:multiLevelType w:val="multilevel"/>
    <w:tmpl w:val="747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873672"/>
    <w:multiLevelType w:val="multilevel"/>
    <w:tmpl w:val="E95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A401A9"/>
    <w:multiLevelType w:val="multilevel"/>
    <w:tmpl w:val="9F50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6417A"/>
    <w:multiLevelType w:val="multilevel"/>
    <w:tmpl w:val="3274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41768"/>
    <w:multiLevelType w:val="multilevel"/>
    <w:tmpl w:val="3668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8B32B3"/>
    <w:multiLevelType w:val="multilevel"/>
    <w:tmpl w:val="5C06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8502F"/>
    <w:multiLevelType w:val="multilevel"/>
    <w:tmpl w:val="BDD2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14BDE"/>
    <w:multiLevelType w:val="multilevel"/>
    <w:tmpl w:val="B2BC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F66D7D"/>
    <w:multiLevelType w:val="multilevel"/>
    <w:tmpl w:val="69E04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301BE7"/>
    <w:multiLevelType w:val="multilevel"/>
    <w:tmpl w:val="3C1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CD3727"/>
    <w:multiLevelType w:val="hybridMultilevel"/>
    <w:tmpl w:val="E2DE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6315BA"/>
    <w:multiLevelType w:val="multilevel"/>
    <w:tmpl w:val="6726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D85A7F"/>
    <w:multiLevelType w:val="multilevel"/>
    <w:tmpl w:val="024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5D4005"/>
    <w:multiLevelType w:val="multilevel"/>
    <w:tmpl w:val="90D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FC229E"/>
    <w:multiLevelType w:val="multilevel"/>
    <w:tmpl w:val="66B2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15246D"/>
    <w:multiLevelType w:val="hybridMultilevel"/>
    <w:tmpl w:val="1794D302"/>
    <w:lvl w:ilvl="0" w:tplc="95F2130E">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110A1D"/>
    <w:multiLevelType w:val="multilevel"/>
    <w:tmpl w:val="5B78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63552D"/>
    <w:multiLevelType w:val="multilevel"/>
    <w:tmpl w:val="A8A42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5015D2"/>
    <w:multiLevelType w:val="multilevel"/>
    <w:tmpl w:val="BEF6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8522A4"/>
    <w:multiLevelType w:val="multilevel"/>
    <w:tmpl w:val="2774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B0379D1"/>
    <w:multiLevelType w:val="multilevel"/>
    <w:tmpl w:val="16FC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B8786B"/>
    <w:multiLevelType w:val="multilevel"/>
    <w:tmpl w:val="DA24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C42AE0"/>
    <w:multiLevelType w:val="multilevel"/>
    <w:tmpl w:val="FFD6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1672DD"/>
    <w:multiLevelType w:val="multilevel"/>
    <w:tmpl w:val="A7F2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4F664B"/>
    <w:multiLevelType w:val="multilevel"/>
    <w:tmpl w:val="37E0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398596">
    <w:abstractNumId w:val="38"/>
  </w:num>
  <w:num w:numId="2" w16cid:durableId="2049335807">
    <w:abstractNumId w:val="42"/>
  </w:num>
  <w:num w:numId="3" w16cid:durableId="1876699069">
    <w:abstractNumId w:val="53"/>
  </w:num>
  <w:num w:numId="4" w16cid:durableId="41562755">
    <w:abstractNumId w:val="46"/>
  </w:num>
  <w:num w:numId="5" w16cid:durableId="2047679879">
    <w:abstractNumId w:val="22"/>
  </w:num>
  <w:num w:numId="6" w16cid:durableId="1369330698">
    <w:abstractNumId w:val="49"/>
  </w:num>
  <w:num w:numId="7" w16cid:durableId="150488657">
    <w:abstractNumId w:val="17"/>
  </w:num>
  <w:num w:numId="8" w16cid:durableId="900947821">
    <w:abstractNumId w:val="45"/>
  </w:num>
  <w:num w:numId="9" w16cid:durableId="1953781773">
    <w:abstractNumId w:val="35"/>
  </w:num>
  <w:num w:numId="10" w16cid:durableId="1538082331">
    <w:abstractNumId w:val="5"/>
  </w:num>
  <w:num w:numId="11" w16cid:durableId="1848445778">
    <w:abstractNumId w:val="4"/>
  </w:num>
  <w:num w:numId="12" w16cid:durableId="867254874">
    <w:abstractNumId w:val="26"/>
  </w:num>
  <w:num w:numId="13" w16cid:durableId="544292453">
    <w:abstractNumId w:val="9"/>
  </w:num>
  <w:num w:numId="14" w16cid:durableId="618024355">
    <w:abstractNumId w:val="43"/>
  </w:num>
  <w:num w:numId="15" w16cid:durableId="656110545">
    <w:abstractNumId w:val="32"/>
  </w:num>
  <w:num w:numId="16" w16cid:durableId="1627079343">
    <w:abstractNumId w:val="1"/>
  </w:num>
  <w:num w:numId="17" w16cid:durableId="811364354">
    <w:abstractNumId w:val="14"/>
  </w:num>
  <w:num w:numId="18" w16cid:durableId="467432098">
    <w:abstractNumId w:val="28"/>
  </w:num>
  <w:num w:numId="19" w16cid:durableId="907615207">
    <w:abstractNumId w:val="16"/>
  </w:num>
  <w:num w:numId="20" w16cid:durableId="1065226653">
    <w:abstractNumId w:val="21"/>
  </w:num>
  <w:num w:numId="21" w16cid:durableId="1208689846">
    <w:abstractNumId w:val="0"/>
  </w:num>
  <w:num w:numId="22" w16cid:durableId="1033337198">
    <w:abstractNumId w:val="48"/>
  </w:num>
  <w:num w:numId="23" w16cid:durableId="1053120251">
    <w:abstractNumId w:val="15"/>
  </w:num>
  <w:num w:numId="24" w16cid:durableId="1576161459">
    <w:abstractNumId w:val="6"/>
  </w:num>
  <w:num w:numId="25" w16cid:durableId="474682154">
    <w:abstractNumId w:val="33"/>
  </w:num>
  <w:num w:numId="26" w16cid:durableId="1560894901">
    <w:abstractNumId w:val="41"/>
  </w:num>
  <w:num w:numId="27" w16cid:durableId="1911307771">
    <w:abstractNumId w:val="47"/>
  </w:num>
  <w:num w:numId="28" w16cid:durableId="497574987">
    <w:abstractNumId w:val="11"/>
  </w:num>
  <w:num w:numId="29" w16cid:durableId="1994917580">
    <w:abstractNumId w:val="20"/>
  </w:num>
  <w:num w:numId="30" w16cid:durableId="593973633">
    <w:abstractNumId w:val="24"/>
  </w:num>
  <w:num w:numId="31" w16cid:durableId="1180660253">
    <w:abstractNumId w:val="23"/>
  </w:num>
  <w:num w:numId="32" w16cid:durableId="1210920754">
    <w:abstractNumId w:val="30"/>
  </w:num>
  <w:num w:numId="33" w16cid:durableId="1946771340">
    <w:abstractNumId w:val="36"/>
  </w:num>
  <w:num w:numId="34" w16cid:durableId="1904482363">
    <w:abstractNumId w:val="40"/>
  </w:num>
  <w:num w:numId="35" w16cid:durableId="1834487969">
    <w:abstractNumId w:val="12"/>
  </w:num>
  <w:num w:numId="36" w16cid:durableId="42292600">
    <w:abstractNumId w:val="7"/>
  </w:num>
  <w:num w:numId="37" w16cid:durableId="962155523">
    <w:abstractNumId w:val="13"/>
  </w:num>
  <w:num w:numId="38" w16cid:durableId="1505508925">
    <w:abstractNumId w:val="34"/>
  </w:num>
  <w:num w:numId="39" w16cid:durableId="926963491">
    <w:abstractNumId w:val="50"/>
  </w:num>
  <w:num w:numId="40" w16cid:durableId="647903445">
    <w:abstractNumId w:val="10"/>
  </w:num>
  <w:num w:numId="41" w16cid:durableId="2134055323">
    <w:abstractNumId w:val="51"/>
  </w:num>
  <w:num w:numId="42" w16cid:durableId="808978093">
    <w:abstractNumId w:val="27"/>
  </w:num>
  <w:num w:numId="43" w16cid:durableId="1655913312">
    <w:abstractNumId w:val="2"/>
  </w:num>
  <w:num w:numId="44" w16cid:durableId="1418211687">
    <w:abstractNumId w:val="3"/>
  </w:num>
  <w:num w:numId="45" w16cid:durableId="647591418">
    <w:abstractNumId w:val="25"/>
  </w:num>
  <w:num w:numId="46" w16cid:durableId="567763957">
    <w:abstractNumId w:val="29"/>
  </w:num>
  <w:num w:numId="47" w16cid:durableId="1764297504">
    <w:abstractNumId w:val="44"/>
  </w:num>
  <w:num w:numId="48" w16cid:durableId="1878664257">
    <w:abstractNumId w:val="31"/>
  </w:num>
  <w:num w:numId="49" w16cid:durableId="1240745990">
    <w:abstractNumId w:val="37"/>
  </w:num>
  <w:num w:numId="50" w16cid:durableId="240332046">
    <w:abstractNumId w:val="18"/>
  </w:num>
  <w:num w:numId="51" w16cid:durableId="44110547">
    <w:abstractNumId w:val="39"/>
  </w:num>
  <w:num w:numId="52" w16cid:durableId="454445631">
    <w:abstractNumId w:val="19"/>
  </w:num>
  <w:num w:numId="53" w16cid:durableId="1730811378">
    <w:abstractNumId w:val="8"/>
  </w:num>
  <w:num w:numId="54" w16cid:durableId="1449622825">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CF"/>
    <w:rsid w:val="00005BED"/>
    <w:rsid w:val="00015F61"/>
    <w:rsid w:val="00016330"/>
    <w:rsid w:val="00017112"/>
    <w:rsid w:val="00021347"/>
    <w:rsid w:val="000248C4"/>
    <w:rsid w:val="00027B3A"/>
    <w:rsid w:val="00031010"/>
    <w:rsid w:val="00031C20"/>
    <w:rsid w:val="00032CF5"/>
    <w:rsid w:val="0004114E"/>
    <w:rsid w:val="00044BC0"/>
    <w:rsid w:val="0004601F"/>
    <w:rsid w:val="00047430"/>
    <w:rsid w:val="000475BC"/>
    <w:rsid w:val="00047A61"/>
    <w:rsid w:val="000562BD"/>
    <w:rsid w:val="000579A3"/>
    <w:rsid w:val="0006043C"/>
    <w:rsid w:val="00070064"/>
    <w:rsid w:val="00072B2B"/>
    <w:rsid w:val="00073BD4"/>
    <w:rsid w:val="0007445B"/>
    <w:rsid w:val="00080E77"/>
    <w:rsid w:val="000909F8"/>
    <w:rsid w:val="000A6F77"/>
    <w:rsid w:val="000B3695"/>
    <w:rsid w:val="000B629D"/>
    <w:rsid w:val="000C47DE"/>
    <w:rsid w:val="000C7EE1"/>
    <w:rsid w:val="000D06B4"/>
    <w:rsid w:val="000D6CEE"/>
    <w:rsid w:val="000E5D45"/>
    <w:rsid w:val="000F2196"/>
    <w:rsid w:val="000F3BCB"/>
    <w:rsid w:val="000F46E2"/>
    <w:rsid w:val="000F566E"/>
    <w:rsid w:val="000F6C33"/>
    <w:rsid w:val="00100E57"/>
    <w:rsid w:val="0010206C"/>
    <w:rsid w:val="00105FD6"/>
    <w:rsid w:val="0011271C"/>
    <w:rsid w:val="001153A3"/>
    <w:rsid w:val="0011792C"/>
    <w:rsid w:val="00121628"/>
    <w:rsid w:val="001249BD"/>
    <w:rsid w:val="0013119A"/>
    <w:rsid w:val="00135B9D"/>
    <w:rsid w:val="0013687A"/>
    <w:rsid w:val="00137E3E"/>
    <w:rsid w:val="00140F9B"/>
    <w:rsid w:val="00143F97"/>
    <w:rsid w:val="00145885"/>
    <w:rsid w:val="00161C34"/>
    <w:rsid w:val="00162992"/>
    <w:rsid w:val="00162F4D"/>
    <w:rsid w:val="001726B2"/>
    <w:rsid w:val="00174E98"/>
    <w:rsid w:val="00174F4A"/>
    <w:rsid w:val="00176848"/>
    <w:rsid w:val="0019415B"/>
    <w:rsid w:val="00194B9F"/>
    <w:rsid w:val="00195C6E"/>
    <w:rsid w:val="001A243A"/>
    <w:rsid w:val="001B0CC6"/>
    <w:rsid w:val="001B1857"/>
    <w:rsid w:val="001C3562"/>
    <w:rsid w:val="001D40FF"/>
    <w:rsid w:val="001D6DF7"/>
    <w:rsid w:val="001D7CFC"/>
    <w:rsid w:val="001E13FA"/>
    <w:rsid w:val="001E30AD"/>
    <w:rsid w:val="001E3A89"/>
    <w:rsid w:val="001F14BB"/>
    <w:rsid w:val="001F54BE"/>
    <w:rsid w:val="001F653D"/>
    <w:rsid w:val="0020117C"/>
    <w:rsid w:val="00203ADD"/>
    <w:rsid w:val="00203D82"/>
    <w:rsid w:val="002077AC"/>
    <w:rsid w:val="002123E6"/>
    <w:rsid w:val="0021304E"/>
    <w:rsid w:val="00220688"/>
    <w:rsid w:val="00224637"/>
    <w:rsid w:val="00224E4D"/>
    <w:rsid w:val="00226543"/>
    <w:rsid w:val="00227E5A"/>
    <w:rsid w:val="00236663"/>
    <w:rsid w:val="00240F5A"/>
    <w:rsid w:val="00243DFD"/>
    <w:rsid w:val="002450B7"/>
    <w:rsid w:val="00260D10"/>
    <w:rsid w:val="002624EA"/>
    <w:rsid w:val="002663A1"/>
    <w:rsid w:val="00270846"/>
    <w:rsid w:val="00271ABE"/>
    <w:rsid w:val="00271BC1"/>
    <w:rsid w:val="002801B1"/>
    <w:rsid w:val="002806A6"/>
    <w:rsid w:val="00284991"/>
    <w:rsid w:val="00285DB4"/>
    <w:rsid w:val="00287C3F"/>
    <w:rsid w:val="0029466C"/>
    <w:rsid w:val="00294AA0"/>
    <w:rsid w:val="002A1533"/>
    <w:rsid w:val="002A19B9"/>
    <w:rsid w:val="002A2B18"/>
    <w:rsid w:val="002A4979"/>
    <w:rsid w:val="002A5E46"/>
    <w:rsid w:val="002B28B3"/>
    <w:rsid w:val="002B4EA5"/>
    <w:rsid w:val="002C55BB"/>
    <w:rsid w:val="002D3953"/>
    <w:rsid w:val="002D520D"/>
    <w:rsid w:val="002D7FB0"/>
    <w:rsid w:val="002E1166"/>
    <w:rsid w:val="002E20E8"/>
    <w:rsid w:val="002E4F90"/>
    <w:rsid w:val="002F1D6A"/>
    <w:rsid w:val="002F2AF9"/>
    <w:rsid w:val="002F405D"/>
    <w:rsid w:val="002F586E"/>
    <w:rsid w:val="00303C67"/>
    <w:rsid w:val="00303DB3"/>
    <w:rsid w:val="00303E55"/>
    <w:rsid w:val="00303F34"/>
    <w:rsid w:val="003048AA"/>
    <w:rsid w:val="003123F9"/>
    <w:rsid w:val="0031523B"/>
    <w:rsid w:val="00320459"/>
    <w:rsid w:val="0032077A"/>
    <w:rsid w:val="00321929"/>
    <w:rsid w:val="00325F80"/>
    <w:rsid w:val="00330E9D"/>
    <w:rsid w:val="00336F0E"/>
    <w:rsid w:val="00340A5D"/>
    <w:rsid w:val="00342E32"/>
    <w:rsid w:val="003543CE"/>
    <w:rsid w:val="003634C4"/>
    <w:rsid w:val="0036635A"/>
    <w:rsid w:val="003711DD"/>
    <w:rsid w:val="00372E57"/>
    <w:rsid w:val="00375239"/>
    <w:rsid w:val="00375AAF"/>
    <w:rsid w:val="00383A8C"/>
    <w:rsid w:val="003879B8"/>
    <w:rsid w:val="00391C3F"/>
    <w:rsid w:val="0039584E"/>
    <w:rsid w:val="003A5622"/>
    <w:rsid w:val="003A6AEB"/>
    <w:rsid w:val="003B0788"/>
    <w:rsid w:val="003B0FF8"/>
    <w:rsid w:val="003B2AC3"/>
    <w:rsid w:val="003C05C8"/>
    <w:rsid w:val="003C6130"/>
    <w:rsid w:val="003C618D"/>
    <w:rsid w:val="003D2693"/>
    <w:rsid w:val="003E031C"/>
    <w:rsid w:val="003E29EE"/>
    <w:rsid w:val="003E303D"/>
    <w:rsid w:val="003E576F"/>
    <w:rsid w:val="003E5DD9"/>
    <w:rsid w:val="003E63D0"/>
    <w:rsid w:val="003F65A8"/>
    <w:rsid w:val="00401DAB"/>
    <w:rsid w:val="00404963"/>
    <w:rsid w:val="004128A2"/>
    <w:rsid w:val="0042215D"/>
    <w:rsid w:val="00422D92"/>
    <w:rsid w:val="00422EA4"/>
    <w:rsid w:val="00424223"/>
    <w:rsid w:val="00433CD2"/>
    <w:rsid w:val="0043406C"/>
    <w:rsid w:val="00436990"/>
    <w:rsid w:val="004400CC"/>
    <w:rsid w:val="00442327"/>
    <w:rsid w:val="004545C4"/>
    <w:rsid w:val="0045730D"/>
    <w:rsid w:val="00460715"/>
    <w:rsid w:val="00465736"/>
    <w:rsid w:val="004733CC"/>
    <w:rsid w:val="004735D0"/>
    <w:rsid w:val="004757C2"/>
    <w:rsid w:val="00480A3C"/>
    <w:rsid w:val="004827F0"/>
    <w:rsid w:val="00486EE0"/>
    <w:rsid w:val="0048789D"/>
    <w:rsid w:val="00493444"/>
    <w:rsid w:val="0049453C"/>
    <w:rsid w:val="004A1F31"/>
    <w:rsid w:val="004A4DAA"/>
    <w:rsid w:val="004B0B05"/>
    <w:rsid w:val="004B2E6E"/>
    <w:rsid w:val="004C0291"/>
    <w:rsid w:val="004C2711"/>
    <w:rsid w:val="004C57BE"/>
    <w:rsid w:val="004C768B"/>
    <w:rsid w:val="004D27C7"/>
    <w:rsid w:val="004E33F3"/>
    <w:rsid w:val="004E5B01"/>
    <w:rsid w:val="0050072A"/>
    <w:rsid w:val="00514DDA"/>
    <w:rsid w:val="00520A1D"/>
    <w:rsid w:val="0052342E"/>
    <w:rsid w:val="005234A8"/>
    <w:rsid w:val="005409D6"/>
    <w:rsid w:val="00551759"/>
    <w:rsid w:val="00554BB5"/>
    <w:rsid w:val="005724EC"/>
    <w:rsid w:val="0057699C"/>
    <w:rsid w:val="00580AB8"/>
    <w:rsid w:val="0058118F"/>
    <w:rsid w:val="00582008"/>
    <w:rsid w:val="00583B12"/>
    <w:rsid w:val="00583C7F"/>
    <w:rsid w:val="005861C1"/>
    <w:rsid w:val="005867A5"/>
    <w:rsid w:val="00592C8B"/>
    <w:rsid w:val="005939B6"/>
    <w:rsid w:val="005A1479"/>
    <w:rsid w:val="005A27D0"/>
    <w:rsid w:val="005B0C71"/>
    <w:rsid w:val="005B1899"/>
    <w:rsid w:val="005B18C7"/>
    <w:rsid w:val="005B5C6B"/>
    <w:rsid w:val="005D406C"/>
    <w:rsid w:val="005D5834"/>
    <w:rsid w:val="005E0585"/>
    <w:rsid w:val="005E0D21"/>
    <w:rsid w:val="005E157C"/>
    <w:rsid w:val="005E4468"/>
    <w:rsid w:val="005E59F4"/>
    <w:rsid w:val="005E6E4C"/>
    <w:rsid w:val="006012D5"/>
    <w:rsid w:val="00602592"/>
    <w:rsid w:val="006047BC"/>
    <w:rsid w:val="00606521"/>
    <w:rsid w:val="00615E6B"/>
    <w:rsid w:val="0061760D"/>
    <w:rsid w:val="00621C0C"/>
    <w:rsid w:val="00622772"/>
    <w:rsid w:val="00624E88"/>
    <w:rsid w:val="00625A60"/>
    <w:rsid w:val="00635A99"/>
    <w:rsid w:val="006377D0"/>
    <w:rsid w:val="006379A7"/>
    <w:rsid w:val="00640F0C"/>
    <w:rsid w:val="00647A5A"/>
    <w:rsid w:val="00650497"/>
    <w:rsid w:val="00650D54"/>
    <w:rsid w:val="00652BCA"/>
    <w:rsid w:val="00662E32"/>
    <w:rsid w:val="00664561"/>
    <w:rsid w:val="006673EB"/>
    <w:rsid w:val="006727B0"/>
    <w:rsid w:val="00676F39"/>
    <w:rsid w:val="006940F0"/>
    <w:rsid w:val="0069557B"/>
    <w:rsid w:val="006962F0"/>
    <w:rsid w:val="006A088E"/>
    <w:rsid w:val="006A2B43"/>
    <w:rsid w:val="006B1B5C"/>
    <w:rsid w:val="006C336F"/>
    <w:rsid w:val="006D118B"/>
    <w:rsid w:val="006D18F2"/>
    <w:rsid w:val="006E1259"/>
    <w:rsid w:val="006E7A62"/>
    <w:rsid w:val="006F5EF0"/>
    <w:rsid w:val="006F6CD6"/>
    <w:rsid w:val="00700A61"/>
    <w:rsid w:val="007048C9"/>
    <w:rsid w:val="00713134"/>
    <w:rsid w:val="00714DA9"/>
    <w:rsid w:val="0072093B"/>
    <w:rsid w:val="00722C19"/>
    <w:rsid w:val="0074141B"/>
    <w:rsid w:val="00741A95"/>
    <w:rsid w:val="007421A3"/>
    <w:rsid w:val="007434D3"/>
    <w:rsid w:val="0074704B"/>
    <w:rsid w:val="00747B56"/>
    <w:rsid w:val="0075254C"/>
    <w:rsid w:val="007529B6"/>
    <w:rsid w:val="007575B8"/>
    <w:rsid w:val="00761A43"/>
    <w:rsid w:val="00764756"/>
    <w:rsid w:val="00767BE9"/>
    <w:rsid w:val="00770F38"/>
    <w:rsid w:val="0077201F"/>
    <w:rsid w:val="00773DDA"/>
    <w:rsid w:val="00781E64"/>
    <w:rsid w:val="0078336C"/>
    <w:rsid w:val="007863BB"/>
    <w:rsid w:val="0079036C"/>
    <w:rsid w:val="0079566B"/>
    <w:rsid w:val="00796726"/>
    <w:rsid w:val="00797B99"/>
    <w:rsid w:val="007A64D1"/>
    <w:rsid w:val="007A738F"/>
    <w:rsid w:val="007B3F02"/>
    <w:rsid w:val="007B5AEA"/>
    <w:rsid w:val="007C05C6"/>
    <w:rsid w:val="007C0CC5"/>
    <w:rsid w:val="007C37C3"/>
    <w:rsid w:val="007C71BA"/>
    <w:rsid w:val="007D05C8"/>
    <w:rsid w:val="007D0D55"/>
    <w:rsid w:val="007D61AD"/>
    <w:rsid w:val="007D76CD"/>
    <w:rsid w:val="007E014E"/>
    <w:rsid w:val="007E39CE"/>
    <w:rsid w:val="007F0E77"/>
    <w:rsid w:val="007F2BF0"/>
    <w:rsid w:val="007F7BBE"/>
    <w:rsid w:val="00802E99"/>
    <w:rsid w:val="00804387"/>
    <w:rsid w:val="00805534"/>
    <w:rsid w:val="00810F1F"/>
    <w:rsid w:val="0081290D"/>
    <w:rsid w:val="00816285"/>
    <w:rsid w:val="00822652"/>
    <w:rsid w:val="00822DB0"/>
    <w:rsid w:val="00823292"/>
    <w:rsid w:val="00824630"/>
    <w:rsid w:val="00827730"/>
    <w:rsid w:val="00834877"/>
    <w:rsid w:val="008379F3"/>
    <w:rsid w:val="00840882"/>
    <w:rsid w:val="00842700"/>
    <w:rsid w:val="00847391"/>
    <w:rsid w:val="0085138A"/>
    <w:rsid w:val="00856F34"/>
    <w:rsid w:val="0086155C"/>
    <w:rsid w:val="00861755"/>
    <w:rsid w:val="00861BE5"/>
    <w:rsid w:val="00863790"/>
    <w:rsid w:val="00873F2D"/>
    <w:rsid w:val="008804CF"/>
    <w:rsid w:val="00880D83"/>
    <w:rsid w:val="00890666"/>
    <w:rsid w:val="00890DDC"/>
    <w:rsid w:val="00893B70"/>
    <w:rsid w:val="00894E2D"/>
    <w:rsid w:val="008A1DCF"/>
    <w:rsid w:val="008A4D2B"/>
    <w:rsid w:val="008A64F7"/>
    <w:rsid w:val="008A6DCC"/>
    <w:rsid w:val="008B3B9A"/>
    <w:rsid w:val="008B78D7"/>
    <w:rsid w:val="008C20AE"/>
    <w:rsid w:val="008C21D3"/>
    <w:rsid w:val="008C2E9B"/>
    <w:rsid w:val="008D35CA"/>
    <w:rsid w:val="008E25C0"/>
    <w:rsid w:val="008E4D46"/>
    <w:rsid w:val="008F17E9"/>
    <w:rsid w:val="008F1B78"/>
    <w:rsid w:val="008F4570"/>
    <w:rsid w:val="008F7315"/>
    <w:rsid w:val="00910D26"/>
    <w:rsid w:val="00910F49"/>
    <w:rsid w:val="00914625"/>
    <w:rsid w:val="00914F3D"/>
    <w:rsid w:val="00916A16"/>
    <w:rsid w:val="00921CF6"/>
    <w:rsid w:val="009260A5"/>
    <w:rsid w:val="009261F3"/>
    <w:rsid w:val="00933121"/>
    <w:rsid w:val="00933335"/>
    <w:rsid w:val="00935867"/>
    <w:rsid w:val="00936F75"/>
    <w:rsid w:val="0093781F"/>
    <w:rsid w:val="009435D4"/>
    <w:rsid w:val="00944E2D"/>
    <w:rsid w:val="0094659D"/>
    <w:rsid w:val="009535F9"/>
    <w:rsid w:val="00960B2A"/>
    <w:rsid w:val="009623DA"/>
    <w:rsid w:val="009648EE"/>
    <w:rsid w:val="00966258"/>
    <w:rsid w:val="00972A5A"/>
    <w:rsid w:val="00973CA6"/>
    <w:rsid w:val="00976DAE"/>
    <w:rsid w:val="0098026F"/>
    <w:rsid w:val="00982EA0"/>
    <w:rsid w:val="00983BBE"/>
    <w:rsid w:val="00991C7F"/>
    <w:rsid w:val="009961FA"/>
    <w:rsid w:val="00996EE2"/>
    <w:rsid w:val="009B21A3"/>
    <w:rsid w:val="009C0BA4"/>
    <w:rsid w:val="009C27A2"/>
    <w:rsid w:val="009C3316"/>
    <w:rsid w:val="009D0226"/>
    <w:rsid w:val="009D5700"/>
    <w:rsid w:val="009D7770"/>
    <w:rsid w:val="009E2A4B"/>
    <w:rsid w:val="009E56D9"/>
    <w:rsid w:val="009F32A1"/>
    <w:rsid w:val="009F36AA"/>
    <w:rsid w:val="009F5181"/>
    <w:rsid w:val="00A062E9"/>
    <w:rsid w:val="00A06E28"/>
    <w:rsid w:val="00A07985"/>
    <w:rsid w:val="00A07B4A"/>
    <w:rsid w:val="00A12955"/>
    <w:rsid w:val="00A146EC"/>
    <w:rsid w:val="00A20ECD"/>
    <w:rsid w:val="00A22111"/>
    <w:rsid w:val="00A26622"/>
    <w:rsid w:val="00A32EB3"/>
    <w:rsid w:val="00A36F0E"/>
    <w:rsid w:val="00A43B34"/>
    <w:rsid w:val="00A45CC6"/>
    <w:rsid w:val="00A45FAD"/>
    <w:rsid w:val="00A46F60"/>
    <w:rsid w:val="00A502A5"/>
    <w:rsid w:val="00A56CFF"/>
    <w:rsid w:val="00A60EBB"/>
    <w:rsid w:val="00A65D44"/>
    <w:rsid w:val="00A70B2C"/>
    <w:rsid w:val="00A731A1"/>
    <w:rsid w:val="00A77732"/>
    <w:rsid w:val="00A77CEC"/>
    <w:rsid w:val="00A848DF"/>
    <w:rsid w:val="00A92922"/>
    <w:rsid w:val="00A940DC"/>
    <w:rsid w:val="00A960D1"/>
    <w:rsid w:val="00A97F59"/>
    <w:rsid w:val="00AA1DAB"/>
    <w:rsid w:val="00AA449B"/>
    <w:rsid w:val="00AA4DC8"/>
    <w:rsid w:val="00AA5945"/>
    <w:rsid w:val="00AA5D2E"/>
    <w:rsid w:val="00AB247B"/>
    <w:rsid w:val="00AB2E85"/>
    <w:rsid w:val="00AB3EDA"/>
    <w:rsid w:val="00AB43D7"/>
    <w:rsid w:val="00AB56FF"/>
    <w:rsid w:val="00AB66A2"/>
    <w:rsid w:val="00AC30C8"/>
    <w:rsid w:val="00AC593D"/>
    <w:rsid w:val="00AD2B73"/>
    <w:rsid w:val="00AD3148"/>
    <w:rsid w:val="00AE5CE5"/>
    <w:rsid w:val="00AE6047"/>
    <w:rsid w:val="00B011A8"/>
    <w:rsid w:val="00B02742"/>
    <w:rsid w:val="00B06848"/>
    <w:rsid w:val="00B12014"/>
    <w:rsid w:val="00B16A40"/>
    <w:rsid w:val="00B177D4"/>
    <w:rsid w:val="00B266A8"/>
    <w:rsid w:val="00B3044B"/>
    <w:rsid w:val="00B31E81"/>
    <w:rsid w:val="00B3304F"/>
    <w:rsid w:val="00B33491"/>
    <w:rsid w:val="00B40066"/>
    <w:rsid w:val="00B41479"/>
    <w:rsid w:val="00B41FA5"/>
    <w:rsid w:val="00B429C0"/>
    <w:rsid w:val="00B5084D"/>
    <w:rsid w:val="00B51BE1"/>
    <w:rsid w:val="00B533F2"/>
    <w:rsid w:val="00B55A14"/>
    <w:rsid w:val="00B61FD9"/>
    <w:rsid w:val="00B64235"/>
    <w:rsid w:val="00B65447"/>
    <w:rsid w:val="00B74695"/>
    <w:rsid w:val="00B80D53"/>
    <w:rsid w:val="00B81955"/>
    <w:rsid w:val="00B86287"/>
    <w:rsid w:val="00B87B95"/>
    <w:rsid w:val="00B928CF"/>
    <w:rsid w:val="00B92D5B"/>
    <w:rsid w:val="00BA2C5E"/>
    <w:rsid w:val="00BA6059"/>
    <w:rsid w:val="00BB0158"/>
    <w:rsid w:val="00BB2F95"/>
    <w:rsid w:val="00BC176B"/>
    <w:rsid w:val="00BD473D"/>
    <w:rsid w:val="00BD4766"/>
    <w:rsid w:val="00BD7017"/>
    <w:rsid w:val="00BE1304"/>
    <w:rsid w:val="00BE4F37"/>
    <w:rsid w:val="00BE633C"/>
    <w:rsid w:val="00BF29CD"/>
    <w:rsid w:val="00BF7FE8"/>
    <w:rsid w:val="00C01CE8"/>
    <w:rsid w:val="00C0376E"/>
    <w:rsid w:val="00C04B6C"/>
    <w:rsid w:val="00C05389"/>
    <w:rsid w:val="00C11972"/>
    <w:rsid w:val="00C17A94"/>
    <w:rsid w:val="00C2128B"/>
    <w:rsid w:val="00C348D9"/>
    <w:rsid w:val="00C43595"/>
    <w:rsid w:val="00C437C8"/>
    <w:rsid w:val="00C47148"/>
    <w:rsid w:val="00C50C35"/>
    <w:rsid w:val="00C54EC1"/>
    <w:rsid w:val="00C558D0"/>
    <w:rsid w:val="00C565E4"/>
    <w:rsid w:val="00C572AA"/>
    <w:rsid w:val="00C65BCF"/>
    <w:rsid w:val="00C72709"/>
    <w:rsid w:val="00C73F5B"/>
    <w:rsid w:val="00C75FC4"/>
    <w:rsid w:val="00C81C24"/>
    <w:rsid w:val="00C83E41"/>
    <w:rsid w:val="00C91D8C"/>
    <w:rsid w:val="00C93C6E"/>
    <w:rsid w:val="00C96EE6"/>
    <w:rsid w:val="00CA40E1"/>
    <w:rsid w:val="00CB0625"/>
    <w:rsid w:val="00CB19D2"/>
    <w:rsid w:val="00CC009B"/>
    <w:rsid w:val="00CC02D4"/>
    <w:rsid w:val="00CC10ED"/>
    <w:rsid w:val="00CC1BC7"/>
    <w:rsid w:val="00CC2F2B"/>
    <w:rsid w:val="00CC2FA4"/>
    <w:rsid w:val="00CC43DE"/>
    <w:rsid w:val="00CC73D3"/>
    <w:rsid w:val="00CD3498"/>
    <w:rsid w:val="00CD52AC"/>
    <w:rsid w:val="00CD6D7E"/>
    <w:rsid w:val="00CD7198"/>
    <w:rsid w:val="00CE6F59"/>
    <w:rsid w:val="00CF0C81"/>
    <w:rsid w:val="00CF2C06"/>
    <w:rsid w:val="00CF6D3B"/>
    <w:rsid w:val="00D01A58"/>
    <w:rsid w:val="00D023C9"/>
    <w:rsid w:val="00D0250F"/>
    <w:rsid w:val="00D034E3"/>
    <w:rsid w:val="00D108DD"/>
    <w:rsid w:val="00D17F28"/>
    <w:rsid w:val="00D22C88"/>
    <w:rsid w:val="00D25FFA"/>
    <w:rsid w:val="00D30BE1"/>
    <w:rsid w:val="00D31E5C"/>
    <w:rsid w:val="00D336E1"/>
    <w:rsid w:val="00D34A30"/>
    <w:rsid w:val="00D36D81"/>
    <w:rsid w:val="00D42F1A"/>
    <w:rsid w:val="00D543BF"/>
    <w:rsid w:val="00D54D2B"/>
    <w:rsid w:val="00D630E7"/>
    <w:rsid w:val="00D654BD"/>
    <w:rsid w:val="00D80DF5"/>
    <w:rsid w:val="00D81DD7"/>
    <w:rsid w:val="00D82460"/>
    <w:rsid w:val="00D84B2F"/>
    <w:rsid w:val="00D85947"/>
    <w:rsid w:val="00D87D4B"/>
    <w:rsid w:val="00D91D01"/>
    <w:rsid w:val="00D9449D"/>
    <w:rsid w:val="00DA119A"/>
    <w:rsid w:val="00DA396B"/>
    <w:rsid w:val="00DA4BB2"/>
    <w:rsid w:val="00DA5E22"/>
    <w:rsid w:val="00DA6387"/>
    <w:rsid w:val="00DA6794"/>
    <w:rsid w:val="00DC1661"/>
    <w:rsid w:val="00DC4366"/>
    <w:rsid w:val="00DC5370"/>
    <w:rsid w:val="00DC5D18"/>
    <w:rsid w:val="00DC5D99"/>
    <w:rsid w:val="00DC6E9E"/>
    <w:rsid w:val="00DE01D9"/>
    <w:rsid w:val="00DE45A9"/>
    <w:rsid w:val="00DE69C4"/>
    <w:rsid w:val="00DE7088"/>
    <w:rsid w:val="00DF6933"/>
    <w:rsid w:val="00E0277C"/>
    <w:rsid w:val="00E04901"/>
    <w:rsid w:val="00E20675"/>
    <w:rsid w:val="00E22FFD"/>
    <w:rsid w:val="00E248CB"/>
    <w:rsid w:val="00E306CC"/>
    <w:rsid w:val="00E34143"/>
    <w:rsid w:val="00E40A87"/>
    <w:rsid w:val="00E440C6"/>
    <w:rsid w:val="00E45069"/>
    <w:rsid w:val="00E46611"/>
    <w:rsid w:val="00E4704C"/>
    <w:rsid w:val="00E505F7"/>
    <w:rsid w:val="00E55259"/>
    <w:rsid w:val="00E5555A"/>
    <w:rsid w:val="00E63FBC"/>
    <w:rsid w:val="00E700AE"/>
    <w:rsid w:val="00E713A2"/>
    <w:rsid w:val="00E727ED"/>
    <w:rsid w:val="00E7519A"/>
    <w:rsid w:val="00E804F5"/>
    <w:rsid w:val="00E82528"/>
    <w:rsid w:val="00E8363E"/>
    <w:rsid w:val="00E91CD6"/>
    <w:rsid w:val="00E91EFE"/>
    <w:rsid w:val="00E92908"/>
    <w:rsid w:val="00E93A6C"/>
    <w:rsid w:val="00E95BD9"/>
    <w:rsid w:val="00E96CA3"/>
    <w:rsid w:val="00E97579"/>
    <w:rsid w:val="00E976F0"/>
    <w:rsid w:val="00EA2CCB"/>
    <w:rsid w:val="00EA7A6B"/>
    <w:rsid w:val="00EB3E99"/>
    <w:rsid w:val="00ED2941"/>
    <w:rsid w:val="00ED2996"/>
    <w:rsid w:val="00ED46B1"/>
    <w:rsid w:val="00EF6014"/>
    <w:rsid w:val="00F0003F"/>
    <w:rsid w:val="00F02A8D"/>
    <w:rsid w:val="00F14322"/>
    <w:rsid w:val="00F15461"/>
    <w:rsid w:val="00F15CD4"/>
    <w:rsid w:val="00F23340"/>
    <w:rsid w:val="00F25489"/>
    <w:rsid w:val="00F256A0"/>
    <w:rsid w:val="00F257C4"/>
    <w:rsid w:val="00F30B14"/>
    <w:rsid w:val="00F32D58"/>
    <w:rsid w:val="00F33D21"/>
    <w:rsid w:val="00F35A04"/>
    <w:rsid w:val="00F35BAF"/>
    <w:rsid w:val="00F37A1B"/>
    <w:rsid w:val="00F4197A"/>
    <w:rsid w:val="00F53C37"/>
    <w:rsid w:val="00F5744B"/>
    <w:rsid w:val="00F61595"/>
    <w:rsid w:val="00F6292B"/>
    <w:rsid w:val="00F63516"/>
    <w:rsid w:val="00F664C6"/>
    <w:rsid w:val="00F6675F"/>
    <w:rsid w:val="00F66D5A"/>
    <w:rsid w:val="00F750A2"/>
    <w:rsid w:val="00F767F0"/>
    <w:rsid w:val="00F808C0"/>
    <w:rsid w:val="00F82E49"/>
    <w:rsid w:val="00F848C8"/>
    <w:rsid w:val="00F854C3"/>
    <w:rsid w:val="00F9629F"/>
    <w:rsid w:val="00F97A13"/>
    <w:rsid w:val="00F97EB1"/>
    <w:rsid w:val="00FA382A"/>
    <w:rsid w:val="00FA4AD6"/>
    <w:rsid w:val="00FA79E2"/>
    <w:rsid w:val="00FB7F88"/>
    <w:rsid w:val="00FC1C30"/>
    <w:rsid w:val="00FC7704"/>
    <w:rsid w:val="00FC793E"/>
    <w:rsid w:val="00FE16BD"/>
    <w:rsid w:val="00FE70D4"/>
    <w:rsid w:val="00FF3AD6"/>
    <w:rsid w:val="00FF6130"/>
    <w:rsid w:val="00FF67D9"/>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8A426"/>
  <w15:chartTrackingRefBased/>
  <w15:docId w15:val="{DBF75753-17F5-4734-AE28-A165770D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772"/>
  </w:style>
  <w:style w:type="paragraph" w:styleId="Heading1">
    <w:name w:val="heading 1"/>
    <w:basedOn w:val="Normal"/>
    <w:next w:val="Normal"/>
    <w:link w:val="Heading1Char"/>
    <w:uiPriority w:val="9"/>
    <w:qFormat/>
    <w:rsid w:val="00B92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2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2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2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2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8CF"/>
    <w:rPr>
      <w:rFonts w:eastAsiaTheme="majorEastAsia" w:cstheme="majorBidi"/>
      <w:color w:val="272727" w:themeColor="text1" w:themeTint="D8"/>
    </w:rPr>
  </w:style>
  <w:style w:type="paragraph" w:styleId="Title">
    <w:name w:val="Title"/>
    <w:basedOn w:val="Normal"/>
    <w:next w:val="Normal"/>
    <w:link w:val="TitleChar"/>
    <w:uiPriority w:val="10"/>
    <w:qFormat/>
    <w:rsid w:val="00B92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8CF"/>
    <w:pPr>
      <w:spacing w:before="160"/>
      <w:jc w:val="center"/>
    </w:pPr>
    <w:rPr>
      <w:i/>
      <w:iCs/>
      <w:color w:val="404040" w:themeColor="text1" w:themeTint="BF"/>
    </w:rPr>
  </w:style>
  <w:style w:type="character" w:customStyle="1" w:styleId="QuoteChar">
    <w:name w:val="Quote Char"/>
    <w:basedOn w:val="DefaultParagraphFont"/>
    <w:link w:val="Quote"/>
    <w:uiPriority w:val="29"/>
    <w:rsid w:val="00B928CF"/>
    <w:rPr>
      <w:i/>
      <w:iCs/>
      <w:color w:val="404040" w:themeColor="text1" w:themeTint="BF"/>
    </w:rPr>
  </w:style>
  <w:style w:type="paragraph" w:styleId="ListParagraph">
    <w:name w:val="List Paragraph"/>
    <w:basedOn w:val="Normal"/>
    <w:uiPriority w:val="34"/>
    <w:qFormat/>
    <w:rsid w:val="00B928CF"/>
    <w:pPr>
      <w:ind w:left="720"/>
      <w:contextualSpacing/>
    </w:pPr>
  </w:style>
  <w:style w:type="character" w:styleId="IntenseEmphasis">
    <w:name w:val="Intense Emphasis"/>
    <w:basedOn w:val="DefaultParagraphFont"/>
    <w:uiPriority w:val="21"/>
    <w:qFormat/>
    <w:rsid w:val="00B928CF"/>
    <w:rPr>
      <w:i/>
      <w:iCs/>
      <w:color w:val="0F4761" w:themeColor="accent1" w:themeShade="BF"/>
    </w:rPr>
  </w:style>
  <w:style w:type="paragraph" w:styleId="IntenseQuote">
    <w:name w:val="Intense Quote"/>
    <w:basedOn w:val="Normal"/>
    <w:next w:val="Normal"/>
    <w:link w:val="IntenseQuoteChar"/>
    <w:uiPriority w:val="30"/>
    <w:qFormat/>
    <w:rsid w:val="00B92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8CF"/>
    <w:rPr>
      <w:i/>
      <w:iCs/>
      <w:color w:val="0F4761" w:themeColor="accent1" w:themeShade="BF"/>
    </w:rPr>
  </w:style>
  <w:style w:type="character" w:styleId="IntenseReference">
    <w:name w:val="Intense Reference"/>
    <w:basedOn w:val="DefaultParagraphFont"/>
    <w:uiPriority w:val="32"/>
    <w:qFormat/>
    <w:rsid w:val="00B928CF"/>
    <w:rPr>
      <w:b/>
      <w:bCs/>
      <w:smallCaps/>
      <w:color w:val="0F4761" w:themeColor="accent1" w:themeShade="BF"/>
      <w:spacing w:val="5"/>
    </w:rPr>
  </w:style>
  <w:style w:type="paragraph" w:styleId="NormalWeb">
    <w:name w:val="Normal (Web)"/>
    <w:basedOn w:val="Normal"/>
    <w:uiPriority w:val="99"/>
    <w:semiHidden/>
    <w:unhideWhenUsed/>
    <w:rsid w:val="00391C3F"/>
    <w:rPr>
      <w:rFonts w:ascii="Times New Roman" w:hAnsi="Times New Roman" w:cs="Times New Roman"/>
    </w:rPr>
  </w:style>
  <w:style w:type="character" w:styleId="Strong">
    <w:name w:val="Strong"/>
    <w:basedOn w:val="DefaultParagraphFont"/>
    <w:uiPriority w:val="22"/>
    <w:qFormat/>
    <w:rsid w:val="00D42F1A"/>
    <w:rPr>
      <w:b/>
      <w:bCs/>
    </w:rPr>
  </w:style>
  <w:style w:type="table" w:styleId="TableGridLight">
    <w:name w:val="Grid Table Light"/>
    <w:basedOn w:val="TableNormal"/>
    <w:uiPriority w:val="40"/>
    <w:rsid w:val="00303E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B3695"/>
    <w:rPr>
      <w:color w:val="467886" w:themeColor="hyperlink"/>
      <w:u w:val="single"/>
    </w:rPr>
  </w:style>
  <w:style w:type="character" w:styleId="UnresolvedMention">
    <w:name w:val="Unresolved Mention"/>
    <w:basedOn w:val="DefaultParagraphFont"/>
    <w:uiPriority w:val="99"/>
    <w:semiHidden/>
    <w:unhideWhenUsed/>
    <w:rsid w:val="000B3695"/>
    <w:rPr>
      <w:color w:val="605E5C"/>
      <w:shd w:val="clear" w:color="auto" w:fill="E1DFDD"/>
    </w:rPr>
  </w:style>
  <w:style w:type="character" w:styleId="FollowedHyperlink">
    <w:name w:val="FollowedHyperlink"/>
    <w:basedOn w:val="DefaultParagraphFont"/>
    <w:uiPriority w:val="99"/>
    <w:semiHidden/>
    <w:unhideWhenUsed/>
    <w:rsid w:val="007C71BA"/>
    <w:rPr>
      <w:color w:val="96607D" w:themeColor="followedHyperlink"/>
      <w:u w:val="single"/>
    </w:rPr>
  </w:style>
  <w:style w:type="character" w:styleId="Emphasis">
    <w:name w:val="Emphasis"/>
    <w:basedOn w:val="DefaultParagraphFont"/>
    <w:uiPriority w:val="20"/>
    <w:qFormat/>
    <w:rsid w:val="004C76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3728">
      <w:bodyDiv w:val="1"/>
      <w:marLeft w:val="0"/>
      <w:marRight w:val="0"/>
      <w:marTop w:val="0"/>
      <w:marBottom w:val="0"/>
      <w:divBdr>
        <w:top w:val="none" w:sz="0" w:space="0" w:color="auto"/>
        <w:left w:val="none" w:sz="0" w:space="0" w:color="auto"/>
        <w:bottom w:val="none" w:sz="0" w:space="0" w:color="auto"/>
        <w:right w:val="none" w:sz="0" w:space="0" w:color="auto"/>
      </w:divBdr>
    </w:div>
    <w:div w:id="226259206">
      <w:bodyDiv w:val="1"/>
      <w:marLeft w:val="0"/>
      <w:marRight w:val="0"/>
      <w:marTop w:val="0"/>
      <w:marBottom w:val="0"/>
      <w:divBdr>
        <w:top w:val="none" w:sz="0" w:space="0" w:color="auto"/>
        <w:left w:val="none" w:sz="0" w:space="0" w:color="auto"/>
        <w:bottom w:val="none" w:sz="0" w:space="0" w:color="auto"/>
        <w:right w:val="none" w:sz="0" w:space="0" w:color="auto"/>
      </w:divBdr>
    </w:div>
    <w:div w:id="479733782">
      <w:bodyDiv w:val="1"/>
      <w:marLeft w:val="0"/>
      <w:marRight w:val="0"/>
      <w:marTop w:val="0"/>
      <w:marBottom w:val="0"/>
      <w:divBdr>
        <w:top w:val="none" w:sz="0" w:space="0" w:color="auto"/>
        <w:left w:val="none" w:sz="0" w:space="0" w:color="auto"/>
        <w:bottom w:val="none" w:sz="0" w:space="0" w:color="auto"/>
        <w:right w:val="none" w:sz="0" w:space="0" w:color="auto"/>
      </w:divBdr>
      <w:divsChild>
        <w:div w:id="68113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842762">
      <w:bodyDiv w:val="1"/>
      <w:marLeft w:val="0"/>
      <w:marRight w:val="0"/>
      <w:marTop w:val="0"/>
      <w:marBottom w:val="0"/>
      <w:divBdr>
        <w:top w:val="none" w:sz="0" w:space="0" w:color="auto"/>
        <w:left w:val="none" w:sz="0" w:space="0" w:color="auto"/>
        <w:bottom w:val="none" w:sz="0" w:space="0" w:color="auto"/>
        <w:right w:val="none" w:sz="0" w:space="0" w:color="auto"/>
      </w:divBdr>
    </w:div>
    <w:div w:id="613368039">
      <w:bodyDiv w:val="1"/>
      <w:marLeft w:val="0"/>
      <w:marRight w:val="0"/>
      <w:marTop w:val="0"/>
      <w:marBottom w:val="0"/>
      <w:divBdr>
        <w:top w:val="none" w:sz="0" w:space="0" w:color="auto"/>
        <w:left w:val="none" w:sz="0" w:space="0" w:color="auto"/>
        <w:bottom w:val="none" w:sz="0" w:space="0" w:color="auto"/>
        <w:right w:val="none" w:sz="0" w:space="0" w:color="auto"/>
      </w:divBdr>
    </w:div>
    <w:div w:id="76823715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45242489">
      <w:bodyDiv w:val="1"/>
      <w:marLeft w:val="0"/>
      <w:marRight w:val="0"/>
      <w:marTop w:val="0"/>
      <w:marBottom w:val="0"/>
      <w:divBdr>
        <w:top w:val="none" w:sz="0" w:space="0" w:color="auto"/>
        <w:left w:val="none" w:sz="0" w:space="0" w:color="auto"/>
        <w:bottom w:val="none" w:sz="0" w:space="0" w:color="auto"/>
        <w:right w:val="none" w:sz="0" w:space="0" w:color="auto"/>
      </w:divBdr>
    </w:div>
    <w:div w:id="886065714">
      <w:bodyDiv w:val="1"/>
      <w:marLeft w:val="0"/>
      <w:marRight w:val="0"/>
      <w:marTop w:val="0"/>
      <w:marBottom w:val="0"/>
      <w:divBdr>
        <w:top w:val="none" w:sz="0" w:space="0" w:color="auto"/>
        <w:left w:val="none" w:sz="0" w:space="0" w:color="auto"/>
        <w:bottom w:val="none" w:sz="0" w:space="0" w:color="auto"/>
        <w:right w:val="none" w:sz="0" w:space="0" w:color="auto"/>
      </w:divBdr>
    </w:div>
    <w:div w:id="951087802">
      <w:bodyDiv w:val="1"/>
      <w:marLeft w:val="0"/>
      <w:marRight w:val="0"/>
      <w:marTop w:val="0"/>
      <w:marBottom w:val="0"/>
      <w:divBdr>
        <w:top w:val="none" w:sz="0" w:space="0" w:color="auto"/>
        <w:left w:val="none" w:sz="0" w:space="0" w:color="auto"/>
        <w:bottom w:val="none" w:sz="0" w:space="0" w:color="auto"/>
        <w:right w:val="none" w:sz="0" w:space="0" w:color="auto"/>
      </w:divBdr>
    </w:div>
    <w:div w:id="1002045663">
      <w:bodyDiv w:val="1"/>
      <w:marLeft w:val="0"/>
      <w:marRight w:val="0"/>
      <w:marTop w:val="0"/>
      <w:marBottom w:val="0"/>
      <w:divBdr>
        <w:top w:val="none" w:sz="0" w:space="0" w:color="auto"/>
        <w:left w:val="none" w:sz="0" w:space="0" w:color="auto"/>
        <w:bottom w:val="none" w:sz="0" w:space="0" w:color="auto"/>
        <w:right w:val="none" w:sz="0" w:space="0" w:color="auto"/>
      </w:divBdr>
      <w:divsChild>
        <w:div w:id="29304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703520">
      <w:bodyDiv w:val="1"/>
      <w:marLeft w:val="0"/>
      <w:marRight w:val="0"/>
      <w:marTop w:val="0"/>
      <w:marBottom w:val="0"/>
      <w:divBdr>
        <w:top w:val="none" w:sz="0" w:space="0" w:color="auto"/>
        <w:left w:val="none" w:sz="0" w:space="0" w:color="auto"/>
        <w:bottom w:val="none" w:sz="0" w:space="0" w:color="auto"/>
        <w:right w:val="none" w:sz="0" w:space="0" w:color="auto"/>
      </w:divBdr>
    </w:div>
    <w:div w:id="1096822968">
      <w:bodyDiv w:val="1"/>
      <w:marLeft w:val="0"/>
      <w:marRight w:val="0"/>
      <w:marTop w:val="0"/>
      <w:marBottom w:val="0"/>
      <w:divBdr>
        <w:top w:val="none" w:sz="0" w:space="0" w:color="auto"/>
        <w:left w:val="none" w:sz="0" w:space="0" w:color="auto"/>
        <w:bottom w:val="none" w:sz="0" w:space="0" w:color="auto"/>
        <w:right w:val="none" w:sz="0" w:space="0" w:color="auto"/>
      </w:divBdr>
    </w:div>
    <w:div w:id="1239051403">
      <w:bodyDiv w:val="1"/>
      <w:marLeft w:val="0"/>
      <w:marRight w:val="0"/>
      <w:marTop w:val="0"/>
      <w:marBottom w:val="0"/>
      <w:divBdr>
        <w:top w:val="none" w:sz="0" w:space="0" w:color="auto"/>
        <w:left w:val="none" w:sz="0" w:space="0" w:color="auto"/>
        <w:bottom w:val="none" w:sz="0" w:space="0" w:color="auto"/>
        <w:right w:val="none" w:sz="0" w:space="0" w:color="auto"/>
      </w:divBdr>
    </w:div>
    <w:div w:id="1292441687">
      <w:bodyDiv w:val="1"/>
      <w:marLeft w:val="0"/>
      <w:marRight w:val="0"/>
      <w:marTop w:val="0"/>
      <w:marBottom w:val="0"/>
      <w:divBdr>
        <w:top w:val="none" w:sz="0" w:space="0" w:color="auto"/>
        <w:left w:val="none" w:sz="0" w:space="0" w:color="auto"/>
        <w:bottom w:val="none" w:sz="0" w:space="0" w:color="auto"/>
        <w:right w:val="none" w:sz="0" w:space="0" w:color="auto"/>
      </w:divBdr>
    </w:div>
    <w:div w:id="1347831478">
      <w:bodyDiv w:val="1"/>
      <w:marLeft w:val="0"/>
      <w:marRight w:val="0"/>
      <w:marTop w:val="0"/>
      <w:marBottom w:val="0"/>
      <w:divBdr>
        <w:top w:val="none" w:sz="0" w:space="0" w:color="auto"/>
        <w:left w:val="none" w:sz="0" w:space="0" w:color="auto"/>
        <w:bottom w:val="none" w:sz="0" w:space="0" w:color="auto"/>
        <w:right w:val="none" w:sz="0" w:space="0" w:color="auto"/>
      </w:divBdr>
    </w:div>
    <w:div w:id="1381973026">
      <w:bodyDiv w:val="1"/>
      <w:marLeft w:val="0"/>
      <w:marRight w:val="0"/>
      <w:marTop w:val="0"/>
      <w:marBottom w:val="0"/>
      <w:divBdr>
        <w:top w:val="none" w:sz="0" w:space="0" w:color="auto"/>
        <w:left w:val="none" w:sz="0" w:space="0" w:color="auto"/>
        <w:bottom w:val="none" w:sz="0" w:space="0" w:color="auto"/>
        <w:right w:val="none" w:sz="0" w:space="0" w:color="auto"/>
      </w:divBdr>
      <w:divsChild>
        <w:div w:id="897977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080154">
      <w:bodyDiv w:val="1"/>
      <w:marLeft w:val="0"/>
      <w:marRight w:val="0"/>
      <w:marTop w:val="0"/>
      <w:marBottom w:val="0"/>
      <w:divBdr>
        <w:top w:val="none" w:sz="0" w:space="0" w:color="auto"/>
        <w:left w:val="none" w:sz="0" w:space="0" w:color="auto"/>
        <w:bottom w:val="none" w:sz="0" w:space="0" w:color="auto"/>
        <w:right w:val="none" w:sz="0" w:space="0" w:color="auto"/>
      </w:divBdr>
    </w:div>
    <w:div w:id="1713773900">
      <w:bodyDiv w:val="1"/>
      <w:marLeft w:val="0"/>
      <w:marRight w:val="0"/>
      <w:marTop w:val="0"/>
      <w:marBottom w:val="0"/>
      <w:divBdr>
        <w:top w:val="none" w:sz="0" w:space="0" w:color="auto"/>
        <w:left w:val="none" w:sz="0" w:space="0" w:color="auto"/>
        <w:bottom w:val="none" w:sz="0" w:space="0" w:color="auto"/>
        <w:right w:val="none" w:sz="0" w:space="0" w:color="auto"/>
      </w:divBdr>
    </w:div>
    <w:div w:id="1973561756">
      <w:bodyDiv w:val="1"/>
      <w:marLeft w:val="0"/>
      <w:marRight w:val="0"/>
      <w:marTop w:val="0"/>
      <w:marBottom w:val="0"/>
      <w:divBdr>
        <w:top w:val="none" w:sz="0" w:space="0" w:color="auto"/>
        <w:left w:val="none" w:sz="0" w:space="0" w:color="auto"/>
        <w:bottom w:val="none" w:sz="0" w:space="0" w:color="auto"/>
        <w:right w:val="none" w:sz="0" w:space="0" w:color="auto"/>
      </w:divBdr>
    </w:div>
    <w:div w:id="2025859933">
      <w:bodyDiv w:val="1"/>
      <w:marLeft w:val="0"/>
      <w:marRight w:val="0"/>
      <w:marTop w:val="0"/>
      <w:marBottom w:val="0"/>
      <w:divBdr>
        <w:top w:val="none" w:sz="0" w:space="0" w:color="auto"/>
        <w:left w:val="none" w:sz="0" w:space="0" w:color="auto"/>
        <w:bottom w:val="none" w:sz="0" w:space="0" w:color="auto"/>
        <w:right w:val="none" w:sz="0" w:space="0" w:color="auto"/>
      </w:divBdr>
      <w:divsChild>
        <w:div w:id="148601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86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ijhydene.2024.08.054" TargetMode="External"/><Relationship Id="rId18" Type="http://schemas.openxmlformats.org/officeDocument/2006/relationships/hyperlink" Target="https://doi.org/10.1039/D1EE00627D" TargetMode="External"/><Relationship Id="rId26" Type="http://schemas.openxmlformats.org/officeDocument/2006/relationships/hyperlink" Target="https://doi.org/10.1021/acs.est.4c12166" TargetMode="External"/><Relationship Id="rId3" Type="http://schemas.openxmlformats.org/officeDocument/2006/relationships/styles" Target="styles.xml"/><Relationship Id="rId21" Type="http://schemas.openxmlformats.org/officeDocument/2006/relationships/hyperlink" Target="https://doi.org/10.1016/j.jclepro.2024.142031" TargetMode="External"/><Relationship Id="rId7" Type="http://schemas.openxmlformats.org/officeDocument/2006/relationships/image" Target="media/image2.png"/><Relationship Id="rId12" Type="http://schemas.openxmlformats.org/officeDocument/2006/relationships/hyperlink" Target="https://doi.org/10.1016/j.ijhydene.2024.11.367" TargetMode="External"/><Relationship Id="rId17" Type="http://schemas.openxmlformats.org/officeDocument/2006/relationships/hyperlink" Target="https://doi.org/10.1016/j.renene.2021.08.016" TargetMode="External"/><Relationship Id="rId25" Type="http://schemas.openxmlformats.org/officeDocument/2006/relationships/hyperlink" Target="https://doi.org/10.1093/ce/zkae025" TargetMode="External"/><Relationship Id="rId2" Type="http://schemas.openxmlformats.org/officeDocument/2006/relationships/numbering" Target="numbering.xml"/><Relationship Id="rId16" Type="http://schemas.openxmlformats.org/officeDocument/2006/relationships/hyperlink" Target="https://doi.org/10.3390/pr13030636" TargetMode="External"/><Relationship Id="rId20" Type="http://schemas.openxmlformats.org/officeDocument/2006/relationships/hyperlink" Target="https://doi.org/10.1038/s44333-024-00019-z" TargetMode="External"/><Relationship Id="rId29" Type="http://schemas.openxmlformats.org/officeDocument/2006/relationships/hyperlink" Target="https://doi.org/10.1016/j.renene.2024.12048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16/j.jclepro.2024.142031" TargetMode="External"/><Relationship Id="rId24" Type="http://schemas.openxmlformats.org/officeDocument/2006/relationships/hyperlink" Target="https://doi.org/10.1016/j.ijepes.2024.110047" TargetMode="External"/><Relationship Id="rId5" Type="http://schemas.openxmlformats.org/officeDocument/2006/relationships/webSettings" Target="webSettings.xml"/><Relationship Id="rId15" Type="http://schemas.openxmlformats.org/officeDocument/2006/relationships/hyperlink" Target="https://doi.org/10.1016/j.ijhydene.2024.12.042" TargetMode="External"/><Relationship Id="rId23" Type="http://schemas.openxmlformats.org/officeDocument/2006/relationships/hyperlink" Target="https://doi.org/10.1016/j.ijhydene.2024.07.105" TargetMode="External"/><Relationship Id="rId28" Type="http://schemas.openxmlformats.org/officeDocument/2006/relationships/hyperlink" Target="https://doi.org/10.1109/TTE.2025.3606786" TargetMode="External"/><Relationship Id="rId10" Type="http://schemas.openxmlformats.org/officeDocument/2006/relationships/hyperlink" Target="https://doi.org/10.1016/j.apenergy.2025.125316" TargetMode="External"/><Relationship Id="rId19" Type="http://schemas.openxmlformats.org/officeDocument/2006/relationships/hyperlink" Target="https://doi.org/10.1038/s41467-023-43884-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1016/j.tej.2025.107473" TargetMode="External"/><Relationship Id="rId22" Type="http://schemas.openxmlformats.org/officeDocument/2006/relationships/hyperlink" Target="https://doi.org/10.1186/s42055-025-00117-x" TargetMode="External"/><Relationship Id="rId27" Type="http://schemas.openxmlformats.org/officeDocument/2006/relationships/hyperlink" Target="https://doi.org/10.1016/j.ijhydene.2024.05.33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B101F-32A6-4B9D-8ACA-396FEC04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6744</Words>
  <Characters>44582</Characters>
  <Application>Microsoft Office Word</Application>
  <DocSecurity>0</DocSecurity>
  <Lines>796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Levodo, Joseph</dc:creator>
  <cp:keywords/>
  <dc:description/>
  <cp:lastModifiedBy>joseph Levodo</cp:lastModifiedBy>
  <cp:revision>91</cp:revision>
  <cp:lastPrinted>2026-06-25T08:28:00Z</cp:lastPrinted>
  <dcterms:created xsi:type="dcterms:W3CDTF">2026-06-23T14:00:00Z</dcterms:created>
  <dcterms:modified xsi:type="dcterms:W3CDTF">2026-06-25T14:07:00Z</dcterms:modified>
</cp:coreProperties>
</file>