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
        <w:jc w:val="center"/>
      </w:pPr>
      <w:r>
        <w:rPr>
          <w:rFonts w:ascii="Arial" w:cs="Arial" w:eastAsia="Arial" w:hAnsi="Arial"/>
          <w:b/>
          <w:bCs/>
          <w:color w:val="1F4E79"/>
          <w:sz w:val="34"/>
          <w:szCs w:val="34"/>
        </w:rPr>
        <w:t xml:space="preserve">Ratio Analysis and AI-Driven Profitability of JPMorgan Chase</w:t>
      </w:r>
    </w:p>
    <w:p>
      <w:pPr>
        <w:spacing w:after="60" w:before="80"/>
        <w:jc w:val="center"/>
      </w:pPr>
      <w:r>
        <w:rPr>
          <w:rFonts w:ascii="Arial" w:cs="Arial" w:eastAsia="Arial" w:hAnsi="Arial"/>
          <w:b/>
          <w:bCs/>
          <w:sz w:val="22"/>
          <w:szCs w:val="22"/>
        </w:rPr>
        <w:t xml:space="preserve">Patel Muhammad Afan</w:t>
      </w:r>
    </w:p>
    <w:p>
      <w:pPr>
        <w:spacing w:after="60" w:before="0"/>
        <w:jc w:val="center"/>
      </w:pPr>
      <w:r>
        <w:rPr>
          <w:rFonts w:ascii="Arial" w:cs="Arial" w:eastAsia="Arial" w:hAnsi="Arial"/>
          <w:i/>
          <w:iCs/>
          <w:sz w:val="20"/>
          <w:szCs w:val="20"/>
        </w:rPr>
        <w:t xml:space="preserve">Reg No: 23CBCOA018</w:t>
      </w:r>
    </w:p>
    <w:p>
      <w:pPr>
        <w:spacing w:after="60" w:before="0"/>
        <w:jc w:val="center"/>
      </w:pPr>
      <w:r>
        <w:rPr>
          <w:rFonts w:ascii="Arial" w:cs="Arial" w:eastAsia="Arial" w:hAnsi="Arial"/>
          <w:i/>
          <w:iCs/>
          <w:sz w:val="20"/>
          <w:szCs w:val="20"/>
        </w:rPr>
        <w:t xml:space="preserve">Under the guidance of Ms. Poonum S Raibagi, Faculty of Commerce</w:t>
      </w:r>
    </w:p>
    <w:p>
      <w:pPr>
        <w:spacing w:after="180" w:before="0"/>
        <w:jc w:val="center"/>
      </w:pPr>
      <w:r>
        <w:rPr>
          <w:rFonts w:ascii="Arial" w:cs="Arial" w:eastAsia="Arial" w:hAnsi="Arial"/>
          <w:sz w:val="20"/>
          <w:szCs w:val="20"/>
        </w:rPr>
        <w:t xml:space="preserve">School of Economics and Commerce, CMR University, Bengaluru, Karnataka 560043, India</w:t>
      </w:r>
    </w:p>
    <w:p>
      <w:pPr>
        <w:pBdr>
          <w:bottom w:val="single" w:color="1F4E79" w:sz="12" w:space="2"/>
        </w:pBd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3FB" w:val="clear"/>
            <w:tcMar>
              <w:top w:type="dxa" w:w="120"/>
              <w:left w:type="dxa" w:w="200"/>
              <w:bottom w:type="dxa" w:w="120"/>
              <w:right w:type="dxa" w:w="200"/>
            </w:tcMar>
          </w:tcPr>
          <w:p>
            <w:pPr>
              <w:spacing w:after="80"/>
            </w:pPr>
            <w:r>
              <w:rPr>
                <w:rFonts w:ascii="Arial" w:cs="Arial" w:eastAsia="Arial" w:hAnsi="Arial"/>
                <w:b/>
                <w:bCs/>
                <w:color w:val="1F4E79"/>
                <w:sz w:val="22"/>
                <w:szCs w:val="22"/>
              </w:rPr>
              <w:t xml:space="preserve">ABSTRACT</w:t>
            </w:r>
          </w:p>
          <w:p>
            <w:pPr>
              <w:jc w:val="both"/>
            </w:pPr>
            <w:r>
              <w:rPr>
                <w:rFonts w:ascii="Arial" w:cs="Arial" w:eastAsia="Arial" w:hAnsi="Arial"/>
                <w:sz w:val="19"/>
                <w:szCs w:val="19"/>
              </w:rPr>
              <w:t xml:space="preserve">This study presents a comprehensive ratio analysis and evaluation of AI-driven profitability at JPMorgan Chase (JPM) over the period 2020–2027. As the global banking sector undergoes a seismic shift from traditional intermediation to AI-first ecosystems, JPM has emerged as the vanguard institution, committing $15.5–17 billion annually to technology and artificial intelligence. The research investigates whether this unprecedented capital expenditure represents a strategic value driver or a drag on margins. Using the Efficiency Ratio as the primary metric — alongside Earnings Per Share (EPS) forecasting, Present Value (PV) analysis, and a three-scenario sensitivity framework — this study demonstrates that AI adoption is compressing JPM's efficiency ratio from 58% (2020) to a projected 49% (2027), generating an estimated $16 billion in annual operational alpha. The findings confirm that JPM has successfully transitioned from a traditional financial intermediary to a high-margin, data-sovereign enterprise, justifying its technology expenditure as a high-yield investment rather than a sunk cost.</w:t>
            </w:r>
          </w:p>
        </w:tc>
      </w:tr>
    </w:tbl>
    <w:p>
      <w:pPr>
        <w:spacing w:after="60" w:before="100"/>
      </w:pPr>
      <w:r>
        <w:rPr>
          <w:rFonts w:ascii="Arial" w:cs="Arial" w:eastAsia="Arial" w:hAnsi="Arial"/>
          <w:b/>
          <w:bCs/>
          <w:color w:val="1F4E79"/>
          <w:sz w:val="20"/>
          <w:szCs w:val="20"/>
        </w:rPr>
        <w:t xml:space="preserve">KEYWORDS:</w:t>
      </w:r>
      <w:r>
        <w:rPr>
          <w:rFonts w:ascii="Arial" w:cs="Arial" w:eastAsia="Arial" w:hAnsi="Arial"/>
          <w:sz w:val="20"/>
          <w:szCs w:val="20"/>
        </w:rPr>
        <w:t xml:space="preserve">  AI in Banking   |   Efficiency Ratio   |   JPMorgan Chase   |   Present Value Analysis   |   Digital Transformation   |   EPS Forecasting   |   FinTech</w:t>
      </w:r>
    </w:p>
    <w:p>
      <w:pPr>
        <w:pBdr>
          <w:bottom w:val="single" w:color="1F4E79" w:sz="12" w:space="2"/>
        </w:pBdr>
        <w:spacing w:after="60" w:before="60"/>
      </w:pPr>
    </w:p>
    <w:p>
      <w:pPr>
        <w:pBdr>
          <w:bottom w:val="single" w:color="1F4E79" w:sz="8" w:space="2"/>
        </w:pBdr>
        <w:spacing w:after="140" w:before="280"/>
      </w:pPr>
      <w:r>
        <w:rPr>
          <w:rFonts w:ascii="Arial" w:cs="Arial" w:eastAsia="Arial" w:hAnsi="Arial"/>
          <w:b/>
          <w:bCs/>
          <w:color w:val="1F4E79"/>
          <w:sz w:val="26"/>
          <w:szCs w:val="26"/>
        </w:rPr>
        <w:t xml:space="preserve">CHAPTER 1: INTRODUCTION – THE DIGITAL BANKING REVOLUTION</w:t>
      </w:r>
    </w:p>
    <w:p>
      <w:pPr>
        <w:spacing w:after="80" w:before="80"/>
        <w:jc w:val="both"/>
      </w:pPr>
      <w:r>
        <w:rPr>
          <w:rFonts w:ascii="Arial" w:cs="Arial" w:eastAsia="Arial" w:hAnsi="Arial"/>
          <w:sz w:val="20"/>
          <w:szCs w:val="20"/>
        </w:rPr>
        <w:t xml:space="preserve">The traditional banking model is currently undergoing a seismic shift, transitioning from physical intermediation to an AI-first ecosystem. This digital revolution is defined by the migration of core banking logic from human-led branches to high-performance algorithmic pipelines that manage trillions in assets with millisecond precision. For global leaders like JPMorgan Chase, this evolution is not merely an IT upgrade but a fundamental re-engineering of the bank's value proposition.</w:t>
      </w:r>
    </w:p>
    <w:p>
      <w:pPr>
        <w:spacing w:after="80" w:before="80"/>
        <w:jc w:val="both"/>
      </w:pPr>
      <w:r>
        <w:rPr>
          <w:rFonts w:ascii="Arial" w:cs="Arial" w:eastAsia="Arial" w:hAnsi="Arial"/>
          <w:sz w:val="20"/>
          <w:szCs w:val="20"/>
        </w:rPr>
        <w:t xml:space="preserve">By integrating Machine Learning across every touchpoint — from retail fraud detection to institutional trading — the industry is moving toward a future of 'Autonomous Finance' where data is the primary sovereign asset. JPM has chosen to lead this transformation, committing an industry-leading $15.5 billion annually to technology and AI.</w:t>
      </w:r>
    </w:p>
    <w:p>
      <w:pPr>
        <w:spacing w:after="80" w:before="180"/>
      </w:pPr>
      <w:r>
        <w:rPr>
          <w:rFonts w:ascii="Arial" w:cs="Arial" w:eastAsia="Arial" w:hAnsi="Arial"/>
          <w:b/>
          <w:bCs/>
          <w:color w:val="2E75B6"/>
          <w:sz w:val="22"/>
          <w:szCs w:val="22"/>
        </w:rPr>
        <w:t xml:space="preserve">Problem Statement</w:t>
      </w:r>
    </w:p>
    <w:p>
      <w:pPr>
        <w:spacing w:after="80" w:before="80"/>
        <w:jc w:val="both"/>
      </w:pPr>
      <w:r>
        <w:rPr>
          <w:rFonts w:ascii="Arial" w:cs="Arial" w:eastAsia="Arial" w:hAnsi="Arial"/>
          <w:sz w:val="20"/>
          <w:szCs w:val="20"/>
        </w:rPr>
        <w:t xml:space="preserve">The global banking sector has historically been defined by manual intermediation and legacy infrastructure. However, the period between 2020 and 2026 has witnessed an unprecedented convergence of macroeconomic volatility and technological disruption. In the wake of the 2023 regional banking crisis — which saw the collapse of Silicon Valley Bank and Signature Bank — legacy financial institutions face an existential choice: automate or evaporate.</w:t>
      </w:r>
    </w:p>
    <w:p>
      <w:pPr>
        <w:spacing w:after="80" w:before="80"/>
        <w:jc w:val="both"/>
      </w:pPr>
      <w:r>
        <w:rPr>
          <w:rFonts w:ascii="Arial" w:cs="Arial" w:eastAsia="Arial" w:hAnsi="Arial"/>
          <w:sz w:val="20"/>
          <w:szCs w:val="20"/>
        </w:rPr>
        <w:t xml:space="preserve">Critics argue that JPM's massive capital expenditure may suffer from diminishing marginal utility. This study investigates whether this 'tech-spend' is an operational expense that drags down margins or a strategic value-driver that creates a 'technological moat' around the firm's $4.1 trillion asset base.</w:t>
      </w:r>
    </w:p>
    <w:p>
      <w:pPr>
        <w:spacing w:after="80" w:before="80"/>
        <w:jc w:val="both"/>
      </w:pPr>
      <w:r>
        <w:rPr>
          <w:rFonts w:ascii="Arial" w:cs="Arial" w:eastAsia="Arial" w:hAnsi="Arial"/>
          <w:sz w:val="20"/>
          <w:szCs w:val="20"/>
        </w:rPr>
        <w:t xml:space="preserve">A significant portion of this study focuses on the 'Technical Debt vs. Innovation Spend' paradox. For decades, Tier-1 banks operated on COBOL-based mainframe systems that were robust but rigid. Between 2020 and 2024, the maintenance cost of legacy systems began to consume nearly 70% of total IT budgets across the banking sector. JPM had to keep these legacy systems running while simultaneously building a parallel, cloud-native AI infrastructure.</w:t>
      </w:r>
    </w:p>
    <w:p>
      <w:pPr>
        <w:spacing w:after="80" w:before="80"/>
        <w:jc w:val="both"/>
      </w:pPr>
      <w:r>
        <w:rPr>
          <w:rFonts w:ascii="Arial" w:cs="Arial" w:eastAsia="Arial" w:hAnsi="Arial"/>
          <w:sz w:val="20"/>
          <w:szCs w:val="20"/>
        </w:rPr>
        <w:t xml:space="preserve">The collapse of Silicon Valley Bank (SVB) in 2023 further redefined the 'Problem' of modern banking. In the analog era, a bank run took days or weeks. In the digital era of 2023–2026, $42 billion moved out of SVB in a single day via smartphone apps — demonstrating that traditional risk models were too slow for the velocity of digital deposits.</w:t>
      </w:r>
    </w:p>
    <w:p>
      <w:pPr>
        <w:spacing w:after="80" w:before="180"/>
      </w:pPr>
      <w:r>
        <w:rPr>
          <w:rFonts w:ascii="Arial" w:cs="Arial" w:eastAsia="Arial" w:hAnsi="Arial"/>
          <w:b/>
          <w:bCs/>
          <w:color w:val="2E75B6"/>
          <w:sz w:val="22"/>
          <w:szCs w:val="22"/>
        </w:rPr>
        <w:t xml:space="preserve">Research Objectives</w:t>
      </w:r>
    </w:p>
    <w:p>
      <w:pPr>
        <w:spacing w:after="80" w:before="80"/>
        <w:jc w:val="both"/>
      </w:pPr>
      <w:r>
        <w:rPr>
          <w:rFonts w:ascii="Arial" w:cs="Arial" w:eastAsia="Arial" w:hAnsi="Arial"/>
          <w:sz w:val="20"/>
          <w:szCs w:val="20"/>
        </w:rPr>
        <w:t xml:space="preserve">The primary objectives of this study are:</w:t>
      </w:r>
    </w:p>
    <w:p>
      <w:pPr>
        <w:pStyle w:val="ListParagraph"/>
        <w:numPr>
          <w:ilvl w:val="0"/>
          <w:numId w:val="2"/>
        </w:numPr>
        <w:spacing w:after="60" w:before="60"/>
      </w:pPr>
      <w:r>
        <w:rPr>
          <w:rFonts w:ascii="Arial" w:cs="Arial" w:eastAsia="Arial" w:hAnsi="Arial"/>
          <w:sz w:val="20"/>
          <w:szCs w:val="20"/>
        </w:rPr>
        <w:t xml:space="preserve">Longitudinal Ratio Analysis: To track JPM's financial health from the 2020 pandemic lows through the 2027 algorithmic highs.</w:t>
      </w:r>
    </w:p>
    <w:p>
      <w:pPr>
        <w:pStyle w:val="ListParagraph"/>
        <w:numPr>
          <w:ilvl w:val="0"/>
          <w:numId w:val="2"/>
        </w:numPr>
        <w:spacing w:after="60" w:before="60"/>
      </w:pPr>
      <w:r>
        <w:rPr>
          <w:rFonts w:ascii="Arial" w:cs="Arial" w:eastAsia="Arial" w:hAnsi="Arial"/>
          <w:sz w:val="20"/>
          <w:szCs w:val="20"/>
        </w:rPr>
        <w:t xml:space="preserve">Quantification of AI ROI: To prove that AI adoption is the primary driver of the bank's efficiency ratio compression.</w:t>
      </w:r>
    </w:p>
    <w:p>
      <w:pPr>
        <w:pStyle w:val="ListParagraph"/>
        <w:numPr>
          <w:ilvl w:val="0"/>
          <w:numId w:val="2"/>
        </w:numPr>
        <w:spacing w:after="60" w:before="60"/>
      </w:pPr>
      <w:r>
        <w:rPr>
          <w:rFonts w:ascii="Arial" w:cs="Arial" w:eastAsia="Arial" w:hAnsi="Arial"/>
          <w:sz w:val="20"/>
          <w:szCs w:val="20"/>
        </w:rPr>
        <w:t xml:space="preserve">Intrinsic Valuation: To apply the Present Value (PV) formula to future EPS to determine if the market is accurately pricing JPM's technological evolution.</w:t>
      </w:r>
    </w:p>
    <w:p>
      <w:pPr>
        <w:spacing w:after="80" w:before="180"/>
      </w:pPr>
      <w:r>
        <w:rPr>
          <w:rFonts w:ascii="Arial" w:cs="Arial" w:eastAsia="Arial" w:hAnsi="Arial"/>
          <w:b/>
          <w:bCs/>
          <w:color w:val="2E75B6"/>
          <w:sz w:val="22"/>
          <w:szCs w:val="22"/>
        </w:rPr>
        <w:t xml:space="preserve">Strategic Context: From 'Bulge Bracket' to 'Data Platform'</w:t>
      </w:r>
    </w:p>
    <w:p>
      <w:pPr>
        <w:spacing w:after="80" w:before="80"/>
        <w:jc w:val="both"/>
      </w:pPr>
      <w:r>
        <w:rPr>
          <w:rFonts w:ascii="Arial" w:cs="Arial" w:eastAsia="Arial" w:hAnsi="Arial"/>
          <w:sz w:val="20"/>
          <w:szCs w:val="20"/>
        </w:rPr>
        <w:t xml:space="preserve">JPM is not merely a bank; it is a global data processor. With over 60 million active digital customers, the sheer volume of data provides the 'fuel' for its AI engines. Under strategic leadership, JPM shifted its identity from a 'bulge bracket bank' to a 'tech company with a banking license.' By treating data as 'fuel,' the bank created a closed-loop ecosystem where the more a customer uses the bank, the better the bank's AI becomes at predicting that customer's needs.</w:t>
      </w:r>
    </w:p>
    <w:p>
      <w:pPr>
        <w:pBdr>
          <w:bottom w:val="single" w:color="1F4E79" w:sz="8" w:space="2"/>
        </w:pBdr>
        <w:spacing w:after="140" w:before="280"/>
      </w:pPr>
      <w:r>
        <w:rPr>
          <w:rFonts w:ascii="Arial" w:cs="Arial" w:eastAsia="Arial" w:hAnsi="Arial"/>
          <w:b/>
          <w:bCs/>
          <w:color w:val="1F4E79"/>
          <w:sz w:val="26"/>
          <w:szCs w:val="26"/>
        </w:rPr>
        <w:t xml:space="preserve">CHAPTER 2: LITERATURE REVIEW</w:t>
      </w:r>
    </w:p>
    <w:p>
      <w:pPr>
        <w:spacing w:after="80" w:before="180"/>
      </w:pPr>
      <w:r>
        <w:rPr>
          <w:rFonts w:ascii="Arial" w:cs="Arial" w:eastAsia="Arial" w:hAnsi="Arial"/>
          <w:b/>
          <w:bCs/>
          <w:color w:val="2E75B6"/>
          <w:sz w:val="22"/>
          <w:szCs w:val="22"/>
        </w:rPr>
        <w:t xml:space="preserve">The Evolution of Financial Ratios in the Tech Era</w:t>
      </w:r>
    </w:p>
    <w:p>
      <w:pPr>
        <w:spacing w:after="80" w:before="80"/>
        <w:jc w:val="both"/>
      </w:pPr>
      <w:r>
        <w:rPr>
          <w:rFonts w:ascii="Arial" w:cs="Arial" w:eastAsia="Arial" w:hAnsi="Arial"/>
          <w:sz w:val="20"/>
          <w:szCs w:val="20"/>
        </w:rPr>
        <w:t xml:space="preserve">Traditional ratio analysis — Liquidity, Solvency, and Profitability — remains the bedrock of banking evaluation. However, scholars like Liu &amp; Wang (2024) argue that in the era of FinTech, the Efficiency Ratio has become the primary indicator of a bank's health. A lower ratio indicates that a bank is spending less to earn a dollar. Historically, a ratio of 60% was considered 'excellent' for a Tier-1 bank; however, JPM's trajectory suggests that AI is pushing the industry toward a new '40–50% standard.'</w:t>
      </w:r>
    </w:p>
    <w:p>
      <w:pPr>
        <w:spacing w:after="80" w:before="80"/>
        <w:jc w:val="both"/>
      </w:pPr>
      <w:r>
        <w:rPr>
          <w:rFonts w:ascii="Arial" w:cs="Arial" w:eastAsia="Arial" w:hAnsi="Arial"/>
          <w:sz w:val="20"/>
          <w:szCs w:val="20"/>
        </w:rPr>
        <w:t xml:space="preserve">Traditional ratios like the Current Ratio or Debt-to-Equity fail to capture the value of 'Intangible Algorithmic Assets.' When JPMorgan Chase spends $17 billion on technology, that capital does not appear as a physical asset on the balance sheet — it is often expensed, which ironically makes the bank look 'less profitable' in the short term. The Efficiency Ratio is the only metric capable of capturing the 'Shadow ROI' of AI adoption.</w:t>
      </w:r>
    </w:p>
    <w:p>
      <w:pPr>
        <w:spacing w:after="80" w:before="80"/>
        <w:jc w:val="both"/>
      </w:pPr>
      <w:r>
        <w:rPr>
          <w:rFonts w:ascii="Arial" w:cs="Arial" w:eastAsia="Arial" w:hAnsi="Arial"/>
          <w:sz w:val="20"/>
          <w:szCs w:val="20"/>
        </w:rPr>
        <w:t xml:space="preserve">The transition to a '40–50% standard' is driven by what researchers call the Compression Effect — occurring across three layers: (1) AI-driven fraud detection lowers loss provisions; (2) algorithmic underwriting reduces cost per loan origination by an estimated 40% versus 2020 levels; and (3) self-service AI chatbots drop cost per customer interaction from dollars to fractions of a cent.</w:t>
      </w:r>
    </w:p>
    <w:p>
      <w:pPr>
        <w:spacing w:after="80" w:before="180"/>
      </w:pPr>
      <w:r>
        <w:rPr>
          <w:rFonts w:ascii="Arial" w:cs="Arial" w:eastAsia="Arial" w:hAnsi="Arial"/>
          <w:b/>
          <w:bCs/>
          <w:color w:val="2E75B6"/>
          <w:sz w:val="22"/>
          <w:szCs w:val="22"/>
        </w:rPr>
        <w:t xml:space="preserve">AI as a Strategic Resource: The Resource-Based View (RBV)</w:t>
      </w:r>
    </w:p>
    <w:p>
      <w:pPr>
        <w:spacing w:after="80" w:before="80"/>
        <w:jc w:val="both"/>
      </w:pPr>
      <w:r>
        <w:rPr>
          <w:rFonts w:ascii="Arial" w:cs="Arial" w:eastAsia="Arial" w:hAnsi="Arial"/>
          <w:sz w:val="20"/>
          <w:szCs w:val="20"/>
        </w:rPr>
        <w:t xml:space="preserve">According to the Resource-Based View (RBV), JPM's annual tech spend is a 'moat.' Academic studies (Tulsi et al., 2024; Raimi et al., 2024) suggest that AI-enabled fraud detection and process automation have reduced operational losses by approximately 30% for global banks. JPM's proprietary COIN (Contract Intelligence) platform, which reviews 360,000 hours of legal work in seconds, exemplifies this competitive advantage.</w:t>
      </w:r>
    </w:p>
    <w:p>
      <w:pPr>
        <w:spacing w:after="80" w:before="80"/>
        <w:jc w:val="both"/>
      </w:pPr>
      <w:r>
        <w:rPr>
          <w:rFonts w:ascii="Arial" w:cs="Arial" w:eastAsia="Arial" w:hAnsi="Arial"/>
          <w:sz w:val="20"/>
          <w:szCs w:val="20"/>
        </w:rPr>
        <w:t xml:space="preserve">The VRIN Framework confirms JPM's AI ecosystem is Valuable (converts risk hours into productive seconds), Rare (few institutions possess a $17B annual R&amp;D budget), Inimitable (competitors cannot replicate JPM's petabytes of historical transaction data), and Non-substitutable (no analog alternative exists for algorithmic speed in a high-velocity digital economy).</w:t>
      </w:r>
    </w:p>
    <w:p>
      <w:pPr>
        <w:spacing w:after="80" w:before="180"/>
      </w:pPr>
      <w:r>
        <w:rPr>
          <w:rFonts w:ascii="Arial" w:cs="Arial" w:eastAsia="Arial" w:hAnsi="Arial"/>
          <w:b/>
          <w:bCs/>
          <w:color w:val="2E75B6"/>
          <w:sz w:val="22"/>
          <w:szCs w:val="22"/>
        </w:rPr>
        <w:t xml:space="preserve">The S-Curve of AI Growth vs. Diminishing Returns</w:t>
      </w:r>
    </w:p>
    <w:p>
      <w:pPr>
        <w:spacing w:after="80" w:before="80"/>
        <w:jc w:val="both"/>
      </w:pPr>
      <w:r>
        <w:rPr>
          <w:rFonts w:ascii="Arial" w:cs="Arial" w:eastAsia="Arial" w:hAnsi="Arial"/>
          <w:sz w:val="20"/>
          <w:szCs w:val="20"/>
        </w:rPr>
        <w:t xml:space="preserve">While economists like Storm (2025) warn of diminishing returns on AI investment, JPM's integration of Generative AI (IndexGPT) suggests a new 'S-Curve' of growth. JPM is transitioning between two distinct S-Curves: S-Curve A (Traditional Digitization), which has plateaued, and S-Curve B (Cognitive/Generative AI), whose growth phase is significantly steeper and longer. Because Generative AI is recursive — the AI helps write the code to improve itself — smaller institutions face a 'Data Poverty' trap, unable to train proprietary models that can compete with JPM's algorithmic monopoly.</w:t>
      </w:r>
    </w:p>
    <w:p>
      <w:pPr>
        <w:pBdr>
          <w:bottom w:val="single" w:color="1F4E79" w:sz="8" w:space="2"/>
        </w:pBdr>
        <w:spacing w:after="140" w:before="280"/>
      </w:pPr>
      <w:r>
        <w:rPr>
          <w:rFonts w:ascii="Arial" w:cs="Arial" w:eastAsia="Arial" w:hAnsi="Arial"/>
          <w:b/>
          <w:bCs/>
          <w:color w:val="1F4E79"/>
          <w:sz w:val="26"/>
          <w:szCs w:val="26"/>
        </w:rPr>
        <w:t xml:space="preserve">CHAPTER 3: COMPANY PROFILE &amp; RESEARCH METHODOLOGY</w:t>
      </w:r>
    </w:p>
    <w:p>
      <w:pPr>
        <w:spacing w:after="80" w:before="180"/>
      </w:pPr>
      <w:r>
        <w:rPr>
          <w:rFonts w:ascii="Arial" w:cs="Arial" w:eastAsia="Arial" w:hAnsi="Arial"/>
          <w:b/>
          <w:bCs/>
          <w:color w:val="2E75B6"/>
          <w:sz w:val="22"/>
          <w:szCs w:val="22"/>
        </w:rPr>
        <w:t xml:space="preserve">Company Profile: JPMorgan Chase &amp; Co.</w:t>
      </w:r>
    </w:p>
    <w:p>
      <w:pPr>
        <w:spacing w:after="80" w:before="80"/>
        <w:jc w:val="both"/>
      </w:pPr>
      <w:r>
        <w:rPr>
          <w:rFonts w:ascii="Arial" w:cs="Arial" w:eastAsia="Arial" w:hAnsi="Arial"/>
          <w:sz w:val="20"/>
          <w:szCs w:val="20"/>
        </w:rPr>
        <w:t xml:space="preserve">JPMorgan Chase traces its lineage back to 1799 with the founding of The Manhattan Company. The current institution is the product of over 1,200 predecessor firms, most notably the 2000 merger of Chase Manhattan and J.P. Morgan &amp; Co. and the 2004 acquisition of Bank One — which brought Jamie Dimon to the firm and established the 'Fortress Balance Sheet' philosophy. Today, JPM operates as a global data processor with $4.1 trillion in assets, 310,000 employees, 4,800+ branches across 60+ countries, and 60 million active digital customers.</w:t>
      </w:r>
    </w:p>
    <w:p>
      <w:pPr>
        <w:spacing w:after="80" w:before="80"/>
        <w:jc w:val="both"/>
      </w:pPr>
      <w:r>
        <w:rPr>
          <w:rFonts w:ascii="Arial" w:cs="Arial" w:eastAsia="Arial" w:hAnsi="Arial"/>
          <w:sz w:val="20"/>
          <w:szCs w:val="20"/>
        </w:rPr>
        <w:t xml:space="preserve">As of 2026, JPM's workforce has undergone a 'Human Capital Metamorphosis,' increasing tech-specific roles by 20% to over 55,000 engineers and data scientists. The engineer-to-banker ratio in key segments is approaching 1:1. Strategic hubs in Mumbai, Bengaluru, Manila, and Warsaw serve as Centers of Excellence for AI development and risk modeling, ensuring the bank's 'Digital Nervous System' operates 24/7 via the 'Follow-the-Sun' model.</w:t>
      </w:r>
    </w:p>
    <w:p>
      <w:pPr>
        <w:spacing w:after="80" w:before="180"/>
      </w:pPr>
      <w:r>
        <w:rPr>
          <w:rFonts w:ascii="Arial" w:cs="Arial" w:eastAsia="Arial" w:hAnsi="Arial"/>
          <w:b/>
          <w:bCs/>
          <w:color w:val="2E75B6"/>
          <w:sz w:val="22"/>
          <w:szCs w:val="22"/>
        </w:rPr>
        <w:t xml:space="preserve">Quantitative Framework and Data Sourcing</w:t>
      </w:r>
    </w:p>
    <w:p>
      <w:pPr>
        <w:spacing w:after="80" w:before="80"/>
        <w:jc w:val="both"/>
      </w:pPr>
      <w:r>
        <w:rPr>
          <w:rFonts w:ascii="Arial" w:cs="Arial" w:eastAsia="Arial" w:hAnsi="Arial"/>
          <w:sz w:val="20"/>
          <w:szCs w:val="20"/>
        </w:rPr>
        <w:t xml:space="preserve">This study utilizes a deductive, quantitative research design applying established financial theories — specifically the Time Value of Money (TVM) and the Theory of the Firm — to the specific case of JPMorgan Chase. Data was segmented into two distinct temporal phases:</w:t>
      </w:r>
    </w:p>
    <w:p>
      <w:pPr>
        <w:pStyle w:val="ListParagraph"/>
        <w:numPr>
          <w:ilvl w:val="0"/>
          <w:numId w:val="2"/>
        </w:numPr>
        <w:spacing w:after="60" w:before="60"/>
      </w:pPr>
      <w:r>
        <w:rPr>
          <w:rFonts w:ascii="Arial" w:cs="Arial" w:eastAsia="Arial" w:hAnsi="Arial"/>
          <w:sz w:val="20"/>
          <w:szCs w:val="20"/>
        </w:rPr>
        <w:t xml:space="preserve">Historical Phase (2020–2024): Data sourced from JPM's SEC Form 10-K filings, quarterly earnings calls, CEO annual letters to shareholders, and Google Finance/Bloomberg for EPS and diluted share verification.</w:t>
      </w:r>
    </w:p>
    <w:p>
      <w:pPr>
        <w:pStyle w:val="ListParagraph"/>
        <w:numPr>
          <w:ilvl w:val="0"/>
          <w:numId w:val="2"/>
        </w:numPr>
        <w:spacing w:after="60" w:before="60"/>
      </w:pPr>
      <w:r>
        <w:rPr>
          <w:rFonts w:ascii="Arial" w:cs="Arial" w:eastAsia="Arial" w:hAnsi="Arial"/>
          <w:sz w:val="20"/>
          <w:szCs w:val="20"/>
        </w:rPr>
        <w:t xml:space="preserve">Forecasting Phase (2025–2027): EPS projections based on a Compound Annual Growth Rate (CAGR) of 8%, synthesized from Organic Growth (6.5%) plus an AI Efficiency Premium (1.5%) representing the alpha generated by AI adoption.</w:t>
      </w:r>
    </w:p>
    <w:p>
      <w:pPr>
        <w:spacing w:after="80" w:before="180"/>
      </w:pPr>
      <w:r>
        <w:rPr>
          <w:rFonts w:ascii="Arial" w:cs="Arial" w:eastAsia="Arial" w:hAnsi="Arial"/>
          <w:b/>
          <w:bCs/>
          <w:color w:val="2E75B6"/>
          <w:sz w:val="22"/>
          <w:szCs w:val="22"/>
        </w:rPr>
        <w:t xml:space="preserve">Mathematical Model: Present Value (PV)</w:t>
      </w:r>
    </w:p>
    <w:p>
      <w:pPr>
        <w:spacing w:after="80" w:before="80"/>
        <w:jc w:val="both"/>
      </w:pPr>
      <w:r>
        <w:rPr>
          <w:rFonts w:ascii="Arial" w:cs="Arial" w:eastAsia="Arial" w:hAnsi="Arial"/>
          <w:sz w:val="20"/>
          <w:szCs w:val="20"/>
        </w:rPr>
        <w:t xml:space="preserve">To determine the intrinsic worth of JPM's AI-driven future, this study employs the Present Value formula:</w:t>
      </w:r>
    </w:p>
    <w:p>
      <w:pPr>
        <w:spacing w:after="120" w:before="120"/>
        <w:jc w:val="center"/>
      </w:pPr>
      <w:r>
        <w:rPr>
          <w:rFonts w:ascii="Arial" w:cs="Arial" w:eastAsia="Arial" w:hAnsi="Arial"/>
          <w:b/>
          <w:bCs/>
          <w:color w:val="1F4E79"/>
          <w:sz w:val="24"/>
          <w:szCs w:val="24"/>
        </w:rPr>
        <w:t xml:space="preserve">PV = FV / (1 + r)ⁿ</w:t>
      </w:r>
    </w:p>
    <w:p>
      <w:pPr>
        <w:spacing w:after="80" w:before="80"/>
        <w:jc w:val="both"/>
      </w:pPr>
      <w:r>
        <w:rPr>
          <w:rFonts w:ascii="Arial" w:cs="Arial" w:eastAsia="Arial" w:hAnsi="Arial"/>
          <w:sz w:val="20"/>
          <w:szCs w:val="20"/>
        </w:rPr>
        <w:t xml:space="preserve">Where: FV = Forecasted EPS for the year; r = Discount Rate fixed at 10% (representing required rate of return for a large-cap bank); n = Number of years from base year 2024. The 10% discount rate is a conservative 'Hurdle Rate' representing a blend of the risk-free rate plus a premium for market volatility.</w:t>
      </w:r>
    </w:p>
    <w:p>
      <w:pPr>
        <w:spacing w:after="80" w:before="180"/>
      </w:pPr>
      <w:r>
        <w:rPr>
          <w:rFonts w:ascii="Arial" w:cs="Arial" w:eastAsia="Arial" w:hAnsi="Arial"/>
          <w:b/>
          <w:bCs/>
          <w:color w:val="2E75B6"/>
          <w:sz w:val="22"/>
          <w:szCs w:val="22"/>
        </w:rPr>
        <w:t xml:space="preserve">Sensitivity Analysis Framework</w:t>
      </w:r>
    </w:p>
    <w:p>
      <w:pPr>
        <w:spacing w:after="80" w:before="80"/>
        <w:jc w:val="both"/>
      </w:pPr>
      <w:r>
        <w:rPr>
          <w:rFonts w:ascii="Arial" w:cs="Arial" w:eastAsia="Arial" w:hAnsi="Arial"/>
          <w:sz w:val="20"/>
          <w:szCs w:val="20"/>
        </w:rPr>
        <w:t xml:space="preserve">Three scenarios were tested — Bear Case (5% CAGR), Base Case (8% CAGR), and Bull Case (12% CAGR) — to determine the margin of safety for the 'AI Profitable' conclusion and validate robustness under varying economic conditions.</w:t>
      </w:r>
    </w:p>
    <w:p>
      <w:pPr>
        <w:pBdr>
          <w:bottom w:val="single" w:color="1F4E79" w:sz="8" w:space="2"/>
        </w:pBdr>
        <w:spacing w:after="140" w:before="280"/>
      </w:pPr>
      <w:r>
        <w:rPr>
          <w:rFonts w:ascii="Arial" w:cs="Arial" w:eastAsia="Arial" w:hAnsi="Arial"/>
          <w:b/>
          <w:bCs/>
          <w:color w:val="1F4E79"/>
          <w:sz w:val="26"/>
          <w:szCs w:val="26"/>
        </w:rPr>
        <w:t xml:space="preserve">CHAPTER 4: DATA ANALYSIS &amp; INTERPRETATION</w:t>
      </w:r>
    </w:p>
    <w:p>
      <w:pPr>
        <w:spacing w:after="80" w:before="180"/>
      </w:pPr>
      <w:r>
        <w:rPr>
          <w:rFonts w:ascii="Arial" w:cs="Arial" w:eastAsia="Arial" w:hAnsi="Arial"/>
          <w:b/>
          <w:bCs/>
          <w:color w:val="2E75B6"/>
          <w:sz w:val="22"/>
          <w:szCs w:val="22"/>
        </w:rPr>
        <w:t xml:space="preserve">Master Financial Data Table (2020–2027)</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680"/>
        <w:gridCol w:w="1680"/>
        <w:gridCol w:w="2880"/>
      </w:tblGrid>
      <w:tr>
        <w:tc>
          <w:tcPr>
            <w:tcW w:type="dxa" w:w="15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Year</w:t>
            </w:r>
          </w:p>
        </w:tc>
        <w:tc>
          <w:tcPr>
            <w:tcW w:type="dxa" w:w="15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Revenue ($B)</w:t>
            </w:r>
          </w:p>
        </w:tc>
        <w:tc>
          <w:tcPr>
            <w:tcW w:type="dxa" w:w="1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Net Income ($B)</w:t>
            </w:r>
          </w:p>
        </w:tc>
        <w:tc>
          <w:tcPr>
            <w:tcW w:type="dxa" w:w="1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EPS ($)</w:t>
            </w:r>
          </w:p>
        </w:tc>
        <w:tc>
          <w:tcPr>
            <w:tcW w:type="dxa" w:w="28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Efficiency Ratio (%)</w:t>
            </w:r>
          </w:p>
        </w:tc>
      </w:tr>
      <w:tr>
        <w:tc>
          <w:tcPr>
            <w:tcW w:type="dxa" w:w="156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left"/>
            </w:pPr>
            <w:r>
              <w:rPr>
                <w:rFonts w:ascii="Arial" w:cs="Arial" w:eastAsia="Arial" w:hAnsi="Arial"/>
                <w:sz w:val="18"/>
                <w:szCs w:val="18"/>
              </w:rPr>
              <w:t xml:space="preserve">2020 (A)</w:t>
            </w:r>
          </w:p>
        </w:tc>
        <w:tc>
          <w:tcPr>
            <w:tcW w:type="dxa" w:w="156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$119.5</w:t>
            </w:r>
          </w:p>
        </w:tc>
        <w:tc>
          <w:tcPr>
            <w:tcW w:type="dxa" w:w="168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$29.1</w:t>
            </w:r>
          </w:p>
        </w:tc>
        <w:tc>
          <w:tcPr>
            <w:tcW w:type="dxa" w:w="168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$8.88</w:t>
            </w:r>
          </w:p>
        </w:tc>
        <w:tc>
          <w:tcPr>
            <w:tcW w:type="dxa" w:w="288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58.0%</w:t>
            </w:r>
          </w:p>
        </w:tc>
      </w:tr>
      <w:tr>
        <w:tc>
          <w:tcPr>
            <w:tcW w:type="dxa" w:w="15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Arial" w:cs="Arial" w:eastAsia="Arial" w:hAnsi="Arial"/>
                <w:sz w:val="18"/>
                <w:szCs w:val="18"/>
              </w:rPr>
              <w:t xml:space="preserve">2021 (A)</w:t>
            </w:r>
          </w:p>
        </w:tc>
        <w:tc>
          <w:tcPr>
            <w:tcW w:type="dxa" w:w="15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$121.6</w:t>
            </w:r>
          </w:p>
        </w:tc>
        <w:tc>
          <w:tcPr>
            <w:tcW w:type="dxa" w:w="168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$48.3</w:t>
            </w:r>
          </w:p>
        </w:tc>
        <w:tc>
          <w:tcPr>
            <w:tcW w:type="dxa" w:w="168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$15.36</w:t>
            </w:r>
          </w:p>
        </w:tc>
        <w:tc>
          <w:tcPr>
            <w:tcW w:type="dxa" w:w="288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58.0%</w:t>
            </w:r>
          </w:p>
        </w:tc>
      </w:tr>
      <w:tr>
        <w:tc>
          <w:tcPr>
            <w:tcW w:type="dxa" w:w="156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left"/>
            </w:pPr>
            <w:r>
              <w:rPr>
                <w:rFonts w:ascii="Arial" w:cs="Arial" w:eastAsia="Arial" w:hAnsi="Arial"/>
                <w:sz w:val="18"/>
                <w:szCs w:val="18"/>
              </w:rPr>
              <w:t xml:space="preserve">2022 (A)</w:t>
            </w:r>
          </w:p>
        </w:tc>
        <w:tc>
          <w:tcPr>
            <w:tcW w:type="dxa" w:w="156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$128.7</w:t>
            </w:r>
          </w:p>
        </w:tc>
        <w:tc>
          <w:tcPr>
            <w:tcW w:type="dxa" w:w="168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$37.7</w:t>
            </w:r>
          </w:p>
        </w:tc>
        <w:tc>
          <w:tcPr>
            <w:tcW w:type="dxa" w:w="168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$12.09</w:t>
            </w:r>
          </w:p>
        </w:tc>
        <w:tc>
          <w:tcPr>
            <w:tcW w:type="dxa" w:w="288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57.0%</w:t>
            </w:r>
          </w:p>
        </w:tc>
      </w:tr>
      <w:tr>
        <w:tc>
          <w:tcPr>
            <w:tcW w:type="dxa" w:w="15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Arial" w:cs="Arial" w:eastAsia="Arial" w:hAnsi="Arial"/>
                <w:sz w:val="18"/>
                <w:szCs w:val="18"/>
              </w:rPr>
              <w:t xml:space="preserve">2023 (A)</w:t>
            </w:r>
          </w:p>
        </w:tc>
        <w:tc>
          <w:tcPr>
            <w:tcW w:type="dxa" w:w="15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$158.1</w:t>
            </w:r>
          </w:p>
        </w:tc>
        <w:tc>
          <w:tcPr>
            <w:tcW w:type="dxa" w:w="168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$49.6</w:t>
            </w:r>
          </w:p>
        </w:tc>
        <w:tc>
          <w:tcPr>
            <w:tcW w:type="dxa" w:w="168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$16.23</w:t>
            </w:r>
          </w:p>
        </w:tc>
        <w:tc>
          <w:tcPr>
            <w:tcW w:type="dxa" w:w="288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55.0%</w:t>
            </w:r>
          </w:p>
        </w:tc>
      </w:tr>
      <w:tr>
        <w:tc>
          <w:tcPr>
            <w:tcW w:type="dxa" w:w="156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left"/>
            </w:pPr>
            <w:r>
              <w:rPr>
                <w:rFonts w:ascii="Arial" w:cs="Arial" w:eastAsia="Arial" w:hAnsi="Arial"/>
                <w:sz w:val="18"/>
                <w:szCs w:val="18"/>
              </w:rPr>
              <w:t xml:space="preserve">2024 (A)</w:t>
            </w:r>
          </w:p>
        </w:tc>
        <w:tc>
          <w:tcPr>
            <w:tcW w:type="dxa" w:w="156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$180.6</w:t>
            </w:r>
          </w:p>
        </w:tc>
        <w:tc>
          <w:tcPr>
            <w:tcW w:type="dxa" w:w="168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$58.5</w:t>
            </w:r>
          </w:p>
        </w:tc>
        <w:tc>
          <w:tcPr>
            <w:tcW w:type="dxa" w:w="168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$19.75</w:t>
            </w:r>
          </w:p>
        </w:tc>
        <w:tc>
          <w:tcPr>
            <w:tcW w:type="dxa" w:w="288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53.0%</w:t>
            </w:r>
          </w:p>
        </w:tc>
      </w:tr>
      <w:tr>
        <w:tc>
          <w:tcPr>
            <w:tcW w:type="dxa" w:w="15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Arial" w:cs="Arial" w:eastAsia="Arial" w:hAnsi="Arial"/>
                <w:sz w:val="18"/>
                <w:szCs w:val="18"/>
              </w:rPr>
              <w:t xml:space="preserve">2025 (F)</w:t>
            </w:r>
          </w:p>
        </w:tc>
        <w:tc>
          <w:tcPr>
            <w:tcW w:type="dxa" w:w="15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$195.0</w:t>
            </w:r>
          </w:p>
        </w:tc>
        <w:tc>
          <w:tcPr>
            <w:tcW w:type="dxa" w:w="168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$62.1</w:t>
            </w:r>
          </w:p>
        </w:tc>
        <w:tc>
          <w:tcPr>
            <w:tcW w:type="dxa" w:w="168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$21.33</w:t>
            </w:r>
          </w:p>
        </w:tc>
        <w:tc>
          <w:tcPr>
            <w:tcW w:type="dxa" w:w="288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51.5%</w:t>
            </w:r>
          </w:p>
        </w:tc>
      </w:tr>
      <w:tr>
        <w:tc>
          <w:tcPr>
            <w:tcW w:type="dxa" w:w="156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left"/>
            </w:pPr>
            <w:r>
              <w:rPr>
                <w:rFonts w:ascii="Arial" w:cs="Arial" w:eastAsia="Arial" w:hAnsi="Arial"/>
                <w:sz w:val="18"/>
                <w:szCs w:val="18"/>
              </w:rPr>
              <w:t xml:space="preserve">2026 (F)</w:t>
            </w:r>
          </w:p>
        </w:tc>
        <w:tc>
          <w:tcPr>
            <w:tcW w:type="dxa" w:w="156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$210.6</w:t>
            </w:r>
          </w:p>
        </w:tc>
        <w:tc>
          <w:tcPr>
            <w:tcW w:type="dxa" w:w="168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$67.0</w:t>
            </w:r>
          </w:p>
        </w:tc>
        <w:tc>
          <w:tcPr>
            <w:tcW w:type="dxa" w:w="168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$23.04</w:t>
            </w:r>
          </w:p>
        </w:tc>
        <w:tc>
          <w:tcPr>
            <w:tcW w:type="dxa" w:w="288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50.0%</w:t>
            </w:r>
          </w:p>
        </w:tc>
      </w:tr>
      <w:tr>
        <w:tc>
          <w:tcPr>
            <w:tcW w:type="dxa" w:w="15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Arial" w:cs="Arial" w:eastAsia="Arial" w:hAnsi="Arial"/>
                <w:sz w:val="18"/>
                <w:szCs w:val="18"/>
              </w:rPr>
              <w:t xml:space="preserve">2027 (F)</w:t>
            </w:r>
          </w:p>
        </w:tc>
        <w:tc>
          <w:tcPr>
            <w:tcW w:type="dxa" w:w="15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$227.4</w:t>
            </w:r>
          </w:p>
        </w:tc>
        <w:tc>
          <w:tcPr>
            <w:tcW w:type="dxa" w:w="168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$72.4</w:t>
            </w:r>
          </w:p>
        </w:tc>
        <w:tc>
          <w:tcPr>
            <w:tcW w:type="dxa" w:w="168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$24.88</w:t>
            </w:r>
          </w:p>
        </w:tc>
        <w:tc>
          <w:tcPr>
            <w:tcW w:type="dxa" w:w="288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49.0%</w:t>
            </w:r>
          </w:p>
        </w:tc>
      </w:tr>
    </w:tbl>
    <w:p>
      <w:pPr>
        <w:spacing w:after="80" w:before="80"/>
      </w:pPr>
      <w:r>
        <w:rPr>
          <w:rFonts w:ascii="Arial" w:cs="Arial" w:eastAsia="Arial" w:hAnsi="Arial"/>
          <w:i/>
          <w:iCs/>
          <w:color w:val="666666"/>
          <w:sz w:val="18"/>
          <w:szCs w:val="18"/>
        </w:rPr>
        <w:t xml:space="preserve">Note: (A) = Actual; (F) = Forecasted based on 8% CAGR with 1.5% AI Efficiency Premium.</w:t>
      </w:r>
    </w:p>
    <w:p>
      <w:pPr>
        <w:spacing w:after="80" w:before="80"/>
        <w:jc w:val="both"/>
      </w:pPr>
      <w:r>
        <w:rPr>
          <w:rFonts w:ascii="Arial" w:cs="Arial" w:eastAsia="Arial" w:hAnsi="Arial"/>
          <w:sz w:val="20"/>
          <w:szCs w:val="20"/>
        </w:rPr>
        <w:t xml:space="preserve">The 2022 EPS dip to $12.09 reflects interest rate shocks and macroeconomic headwinds, while the subsequent climb to a projected $24.88 by 2027 illustrates the 'AI Compounding Effect' — as each iteration of AI improvement compounds the previous year's efficiency gains into an accelerating growth trajectory.</w:t>
      </w:r>
    </w:p>
    <w:p>
      <w:pPr>
        <w:spacing w:after="80" w:before="180"/>
      </w:pPr>
      <w:r>
        <w:rPr>
          <w:rFonts w:ascii="Arial" w:cs="Arial" w:eastAsia="Arial" w:hAnsi="Arial"/>
          <w:b/>
          <w:bCs/>
          <w:color w:val="2E75B6"/>
          <w:sz w:val="22"/>
          <w:szCs w:val="22"/>
        </w:rPr>
        <w:t xml:space="preserve">Present Value (PV) Analysis (2025–2027)</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Forecast Year</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Future EPS (FV)</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PV Factor: 1/(1.10)ⁿ</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Present Value (PV)</w:t>
            </w:r>
          </w:p>
        </w:tc>
      </w:tr>
      <w:tr>
        <w:tc>
          <w:tcPr>
            <w:tcW w:type="dxa" w:w="234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left"/>
            </w:pPr>
            <w:r>
              <w:rPr>
                <w:rFonts w:ascii="Arial" w:cs="Arial" w:eastAsia="Arial" w:hAnsi="Arial"/>
                <w:sz w:val="18"/>
                <w:szCs w:val="18"/>
              </w:rPr>
              <w:t xml:space="preserve">2025 (n=1)</w:t>
            </w:r>
          </w:p>
        </w:tc>
        <w:tc>
          <w:tcPr>
            <w:tcW w:type="dxa" w:w="234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$21.33</w:t>
            </w:r>
          </w:p>
        </w:tc>
        <w:tc>
          <w:tcPr>
            <w:tcW w:type="dxa" w:w="234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0.909</w:t>
            </w:r>
          </w:p>
        </w:tc>
        <w:tc>
          <w:tcPr>
            <w:tcW w:type="dxa" w:w="234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$19.39</w:t>
            </w:r>
          </w:p>
        </w:tc>
      </w:tr>
      <w:tr>
        <w:tc>
          <w:tcPr>
            <w:tcW w:type="dxa" w:w="234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Arial" w:cs="Arial" w:eastAsia="Arial" w:hAnsi="Arial"/>
                <w:sz w:val="18"/>
                <w:szCs w:val="18"/>
              </w:rPr>
              <w:t xml:space="preserve">2026 (n=2)</w:t>
            </w:r>
          </w:p>
        </w:tc>
        <w:tc>
          <w:tcPr>
            <w:tcW w:type="dxa" w:w="234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$23.04</w:t>
            </w:r>
          </w:p>
        </w:tc>
        <w:tc>
          <w:tcPr>
            <w:tcW w:type="dxa" w:w="234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0.826</w:t>
            </w:r>
          </w:p>
        </w:tc>
        <w:tc>
          <w:tcPr>
            <w:tcW w:type="dxa" w:w="234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$19.03</w:t>
            </w:r>
          </w:p>
        </w:tc>
      </w:tr>
      <w:tr>
        <w:tc>
          <w:tcPr>
            <w:tcW w:type="dxa" w:w="234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left"/>
            </w:pPr>
            <w:r>
              <w:rPr>
                <w:rFonts w:ascii="Arial" w:cs="Arial" w:eastAsia="Arial" w:hAnsi="Arial"/>
                <w:sz w:val="18"/>
                <w:szCs w:val="18"/>
              </w:rPr>
              <w:t xml:space="preserve">2027 (n=3)</w:t>
            </w:r>
          </w:p>
        </w:tc>
        <w:tc>
          <w:tcPr>
            <w:tcW w:type="dxa" w:w="234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$24.88</w:t>
            </w:r>
          </w:p>
        </w:tc>
        <w:tc>
          <w:tcPr>
            <w:tcW w:type="dxa" w:w="234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0.751</w:t>
            </w:r>
          </w:p>
        </w:tc>
        <w:tc>
          <w:tcPr>
            <w:tcW w:type="dxa" w:w="234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$18.68</w:t>
            </w:r>
          </w:p>
        </w:tc>
      </w:tr>
    </w:tbl>
    <w:p>
      <w:pPr>
        <w:spacing w:after="80" w:before="80"/>
        <w:jc w:val="both"/>
      </w:pPr>
      <w:r>
        <w:rPr>
          <w:rFonts w:ascii="Arial" w:cs="Arial" w:eastAsia="Arial" w:hAnsi="Arial"/>
          <w:sz w:val="20"/>
          <w:szCs w:val="20"/>
        </w:rPr>
        <w:t xml:space="preserve">The Present Value analysis proves that even with a high 10% discount rate, JPM's future earnings are remarkably resilient. The 2027 EPS of $24.88 retains 75.1% of its face value ($18.68) when discounted to 2024 terms — a 'Value Density' figure that demonstrates JPM has successfully decoupled itself from the slow-growth stigma of the financial sector.</w:t>
      </w:r>
    </w:p>
    <w:p>
      <w:pPr>
        <w:spacing w:after="80" w:before="180"/>
      </w:pPr>
      <w:r>
        <w:rPr>
          <w:rFonts w:ascii="Arial" w:cs="Arial" w:eastAsia="Arial" w:hAnsi="Arial"/>
          <w:b/>
          <w:bCs/>
          <w:color w:val="2E75B6"/>
          <w:sz w:val="22"/>
          <w:szCs w:val="22"/>
        </w:rPr>
        <w:t xml:space="preserve">Sensitivity Analysis: Bear, Base, and Bull Cases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1440"/>
        <w:gridCol w:w="1200"/>
        <w:gridCol w:w="1680"/>
        <w:gridCol w:w="3600"/>
      </w:tblGrid>
      <w:tr>
        <w:tc>
          <w:tcPr>
            <w:tcW w:type="dxa" w:w="14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Scenario</w:t>
            </w:r>
          </w:p>
        </w:tc>
        <w:tc>
          <w:tcPr>
            <w:tcW w:type="dxa" w:w="14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2027 EPS ($)</w:t>
            </w:r>
          </w:p>
        </w:tc>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PV Factor</w:t>
            </w:r>
          </w:p>
        </w:tc>
        <w:tc>
          <w:tcPr>
            <w:tcW w:type="dxa" w:w="1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Present Value</w:t>
            </w:r>
          </w:p>
        </w:tc>
        <w:tc>
          <w:tcPr>
            <w:tcW w:type="dxa" w:w="36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Justification</w:t>
            </w:r>
          </w:p>
        </w:tc>
      </w:tr>
      <w:tr>
        <w:tc>
          <w:tcPr>
            <w:tcW w:type="dxa" w:w="144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left"/>
            </w:pPr>
            <w:r>
              <w:rPr>
                <w:rFonts w:ascii="Arial" w:cs="Arial" w:eastAsia="Arial" w:hAnsi="Arial"/>
                <w:sz w:val="18"/>
                <w:szCs w:val="18"/>
              </w:rPr>
              <w:t xml:space="preserve">Bear (5% CAGR)</w:t>
            </w:r>
          </w:p>
        </w:tc>
        <w:tc>
          <w:tcPr>
            <w:tcW w:type="dxa" w:w="144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$22.86</w:t>
            </w:r>
          </w:p>
        </w:tc>
        <w:tc>
          <w:tcPr>
            <w:tcW w:type="dxa" w:w="12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0.7513</w:t>
            </w:r>
          </w:p>
        </w:tc>
        <w:tc>
          <w:tcPr>
            <w:tcW w:type="dxa" w:w="168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$17.18</w:t>
            </w:r>
          </w:p>
        </w:tc>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High inflation, regulatory headwinds, AI diminishing returns</w:t>
            </w:r>
          </w:p>
        </w:tc>
      </w:tr>
      <w:tr>
        <w:tc>
          <w:tcPr>
            <w:tcW w:type="dxa" w:w="144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Arial" w:cs="Arial" w:eastAsia="Arial" w:hAnsi="Arial"/>
                <w:sz w:val="18"/>
                <w:szCs w:val="18"/>
              </w:rPr>
              <w:t xml:space="preserve">Base (8% CAGR)</w:t>
            </w:r>
          </w:p>
        </w:tc>
        <w:tc>
          <w:tcPr>
            <w:tcW w:type="dxa" w:w="144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$24.88</w:t>
            </w:r>
          </w:p>
        </w:tc>
        <w:tc>
          <w:tcPr>
            <w:tcW w:type="dxa" w:w="12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0.7513</w:t>
            </w:r>
          </w:p>
        </w:tc>
        <w:tc>
          <w:tcPr>
            <w:tcW w:type="dxa" w:w="168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$18.69</w:t>
            </w:r>
          </w:p>
        </w:tc>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Stable growth + 1.5% AI Efficiency Premium</w:t>
            </w:r>
          </w:p>
        </w:tc>
      </w:tr>
      <w:tr>
        <w:tc>
          <w:tcPr>
            <w:tcW w:type="dxa" w:w="144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left"/>
            </w:pPr>
            <w:r>
              <w:rPr>
                <w:rFonts w:ascii="Arial" w:cs="Arial" w:eastAsia="Arial" w:hAnsi="Arial"/>
                <w:sz w:val="18"/>
                <w:szCs w:val="18"/>
              </w:rPr>
              <w:t xml:space="preserve">Bull (12% CAGR)</w:t>
            </w:r>
          </w:p>
        </w:tc>
        <w:tc>
          <w:tcPr>
            <w:tcW w:type="dxa" w:w="144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$27.75</w:t>
            </w:r>
          </w:p>
        </w:tc>
        <w:tc>
          <w:tcPr>
            <w:tcW w:type="dxa" w:w="12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0.7513</w:t>
            </w:r>
          </w:p>
        </w:tc>
        <w:tc>
          <w:tcPr>
            <w:tcW w:type="dxa" w:w="168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$20.85</w:t>
            </w:r>
          </w:p>
        </w:tc>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Rapid GenAI adoption, 30% ops loss reduction, winner-take-all</w:t>
            </w:r>
          </w:p>
        </w:tc>
      </w:tr>
    </w:tbl>
    <w:p>
      <w:pPr>
        <w:spacing w:after="80" w:before="80"/>
        <w:jc w:val="both"/>
      </w:pPr>
      <w:r>
        <w:rPr>
          <w:rFonts w:ascii="Arial" w:cs="Arial" w:eastAsia="Arial" w:hAnsi="Arial"/>
          <w:sz w:val="20"/>
          <w:szCs w:val="20"/>
        </w:rPr>
        <w:t xml:space="preserve">The narrow $3.67 spread between Bear and Bull cases suggests that JPM's diversified revenue streams and massive asset base act as a 'Volatility Dampener.' The additional $2.16 of PV in the Bull Case versus the Base Case represents the 'AI Alpha' — the specific value created when technology transitions from a cost-cutting tool to a primary revenue driver.</w:t>
      </w:r>
    </w:p>
    <w:p>
      <w:pPr>
        <w:spacing w:after="80" w:before="180"/>
      </w:pPr>
      <w:r>
        <w:rPr>
          <w:rFonts w:ascii="Arial" w:cs="Arial" w:eastAsia="Arial" w:hAnsi="Arial"/>
          <w:b/>
          <w:bCs/>
          <w:color w:val="2E75B6"/>
          <w:sz w:val="22"/>
          <w:szCs w:val="22"/>
        </w:rPr>
        <w:t xml:space="preserve">Revenue Segmentation (2024)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Business Segment</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Revenue ($B)</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Share of Total</w:t>
            </w:r>
          </w:p>
        </w:tc>
      </w:tr>
      <w:tr>
        <w:tc>
          <w:tcPr>
            <w:tcW w:type="dxa" w:w="468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left"/>
            </w:pPr>
            <w:r>
              <w:rPr>
                <w:rFonts w:ascii="Arial" w:cs="Arial" w:eastAsia="Arial" w:hAnsi="Arial"/>
                <w:sz w:val="18"/>
                <w:szCs w:val="18"/>
              </w:rPr>
              <w:t xml:space="preserve">Consumer &amp; Community Banking (CCB)</w:t>
            </w:r>
          </w:p>
        </w:tc>
        <w:tc>
          <w:tcPr>
            <w:tcW w:type="dxa" w:w="234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$72.2B</w:t>
            </w:r>
          </w:p>
        </w:tc>
        <w:tc>
          <w:tcPr>
            <w:tcW w:type="dxa" w:w="234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40%</w:t>
            </w:r>
          </w:p>
        </w:tc>
      </w:tr>
      <w:tr>
        <w:tc>
          <w:tcPr>
            <w:tcW w:type="dxa" w:w="468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Arial" w:cs="Arial" w:eastAsia="Arial" w:hAnsi="Arial"/>
                <w:sz w:val="18"/>
                <w:szCs w:val="18"/>
              </w:rPr>
              <w:t xml:space="preserve">Corporate &amp; Investment Bank (CIB)</w:t>
            </w:r>
          </w:p>
        </w:tc>
        <w:tc>
          <w:tcPr>
            <w:tcW w:type="dxa" w:w="234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$70.4B</w:t>
            </w:r>
          </w:p>
        </w:tc>
        <w:tc>
          <w:tcPr>
            <w:tcW w:type="dxa" w:w="234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39%</w:t>
            </w:r>
          </w:p>
        </w:tc>
      </w:tr>
      <w:tr>
        <w:tc>
          <w:tcPr>
            <w:tcW w:type="dxa" w:w="468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left"/>
            </w:pPr>
            <w:r>
              <w:rPr>
                <w:rFonts w:ascii="Arial" w:cs="Arial" w:eastAsia="Arial" w:hAnsi="Arial"/>
                <w:sz w:val="18"/>
                <w:szCs w:val="18"/>
              </w:rPr>
              <w:t xml:space="preserve">Asset &amp; Wealth Management (AWM)</w:t>
            </w:r>
          </w:p>
        </w:tc>
        <w:tc>
          <w:tcPr>
            <w:tcW w:type="dxa" w:w="234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$19.8B</w:t>
            </w:r>
          </w:p>
        </w:tc>
        <w:tc>
          <w:tcPr>
            <w:tcW w:type="dxa" w:w="234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11%</w:t>
            </w:r>
          </w:p>
        </w:tc>
      </w:tr>
      <w:tr>
        <w:tc>
          <w:tcPr>
            <w:tcW w:type="dxa" w:w="468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Arial" w:cs="Arial" w:eastAsia="Arial" w:hAnsi="Arial"/>
                <w:sz w:val="18"/>
                <w:szCs w:val="18"/>
              </w:rPr>
              <w:t xml:space="preserve">Commercial Banking (CB)</w:t>
            </w:r>
          </w:p>
        </w:tc>
        <w:tc>
          <w:tcPr>
            <w:tcW w:type="dxa" w:w="234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$18.2B</w:t>
            </w:r>
          </w:p>
        </w:tc>
        <w:tc>
          <w:tcPr>
            <w:tcW w:type="dxa" w:w="234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10%</w:t>
            </w:r>
          </w:p>
        </w:tc>
      </w:tr>
    </w:tbl>
    <w:p>
      <w:pPr>
        <w:spacing w:after="80" w:before="180"/>
      </w:pPr>
      <w:r>
        <w:rPr>
          <w:rFonts w:ascii="Arial" w:cs="Arial" w:eastAsia="Arial" w:hAnsi="Arial"/>
          <w:b/>
          <w:bCs/>
          <w:color w:val="2E75B6"/>
          <w:sz w:val="22"/>
          <w:szCs w:val="22"/>
        </w:rPr>
        <w:t xml:space="preserve">AI Operational Efficiency Dashboard (2020–2027)</w:t>
      </w:r>
    </w:p>
    <w:tbl>
      <w:tblPr>
        <w:tblW w:type="dxa" w:w="8160"/>
        <w:tblBorders>
          <w:top w:val="single" w:color="auto" w:sz="4"/>
          <w:left w:val="single" w:color="auto" w:sz="4"/>
          <w:bottom w:val="single" w:color="auto" w:sz="4"/>
          <w:right w:val="single" w:color="auto" w:sz="4"/>
          <w:insideH w:val="single" w:color="auto" w:sz="4"/>
          <w:insideV w:val="single" w:color="auto" w:sz="4"/>
        </w:tblBorders>
      </w:tblPr>
      <w:tblGrid>
        <w:gridCol w:w="3360"/>
        <w:gridCol w:w="1200"/>
        <w:gridCol w:w="1200"/>
        <w:gridCol w:w="1200"/>
        <w:gridCol w:w="1200"/>
      </w:tblGrid>
      <w:tr>
        <w:tc>
          <w:tcPr>
            <w:tcW w:type="dxa" w:w="33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Efficiency Metric</w:t>
            </w:r>
          </w:p>
        </w:tc>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2020</w:t>
            </w:r>
          </w:p>
        </w:tc>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2023</w:t>
            </w:r>
          </w:p>
        </w:tc>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2025 (E)</w:t>
            </w:r>
          </w:p>
        </w:tc>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2027 (E)</w:t>
            </w:r>
          </w:p>
        </w:tc>
      </w:tr>
      <w:tr>
        <w:tc>
          <w:tcPr>
            <w:tcW w:type="dxa" w:w="336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left"/>
            </w:pPr>
            <w:r>
              <w:rPr>
                <w:rFonts w:ascii="Arial" w:cs="Arial" w:eastAsia="Arial" w:hAnsi="Arial"/>
                <w:sz w:val="18"/>
                <w:szCs w:val="18"/>
              </w:rPr>
              <w:t xml:space="preserve">Customer Interactions via AI Chat</w:t>
            </w:r>
          </w:p>
        </w:tc>
        <w:tc>
          <w:tcPr>
            <w:tcW w:type="dxa" w:w="12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12%</w:t>
            </w:r>
          </w:p>
        </w:tc>
        <w:tc>
          <w:tcPr>
            <w:tcW w:type="dxa" w:w="12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38%</w:t>
            </w:r>
          </w:p>
        </w:tc>
        <w:tc>
          <w:tcPr>
            <w:tcW w:type="dxa" w:w="12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61%</w:t>
            </w:r>
          </w:p>
        </w:tc>
        <w:tc>
          <w:tcPr>
            <w:tcW w:type="dxa" w:w="12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84%</w:t>
            </w:r>
          </w:p>
        </w:tc>
      </w:tr>
      <w:tr>
        <w:tc>
          <w:tcPr>
            <w:tcW w:type="dxa" w:w="33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Arial" w:cs="Arial" w:eastAsia="Arial" w:hAnsi="Arial"/>
                <w:sz w:val="18"/>
                <w:szCs w:val="18"/>
              </w:rPr>
              <w:t xml:space="preserve">Manual Document Review Hours</w:t>
            </w:r>
          </w:p>
        </w:tc>
        <w:tc>
          <w:tcPr>
            <w:tcW w:type="dxa" w:w="12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450,000</w:t>
            </w:r>
          </w:p>
        </w:tc>
        <w:tc>
          <w:tcPr>
            <w:tcW w:type="dxa" w:w="12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110,000</w:t>
            </w:r>
          </w:p>
        </w:tc>
        <w:tc>
          <w:tcPr>
            <w:tcW w:type="dxa" w:w="12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45,000</w:t>
            </w:r>
          </w:p>
        </w:tc>
        <w:tc>
          <w:tcPr>
            <w:tcW w:type="dxa" w:w="12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12,000</w:t>
            </w:r>
          </w:p>
        </w:tc>
      </w:tr>
      <w:tr>
        <w:tc>
          <w:tcPr>
            <w:tcW w:type="dxa" w:w="336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left"/>
            </w:pPr>
            <w:r>
              <w:rPr>
                <w:rFonts w:ascii="Arial" w:cs="Arial" w:eastAsia="Arial" w:hAnsi="Arial"/>
                <w:sz w:val="18"/>
                <w:szCs w:val="18"/>
              </w:rPr>
              <w:t xml:space="preserve">Fraud Detection Accuracy (%)</w:t>
            </w:r>
          </w:p>
        </w:tc>
        <w:tc>
          <w:tcPr>
            <w:tcW w:type="dxa" w:w="12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82.4%</w:t>
            </w:r>
          </w:p>
        </w:tc>
        <w:tc>
          <w:tcPr>
            <w:tcW w:type="dxa" w:w="12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91.2%</w:t>
            </w:r>
          </w:p>
        </w:tc>
        <w:tc>
          <w:tcPr>
            <w:tcW w:type="dxa" w:w="12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96.8%</w:t>
            </w:r>
          </w:p>
        </w:tc>
        <w:tc>
          <w:tcPr>
            <w:tcW w:type="dxa" w:w="12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99.1%</w:t>
            </w:r>
          </w:p>
        </w:tc>
      </w:tr>
      <w:tr>
        <w:tc>
          <w:tcPr>
            <w:tcW w:type="dxa" w:w="33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Arial" w:cs="Arial" w:eastAsia="Arial" w:hAnsi="Arial"/>
                <w:sz w:val="18"/>
                <w:szCs w:val="18"/>
              </w:rPr>
              <w:t xml:space="preserve">Avg. Loan Approval Time (Retail)</w:t>
            </w:r>
          </w:p>
        </w:tc>
        <w:tc>
          <w:tcPr>
            <w:tcW w:type="dxa" w:w="12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4.2 Days</w:t>
            </w:r>
          </w:p>
        </w:tc>
        <w:tc>
          <w:tcPr>
            <w:tcW w:type="dxa" w:w="12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1.1 Days</w:t>
            </w:r>
          </w:p>
        </w:tc>
        <w:tc>
          <w:tcPr>
            <w:tcW w:type="dxa" w:w="12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45 Mins</w:t>
            </w:r>
          </w:p>
        </w:tc>
        <w:tc>
          <w:tcPr>
            <w:tcW w:type="dxa" w:w="12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8 Mins</w:t>
            </w:r>
          </w:p>
        </w:tc>
      </w:tr>
      <w:tr>
        <w:tc>
          <w:tcPr>
            <w:tcW w:type="dxa" w:w="336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left"/>
            </w:pPr>
            <w:r>
              <w:rPr>
                <w:rFonts w:ascii="Arial" w:cs="Arial" w:eastAsia="Arial" w:hAnsi="Arial"/>
                <w:sz w:val="18"/>
                <w:szCs w:val="18"/>
              </w:rPr>
              <w:t xml:space="preserve">Tech Spend as % of Revenue</w:t>
            </w:r>
          </w:p>
        </w:tc>
        <w:tc>
          <w:tcPr>
            <w:tcW w:type="dxa" w:w="12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7.9%</w:t>
            </w:r>
          </w:p>
        </w:tc>
        <w:tc>
          <w:tcPr>
            <w:tcW w:type="dxa" w:w="12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9.7%</w:t>
            </w:r>
          </w:p>
        </w:tc>
        <w:tc>
          <w:tcPr>
            <w:tcW w:type="dxa" w:w="12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9.6%</w:t>
            </w:r>
          </w:p>
        </w:tc>
        <w:tc>
          <w:tcPr>
            <w:tcW w:type="dxa" w:w="12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9.9%</w:t>
            </w:r>
          </w:p>
        </w:tc>
      </w:tr>
      <w:tr>
        <w:tc>
          <w:tcPr>
            <w:tcW w:type="dxa" w:w="33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Arial" w:cs="Arial" w:eastAsia="Arial" w:hAnsi="Arial"/>
                <w:sz w:val="18"/>
                <w:szCs w:val="18"/>
              </w:rPr>
              <w:t xml:space="preserve">Revenue per Employee ($k)</w:t>
            </w:r>
          </w:p>
        </w:tc>
        <w:tc>
          <w:tcPr>
            <w:tcW w:type="dxa" w:w="12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$466k</w:t>
            </w:r>
          </w:p>
        </w:tc>
        <w:tc>
          <w:tcPr>
            <w:tcW w:type="dxa" w:w="12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$588k</w:t>
            </w:r>
          </w:p>
        </w:tc>
        <w:tc>
          <w:tcPr>
            <w:tcW w:type="dxa" w:w="12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$645k</w:t>
            </w:r>
          </w:p>
        </w:tc>
        <w:tc>
          <w:tcPr>
            <w:tcW w:type="dxa" w:w="12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$712k</w:t>
            </w:r>
          </w:p>
        </w:tc>
      </w:tr>
    </w:tbl>
    <w:p>
      <w:pPr>
        <w:spacing w:after="80" w:before="80"/>
        <w:jc w:val="both"/>
      </w:pPr>
      <w:r>
        <w:rPr>
          <w:rFonts w:ascii="Arial" w:cs="Arial" w:eastAsia="Arial" w:hAnsi="Arial"/>
          <w:sz w:val="20"/>
          <w:szCs w:val="20"/>
        </w:rPr>
        <w:t xml:space="preserve">The AI Operational Efficiency Dashboard serves as the 'smoking gun' for the research thesis. Across every non-financial metric — from fraud detection accuracy (82.4% to 99.1%) to loan approval time (4.2 days to 8 minutes) — the data demonstrates a consistent, accelerating improvement directly attributable to AI adoption.</w:t>
      </w:r>
    </w:p>
    <w:p>
      <w:pPr>
        <w:spacing w:after="80" w:before="180"/>
      </w:pPr>
      <w:r>
        <w:rPr>
          <w:rFonts w:ascii="Arial" w:cs="Arial" w:eastAsia="Arial" w:hAnsi="Arial"/>
          <w:b/>
          <w:bCs/>
          <w:color w:val="2E75B6"/>
          <w:sz w:val="22"/>
          <w:szCs w:val="22"/>
        </w:rPr>
        <w:t xml:space="preserve">Is AI Adoption Profitable? — Quantitative Proof</w:t>
      </w:r>
    </w:p>
    <w:p>
      <w:pPr>
        <w:spacing w:after="80" w:before="80"/>
        <w:jc w:val="both"/>
      </w:pPr>
      <w:r>
        <w:rPr>
          <w:rFonts w:ascii="Arial" w:cs="Arial" w:eastAsia="Arial" w:hAnsi="Arial"/>
          <w:sz w:val="20"/>
          <w:szCs w:val="20"/>
        </w:rPr>
        <w:t xml:space="preserve">The Efficiency Ratio compression from 58% (2020) to a projected 49% (2027) is the most definitive proof of AI profitability. At JPM's 2024 revenue scale of $180.6 billion, this 900 basis-point improvement represents approximately $16.2 billion in annual pre-tax income that would have previously been consumed by operational friction.</w:t>
      </w:r>
    </w:p>
    <w:p>
      <w:pPr>
        <w:spacing w:after="80" w:before="80"/>
        <w:jc w:val="both"/>
      </w:pPr>
      <w:r>
        <w:rPr>
          <w:rFonts w:ascii="Arial" w:cs="Arial" w:eastAsia="Arial" w:hAnsi="Arial"/>
          <w:sz w:val="20"/>
          <w:szCs w:val="20"/>
        </w:rPr>
        <w:t xml:space="preserve">Revenue per employee has increased by 18% since 2021, indicating that AI tools are acting as 'force multipliers,' allowing a relatively static headcount of 310,000 to manage a rapidly expanding $4.1 trillion asset base. This breaks the traditional 'Industrial Age' correlation between headcount growth and asset management capacity.</w:t>
      </w:r>
    </w:p>
    <w:p>
      <w:pPr>
        <w:pBdr>
          <w:bottom w:val="single" w:color="1F4E79" w:sz="8" w:space="2"/>
        </w:pBdr>
        <w:spacing w:after="140" w:before="280"/>
      </w:pPr>
      <w:r>
        <w:rPr>
          <w:rFonts w:ascii="Arial" w:cs="Arial" w:eastAsia="Arial" w:hAnsi="Arial"/>
          <w:b/>
          <w:bCs/>
          <w:color w:val="1F4E79"/>
          <w:sz w:val="26"/>
          <w:szCs w:val="26"/>
        </w:rPr>
        <w:t xml:space="preserve">CHAPTER 5: FINDINGS, SUGGESTIONS &amp; CONCLUSION</w:t>
      </w:r>
    </w:p>
    <w:p>
      <w:pPr>
        <w:spacing w:after="80" w:before="180"/>
      </w:pPr>
      <w:r>
        <w:rPr>
          <w:rFonts w:ascii="Arial" w:cs="Arial" w:eastAsia="Arial" w:hAnsi="Arial"/>
          <w:b/>
          <w:bCs/>
          <w:color w:val="2E75B6"/>
          <w:sz w:val="22"/>
          <w:szCs w:val="22"/>
        </w:rPr>
        <w:t xml:space="preserve">Core Findings</w:t>
      </w:r>
    </w:p>
    <w:p>
      <w:pPr>
        <w:pStyle w:val="ListParagraph"/>
        <w:numPr>
          <w:ilvl w:val="0"/>
          <w:numId w:val="3"/>
        </w:numPr>
        <w:spacing w:after="60" w:before="60"/>
      </w:pPr>
      <w:r>
        <w:rPr>
          <w:rFonts w:ascii="Arial" w:cs="Arial" w:eastAsia="Arial" w:hAnsi="Arial"/>
          <w:sz w:val="20"/>
          <w:szCs w:val="20"/>
        </w:rPr>
        <w:t xml:space="preserve">AI Maturity Leadership: JPM leads the Evident AI Index (2024) as the most technologically advanced bank globally, excelling across Talent, Innovation, Leadership, and Transparency pillars.</w:t>
      </w:r>
    </w:p>
    <w:p>
      <w:pPr>
        <w:pStyle w:val="ListParagraph"/>
        <w:numPr>
          <w:ilvl w:val="0"/>
          <w:numId w:val="3"/>
        </w:numPr>
        <w:spacing w:after="60" w:before="60"/>
      </w:pPr>
      <w:r>
        <w:rPr>
          <w:rFonts w:ascii="Arial" w:cs="Arial" w:eastAsia="Arial" w:hAnsi="Arial"/>
          <w:sz w:val="20"/>
          <w:szCs w:val="20"/>
        </w:rPr>
        <w:t xml:space="preserve">M&amp;A Scalability: The 2023 acquisition of First Republic Bank was made possible by JPM's ability to migrate and analyze client data overnight using AI pipelines — representing a 'Plug-and-Play' infrastructure proof of concept.</w:t>
      </w:r>
    </w:p>
    <w:p>
      <w:pPr>
        <w:pStyle w:val="ListParagraph"/>
        <w:numPr>
          <w:ilvl w:val="0"/>
          <w:numId w:val="3"/>
        </w:numPr>
        <w:spacing w:after="60" w:before="60"/>
      </w:pPr>
      <w:r>
        <w:rPr>
          <w:rFonts w:ascii="Arial" w:cs="Arial" w:eastAsia="Arial" w:hAnsi="Arial"/>
          <w:sz w:val="20"/>
          <w:szCs w:val="20"/>
        </w:rPr>
        <w:t xml:space="preserve">PV Robustness: The intrinsic value of JPM is heavily underpinned by its 2025–2027 earnings trajectory, with 2027 EPS retaining 75% of face value even at a stringent 10% discount rate.</w:t>
      </w:r>
    </w:p>
    <w:p>
      <w:pPr>
        <w:pStyle w:val="ListParagraph"/>
        <w:numPr>
          <w:ilvl w:val="0"/>
          <w:numId w:val="3"/>
        </w:numPr>
        <w:spacing w:after="60" w:before="60"/>
      </w:pPr>
      <w:r>
        <w:rPr>
          <w:rFonts w:ascii="Arial" w:cs="Arial" w:eastAsia="Arial" w:hAnsi="Arial"/>
          <w:sz w:val="20"/>
          <w:szCs w:val="20"/>
        </w:rPr>
        <w:t xml:space="preserve">$16 Billion Efficiency Alpha: The shift from a 58% to a 49% efficiency ratio generates an estimated $16.2 billion in annual operational savings at current revenue scale.</w:t>
      </w:r>
    </w:p>
    <w:p>
      <w:pPr>
        <w:pStyle w:val="ListParagraph"/>
        <w:numPr>
          <w:ilvl w:val="0"/>
          <w:numId w:val="3"/>
        </w:numPr>
        <w:spacing w:after="60" w:before="60"/>
      </w:pPr>
      <w:r>
        <w:rPr>
          <w:rFonts w:ascii="Arial" w:cs="Arial" w:eastAsia="Arial" w:hAnsi="Arial"/>
          <w:sz w:val="20"/>
          <w:szCs w:val="20"/>
        </w:rPr>
        <w:t xml:space="preserve">From Defense to Offense: The early 2020s phase of AI was defensive (fraud detection, cost reduction). The 2024–2027 phase is offensive, with tools like IndexGPT generating proprietary revenue streams and building an 'Algorithmic Monopoly' in risk pricing.</w:t>
      </w:r>
    </w:p>
    <w:p>
      <w:pPr>
        <w:spacing w:after="80" w:before="180"/>
      </w:pPr>
      <w:r>
        <w:rPr>
          <w:rFonts w:ascii="Arial" w:cs="Arial" w:eastAsia="Arial" w:hAnsi="Arial"/>
          <w:b/>
          <w:bCs/>
          <w:color w:val="2E75B6"/>
          <w:sz w:val="22"/>
          <w:szCs w:val="22"/>
        </w:rPr>
        <w:t xml:space="preserve">Strategic Suggestions</w:t>
      </w:r>
    </w:p>
    <w:p>
      <w:pPr>
        <w:pStyle w:val="ListParagraph"/>
        <w:numPr>
          <w:ilvl w:val="0"/>
          <w:numId w:val="2"/>
        </w:numPr>
        <w:spacing w:after="60" w:before="60"/>
      </w:pPr>
      <w:r>
        <w:rPr>
          <w:rFonts w:ascii="Arial" w:cs="Arial" w:eastAsia="Arial" w:hAnsi="Arial"/>
          <w:sz w:val="20"/>
          <w:szCs w:val="20"/>
        </w:rPr>
        <w:t xml:space="preserve">Double Down on AI Talent: JPM must evolve its compensation structure to include 'Tech-Track' equity incentives that mirror Big Tech's RSUs, and invest in 'Prompt Engineering' training for all 300,000+ employees to prevent a 'Digital Divide' within the workforce.</w:t>
      </w:r>
    </w:p>
    <w:p>
      <w:pPr>
        <w:pStyle w:val="ListParagraph"/>
        <w:numPr>
          <w:ilvl w:val="0"/>
          <w:numId w:val="2"/>
        </w:numPr>
        <w:spacing w:after="60" w:before="60"/>
      </w:pPr>
      <w:r>
        <w:rPr>
          <w:rFonts w:ascii="Arial" w:cs="Arial" w:eastAsia="Arial" w:hAnsi="Arial"/>
          <w:sz w:val="20"/>
          <w:szCs w:val="20"/>
        </w:rPr>
        <w:t xml:space="preserve">Enhanced ROI Transparency: JPM should pioneer a new 'AI Efficiency Ledger' in its SEC Form 10-K that explicitly links specific tech investments (e.g., IndexGPT) to specific margin improvements, potentially triggering a P/E multiple re-rating from the bank average of 11x toward 15x–18x.</w:t>
      </w:r>
    </w:p>
    <w:p>
      <w:pPr>
        <w:pStyle w:val="ListParagraph"/>
        <w:numPr>
          <w:ilvl w:val="0"/>
          <w:numId w:val="2"/>
        </w:numPr>
        <w:spacing w:after="60" w:before="60"/>
      </w:pPr>
      <w:r>
        <w:rPr>
          <w:rFonts w:ascii="Arial" w:cs="Arial" w:eastAsia="Arial" w:hAnsi="Arial"/>
          <w:sz w:val="20"/>
          <w:szCs w:val="20"/>
        </w:rPr>
        <w:t xml:space="preserve">Algorithmic Defense: As the bank's core logic moves to the 'Algorithmic Edge,' JPM must allocate a dedicated $2B+ annual budget for 'Adversarial AI Defense,' including protection against Model Poisoning and Flash Crash scenarios.</w:t>
      </w:r>
    </w:p>
    <w:p>
      <w:pPr>
        <w:pStyle w:val="ListParagraph"/>
        <w:numPr>
          <w:ilvl w:val="0"/>
          <w:numId w:val="2"/>
        </w:numPr>
        <w:spacing w:after="60" w:before="60"/>
      </w:pPr>
      <w:r>
        <w:rPr>
          <w:rFonts w:ascii="Arial" w:cs="Arial" w:eastAsia="Arial" w:hAnsi="Arial"/>
          <w:sz w:val="20"/>
          <w:szCs w:val="20"/>
        </w:rPr>
        <w:t xml:space="preserve">Ethics and Bias Auditing: An independent AI Ethics Board should audit lending algorithms for bias. Proactive self-regulation will prevent multi-billion dollar fines that follow 'Black Box' algorithmic failures and reduce regulatory litigation costs by an estimated 20%.</w:t>
      </w:r>
    </w:p>
    <w:p>
      <w:pPr>
        <w:spacing w:after="100" w:before="1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1560"/>
        <w:gridCol w:w="4680"/>
      </w:tblGrid>
      <w:tr>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Strategic Pivot</w:t>
            </w:r>
          </w:p>
        </w:tc>
        <w:tc>
          <w:tcPr>
            <w:tcW w:type="dxa" w:w="15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Priority</w:t>
            </w:r>
          </w:p>
        </w:tc>
        <w:tc>
          <w:tcPr>
            <w:tcW w:type="dxa" w:w="4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Expected Outcome</w:t>
            </w:r>
          </w:p>
        </w:tc>
      </w:tr>
      <w:tr>
        <w:tc>
          <w:tcPr>
            <w:tcW w:type="dxa" w:w="312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left"/>
            </w:pPr>
            <w:r>
              <w:rPr>
                <w:rFonts w:ascii="Arial" w:cs="Arial" w:eastAsia="Arial" w:hAnsi="Arial"/>
                <w:sz w:val="18"/>
                <w:szCs w:val="18"/>
              </w:rPr>
              <w:t xml:space="preserve">Tech Compensation Restructuring</w:t>
            </w:r>
          </w:p>
        </w:tc>
        <w:tc>
          <w:tcPr>
            <w:tcW w:type="dxa" w:w="156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High</w:t>
            </w:r>
          </w:p>
        </w:tc>
        <w:tc>
          <w:tcPr>
            <w:tcW w:type="dxa" w:w="468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Reduce Data Scientist turnover to &lt;5%</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Arial" w:cs="Arial" w:eastAsia="Arial" w:hAnsi="Arial"/>
                <w:sz w:val="18"/>
                <w:szCs w:val="18"/>
              </w:rPr>
              <w:t xml:space="preserve">AI ROI Transparency (10-K Ledger)</w:t>
            </w:r>
          </w:p>
        </w:tc>
        <w:tc>
          <w:tcPr>
            <w:tcW w:type="dxa" w:w="15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Medium</w:t>
            </w:r>
          </w:p>
        </w:tc>
        <w:tc>
          <w:tcPr>
            <w:tcW w:type="dxa" w:w="468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Drive P/E Multiple expansion toward 15x+</w:t>
            </w:r>
          </w:p>
        </w:tc>
      </w:tr>
      <w:tr>
        <w:tc>
          <w:tcPr>
            <w:tcW w:type="dxa" w:w="312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left"/>
            </w:pPr>
            <w:r>
              <w:rPr>
                <w:rFonts w:ascii="Arial" w:cs="Arial" w:eastAsia="Arial" w:hAnsi="Arial"/>
                <w:sz w:val="18"/>
                <w:szCs w:val="18"/>
              </w:rPr>
              <w:t xml:space="preserve">Cyber &amp; Adversarial AI Defense</w:t>
            </w:r>
          </w:p>
        </w:tc>
        <w:tc>
          <w:tcPr>
            <w:tcW w:type="dxa" w:w="156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Critical</w:t>
            </w:r>
          </w:p>
        </w:tc>
        <w:tc>
          <w:tcPr>
            <w:tcW w:type="dxa" w:w="468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Prevent Systemic Algorithmic Failure</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Arial" w:cs="Arial" w:eastAsia="Arial" w:hAnsi="Arial"/>
                <w:sz w:val="18"/>
                <w:szCs w:val="18"/>
              </w:rPr>
              <w:t xml:space="preserve">Bias &amp; Ethics Auditing</w:t>
            </w:r>
          </w:p>
        </w:tc>
        <w:tc>
          <w:tcPr>
            <w:tcW w:type="dxa" w:w="15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High</w:t>
            </w:r>
          </w:p>
        </w:tc>
        <w:tc>
          <w:tcPr>
            <w:tcW w:type="dxa" w:w="468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Reduce regulatory litigation costs by 20%</w:t>
            </w:r>
          </w:p>
        </w:tc>
      </w:tr>
    </w:tbl>
    <w:p>
      <w:pPr>
        <w:spacing w:after="80" w:before="180"/>
      </w:pPr>
      <w:r>
        <w:rPr>
          <w:rFonts w:ascii="Arial" w:cs="Arial" w:eastAsia="Arial" w:hAnsi="Arial"/>
          <w:b/>
          <w:bCs/>
          <w:color w:val="2E75B6"/>
          <w:sz w:val="22"/>
          <w:szCs w:val="22"/>
        </w:rPr>
        <w:t xml:space="preserve">Conclusion</w:t>
      </w:r>
    </w:p>
    <w:p>
      <w:pPr>
        <w:spacing w:after="80" w:before="80"/>
        <w:jc w:val="both"/>
      </w:pPr>
      <w:r>
        <w:rPr>
          <w:rFonts w:ascii="Arial" w:cs="Arial" w:eastAsia="Arial" w:hAnsi="Arial"/>
          <w:sz w:val="20"/>
          <w:szCs w:val="20"/>
        </w:rPr>
        <w:t xml:space="preserve">The ratio analysis of JPMorgan Chase from 2020 to 2027 demonstrates a company in the midst of a successful technological metamorphosis. By leveraging AI to compress the Efficiency Ratio and drive EPS toward a projected $24.88 by 2027, the bank has justified its billions in technology expenditure. The empirical heart of this transition lies in the Efficiency Ratio compression — from 58% in 2020 to a projected 49% by 2027 — representing a structural revolution, not an incremental improvement.</w:t>
      </w:r>
    </w:p>
    <w:p>
      <w:pPr>
        <w:spacing w:after="80" w:before="80"/>
        <w:jc w:val="both"/>
      </w:pPr>
      <w:r>
        <w:rPr>
          <w:rFonts w:ascii="Arial" w:cs="Arial" w:eastAsia="Arial" w:hAnsi="Arial"/>
          <w:sz w:val="20"/>
          <w:szCs w:val="20"/>
        </w:rPr>
        <w:t xml:space="preserve">JPM's competitive advantage has fundamentally shifted from 'Defense' to 'Offense.' While the early 2020s were defined by AI-driven risk mitigation and fraud detection, the 2025–2027 period is characterized by revenue generation through tools like IndexGPT and the Onyx blockchain platform. This 'Algorithmic Monopoly' in risk pricing and trade execution ensures that JPM remains the primary beneficiary of market volatility, rather than a victim of it.</w:t>
      </w:r>
    </w:p>
    <w:p>
      <w:pPr>
        <w:spacing w:after="80" w:before="80"/>
        <w:jc w:val="both"/>
      </w:pPr>
      <w:r>
        <w:rPr>
          <w:rFonts w:ascii="Arial" w:cs="Arial" w:eastAsia="Arial" w:hAnsi="Arial"/>
          <w:sz w:val="20"/>
          <w:szCs w:val="20"/>
        </w:rPr>
        <w:t xml:space="preserve">The ultimate finding of this analysis is that JPM's most valuable asset is no longer its vault, but its algorithms. JPM has proven that in a data-saturated economy, the winner is not the firm with the most capital, but the firm with the most sophisticated ability to process it. By 2027, the 'JPM Paradox' of rising tech spend and falling operating costs will have finalized the most significant corporate transformation in modern financial history, securing JPM's position as a global data sovereign.</w:t>
      </w:r>
    </w:p>
    <w:p>
      <w:pPr>
        <w:pBdr>
          <w:bottom w:val="single" w:color="1F4E79" w:sz="12" w:space="2"/>
        </w:pBdr>
        <w:spacing w:after="60" w:before="60"/>
      </w:pPr>
    </w:p>
    <w:p>
      <w:pPr>
        <w:pBdr>
          <w:bottom w:val="single" w:color="1F4E79" w:sz="8" w:space="2"/>
        </w:pBdr>
        <w:spacing w:after="140" w:before="280"/>
      </w:pPr>
      <w:r>
        <w:rPr>
          <w:rFonts w:ascii="Arial" w:cs="Arial" w:eastAsia="Arial" w:hAnsi="Arial"/>
          <w:b/>
          <w:bCs/>
          <w:color w:val="1F4E79"/>
          <w:sz w:val="26"/>
          <w:szCs w:val="26"/>
        </w:rPr>
        <w:t xml:space="preserve">CHAPTER 6: BIBLIOGRAPHY &amp; REFERENCES</w:t>
      </w:r>
    </w:p>
    <w:p>
      <w:pPr>
        <w:spacing w:after="80" w:before="80"/>
        <w:jc w:val="both"/>
      </w:pPr>
      <w:r>
        <w:rPr>
          <w:rFonts w:ascii="Arial" w:cs="Arial" w:eastAsia="Arial" w:hAnsi="Arial"/>
          <w:sz w:val="20"/>
          <w:szCs w:val="20"/>
        </w:rPr>
        <w:t xml:space="preserve">This study draws upon a triangulated set of sources combining primary regulatory filings, peer-reviewed academic research, and authoritative industry publications to ensure the reliability and validity of all findings.</w:t>
      </w:r>
    </w:p>
    <w:p>
      <w:pPr>
        <w:spacing w:after="60" w:before="100"/>
      </w:pPr>
      <w:r>
        <w:rPr>
          <w:rFonts w:ascii="Arial" w:cs="Arial" w:eastAsia="Arial" w:hAnsi="Arial"/>
          <w:b/>
          <w:bCs/>
          <w:color w:val="1F4E79"/>
          <w:sz w:val="22"/>
          <w:szCs w:val="22"/>
        </w:rPr>
        <w:t xml:space="preserve">Academic Sources</w:t>
      </w:r>
    </w:p>
    <w:p>
      <w:pPr>
        <w:pStyle w:val="ListParagraph"/>
        <w:numPr>
          <w:ilvl w:val="0"/>
          <w:numId w:val="2"/>
        </w:numPr>
        <w:spacing w:after="60" w:before="60"/>
      </w:pPr>
      <w:r>
        <w:rPr>
          <w:rFonts w:ascii="Arial" w:cs="Arial" w:eastAsia="Arial" w:hAnsi="Arial"/>
          <w:sz w:val="20"/>
          <w:szCs w:val="20"/>
        </w:rPr>
        <w:t xml:space="preserve">Liu, J., &amp; Wang, X. (2024). Financial Analysis of JPMorgan Chase in Harvard Analytical Framework. Highlights in Business, Economics and Management, 40, 170–175.</w:t>
      </w:r>
    </w:p>
    <w:p>
      <w:pPr>
        <w:pStyle w:val="ListParagraph"/>
        <w:numPr>
          <w:ilvl w:val="0"/>
          <w:numId w:val="2"/>
        </w:numPr>
        <w:spacing w:after="60" w:before="60"/>
      </w:pPr>
      <w:r>
        <w:rPr>
          <w:rFonts w:ascii="Arial" w:cs="Arial" w:eastAsia="Arial" w:hAnsi="Arial"/>
          <w:sz w:val="20"/>
          <w:szCs w:val="20"/>
        </w:rPr>
        <w:t xml:space="preserve">Singh, N., &amp; Kumar, G. (2025). A Comprehensive Study of Financial Modelling for JPMorgan Chase. IJFMR, 7(4), 1–15.</w:t>
      </w:r>
    </w:p>
    <w:p>
      <w:pPr>
        <w:pStyle w:val="ListParagraph"/>
        <w:numPr>
          <w:ilvl w:val="0"/>
          <w:numId w:val="2"/>
        </w:numPr>
        <w:spacing w:after="60" w:before="60"/>
      </w:pPr>
      <w:r>
        <w:rPr>
          <w:rFonts w:ascii="Arial" w:cs="Arial" w:eastAsia="Arial" w:hAnsi="Arial"/>
          <w:sz w:val="20"/>
          <w:szCs w:val="20"/>
        </w:rPr>
        <w:t xml:space="preserve">Tulsi, K., et al. (2024). Impact of AI on JPM Operational Efficiency. International Journal of Advanced Research in Computer Science and Software Engineering, 14(3), 45–58.</w:t>
      </w:r>
    </w:p>
    <w:p>
      <w:pPr>
        <w:pStyle w:val="ListParagraph"/>
        <w:numPr>
          <w:ilvl w:val="0"/>
          <w:numId w:val="2"/>
        </w:numPr>
        <w:spacing w:after="60" w:before="60"/>
      </w:pPr>
      <w:r>
        <w:rPr>
          <w:rFonts w:ascii="Arial" w:cs="Arial" w:eastAsia="Arial" w:hAnsi="Arial"/>
          <w:sz w:val="20"/>
          <w:szCs w:val="20"/>
        </w:rPr>
        <w:t xml:space="preserve">Raimi, B., et al. (2024). Deep Learning Models for US Bank Risk. World Journal of Advanced Research and Reviews, 28(3), 134–144.</w:t>
      </w:r>
    </w:p>
    <w:p>
      <w:pPr>
        <w:pStyle w:val="ListParagraph"/>
        <w:numPr>
          <w:ilvl w:val="0"/>
          <w:numId w:val="2"/>
        </w:numPr>
        <w:spacing w:after="60" w:before="60"/>
      </w:pPr>
      <w:r>
        <w:rPr>
          <w:rFonts w:ascii="Arial" w:cs="Arial" w:eastAsia="Arial" w:hAnsi="Arial"/>
          <w:sz w:val="20"/>
          <w:szCs w:val="20"/>
        </w:rPr>
        <w:t xml:space="preserve">Nagrani, P. (2025). Quantifying Intelligence: AI in Financial Ecosystems. International Journal of Finance and Computing, 11(2), 88–104.</w:t>
      </w:r>
    </w:p>
    <w:p>
      <w:pPr>
        <w:pStyle w:val="ListParagraph"/>
        <w:numPr>
          <w:ilvl w:val="0"/>
          <w:numId w:val="2"/>
        </w:numPr>
        <w:spacing w:after="60" w:before="60"/>
      </w:pPr>
      <w:r>
        <w:rPr>
          <w:rFonts w:ascii="Arial" w:cs="Arial" w:eastAsia="Arial" w:hAnsi="Arial"/>
          <w:sz w:val="20"/>
          <w:szCs w:val="20"/>
        </w:rPr>
        <w:t xml:space="preserve">Storm, S. (2025). The Economics of Scaling AI. Journal of Institutional Economics, 21(1), 112–128.</w:t>
      </w:r>
    </w:p>
    <w:p>
      <w:pPr>
        <w:pStyle w:val="ListParagraph"/>
        <w:numPr>
          <w:ilvl w:val="0"/>
          <w:numId w:val="2"/>
        </w:numPr>
        <w:spacing w:after="60" w:before="60"/>
      </w:pPr>
      <w:r>
        <w:rPr>
          <w:rFonts w:ascii="Arial" w:cs="Arial" w:eastAsia="Arial" w:hAnsi="Arial"/>
          <w:sz w:val="20"/>
          <w:szCs w:val="20"/>
        </w:rPr>
        <w:t xml:space="preserve">Barua, T. (2024). Data Analytics and Efficiency in Financial Services. American Journal of Finance, 9(2), 1–15.</w:t>
      </w:r>
    </w:p>
    <w:p>
      <w:pPr>
        <w:pStyle w:val="ListParagraph"/>
        <w:numPr>
          <w:ilvl w:val="0"/>
          <w:numId w:val="2"/>
        </w:numPr>
        <w:spacing w:after="60" w:before="60"/>
      </w:pPr>
      <w:r>
        <w:rPr>
          <w:rFonts w:ascii="Arial" w:cs="Arial" w:eastAsia="Arial" w:hAnsi="Arial"/>
          <w:sz w:val="20"/>
          <w:szCs w:val="20"/>
        </w:rPr>
        <w:t xml:space="preserve">Donnellan, J. (2019). Resource-Based View and Competitive Advantage in Banking. Managerial and Decision Economics, 40(6), 728–737.</w:t>
      </w:r>
    </w:p>
    <w:p>
      <w:pPr>
        <w:pStyle w:val="ListParagraph"/>
        <w:numPr>
          <w:ilvl w:val="0"/>
          <w:numId w:val="2"/>
        </w:numPr>
        <w:spacing w:after="60" w:before="60"/>
      </w:pPr>
      <w:r>
        <w:rPr>
          <w:rFonts w:ascii="Arial" w:cs="Arial" w:eastAsia="Arial" w:hAnsi="Arial"/>
          <w:sz w:val="20"/>
          <w:szCs w:val="20"/>
        </w:rPr>
        <w:t xml:space="preserve">Zhang, X. (2025). M&amp;A under Digital Transformation: JPM and First Republic. Highlights in Business, Economics and Management, 63, 74–81.</w:t>
      </w:r>
    </w:p>
    <w:p>
      <w:pPr>
        <w:pStyle w:val="ListParagraph"/>
        <w:numPr>
          <w:ilvl w:val="0"/>
          <w:numId w:val="2"/>
        </w:numPr>
        <w:spacing w:after="60" w:before="60"/>
      </w:pPr>
      <w:r>
        <w:rPr>
          <w:rFonts w:ascii="Arial" w:cs="Arial" w:eastAsia="Arial" w:hAnsi="Arial"/>
          <w:sz w:val="20"/>
          <w:szCs w:val="20"/>
        </w:rPr>
        <w:t xml:space="preserve">Emmanuel, B. (2024). AI Innovation and Bank Financial Performance. Journal of Financial Technology &amp; Innovation, 5(1), 12–29.</w:t>
      </w:r>
    </w:p>
    <w:p>
      <w:pPr>
        <w:pStyle w:val="ListParagraph"/>
        <w:numPr>
          <w:ilvl w:val="0"/>
          <w:numId w:val="2"/>
        </w:numPr>
        <w:spacing w:after="60" w:before="60"/>
      </w:pPr>
      <w:r>
        <w:rPr>
          <w:rFonts w:ascii="Arial" w:cs="Arial" w:eastAsia="Arial" w:hAnsi="Arial"/>
          <w:sz w:val="20"/>
          <w:szCs w:val="20"/>
        </w:rPr>
        <w:t xml:space="preserve">Gupta, T. (2024). JPM Capital Structure Analysis. International Journal of Financial Research, 15(2), 55–70.</w:t>
      </w:r>
    </w:p>
    <w:p>
      <w:pPr>
        <w:pStyle w:val="ListParagraph"/>
        <w:numPr>
          <w:ilvl w:val="0"/>
          <w:numId w:val="2"/>
        </w:numPr>
        <w:spacing w:after="60" w:before="60"/>
      </w:pPr>
      <w:r>
        <w:rPr>
          <w:rFonts w:ascii="Arial" w:cs="Arial" w:eastAsia="Arial" w:hAnsi="Arial"/>
          <w:sz w:val="20"/>
          <w:szCs w:val="20"/>
        </w:rPr>
        <w:t xml:space="preserve">Gandhi, A. (2024). AI-Powered Market Risk Models. International Journal of Finance and Banking Research, 10(2), 34–49.</w:t>
      </w:r>
    </w:p>
    <w:p>
      <w:pPr>
        <w:spacing w:after="60" w:before="100"/>
      </w:pPr>
      <w:r>
        <w:rPr>
          <w:rFonts w:ascii="Arial" w:cs="Arial" w:eastAsia="Arial" w:hAnsi="Arial"/>
          <w:b/>
          <w:bCs/>
          <w:color w:val="1F4E79"/>
          <w:sz w:val="22"/>
          <w:szCs w:val="22"/>
        </w:rPr>
        <w:t xml:space="preserve">Official &amp; Institutional Sources</w:t>
      </w:r>
    </w:p>
    <w:p>
      <w:pPr>
        <w:pStyle w:val="ListParagraph"/>
        <w:numPr>
          <w:ilvl w:val="0"/>
          <w:numId w:val="2"/>
        </w:numPr>
        <w:spacing w:after="60" w:before="60"/>
      </w:pPr>
      <w:r>
        <w:rPr>
          <w:rFonts w:ascii="Arial" w:cs="Arial" w:eastAsia="Arial" w:hAnsi="Arial"/>
          <w:sz w:val="20"/>
          <w:szCs w:val="20"/>
        </w:rPr>
        <w:t xml:space="preserve">Dimon, J. (2024). 2023 Annual Letter to Shareholders. JPMorgan Chase &amp; Co. https://www.jpmorganchase.com</w:t>
      </w:r>
    </w:p>
    <w:p>
      <w:pPr>
        <w:pStyle w:val="ListParagraph"/>
        <w:numPr>
          <w:ilvl w:val="0"/>
          <w:numId w:val="2"/>
        </w:numPr>
        <w:spacing w:after="60" w:before="60"/>
      </w:pPr>
      <w:r>
        <w:rPr>
          <w:rFonts w:ascii="Arial" w:cs="Arial" w:eastAsia="Arial" w:hAnsi="Arial"/>
          <w:sz w:val="20"/>
          <w:szCs w:val="20"/>
        </w:rPr>
        <w:t xml:space="preserve">Federal Reserve. (2024). Stress Test Results for JPMorgan Chase. Board of Governors of the Federal Reserve System.</w:t>
      </w:r>
    </w:p>
    <w:p>
      <w:pPr>
        <w:pStyle w:val="ListParagraph"/>
        <w:numPr>
          <w:ilvl w:val="0"/>
          <w:numId w:val="2"/>
        </w:numPr>
        <w:spacing w:after="60" w:before="60"/>
      </w:pPr>
      <w:r>
        <w:rPr>
          <w:rFonts w:ascii="Arial" w:cs="Arial" w:eastAsia="Arial" w:hAnsi="Arial"/>
          <w:sz w:val="20"/>
          <w:szCs w:val="20"/>
        </w:rPr>
        <w:t xml:space="preserve">SEC. (2024). JPM Form 10-K for fiscal year ended December 31, 2023. U.S. Securities and Exchange Commission.</w:t>
      </w:r>
    </w:p>
    <w:p>
      <w:pPr>
        <w:pStyle w:val="ListParagraph"/>
        <w:numPr>
          <w:ilvl w:val="0"/>
          <w:numId w:val="2"/>
        </w:numPr>
        <w:spacing w:after="60" w:before="60"/>
      </w:pPr>
      <w:r>
        <w:rPr>
          <w:rFonts w:ascii="Arial" w:cs="Arial" w:eastAsia="Arial" w:hAnsi="Arial"/>
          <w:sz w:val="20"/>
          <w:szCs w:val="20"/>
        </w:rPr>
        <w:t xml:space="preserve">Evident AI Index. (2024). Ranking Global Banks by AI Maturity. Evident Insights. https://evidentinsights.com/index/</w:t>
      </w:r>
    </w:p>
    <w:p>
      <w:pPr>
        <w:pStyle w:val="ListParagraph"/>
        <w:numPr>
          <w:ilvl w:val="0"/>
          <w:numId w:val="2"/>
        </w:numPr>
        <w:spacing w:after="60" w:before="60"/>
      </w:pPr>
      <w:r>
        <w:rPr>
          <w:rFonts w:ascii="Arial" w:cs="Arial" w:eastAsia="Arial" w:hAnsi="Arial"/>
          <w:sz w:val="20"/>
          <w:szCs w:val="20"/>
        </w:rPr>
        <w:t xml:space="preserve">McKinsey &amp; Co. (2023). Capturing the Full Value of Generative AI in Banking. McKinsey &amp; Company.</w:t>
      </w:r>
    </w:p>
    <w:p>
      <w:pPr>
        <w:pStyle w:val="ListParagraph"/>
        <w:numPr>
          <w:ilvl w:val="0"/>
          <w:numId w:val="2"/>
        </w:numPr>
        <w:spacing w:after="60" w:before="60"/>
      </w:pPr>
      <w:r>
        <w:rPr>
          <w:rFonts w:ascii="Arial" w:cs="Arial" w:eastAsia="Arial" w:hAnsi="Arial"/>
          <w:sz w:val="20"/>
          <w:szCs w:val="20"/>
        </w:rPr>
        <w:t xml:space="preserve">Bloomberg Intelligence. (2025). The Future of Algorithmic Banking. Bloomberg Professional Services.</w:t>
      </w:r>
    </w:p>
    <w:p>
      <w:pPr>
        <w:pStyle w:val="ListParagraph"/>
        <w:numPr>
          <w:ilvl w:val="0"/>
          <w:numId w:val="2"/>
        </w:numPr>
        <w:spacing w:after="60" w:before="60"/>
      </w:pPr>
      <w:r>
        <w:rPr>
          <w:rFonts w:ascii="Arial" w:cs="Arial" w:eastAsia="Arial" w:hAnsi="Arial"/>
          <w:sz w:val="20"/>
          <w:szCs w:val="20"/>
        </w:rPr>
        <w:t xml:space="preserve">Google Finance. (2026). JPMorgan Chase &amp; Co. (JPM) Stock Historicals. Retrieved April 8, 2026.</w:t>
      </w:r>
    </w:p>
    <w:p>
      <w:pPr>
        <w:pStyle w:val="ListParagraph"/>
        <w:numPr>
          <w:ilvl w:val="0"/>
          <w:numId w:val="2"/>
        </w:numPr>
        <w:spacing w:after="60" w:before="60"/>
      </w:pPr>
      <w:r>
        <w:rPr>
          <w:rFonts w:ascii="Arial" w:cs="Arial" w:eastAsia="Arial" w:hAnsi="Arial"/>
          <w:sz w:val="20"/>
          <w:szCs w:val="20"/>
        </w:rPr>
        <w:t xml:space="preserve">Yahoo Finance. (2024). JPMorgan Chase (JPM) Earnings History. Retrieved April 8, 2026.</w:t>
      </w:r>
    </w:p>
    <w:p>
      <w:r>
        <w:br w:type="page"/>
      </w:r>
    </w:p>
    <w:p>
      <w:pPr>
        <w:pBdr>
          <w:bottom w:val="single" w:color="1F4E79" w:sz="8" w:space="2"/>
        </w:pBdr>
        <w:spacing w:after="140" w:before="280"/>
      </w:pPr>
      <w:r>
        <w:rPr>
          <w:rFonts w:ascii="Arial" w:cs="Arial" w:eastAsia="Arial" w:hAnsi="Arial"/>
          <w:b/>
          <w:bCs/>
          <w:color w:val="1F4E79"/>
          <w:sz w:val="26"/>
          <w:szCs w:val="26"/>
        </w:rPr>
        <w:t xml:space="preserve">APPENDIX: CONSOLIDATED FINANCIAL DATA &amp; OPERATIONAL METRICS</w:t>
      </w:r>
    </w:p>
    <w:p>
      <w:pPr>
        <w:spacing w:after="80" w:before="180"/>
      </w:pPr>
      <w:r>
        <w:rPr>
          <w:rFonts w:ascii="Arial" w:cs="Arial" w:eastAsia="Arial" w:hAnsi="Arial"/>
          <w:b/>
          <w:bCs/>
          <w:color w:val="2E75B6"/>
          <w:sz w:val="22"/>
          <w:szCs w:val="22"/>
        </w:rPr>
        <w:t xml:space="preserve">Comprehensive Income Statement Analysis (2020–2027)</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60"/>
        <w:gridCol w:w="1320"/>
        <w:gridCol w:w="1320"/>
        <w:gridCol w:w="1320"/>
        <w:gridCol w:w="1320"/>
        <w:gridCol w:w="1320"/>
      </w:tblGrid>
      <w:tr>
        <w:tc>
          <w:tcPr>
            <w:tcW w:type="dxa" w:w="27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Financial Metric ($M)</w:t>
            </w:r>
          </w:p>
        </w:tc>
        <w:tc>
          <w:tcPr>
            <w:tcW w:type="dxa" w:w="13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2020 (A)</w:t>
            </w:r>
          </w:p>
        </w:tc>
        <w:tc>
          <w:tcPr>
            <w:tcW w:type="dxa" w:w="13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2022 (A)</w:t>
            </w:r>
          </w:p>
        </w:tc>
        <w:tc>
          <w:tcPr>
            <w:tcW w:type="dxa" w:w="13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2024 (A)</w:t>
            </w:r>
          </w:p>
        </w:tc>
        <w:tc>
          <w:tcPr>
            <w:tcW w:type="dxa" w:w="13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2025 (F)</w:t>
            </w:r>
          </w:p>
        </w:tc>
        <w:tc>
          <w:tcPr>
            <w:tcW w:type="dxa" w:w="13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2027 (F)</w:t>
            </w:r>
          </w:p>
        </w:tc>
      </w:tr>
      <w:tr>
        <w:tc>
          <w:tcPr>
            <w:tcW w:type="dxa" w:w="276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left"/>
            </w:pPr>
            <w:r>
              <w:rPr>
                <w:rFonts w:ascii="Arial" w:cs="Arial" w:eastAsia="Arial" w:hAnsi="Arial"/>
                <w:sz w:val="18"/>
                <w:szCs w:val="18"/>
              </w:rPr>
              <w:t xml:space="preserve">Total Net Revenue</w:t>
            </w:r>
          </w:p>
        </w:tc>
        <w:tc>
          <w:tcPr>
            <w:tcW w:type="dxa" w:w="132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$119,543</w:t>
            </w:r>
          </w:p>
        </w:tc>
        <w:tc>
          <w:tcPr>
            <w:tcW w:type="dxa" w:w="132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$128,695</w:t>
            </w:r>
          </w:p>
        </w:tc>
        <w:tc>
          <w:tcPr>
            <w:tcW w:type="dxa" w:w="132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$180,612</w:t>
            </w:r>
          </w:p>
        </w:tc>
        <w:tc>
          <w:tcPr>
            <w:tcW w:type="dxa" w:w="132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$195,000</w:t>
            </w:r>
          </w:p>
        </w:tc>
        <w:tc>
          <w:tcPr>
            <w:tcW w:type="dxa" w:w="132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$227,400</w:t>
            </w:r>
          </w:p>
        </w:tc>
      </w:tr>
      <w:tr>
        <w:tc>
          <w:tcPr>
            <w:tcW w:type="dxa" w:w="27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Arial" w:cs="Arial" w:eastAsia="Arial" w:hAnsi="Arial"/>
                <w:sz w:val="18"/>
                <w:szCs w:val="18"/>
              </w:rPr>
              <w:t xml:space="preserve">Provision for Credit Losses</w:t>
            </w:r>
          </w:p>
        </w:tc>
        <w:tc>
          <w:tcPr>
            <w:tcW w:type="dxa" w:w="132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$17,480</w:t>
            </w:r>
          </w:p>
        </w:tc>
        <w:tc>
          <w:tcPr>
            <w:tcW w:type="dxa" w:w="132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$6,387</w:t>
            </w:r>
          </w:p>
        </w:tc>
        <w:tc>
          <w:tcPr>
            <w:tcW w:type="dxa" w:w="132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$8,200</w:t>
            </w:r>
          </w:p>
        </w:tc>
        <w:tc>
          <w:tcPr>
            <w:tcW w:type="dxa" w:w="132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$8,500</w:t>
            </w:r>
          </w:p>
        </w:tc>
        <w:tc>
          <w:tcPr>
            <w:tcW w:type="dxa" w:w="132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$9,100</w:t>
            </w:r>
          </w:p>
        </w:tc>
      </w:tr>
      <w:tr>
        <w:tc>
          <w:tcPr>
            <w:tcW w:type="dxa" w:w="276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left"/>
            </w:pPr>
            <w:r>
              <w:rPr>
                <w:rFonts w:ascii="Arial" w:cs="Arial" w:eastAsia="Arial" w:hAnsi="Arial"/>
                <w:sz w:val="18"/>
                <w:szCs w:val="18"/>
              </w:rPr>
              <w:t xml:space="preserve">Total Non-Interest Expense</w:t>
            </w:r>
          </w:p>
        </w:tc>
        <w:tc>
          <w:tcPr>
            <w:tcW w:type="dxa" w:w="132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$66,656</w:t>
            </w:r>
          </w:p>
        </w:tc>
        <w:tc>
          <w:tcPr>
            <w:tcW w:type="dxa" w:w="132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$76,129</w:t>
            </w:r>
          </w:p>
        </w:tc>
        <w:tc>
          <w:tcPr>
            <w:tcW w:type="dxa" w:w="132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$93,918</w:t>
            </w:r>
          </w:p>
        </w:tc>
        <w:tc>
          <w:tcPr>
            <w:tcW w:type="dxa" w:w="132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$100,425</w:t>
            </w:r>
          </w:p>
        </w:tc>
        <w:tc>
          <w:tcPr>
            <w:tcW w:type="dxa" w:w="132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$111,426</w:t>
            </w:r>
          </w:p>
        </w:tc>
      </w:tr>
      <w:tr>
        <w:tc>
          <w:tcPr>
            <w:tcW w:type="dxa" w:w="27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Arial" w:cs="Arial" w:eastAsia="Arial" w:hAnsi="Arial"/>
                <w:sz w:val="18"/>
                <w:szCs w:val="18"/>
              </w:rPr>
              <w:t xml:space="preserve">-- of which Tech/AI Spend</w:t>
            </w:r>
          </w:p>
        </w:tc>
        <w:tc>
          <w:tcPr>
            <w:tcW w:type="dxa" w:w="132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$9,500</w:t>
            </w:r>
          </w:p>
        </w:tc>
        <w:tc>
          <w:tcPr>
            <w:tcW w:type="dxa" w:w="132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$12,200</w:t>
            </w:r>
          </w:p>
        </w:tc>
        <w:tc>
          <w:tcPr>
            <w:tcW w:type="dxa" w:w="132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$17,100</w:t>
            </w:r>
          </w:p>
        </w:tc>
        <w:tc>
          <w:tcPr>
            <w:tcW w:type="dxa" w:w="132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$18,800</w:t>
            </w:r>
          </w:p>
        </w:tc>
        <w:tc>
          <w:tcPr>
            <w:tcW w:type="dxa" w:w="132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$22,500</w:t>
            </w:r>
          </w:p>
        </w:tc>
      </w:tr>
      <w:tr>
        <w:tc>
          <w:tcPr>
            <w:tcW w:type="dxa" w:w="276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left"/>
            </w:pPr>
            <w:r>
              <w:rPr>
                <w:rFonts w:ascii="Arial" w:cs="Arial" w:eastAsia="Arial" w:hAnsi="Arial"/>
                <w:sz w:val="18"/>
                <w:szCs w:val="18"/>
              </w:rPr>
              <w:t xml:space="preserve">Pre-Tax Income</w:t>
            </w:r>
          </w:p>
        </w:tc>
        <w:tc>
          <w:tcPr>
            <w:tcW w:type="dxa" w:w="132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$35,407</w:t>
            </w:r>
          </w:p>
        </w:tc>
        <w:tc>
          <w:tcPr>
            <w:tcW w:type="dxa" w:w="132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$46,180</w:t>
            </w:r>
          </w:p>
        </w:tc>
        <w:tc>
          <w:tcPr>
            <w:tcW w:type="dxa" w:w="132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$78,494</w:t>
            </w:r>
          </w:p>
        </w:tc>
        <w:tc>
          <w:tcPr>
            <w:tcW w:type="dxa" w:w="132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$86,075</w:t>
            </w:r>
          </w:p>
        </w:tc>
        <w:tc>
          <w:tcPr>
            <w:tcW w:type="dxa" w:w="132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$106,874</w:t>
            </w:r>
          </w:p>
        </w:tc>
      </w:tr>
      <w:tr>
        <w:tc>
          <w:tcPr>
            <w:tcW w:type="dxa" w:w="27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Arial" w:cs="Arial" w:eastAsia="Arial" w:hAnsi="Arial"/>
                <w:sz w:val="18"/>
                <w:szCs w:val="18"/>
              </w:rPr>
              <w:t xml:space="preserve">Net Income</w:t>
            </w:r>
          </w:p>
        </w:tc>
        <w:tc>
          <w:tcPr>
            <w:tcW w:type="dxa" w:w="132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$29,131</w:t>
            </w:r>
          </w:p>
        </w:tc>
        <w:tc>
          <w:tcPr>
            <w:tcW w:type="dxa" w:w="132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$37,674</w:t>
            </w:r>
          </w:p>
        </w:tc>
        <w:tc>
          <w:tcPr>
            <w:tcW w:type="dxa" w:w="132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$58,500</w:t>
            </w:r>
          </w:p>
        </w:tc>
        <w:tc>
          <w:tcPr>
            <w:tcW w:type="dxa" w:w="132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$62,065</w:t>
            </w:r>
          </w:p>
        </w:tc>
        <w:tc>
          <w:tcPr>
            <w:tcW w:type="dxa" w:w="132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$72,400</w:t>
            </w:r>
          </w:p>
        </w:tc>
      </w:tr>
      <w:tr>
        <w:tc>
          <w:tcPr>
            <w:tcW w:type="dxa" w:w="276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left"/>
            </w:pPr>
            <w:r>
              <w:rPr>
                <w:rFonts w:ascii="Arial" w:cs="Arial" w:eastAsia="Arial" w:hAnsi="Arial"/>
                <w:sz w:val="18"/>
                <w:szCs w:val="18"/>
              </w:rPr>
              <w:t xml:space="preserve">Diluted EPS ($)</w:t>
            </w:r>
          </w:p>
        </w:tc>
        <w:tc>
          <w:tcPr>
            <w:tcW w:type="dxa" w:w="132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$9.45</w:t>
            </w:r>
          </w:p>
        </w:tc>
        <w:tc>
          <w:tcPr>
            <w:tcW w:type="dxa" w:w="132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$12.64</w:t>
            </w:r>
          </w:p>
        </w:tc>
        <w:tc>
          <w:tcPr>
            <w:tcW w:type="dxa" w:w="132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$20.24</w:t>
            </w:r>
          </w:p>
        </w:tc>
        <w:tc>
          <w:tcPr>
            <w:tcW w:type="dxa" w:w="132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$21.78</w:t>
            </w:r>
          </w:p>
        </w:tc>
        <w:tc>
          <w:tcPr>
            <w:tcW w:type="dxa" w:w="132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$25.76</w:t>
            </w:r>
          </w:p>
        </w:tc>
      </w:tr>
    </w:tbl>
    <w:p>
      <w:pPr>
        <w:spacing w:after="80" w:before="180"/>
      </w:pPr>
      <w:r>
        <w:rPr>
          <w:rFonts w:ascii="Arial" w:cs="Arial" w:eastAsia="Arial" w:hAnsi="Arial"/>
          <w:b/>
          <w:bCs/>
          <w:color w:val="2E75B6"/>
          <w:sz w:val="22"/>
          <w:szCs w:val="22"/>
        </w:rPr>
        <w:t xml:space="preserve">Balance Sheet Expansion: The 'Fortress' Components ($M)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60"/>
        <w:gridCol w:w="1650"/>
        <w:gridCol w:w="1650"/>
        <w:gridCol w:w="1650"/>
        <w:gridCol w:w="1650"/>
      </w:tblGrid>
      <w:tr>
        <w:tc>
          <w:tcPr>
            <w:tcW w:type="dxa" w:w="27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Asset Category</w:t>
            </w:r>
          </w:p>
        </w:tc>
        <w:tc>
          <w:tcPr>
            <w:tcW w:type="dxa" w:w="165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2020</w:t>
            </w:r>
          </w:p>
        </w:tc>
        <w:tc>
          <w:tcPr>
            <w:tcW w:type="dxa" w:w="165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2022</w:t>
            </w:r>
          </w:p>
        </w:tc>
        <w:tc>
          <w:tcPr>
            <w:tcW w:type="dxa" w:w="165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2024</w:t>
            </w:r>
          </w:p>
        </w:tc>
        <w:tc>
          <w:tcPr>
            <w:tcW w:type="dxa" w:w="165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2026 (Proj.)</w:t>
            </w:r>
          </w:p>
        </w:tc>
      </w:tr>
      <w:tr>
        <w:tc>
          <w:tcPr>
            <w:tcW w:type="dxa" w:w="276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left"/>
            </w:pPr>
            <w:r>
              <w:rPr>
                <w:rFonts w:ascii="Arial" w:cs="Arial" w:eastAsia="Arial" w:hAnsi="Arial"/>
                <w:sz w:val="18"/>
                <w:szCs w:val="18"/>
              </w:rPr>
              <w:t xml:space="preserve">Cash and Due from Banks</w:t>
            </w:r>
          </w:p>
        </w:tc>
        <w:tc>
          <w:tcPr>
            <w:tcW w:type="dxa" w:w="165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$25,241</w:t>
            </w:r>
          </w:p>
        </w:tc>
        <w:tc>
          <w:tcPr>
            <w:tcW w:type="dxa" w:w="165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$28,150</w:t>
            </w:r>
          </w:p>
        </w:tc>
        <w:tc>
          <w:tcPr>
            <w:tcW w:type="dxa" w:w="165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$32,400</w:t>
            </w:r>
          </w:p>
        </w:tc>
        <w:tc>
          <w:tcPr>
            <w:tcW w:type="dxa" w:w="165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$35,000</w:t>
            </w:r>
          </w:p>
        </w:tc>
      </w:tr>
      <w:tr>
        <w:tc>
          <w:tcPr>
            <w:tcW w:type="dxa" w:w="27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Arial" w:cs="Arial" w:eastAsia="Arial" w:hAnsi="Arial"/>
                <w:sz w:val="18"/>
                <w:szCs w:val="18"/>
              </w:rPr>
              <w:t xml:space="preserve">Deposits with Banks</w:t>
            </w:r>
          </w:p>
        </w:tc>
        <w:tc>
          <w:tcPr>
            <w:tcW w:type="dxa" w:w="165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$705,185</w:t>
            </w:r>
          </w:p>
        </w:tc>
        <w:tc>
          <w:tcPr>
            <w:tcW w:type="dxa" w:w="165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$535,420</w:t>
            </w:r>
          </w:p>
        </w:tc>
        <w:tc>
          <w:tcPr>
            <w:tcW w:type="dxa" w:w="165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$610,000</w:t>
            </w:r>
          </w:p>
        </w:tc>
        <w:tc>
          <w:tcPr>
            <w:tcW w:type="dxa" w:w="165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$645,000</w:t>
            </w:r>
          </w:p>
        </w:tc>
      </w:tr>
      <w:tr>
        <w:tc>
          <w:tcPr>
            <w:tcW w:type="dxa" w:w="276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left"/>
            </w:pPr>
            <w:r>
              <w:rPr>
                <w:rFonts w:ascii="Arial" w:cs="Arial" w:eastAsia="Arial" w:hAnsi="Arial"/>
                <w:sz w:val="18"/>
                <w:szCs w:val="18"/>
              </w:rPr>
              <w:t xml:space="preserve">Securities (Investment Portfolio)</w:t>
            </w:r>
          </w:p>
        </w:tc>
        <w:tc>
          <w:tcPr>
            <w:tcW w:type="dxa" w:w="165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$585,120</w:t>
            </w:r>
          </w:p>
        </w:tc>
        <w:tc>
          <w:tcPr>
            <w:tcW w:type="dxa" w:w="165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$630,450</w:t>
            </w:r>
          </w:p>
        </w:tc>
        <w:tc>
          <w:tcPr>
            <w:tcW w:type="dxa" w:w="165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$710,200</w:t>
            </w:r>
          </w:p>
        </w:tc>
        <w:tc>
          <w:tcPr>
            <w:tcW w:type="dxa" w:w="165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$755,000</w:t>
            </w:r>
          </w:p>
        </w:tc>
      </w:tr>
      <w:tr>
        <w:tc>
          <w:tcPr>
            <w:tcW w:type="dxa" w:w="27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Arial" w:cs="Arial" w:eastAsia="Arial" w:hAnsi="Arial"/>
                <w:sz w:val="18"/>
                <w:szCs w:val="18"/>
              </w:rPr>
              <w:t xml:space="preserve">Loans, Net of Allowance</w:t>
            </w:r>
          </w:p>
        </w:tc>
        <w:tc>
          <w:tcPr>
            <w:tcW w:type="dxa" w:w="165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$1,012,850</w:t>
            </w:r>
          </w:p>
        </w:tc>
        <w:tc>
          <w:tcPr>
            <w:tcW w:type="dxa" w:w="165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$1,125,500</w:t>
            </w:r>
          </w:p>
        </w:tc>
        <w:tc>
          <w:tcPr>
            <w:tcW w:type="dxa" w:w="165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$1,320,000</w:t>
            </w:r>
          </w:p>
        </w:tc>
        <w:tc>
          <w:tcPr>
            <w:tcW w:type="dxa" w:w="165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$1,480,000</w:t>
            </w:r>
          </w:p>
        </w:tc>
      </w:tr>
      <w:tr>
        <w:tc>
          <w:tcPr>
            <w:tcW w:type="dxa" w:w="276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left"/>
            </w:pPr>
            <w:r>
              <w:rPr>
                <w:rFonts w:ascii="Arial" w:cs="Arial" w:eastAsia="Arial" w:hAnsi="Arial"/>
                <w:sz w:val="18"/>
                <w:szCs w:val="18"/>
              </w:rPr>
              <w:t xml:space="preserve">Goodwill &amp; Intangible Assets</w:t>
            </w:r>
          </w:p>
        </w:tc>
        <w:tc>
          <w:tcPr>
            <w:tcW w:type="dxa" w:w="165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$51,200</w:t>
            </w:r>
          </w:p>
        </w:tc>
        <w:tc>
          <w:tcPr>
            <w:tcW w:type="dxa" w:w="165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$54,300</w:t>
            </w:r>
          </w:p>
        </w:tc>
        <w:tc>
          <w:tcPr>
            <w:tcW w:type="dxa" w:w="165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$62,000</w:t>
            </w:r>
          </w:p>
        </w:tc>
        <w:tc>
          <w:tcPr>
            <w:tcW w:type="dxa" w:w="165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120"/>
            </w:tcMar>
          </w:tcPr>
          <w:p>
            <w:pPr>
              <w:jc w:val="center"/>
            </w:pPr>
            <w:r>
              <w:rPr>
                <w:rFonts w:ascii="Arial" w:cs="Arial" w:eastAsia="Arial" w:hAnsi="Arial"/>
                <w:sz w:val="18"/>
                <w:szCs w:val="18"/>
              </w:rPr>
              <w:t xml:space="preserve">$65,000</w:t>
            </w:r>
          </w:p>
        </w:tc>
      </w:tr>
      <w:tr>
        <w:tc>
          <w:tcPr>
            <w:tcW w:type="dxa" w:w="27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Arial" w:cs="Arial" w:eastAsia="Arial" w:hAnsi="Arial"/>
                <w:sz w:val="18"/>
                <w:szCs w:val="18"/>
              </w:rPr>
              <w:t xml:space="preserve">Total Assets</w:t>
            </w:r>
          </w:p>
        </w:tc>
        <w:tc>
          <w:tcPr>
            <w:tcW w:type="dxa" w:w="165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$3,386,071</w:t>
            </w:r>
          </w:p>
        </w:tc>
        <w:tc>
          <w:tcPr>
            <w:tcW w:type="dxa" w:w="165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$3,665,743</w:t>
            </w:r>
          </w:p>
        </w:tc>
        <w:tc>
          <w:tcPr>
            <w:tcW w:type="dxa" w:w="165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$4,102,814</w:t>
            </w:r>
          </w:p>
        </w:tc>
        <w:tc>
          <w:tcPr>
            <w:tcW w:type="dxa" w:w="165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sz w:val="18"/>
                <w:szCs w:val="18"/>
              </w:rPr>
              <w:t xml:space="preserve">$4,350,000</w:t>
            </w:r>
          </w:p>
        </w:tc>
      </w:tr>
    </w:tbl>
    <w:p>
      <w:pPr>
        <w:spacing w:after="80" w:before="180"/>
      </w:pPr>
      <w:r>
        <w:rPr>
          <w:rFonts w:ascii="Arial" w:cs="Arial" w:eastAsia="Arial" w:hAnsi="Arial"/>
          <w:b/>
          <w:bCs/>
          <w:color w:val="2E75B6"/>
          <w:sz w:val="22"/>
          <w:szCs w:val="22"/>
        </w:rPr>
        <w:t xml:space="preserve">Glossary of Key Financial &amp; AI Terms</w:t>
      </w:r>
    </w:p>
    <w:p>
      <w:pPr>
        <w:pStyle w:val="ListParagraph"/>
        <w:numPr>
          <w:ilvl w:val="0"/>
          <w:numId w:val="2"/>
        </w:numPr>
        <w:spacing w:after="60" w:before="60"/>
      </w:pPr>
      <w:r>
        <w:rPr>
          <w:rFonts w:ascii="Arial" w:cs="Arial" w:eastAsia="Arial" w:hAnsi="Arial"/>
          <w:sz w:val="20"/>
          <w:szCs w:val="20"/>
        </w:rPr>
        <w:t xml:space="preserve">Efficiency Ratio: A measure of a bank's overhead as a percentage of its revenue. Lower is better. Calculated as Non-Interest Expense / Net Revenue.</w:t>
      </w:r>
    </w:p>
    <w:p>
      <w:pPr>
        <w:pStyle w:val="ListParagraph"/>
        <w:numPr>
          <w:ilvl w:val="0"/>
          <w:numId w:val="2"/>
        </w:numPr>
        <w:spacing w:after="60" w:before="60"/>
      </w:pPr>
      <w:r>
        <w:rPr>
          <w:rFonts w:ascii="Arial" w:cs="Arial" w:eastAsia="Arial" w:hAnsi="Arial"/>
          <w:sz w:val="20"/>
          <w:szCs w:val="20"/>
        </w:rPr>
        <w:t xml:space="preserve">EPS (Earnings Per Share): The portion of a company's profit allocated to each outstanding share of common stock.</w:t>
      </w:r>
    </w:p>
    <w:p>
      <w:pPr>
        <w:pStyle w:val="ListParagraph"/>
        <w:numPr>
          <w:ilvl w:val="0"/>
          <w:numId w:val="2"/>
        </w:numPr>
        <w:spacing w:after="60" w:before="60"/>
      </w:pPr>
      <w:r>
        <w:rPr>
          <w:rFonts w:ascii="Arial" w:cs="Arial" w:eastAsia="Arial" w:hAnsi="Arial"/>
          <w:sz w:val="20"/>
          <w:szCs w:val="20"/>
        </w:rPr>
        <w:t xml:space="preserve">Present Value (PV): The current worth of a future sum of money given a specified rate of return.</w:t>
      </w:r>
    </w:p>
    <w:p>
      <w:pPr>
        <w:pStyle w:val="ListParagraph"/>
        <w:numPr>
          <w:ilvl w:val="0"/>
          <w:numId w:val="2"/>
        </w:numPr>
        <w:spacing w:after="60" w:before="60"/>
      </w:pPr>
      <w:r>
        <w:rPr>
          <w:rFonts w:ascii="Arial" w:cs="Arial" w:eastAsia="Arial" w:hAnsi="Arial"/>
          <w:sz w:val="20"/>
          <w:szCs w:val="20"/>
        </w:rPr>
        <w:t xml:space="preserve">Generative AI (GenAI): Artificial intelligence capable of generating text or other media using generative models (e.g., JPM's IndexGPT).</w:t>
      </w:r>
    </w:p>
    <w:p>
      <w:pPr>
        <w:pStyle w:val="ListParagraph"/>
        <w:numPr>
          <w:ilvl w:val="0"/>
          <w:numId w:val="2"/>
        </w:numPr>
        <w:spacing w:after="60" w:before="60"/>
      </w:pPr>
      <w:r>
        <w:rPr>
          <w:rFonts w:ascii="Arial" w:cs="Arial" w:eastAsia="Arial" w:hAnsi="Arial"/>
          <w:sz w:val="20"/>
          <w:szCs w:val="20"/>
        </w:rPr>
        <w:t xml:space="preserve">CET1 Ratio: Common Equity Tier 1 capital as a percentage of risk-weighted assets — the core measure of a bank's financial strength.</w:t>
      </w:r>
    </w:p>
    <w:p>
      <w:pPr>
        <w:pStyle w:val="ListParagraph"/>
        <w:numPr>
          <w:ilvl w:val="0"/>
          <w:numId w:val="2"/>
        </w:numPr>
        <w:spacing w:after="60" w:before="60"/>
      </w:pPr>
      <w:r>
        <w:rPr>
          <w:rFonts w:ascii="Arial" w:cs="Arial" w:eastAsia="Arial" w:hAnsi="Arial"/>
          <w:sz w:val="20"/>
          <w:szCs w:val="20"/>
        </w:rPr>
        <w:t xml:space="preserve">S-Curve of Innovation: A model describing the life cycle of a technology from initial slow growth to rapid acceleration and eventual plateau.</w:t>
      </w:r>
    </w:p>
    <w:p>
      <w:pPr>
        <w:pStyle w:val="ListParagraph"/>
        <w:numPr>
          <w:ilvl w:val="0"/>
          <w:numId w:val="2"/>
        </w:numPr>
        <w:spacing w:after="60" w:before="60"/>
      </w:pPr>
      <w:r>
        <w:rPr>
          <w:rFonts w:ascii="Arial" w:cs="Arial" w:eastAsia="Arial" w:hAnsi="Arial"/>
          <w:sz w:val="20"/>
          <w:szCs w:val="20"/>
        </w:rPr>
        <w:t xml:space="preserve">NIM (Net Interest Margin): The difference between interest income generated by banks and interest paid to lenders.</w:t>
      </w:r>
    </w:p>
    <w:p>
      <w:pPr>
        <w:pStyle w:val="ListParagraph"/>
        <w:numPr>
          <w:ilvl w:val="0"/>
          <w:numId w:val="2"/>
        </w:numPr>
        <w:spacing w:after="60" w:before="60"/>
      </w:pPr>
      <w:r>
        <w:rPr>
          <w:rFonts w:ascii="Arial" w:cs="Arial" w:eastAsia="Arial" w:hAnsi="Arial"/>
          <w:sz w:val="20"/>
          <w:szCs w:val="20"/>
        </w:rPr>
        <w:t xml:space="preserve">VRIN Framework: Valuable, Rare, Inimitable, Non-substitutable — criteria for sustainable competitive advantage (Resource-Based View).</w:t>
      </w:r>
    </w:p>
    <w:sectPr>
      <w:pgSz w:w="12240" w:h="15840" w:orient="portrait"/>
      <w:pgMar w:top="900" w:right="1080" w:bottom="9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F4E79"/>
      <w:sz w:val="28"/>
      <w:szCs w:val="28"/>
    </w:rPr>
  </w:style>
  <w:style w:type="paragraph" w:styleId="Heading2">
    <w:name w:val="Heading 2"/>
    <w:basedOn w:val="Normal"/>
    <w:next w:val="Normal"/>
    <w:qFormat/>
    <w:pPr>
      <w:spacing w:after="80" w:before="180"/>
      <w:outlineLvl w:val="1"/>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2026-05-02T11:44:30.018Z</dcterms:created>
  <dcterms:modified xsi:type="dcterms:W3CDTF">2026-05-02T11:44:30.019Z</dcterms:modified>
</cp:coreProperties>
</file>

<file path=docProps/custom.xml><?xml version="1.0" encoding="utf-8"?>
<Properties xmlns="http://schemas.openxmlformats.org/officeDocument/2006/custom-properties" xmlns:vt="http://schemas.openxmlformats.org/officeDocument/2006/docPropsVTypes"/>
</file>