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C5" w:rsidRPr="00006C4C" w:rsidRDefault="00006C4C" w:rsidP="002D11AC">
      <w:pPr>
        <w:spacing w:before="0" w:line="360" w:lineRule="auto"/>
        <w:jc w:val="center"/>
        <w:rPr>
          <w:rFonts w:eastAsia="Times New Roman"/>
          <w:b/>
          <w:sz w:val="20"/>
          <w:szCs w:val="20"/>
        </w:rPr>
      </w:pPr>
      <w:r w:rsidRPr="00006C4C">
        <w:rPr>
          <w:b/>
        </w:rPr>
        <w:t>ASSESSING THE VULNERABILITY OF CRITICAL URBAN INFRASTRUCTURE TO FLOODING: A FRAMEWORK FOR CLIMATE RESILIENCE</w:t>
      </w:r>
    </w:p>
    <w:p w:rsidR="000774C5" w:rsidRDefault="000774C5" w:rsidP="002D11AC">
      <w:pPr>
        <w:spacing w:before="0" w:line="360" w:lineRule="auto"/>
        <w:jc w:val="center"/>
        <w:rPr>
          <w:rFonts w:eastAsia="Times New Roman"/>
          <w:b/>
          <w:sz w:val="20"/>
          <w:szCs w:val="20"/>
        </w:rPr>
      </w:pPr>
    </w:p>
    <w:p w:rsidR="002D11AC" w:rsidRDefault="002D11AC" w:rsidP="002D11AC">
      <w:pPr>
        <w:spacing w:before="0" w:line="360" w:lineRule="auto"/>
        <w:jc w:val="center"/>
        <w:rPr>
          <w:rFonts w:eastAsia="Times New Roman"/>
          <w:b/>
          <w:sz w:val="20"/>
          <w:szCs w:val="20"/>
        </w:rPr>
      </w:pPr>
    </w:p>
    <w:p w:rsidR="002D11AC" w:rsidRDefault="002D11AC" w:rsidP="002D11AC">
      <w:pPr>
        <w:spacing w:before="0" w:line="360" w:lineRule="auto"/>
        <w:jc w:val="center"/>
        <w:rPr>
          <w:rFonts w:eastAsia="Times New Roman"/>
          <w:b/>
          <w:sz w:val="20"/>
          <w:szCs w:val="20"/>
        </w:rPr>
      </w:pPr>
    </w:p>
    <w:p w:rsidR="002D11AC" w:rsidRPr="002D11AC" w:rsidRDefault="002D11AC" w:rsidP="002D11AC">
      <w:pPr>
        <w:spacing w:before="0" w:line="360" w:lineRule="auto"/>
        <w:jc w:val="center"/>
        <w:rPr>
          <w:rFonts w:eastAsia="Times New Roman"/>
          <w:b/>
          <w:sz w:val="20"/>
          <w:szCs w:val="20"/>
        </w:rPr>
      </w:pPr>
    </w:p>
    <w:p w:rsidR="000774C5" w:rsidRPr="002D11AC" w:rsidRDefault="000774C5" w:rsidP="002D11AC">
      <w:pPr>
        <w:spacing w:before="0" w:line="360" w:lineRule="auto"/>
        <w:jc w:val="center"/>
        <w:rPr>
          <w:rFonts w:eastAsia="Times New Roman"/>
          <w:b/>
          <w:sz w:val="20"/>
          <w:szCs w:val="20"/>
        </w:rPr>
      </w:pPr>
    </w:p>
    <w:p w:rsidR="000774C5" w:rsidRPr="002D11AC" w:rsidRDefault="002D11AC" w:rsidP="002D11AC">
      <w:pPr>
        <w:spacing w:before="0" w:line="360" w:lineRule="auto"/>
        <w:jc w:val="center"/>
        <w:rPr>
          <w:rFonts w:eastAsia="Times New Roman"/>
          <w:b/>
        </w:rPr>
      </w:pPr>
      <w:r w:rsidRPr="002D11AC">
        <w:rPr>
          <w:rFonts w:eastAsia="Times New Roman"/>
          <w:b/>
        </w:rPr>
        <w:t/>
      </w:r>
    </w:p>
    <w:p w:rsidR="000774C5" w:rsidRPr="002D11AC" w:rsidRDefault="002D11AC" w:rsidP="002D11AC">
      <w:pPr>
        <w:spacing w:before="0" w:line="360" w:lineRule="auto"/>
        <w:jc w:val="center"/>
        <w:rPr>
          <w:rFonts w:eastAsia="Times New Roman"/>
          <w:b/>
          <w:bCs/>
        </w:rPr>
      </w:pPr>
      <w:r w:rsidRPr="002D11AC">
        <w:rPr>
          <w:rFonts w:eastAsia="Times New Roman"/>
          <w:b/>
          <w:bCs/>
        </w:rPr>
        <w:t/>
      </w:r>
    </w:p>
    <w:p w:rsidR="000774C5" w:rsidRDefault="000774C5" w:rsidP="002D11AC">
      <w:pPr>
        <w:autoSpaceDE w:val="0"/>
        <w:autoSpaceDN w:val="0"/>
        <w:adjustRightInd w:val="0"/>
        <w:spacing w:before="0" w:line="360" w:lineRule="auto"/>
        <w:jc w:val="center"/>
        <w:rPr>
          <w:rFonts w:eastAsia="Times New Roman"/>
          <w:b/>
        </w:rPr>
      </w:pPr>
    </w:p>
    <w:p w:rsidR="002D11AC" w:rsidRDefault="002D11AC" w:rsidP="002D11AC">
      <w:pPr>
        <w:autoSpaceDE w:val="0"/>
        <w:autoSpaceDN w:val="0"/>
        <w:adjustRightInd w:val="0"/>
        <w:spacing w:before="0" w:line="360" w:lineRule="auto"/>
        <w:jc w:val="center"/>
        <w:rPr>
          <w:rFonts w:eastAsia="Times New Roman"/>
          <w:b/>
        </w:rPr>
      </w:pPr>
    </w:p>
    <w:p w:rsidR="002D11AC" w:rsidRDefault="002D11AC" w:rsidP="002D11AC">
      <w:pPr>
        <w:autoSpaceDE w:val="0"/>
        <w:autoSpaceDN w:val="0"/>
        <w:adjustRightInd w:val="0"/>
        <w:spacing w:before="0" w:line="360" w:lineRule="auto"/>
        <w:jc w:val="center"/>
        <w:rPr>
          <w:rFonts w:eastAsia="Times New Roman"/>
          <w:b/>
        </w:rPr>
      </w:pPr>
    </w:p>
    <w:p w:rsidR="002D11AC" w:rsidRPr="002D11AC" w:rsidRDefault="002D11AC" w:rsidP="002D11AC">
      <w:pPr>
        <w:autoSpaceDE w:val="0"/>
        <w:autoSpaceDN w:val="0"/>
        <w:adjustRightInd w:val="0"/>
        <w:spacing w:before="0" w:line="360" w:lineRule="auto"/>
        <w:jc w:val="center"/>
        <w:rPr>
          <w:rFonts w:eastAsia="Times New Roman"/>
          <w:b/>
        </w:rPr>
      </w:pPr>
    </w:p>
    <w:p w:rsidR="000774C5" w:rsidRPr="002D11AC" w:rsidRDefault="000774C5" w:rsidP="002D11AC">
      <w:pPr>
        <w:autoSpaceDE w:val="0"/>
        <w:autoSpaceDN w:val="0"/>
        <w:adjustRightInd w:val="0"/>
        <w:spacing w:before="0" w:line="360" w:lineRule="auto"/>
        <w:jc w:val="center"/>
        <w:rPr>
          <w:rFonts w:eastAsia="Times New Roman"/>
          <w:b/>
        </w:rPr>
      </w:pPr>
    </w:p>
    <w:p w:rsidR="000774C5" w:rsidRPr="002D11AC" w:rsidRDefault="002D11AC" w:rsidP="002D11AC">
      <w:pPr>
        <w:spacing w:before="0" w:after="160" w:line="278" w:lineRule="auto"/>
        <w:jc w:val="center"/>
        <w:rPr>
          <w:b/>
        </w:rPr>
      </w:pPr>
      <w:r w:rsidRPr="002D11AC">
        <w:rPr>
          <w:b/>
        </w:rPr>
        <w:t/>
      </w:r>
      <w:r w:rsidRPr="002D11AC">
        <w:rPr>
          <w:rFonts w:eastAsia="Times New Roman" w:cs="Arial"/>
          <w:b/>
          <w:szCs w:val="21"/>
        </w:rPr>
        <w:t/>
      </w:r>
    </w:p>
    <w:p w:rsidR="000774C5" w:rsidRPr="002D11AC" w:rsidRDefault="000774C5" w:rsidP="002D11AC">
      <w:pPr>
        <w:spacing w:before="0" w:line="360" w:lineRule="auto"/>
        <w:jc w:val="center"/>
        <w:rPr>
          <w:rFonts w:eastAsia="Times New Roman"/>
          <w:b/>
          <w:sz w:val="26"/>
          <w:szCs w:val="20"/>
        </w:rPr>
      </w:pPr>
    </w:p>
    <w:p w:rsidR="000774C5" w:rsidRDefault="000774C5" w:rsidP="002D11AC">
      <w:pPr>
        <w:spacing w:before="0" w:line="360" w:lineRule="auto"/>
        <w:jc w:val="center"/>
        <w:rPr>
          <w:rFonts w:eastAsia="Times New Roman"/>
          <w:b/>
          <w:sz w:val="26"/>
          <w:szCs w:val="20"/>
        </w:rPr>
      </w:pPr>
    </w:p>
    <w:p w:rsidR="002D11AC" w:rsidRDefault="002D11AC" w:rsidP="002D11AC">
      <w:pPr>
        <w:spacing w:before="0" w:line="360" w:lineRule="auto"/>
        <w:jc w:val="center"/>
        <w:rPr>
          <w:rFonts w:eastAsia="Times New Roman"/>
          <w:b/>
          <w:sz w:val="26"/>
          <w:szCs w:val="20"/>
        </w:rPr>
      </w:pPr>
    </w:p>
    <w:p w:rsidR="00930337" w:rsidRDefault="00930337" w:rsidP="002D11AC">
      <w:pPr>
        <w:spacing w:before="0" w:line="360" w:lineRule="auto"/>
        <w:jc w:val="center"/>
        <w:rPr>
          <w:rFonts w:eastAsia="Times New Roman"/>
          <w:b/>
          <w:sz w:val="26"/>
          <w:szCs w:val="20"/>
        </w:rPr>
      </w:pPr>
    </w:p>
    <w:p w:rsidR="002D11AC" w:rsidRDefault="002D11AC" w:rsidP="002D11AC">
      <w:pPr>
        <w:spacing w:before="0" w:line="360" w:lineRule="auto"/>
        <w:jc w:val="center"/>
        <w:rPr>
          <w:rFonts w:eastAsia="Times New Roman"/>
          <w:b/>
          <w:sz w:val="26"/>
          <w:szCs w:val="20"/>
        </w:rPr>
      </w:pPr>
    </w:p>
    <w:p w:rsidR="002D11AC" w:rsidRPr="002D11AC" w:rsidRDefault="002D11AC" w:rsidP="002D11AC">
      <w:pPr>
        <w:spacing w:before="0" w:line="360" w:lineRule="auto"/>
        <w:jc w:val="center"/>
        <w:rPr>
          <w:rFonts w:eastAsia="Times New Roman"/>
          <w:b/>
          <w:sz w:val="26"/>
          <w:szCs w:val="20"/>
        </w:rPr>
      </w:pPr>
      <w:r>
        <w:rPr>
          <w:rFonts w:eastAsia="Times New Roman"/>
          <w:b/>
          <w:sz w:val="26"/>
          <w:szCs w:val="20"/>
        </w:rPr>
        <w:t/>
      </w:r>
    </w:p>
    <w:p w:rsidR="000774C5" w:rsidRPr="002D11AC" w:rsidRDefault="002D11AC" w:rsidP="002D11AC">
      <w:pPr>
        <w:spacing w:before="0"/>
        <w:jc w:val="center"/>
        <w:rPr>
          <w:rFonts w:eastAsia="Times New Roman"/>
          <w:b/>
        </w:rPr>
      </w:pPr>
      <w:r>
        <w:rPr>
          <w:rFonts w:eastAsia="Times New Roman"/>
          <w:b/>
        </w:rPr>
        <w:t/>
      </w:r>
      <w:r w:rsidRPr="002D11AC">
        <w:rPr>
          <w:rFonts w:eastAsia="Times New Roman"/>
          <w:b/>
        </w:rPr>
        <w:t/>
      </w:r>
    </w:p>
    <w:p w:rsidR="000774C5" w:rsidRDefault="000774C5" w:rsidP="000774C5">
      <w:pPr>
        <w:spacing w:before="0" w:line="360" w:lineRule="auto"/>
        <w:jc w:val="center"/>
        <w:rPr>
          <w:rFonts w:eastAsia="Times New Roman"/>
          <w:sz w:val="26"/>
          <w:szCs w:val="20"/>
        </w:rPr>
      </w:pPr>
      <w:r>
        <w:rPr>
          <w:rFonts w:eastAsia="Times New Roman"/>
          <w:sz w:val="26"/>
          <w:szCs w:val="20"/>
        </w:rPr>
        <w:lastRenderedPageBreak/>
        <w:br w:type="page"/>
      </w:r>
    </w:p>
    <w:p w:rsidR="000774C5" w:rsidRPr="00917657" w:rsidRDefault="000774C5" w:rsidP="004F4C7D">
      <w:pPr>
        <w:pStyle w:val="Heading1"/>
      </w:pPr>
      <w:bookmarkStart w:id="0" w:name="_Toc230519644"/>
      <w:bookmarkStart w:id="1" w:name="_Toc230523533"/>
      <w:bookmarkStart w:id="2" w:name="_Toc230615885"/>
      <w:bookmarkStart w:id="3" w:name="_Toc230781102"/>
      <w:r w:rsidRPr="00917657">
        <w:t/>
      </w:r>
      <w:bookmarkEnd w:id="0"/>
      <w:bookmarkEnd w:id="1"/>
      <w:bookmarkEnd w:id="2"/>
      <w:bookmarkEnd w:id="3"/>
    </w:p>
    <w:p w:rsidR="00C63C8C" w:rsidRPr="00C63C8C" w:rsidRDefault="00C63C8C" w:rsidP="00E435F2">
      <w:pPr>
        <w:spacing w:before="100" w:beforeAutospacing="1" w:after="100" w:afterAutospacing="1" w:line="360" w:lineRule="auto"/>
        <w:rPr>
          <w:rFonts w:eastAsia="Times New Roman"/>
          <w:lang w:val="en-GB" w:eastAsia="en-GB"/>
        </w:rPr>
      </w:pPr>
      <w:r w:rsidRPr="00C63C8C">
        <w:rPr>
          <w:rFonts w:eastAsia="Times New Roman"/>
          <w:lang w:val="en-GB" w:eastAsia="en-GB"/>
        </w:rPr>
        <w:t/>
      </w:r>
    </w:p>
    <w:p w:rsidR="00C63C8C" w:rsidRPr="00C63C8C" w:rsidRDefault="00C63C8C" w:rsidP="00E435F2">
      <w:pPr>
        <w:spacing w:before="100" w:beforeAutospacing="1" w:after="100" w:afterAutospacing="1" w:line="360" w:lineRule="auto"/>
        <w:rPr>
          <w:rFonts w:eastAsia="Times New Roman"/>
          <w:lang w:val="en-GB" w:eastAsia="en-GB"/>
        </w:rPr>
      </w:pPr>
      <w:r w:rsidRPr="00C63C8C">
        <w:rPr>
          <w:rFonts w:eastAsia="Times New Roman"/>
          <w:lang w:val="en-GB" w:eastAsia="en-GB"/>
        </w:rPr>
        <w:t/>
      </w:r>
    </w:p>
    <w:p w:rsidR="00C63C8C" w:rsidRPr="00C63C8C" w:rsidRDefault="00C63C8C" w:rsidP="00E435F2">
      <w:pPr>
        <w:spacing w:before="100" w:beforeAutospacing="1" w:after="100" w:afterAutospacing="1" w:line="360" w:lineRule="auto"/>
        <w:rPr>
          <w:rFonts w:eastAsia="Times New Roman"/>
          <w:lang w:val="en-GB" w:eastAsia="en-GB"/>
        </w:rPr>
      </w:pPr>
      <w:r w:rsidRPr="00C63C8C">
        <w:rPr>
          <w:rFonts w:eastAsia="Times New Roman"/>
          <w:lang w:val="en-GB" w:eastAsia="en-GB"/>
        </w:rPr>
        <w:t/>
      </w:r>
    </w:p>
    <w:p w:rsidR="000774C5" w:rsidRDefault="000774C5" w:rsidP="000774C5">
      <w:pPr>
        <w:spacing w:before="0" w:line="360" w:lineRule="auto"/>
        <w:rPr>
          <w:rFonts w:eastAsia="Times New Roman"/>
          <w:u w:val="single"/>
        </w:rPr>
      </w:pPr>
      <w:r w:rsidRPr="00A44122">
        <w:rPr>
          <w:rFonts w:eastAsia="Times New Roman"/>
        </w:rPr>
        <w:t/>
      </w:r>
      <w:r>
        <w:rPr>
          <w:rFonts w:eastAsia="Times New Roman"/>
        </w:rPr>
        <w:t xml:space="preserve"/>
      </w:r>
      <w:r w:rsidRPr="00A44122">
        <w:rPr>
          <w:rFonts w:eastAsia="Times New Roman"/>
        </w:rPr>
        <w:t/>
      </w:r>
      <w:r>
        <w:rPr>
          <w:rFonts w:eastAsia="Times New Roman"/>
        </w:rPr>
        <w:t xml:space="preserve"/>
      </w:r>
      <w:r w:rsidR="009A02FF">
        <w:rPr>
          <w:rFonts w:eastAsia="Times New Roman"/>
          <w:u w:val="single"/>
        </w:rPr>
        <w:t/>
      </w:r>
    </w:p>
    <w:p w:rsidR="000774C5" w:rsidRPr="00A44122" w:rsidRDefault="000774C5" w:rsidP="000774C5">
      <w:pPr>
        <w:spacing w:before="0" w:line="360" w:lineRule="auto"/>
        <w:rPr>
          <w:rFonts w:eastAsia="Times New Roman"/>
          <w:b/>
          <w:sz w:val="28"/>
        </w:rPr>
      </w:pPr>
      <w:r w:rsidRPr="002236B7">
        <w:rPr>
          <w:rFonts w:eastAsia="Times New Roman"/>
        </w:rPr>
        <w:t/>
      </w:r>
      <w:r>
        <w:rPr>
          <w:rFonts w:eastAsia="Times New Roman"/>
        </w:rPr>
        <w:t xml:space="preserve"/>
      </w:r>
      <w:r>
        <w:rPr>
          <w:rFonts w:eastAsia="Times New Roman"/>
          <w:u w:val="single"/>
        </w:rPr>
        <w:t/>
      </w:r>
    </w:p>
    <w:p w:rsidR="000774C5" w:rsidRDefault="000774C5" w:rsidP="000774C5">
      <w:pPr>
        <w:spacing w:before="0" w:line="360" w:lineRule="auto"/>
        <w:rPr>
          <w:rFonts w:eastAsia="Times New Roman"/>
          <w:u w:val="single"/>
        </w:rPr>
      </w:pPr>
      <w:r w:rsidRPr="00A44122">
        <w:rPr>
          <w:rFonts w:eastAsia="Times New Roman"/>
        </w:rPr>
        <w:t xml:space="preserve"/>
      </w:r>
      <w:r w:rsidR="009A02FF">
        <w:rPr>
          <w:rFonts w:eastAsia="Times New Roman"/>
          <w:u w:val="single"/>
        </w:rPr>
        <w:t/>
      </w:r>
    </w:p>
    <w:p w:rsidR="000774C5" w:rsidRPr="00F256F4" w:rsidRDefault="000774C5" w:rsidP="000774C5">
      <w:pPr>
        <w:spacing w:before="0" w:line="360" w:lineRule="auto"/>
        <w:rPr>
          <w:color w:val="000000"/>
        </w:rPr>
        <w:sectPr w:rsidR="000774C5" w:rsidRPr="00F256F4" w:rsidSect="004F4C7D">
          <w:footerReference w:type="default" r:id="rId9"/>
          <w:pgSz w:w="11910" w:h="16840"/>
          <w:pgMar w:top="1361" w:right="964" w:bottom="1202" w:left="964" w:header="0" w:footer="998" w:gutter="0"/>
          <w:pgNumType w:fmt="lowerRoman" w:start="1"/>
          <w:cols w:space="720"/>
          <w:docGrid w:linePitch="326"/>
        </w:sectPr>
      </w:pPr>
    </w:p>
    <w:p w:rsidR="000774C5" w:rsidRPr="00917657" w:rsidRDefault="000774C5" w:rsidP="004F4C7D">
      <w:pPr>
        <w:pStyle w:val="Heading1"/>
      </w:pPr>
      <w:bookmarkStart w:id="4" w:name="_Toc230519645"/>
      <w:bookmarkStart w:id="5" w:name="_Toc230523534"/>
      <w:bookmarkStart w:id="6" w:name="_Toc230615886"/>
      <w:bookmarkStart w:id="7" w:name="_Toc230781103"/>
      <w:r w:rsidRPr="00917657">
        <w:t/>
      </w:r>
      <w:bookmarkEnd w:id="4"/>
      <w:bookmarkEnd w:id="5"/>
      <w:bookmarkEnd w:id="6"/>
      <w:bookmarkEnd w:id="7"/>
      <w:r w:rsidRPr="00917657">
        <w:t xml:space="preserve"/>
      </w:r>
    </w:p>
    <w:p w:rsidR="000774C5" w:rsidRPr="00C0588E" w:rsidRDefault="000774C5" w:rsidP="000774C5">
      <w:pPr>
        <w:spacing w:before="0" w:line="360" w:lineRule="auto"/>
      </w:pPr>
      <w:r w:rsidRPr="00C0588E">
        <w:t/>
      </w:r>
      <w:r>
        <w:t xml:space="preserve"/>
      </w:r>
      <w:r w:rsidRPr="00C0588E">
        <w:t xml:space="preserve"/>
      </w:r>
      <w:r w:rsidRPr="00FC1751">
        <w:t/>
      </w:r>
      <w:r w:rsidRPr="00C0588E">
        <w:t xml:space="preserve"/>
      </w:r>
      <w:r>
        <w:t/>
      </w:r>
      <w:r w:rsidRPr="00C0588E">
        <w:t/>
      </w:r>
    </w:p>
    <w:p w:rsidR="000774C5" w:rsidRPr="00532955" w:rsidRDefault="000774C5" w:rsidP="000774C5">
      <w:pPr>
        <w:spacing w:before="0" w:line="360" w:lineRule="auto"/>
        <w:jc w:val="left"/>
        <w:rPr>
          <w:b/>
          <w:color w:val="1F497D" w:themeColor="text2"/>
        </w:rPr>
      </w:pPr>
      <w:r w:rsidRPr="00CA731D">
        <w:rPr>
          <w:color w:val="1F497D" w:themeColor="text2"/>
        </w:rPr>
        <w:t xml:space="preserve"/>
      </w:r>
      <w:r w:rsidRPr="00532955">
        <w:rPr>
          <w:b/>
        </w:rPr>
        <w:t/>
      </w:r>
    </w:p>
    <w:p w:rsidR="000774C5" w:rsidRDefault="000774C5" w:rsidP="000774C5">
      <w:pPr>
        <w:spacing w:before="0" w:line="360" w:lineRule="auto"/>
        <w:rPr>
          <w:b/>
          <w:bCs/>
        </w:rPr>
      </w:pPr>
      <w:r>
        <w:rPr>
          <w:b/>
          <w:bCs/>
        </w:rPr>
        <w:t/>
      </w: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0774C5" w:rsidRDefault="000774C5" w:rsidP="000774C5">
      <w:pPr>
        <w:spacing w:before="0" w:line="360" w:lineRule="auto"/>
        <w:rPr>
          <w:b/>
          <w:bCs/>
        </w:rPr>
      </w:pPr>
    </w:p>
    <w:p w:rsidR="006A5F90" w:rsidRDefault="006A5F90" w:rsidP="000774C5">
      <w:pPr>
        <w:spacing w:before="0" w:line="360" w:lineRule="auto"/>
        <w:rPr>
          <w:b/>
          <w:bCs/>
        </w:rPr>
      </w:pPr>
    </w:p>
    <w:p w:rsidR="006A5F90" w:rsidRDefault="006A5F90" w:rsidP="000774C5">
      <w:pPr>
        <w:spacing w:before="0" w:line="360" w:lineRule="auto"/>
        <w:rPr>
          <w:b/>
          <w:bCs/>
        </w:rPr>
      </w:pPr>
    </w:p>
    <w:p w:rsidR="000774C5" w:rsidRDefault="000774C5" w:rsidP="000774C5">
      <w:pPr>
        <w:spacing w:before="0" w:line="360" w:lineRule="auto"/>
        <w:rPr>
          <w:b/>
          <w:bCs/>
        </w:rPr>
      </w:pPr>
    </w:p>
    <w:p w:rsidR="000774C5" w:rsidRDefault="000774C5" w:rsidP="004F4C7D">
      <w:pPr>
        <w:pStyle w:val="Heading1"/>
      </w:pPr>
      <w:bookmarkStart w:id="8" w:name="_Toc223966009"/>
      <w:bookmarkStart w:id="9" w:name="_Toc230519646"/>
      <w:bookmarkStart w:id="10" w:name="_Toc230523535"/>
      <w:bookmarkStart w:id="11" w:name="_Toc230615887"/>
      <w:bookmarkStart w:id="12" w:name="_Toc230781104"/>
      <w:r>
        <w:t/>
      </w:r>
      <w:bookmarkEnd w:id="8"/>
      <w:bookmarkEnd w:id="9"/>
      <w:bookmarkEnd w:id="10"/>
      <w:bookmarkEnd w:id="11"/>
      <w:bookmarkEnd w:id="12"/>
    </w:p>
    <w:p w:rsidR="000774C5" w:rsidRDefault="000774C5" w:rsidP="000774C5">
      <w:pPr>
        <w:spacing w:before="0" w:after="160" w:line="360" w:lineRule="auto"/>
      </w:pPr>
      <w:r w:rsidRPr="007B5B8B">
        <w:t/>
      </w:r>
    </w:p>
    <w:p w:rsidR="000774C5" w:rsidRDefault="000774C5" w:rsidP="000774C5">
      <w:pPr>
        <w:spacing w:before="0" w:line="360" w:lineRule="auto"/>
      </w:pPr>
      <w:r>
        <w:t/>
      </w:r>
      <w:r w:rsidRPr="00994DA5">
        <w:t xml:space="preserve"/>
      </w:r>
      <w:r>
        <w:t/>
      </w:r>
      <w:r w:rsidRPr="00994DA5">
        <w:t xml:space="preserve"/>
      </w:r>
      <w:r>
        <w:t/>
      </w:r>
      <w:r w:rsidRPr="00994DA5">
        <w:t/>
      </w:r>
      <w:r>
        <w:t/>
      </w:r>
      <w:r w:rsidR="009D2D19">
        <w:rPr>
          <w:rFonts w:eastAsia="Times New Roman"/>
          <w:u w:val="single"/>
        </w:rPr>
        <w:t/>
      </w:r>
    </w:p>
    <w:p w:rsidR="000774C5" w:rsidRDefault="000774C5" w:rsidP="000774C5">
      <w:pPr>
        <w:spacing w:before="0" w:line="360" w:lineRule="auto"/>
      </w:pPr>
      <w:r>
        <w:t/>
      </w:r>
      <w:r w:rsidR="009D2D19">
        <w:rPr>
          <w:rFonts w:eastAsia="Times New Roman"/>
          <w:u w:val="single"/>
        </w:rPr>
        <w:t/>
      </w:r>
    </w:p>
    <w:p w:rsidR="000774C5" w:rsidRDefault="000774C5" w:rsidP="000774C5">
      <w:pPr>
        <w:spacing w:before="0" w:line="360" w:lineRule="auto"/>
      </w:pPr>
      <w:r>
        <w:t/>
      </w:r>
      <w:r w:rsidR="009D2D19">
        <w:rPr>
          <w:rFonts w:eastAsia="Times New Roman"/>
          <w:u w:val="single"/>
        </w:rPr>
        <w:t/>
      </w:r>
    </w:p>
    <w:p w:rsidR="000774C5" w:rsidRDefault="000774C5" w:rsidP="000774C5">
      <w:pPr>
        <w:spacing w:before="0" w:line="360" w:lineRule="auto"/>
        <w:jc w:val="center"/>
        <w:rPr>
          <w:rFonts w:eastAsia="Times New Roman"/>
          <w:b/>
          <w:color w:val="C00000"/>
          <w:sz w:val="28"/>
        </w:rPr>
      </w:pPr>
    </w:p>
    <w:p w:rsidR="000774C5" w:rsidRDefault="000774C5" w:rsidP="000774C5">
      <w:pPr>
        <w:spacing w:before="0" w:line="360" w:lineRule="auto"/>
      </w:pPr>
      <w:r>
        <w:t/>
      </w:r>
      <w:r w:rsidRPr="00994DA5">
        <w:t xml:space="preserve"/>
      </w:r>
      <w:r>
        <w:t/>
      </w:r>
      <w:r w:rsidRPr="00994DA5">
        <w:t xml:space="preserve"/>
      </w:r>
      <w:r>
        <w:t/>
      </w:r>
      <w:r w:rsidRPr="00994DA5">
        <w:t/>
      </w:r>
      <w:r>
        <w:t/>
      </w:r>
      <w:r w:rsidR="00AA378F">
        <w:t/>
      </w:r>
    </w:p>
    <w:p w:rsidR="000774C5" w:rsidRDefault="000774C5" w:rsidP="000774C5">
      <w:pPr>
        <w:spacing w:before="0" w:line="360" w:lineRule="auto"/>
      </w:pPr>
      <w:r>
        <w:t/>
      </w:r>
    </w:p>
    <w:p w:rsidR="000774C5" w:rsidRDefault="000774C5" w:rsidP="000774C5">
      <w:pPr>
        <w:spacing w:before="0" w:line="360" w:lineRule="auto"/>
      </w:pPr>
      <w:r>
        <w:t/>
      </w:r>
    </w:p>
    <w:p w:rsidR="000774C5" w:rsidRDefault="000774C5" w:rsidP="000774C5">
      <w:pPr>
        <w:spacing w:before="0" w:line="360" w:lineRule="auto"/>
        <w:jc w:val="center"/>
        <w:rPr>
          <w:rFonts w:eastAsia="Times New Roman"/>
          <w:b/>
          <w:color w:val="C00000"/>
          <w:sz w:val="28"/>
        </w:rPr>
      </w:pPr>
      <w:r>
        <w:rPr>
          <w:rFonts w:eastAsia="Times New Roman"/>
          <w:b/>
          <w:color w:val="C00000"/>
          <w:sz w:val="28"/>
        </w:rPr>
        <w:br w:type="page"/>
      </w:r>
    </w:p>
    <w:p w:rsidR="000774C5" w:rsidRPr="00917657" w:rsidRDefault="000774C5" w:rsidP="004F4C7D">
      <w:pPr>
        <w:pStyle w:val="Heading1"/>
      </w:pPr>
      <w:bookmarkStart w:id="13" w:name="_Toc230519647"/>
      <w:bookmarkStart w:id="14" w:name="_Toc230523536"/>
      <w:bookmarkStart w:id="15" w:name="_Toc230615888"/>
      <w:bookmarkStart w:id="16" w:name="_Toc230781105"/>
      <w:r>
        <w:t/>
      </w:r>
      <w:r w:rsidRPr="00484053">
        <w:t/>
      </w:r>
      <w:bookmarkEnd w:id="13"/>
      <w:bookmarkEnd w:id="14"/>
      <w:bookmarkEnd w:id="15"/>
      <w:bookmarkEnd w:id="16"/>
    </w:p>
    <w:p w:rsidR="000774C5" w:rsidRPr="007B5B8B" w:rsidRDefault="000774C5" w:rsidP="000774C5">
      <w:pPr>
        <w:spacing w:before="0" w:after="160" w:line="360" w:lineRule="auto"/>
      </w:pPr>
      <w:r w:rsidRPr="007B5B8B">
        <w:t/>
      </w:r>
      <w:r>
        <w:t/>
      </w:r>
      <w:r w:rsidRPr="007B5B8B">
        <w:t xml:space="preserve"/>
      </w:r>
      <w:r w:rsidR="000B5D20" w:rsidRPr="007B5B8B">
        <w:t/>
      </w:r>
      <w:r w:rsidRPr="007B5B8B">
        <w:t xml:space="preserve"/>
      </w:r>
      <w:r>
        <w:t xml:space="preserve"/>
      </w: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774C5" w:rsidRDefault="000774C5" w:rsidP="000774C5">
      <w:pPr>
        <w:spacing w:before="0" w:line="360" w:lineRule="auto"/>
        <w:jc w:val="left"/>
      </w:pPr>
    </w:p>
    <w:p w:rsidR="000B5D20" w:rsidRDefault="000B5D20" w:rsidP="000774C5">
      <w:pPr>
        <w:spacing w:before="0" w:line="360" w:lineRule="auto"/>
        <w:jc w:val="left"/>
      </w:pPr>
    </w:p>
    <w:p w:rsidR="000B5D20" w:rsidRDefault="000B5D20" w:rsidP="000774C5">
      <w:pPr>
        <w:spacing w:before="0" w:line="360" w:lineRule="auto"/>
        <w:jc w:val="left"/>
      </w:pPr>
    </w:p>
    <w:p w:rsidR="000B5D20" w:rsidRDefault="000B5D20" w:rsidP="000774C5">
      <w:pPr>
        <w:spacing w:before="0" w:line="360" w:lineRule="auto"/>
        <w:jc w:val="left"/>
      </w:pPr>
    </w:p>
    <w:p w:rsidR="000774C5" w:rsidRDefault="000774C5" w:rsidP="004F4C7D">
      <w:pPr>
        <w:pStyle w:val="Heading1"/>
      </w:pPr>
      <w:bookmarkStart w:id="17" w:name="_Toc75774102"/>
      <w:bookmarkStart w:id="18" w:name="_Toc230519648"/>
      <w:bookmarkStart w:id="19" w:name="_Toc230523537"/>
      <w:bookmarkStart w:id="20" w:name="_Toc230615889"/>
      <w:bookmarkStart w:id="21" w:name="_Toc230781106"/>
      <w:r>
        <w:t/>
      </w:r>
      <w:bookmarkEnd w:id="17"/>
      <w:bookmarkEnd w:id="18"/>
      <w:bookmarkEnd w:id="19"/>
      <w:bookmarkEnd w:id="20"/>
      <w:bookmarkEnd w:id="21"/>
    </w:p>
    <w:p w:rsidR="000774C5" w:rsidRPr="007B5B8B" w:rsidRDefault="000774C5" w:rsidP="000774C5">
      <w:pPr>
        <w:spacing w:before="0" w:after="160" w:line="360" w:lineRule="auto"/>
      </w:pPr>
      <w:r w:rsidRPr="007B5B8B">
        <w:t/>
      </w:r>
      <w:r>
        <w:t xml:space="preserve"/>
      </w:r>
      <w:r w:rsidRPr="007B5B8B">
        <w:t xml:space="preserve"/>
      </w:r>
      <w:r>
        <w:t/>
      </w:r>
      <w:r w:rsidRPr="007B5B8B">
        <w:t xml:space="preserve"/>
      </w:r>
      <w:r>
        <w:t/>
      </w:r>
      <w:r w:rsidRPr="007B5B8B">
        <w:t xml:space="preserve"/>
      </w:r>
      <w:r>
        <w:t/>
      </w:r>
      <w:r w:rsidRPr="007B5B8B">
        <w:t xml:space="preserve"/>
      </w:r>
    </w:p>
    <w:p w:rsidR="000774C5" w:rsidRPr="007B5B8B" w:rsidRDefault="000774C5" w:rsidP="000774C5">
      <w:pPr>
        <w:spacing w:before="0" w:after="160" w:line="360" w:lineRule="auto"/>
      </w:pPr>
      <w:r w:rsidRPr="007B5B8B">
        <w:t/>
      </w:r>
    </w:p>
    <w:p w:rsidR="000774C5" w:rsidRPr="007B5B8B" w:rsidRDefault="000774C5" w:rsidP="000774C5">
      <w:pPr>
        <w:spacing w:before="0" w:after="160" w:line="360" w:lineRule="auto"/>
      </w:pPr>
      <w:r w:rsidRPr="007B5B8B">
        <w:t/>
      </w:r>
    </w:p>
    <w:p w:rsidR="005E7AF9" w:rsidRDefault="000774C5" w:rsidP="000774C5">
      <w:pPr>
        <w:spacing w:before="0" w:after="160" w:line="360" w:lineRule="auto"/>
      </w:pPr>
      <w:r w:rsidRPr="007B5B8B">
        <w:t/>
      </w: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A5F90" w:rsidRDefault="006A5F90" w:rsidP="000774C5">
      <w:pPr>
        <w:spacing w:before="0" w:after="160" w:line="360" w:lineRule="auto"/>
      </w:pPr>
    </w:p>
    <w:p w:rsidR="006069BA" w:rsidRPr="00C67E69" w:rsidRDefault="006069BA" w:rsidP="004F4C7D">
      <w:pPr>
        <w:pStyle w:val="Heading1"/>
      </w:pPr>
      <w:bookmarkStart w:id="22" w:name="_Toc230781107"/>
      <w:r w:rsidRPr="00C67E69">
        <w:t>ABSTRACT</w:t>
      </w:r>
      <w:bookmarkEnd w:id="22"/>
    </w:p>
    <w:p w:rsidR="00C67E69" w:rsidRDefault="00BF6363" w:rsidP="00B1618D">
      <w:pPr>
        <w:spacing w:before="100" w:beforeAutospacing="1" w:after="100" w:afterAutospacing="1" w:line="360" w:lineRule="auto"/>
        <w:rPr>
          <w:rFonts w:eastAsia="Times New Roman"/>
          <w:lang w:val="en-GB" w:eastAsia="en-GB"/>
        </w:rPr>
      </w:pPr>
      <w:r w:rsidRPr="00B1618D">
        <w:rPr>
          <w:rFonts w:eastAsia="Times New Roman"/>
          <w:lang w:val="en-GB" w:eastAsia="en-GB"/>
        </w:rPr>
        <w:t xml:space="preserve">In an era defined by accelerating global climate disruption, climate-induced flood events have emerged as one of the most pervasive and destructive hazards threatening human settlements. Anthropogenic warming has fundamentally altered hydrological cycles, leading to an increase in both the frequency and severity of extreme precipitation events, rapid sea-level rise, and unprecedented storm surges. Urban environments are particularly susceptible to these hydrological shifts due to their high concentrations of population, economic assets, and dense, interconnected physical networks. As natural landscapes are replaced by impermeable surfaces, urban drainage systems are routinely overwhelmed, transforming streets into torrents and subterranean spaces into reservoirs. The traditional engineering paradigms used to design municipal frameworks, predominantly reliant on historical weather data and the assumption of climate </w:t>
      </w:r>
      <w:r w:rsidR="00B1618D" w:rsidRPr="00B1618D">
        <w:rPr>
          <w:rFonts w:eastAsia="Times New Roman"/>
          <w:lang w:val="en-GB" w:eastAsia="en-GB"/>
        </w:rPr>
        <w:t>stationary</w:t>
      </w:r>
      <w:r w:rsidR="00C67E69">
        <w:rPr>
          <w:rFonts w:eastAsia="Times New Roman"/>
          <w:lang w:val="en-GB" w:eastAsia="en-GB"/>
        </w:rPr>
        <w:t>, are no longer sufficient.</w:t>
      </w:r>
    </w:p>
    <w:p w:rsidR="002F2C48" w:rsidRDefault="00BF6363" w:rsidP="00B1618D">
      <w:pPr>
        <w:spacing w:before="100" w:beforeAutospacing="1" w:after="100" w:afterAutospacing="1" w:line="360" w:lineRule="auto"/>
        <w:rPr>
          <w:rFonts w:eastAsia="Times New Roman"/>
          <w:lang w:val="en-GB" w:eastAsia="en-GB"/>
        </w:rPr>
      </w:pPr>
      <w:r w:rsidRPr="00B1618D">
        <w:rPr>
          <w:rFonts w:eastAsia="Times New Roman"/>
          <w:lang w:val="en-GB" w:eastAsia="en-GB"/>
        </w:rPr>
        <w:t>Consequently, modern cities find themselves defended by legacy systems that are structurally and operationally ill-equipped to withstand the compounding pressures of contemporary climate realities, creating a pressing need to re-evaluate urban resilience.</w:t>
      </w:r>
      <w:r w:rsidR="00874B4F" w:rsidRPr="00B1618D">
        <w:rPr>
          <w:rFonts w:eastAsia="Times New Roman"/>
          <w:lang w:val="en-GB" w:eastAsia="en-GB"/>
        </w:rPr>
        <w:t xml:space="preserve"> </w:t>
      </w:r>
      <w:r w:rsidRPr="00B1618D">
        <w:rPr>
          <w:rFonts w:eastAsia="Times New Roman"/>
          <w:lang w:val="en-GB" w:eastAsia="en-GB"/>
        </w:rPr>
        <w:t>To address these escalating risks, this study systematically investigates which critical infrastructure systems are most vulnerable to flooding and identifies the underlying systemic factors that drive their susceptibility. Critical infrastructure, encompassing transportation networks, energy grids, water treatment facilities, telecommunications, and emergency services, forms the backbone of public safety, economic stability, and societal continuity. When one node in this dense matrix fails, the consequences rarely remain localized. Therefore, this research aims to move beyond broad, generalized assessments of urban risk by isolating specific structural, geographic, and operational attributes that render certain infrastructure assets inherently more fragile than others. By pinpointing these precise points of failure, the study seeks to unpack the mechanisms of cascading failures, where a disruption in a single utility triggers a domino effect across seemingly independent sectors. Ultimately, the objective is to establish a quantified, diagnostic baseline that transforms raw climate data into targeted, spatial insights regarding infrastructural fragility.</w:t>
      </w:r>
      <w:r w:rsidR="00874B4F" w:rsidRPr="00B1618D">
        <w:rPr>
          <w:rFonts w:eastAsia="Times New Roman"/>
          <w:lang w:val="en-GB" w:eastAsia="en-GB"/>
        </w:rPr>
        <w:t xml:space="preserve"> </w:t>
      </w:r>
      <w:r w:rsidRPr="00B1618D">
        <w:rPr>
          <w:rFonts w:eastAsia="Times New Roman"/>
          <w:lang w:val="en-GB" w:eastAsia="en-GB"/>
        </w:rPr>
        <w:t xml:space="preserve">This paper evaluates infrastructure vulnerability by utilizing a geospatial and conceptual framework that intersects regional hydrological hazard maps with comprehensive, localized asset datasets. The methodology treats vulnerability not as a static, isolated metric, but as a dynamic function operating through the triple lenses of exposure, sensitivity, and adaptive capacity. The initial phase of the research involves the integration of high-resolution digital elevation models and regional hydrological hazard maps. These maps simulate various flood scenarios, including 100-year and 500-year alluvial, pluvial, and coastal flooding events, accounting for projected climate realities. </w:t>
      </w:r>
      <w:r w:rsidR="004F4C7D">
        <w:rPr>
          <w:rFonts w:eastAsia="Times New Roman"/>
          <w:lang w:val="en-GB" w:eastAsia="en-GB"/>
        </w:rPr>
        <w:t>O</w:t>
      </w:r>
      <w:r w:rsidRPr="00B1618D">
        <w:rPr>
          <w:rFonts w:eastAsia="Times New Roman"/>
          <w:lang w:val="en-GB" w:eastAsia="en-GB"/>
        </w:rPr>
        <w:t>verlaying these hazard zones with geographic information system mapped local asset datasets, the study precisely quantifies which assets physically intersect with predicted flood waters. Once exposure is established, the research evaluates the sensitivity of the exposed assets, measuring asset-specific attributes such as structural age, construction materials, design thresholds, and operational thresholds. The final component examines adaptive capacity, which is quantified by assessing structural redundancies, the presence of localized flood defenses, an</w:t>
      </w:r>
      <w:r w:rsidR="002F2C48">
        <w:rPr>
          <w:rFonts w:eastAsia="Times New Roman"/>
          <w:lang w:val="en-GB" w:eastAsia="en-GB"/>
        </w:rPr>
        <w:t>d institutional response times.</w:t>
      </w:r>
    </w:p>
    <w:p w:rsidR="00B1618D" w:rsidRDefault="00BF6363" w:rsidP="00B1618D">
      <w:pPr>
        <w:spacing w:before="100" w:beforeAutospacing="1" w:after="100" w:afterAutospacing="1" w:line="360" w:lineRule="auto"/>
        <w:rPr>
          <w:rFonts w:eastAsia="Times New Roman"/>
          <w:lang w:val="en-GB" w:eastAsia="en-GB"/>
        </w:rPr>
      </w:pPr>
      <w:r w:rsidRPr="00B1618D">
        <w:rPr>
          <w:rFonts w:eastAsia="Times New Roman"/>
          <w:lang w:val="en-GB" w:eastAsia="en-GB"/>
        </w:rPr>
        <w:t xml:space="preserve">Preliminary conceptual </w:t>
      </w:r>
      <w:r w:rsidR="00B1618D" w:rsidRPr="00B1618D">
        <w:rPr>
          <w:rFonts w:eastAsia="Times New Roman"/>
          <w:lang w:val="en-GB" w:eastAsia="en-GB"/>
        </w:rPr>
        <w:t>modelling</w:t>
      </w:r>
      <w:r w:rsidRPr="00B1618D">
        <w:rPr>
          <w:rFonts w:eastAsia="Times New Roman"/>
          <w:lang w:val="en-GB" w:eastAsia="en-GB"/>
        </w:rPr>
        <w:t xml:space="preserve"> and spatial correlations reveal distinct disparities in vulnerability across different infrastructure sectors, indicating that low-lying utility substations and </w:t>
      </w:r>
      <w:r w:rsidR="00B1618D" w:rsidRPr="00B1618D">
        <w:rPr>
          <w:rFonts w:eastAsia="Times New Roman"/>
          <w:lang w:val="en-GB" w:eastAsia="en-GB"/>
        </w:rPr>
        <w:t>out-dated</w:t>
      </w:r>
      <w:r w:rsidRPr="00B1618D">
        <w:rPr>
          <w:rFonts w:eastAsia="Times New Roman"/>
          <w:lang w:val="en-GB" w:eastAsia="en-GB"/>
        </w:rPr>
        <w:t xml:space="preserve"> transport networks suffer the highest risk of cascading failures. The data indicates that utility infrastructure, particularly electrical distribution hubs and wastewater treatment facilities, exhibit extreme sensitivity coupled with high exposure. Because many of these assets were historically situated in low-lying areas near water bodies for cooling or discharge purposes, they face disproportionate inundation risks. When an electrical substation is compromised, the failure does not stop at the power grid; it immediately cripples water treatment pumps, disrupts telecommunication towers, and disables traffic </w:t>
      </w:r>
      <w:r w:rsidR="00B1618D" w:rsidRPr="00B1618D">
        <w:rPr>
          <w:rFonts w:eastAsia="Times New Roman"/>
          <w:lang w:val="en-GB" w:eastAsia="en-GB"/>
        </w:rPr>
        <w:t>signalling</w:t>
      </w:r>
      <w:r w:rsidRPr="00B1618D">
        <w:rPr>
          <w:rFonts w:eastAsia="Times New Roman"/>
          <w:lang w:val="en-GB" w:eastAsia="en-GB"/>
        </w:rPr>
        <w:t xml:space="preserve"> systems. Simultaneously, </w:t>
      </w:r>
      <w:r w:rsidR="00B1618D" w:rsidRPr="00B1618D">
        <w:rPr>
          <w:rFonts w:eastAsia="Times New Roman"/>
          <w:lang w:val="en-GB" w:eastAsia="en-GB"/>
        </w:rPr>
        <w:t>out-dated</w:t>
      </w:r>
      <w:r w:rsidRPr="00B1618D">
        <w:rPr>
          <w:rFonts w:eastAsia="Times New Roman"/>
          <w:lang w:val="en-GB" w:eastAsia="en-GB"/>
        </w:rPr>
        <w:t xml:space="preserve"> transport networks, characterized by aging bridges, subterranean transit tunnels, and poorly drained arterial roads, demonstrate low adaptive capacity. The </w:t>
      </w:r>
      <w:r w:rsidR="00B1618D" w:rsidRPr="00B1618D">
        <w:rPr>
          <w:rFonts w:eastAsia="Times New Roman"/>
          <w:lang w:val="en-GB" w:eastAsia="en-GB"/>
        </w:rPr>
        <w:t>modelling</w:t>
      </w:r>
      <w:r w:rsidRPr="00B1618D">
        <w:rPr>
          <w:rFonts w:eastAsia="Times New Roman"/>
          <w:lang w:val="en-GB" w:eastAsia="en-GB"/>
        </w:rPr>
        <w:t xml:space="preserve"> shows that the failure of these key transit corridors creates severe bottlenecks, trapping commuter populations and, critically, blocking the deployment routes of emergency service vehicles. Emergency services themselves, while generally boasting higher adaptive capacity due to localized backup generators and disaster response protocols, are severely constrained by this external network dependency. If the surrounding road networks are impassable and the power grid is down, the operational efficacy of hospitals and fire stations degrades rapidly, highlighting the profound danger of interconnected urban vulnerabilities.</w:t>
      </w:r>
    </w:p>
    <w:p w:rsidR="000E46C5" w:rsidRDefault="00BF6363" w:rsidP="00B1618D">
      <w:pPr>
        <w:spacing w:before="100" w:beforeAutospacing="1" w:after="100" w:afterAutospacing="1" w:line="360" w:lineRule="auto"/>
        <w:rPr>
          <w:rFonts w:eastAsia="Times New Roman"/>
          <w:lang w:val="en-GB" w:eastAsia="en-GB"/>
        </w:rPr>
      </w:pPr>
      <w:r w:rsidRPr="00B1618D">
        <w:rPr>
          <w:rFonts w:eastAsia="Times New Roman"/>
          <w:lang w:val="en-GB" w:eastAsia="en-GB"/>
        </w:rPr>
        <w:t>The findings of this study provide an actionable, data-driven framework for urban planners, civil engineers, and municipal policymakers to prioritize retrofitting efforts and strengthen municipa</w:t>
      </w:r>
      <w:r w:rsidR="00C67E69">
        <w:rPr>
          <w:rFonts w:eastAsia="Times New Roman"/>
          <w:lang w:val="en-GB" w:eastAsia="en-GB"/>
        </w:rPr>
        <w:t>l climate adaptation strategies</w:t>
      </w:r>
      <w:r w:rsidRPr="00B1618D">
        <w:rPr>
          <w:rFonts w:eastAsia="Times New Roman"/>
          <w:lang w:val="en-GB" w:eastAsia="en-GB"/>
        </w:rPr>
        <w:t>. Mitigation strategies derived from this framework emphasize the implementation of redundant systems, the physical elevation or waterproofing of critical utility nodes, and the integration of nature-based solutions, such as permeable pavements and urban wetlands, to reduce pluvial runoff pressures on legacy drainage networks. Furthermore, the insights underscore the necessity of breaking down institutional silos; civil engineers designing transportation systems must coordinate directly with utility grid operators to</w:t>
      </w:r>
      <w:r w:rsidR="000E46C5">
        <w:rPr>
          <w:rFonts w:eastAsia="Times New Roman"/>
          <w:lang w:val="en-GB" w:eastAsia="en-GB"/>
        </w:rPr>
        <w:t xml:space="preserve"> prevent cascading disruptions.</w:t>
      </w:r>
    </w:p>
    <w:p w:rsidR="00B1618D" w:rsidRPr="00B1618D" w:rsidRDefault="00B1618D" w:rsidP="00B1618D">
      <w:pPr>
        <w:spacing w:before="100" w:beforeAutospacing="1" w:after="100" w:afterAutospacing="1" w:line="360" w:lineRule="auto"/>
        <w:rPr>
          <w:rFonts w:eastAsia="Times New Roman"/>
          <w:lang w:val="en-GB" w:eastAsia="en-GB"/>
        </w:rPr>
      </w:pPr>
      <w:r w:rsidRPr="00B1618D">
        <w:rPr>
          <w:b/>
          <w:bCs/>
          <w:i/>
        </w:rPr>
        <w:t>Keywords:</w:t>
      </w:r>
      <w:r w:rsidRPr="006701BE">
        <w:t xml:space="preserve"> Flood vulnerability, critical infrastructure, climate resilience, GIS mapping, risk assessment, adaptive capacity</w:t>
      </w:r>
      <w:r>
        <w:t>.</w:t>
      </w:r>
    </w:p>
    <w:bookmarkStart w:id="23" w:name="_GoBack" w:displacedByCustomXml="next"/>
    <w:bookmarkEnd w:id="23" w:displacedByCustomXml="next"/>
    <w:sdt>
      <w:sdtPr>
        <w:id w:val="-947236860"/>
        <w:docPartObj>
          <w:docPartGallery w:val="Table of Contents"/>
          <w:docPartUnique/>
        </w:docPartObj>
      </w:sdtPr>
      <w:sdtEndPr>
        <w:rPr>
          <w:rFonts w:ascii="Times New Roman" w:eastAsiaTheme="minorHAnsi" w:hAnsi="Times New Roman" w:cs="Times New Roman"/>
          <w:noProof/>
          <w:color w:val="auto"/>
          <w:sz w:val="24"/>
          <w:szCs w:val="24"/>
          <w:lang w:eastAsia="en-US"/>
        </w:rPr>
      </w:sdtEndPr>
      <w:sdtContent>
        <w:p w:rsidR="000C56DA" w:rsidRPr="000C56DA" w:rsidRDefault="000C56DA" w:rsidP="000C56DA">
          <w:pPr>
            <w:pStyle w:val="TOCHeading"/>
            <w:spacing w:line="240" w:lineRule="auto"/>
            <w:jc w:val="center"/>
            <w:rPr>
              <w:rFonts w:ascii="Times New Roman" w:hAnsi="Times New Roman" w:cs="Times New Roman"/>
              <w:color w:val="000000" w:themeColor="text1"/>
              <w:sz w:val="24"/>
              <w:szCs w:val="24"/>
            </w:rPr>
          </w:pPr>
          <w:r w:rsidRPr="000C56DA">
            <w:rPr>
              <w:rFonts w:ascii="Times New Roman" w:hAnsi="Times New Roman" w:cs="Times New Roman"/>
              <w:color w:val="000000" w:themeColor="text1"/>
              <w:sz w:val="24"/>
              <w:szCs w:val="24"/>
            </w:rPr>
            <w:t>TABLE OF CONTENTS</w:t>
          </w:r>
        </w:p>
        <w:p w:rsidR="000C56DA" w:rsidRPr="000C56DA" w:rsidRDefault="000C56DA" w:rsidP="000C56DA">
          <w:pPr>
            <w:pStyle w:val="TOC1"/>
            <w:tabs>
              <w:tab w:val="right" w:leader="dot" w:pos="10536"/>
            </w:tabs>
            <w:spacing w:line="240" w:lineRule="auto"/>
            <w:rPr>
              <w:noProof/>
              <w:color w:val="000000" w:themeColor="text1"/>
            </w:rPr>
          </w:pPr>
          <w:r w:rsidRPr="000C56DA">
            <w:rPr>
              <w:color w:val="000000" w:themeColor="text1"/>
            </w:rPr>
            <w:fldChar w:fldCharType="begin"/>
          </w:r>
          <w:r w:rsidRPr="000C56DA">
            <w:rPr>
              <w:color w:val="000000" w:themeColor="text1"/>
            </w:rPr>
            <w:instrText xml:space="preserve"> TOC \o "1-3" \h \z \u </w:instrText>
          </w:r>
          <w:r w:rsidRPr="000C56DA">
            <w:rPr>
              <w:color w:val="000000" w:themeColor="text1"/>
            </w:rPr>
            <w:fldChar w:fldCharType="separate"/>
          </w:r>
          <w:hyperlink w:anchor="_Toc230781102" w:history="1">
            <w:r w:rsidRPr="000C56DA">
              <w:rPr>
                <w:rStyle w:val="Hyperlink"/>
                <w:noProof/>
                <w:color w:val="000000" w:themeColor="text1"/>
              </w:rPr>
              <w:t>DECLARATION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_Toc230781102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iii</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3" w:history="1">
            <w:r w:rsidRPr="000C56DA">
              <w:rPr>
                <w:rStyle w:val="Hyperlink"/>
                <w:noProof/>
                <w:color w:val="000000" w:themeColor="text1"/>
              </w:rPr>
              <w:t>COPYRIGHT STATEMENT</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_Toc230781103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i</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4" w:history="1">
            <w:r w:rsidRPr="000C56DA">
              <w:rPr>
                <w:rStyle w:val="Hyperlink"/>
                <w:noProof/>
                <w:color w:val="000000" w:themeColor="text1"/>
              </w:rPr>
              <w:t>CERTIFICATE OF APPROVAL</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_Toc230781104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ii</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5" w:history="1">
            <w:r w:rsidRPr="000C56DA">
              <w:rPr>
                <w:rStyle w:val="Hyperlink"/>
                <w:noProof/>
                <w:color w:val="000000" w:themeColor="text1"/>
              </w:rPr>
              <w:t>DEDICATION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_Toc230781105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iii</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6" w:history="1">
            <w:r w:rsidRPr="000C56DA">
              <w:rPr>
                <w:rStyle w:val="Hyperlink"/>
                <w:noProof/>
                <w:color w:val="000000" w:themeColor="text1"/>
              </w:rPr>
              <w:t>ACKNOWLEDGEMENTS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_Toc230781106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iv</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7" w:history="1">
            <w:r w:rsidRPr="000C56DA">
              <w:rPr>
                <w:rStyle w:val="Hyperlink"/>
                <w:noProof/>
                <w:color w:val="000000" w:themeColor="text1"/>
              </w:rPr>
              <w:t>ABSTRACT</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_Toc230781107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v</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8" w:history="1">
            <w:r w:rsidRPr="000C56DA">
              <w:rPr>
                <w:rStyle w:val="Hyperlink"/>
                <w:noProof/>
                <w:color w:val="000000" w:themeColor="text1"/>
              </w:rPr>
              <w:t>INTRODUCTION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_Toc230781108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09" w:history="1">
            <w:r w:rsidRPr="000C56DA">
              <w:rPr>
                <w:rStyle w:val="Hyperlink"/>
                <w:noProof/>
                <w:color w:val="000000" w:themeColor="text1"/>
              </w:rPr>
              <w:t>BACKGROUND OF THE STUDY</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_Toc230781109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0" w:history="1">
            <w:r w:rsidRPr="000C56DA">
              <w:rPr>
                <w:rStyle w:val="Hyperlink"/>
                <w:noProof/>
                <w:color w:val="000000" w:themeColor="text1"/>
              </w:rPr>
              <w:t>LITERATURE REVIEW AND KNOWLEDGE GAPS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_Toc230781110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3</w:t>
            </w:r>
            <w:r w:rsidRPr="000C56DA">
              <w:rPr>
                <w:noProof/>
                <w:webHidden/>
                <w:color w:val="000000" w:themeColor="text1"/>
              </w:rPr>
              <w:fldChar w:fldCharType="end"/>
            </w:r>
          </w:hyperlink>
        </w:p>
        <w:p w:rsidR="000C56DA" w:rsidRPr="000C56DA" w:rsidRDefault="000C56DA" w:rsidP="000C56DA">
          <w:pPr>
            <w:pStyle w:val="TOC2"/>
            <w:tabs>
              <w:tab w:val="right" w:leader="dot" w:pos="10536"/>
            </w:tabs>
            <w:spacing w:line="240" w:lineRule="auto"/>
            <w:ind w:left="0"/>
            <w:rPr>
              <w:noProof/>
              <w:color w:val="000000" w:themeColor="text1"/>
            </w:rPr>
          </w:pPr>
          <w:hyperlink w:anchor="_Toc230781111" w:history="1">
            <w:r w:rsidRPr="000C56DA">
              <w:rPr>
                <w:rStyle w:val="Hyperlink"/>
                <w:noProof/>
                <w:color w:val="000000" w:themeColor="text1"/>
              </w:rPr>
              <w:t>Evolution of Urban Flood Risk Management Paradigms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_Toc230781111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3</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2" w:history="1">
            <w:r w:rsidRPr="000C56DA">
              <w:rPr>
                <w:rStyle w:val="Hyperlink"/>
                <w:noProof/>
                <w:color w:val="000000" w:themeColor="text1"/>
              </w:rPr>
              <w:t>Economic Impacts versus Structural and Systemic Vulnerabilities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_Toc230781112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4</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3" w:history="1">
            <w:r w:rsidRPr="000C56DA">
              <w:rPr>
                <w:rStyle w:val="Hyperlink"/>
                <w:noProof/>
                <w:color w:val="000000" w:themeColor="text1"/>
              </w:rPr>
              <w:t>Cascading Failures and Network Dependencies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_Toc230781113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5</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4" w:history="1">
            <w:r w:rsidRPr="000C56DA">
              <w:rPr>
                <w:rStyle w:val="Hyperlink"/>
                <w:noProof/>
                <w:color w:val="000000" w:themeColor="text1"/>
              </w:rPr>
              <w:t>Knowledge Gaps in Informal and Low-Income Urban Contexts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_Toc230781114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5</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5" w:history="1">
            <w:r w:rsidRPr="000C56DA">
              <w:rPr>
                <w:rStyle w:val="Hyperlink"/>
                <w:noProof/>
                <w:color w:val="000000" w:themeColor="text1"/>
              </w:rPr>
              <w:t>PROBLEM STATEMENT</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_Toc230781115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6</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6" w:history="1">
            <w:r w:rsidRPr="000C56DA">
              <w:rPr>
                <w:rStyle w:val="Hyperlink"/>
                <w:noProof/>
                <w:color w:val="000000" w:themeColor="text1"/>
              </w:rPr>
              <w:t>OBJECTIVES OF THE STUDY</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_Toc230781116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7</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7" w:history="1">
            <w:r w:rsidRPr="000C56DA">
              <w:rPr>
                <w:rStyle w:val="Hyperlink"/>
                <w:noProof/>
                <w:color w:val="000000" w:themeColor="text1"/>
              </w:rPr>
              <w:t>General Objective</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_Toc230781117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7</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8" w:history="1">
            <w:r w:rsidRPr="000C56DA">
              <w:rPr>
                <w:rStyle w:val="Hyperlink"/>
                <w:noProof/>
                <w:color w:val="000000" w:themeColor="text1"/>
              </w:rPr>
              <w:t>Specific Objectives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_Toc230781118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7</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19" w:history="1">
            <w:r w:rsidRPr="000C56DA">
              <w:rPr>
                <w:rStyle w:val="Hyperlink"/>
                <w:noProof/>
                <w:color w:val="000000" w:themeColor="text1"/>
              </w:rPr>
              <w:t>RESEARCH QUESTIONS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_Toc230781119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7</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0" w:history="1">
            <w:r w:rsidRPr="000C56DA">
              <w:rPr>
                <w:rStyle w:val="Hyperlink"/>
                <w:noProof/>
                <w:color w:val="000000" w:themeColor="text1"/>
              </w:rPr>
              <w:t>HYPOTHESES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_Toc230781120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8</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1" w:history="1">
            <w:r w:rsidRPr="000C56DA">
              <w:rPr>
                <w:rStyle w:val="Hyperlink"/>
                <w:noProof/>
                <w:color w:val="000000" w:themeColor="text1"/>
              </w:rPr>
              <w:t>SIGNIFICANCE OF THE STUDY</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_Toc230781121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8</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2" w:history="1">
            <w:r w:rsidRPr="000C56DA">
              <w:rPr>
                <w:rStyle w:val="Hyperlink"/>
                <w:noProof/>
                <w:color w:val="000000" w:themeColor="text1"/>
              </w:rPr>
              <w:t>STRUCTURE OF THE THESIS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_Toc230781122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9</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3" w:history="1">
            <w:r w:rsidRPr="000C56DA">
              <w:rPr>
                <w:rStyle w:val="Hyperlink"/>
                <w:noProof/>
                <w:color w:val="000000" w:themeColor="text1"/>
              </w:rPr>
              <w:t>METHODOLOGY</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_Toc230781123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10</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4" w:history="1">
            <w:r w:rsidRPr="000C56DA">
              <w:rPr>
                <w:rStyle w:val="Hyperlink"/>
                <w:noProof/>
                <w:color w:val="000000" w:themeColor="text1"/>
              </w:rPr>
              <w:t>3.1 RESEARCH DESIGN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_Toc230781124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10</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5" w:history="1">
            <w:r w:rsidRPr="000C56DA">
              <w:rPr>
                <w:rStyle w:val="Hyperlink"/>
                <w:noProof/>
                <w:color w:val="000000" w:themeColor="text1"/>
              </w:rPr>
              <w:t>DATA COLLECTION METHODS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_Toc230781125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10</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6" w:history="1">
            <w:r w:rsidRPr="000C56DA">
              <w:rPr>
                <w:rStyle w:val="Hyperlink"/>
                <w:noProof/>
                <w:color w:val="000000" w:themeColor="text1"/>
              </w:rPr>
              <w:t>SAMPLING</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_Toc230781126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10</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7" w:history="1">
            <w:r w:rsidRPr="000C56DA">
              <w:rPr>
                <w:rStyle w:val="Hyperlink"/>
                <w:noProof/>
                <w:color w:val="000000" w:themeColor="text1"/>
              </w:rPr>
              <w:t>DATA ANALYSIS TECHNIQUES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_Toc230781127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10</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8" w:history="1">
            <w:r w:rsidRPr="000C56DA">
              <w:rPr>
                <w:rStyle w:val="Hyperlink"/>
                <w:noProof/>
                <w:color w:val="000000" w:themeColor="text1"/>
              </w:rPr>
              <w:t>RESULTS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_Toc230781128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11</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29" w:history="1">
            <w:r w:rsidRPr="000C56DA">
              <w:rPr>
                <w:rStyle w:val="Hyperlink"/>
                <w:noProof/>
                <w:color w:val="000000" w:themeColor="text1"/>
              </w:rPr>
              <w:t>INFRASTRUCTURE VULNERABILITY AND ASSET FAILURE MODES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_Toc230781129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11</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0" w:history="1">
            <w:r w:rsidRPr="000C56DA">
              <w:rPr>
                <w:rStyle w:val="Hyperlink"/>
                <w:noProof/>
                <w:color w:val="000000" w:themeColor="text1"/>
              </w:rPr>
              <w:t>FLOODING DYNAMICS AND EXPOSURE LEVELS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_Toc230781130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11</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1" w:history="1">
            <w:r w:rsidRPr="000C56DA">
              <w:rPr>
                <w:rStyle w:val="Hyperlink"/>
                <w:noProof/>
                <w:color w:val="000000" w:themeColor="text1"/>
              </w:rPr>
              <w:t>INSTITUTIONAL RESPONSES AND GOVERNANCE CHALLENGES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_Toc230781131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12</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2" w:history="1">
            <w:r w:rsidRPr="000C56DA">
              <w:rPr>
                <w:rStyle w:val="Hyperlink"/>
                <w:noProof/>
                <w:color w:val="000000" w:themeColor="text1"/>
              </w:rPr>
              <w:t>COMMUNITY COPING MECHANISMS AND RESILIENCE STRATEGIES</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_Toc230781132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12</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3" w:history="1">
            <w:r w:rsidRPr="000C56DA">
              <w:rPr>
                <w:rStyle w:val="Hyperlink"/>
                <w:noProof/>
                <w:color w:val="000000" w:themeColor="text1"/>
              </w:rPr>
              <w:t>DISCUSSION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_Toc230781133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14</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4" w:history="1">
            <w:r w:rsidRPr="000C56DA">
              <w:rPr>
                <w:rStyle w:val="Hyperlink"/>
                <w:noProof/>
                <w:color w:val="000000" w:themeColor="text1"/>
              </w:rPr>
              <w:t>The Micro-Macro Disconnect in Climate Adaptation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_Toc230781134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14</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5" w:history="1">
            <w:r w:rsidRPr="000C56DA">
              <w:rPr>
                <w:rStyle w:val="Hyperlink"/>
                <w:noProof/>
                <w:color w:val="000000" w:themeColor="text1"/>
              </w:rPr>
              <w:t>The Cycle of Reactive Governance and Data Poverty</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_Toc230781135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14</w:t>
            </w:r>
            <w:r w:rsidRPr="000C56DA">
              <w:rPr>
                <w:noProof/>
                <w:webHidden/>
                <w:color w:val="000000" w:themeColor="text1"/>
              </w:rPr>
              <w:fldChar w:fldCharType="end"/>
            </w:r>
          </w:hyperlink>
        </w:p>
        <w:p w:rsidR="000C56DA" w:rsidRPr="000C56DA" w:rsidRDefault="000C56DA" w:rsidP="000C56DA">
          <w:pPr>
            <w:pStyle w:val="TOC1"/>
            <w:tabs>
              <w:tab w:val="right" w:leader="dot" w:pos="10536"/>
            </w:tabs>
            <w:spacing w:line="240" w:lineRule="auto"/>
            <w:rPr>
              <w:noProof/>
              <w:color w:val="000000" w:themeColor="text1"/>
            </w:rPr>
          </w:pPr>
          <w:hyperlink w:anchor="_Toc230781136" w:history="1">
            <w:r w:rsidRPr="000C56DA">
              <w:rPr>
                <w:rStyle w:val="Hyperlink"/>
                <w:noProof/>
                <w:color w:val="000000" w:themeColor="text1"/>
              </w:rPr>
              <w:t>The Limitations and Hidden Costs of Autonomous Community Resilience</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_Toc230781136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15</w:t>
            </w:r>
            <w:r w:rsidRPr="000C56DA">
              <w:rPr>
                <w:noProof/>
                <w:webHidden/>
                <w:color w:val="000000" w:themeColor="text1"/>
              </w:rPr>
              <w:fldChar w:fldCharType="end"/>
            </w:r>
          </w:hyperlink>
        </w:p>
        <w:p w:rsidR="000C56DA" w:rsidRPr="000C56DA" w:rsidRDefault="000C56DA" w:rsidP="000C56DA">
          <w:pPr>
            <w:pStyle w:val="TOC3"/>
            <w:tabs>
              <w:tab w:val="right" w:leader="dot" w:pos="10536"/>
            </w:tabs>
            <w:spacing w:line="240" w:lineRule="auto"/>
            <w:ind w:left="0"/>
            <w:rPr>
              <w:noProof/>
              <w:color w:val="000000" w:themeColor="text1"/>
            </w:rPr>
          </w:pPr>
          <w:hyperlink w:anchor="_Toc230781137" w:history="1">
            <w:r w:rsidRPr="000C56DA">
              <w:rPr>
                <w:rStyle w:val="Hyperlink"/>
                <w:noProof/>
                <w:color w:val="000000" w:themeColor="text1"/>
              </w:rPr>
              <w:t>CONCLUSION</w:t>
            </w:r>
            <w:r w:rsidRPr="000C56DA">
              <w:rPr>
                <w:noProof/>
                <w:webHidden/>
                <w:color w:val="000000" w:themeColor="text1"/>
              </w:rPr>
              <w:tab/>
            </w:r>
            <w:r w:rsidRPr="000C56DA">
              <w:rPr>
                <w:noProof/>
                <w:webHidden/>
                <w:color w:val="000000" w:themeColor="text1"/>
              </w:rPr>
              <w:fldChar w:fldCharType="begin"/>
            </w:r>
            <w:r w:rsidRPr="000C56DA">
              <w:rPr>
                <w:noProof/>
                <w:webHidden/>
                <w:color w:val="000000" w:themeColor="text1"/>
              </w:rPr>
              <w:instrText xml:space="preserve"> PAGEREF _Toc230781137 \h </w:instrText>
            </w:r>
            <w:r w:rsidRPr="000C56DA">
              <w:rPr>
                <w:noProof/>
                <w:webHidden/>
                <w:color w:val="000000" w:themeColor="text1"/>
              </w:rPr>
            </w:r>
            <w:r w:rsidRPr="000C56DA">
              <w:rPr>
                <w:noProof/>
                <w:webHidden/>
                <w:color w:val="000000" w:themeColor="text1"/>
              </w:rPr>
              <w:fldChar w:fldCharType="separate"/>
            </w:r>
            <w:r w:rsidR="00205D1A">
              <w:rPr>
                <w:noProof/>
                <w:webHidden/>
                <w:color w:val="000000" w:themeColor="text1"/>
              </w:rPr>
              <w:t>16</w:t>
            </w:r>
            <w:r w:rsidRPr="000C56DA">
              <w:rPr>
                <w:noProof/>
                <w:webHidden/>
                <w:color w:val="000000" w:themeColor="text1"/>
              </w:rPr>
              <w:fldChar w:fldCharType="end"/>
            </w:r>
          </w:hyperlink>
        </w:p>
        <w:p w:rsidR="000C56DA" w:rsidRDefault="000C56DA" w:rsidP="000C56DA">
          <w:pPr>
            <w:spacing w:line="240" w:lineRule="auto"/>
          </w:pPr>
          <w:r w:rsidRPr="000C56DA">
            <w:rPr>
              <w:b/>
              <w:bCs/>
              <w:noProof/>
              <w:color w:val="000000" w:themeColor="text1"/>
            </w:rPr>
            <w:fldChar w:fldCharType="end"/>
          </w:r>
        </w:p>
      </w:sdtContent>
    </w:sdt>
    <w:p w:rsidR="000C56DA" w:rsidRPr="000C56DA" w:rsidRDefault="000C56DA" w:rsidP="000C56DA">
      <w:pPr>
        <w:rPr>
          <w:lang w:val="en-GB" w:eastAsia="en-GB"/>
        </w:rPr>
        <w:sectPr w:rsidR="000C56DA" w:rsidRPr="000C56DA" w:rsidSect="004F4C7D">
          <w:pgSz w:w="11906" w:h="16838"/>
          <w:pgMar w:top="1440" w:right="680" w:bottom="1440" w:left="680" w:header="709" w:footer="709" w:gutter="0"/>
          <w:pgNumType w:fmt="lowerRoman" w:start="1"/>
          <w:cols w:space="708"/>
          <w:docGrid w:linePitch="360"/>
        </w:sectPr>
      </w:pPr>
    </w:p>
    <w:p w:rsidR="006A5F90" w:rsidRDefault="004539C4" w:rsidP="000C56DA">
      <w:pPr>
        <w:pStyle w:val="Heading1"/>
      </w:pPr>
      <w:bookmarkStart w:id="24" w:name="_Toc230781108"/>
      <w:r w:rsidRPr="009A7B35">
        <w:t>INTRODUCTION</w:t>
      </w:r>
      <w:bookmarkEnd w:id="24"/>
    </w:p>
    <w:p w:rsidR="000E46C5" w:rsidRPr="009A7B35" w:rsidRDefault="000E46C5" w:rsidP="009A7B35">
      <w:pPr>
        <w:spacing w:before="100" w:beforeAutospacing="1" w:after="100" w:afterAutospacing="1" w:line="360" w:lineRule="auto"/>
        <w:rPr>
          <w:rFonts w:eastAsia="Times New Roman"/>
          <w:lang w:val="en-GB" w:eastAsia="en-GB"/>
        </w:rPr>
      </w:pPr>
      <w:r w:rsidRPr="009A7B35">
        <w:rPr>
          <w:rFonts w:eastAsia="Times New Roman"/>
          <w:lang w:val="en-GB" w:eastAsia="en-GB"/>
        </w:rPr>
        <w:t>Climate-induced flooding has become a severe threat to cities, where dense populations and widespread paved surfaces leave rainwater with nowhere to go. While this poses a challenge for planned metropolitan areas, it creates an existential crisis for informal settlements in developing nations. In sub-Saharan Africa, rapid and unplanned urbanization has forced communities onto marginal, flood-prone lands that lack basic municipal oversight, engineering design, and structural protection.</w:t>
      </w:r>
    </w:p>
    <w:p w:rsidR="000E46C5" w:rsidRPr="009A7B35" w:rsidRDefault="000E46C5" w:rsidP="009A7B35">
      <w:pPr>
        <w:spacing w:before="100" w:beforeAutospacing="1" w:after="100" w:afterAutospacing="1" w:line="360" w:lineRule="auto"/>
        <w:rPr>
          <w:rFonts w:eastAsia="Times New Roman"/>
          <w:lang w:val="en-GB" w:eastAsia="en-GB"/>
        </w:rPr>
      </w:pPr>
      <w:r w:rsidRPr="009A7B35">
        <w:rPr>
          <w:rFonts w:eastAsia="Times New Roman"/>
          <w:lang w:val="en-GB" w:eastAsia="en-GB"/>
        </w:rPr>
        <w:t>Lusaka, Zambia, exemplifies these compounding pressures due to its exponential population growth and unique topography, which features flat terrain and a high water table that naturally restricts drainage. Within this context, the densely populated Mandevu informal settlement routinely suffers from catastrophic seasonal flooding. This chronic issue is driven by severe infrastructure deficits, including a lack of interconnected drainage networks, unpaved roads, and the absence of centralized water and sanitation systems. During floods, overflowing pit latrines contaminate the shallow wells that residents rely on for drinking water, turning a structural failure into a severe public health crisis.</w:t>
      </w:r>
    </w:p>
    <w:p w:rsidR="000E46C5" w:rsidRPr="009A7B35" w:rsidRDefault="000E46C5" w:rsidP="009A7B35">
      <w:pPr>
        <w:spacing w:before="100" w:beforeAutospacing="1" w:after="100" w:afterAutospacing="1" w:line="360" w:lineRule="auto"/>
        <w:rPr>
          <w:rFonts w:eastAsia="Times New Roman"/>
          <w:lang w:val="en-GB" w:eastAsia="en-GB"/>
        </w:rPr>
      </w:pPr>
      <w:r w:rsidRPr="009A7B35">
        <w:rPr>
          <w:rFonts w:eastAsia="Times New Roman"/>
          <w:lang w:val="en-GB" w:eastAsia="en-GB"/>
        </w:rPr>
        <w:t xml:space="preserve">Building climate resilience requires shifting away from temporary emergency relief toward long-term, proactive structural adaptation. However, there is a distinct lack of empirical research mapping these localized infrastructure failures at the </w:t>
      </w:r>
      <w:r w:rsidR="004539C4" w:rsidRPr="009A7B35">
        <w:rPr>
          <w:rFonts w:eastAsia="Times New Roman"/>
          <w:lang w:val="en-GB" w:eastAsia="en-GB"/>
        </w:rPr>
        <w:t>neighbourhood</w:t>
      </w:r>
      <w:r w:rsidRPr="009A7B35">
        <w:rPr>
          <w:rFonts w:eastAsia="Times New Roman"/>
          <w:lang w:val="en-GB" w:eastAsia="en-GB"/>
        </w:rPr>
        <w:t xml:space="preserve"> level. This study addresses that gap by systematically </w:t>
      </w:r>
      <w:r w:rsidR="004539C4" w:rsidRPr="009A7B35">
        <w:rPr>
          <w:rFonts w:eastAsia="Times New Roman"/>
          <w:lang w:val="en-GB" w:eastAsia="en-GB"/>
        </w:rPr>
        <w:t>analysing</w:t>
      </w:r>
      <w:r w:rsidRPr="009A7B35">
        <w:rPr>
          <w:rFonts w:eastAsia="Times New Roman"/>
          <w:lang w:val="en-GB" w:eastAsia="en-GB"/>
        </w:rPr>
        <w:t xml:space="preserve"> the relationship between infrastructure deficits and flood vulnerability in Mandevu.</w:t>
      </w:r>
    </w:p>
    <w:p w:rsidR="000E46C5" w:rsidRPr="009A7B35" w:rsidRDefault="000E46C5" w:rsidP="009A7B35">
      <w:pPr>
        <w:spacing w:before="100" w:beforeAutospacing="1" w:after="100" w:afterAutospacing="1" w:line="360" w:lineRule="auto"/>
        <w:rPr>
          <w:rFonts w:eastAsia="Times New Roman"/>
          <w:lang w:val="en-GB" w:eastAsia="en-GB"/>
        </w:rPr>
      </w:pPr>
      <w:r w:rsidRPr="009A7B35">
        <w:rPr>
          <w:rFonts w:eastAsia="Times New Roman"/>
          <w:lang w:val="en-GB" w:eastAsia="en-GB"/>
        </w:rPr>
        <w:t xml:space="preserve">The primary objective is to evaluate how these structural deficiencies worsen flood impacts, map localized hazard zones, assess the socio-economic consequences on residents, and examine community </w:t>
      </w:r>
      <w:r w:rsidR="002639AB" w:rsidRPr="009A7B35">
        <w:rPr>
          <w:rFonts w:eastAsia="Times New Roman"/>
          <w:lang w:val="en-GB" w:eastAsia="en-GB"/>
        </w:rPr>
        <w:t>coping mechanisms. T</w:t>
      </w:r>
      <w:r w:rsidRPr="009A7B35">
        <w:rPr>
          <w:rFonts w:eastAsia="Times New Roman"/>
          <w:lang w:val="en-GB" w:eastAsia="en-GB"/>
        </w:rPr>
        <w:t>his research provides a data-driven framework to help municipal authorities, civil engineers, and urban planners prioritize resources, eliminate structural deficits, and build resilient infrastructure capable of protecting vulnerable urban populations.</w:t>
      </w:r>
    </w:p>
    <w:p w:rsidR="006A5F90" w:rsidRPr="009A7B35" w:rsidRDefault="00B73844" w:rsidP="00346D47">
      <w:pPr>
        <w:pStyle w:val="Heading1"/>
        <w:jc w:val="both"/>
      </w:pPr>
      <w:bookmarkStart w:id="25" w:name="_Toc230781109"/>
      <w:r w:rsidRPr="009A7B35">
        <w:t>BACKGROUND</w:t>
      </w:r>
      <w:r>
        <w:t xml:space="preserve"> OF THE STUDY</w:t>
      </w:r>
      <w:bookmarkEnd w:id="25"/>
    </w:p>
    <w:p w:rsidR="007548CC" w:rsidRPr="007548CC" w:rsidRDefault="00D5587B" w:rsidP="007548CC">
      <w:pPr>
        <w:pStyle w:val="NormalWeb"/>
        <w:shd w:val="clear" w:color="auto" w:fill="FFFFFF"/>
        <w:spacing w:before="0" w:beforeAutospacing="0" w:after="128" w:afterAutospacing="0" w:line="360" w:lineRule="auto"/>
        <w:jc w:val="both"/>
        <w:rPr>
          <w:szCs w:val="30"/>
        </w:rPr>
      </w:pPr>
      <w:r w:rsidRPr="007548CC">
        <w:rPr>
          <w:szCs w:val="30"/>
        </w:rPr>
        <w:t>Urban centers worldwide are experiencing accelerated rates of severe flooding, driven by a combination of intense meteorological events, rising sea levels, and rapid, impervious surface urbani</w:t>
      </w:r>
      <w:r w:rsidR="007548CC" w:rsidRPr="007548CC">
        <w:rPr>
          <w:szCs w:val="30"/>
        </w:rPr>
        <w:t xml:space="preserve">zation. Critical infrastructure </w:t>
      </w:r>
      <w:r w:rsidRPr="007548CC">
        <w:rPr>
          <w:szCs w:val="30"/>
        </w:rPr>
        <w:t>defined as the physical and organizational structures needed</w:t>
      </w:r>
      <w:r w:rsidR="007548CC" w:rsidRPr="007548CC">
        <w:rPr>
          <w:szCs w:val="30"/>
        </w:rPr>
        <w:t xml:space="preserve"> for the operation of a society </w:t>
      </w:r>
      <w:r w:rsidRPr="007548CC">
        <w:rPr>
          <w:szCs w:val="30"/>
        </w:rPr>
        <w:t>acts as the backbone of modern cities. When these networks fail due to flooding, the economic, social, and humanitarian consequences are immediate and widespread. Under the compounding pressures of global climate change, extreme precipitation events have increased in both predictability and destructive capacity, shifting urban flood management from a localized engineering concern to a systemic global crisis. As demographic shifts continue to concentrate wealth and populations into dense metropolitan areas, the conversion of natural drainage landscapes into asphalt and concrete creates an environment highly susceptible to flash, pluvial, and fluvial inundation.</w:t>
      </w:r>
    </w:p>
    <w:p w:rsidR="007548CC" w:rsidRPr="007548CC" w:rsidRDefault="00D5587B" w:rsidP="007548CC">
      <w:pPr>
        <w:pStyle w:val="NormalWeb"/>
        <w:shd w:val="clear" w:color="auto" w:fill="FFFFFF"/>
        <w:spacing w:before="0" w:beforeAutospacing="0" w:after="128" w:afterAutospacing="0" w:line="360" w:lineRule="auto"/>
        <w:jc w:val="both"/>
        <w:rPr>
          <w:szCs w:val="30"/>
        </w:rPr>
      </w:pPr>
      <w:r w:rsidRPr="007548CC">
        <w:rPr>
          <w:szCs w:val="30"/>
        </w:rPr>
        <w:t>At a global level, the vulnerability of urban centers to hydrological shocks is heavily tied to the limits of legacy infrastructure designed under obsolete climate baselines. Modern research emphasizes that across the Global South and North alike, the core challenge lies in the interconnected nature of critical networks. When a single node, such as an electrical substation or a major traffic corridor, is compromised by floodwaters, it frequently triggers cascading failures across water treatment, telecommunications, and emergency management networks. Globally, over one billion people reside in highly dense, unregulated urban environments where this structural fragility is exacerbated by systemic capital deficits and governance gaps, rendering the urban poor disproportionately exposed to climate risks (Hussainzad &amp; Gou, 2024).</w:t>
      </w:r>
    </w:p>
    <w:p w:rsidR="00D5587B" w:rsidRPr="007548CC" w:rsidRDefault="00D5587B" w:rsidP="007548CC">
      <w:pPr>
        <w:pStyle w:val="NormalWeb"/>
        <w:shd w:val="clear" w:color="auto" w:fill="FFFFFF"/>
        <w:spacing w:before="0" w:beforeAutospacing="0" w:after="128" w:afterAutospacing="0" w:line="360" w:lineRule="auto"/>
        <w:jc w:val="both"/>
        <w:rPr>
          <w:szCs w:val="30"/>
        </w:rPr>
      </w:pPr>
      <w:r w:rsidRPr="007548CC">
        <w:rPr>
          <w:rStyle w:val="citation-13"/>
          <w:szCs w:val="30"/>
        </w:rPr>
        <w:t>Regionally, across sub-Saharan Africa, these macro-trends manifest through the phenomenon of rapid, unplanned urbanization occurring alongside escalating climate volatility.</w:t>
      </w:r>
      <w:r w:rsidRPr="007548CC">
        <w:rPr>
          <w:szCs w:val="30"/>
        </w:rPr>
        <w:t xml:space="preserve"> African cities are growing at rates that vastly outpace the fiscal and regulatory capacity of municipal governments to install formal infrastructure. Consequently, millions of rural-to-urban migrants find themselves settling in marginal, high-risk geographic areas such as low-lying floodplains, natural wetlands, and dambos. Recent empirical reviews across the continent illustrate that in the absence of centralized </w:t>
      </w:r>
      <w:r w:rsidR="00A03533" w:rsidRPr="007548CC">
        <w:rPr>
          <w:szCs w:val="30"/>
        </w:rPr>
        <w:t>storm water</w:t>
      </w:r>
      <w:r w:rsidRPr="007548CC">
        <w:rPr>
          <w:szCs w:val="30"/>
        </w:rPr>
        <w:t xml:space="preserve"> management, engineered drainage, and functional zoning enforcement, individual and household-level defensive measures have become the primary, yet deeply insufficient, line of defense against seasonal disasters (Laji &amp; Ayonga, 2024). This regional infrastructure deficit ensures that typical seasonal rainfall events are transformed into prolonged humanitarian crises that erode local economies and entrench cycles of urban poverty. </w:t>
      </w:r>
    </w:p>
    <w:p w:rsidR="00D5587B" w:rsidRPr="007548CC" w:rsidRDefault="00D5587B" w:rsidP="007548CC">
      <w:pPr>
        <w:pStyle w:val="NormalWeb"/>
        <w:shd w:val="clear" w:color="auto" w:fill="FFFFFF"/>
        <w:spacing w:before="0" w:beforeAutospacing="0" w:after="128" w:afterAutospacing="0" w:line="360" w:lineRule="auto"/>
        <w:jc w:val="both"/>
        <w:rPr>
          <w:szCs w:val="30"/>
        </w:rPr>
      </w:pPr>
      <w:r w:rsidRPr="007548CC">
        <w:rPr>
          <w:szCs w:val="30"/>
        </w:rPr>
        <w:t xml:space="preserve">At the local level, the capital city of Lusaka, Zambia, provides a diagnostic case study of how localized topographies and severe municipal infrastructure deficits intersect to maximize flood vulnerability. </w:t>
      </w:r>
      <w:r w:rsidRPr="007548CC">
        <w:rPr>
          <w:rStyle w:val="citation-12"/>
          <w:szCs w:val="30"/>
        </w:rPr>
        <w:t xml:space="preserve">Geographically, Lusaka rests on a flat plateau </w:t>
      </w:r>
      <w:r w:rsidR="007548CC" w:rsidRPr="007548CC">
        <w:rPr>
          <w:rStyle w:val="citation-12"/>
          <w:szCs w:val="30"/>
        </w:rPr>
        <w:t>under laid</w:t>
      </w:r>
      <w:r w:rsidRPr="007548CC">
        <w:rPr>
          <w:rStyle w:val="citation-12"/>
          <w:szCs w:val="30"/>
        </w:rPr>
        <w:t xml:space="preserve"> by highly permeable limestone sitting atop an impermeable bedrock layer.</w:t>
      </w:r>
      <w:r w:rsidRPr="007548CC">
        <w:rPr>
          <w:szCs w:val="30"/>
        </w:rPr>
        <w:t xml:space="preserve"> During heavy rainy seasons, this aquifer quickly becomes saturated, causing the water table to rise rapidly and creating widespread surface waterlogging. This natural hydrological challenge is severely worsened by human factors. </w:t>
      </w:r>
      <w:r w:rsidRPr="007548CC">
        <w:rPr>
          <w:rStyle w:val="citation-11"/>
          <w:szCs w:val="30"/>
        </w:rPr>
        <w:t>Approximately 70% of Lusaka's population resides in informal, unplanned settlements, locally termed "compounds," which lack formal development controls or coordinated civil engineering inputs.</w:t>
      </w:r>
      <w:r w:rsidRPr="007548CC">
        <w:rPr>
          <w:szCs w:val="30"/>
        </w:rPr>
        <w:t xml:space="preserve"> </w:t>
      </w:r>
    </w:p>
    <w:p w:rsidR="007548CC" w:rsidRPr="007548CC" w:rsidRDefault="00D5587B" w:rsidP="007548CC">
      <w:pPr>
        <w:pStyle w:val="NormalWeb"/>
        <w:shd w:val="clear" w:color="auto" w:fill="FFFFFF"/>
        <w:spacing w:before="0" w:beforeAutospacing="0" w:after="128" w:afterAutospacing="0" w:line="360" w:lineRule="auto"/>
        <w:jc w:val="both"/>
        <w:rPr>
          <w:szCs w:val="30"/>
        </w:rPr>
      </w:pPr>
      <w:r w:rsidRPr="007548CC">
        <w:rPr>
          <w:rStyle w:val="citation-10"/>
          <w:szCs w:val="30"/>
        </w:rPr>
        <w:t xml:space="preserve">Local empirical data collected across low-income peri-urban areas in Lusaka demonstrates that seasonal flooding </w:t>
      </w:r>
      <w:r w:rsidR="00BE2E7C" w:rsidRPr="007548CC">
        <w:rPr>
          <w:rStyle w:val="citation-10"/>
          <w:szCs w:val="30"/>
        </w:rPr>
        <w:t>cause’s</w:t>
      </w:r>
      <w:r w:rsidRPr="007548CC">
        <w:rPr>
          <w:rStyle w:val="citation-10"/>
          <w:szCs w:val="30"/>
        </w:rPr>
        <w:t xml:space="preserve"> immediate, severe damage to residential structures and disrupts the informal economic markets that sustain local livelihoods (African Journal of Commercial Studies, 2026).</w:t>
      </w:r>
      <w:r w:rsidRPr="007548CC">
        <w:rPr>
          <w:szCs w:val="30"/>
        </w:rPr>
        <w:t xml:space="preserve"> In settlements like Kanyama, Kalikiliki, and Mandevu, the infrastructure deficit is visible in the complete absence of a continuous, lined drainage network. Existing drainage channels are frequently fragmented, poorly graded, and heavily choked by solid waste due to the lack of municipal waste management services. </w:t>
      </w:r>
      <w:r w:rsidRPr="007548CC">
        <w:rPr>
          <w:rStyle w:val="citation-9"/>
          <w:rFonts w:eastAsiaTheme="majorEastAsia"/>
          <w:szCs w:val="30"/>
        </w:rPr>
        <w:t>When severe downpours occur, the lack of functional drainage directly triggers public health disasters.</w:t>
      </w:r>
      <w:r w:rsidRPr="007548CC">
        <w:rPr>
          <w:szCs w:val="30"/>
        </w:rPr>
        <w:t xml:space="preserve"> </w:t>
      </w:r>
      <w:r w:rsidRPr="007548CC">
        <w:rPr>
          <w:rStyle w:val="citation-8"/>
          <w:szCs w:val="30"/>
        </w:rPr>
        <w:t>Submerged pit latrines, which constitute the primary sanitation infrastructure in these compounds, overflow directly into the shallow, unlined wells that residents rely on for domestic water use.</w:t>
      </w:r>
      <w:r w:rsidRPr="007548CC">
        <w:rPr>
          <w:szCs w:val="30"/>
        </w:rPr>
        <w:t xml:space="preserve"> This breakdown of basic utility infrastructure causes immediate outbreaks of waterborne diseases such as cholera, typhoid, and severe dysentery, turning an engineering failure into an active public health emergency (Mudenda, 2025; Prince, 2025).</w:t>
      </w:r>
    </w:p>
    <w:p w:rsidR="007548CC" w:rsidRPr="007548CC" w:rsidRDefault="00D5587B" w:rsidP="007548CC">
      <w:pPr>
        <w:pStyle w:val="NormalWeb"/>
        <w:shd w:val="clear" w:color="auto" w:fill="FFFFFF"/>
        <w:spacing w:before="0" w:beforeAutospacing="0" w:after="128" w:afterAutospacing="0" w:line="360" w:lineRule="auto"/>
        <w:jc w:val="both"/>
        <w:rPr>
          <w:szCs w:val="30"/>
        </w:rPr>
      </w:pPr>
      <w:r w:rsidRPr="007548CC">
        <w:rPr>
          <w:szCs w:val="30"/>
        </w:rPr>
        <w:t>The persistent vulnerability of the Mandevu informal settlement highlights the critical need to investigate the precise spatial and structural dimensions of infrastructure failure. While broad institutional frameworks acknowledge Lusaka's general flood risk, there remains a distinct research gap regarding how specific infrastructure deficits interact at a micro-level within Mandevu to paralyze community function and block emergency responses. This study directly addresses this gap by mapping localized vulnerability, assessing structural sensitivities, and providing a data-driven framework to guide municipal planners and civil engineers in executing targeted, climate-resilient structural upgrades.</w:t>
      </w:r>
    </w:p>
    <w:p w:rsidR="00A03533" w:rsidRDefault="00A03533" w:rsidP="004F4C7D">
      <w:pPr>
        <w:pStyle w:val="Heading1"/>
      </w:pPr>
    </w:p>
    <w:p w:rsidR="006A5F90" w:rsidRPr="00726400" w:rsidRDefault="00726400" w:rsidP="00346D47">
      <w:pPr>
        <w:pStyle w:val="Heading1"/>
        <w:jc w:val="both"/>
      </w:pPr>
      <w:bookmarkStart w:id="26" w:name="_Toc230781110"/>
      <w:r w:rsidRPr="00726400">
        <w:t>LITERATURE REVIEW AND KNOWLEDGE GAPS</w:t>
      </w:r>
      <w:bookmarkEnd w:id="26"/>
    </w:p>
    <w:p w:rsidR="00726400" w:rsidRPr="00BC34C6" w:rsidRDefault="00726400" w:rsidP="00C908E7">
      <w:pPr>
        <w:pStyle w:val="Heading2"/>
        <w:spacing w:before="0"/>
        <w:rPr>
          <w:rFonts w:ascii="Times New Roman" w:hAnsi="Times New Roman" w:cs="Times New Roman"/>
          <w:color w:val="auto"/>
          <w:sz w:val="24"/>
        </w:rPr>
      </w:pPr>
      <w:bookmarkStart w:id="27" w:name="_Toc230781111"/>
      <w:r w:rsidRPr="00BC34C6">
        <w:rPr>
          <w:rFonts w:ascii="Times New Roman" w:hAnsi="Times New Roman" w:cs="Times New Roman"/>
          <w:color w:val="auto"/>
          <w:sz w:val="24"/>
        </w:rPr>
        <w:t>Evolution of Urban Flood Risk Management Paradigms</w:t>
      </w:r>
      <w:bookmarkEnd w:id="27"/>
    </w:p>
    <w:p w:rsidR="00726400" w:rsidRPr="00BC34C6" w:rsidRDefault="00726400" w:rsidP="00C908E7">
      <w:pPr>
        <w:pStyle w:val="NormalWeb"/>
        <w:spacing w:before="0" w:beforeAutospacing="0" w:after="0" w:afterAutospacing="0" w:line="360" w:lineRule="auto"/>
        <w:jc w:val="both"/>
      </w:pPr>
      <w:r w:rsidRPr="00BC34C6">
        <w:t xml:space="preserve">For decades, traditional urban flood risk management operated under a reactive, defense-oriented paradigm heavily reliant on structural engineering interventions. This approach, commonly referred to as grey infrastructure, prioritizes the construction of hard, defensive systems such as concrete seawalls, levees, </w:t>
      </w:r>
      <w:r w:rsidR="00BC34C6" w:rsidRPr="00BC34C6">
        <w:t>armoured</w:t>
      </w:r>
      <w:r w:rsidRPr="00BC34C6">
        <w:t xml:space="preserve"> river channels, and subterranean </w:t>
      </w:r>
      <w:r w:rsidR="00BC34C6" w:rsidRPr="00BC34C6">
        <w:t>storm water</w:t>
      </w:r>
      <w:r w:rsidRPr="00BC34C6">
        <w:t xml:space="preserve"> culverts designed to rapidly collect and convey water away from the built environment. This engineering philosophy was built upon the core ass</w:t>
      </w:r>
      <w:r w:rsidR="00BC34C6">
        <w:t>umption of climate stationary t</w:t>
      </w:r>
      <w:r w:rsidRPr="00BC34C6">
        <w:t>he idea that natural systems fluctuate within a fixed, predictable boundary of historical variability.</w:t>
      </w:r>
    </w:p>
    <w:p w:rsidR="00726400" w:rsidRPr="00BC34C6" w:rsidRDefault="00726400" w:rsidP="00BC34C6">
      <w:pPr>
        <w:pStyle w:val="NormalWeb"/>
        <w:spacing w:line="360" w:lineRule="auto"/>
        <w:jc w:val="both"/>
      </w:pPr>
      <w:r w:rsidRPr="00BC34C6">
        <w:t xml:space="preserve">However, contemporary hydrological and urban climate research increasingly demonstrates that this foundational assumption is obsolete. Under the compounding pressures of global climate change, extreme precipitation events have increased in both intensity and unpredictability, routinely delivering volumes of </w:t>
      </w:r>
      <w:r w:rsidR="00BC34C6" w:rsidRPr="00BC34C6">
        <w:t>storm water</w:t>
      </w:r>
      <w:r w:rsidRPr="00BC34C6">
        <w:t xml:space="preserve"> that completely </w:t>
      </w:r>
      <w:r w:rsidR="00BC34C6" w:rsidRPr="00BC34C6">
        <w:t>overwhelms</w:t>
      </w:r>
      <w:r w:rsidRPr="00BC34C6">
        <w:t xml:space="preserve"> the design thresholds of legacy grey infrast</w:t>
      </w:r>
      <w:r w:rsidR="00BC34C6">
        <w:t>ructure networks. Hard defenses</w:t>
      </w:r>
      <w:r w:rsidRPr="00BC34C6">
        <w:t xml:space="preserve"> while providing localized protection against moderate </w:t>
      </w:r>
      <w:r w:rsidR="00BC34C6" w:rsidRPr="00BC34C6">
        <w:t>events</w:t>
      </w:r>
      <w:r w:rsidRPr="00BC34C6">
        <w:t xml:space="preserve"> create a false sense of security that often encourages further asset concentration in high-risk zones, leading to catastrophic systemic failures when those design thresholds are inevitably breached.</w:t>
      </w:r>
    </w:p>
    <w:p w:rsidR="00726400" w:rsidRPr="00BC34C6" w:rsidRDefault="00726400" w:rsidP="00BC34C6">
      <w:pPr>
        <w:pStyle w:val="NormalWeb"/>
        <w:spacing w:line="360" w:lineRule="auto"/>
        <w:jc w:val="both"/>
      </w:pPr>
      <w:r w:rsidRPr="00BC34C6">
        <w:t>In response to the limitations of purely structural engineering defenses, contemporary literature has shifted toward integrated, nature-based, and adaptive risk management philosophies. This evolving paradigm recognizes that cities cannot simply engineer their way out of flood hazards through heavier concrete barriers. Instead, modern urban planning advocates for the integration of green and blue infrastructure—such as urban wetlands, rain gardens, permeable pavements,</w:t>
      </w:r>
      <w:r w:rsidR="00882FEB">
        <w:t xml:space="preserve"> and strategic retention basins </w:t>
      </w:r>
      <w:r w:rsidRPr="00BC34C6">
        <w:t xml:space="preserve">which aim to mimic natural hydrological processes by absorbing, filtering, and slowing down </w:t>
      </w:r>
      <w:r w:rsidR="00882FEB" w:rsidRPr="00BC34C6">
        <w:t>storm water</w:t>
      </w:r>
      <w:r w:rsidRPr="00BC34C6">
        <w:t xml:space="preserve"> runoff at its source.</w:t>
      </w:r>
    </w:p>
    <w:p w:rsidR="00726400" w:rsidRPr="00BC34C6" w:rsidRDefault="00882FEB" w:rsidP="00BC34C6">
      <w:pPr>
        <w:pStyle w:val="NormalWeb"/>
        <w:spacing w:line="360" w:lineRule="auto"/>
        <w:jc w:val="both"/>
      </w:pPr>
      <w:r>
        <w:t>Because of this, b</w:t>
      </w:r>
      <w:r w:rsidR="00726400" w:rsidRPr="00BC34C6">
        <w:t>y transitioning from a rigid philosophy of "holding back the water" to an adaptive strategy of "making space for water," modern risk frameworks attempt to foster urban resilience. True resilience in the built environment implies that a city can absorb a hydrological shock, adapt to shifting environmental pressures, and rapidly recover essential socio-economic functions without experiencing structural collapse.</w:t>
      </w:r>
    </w:p>
    <w:p w:rsidR="00726400" w:rsidRPr="00C908E7" w:rsidRDefault="00726400" w:rsidP="00346D47">
      <w:pPr>
        <w:pStyle w:val="Heading1"/>
        <w:jc w:val="both"/>
      </w:pPr>
      <w:bookmarkStart w:id="28" w:name="_Toc230781112"/>
      <w:r w:rsidRPr="00C908E7">
        <w:t>Economic Impacts versus Structural and Systemic Vulnerabilities</w:t>
      </w:r>
      <w:bookmarkEnd w:id="28"/>
    </w:p>
    <w:p w:rsidR="00726400" w:rsidRPr="00BC34C6" w:rsidRDefault="00726400" w:rsidP="00C908E7">
      <w:pPr>
        <w:pStyle w:val="NormalWeb"/>
        <w:spacing w:before="0" w:beforeAutospacing="0" w:after="0" w:afterAutospacing="0" w:line="360" w:lineRule="auto"/>
        <w:jc w:val="both"/>
      </w:pPr>
      <w:r w:rsidRPr="00BC34C6">
        <w:t>A significant volume of existing disaster risk literature focuses on quantifying the direct, localized economic impacts of flooding on residential and commercial real estate. These studies utilize detailed property loss models, depth-damage curves, and real estate market assessments to measure the immediate financial toll of inundation, calculating asset depreciation, structural damage to housing envelopes, and the localized loss of private business inventory. While these economic valuations are vital for insurance underwriting and municipal post-disaster recovery budgeting, they treat urban flood risk through a highly fragmented lens. By evaluating assets as isolated, private properties, traditional economic risk assessments frequently overlook the broader, systemic vulnerabilities inherent in the shared public physical networks that sustain urban life.</w:t>
      </w:r>
    </w:p>
    <w:p w:rsidR="00726400" w:rsidRPr="00BC34C6" w:rsidRDefault="00C908E7" w:rsidP="00C908E7">
      <w:pPr>
        <w:pStyle w:val="NormalWeb"/>
        <w:spacing w:line="360" w:lineRule="auto"/>
        <w:jc w:val="both"/>
      </w:pPr>
      <w:r>
        <w:t xml:space="preserve">Critical infrastructure </w:t>
      </w:r>
      <w:r w:rsidR="00726400" w:rsidRPr="00BC34C6">
        <w:t>encompassing transportation, energy grids, water supply, sanitation, and emer</w:t>
      </w:r>
      <w:r>
        <w:t xml:space="preserve">gency services </w:t>
      </w:r>
      <w:r w:rsidR="00726400" w:rsidRPr="00BC34C6">
        <w:t>functions as a highly complex matrix rather than a collection of independent facilities. Consequently, the true vulnerability of an urban environment cannot be captured by simply aggregating the physical damage to individual buildings. It requires an understanding of how structural vulnerabilities within public utility and transit networks translate into widespread societal disruption.</w:t>
      </w:r>
    </w:p>
    <w:p w:rsidR="00726400" w:rsidRPr="00BC34C6" w:rsidRDefault="00726400" w:rsidP="00BC34C6">
      <w:pPr>
        <w:pStyle w:val="NormalWeb"/>
        <w:spacing w:line="360" w:lineRule="auto"/>
        <w:jc w:val="both"/>
      </w:pPr>
      <w:r w:rsidRPr="00BC34C6">
        <w:t>A road network, an electrical substation, or a water treatment plant may have structural sensitivities related to its age, design limits, or geographic elevation that make it uniquely fragile when exposed to floodwaters. When these public assets are compromised, the resulting disruption extends far beyond the immediate physical boundaries of the flooded zone, severing the socio-economic lifelines of the entire metropolitan area.</w:t>
      </w:r>
    </w:p>
    <w:p w:rsidR="00726400" w:rsidRPr="00C908E7" w:rsidRDefault="00726400" w:rsidP="00346D47">
      <w:pPr>
        <w:pStyle w:val="Heading1"/>
        <w:jc w:val="both"/>
      </w:pPr>
      <w:bookmarkStart w:id="29" w:name="_Toc230781113"/>
      <w:r w:rsidRPr="00C908E7">
        <w:t>Cascading Failures and Network Dependencies</w:t>
      </w:r>
      <w:bookmarkEnd w:id="29"/>
    </w:p>
    <w:p w:rsidR="00726400" w:rsidRPr="00BC34C6" w:rsidRDefault="00726400" w:rsidP="00C908E7">
      <w:pPr>
        <w:pStyle w:val="NormalWeb"/>
        <w:spacing w:before="0" w:beforeAutospacing="0" w:after="0" w:afterAutospacing="0" w:line="360" w:lineRule="auto"/>
        <w:jc w:val="both"/>
      </w:pPr>
      <w:r w:rsidRPr="00BC34C6">
        <w:t xml:space="preserve">The frontier of contemporary infrastructure research lies in understanding the complex interdependencies and cascading failures that characterize modern urban systems. Interconnected network dependency refers to the structural reality where the operational integrity of one infrastructure sector relies directly on the continuous functioning of another. For instance, municipal water treatment and distribution facilities require a stable supply of high-voltage electricity to run their intake pumps and chemical purification processes. Simultaneously, the physical transportation network relies on functional traffic </w:t>
      </w:r>
      <w:r w:rsidR="00C908E7" w:rsidRPr="00BC34C6">
        <w:t>signalling</w:t>
      </w:r>
      <w:r w:rsidRPr="00BC34C6">
        <w:t xml:space="preserve"> and subterranean drainage pumps, which are entirely dependent on the electrical grid.</w:t>
      </w:r>
    </w:p>
    <w:p w:rsidR="00726400" w:rsidRPr="00BC34C6" w:rsidRDefault="00726400" w:rsidP="00C908E7">
      <w:pPr>
        <w:pStyle w:val="NormalWeb"/>
        <w:spacing w:line="360" w:lineRule="auto"/>
        <w:jc w:val="both"/>
      </w:pPr>
      <w:r w:rsidRPr="00BC34C6">
        <w:t>When a severe hydrological event breaches a critical n</w:t>
      </w:r>
      <w:r w:rsidR="00C908E7">
        <w:t xml:space="preserve">ode within one of these systems </w:t>
      </w:r>
      <w:r w:rsidRPr="00BC34C6">
        <w:t>such as flooding a low-ly</w:t>
      </w:r>
      <w:r w:rsidR="00A03533">
        <w:t xml:space="preserve">ing electrical distribution hub </w:t>
      </w:r>
      <w:r w:rsidRPr="00BC34C6">
        <w:t>the failure rarely remains confined to that specific utility. Instead, it triggers a domino effect across seemingly unrelated sectors. The loss of the power substation instantly shuts down water purification plants, leading to a drop in water pressure and contaminating municipal distribution lines. Concurrently, the blackout deactivates transit signals and subway drainage systems, paralyzing the public transport network.</w:t>
      </w:r>
    </w:p>
    <w:p w:rsidR="00726400" w:rsidRPr="00BC34C6" w:rsidRDefault="00726400" w:rsidP="000F6F17">
      <w:pPr>
        <w:pStyle w:val="NormalWeb"/>
        <w:spacing w:line="360" w:lineRule="auto"/>
        <w:jc w:val="both"/>
      </w:pPr>
      <w:r w:rsidRPr="00BC34C6">
        <w:t>As a result, emergency services are severely constrained; police, fire, and ambulance crews find themselves unable to navigate flooded, jammed arterial roads, and local hospitals are forced to rely on limited fuel-dependent backup generators while facing compromised water supplies. This chain reaction demonstrates that the systemic vulnerability of an interconnected urban environment is determined by its weakest structural link.</w:t>
      </w:r>
    </w:p>
    <w:p w:rsidR="00726400" w:rsidRPr="000F6F17" w:rsidRDefault="00726400" w:rsidP="00346D47">
      <w:pPr>
        <w:pStyle w:val="Heading1"/>
        <w:jc w:val="both"/>
      </w:pPr>
      <w:bookmarkStart w:id="30" w:name="_Toc230781114"/>
      <w:r w:rsidRPr="000F6F17">
        <w:t>Knowledge Gaps in Informal and Low-Income Urban Contexts</w:t>
      </w:r>
      <w:bookmarkEnd w:id="30"/>
    </w:p>
    <w:p w:rsidR="00726400" w:rsidRPr="00BC34C6" w:rsidRDefault="00726400" w:rsidP="000F6F17">
      <w:pPr>
        <w:pStyle w:val="NormalWeb"/>
        <w:spacing w:before="0" w:beforeAutospacing="0" w:after="0" w:afterAutospacing="0" w:line="360" w:lineRule="auto"/>
        <w:jc w:val="both"/>
      </w:pPr>
      <w:r w:rsidRPr="000F6F17">
        <w:t xml:space="preserve">Despite </w:t>
      </w:r>
      <w:r w:rsidRPr="00BC34C6">
        <w:t xml:space="preserve">the analytical advancements in mapping cascading infrastructure failures, a critical knowledge gap remains: most of this sophisticated network </w:t>
      </w:r>
      <w:r w:rsidR="000F6F17" w:rsidRPr="00BC34C6">
        <w:t>modelling</w:t>
      </w:r>
      <w:r w:rsidRPr="00BC34C6">
        <w:t xml:space="preserve"> has been conducted within the highly planned, digitized, and fully resourced metropolitan centers of the Global North. There is a distinct lack of empirical research </w:t>
      </w:r>
      <w:r w:rsidR="000F6F17" w:rsidRPr="00BC34C6">
        <w:t>analysing</w:t>
      </w:r>
      <w:r w:rsidRPr="00BC34C6">
        <w:t xml:space="preserve"> how these interconnected infrastructure failures operate within the dense, unregulated informal settlements of the Global South, such as Mandevu in Lusaka. In these peri-urban contexts, the nature of infrastructure vulnerability is fundamentally different. Rather than dealing with highly sophisticated, digitized networks experiencing a technological domino effect, informal settlements face raw, physical infrastructure deficits where basic public utilities are either entirely missing, fragmented, or fundamentally degraded.</w:t>
      </w:r>
    </w:p>
    <w:p w:rsidR="00726400" w:rsidRPr="00BC34C6" w:rsidRDefault="00726400" w:rsidP="00BC34C6">
      <w:pPr>
        <w:pStyle w:val="NormalWeb"/>
        <w:spacing w:line="360" w:lineRule="auto"/>
        <w:jc w:val="both"/>
      </w:pPr>
      <w:r w:rsidRPr="00BC34C6">
        <w:t xml:space="preserve">The existing literature on sub-Saharan informal settlements heavily documents the socio-economic struggles of residents and general institutional governance gaps, but it rarely applies an integrated civil engineering and spatial framework to map the exact mechanics of localized network failure during flood events. For example, while macro-level studies note that flooding causes public health crises in Lusaka, there is an empirical void regarding the precise micro-level spatial interactions between unlined drainage channels, unpaved road erosion, overflowing informal pit latrines, and shallow hand-dug wells at the </w:t>
      </w:r>
      <w:r w:rsidR="00BC34C6" w:rsidRPr="00BC34C6">
        <w:t>neighbourhood</w:t>
      </w:r>
      <w:r w:rsidRPr="00BC34C6">
        <w:t xml:space="preserve"> scale.</w:t>
      </w:r>
    </w:p>
    <w:p w:rsidR="00726400" w:rsidRPr="00BC34C6" w:rsidRDefault="00726400" w:rsidP="00BC34C6">
      <w:pPr>
        <w:pStyle w:val="NormalWeb"/>
        <w:spacing w:line="360" w:lineRule="auto"/>
        <w:jc w:val="both"/>
      </w:pPr>
      <w:r w:rsidRPr="00BC34C6">
        <w:t xml:space="preserve">Current research fails to systematically </w:t>
      </w:r>
      <w:r w:rsidR="00BC34C6" w:rsidRPr="00BC34C6">
        <w:t>analyse</w:t>
      </w:r>
      <w:r w:rsidRPr="00BC34C6">
        <w:t xml:space="preserve"> how the structural breakdown of a rudimentary, unpaved dirt track inside a compound cascades to completely isolate thousands of households, shut down informal market economies, and physically block emergency medical interventions during seasonal cholera outbreaks. This study directly addresses this critical research gap by diagnosing the specific physical and structural dimensions of infrastructure deficits in Mandevu, providing the empirical, localized data necessary to transition from generic vulnerability theories to actionable, climate-resilient engineering and planning solutions.</w:t>
      </w:r>
    </w:p>
    <w:p w:rsidR="006A5F90" w:rsidRPr="006E74BC" w:rsidRDefault="00D156FB" w:rsidP="00346D47">
      <w:pPr>
        <w:pStyle w:val="Heading1"/>
        <w:jc w:val="both"/>
      </w:pPr>
      <w:bookmarkStart w:id="31" w:name="_Toc230781115"/>
      <w:r>
        <w:t>PROBLEM STATEMENT</w:t>
      </w:r>
      <w:bookmarkEnd w:id="31"/>
    </w:p>
    <w:p w:rsidR="003E5DD9" w:rsidRPr="003E5DD9" w:rsidRDefault="003E5DD9" w:rsidP="00D156FB">
      <w:pPr>
        <w:spacing w:before="0" w:after="0" w:line="360" w:lineRule="auto"/>
        <w:rPr>
          <w:rFonts w:eastAsia="Times New Roman"/>
          <w:lang w:val="en-GB" w:eastAsia="en-GB"/>
        </w:rPr>
      </w:pPr>
      <w:r w:rsidRPr="003E5DD9">
        <w:rPr>
          <w:rFonts w:eastAsia="Times New Roman"/>
          <w:lang w:val="en-GB" w:eastAsia="en-GB"/>
        </w:rPr>
        <w:t>Municipalities are facing an unprecedented escalation in both the frequency and severity of urban flooding, driven by a combination of climate-induced weather extremes and rapid, high-density urbanization. While the broad threat of climate change is universally acknowledged, a critical operational gap persists in how cities manage this risk: local governments largely lack a systematic, data-driven methodology to assess the vulnerability of critical urban infrastructure to flood inundation before a disaster strikes. Current asset management strategies rely heavily on historical weather patterns and broad-scale floodplain mapping. These methods are no longer sufficient, as they fail to account for component-level physical vulnerabilities or the cascading failures that oc</w:t>
      </w:r>
      <w:r w:rsidR="00D156FB" w:rsidRPr="00D156FB">
        <w:rPr>
          <w:rFonts w:eastAsia="Times New Roman"/>
          <w:lang w:val="en-GB" w:eastAsia="en-GB"/>
        </w:rPr>
        <w:t xml:space="preserve">cur when interconnected systems </w:t>
      </w:r>
      <w:r w:rsidRPr="003E5DD9">
        <w:rPr>
          <w:rFonts w:eastAsia="Times New Roman"/>
          <w:lang w:val="en-GB" w:eastAsia="en-GB"/>
        </w:rPr>
        <w:t xml:space="preserve">such as transportation networks, </w:t>
      </w:r>
      <w:r w:rsidR="00D156FB" w:rsidRPr="00D156FB">
        <w:rPr>
          <w:rFonts w:eastAsia="Times New Roman"/>
          <w:lang w:val="en-GB" w:eastAsia="en-GB"/>
        </w:rPr>
        <w:t>storm water</w:t>
      </w:r>
      <w:r w:rsidRPr="003E5DD9">
        <w:rPr>
          <w:rFonts w:eastAsia="Times New Roman"/>
          <w:lang w:val="en-GB" w:eastAsia="en-GB"/>
        </w:rPr>
        <w:t xml:space="preserve"> manag</w:t>
      </w:r>
      <w:r w:rsidR="00D156FB" w:rsidRPr="00D156FB">
        <w:rPr>
          <w:rFonts w:eastAsia="Times New Roman"/>
          <w:lang w:val="en-GB" w:eastAsia="en-GB"/>
        </w:rPr>
        <w:t xml:space="preserve">ement systems, and energy grids </w:t>
      </w:r>
      <w:r w:rsidRPr="003E5DD9">
        <w:rPr>
          <w:rFonts w:eastAsia="Times New Roman"/>
          <w:lang w:val="en-GB" w:eastAsia="en-GB"/>
        </w:rPr>
        <w:t>are compromised.</w:t>
      </w:r>
    </w:p>
    <w:p w:rsidR="006A5F90" w:rsidRDefault="003E5DD9" w:rsidP="00D156FB">
      <w:pPr>
        <w:spacing w:before="100" w:beforeAutospacing="1" w:after="100" w:afterAutospacing="1" w:line="360" w:lineRule="auto"/>
        <w:rPr>
          <w:rFonts w:eastAsia="Times New Roman"/>
          <w:lang w:val="en-GB" w:eastAsia="en-GB"/>
        </w:rPr>
      </w:pPr>
      <w:r w:rsidRPr="003E5DD9">
        <w:rPr>
          <w:rFonts w:eastAsia="Times New Roman"/>
          <w:lang w:val="en-GB" w:eastAsia="en-GB"/>
        </w:rPr>
        <w:t xml:space="preserve">Without a standardized, proactive approach to model these specific vulnerabilities and </w:t>
      </w:r>
      <w:r w:rsidR="00D156FB" w:rsidRPr="00D156FB">
        <w:rPr>
          <w:rFonts w:eastAsia="Times New Roman"/>
          <w:lang w:val="en-GB" w:eastAsia="en-GB"/>
        </w:rPr>
        <w:t>analyse</w:t>
      </w:r>
      <w:r w:rsidRPr="003E5DD9">
        <w:rPr>
          <w:rFonts w:eastAsia="Times New Roman"/>
          <w:lang w:val="en-GB" w:eastAsia="en-GB"/>
        </w:rPr>
        <w:t xml:space="preserve"> the precise engineering and environmental mechanics of why assets fail under hydraulic stress, municipalities are forced into a reactive posture. This lack of predictive capability leads to catastrophic disruptions to public services, compounding economic losses, and a misallocation of public funds during infrastructure upgrades. Consequently, there is an urgent need to shift toward a proactive model of urban governance. In alignment with the theme of </w:t>
      </w:r>
      <w:r w:rsidRPr="003E5DD9">
        <w:rPr>
          <w:rFonts w:eastAsia="Times New Roman"/>
          <w:bCs/>
          <w:lang w:val="en-GB" w:eastAsia="en-GB"/>
        </w:rPr>
        <w:t>Assessing the Vulnerability of Critical Urban Infrastructure to Flooding: A Framework for Climate Resilience</w:t>
      </w:r>
      <w:r w:rsidRPr="003E5DD9">
        <w:rPr>
          <w:rFonts w:eastAsia="Times New Roman"/>
          <w:lang w:val="en-GB" w:eastAsia="en-GB"/>
        </w:rPr>
        <w:t>, this investigation addresses this gap by establishing a comprehensive, reproducible framework. This framework is designed to identify which critical infrastructure components are most at risk, quantify the root causes and thresholds of their failure, and provide municipalities with measurable risk metrics to strategically guide future capital investments toward long-term climate resilience.</w:t>
      </w:r>
    </w:p>
    <w:p w:rsidR="00D156FB" w:rsidRPr="00977DF4" w:rsidRDefault="00D156FB" w:rsidP="00346D47">
      <w:pPr>
        <w:pStyle w:val="Heading1"/>
        <w:jc w:val="both"/>
      </w:pPr>
      <w:bookmarkStart w:id="32" w:name="_Toc230781116"/>
      <w:r w:rsidRPr="00977DF4">
        <w:t>OBJECTIVES OF THE STUDY</w:t>
      </w:r>
      <w:bookmarkEnd w:id="32"/>
    </w:p>
    <w:p w:rsidR="00977DF4" w:rsidRPr="00977DF4" w:rsidRDefault="00977DF4" w:rsidP="00346D47">
      <w:pPr>
        <w:pStyle w:val="Heading1"/>
        <w:jc w:val="both"/>
      </w:pPr>
      <w:bookmarkStart w:id="33" w:name="_Toc230781117"/>
      <w:r w:rsidRPr="00977DF4">
        <w:t>General Objective</w:t>
      </w:r>
      <w:bookmarkEnd w:id="33"/>
    </w:p>
    <w:p w:rsidR="001F3048" w:rsidRPr="008C1D74" w:rsidRDefault="001F3048" w:rsidP="008C1D74">
      <w:pPr>
        <w:pStyle w:val="NormalWeb"/>
        <w:spacing w:before="0" w:beforeAutospacing="0" w:after="0" w:afterAutospacing="0" w:line="360" w:lineRule="auto"/>
        <w:jc w:val="both"/>
      </w:pPr>
      <w:r w:rsidRPr="008C1D74">
        <w:t xml:space="preserve">The primary objective of this </w:t>
      </w:r>
      <w:r w:rsidR="008C1D74">
        <w:t>article</w:t>
      </w:r>
      <w:r w:rsidRPr="008C1D74">
        <w:t xml:space="preserve"> is to develop a comprehensive, data-driven framework to assess the vulnerability of critical urban infrastructure to flood inundation, providing municipalities with actionable, predictive metrics to mitigate asset failure and strategically guide capital investments toward long-term climate resilience.</w:t>
      </w:r>
    </w:p>
    <w:p w:rsidR="001F3048" w:rsidRPr="008C1D74" w:rsidRDefault="001F3048" w:rsidP="00346D47">
      <w:pPr>
        <w:pStyle w:val="Heading1"/>
        <w:jc w:val="both"/>
      </w:pPr>
      <w:bookmarkStart w:id="34" w:name="_Toc230781118"/>
      <w:r w:rsidRPr="008C1D74">
        <w:t>Specific Objectives</w:t>
      </w:r>
      <w:bookmarkEnd w:id="34"/>
    </w:p>
    <w:p w:rsidR="001F3048" w:rsidRPr="008C1D74" w:rsidRDefault="001F3048" w:rsidP="008C1D74">
      <w:pPr>
        <w:pStyle w:val="NormalWeb"/>
        <w:spacing w:before="0" w:beforeAutospacing="0" w:after="0" w:afterAutospacing="0" w:line="360" w:lineRule="auto"/>
        <w:jc w:val="both"/>
      </w:pPr>
      <w:r w:rsidRPr="008C1D74">
        <w:t>To achieve the g</w:t>
      </w:r>
      <w:r w:rsidR="00A03533">
        <w:t xml:space="preserve">eneral objective, the </w:t>
      </w:r>
      <w:r w:rsidR="0092594A">
        <w:t xml:space="preserve">study </w:t>
      </w:r>
      <w:r w:rsidR="0092594A" w:rsidRPr="008C1D74">
        <w:t>persuaded</w:t>
      </w:r>
      <w:r w:rsidRPr="008C1D74">
        <w:t xml:space="preserve"> the following specific objectives:</w:t>
      </w:r>
    </w:p>
    <w:p w:rsidR="001F3048" w:rsidRPr="008C1D74" w:rsidRDefault="001F3048" w:rsidP="008C1D74">
      <w:pPr>
        <w:pStyle w:val="NormalWeb"/>
        <w:numPr>
          <w:ilvl w:val="0"/>
          <w:numId w:val="4"/>
        </w:numPr>
        <w:spacing w:line="360" w:lineRule="auto"/>
        <w:jc w:val="both"/>
      </w:pPr>
      <w:r w:rsidRPr="008C1D74">
        <w:rPr>
          <w:bCs/>
        </w:rPr>
        <w:t>To identify and map critical urban infrastructure assets</w:t>
      </w:r>
      <w:r w:rsidRPr="008C1D74">
        <w:t xml:space="preserve"> (including transportation, water/wastewater, and energy networks) within the study area and overlay them with high-resolution flood inundation scenarios to determine exposure zones.</w:t>
      </w:r>
    </w:p>
    <w:p w:rsidR="001F3048" w:rsidRPr="008C1D74" w:rsidRDefault="001F3048" w:rsidP="00E412AB">
      <w:pPr>
        <w:pStyle w:val="NormalWeb"/>
        <w:numPr>
          <w:ilvl w:val="0"/>
          <w:numId w:val="4"/>
        </w:numPr>
        <w:spacing w:line="360" w:lineRule="auto"/>
        <w:jc w:val="both"/>
      </w:pPr>
      <w:r w:rsidRPr="008C1D74">
        <w:rPr>
          <w:bCs/>
        </w:rPr>
        <w:t xml:space="preserve">To </w:t>
      </w:r>
      <w:r w:rsidR="00E412AB" w:rsidRPr="008C1D74">
        <w:rPr>
          <w:bCs/>
        </w:rPr>
        <w:t>analyse</w:t>
      </w:r>
      <w:r w:rsidRPr="008C1D74">
        <w:rPr>
          <w:bCs/>
        </w:rPr>
        <w:t xml:space="preserve"> the structural and operational failure mechanisms</w:t>
      </w:r>
      <w:r w:rsidR="00701B8E">
        <w:t xml:space="preserve"> of these critical assets.</w:t>
      </w:r>
    </w:p>
    <w:p w:rsidR="001F3048" w:rsidRPr="008C1D74" w:rsidRDefault="001F3048" w:rsidP="008C1D74">
      <w:pPr>
        <w:pStyle w:val="NormalWeb"/>
        <w:numPr>
          <w:ilvl w:val="0"/>
          <w:numId w:val="4"/>
        </w:numPr>
        <w:spacing w:line="360" w:lineRule="auto"/>
        <w:jc w:val="both"/>
      </w:pPr>
      <w:r w:rsidRPr="008C1D74">
        <w:rPr>
          <w:bCs/>
        </w:rPr>
        <w:t>To develop a standardized vulnerability index framework</w:t>
      </w:r>
      <w:r w:rsidRPr="008C1D74">
        <w:t xml:space="preserve"> that integrates physical, operational, and systemic indicators to quantify and rank the relative risk level of individual infrastructure components.</w:t>
      </w:r>
    </w:p>
    <w:p w:rsidR="00977DF4" w:rsidRDefault="001F3048" w:rsidP="008C1D74">
      <w:pPr>
        <w:pStyle w:val="NormalWeb"/>
        <w:numPr>
          <w:ilvl w:val="0"/>
          <w:numId w:val="4"/>
        </w:numPr>
        <w:spacing w:line="360" w:lineRule="auto"/>
        <w:jc w:val="both"/>
      </w:pPr>
      <w:r w:rsidRPr="008C1D74">
        <w:rPr>
          <w:bCs/>
        </w:rPr>
        <w:t>To formulate a predictive decision-making matrix and capital investment guide</w:t>
      </w:r>
      <w:r w:rsidR="00701B8E">
        <w:t xml:space="preserve"> for municipalities.</w:t>
      </w:r>
    </w:p>
    <w:p w:rsidR="00864940" w:rsidRPr="00AB6458" w:rsidRDefault="00864940" w:rsidP="00346D47">
      <w:pPr>
        <w:pStyle w:val="Heading1"/>
        <w:jc w:val="both"/>
      </w:pPr>
      <w:bookmarkStart w:id="35" w:name="_Toc230781119"/>
      <w:r w:rsidRPr="00AB6458">
        <w:t>RESEARCH QUESTIONS</w:t>
      </w:r>
      <w:bookmarkEnd w:id="35"/>
    </w:p>
    <w:p w:rsidR="00E960E3" w:rsidRPr="00312761" w:rsidRDefault="00E960E3" w:rsidP="00312761">
      <w:pPr>
        <w:pStyle w:val="NormalWeb"/>
        <w:spacing w:line="360" w:lineRule="auto"/>
        <w:jc w:val="both"/>
      </w:pPr>
      <w:r w:rsidRPr="00312761">
        <w:t>To address the core problem and achi</w:t>
      </w:r>
      <w:r w:rsidR="005765AF" w:rsidRPr="00312761">
        <w:t>eve the objectives of this article</w:t>
      </w:r>
      <w:r w:rsidRPr="00312761">
        <w:t>, the research to answer</w:t>
      </w:r>
      <w:r w:rsidR="005765AF" w:rsidRPr="00312761">
        <w:t>ed</w:t>
      </w:r>
      <w:r w:rsidRPr="00312761">
        <w:t xml:space="preserve"> the following main questions:</w:t>
      </w:r>
    </w:p>
    <w:p w:rsidR="00E960E3" w:rsidRPr="00312761" w:rsidRDefault="00E960E3" w:rsidP="00312761">
      <w:pPr>
        <w:pStyle w:val="NormalWeb"/>
        <w:numPr>
          <w:ilvl w:val="0"/>
          <w:numId w:val="5"/>
        </w:numPr>
        <w:spacing w:line="360" w:lineRule="auto"/>
        <w:jc w:val="both"/>
      </w:pPr>
      <w:r w:rsidRPr="00312761">
        <w:t>Which specific critical urban infrastructure assets (transportation, water, and energy) are most exposed to different flood inundation scenarios within the municipal boundary?</w:t>
      </w:r>
    </w:p>
    <w:p w:rsidR="00E960E3" w:rsidRPr="00312761" w:rsidRDefault="00E960E3" w:rsidP="00312761">
      <w:pPr>
        <w:pStyle w:val="NormalWeb"/>
        <w:numPr>
          <w:ilvl w:val="0"/>
          <w:numId w:val="5"/>
        </w:numPr>
        <w:spacing w:line="360" w:lineRule="auto"/>
        <w:jc w:val="both"/>
      </w:pPr>
      <w:r w:rsidRPr="00312761">
        <w:t>What are the specific structural, operational, and hydraulic thresholds that trigger component-level failures or cascading system breakdowns in these critical assets during a flood event?</w:t>
      </w:r>
    </w:p>
    <w:p w:rsidR="00E960E3" w:rsidRPr="00312761" w:rsidRDefault="00E960E3" w:rsidP="00312761">
      <w:pPr>
        <w:pStyle w:val="NormalWeb"/>
        <w:numPr>
          <w:ilvl w:val="0"/>
          <w:numId w:val="5"/>
        </w:numPr>
        <w:spacing w:line="360" w:lineRule="auto"/>
        <w:jc w:val="both"/>
      </w:pPr>
      <w:r w:rsidRPr="00312761">
        <w:t>How can physical, operational, and systemic indicators be integrated into a standardized index to objectively quantify and rank the vulnerability of diverse infrastructure components?</w:t>
      </w:r>
    </w:p>
    <w:p w:rsidR="00E960E3" w:rsidRPr="00312761" w:rsidRDefault="00E960E3" w:rsidP="00312761">
      <w:pPr>
        <w:pStyle w:val="NormalWeb"/>
        <w:numPr>
          <w:ilvl w:val="0"/>
          <w:numId w:val="5"/>
        </w:numPr>
        <w:spacing w:line="360" w:lineRule="auto"/>
        <w:jc w:val="both"/>
      </w:pPr>
      <w:r w:rsidRPr="00312761">
        <w:t>How can municipalities effectively utilize a predictive vulnerability framework to optimize capital allocation and prioritize long-term climate resilience investments?</w:t>
      </w:r>
    </w:p>
    <w:p w:rsidR="00E960E3" w:rsidRPr="00FD7DF5" w:rsidRDefault="00E960E3" w:rsidP="00346D47">
      <w:pPr>
        <w:pStyle w:val="Heading1"/>
        <w:jc w:val="both"/>
      </w:pPr>
      <w:bookmarkStart w:id="36" w:name="_Toc230781120"/>
      <w:r w:rsidRPr="00FD7DF5">
        <w:t>HYPOTHESES</w:t>
      </w:r>
      <w:bookmarkEnd w:id="36"/>
    </w:p>
    <w:p w:rsidR="00E960E3" w:rsidRPr="00C63B54" w:rsidRDefault="00E960E3" w:rsidP="00C63B54">
      <w:pPr>
        <w:pStyle w:val="NormalWeb"/>
        <w:spacing w:line="360" w:lineRule="auto"/>
        <w:jc w:val="both"/>
        <w:rPr>
          <w:color w:val="000000" w:themeColor="text1"/>
        </w:rPr>
      </w:pPr>
      <w:r w:rsidRPr="00C63B54">
        <w:rPr>
          <w:color w:val="000000" w:themeColor="text1"/>
        </w:rPr>
        <w:t>Based on the research questions, the study test</w:t>
      </w:r>
      <w:r w:rsidR="00FD7DF5" w:rsidRPr="00C63B54">
        <w:rPr>
          <w:color w:val="000000" w:themeColor="text1"/>
        </w:rPr>
        <w:t>ed</w:t>
      </w:r>
      <w:r w:rsidRPr="00C63B54">
        <w:rPr>
          <w:color w:val="000000" w:themeColor="text1"/>
        </w:rPr>
        <w:t xml:space="preserve"> the following hypotheses:</w:t>
      </w:r>
    </w:p>
    <w:p w:rsidR="00E960E3" w:rsidRPr="00C63B54" w:rsidRDefault="00501B46" w:rsidP="00C63B54">
      <w:pPr>
        <w:pStyle w:val="NormalWeb"/>
        <w:spacing w:line="360" w:lineRule="auto"/>
        <w:jc w:val="both"/>
        <w:rPr>
          <w:color w:val="000000" w:themeColor="text1"/>
        </w:rPr>
      </w:pPr>
      <w:r w:rsidRPr="00CF2AFB">
        <w:rPr>
          <w:rStyle w:val="math-inline"/>
          <w:rFonts w:eastAsiaTheme="majorEastAsia"/>
          <w:b/>
          <w:bCs/>
          <w:color w:val="000000" w:themeColor="text1"/>
        </w:rPr>
        <w:t>H</w:t>
      </w:r>
      <w:r w:rsidR="00E960E3" w:rsidRPr="00CF2AFB">
        <w:rPr>
          <w:rStyle w:val="math-inline"/>
          <w:rFonts w:eastAsiaTheme="majorEastAsia"/>
          <w:b/>
          <w:bCs/>
          <w:color w:val="000000" w:themeColor="text1"/>
        </w:rPr>
        <w:t>1</w:t>
      </w:r>
      <w:r w:rsidR="00E960E3" w:rsidRPr="00C63B54">
        <w:rPr>
          <w:bCs/>
          <w:color w:val="000000" w:themeColor="text1"/>
        </w:rPr>
        <w:t>:</w:t>
      </w:r>
      <w:r w:rsidR="00E960E3" w:rsidRPr="00C63B54">
        <w:rPr>
          <w:color w:val="000000" w:themeColor="text1"/>
        </w:rPr>
        <w:t xml:space="preserve"> Critical urban infrastructure assets located within low-lying or poorly drained zones exhibit quantifiable engineering and operational thresholds that, when exceeded by specific flood inundation depths, result in predictable and non-linear component failures.</w:t>
      </w:r>
    </w:p>
    <w:p w:rsidR="00E960E3" w:rsidRPr="00C63B54" w:rsidRDefault="00501B46" w:rsidP="00C63B54">
      <w:pPr>
        <w:pStyle w:val="NormalWeb"/>
        <w:spacing w:line="360" w:lineRule="auto"/>
        <w:jc w:val="both"/>
        <w:rPr>
          <w:color w:val="000000" w:themeColor="text1"/>
        </w:rPr>
      </w:pPr>
      <w:r w:rsidRPr="00CF2AFB">
        <w:rPr>
          <w:rStyle w:val="math-inline"/>
          <w:rFonts w:eastAsiaTheme="majorEastAsia"/>
          <w:b/>
          <w:bCs/>
          <w:color w:val="000000" w:themeColor="text1"/>
        </w:rPr>
        <w:t>H</w:t>
      </w:r>
      <w:r w:rsidR="00E960E3" w:rsidRPr="00CF2AFB">
        <w:rPr>
          <w:rStyle w:val="math-inline"/>
          <w:rFonts w:eastAsiaTheme="majorEastAsia"/>
          <w:b/>
          <w:bCs/>
          <w:color w:val="000000" w:themeColor="text1"/>
          <w:sz w:val="18"/>
        </w:rPr>
        <w:t>0</w:t>
      </w:r>
      <w:r w:rsidR="00C63B54">
        <w:rPr>
          <w:rStyle w:val="math-inline"/>
          <w:rFonts w:eastAsiaTheme="majorEastAsia"/>
          <w:bCs/>
          <w:color w:val="000000" w:themeColor="text1"/>
        </w:rPr>
        <w:t>:</w:t>
      </w:r>
      <w:r w:rsidR="00E960E3" w:rsidRPr="00C63B54">
        <w:rPr>
          <w:bCs/>
          <w:color w:val="000000" w:themeColor="text1"/>
        </w:rPr>
        <w:t xml:space="preserve"> (</w:t>
      </w:r>
      <w:r w:rsidR="00E960E3" w:rsidRPr="00CF2AFB">
        <w:rPr>
          <w:bCs/>
          <w:i/>
          <w:color w:val="000000" w:themeColor="text1"/>
        </w:rPr>
        <w:t>Null Hypothesis</w:t>
      </w:r>
      <w:r w:rsidR="00E960E3" w:rsidRPr="00C63B54">
        <w:rPr>
          <w:bCs/>
          <w:color w:val="000000" w:themeColor="text1"/>
        </w:rPr>
        <w:t>):</w:t>
      </w:r>
      <w:r w:rsidR="00E960E3" w:rsidRPr="00C63B54">
        <w:rPr>
          <w:color w:val="000000" w:themeColor="text1"/>
        </w:rPr>
        <w:t xml:space="preserve"> Flood inundation depth does not have a predictable or measurable impact on the failure thresholds and structural vulnerabilities of critical urban infrastructure assets.</w:t>
      </w:r>
    </w:p>
    <w:p w:rsidR="00C63B54" w:rsidRDefault="00CF2AFB" w:rsidP="00CF2AFB">
      <w:pPr>
        <w:pStyle w:val="NormalWeb"/>
        <w:spacing w:line="360" w:lineRule="auto"/>
        <w:jc w:val="both"/>
        <w:rPr>
          <w:color w:val="000000" w:themeColor="text1"/>
        </w:rPr>
      </w:pPr>
      <w:r w:rsidRPr="00CF2AFB">
        <w:rPr>
          <w:rStyle w:val="math-inline"/>
          <w:rFonts w:eastAsiaTheme="majorEastAsia"/>
          <w:b/>
          <w:bCs/>
          <w:color w:val="000000" w:themeColor="text1"/>
        </w:rPr>
        <w:t>H</w:t>
      </w:r>
      <w:r w:rsidR="00E960E3" w:rsidRPr="00CF2AFB">
        <w:rPr>
          <w:rStyle w:val="math-inline"/>
          <w:rFonts w:eastAsiaTheme="majorEastAsia"/>
          <w:b/>
          <w:bCs/>
          <w:color w:val="000000" w:themeColor="text1"/>
        </w:rPr>
        <w:t>2</w:t>
      </w:r>
      <w:r w:rsidR="00E960E3" w:rsidRPr="00C63B54">
        <w:rPr>
          <w:bCs/>
          <w:color w:val="000000" w:themeColor="text1"/>
        </w:rPr>
        <w:t>:</w:t>
      </w:r>
      <w:r w:rsidR="00E960E3" w:rsidRPr="00C63B54">
        <w:rPr>
          <w:color w:val="000000" w:themeColor="text1"/>
        </w:rPr>
        <w:t xml:space="preserve"> Integrating physical, operational, and systemic indicators into a unified vulnerability index framework provides a statistically more accurate prioritization of high-risk assets for municipal capital investment than traditional broad-scale floodplain mapping alone.</w:t>
      </w:r>
    </w:p>
    <w:p w:rsidR="00F41B8B" w:rsidRPr="00846F66" w:rsidRDefault="00F41B8B" w:rsidP="00346D47">
      <w:pPr>
        <w:pStyle w:val="Heading1"/>
        <w:jc w:val="both"/>
      </w:pPr>
      <w:bookmarkStart w:id="37" w:name="_Toc230781121"/>
      <w:r w:rsidRPr="00846F66">
        <w:t>SIGNIFICANCE OF THE STUDY</w:t>
      </w:r>
      <w:bookmarkEnd w:id="37"/>
    </w:p>
    <w:p w:rsidR="00846F66" w:rsidRPr="00846F66" w:rsidRDefault="00846F66" w:rsidP="0064432A">
      <w:pPr>
        <w:spacing w:before="100" w:beforeAutospacing="1" w:after="100" w:afterAutospacing="1" w:line="360" w:lineRule="auto"/>
        <w:rPr>
          <w:rFonts w:eastAsia="Times New Roman"/>
          <w:color w:val="000000" w:themeColor="text1"/>
          <w:lang w:val="en-GB" w:eastAsia="en-GB"/>
        </w:rPr>
      </w:pPr>
      <w:r w:rsidRPr="00846F66">
        <w:rPr>
          <w:rFonts w:eastAsia="Times New Roman"/>
          <w:color w:val="000000" w:themeColor="text1"/>
          <w:lang w:val="en-GB" w:eastAsia="en-GB"/>
        </w:rPr>
        <w:t>This research held substantial theoretical and practical importance for urban planning, asset management, and climate change adaptation.</w:t>
      </w:r>
    </w:p>
    <w:p w:rsidR="00846F66" w:rsidRPr="00846F66" w:rsidRDefault="00846F66" w:rsidP="0064432A">
      <w:pPr>
        <w:spacing w:before="100" w:beforeAutospacing="1" w:after="100" w:afterAutospacing="1" w:line="360" w:lineRule="auto"/>
        <w:rPr>
          <w:rFonts w:eastAsia="Times New Roman"/>
          <w:color w:val="000000" w:themeColor="text1"/>
          <w:lang w:val="en-GB" w:eastAsia="en-GB"/>
        </w:rPr>
      </w:pPr>
      <w:r w:rsidRPr="00846F66">
        <w:rPr>
          <w:rFonts w:eastAsia="Times New Roman"/>
          <w:color w:val="000000" w:themeColor="text1"/>
          <w:lang w:val="en-GB" w:eastAsia="en-GB"/>
        </w:rPr>
        <w:t xml:space="preserve">In terms of filling the academic gap, while existing literature widely discussed climate risks broadly, there was a distinct lack of research that bridged the gap between macro-level flood </w:t>
      </w:r>
      <w:r w:rsidR="0064432A" w:rsidRPr="00846F66">
        <w:rPr>
          <w:rFonts w:eastAsia="Times New Roman"/>
          <w:color w:val="000000" w:themeColor="text1"/>
          <w:lang w:val="en-GB" w:eastAsia="en-GB"/>
        </w:rPr>
        <w:t>modelling</w:t>
      </w:r>
      <w:r w:rsidRPr="00846F66">
        <w:rPr>
          <w:rFonts w:eastAsia="Times New Roman"/>
          <w:color w:val="000000" w:themeColor="text1"/>
          <w:lang w:val="en-GB" w:eastAsia="en-GB"/>
        </w:rPr>
        <w:t xml:space="preserve"> and micro-level, component-specific infrastructure vulnerability. This study addressed that limitation by introducing an integrated approach that connected hydraulic stress directly to physical asset failure modes.</w:t>
      </w:r>
    </w:p>
    <w:p w:rsidR="00846F66" w:rsidRPr="00846F66" w:rsidRDefault="00846F66" w:rsidP="0064432A">
      <w:pPr>
        <w:spacing w:before="100" w:beforeAutospacing="1" w:after="100" w:afterAutospacing="1" w:line="360" w:lineRule="auto"/>
        <w:rPr>
          <w:rFonts w:eastAsia="Times New Roman"/>
          <w:color w:val="000000" w:themeColor="text1"/>
          <w:lang w:val="en-GB" w:eastAsia="en-GB"/>
        </w:rPr>
      </w:pPr>
      <w:r w:rsidRPr="00846F66">
        <w:rPr>
          <w:rFonts w:eastAsia="Times New Roman"/>
          <w:color w:val="000000" w:themeColor="text1"/>
          <w:lang w:val="en-GB" w:eastAsia="en-GB"/>
        </w:rPr>
        <w:t>Regarding practical policy and governance impact, the study shifted urban governance for local governments and municipal engineers from a costly, reactive disaster-response posture to a proactive, pred</w:t>
      </w:r>
      <w:r w:rsidR="003A2F2F">
        <w:rPr>
          <w:rFonts w:eastAsia="Times New Roman"/>
          <w:color w:val="000000" w:themeColor="text1"/>
          <w:lang w:val="en-GB" w:eastAsia="en-GB"/>
        </w:rPr>
        <w:t>ictive mitigation strategy. O</w:t>
      </w:r>
      <w:r w:rsidRPr="00846F66">
        <w:rPr>
          <w:rFonts w:eastAsia="Times New Roman"/>
          <w:color w:val="000000" w:themeColor="text1"/>
          <w:lang w:val="en-GB" w:eastAsia="en-GB"/>
        </w:rPr>
        <w:t>ffering a reproducible framework, it provided decision-makers with a defensible, data-driven methodology to justify and optimize the allocation of limited public funds.</w:t>
      </w:r>
    </w:p>
    <w:p w:rsidR="00846F66" w:rsidRPr="00846F66" w:rsidRDefault="0064432A" w:rsidP="0064432A">
      <w:pPr>
        <w:spacing w:before="100" w:beforeAutospacing="1" w:after="100" w:afterAutospacing="1" w:line="360" w:lineRule="auto"/>
        <w:rPr>
          <w:rFonts w:eastAsia="Times New Roman"/>
          <w:color w:val="000000" w:themeColor="text1"/>
          <w:lang w:val="en-GB" w:eastAsia="en-GB"/>
        </w:rPr>
      </w:pPr>
      <w:r>
        <w:rPr>
          <w:rFonts w:eastAsia="Times New Roman"/>
          <w:color w:val="000000" w:themeColor="text1"/>
          <w:lang w:val="en-GB" w:eastAsia="en-GB"/>
        </w:rPr>
        <w:t>T</w:t>
      </w:r>
      <w:r w:rsidR="00846F66" w:rsidRPr="00846F66">
        <w:rPr>
          <w:rFonts w:eastAsia="Times New Roman"/>
          <w:color w:val="000000" w:themeColor="text1"/>
          <w:lang w:val="en-GB" w:eastAsia="en-GB"/>
        </w:rPr>
        <w:t>he study carried signific</w:t>
      </w:r>
      <w:r>
        <w:rPr>
          <w:rFonts w:eastAsia="Times New Roman"/>
          <w:color w:val="000000" w:themeColor="text1"/>
          <w:lang w:val="en-GB" w:eastAsia="en-GB"/>
        </w:rPr>
        <w:t>ant socio-economic value. Eve</w:t>
      </w:r>
      <w:r w:rsidR="00EC2F52">
        <w:rPr>
          <w:rFonts w:eastAsia="Times New Roman"/>
          <w:color w:val="000000" w:themeColor="text1"/>
          <w:lang w:val="en-GB" w:eastAsia="en-GB"/>
        </w:rPr>
        <w:t>ntual</w:t>
      </w:r>
      <w:r w:rsidR="00846F66" w:rsidRPr="00846F66">
        <w:rPr>
          <w:rFonts w:eastAsia="Times New Roman"/>
          <w:color w:val="000000" w:themeColor="text1"/>
          <w:lang w:val="en-GB" w:eastAsia="en-GB"/>
        </w:rPr>
        <w:t>ly, by safeguarding critical networks like roads, water systems, and power grids before disaster struck, this research contributed to minimizing catastrophic public service disruptions, preventing billions in economic losses, and enhancing overall community resilience.</w:t>
      </w:r>
    </w:p>
    <w:p w:rsidR="00F41B8B" w:rsidRPr="00846F66" w:rsidRDefault="00F41B8B" w:rsidP="00346D47">
      <w:pPr>
        <w:pStyle w:val="Heading1"/>
        <w:jc w:val="both"/>
      </w:pPr>
      <w:bookmarkStart w:id="38" w:name="_Toc230781122"/>
      <w:r w:rsidRPr="00846F66">
        <w:t>STRUCTURE OF THE THESIS</w:t>
      </w:r>
      <w:bookmarkEnd w:id="38"/>
      <w:r w:rsidR="003A2F2F">
        <w:t xml:space="preserve">                                                                                                                                                                                                                                                                      </w:t>
      </w:r>
    </w:p>
    <w:p w:rsidR="00F41B8B" w:rsidRPr="00846F66" w:rsidRDefault="00F41B8B" w:rsidP="00846F66">
      <w:pPr>
        <w:spacing w:line="360" w:lineRule="auto"/>
        <w:rPr>
          <w:color w:val="000000" w:themeColor="text1"/>
        </w:rPr>
      </w:pPr>
      <w:r w:rsidRPr="00846F66">
        <w:rPr>
          <w:color w:val="000000" w:themeColor="text1"/>
        </w:rPr>
        <w:t>The thesis is organized into the following chapters to ensure a logical progression of the investigation:</w:t>
      </w:r>
    </w:p>
    <w:p w:rsidR="00F41B8B" w:rsidRPr="00846F66" w:rsidRDefault="00F41B8B" w:rsidP="00846F66">
      <w:pPr>
        <w:spacing w:line="360" w:lineRule="auto"/>
        <w:rPr>
          <w:color w:val="000000" w:themeColor="text1"/>
        </w:rPr>
      </w:pPr>
      <w:r w:rsidRPr="0064432A">
        <w:rPr>
          <w:b/>
          <w:bCs/>
          <w:color w:val="000000" w:themeColor="text1"/>
        </w:rPr>
        <w:t>Chapter 1</w:t>
      </w:r>
      <w:r w:rsidRPr="00846F66">
        <w:rPr>
          <w:bCs/>
          <w:color w:val="000000" w:themeColor="text1"/>
        </w:rPr>
        <w:t>: Introduction:</w:t>
      </w:r>
      <w:r w:rsidRPr="00846F66">
        <w:rPr>
          <w:color w:val="000000" w:themeColor="text1"/>
        </w:rPr>
        <w:t xml:space="preserve"> Introduces the background of urban flooding and critical infrastructure, outlines the problem statement, defines the general and specific objectives, poses the research questions, and highlights the study's significance.</w:t>
      </w:r>
    </w:p>
    <w:p w:rsidR="00F41B8B" w:rsidRPr="00846F66" w:rsidRDefault="00F41B8B" w:rsidP="00846F66">
      <w:pPr>
        <w:spacing w:line="360" w:lineRule="auto"/>
        <w:rPr>
          <w:color w:val="000000" w:themeColor="text1"/>
        </w:rPr>
      </w:pPr>
      <w:r w:rsidRPr="0064432A">
        <w:rPr>
          <w:b/>
          <w:bCs/>
          <w:color w:val="000000" w:themeColor="text1"/>
        </w:rPr>
        <w:t>Chapter 2</w:t>
      </w:r>
      <w:r w:rsidRPr="00846F66">
        <w:rPr>
          <w:bCs/>
          <w:color w:val="000000" w:themeColor="text1"/>
        </w:rPr>
        <w:t>: Literature Review:</w:t>
      </w:r>
      <w:r w:rsidRPr="00846F66">
        <w:rPr>
          <w:color w:val="000000" w:themeColor="text1"/>
        </w:rPr>
        <w:t xml:space="preserve"> Evaluates existing scholastic work regarding climate change impacts on urban infrastructure, methods of flood inundation modeling, asset vulnerability frameworks, and current gaps in municipal capital investment strategies.</w:t>
      </w:r>
    </w:p>
    <w:p w:rsidR="00F41B8B" w:rsidRPr="00846F66" w:rsidRDefault="00F41B8B" w:rsidP="00846F66">
      <w:pPr>
        <w:spacing w:line="360" w:lineRule="auto"/>
        <w:rPr>
          <w:color w:val="000000" w:themeColor="text1"/>
        </w:rPr>
      </w:pPr>
      <w:r w:rsidRPr="0064432A">
        <w:rPr>
          <w:b/>
          <w:bCs/>
          <w:color w:val="000000" w:themeColor="text1"/>
        </w:rPr>
        <w:t>Chapter 3</w:t>
      </w:r>
      <w:r w:rsidRPr="00846F66">
        <w:rPr>
          <w:bCs/>
          <w:color w:val="000000" w:themeColor="text1"/>
        </w:rPr>
        <w:t>: Methodology:</w:t>
      </w:r>
      <w:r w:rsidRPr="00846F66">
        <w:rPr>
          <w:color w:val="000000" w:themeColor="text1"/>
        </w:rPr>
        <w:t xml:space="preserve"> Detail the research design, data collection methods (including infrastructure asset mapping and hydraulic flood data), the development of the vulnerability index, and the criteria for the decision-making investment matrix.</w:t>
      </w:r>
    </w:p>
    <w:p w:rsidR="00F41B8B" w:rsidRPr="00846F66" w:rsidRDefault="00F41B8B" w:rsidP="00846F66">
      <w:pPr>
        <w:spacing w:line="360" w:lineRule="auto"/>
        <w:rPr>
          <w:color w:val="000000" w:themeColor="text1"/>
        </w:rPr>
      </w:pPr>
      <w:r w:rsidRPr="0064432A">
        <w:rPr>
          <w:b/>
          <w:bCs/>
          <w:color w:val="000000" w:themeColor="text1"/>
        </w:rPr>
        <w:t>Chapter 4</w:t>
      </w:r>
      <w:r w:rsidRPr="00846F66">
        <w:rPr>
          <w:bCs/>
          <w:color w:val="000000" w:themeColor="text1"/>
        </w:rPr>
        <w:t>: Results and Discussion:</w:t>
      </w:r>
      <w:r w:rsidRPr="00846F66">
        <w:rPr>
          <w:color w:val="000000" w:themeColor="text1"/>
        </w:rPr>
        <w:t xml:space="preserve"> Presents the empirical findings, including the flood exposure maps, the identified component-level asset failure thresholds, the finalized vulnerability rankings, and a critical analysis of how these findings align with or challenge current literature.</w:t>
      </w:r>
    </w:p>
    <w:p w:rsidR="00F41B8B" w:rsidRDefault="00F41B8B" w:rsidP="00846F66">
      <w:pPr>
        <w:spacing w:line="360" w:lineRule="auto"/>
        <w:rPr>
          <w:color w:val="000000" w:themeColor="text1"/>
        </w:rPr>
      </w:pPr>
      <w:r w:rsidRPr="0064432A">
        <w:rPr>
          <w:b/>
          <w:bCs/>
          <w:color w:val="000000" w:themeColor="text1"/>
        </w:rPr>
        <w:t>Chapter 5</w:t>
      </w:r>
      <w:r w:rsidRPr="00846F66">
        <w:rPr>
          <w:bCs/>
          <w:color w:val="000000" w:themeColor="text1"/>
        </w:rPr>
        <w:t>: Conclusions and Recommendations:</w:t>
      </w:r>
      <w:r w:rsidRPr="00846F66">
        <w:rPr>
          <w:color w:val="000000" w:themeColor="text1"/>
        </w:rPr>
        <w:t xml:space="preserve"> Summarizes the core outcomes of the study, verifies the hypotheses, discusses operational limitations, and provides actionable recommendations for municipalities regarding climate-resilient infrastructure investments alongside directions for future research.</w:t>
      </w:r>
    </w:p>
    <w:p w:rsidR="006C31BD" w:rsidRDefault="006C31BD" w:rsidP="00846F66">
      <w:pPr>
        <w:spacing w:line="360" w:lineRule="auto"/>
        <w:rPr>
          <w:color w:val="000000" w:themeColor="text1"/>
        </w:rPr>
      </w:pPr>
    </w:p>
    <w:p w:rsidR="006C31BD" w:rsidRDefault="006C31BD" w:rsidP="00846F66">
      <w:pPr>
        <w:spacing w:line="360" w:lineRule="auto"/>
        <w:rPr>
          <w:color w:val="000000" w:themeColor="text1"/>
        </w:rPr>
      </w:pPr>
    </w:p>
    <w:p w:rsidR="006C31BD" w:rsidRDefault="006C31BD" w:rsidP="00846F66">
      <w:pPr>
        <w:spacing w:line="360" w:lineRule="auto"/>
        <w:rPr>
          <w:color w:val="000000" w:themeColor="text1"/>
        </w:rPr>
      </w:pPr>
    </w:p>
    <w:p w:rsidR="006C31BD" w:rsidRDefault="006C31BD" w:rsidP="00846F66">
      <w:pPr>
        <w:spacing w:line="360" w:lineRule="auto"/>
        <w:rPr>
          <w:color w:val="000000" w:themeColor="text1"/>
        </w:rPr>
      </w:pPr>
    </w:p>
    <w:p w:rsidR="006C31BD" w:rsidRDefault="006C31BD" w:rsidP="00846F66">
      <w:pPr>
        <w:spacing w:line="360" w:lineRule="auto"/>
        <w:rPr>
          <w:color w:val="000000" w:themeColor="text1"/>
        </w:rPr>
      </w:pPr>
    </w:p>
    <w:p w:rsidR="006C31BD" w:rsidRDefault="006C31BD" w:rsidP="00846F66">
      <w:pPr>
        <w:spacing w:line="360" w:lineRule="auto"/>
        <w:rPr>
          <w:color w:val="000000" w:themeColor="text1"/>
        </w:rPr>
      </w:pPr>
    </w:p>
    <w:p w:rsidR="003215C0" w:rsidRPr="003215C0" w:rsidRDefault="003215C0" w:rsidP="004F4C7D">
      <w:pPr>
        <w:pStyle w:val="Heading1"/>
      </w:pPr>
      <w:bookmarkStart w:id="39" w:name="_Toc230781123"/>
      <w:r w:rsidRPr="003215C0">
        <w:t>METHODOLOGY</w:t>
      </w:r>
      <w:bookmarkEnd w:id="39"/>
    </w:p>
    <w:p w:rsidR="003215C0" w:rsidRPr="003215C0" w:rsidRDefault="00D2044F" w:rsidP="004F4C7D">
      <w:pPr>
        <w:pStyle w:val="Heading1"/>
      </w:pPr>
      <w:bookmarkStart w:id="40" w:name="_Toc230781124"/>
      <w:r>
        <w:t xml:space="preserve">3.1 </w:t>
      </w:r>
      <w:r w:rsidR="003215C0" w:rsidRPr="003215C0">
        <w:t>RESEARCH DESIGN</w:t>
      </w:r>
      <w:bookmarkEnd w:id="40"/>
    </w:p>
    <w:p w:rsidR="003215C0" w:rsidRPr="003215C0" w:rsidRDefault="003215C0" w:rsidP="00D2044F">
      <w:pPr>
        <w:spacing w:before="100" w:beforeAutospacing="1" w:after="100" w:afterAutospacing="1" w:line="360" w:lineRule="auto"/>
        <w:rPr>
          <w:rFonts w:eastAsia="Times New Roman"/>
          <w:color w:val="000000" w:themeColor="text1"/>
          <w:lang w:val="en-GB" w:eastAsia="en-GB"/>
        </w:rPr>
      </w:pPr>
      <w:r w:rsidRPr="003215C0">
        <w:rPr>
          <w:rFonts w:eastAsia="Times New Roman"/>
          <w:color w:val="000000" w:themeColor="text1"/>
          <w:lang w:val="en-GB" w:eastAsia="en-GB"/>
        </w:rPr>
        <w:t>The study adopted a mixed-methods case study design to investigate infrastructure vulnerability, flooding dynamics, and resilience in Mandevu. This approach combined both quantitative and qualitative methods to provide a comprehensive, multi-layered understanding of the research problem. By anchoring the study within a specific geographic and socio-economic case area, this design allowed for the triangulation of data, ensuring that the empirical findings were both statistically sound and contextually rich.</w:t>
      </w:r>
    </w:p>
    <w:p w:rsidR="003215C0" w:rsidRPr="003215C0" w:rsidRDefault="003215C0" w:rsidP="00346D47">
      <w:pPr>
        <w:pStyle w:val="Heading1"/>
        <w:jc w:val="both"/>
      </w:pPr>
      <w:bookmarkStart w:id="41" w:name="_Toc230781125"/>
      <w:r w:rsidRPr="003215C0">
        <w:t>DATA COLLECTION METHODS</w:t>
      </w:r>
      <w:bookmarkEnd w:id="41"/>
    </w:p>
    <w:p w:rsidR="003215C0" w:rsidRPr="003215C0" w:rsidRDefault="003215C0" w:rsidP="00D2044F">
      <w:pPr>
        <w:spacing w:before="100" w:beforeAutospacing="1" w:after="100" w:afterAutospacing="1" w:line="360" w:lineRule="auto"/>
        <w:rPr>
          <w:rFonts w:eastAsia="Times New Roman"/>
          <w:color w:val="000000" w:themeColor="text1"/>
          <w:lang w:val="en-GB" w:eastAsia="en-GB"/>
        </w:rPr>
      </w:pPr>
      <w:r w:rsidRPr="003215C0">
        <w:rPr>
          <w:rFonts w:eastAsia="Times New Roman"/>
          <w:color w:val="000000" w:themeColor="text1"/>
          <w:lang w:val="en-GB" w:eastAsia="en-GB"/>
        </w:rPr>
        <w:t>Data collection was executed through multiple primary and secondary channels to gather a robust mix of qualitative and quantitative information. Primary data was collected using structured surveys administered to household heads to capture specific numbers, exposure levels, and localized impacts. Concurrently, qualitative insights were gathered through semi-structured interviews with key institutional stakeholders and community leaders, as well as through Focus Group Discussions (FGDs) with local residents. Secondary data was obtained through the review of relevant institutional reports, policy documents, and spatial or climate data.</w:t>
      </w:r>
    </w:p>
    <w:p w:rsidR="003215C0" w:rsidRPr="003215C0" w:rsidRDefault="003215C0" w:rsidP="00346D47">
      <w:pPr>
        <w:pStyle w:val="Heading1"/>
        <w:jc w:val="both"/>
      </w:pPr>
      <w:bookmarkStart w:id="42" w:name="_Toc230781126"/>
      <w:r w:rsidRPr="003215C0">
        <w:t>SAMPLING</w:t>
      </w:r>
      <w:bookmarkEnd w:id="42"/>
    </w:p>
    <w:p w:rsidR="003215C0" w:rsidRPr="003215C0" w:rsidRDefault="003215C0" w:rsidP="00D2044F">
      <w:pPr>
        <w:spacing w:before="100" w:beforeAutospacing="1" w:after="100" w:afterAutospacing="1" w:line="360" w:lineRule="auto"/>
        <w:rPr>
          <w:rFonts w:eastAsia="Times New Roman"/>
          <w:color w:val="000000" w:themeColor="text1"/>
          <w:lang w:val="en-GB" w:eastAsia="en-GB"/>
        </w:rPr>
      </w:pPr>
      <w:r w:rsidRPr="003215C0">
        <w:rPr>
          <w:rFonts w:eastAsia="Times New Roman"/>
          <w:color w:val="000000" w:themeColor="text1"/>
          <w:lang w:val="en-GB" w:eastAsia="en-GB"/>
        </w:rPr>
        <w:t xml:space="preserve">The study utilized a combination of probability and non-probability sampling techniques to select participants from the target population. For the household survey, stratified random sampling was employed by dividing Mandevu into distinct </w:t>
      </w:r>
      <w:r w:rsidR="00C156D4" w:rsidRPr="003215C0">
        <w:rPr>
          <w:rFonts w:eastAsia="Times New Roman"/>
          <w:color w:val="000000" w:themeColor="text1"/>
          <w:lang w:val="en-GB" w:eastAsia="en-GB"/>
        </w:rPr>
        <w:t>neighbourhood</w:t>
      </w:r>
      <w:r w:rsidRPr="003215C0">
        <w:rPr>
          <w:rFonts w:eastAsia="Times New Roman"/>
          <w:color w:val="000000" w:themeColor="text1"/>
          <w:lang w:val="en-GB" w:eastAsia="en-GB"/>
        </w:rPr>
        <w:t xml:space="preserve"> clusters based on housing density and flood proximity, resulting in a final sample size of 104 household respondents. For institutional actors, community leaders, and FGD participants, purposive sampling was applied to deliberately select individuals with specialized technical expertise, governance roles, or diverse socio-economic perspectives.</w:t>
      </w:r>
    </w:p>
    <w:p w:rsidR="003215C0" w:rsidRPr="003215C0" w:rsidRDefault="003215C0" w:rsidP="00346D47">
      <w:pPr>
        <w:pStyle w:val="Heading1"/>
        <w:jc w:val="both"/>
      </w:pPr>
      <w:bookmarkStart w:id="43" w:name="_Toc230781127"/>
      <w:r w:rsidRPr="003215C0">
        <w:t>DATA ANALYSIS TECHNIQUES</w:t>
      </w:r>
      <w:bookmarkEnd w:id="43"/>
    </w:p>
    <w:p w:rsidR="006C31BD" w:rsidRDefault="003215C0" w:rsidP="00D2044F">
      <w:pPr>
        <w:spacing w:before="100" w:beforeAutospacing="1" w:after="100" w:afterAutospacing="1" w:line="360" w:lineRule="auto"/>
        <w:rPr>
          <w:rFonts w:eastAsia="Times New Roman"/>
          <w:color w:val="000000" w:themeColor="text1"/>
          <w:lang w:val="en-GB" w:eastAsia="en-GB"/>
        </w:rPr>
      </w:pPr>
      <w:r w:rsidRPr="003215C0">
        <w:rPr>
          <w:rFonts w:eastAsia="Times New Roman"/>
          <w:color w:val="000000" w:themeColor="text1"/>
          <w:lang w:val="en-GB" w:eastAsia="en-GB"/>
        </w:rPr>
        <w:t>The data analysis phase processed quantitative and qualitative datasets through distinct, complementary pipelines. Quantitative data from the household surveys was cleaned, coded, and analyzed using statistical software to generate descriptive statistics and cross-tabulations regarding infrastructure conditions and asset failure modes. Qualitative data from the interviews and FGDs was transcribed and evaluated using thematic analysis, which involved a systematic process of identifying, coding, and grouping recurring patterns and themes regarding governance and community coping mechanisms.</w:t>
      </w:r>
    </w:p>
    <w:p w:rsidR="00E57A3C" w:rsidRPr="001F0BBE" w:rsidRDefault="001F0BBE" w:rsidP="004F4C7D">
      <w:pPr>
        <w:pStyle w:val="Heading1"/>
      </w:pPr>
      <w:bookmarkStart w:id="44" w:name="_Toc230781128"/>
      <w:r>
        <w:t>RESULTS</w:t>
      </w:r>
      <w:bookmarkEnd w:id="44"/>
    </w:p>
    <w:p w:rsidR="00E57A3C" w:rsidRPr="001F0BBE" w:rsidRDefault="00E57A3C" w:rsidP="00346D47">
      <w:pPr>
        <w:pStyle w:val="Heading1"/>
        <w:jc w:val="both"/>
      </w:pPr>
      <w:bookmarkStart w:id="45" w:name="_Toc230781129"/>
      <w:r w:rsidRPr="001F0BBE">
        <w:t>INFRASTRUCTURE VULNERABILITY AND ASSET FAILURE MODES</w:t>
      </w:r>
      <w:bookmarkEnd w:id="45"/>
    </w:p>
    <w:p w:rsidR="00E57A3C" w:rsidRPr="001F0BBE" w:rsidRDefault="00E57A3C" w:rsidP="001F0BBE">
      <w:pPr>
        <w:pStyle w:val="NormalWeb"/>
        <w:spacing w:line="360" w:lineRule="auto"/>
        <w:jc w:val="both"/>
        <w:rPr>
          <w:color w:val="000000" w:themeColor="text1"/>
        </w:rPr>
      </w:pPr>
      <w:r w:rsidRPr="001F0BBE">
        <w:rPr>
          <w:color w:val="000000" w:themeColor="text1"/>
        </w:rPr>
        <w:t>The quantitative and qualitative evaluation of Mandevu’s infr</w:t>
      </w:r>
      <w:r w:rsidR="001F0BBE">
        <w:rPr>
          <w:color w:val="000000" w:themeColor="text1"/>
        </w:rPr>
        <w:t>astructure infrastru</w:t>
      </w:r>
      <w:r w:rsidR="001F0BBE" w:rsidRPr="001F0BBE">
        <w:rPr>
          <w:color w:val="000000" w:themeColor="text1"/>
        </w:rPr>
        <w:t>cture</w:t>
      </w:r>
      <w:r w:rsidRPr="001F0BBE">
        <w:rPr>
          <w:color w:val="000000" w:themeColor="text1"/>
        </w:rPr>
        <w:t xml:space="preserve"> demonstrated that physical assets within the settlement operated under severe structural deficit, which magnified during intense weather events. The primary data collected from the 104 household surveys indicated that road networks and drainage systems suffered the highest frequency of operational collapse. Unpaved earth roads, which constituted the vast majority of internal circulation paths within the community, rapidly deteriorated into impassable mud channels during heavy downpours. This erosion compromised localized mobility, trapped residents in inundated zones, and completely cut off emergency vehicular access.</w:t>
      </w:r>
    </w:p>
    <w:p w:rsidR="00E57A3C" w:rsidRPr="001F0BBE" w:rsidRDefault="00E57A3C" w:rsidP="001F0BBE">
      <w:pPr>
        <w:pStyle w:val="NormalWeb"/>
        <w:spacing w:line="360" w:lineRule="auto"/>
        <w:jc w:val="both"/>
        <w:rPr>
          <w:color w:val="000000" w:themeColor="text1"/>
        </w:rPr>
      </w:pPr>
      <w:r w:rsidRPr="001F0BBE">
        <w:rPr>
          <w:color w:val="000000" w:themeColor="text1"/>
        </w:rPr>
        <w:t>Furthermore, concrete drain</w:t>
      </w:r>
      <w:r w:rsidR="001F0BBE">
        <w:rPr>
          <w:color w:val="000000" w:themeColor="text1"/>
        </w:rPr>
        <w:t xml:space="preserve">age networks where they existed </w:t>
      </w:r>
      <w:r w:rsidRPr="001F0BBE">
        <w:rPr>
          <w:color w:val="000000" w:themeColor="text1"/>
        </w:rPr>
        <w:t>exhibited catastrophic structural failure modes. Decades of underfunding combined with a lack of routine asset management resulted in extensive structural cracking, wall collapses, and severe siltation. The accumulation of uncollected solid waste and silt within these channels significantly reduced their hydraulic carrying capacity, turning protective infrastructure into an active hazard by forcing floodwaters backward into nearby residential plots.</w:t>
      </w:r>
    </w:p>
    <w:p w:rsidR="00E57A3C" w:rsidRPr="001F0BBE" w:rsidRDefault="00E57A3C" w:rsidP="001F0BBE">
      <w:pPr>
        <w:pStyle w:val="NormalWeb"/>
        <w:spacing w:line="360" w:lineRule="auto"/>
        <w:jc w:val="both"/>
        <w:rPr>
          <w:color w:val="000000" w:themeColor="text1"/>
        </w:rPr>
      </w:pPr>
      <w:r w:rsidRPr="001F0BBE">
        <w:rPr>
          <w:color w:val="000000" w:themeColor="text1"/>
        </w:rPr>
        <w:t>Water and sanitation systems also revealed precarious failure points. The survey data confirmed that the majority of residents relied on shallow wells or low-pressure piped networks running adjacent to informal pit latrines. During peak flooding, the rising water table and surface runoff caused widespread cross-contamination. Pit latrines frequently overflowed, discharging raw sewage into standing floodwaters and directly compromising the shallow groundwater table. This specific asset failure mode transformed a localized hydrological crisis into a severe public health emergency, as documented by respondents who noted recurrent spikes in waterborne illnesses during the rainy season.</w:t>
      </w:r>
    </w:p>
    <w:p w:rsidR="00E57A3C" w:rsidRPr="001F0BBE" w:rsidRDefault="00E57A3C" w:rsidP="00346D47">
      <w:pPr>
        <w:pStyle w:val="Heading1"/>
        <w:jc w:val="both"/>
      </w:pPr>
      <w:bookmarkStart w:id="46" w:name="_Toc230781130"/>
      <w:r w:rsidRPr="001F0BBE">
        <w:t>FLOODING DYNAMICS AND EXPOSURE LEVELS</w:t>
      </w:r>
      <w:bookmarkEnd w:id="46"/>
    </w:p>
    <w:p w:rsidR="00E57A3C" w:rsidRPr="001F0BBE" w:rsidRDefault="00E57A3C" w:rsidP="001F0BBE">
      <w:pPr>
        <w:pStyle w:val="NormalWeb"/>
        <w:spacing w:line="360" w:lineRule="auto"/>
        <w:jc w:val="both"/>
        <w:rPr>
          <w:color w:val="000000" w:themeColor="text1"/>
        </w:rPr>
      </w:pPr>
      <w:r w:rsidRPr="001F0BBE">
        <w:rPr>
          <w:color w:val="000000" w:themeColor="text1"/>
        </w:rPr>
        <w:t xml:space="preserve">The analysis of flooding dynamics within Mandevu established that exposure was not uniform, but rather dictated by a combination of topography, housing density, and micro-level infrastructure gaps. The stratified random sampling strategy highlighted sharp variations in vulnerability between the selected </w:t>
      </w:r>
      <w:r w:rsidR="001F0BBE" w:rsidRPr="001F0BBE">
        <w:rPr>
          <w:color w:val="000000" w:themeColor="text1"/>
        </w:rPr>
        <w:t>neighbourhood</w:t>
      </w:r>
      <w:r w:rsidRPr="001F0BBE">
        <w:rPr>
          <w:color w:val="000000" w:themeColor="text1"/>
        </w:rPr>
        <w:t xml:space="preserve"> clusters. Households situated in lower-lying, hyper-dense strata faced prolonged periods of standing water that often persisted for weeks after a rainfall event had ceased. In these zones, the high concen</w:t>
      </w:r>
      <w:r w:rsidR="001F0BBE">
        <w:rPr>
          <w:color w:val="000000" w:themeColor="text1"/>
        </w:rPr>
        <w:t xml:space="preserve">tration of impermeable surfaces </w:t>
      </w:r>
      <w:r w:rsidRPr="001F0BBE">
        <w:rPr>
          <w:color w:val="000000" w:themeColor="text1"/>
        </w:rPr>
        <w:t>driven by closely packed iron-sh</w:t>
      </w:r>
      <w:r w:rsidR="001F0BBE">
        <w:rPr>
          <w:color w:val="000000" w:themeColor="text1"/>
        </w:rPr>
        <w:t xml:space="preserve">eet roofs and concrete flooring </w:t>
      </w:r>
      <w:r w:rsidRPr="001F0BBE">
        <w:rPr>
          <w:color w:val="000000" w:themeColor="text1"/>
        </w:rPr>
        <w:t>accelerated surface runoff while offering no natural soil infiltration.</w:t>
      </w:r>
    </w:p>
    <w:p w:rsidR="00E57A3C" w:rsidRPr="001F0BBE" w:rsidRDefault="00E57A3C" w:rsidP="001F0BBE">
      <w:pPr>
        <w:pStyle w:val="NormalWeb"/>
        <w:spacing w:line="360" w:lineRule="auto"/>
        <w:jc w:val="both"/>
        <w:rPr>
          <w:color w:val="000000" w:themeColor="text1"/>
        </w:rPr>
      </w:pPr>
      <w:r w:rsidRPr="001F0BBE">
        <w:rPr>
          <w:color w:val="000000" w:themeColor="text1"/>
        </w:rPr>
        <w:t xml:space="preserve">Conversely, </w:t>
      </w:r>
      <w:r w:rsidR="001F0BBE" w:rsidRPr="001F0BBE">
        <w:rPr>
          <w:color w:val="000000" w:themeColor="text1"/>
        </w:rPr>
        <w:t>neighbourhood</w:t>
      </w:r>
      <w:r w:rsidRPr="001F0BBE">
        <w:rPr>
          <w:color w:val="000000" w:themeColor="text1"/>
        </w:rPr>
        <w:t xml:space="preserve"> clusters located on slightly higher topographical terrain or in closer proximity to primary collector drains experienced shorter disruption periods. However, because the secondary and tertiary drainage connections were missing or broken, even these higher-ground households remained highly vulnerable to sudden flash floods. The data demonstrated that macro-level flood </w:t>
      </w:r>
      <w:r w:rsidR="001F0BBE" w:rsidRPr="001F0BBE">
        <w:rPr>
          <w:color w:val="000000" w:themeColor="text1"/>
        </w:rPr>
        <w:t>modelling</w:t>
      </w:r>
      <w:r w:rsidRPr="001F0BBE">
        <w:rPr>
          <w:color w:val="000000" w:themeColor="text1"/>
        </w:rPr>
        <w:t xml:space="preserve"> frequently overlooked these micro-level variations, failing to capture how a localized blockage in a single community ditch could submerge an entire cluster of homes. This structural disconnection meant that the 104 surveyed households lived in a continuous state of high vulnerability, where even moderate rainfall events triggered disproportionate economic and physical disruption.</w:t>
      </w:r>
    </w:p>
    <w:p w:rsidR="00E57A3C" w:rsidRPr="001F0BBE" w:rsidRDefault="00E57A3C" w:rsidP="00346D47">
      <w:pPr>
        <w:pStyle w:val="Heading1"/>
        <w:jc w:val="both"/>
      </w:pPr>
      <w:bookmarkStart w:id="47" w:name="_Toc230781131"/>
      <w:r w:rsidRPr="001F0BBE">
        <w:t>INSTITUTIONAL RESPONSES AND GOVERNANCE CHALLENGES</w:t>
      </w:r>
      <w:bookmarkEnd w:id="47"/>
    </w:p>
    <w:p w:rsidR="00E57A3C" w:rsidRPr="001F0BBE" w:rsidRDefault="00E57A3C" w:rsidP="001F0BBE">
      <w:pPr>
        <w:pStyle w:val="NormalWeb"/>
        <w:spacing w:line="360" w:lineRule="auto"/>
        <w:jc w:val="both"/>
        <w:rPr>
          <w:color w:val="000000" w:themeColor="text1"/>
        </w:rPr>
      </w:pPr>
      <w:r w:rsidRPr="001F0BBE">
        <w:rPr>
          <w:color w:val="000000" w:themeColor="text1"/>
        </w:rPr>
        <w:t>The semi-structured interviews conducted with officials from the Lusaka City Council (LCC), the Disaster Management and Mitigation Unit (DMMU), and active non-governmental organizations revealed deep systemic bottlenecks within the urban governance framework. Key informants universally acknowledged that institutional responses to flooding in Mandevu were overwhelmingly reactive rather than predictive. Due to severe budgetary constraints, municipal agencies consistently directed their limited funding toward</w:t>
      </w:r>
      <w:r w:rsidR="001F0BBE">
        <w:rPr>
          <w:color w:val="000000" w:themeColor="text1"/>
        </w:rPr>
        <w:t xml:space="preserve"> post-disaster emergency relief </w:t>
      </w:r>
      <w:r w:rsidRPr="001F0BBE">
        <w:rPr>
          <w:color w:val="000000" w:themeColor="text1"/>
        </w:rPr>
        <w:t>such as distributing temporary shelter materials or</w:t>
      </w:r>
      <w:r w:rsidR="001F0BBE">
        <w:rPr>
          <w:color w:val="000000" w:themeColor="text1"/>
        </w:rPr>
        <w:t xml:space="preserve"> chlorine tablets </w:t>
      </w:r>
      <w:r w:rsidRPr="001F0BBE">
        <w:rPr>
          <w:color w:val="000000" w:themeColor="text1"/>
        </w:rPr>
        <w:t>rather than investing in proactive, climate-resilient infrastructure design.</w:t>
      </w:r>
    </w:p>
    <w:p w:rsidR="00E57A3C" w:rsidRPr="001F0BBE" w:rsidRDefault="00E57A3C" w:rsidP="001F0BBE">
      <w:pPr>
        <w:pStyle w:val="NormalWeb"/>
        <w:spacing w:line="360" w:lineRule="auto"/>
        <w:jc w:val="both"/>
        <w:rPr>
          <w:color w:val="000000" w:themeColor="text1"/>
        </w:rPr>
      </w:pPr>
      <w:r w:rsidRPr="001F0BBE">
        <w:rPr>
          <w:color w:val="000000" w:themeColor="text1"/>
        </w:rPr>
        <w:t>Furthermore, institutional actors highlighted a critical lack of data integration between macro-level flood forecasting and localized asset management databases. The LCC lacked detailed, component-specific inventories regarding the actual physical condition of Mandevu’s drains and roads. Without this micro-level data, municipal engineers could not build a defensible, data-driven methodology to justify the allocation of public funds toward preventative maintenance. Consequently, interventions remained uncoordinated, political, and piecemeal. This governance gap isolated community leaders, forcing them to manage complex structural failures with virtually no formal technical guidance or financial backing from central authorities.</w:t>
      </w:r>
    </w:p>
    <w:p w:rsidR="00E57A3C" w:rsidRPr="001F0BBE" w:rsidRDefault="00E57A3C" w:rsidP="00346D47">
      <w:pPr>
        <w:pStyle w:val="Heading1"/>
        <w:jc w:val="both"/>
      </w:pPr>
      <w:bookmarkStart w:id="48" w:name="_Toc230781132"/>
      <w:r w:rsidRPr="001F0BBE">
        <w:t>COMMUNITY COPING MECHANISMS AND RESILIENCE STRATEGIES</w:t>
      </w:r>
      <w:bookmarkEnd w:id="48"/>
    </w:p>
    <w:p w:rsidR="00E57A3C" w:rsidRPr="001F0BBE" w:rsidRDefault="00E57A3C" w:rsidP="001F0BBE">
      <w:pPr>
        <w:pStyle w:val="NormalWeb"/>
        <w:spacing w:line="360" w:lineRule="auto"/>
        <w:jc w:val="both"/>
        <w:rPr>
          <w:color w:val="000000" w:themeColor="text1"/>
        </w:rPr>
      </w:pPr>
      <w:r w:rsidRPr="001F0BBE">
        <w:rPr>
          <w:color w:val="000000" w:themeColor="text1"/>
        </w:rPr>
        <w:t xml:space="preserve">Data generated through the Focus Group Discussions (FGDs) illustrated that because formal institutional interventions were scarce, the residents of Mandevu developed an array of autonomous, localized coping mechanisms. To shield their homes from incoming water, household heads frequently constructed makeshift physical barriers, such as raising doorstep thresholds with concrete blocks, constructing low mud embankments, or stacking sandbags around their perimeters. On a communal scale, youth groups and </w:t>
      </w:r>
      <w:r w:rsidR="001F0BBE" w:rsidRPr="001F0BBE">
        <w:rPr>
          <w:color w:val="000000" w:themeColor="text1"/>
        </w:rPr>
        <w:t>neighbours</w:t>
      </w:r>
      <w:r w:rsidRPr="001F0BBE">
        <w:rPr>
          <w:color w:val="000000" w:themeColor="text1"/>
        </w:rPr>
        <w:t xml:space="preserve"> regularly organized ad-hoc drainage clearing teams to manually remove solid waste and silt from blocked pathways before and during storm events.</w:t>
      </w:r>
    </w:p>
    <w:p w:rsidR="00E57A3C" w:rsidRDefault="00E57A3C" w:rsidP="001F0BBE">
      <w:pPr>
        <w:pStyle w:val="NormalWeb"/>
        <w:spacing w:line="360" w:lineRule="auto"/>
        <w:jc w:val="both"/>
        <w:rPr>
          <w:color w:val="000000" w:themeColor="text1"/>
        </w:rPr>
      </w:pPr>
      <w:r w:rsidRPr="001F0BBE">
        <w:rPr>
          <w:color w:val="000000" w:themeColor="text1"/>
        </w:rPr>
        <w:t xml:space="preserve">While these strategies demonstrated immense localized resilience and survival capacity, the qualitative data underscored that these actions were highly exhausted, temporary, and financially draining. Residents expressed deep frustration, noting that digging shallow diversion trenches around their properties merely diverted floodwaters onto </w:t>
      </w:r>
      <w:r w:rsidR="001F0BBE" w:rsidRPr="001F0BBE">
        <w:rPr>
          <w:color w:val="000000" w:themeColor="text1"/>
        </w:rPr>
        <w:t>neighbouring</w:t>
      </w:r>
      <w:r w:rsidRPr="001F0BBE">
        <w:rPr>
          <w:color w:val="000000" w:themeColor="text1"/>
        </w:rPr>
        <w:t xml:space="preserve"> plots, thereby creating localized social friction. The FGD participants emphasized that these informal coping mechanisms were entirely insufficient to withstand the prolonged hydraulic stress brought about by changing</w:t>
      </w:r>
      <w:r w:rsidR="006767FE">
        <w:rPr>
          <w:color w:val="000000" w:themeColor="text1"/>
        </w:rPr>
        <w:t xml:space="preserve"> climate patterns. T</w:t>
      </w:r>
      <w:r w:rsidRPr="001F0BBE">
        <w:rPr>
          <w:color w:val="000000" w:themeColor="text1"/>
        </w:rPr>
        <w:t>he findings highlighted that while community resilience kept the settlement functioning during crises, it could not substitute for the structural, data-driven, and predictive policy interventions required to secure long-term climate adaptation.</w:t>
      </w: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Default="008C4B8D" w:rsidP="001F0BBE">
      <w:pPr>
        <w:pStyle w:val="NormalWeb"/>
        <w:spacing w:line="360" w:lineRule="auto"/>
        <w:jc w:val="both"/>
        <w:rPr>
          <w:color w:val="000000" w:themeColor="text1"/>
        </w:rPr>
      </w:pPr>
    </w:p>
    <w:p w:rsidR="008C4B8D" w:rsidRPr="008C4B8D" w:rsidRDefault="008C4B8D" w:rsidP="004F4C7D">
      <w:pPr>
        <w:pStyle w:val="Heading1"/>
      </w:pPr>
      <w:bookmarkStart w:id="49" w:name="_Toc230781133"/>
      <w:r w:rsidRPr="008C4B8D">
        <w:t>DISCUSSION</w:t>
      </w:r>
      <w:bookmarkEnd w:id="49"/>
    </w:p>
    <w:p w:rsidR="008C4B8D" w:rsidRPr="008C4B8D" w:rsidRDefault="008C4B8D" w:rsidP="00346D47">
      <w:pPr>
        <w:pStyle w:val="Heading1"/>
        <w:jc w:val="both"/>
      </w:pPr>
      <w:bookmarkStart w:id="50" w:name="_Toc230781134"/>
      <w:r w:rsidRPr="008C4B8D">
        <w:t>The Micro-Macro Disconnect in Climate Adaptation</w:t>
      </w:r>
      <w:bookmarkEnd w:id="50"/>
    </w:p>
    <w:p w:rsidR="008C4B8D" w:rsidRPr="008C4B8D" w:rsidRDefault="008C4B8D" w:rsidP="008C4B8D">
      <w:pPr>
        <w:pStyle w:val="NormalWeb"/>
        <w:spacing w:line="360" w:lineRule="auto"/>
        <w:jc w:val="both"/>
        <w:rPr>
          <w:color w:val="000000" w:themeColor="text1"/>
        </w:rPr>
      </w:pPr>
      <w:r w:rsidRPr="008C4B8D">
        <w:rPr>
          <w:color w:val="000000" w:themeColor="text1"/>
        </w:rPr>
        <w:t xml:space="preserve">The empirical findings of this study demonstrated a deep structural mismatch between centralized, macro-level climate </w:t>
      </w:r>
      <w:r w:rsidR="00D165EB" w:rsidRPr="008C4B8D">
        <w:rPr>
          <w:color w:val="000000" w:themeColor="text1"/>
        </w:rPr>
        <w:t>modelling</w:t>
      </w:r>
      <w:r w:rsidRPr="008C4B8D">
        <w:rPr>
          <w:color w:val="000000" w:themeColor="text1"/>
        </w:rPr>
        <w:t xml:space="preserve"> and the hyper-localized realities of infrastructure vulnerability in Mandevu. Standard urban planning paradigms and macro-level hydrological models frequently treated informal settlements as uniform zones of high flood risk. However, the stratified field data gathered from the 104 household surveys revealed that exposure, physical failure modes, and systemic impacts were highly fragmented across different </w:t>
      </w:r>
      <w:r w:rsidR="00D165EB" w:rsidRPr="008C4B8D">
        <w:rPr>
          <w:color w:val="000000" w:themeColor="text1"/>
        </w:rPr>
        <w:t>neighbourhood</w:t>
      </w:r>
      <w:r w:rsidRPr="008C4B8D">
        <w:rPr>
          <w:color w:val="000000" w:themeColor="text1"/>
        </w:rPr>
        <w:t xml:space="preserve"> clusters.</w:t>
      </w:r>
    </w:p>
    <w:p w:rsidR="008C4B8D" w:rsidRPr="008C4B8D" w:rsidRDefault="008C4B8D" w:rsidP="008C4B8D">
      <w:pPr>
        <w:pStyle w:val="NormalWeb"/>
        <w:spacing w:line="360" w:lineRule="auto"/>
        <w:jc w:val="both"/>
        <w:rPr>
          <w:color w:val="000000" w:themeColor="text1"/>
        </w:rPr>
      </w:pPr>
      <w:r w:rsidRPr="008C4B8D">
        <w:rPr>
          <w:color w:val="000000" w:themeColor="text1"/>
        </w:rPr>
        <w:t>While one low-lying stratum suffered severe public health risks due to the physical inundation and subsequent cross-contamination of shallow wells and pit latrines, an adjacent cluster situated on marginally higher ground experienced complete economic isolation because its primary unpaved access road eroded into an impassable mud track. This variation proved that macro-level flood forecasting models failed to capture how minu</w:t>
      </w:r>
      <w:r w:rsidR="00D165EB">
        <w:rPr>
          <w:color w:val="000000" w:themeColor="text1"/>
        </w:rPr>
        <w:t xml:space="preserve">te, component-specific deficits </w:t>
      </w:r>
      <w:r w:rsidRPr="008C4B8D">
        <w:rPr>
          <w:color w:val="000000" w:themeColor="text1"/>
        </w:rPr>
        <w:t xml:space="preserve">such as a single blocked culvert or a </w:t>
      </w:r>
      <w:r w:rsidR="00D165EB">
        <w:rPr>
          <w:color w:val="000000" w:themeColor="text1"/>
        </w:rPr>
        <w:t xml:space="preserve">cracked drainage retaining wall </w:t>
      </w:r>
      <w:r w:rsidRPr="008C4B8D">
        <w:rPr>
          <w:color w:val="000000" w:themeColor="text1"/>
        </w:rPr>
        <w:t>could completely submerge a localized cluster of homes. Therefore, relying exclusively on broad, top-down spatial data left urban planners blind to the precise physical triggers that turned regular seasonal rainfall into catastrophic localized disasters.</w:t>
      </w:r>
    </w:p>
    <w:p w:rsidR="008C4B8D" w:rsidRPr="00D165EB" w:rsidRDefault="008C4B8D" w:rsidP="00346D47">
      <w:pPr>
        <w:pStyle w:val="Heading1"/>
        <w:jc w:val="both"/>
      </w:pPr>
      <w:bookmarkStart w:id="51" w:name="_Toc230781135"/>
      <w:r w:rsidRPr="00D165EB">
        <w:t>The Cycle of Reactive Governance and Data Poverty</w:t>
      </w:r>
      <w:bookmarkEnd w:id="51"/>
    </w:p>
    <w:p w:rsidR="008C4B8D" w:rsidRPr="008C4B8D" w:rsidRDefault="008C4B8D" w:rsidP="008C4B8D">
      <w:pPr>
        <w:pStyle w:val="NormalWeb"/>
        <w:spacing w:line="360" w:lineRule="auto"/>
        <w:jc w:val="both"/>
        <w:rPr>
          <w:color w:val="000000" w:themeColor="text1"/>
        </w:rPr>
      </w:pPr>
      <w:r w:rsidRPr="008C4B8D">
        <w:rPr>
          <w:color w:val="000000" w:themeColor="text1"/>
        </w:rPr>
        <w:t>The institutional bottlenecks identified during semi-structured interviews with officials from the Lusaka City Council (LCC) and the Disaster Management and Mitigation Unit (DMMU) underscored a broader structural crisis in municipal asset management. The persistent reliance on a reactive, disaster-response posture was not merely an operational choice, but a direct consequence of severe data poverty. Because municipal engineers and local authorities lacked a reproducible, predictive framework to assess which specific infrastructure assets faced the highest levels of hydraulic stress, they could not generate the objective, empirical evidence required to justify and secure preventative capital funding from the central government or international development partners.</w:t>
      </w:r>
    </w:p>
    <w:p w:rsidR="008C4B8D" w:rsidRPr="008C4B8D" w:rsidRDefault="000052AC" w:rsidP="008C4B8D">
      <w:pPr>
        <w:pStyle w:val="NormalWeb"/>
        <w:spacing w:line="360" w:lineRule="auto"/>
        <w:jc w:val="both"/>
        <w:rPr>
          <w:color w:val="000000" w:themeColor="text1"/>
        </w:rPr>
      </w:pPr>
      <w:r>
        <w:rPr>
          <w:color w:val="000000" w:themeColor="text1"/>
        </w:rPr>
        <w:t>Eventually</w:t>
      </w:r>
      <w:r w:rsidR="008C4B8D" w:rsidRPr="008C4B8D">
        <w:rPr>
          <w:color w:val="000000" w:themeColor="text1"/>
        </w:rPr>
        <w:t>, limited public resources were continuously exhausted on high-cost emergency relief operations, such as distributing chlorine tablets, tent materials, and food aid after a disaster had already occurred. This reactive financial cycle left the root structural causes of infrastructure vulnerability entirely unaddressed, meaning that the exact same public assets failed predictably and repeatedly during every subsequent rainy season, draining the municipality's fiscal capacity without improving long-term urban resilience.</w:t>
      </w:r>
    </w:p>
    <w:p w:rsidR="008C4B8D" w:rsidRPr="000105D7" w:rsidRDefault="008C4B8D" w:rsidP="00346D47">
      <w:pPr>
        <w:pStyle w:val="Heading1"/>
        <w:jc w:val="both"/>
      </w:pPr>
      <w:bookmarkStart w:id="52" w:name="_Toc230781136"/>
      <w:r w:rsidRPr="000105D7">
        <w:t>The Limitations and Hidden Costs of Autonomous Community Resilience</w:t>
      </w:r>
      <w:bookmarkEnd w:id="52"/>
    </w:p>
    <w:p w:rsidR="008C4B8D" w:rsidRPr="008C4B8D" w:rsidRDefault="008C4B8D" w:rsidP="008C4B8D">
      <w:pPr>
        <w:pStyle w:val="NormalWeb"/>
        <w:spacing w:line="360" w:lineRule="auto"/>
        <w:jc w:val="both"/>
        <w:rPr>
          <w:color w:val="000000" w:themeColor="text1"/>
        </w:rPr>
      </w:pPr>
      <w:r w:rsidRPr="008C4B8D">
        <w:rPr>
          <w:color w:val="000000" w:themeColor="text1"/>
        </w:rPr>
        <w:t>Finally, the qualitative insights gathered from the Focus Group Discussions (FGDs) critically challenged the idealized narrative of community resilience that often dominated informal settlement upgrading literature. In the absence of formal municipal interventions, the residents of Mandevu were forced to develop an array of autonomous, localized coping mechanisms, such as raising doorstep thresholds with concrete blocks, stacking sandbags, and organizing ad-hoc youth teams to manually clear solid waste from blocked drainage lines.</w:t>
      </w:r>
    </w:p>
    <w:p w:rsidR="008C4B8D" w:rsidRDefault="008C4B8D" w:rsidP="008C4B8D">
      <w:pPr>
        <w:pStyle w:val="NormalWeb"/>
        <w:spacing w:line="360" w:lineRule="auto"/>
        <w:jc w:val="both"/>
        <w:rPr>
          <w:color w:val="000000" w:themeColor="text1"/>
        </w:rPr>
      </w:pPr>
      <w:r w:rsidRPr="008C4B8D">
        <w:rPr>
          <w:color w:val="000000" w:themeColor="text1"/>
        </w:rPr>
        <w:t xml:space="preserve">While these actions demonstrated immense localized ingenuity and immediate survival capacity, the data showed that these measures carried substantial hidden socio-economic costs and were ultimately unsustainable. Because these physical interventions were uncoordinated and lacked engineering oversight, they frequently resulted in a zero-sum outcome where a household successfully diverting floodwater away from its own property inadvertently forced that water into a </w:t>
      </w:r>
      <w:r w:rsidR="000105D7" w:rsidRPr="008C4B8D">
        <w:rPr>
          <w:color w:val="000000" w:themeColor="text1"/>
        </w:rPr>
        <w:t>neighbour’s</w:t>
      </w:r>
      <w:r w:rsidRPr="008C4B8D">
        <w:rPr>
          <w:color w:val="000000" w:themeColor="text1"/>
        </w:rPr>
        <w:t xml:space="preserve"> yard, thereby sparking localized social friction and community conflict. Furthermore, the continuous financial and physical burden of rebuilding temporary defenses placed an exhausting strain on already economically vulnerable households. The findings made it clear that autonomous community resilience was a direct symptom of institutional absence, and that it could not serve as a permanent substitute for formal, data-driven, and predictive structural interventions by state actors.</w:t>
      </w: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Default="00E610A8" w:rsidP="008C4B8D">
      <w:pPr>
        <w:pStyle w:val="NormalWeb"/>
        <w:spacing w:line="360" w:lineRule="auto"/>
        <w:jc w:val="both"/>
        <w:rPr>
          <w:color w:val="000000" w:themeColor="text1"/>
        </w:rPr>
      </w:pPr>
    </w:p>
    <w:p w:rsidR="00E610A8" w:rsidRPr="00811F3E" w:rsidRDefault="00E610A8" w:rsidP="00811F3E">
      <w:pPr>
        <w:pStyle w:val="Heading3"/>
        <w:spacing w:line="360" w:lineRule="auto"/>
        <w:jc w:val="center"/>
        <w:rPr>
          <w:rFonts w:ascii="Times New Roman" w:hAnsi="Times New Roman" w:cs="Times New Roman"/>
          <w:color w:val="000000" w:themeColor="text1"/>
        </w:rPr>
      </w:pPr>
      <w:bookmarkStart w:id="53" w:name="_Toc230781137"/>
      <w:r w:rsidRPr="00811F3E">
        <w:rPr>
          <w:rFonts w:ascii="Times New Roman" w:hAnsi="Times New Roman" w:cs="Times New Roman"/>
          <w:color w:val="000000" w:themeColor="text1"/>
        </w:rPr>
        <w:t>CONCLUSION</w:t>
      </w:r>
      <w:bookmarkEnd w:id="53"/>
    </w:p>
    <w:p w:rsidR="00E610A8" w:rsidRPr="00811F3E" w:rsidRDefault="00E610A8" w:rsidP="00811F3E">
      <w:pPr>
        <w:pStyle w:val="NormalWeb"/>
        <w:spacing w:line="360" w:lineRule="auto"/>
        <w:jc w:val="both"/>
        <w:rPr>
          <w:color w:val="000000" w:themeColor="text1"/>
        </w:rPr>
      </w:pPr>
      <w:r w:rsidRPr="00811F3E">
        <w:rPr>
          <w:color w:val="000000" w:themeColor="text1"/>
        </w:rPr>
        <w:t xml:space="preserve">This study provided a comprehensive empirical evaluation of infrastructure vulnerability, flooding dynamics, and urban governance within the informal settlement of Mandevu. By bridging the analytical gap between macro-level flood </w:t>
      </w:r>
      <w:r w:rsidR="00811F3E" w:rsidRPr="00811F3E">
        <w:rPr>
          <w:color w:val="000000" w:themeColor="text1"/>
        </w:rPr>
        <w:t>modelling</w:t>
      </w:r>
      <w:r w:rsidRPr="00811F3E">
        <w:rPr>
          <w:color w:val="000000" w:themeColor="text1"/>
        </w:rPr>
        <w:t xml:space="preserve"> and micro-level, component-specific asset failure modes, the research demonstrated that the settlement’s intense flood vulnerability was fundamentally driven by a combination of structurally compromised, uncoordinated infrastructure systems and severe data poverty. The empirical evidence gathered from the 104 household surveys, key informant institutional interviews, and Focus Group Discussions confirmed that standard, top-down climate adaptation frameworks failed to capture the hyper-localized physical triggers that turned ordinary seasonal rainfall into catastrophic, community-scale disasters.</w:t>
      </w:r>
    </w:p>
    <w:p w:rsidR="00E610A8" w:rsidRPr="00811F3E" w:rsidRDefault="00E610A8" w:rsidP="00811F3E">
      <w:pPr>
        <w:pStyle w:val="NormalWeb"/>
        <w:spacing w:line="360" w:lineRule="auto"/>
        <w:jc w:val="both"/>
        <w:rPr>
          <w:color w:val="000000" w:themeColor="text1"/>
        </w:rPr>
      </w:pPr>
      <w:r w:rsidRPr="00811F3E">
        <w:rPr>
          <w:color w:val="000000" w:themeColor="text1"/>
        </w:rPr>
        <w:t>The findings highlighted that the struct</w:t>
      </w:r>
      <w:r w:rsidR="00811F3E">
        <w:rPr>
          <w:color w:val="000000" w:themeColor="text1"/>
        </w:rPr>
        <w:t xml:space="preserve">ural failure of critical assets </w:t>
      </w:r>
      <w:r w:rsidRPr="00811F3E">
        <w:rPr>
          <w:color w:val="000000" w:themeColor="text1"/>
        </w:rPr>
        <w:t>such as the rapid erosion of unpaved roads, the structural collapse of clogged drainage networks, and the cross-conta</w:t>
      </w:r>
      <w:r w:rsidR="00811F3E">
        <w:rPr>
          <w:color w:val="000000" w:themeColor="text1"/>
        </w:rPr>
        <w:t xml:space="preserve">mination of shallow water wells </w:t>
      </w:r>
      <w:r w:rsidRPr="00811F3E">
        <w:rPr>
          <w:color w:val="000000" w:themeColor="text1"/>
        </w:rPr>
        <w:t>followed predictable pathways dictated by local topography and extreme housing density. Despite the predictability of these failures, municipal authorities including the Lusaka City Council (LCC) and the Disaster Management and Mitigation Unit (DMMU) remained trapped in a costly, reactive disaster-response posture. This operational stance was structurally maintained because authorities lacked a reproducible, predictive framework to identify, map, and quantify hydraulic stress on specific infrastructure assets, which ultimately prevented them from generating the defensible data required to secure and optimize limited public funds for preventative engineering upgrades.</w:t>
      </w:r>
    </w:p>
    <w:p w:rsidR="00E610A8" w:rsidRDefault="00E610A8" w:rsidP="00811F3E">
      <w:pPr>
        <w:pStyle w:val="NormalWeb"/>
        <w:spacing w:line="360" w:lineRule="auto"/>
        <w:jc w:val="both"/>
        <w:rPr>
          <w:color w:val="000000" w:themeColor="text1"/>
        </w:rPr>
      </w:pPr>
      <w:r w:rsidRPr="00811F3E">
        <w:rPr>
          <w:color w:val="000000" w:themeColor="text1"/>
        </w:rPr>
        <w:t xml:space="preserve">Finally, while the autonomous coping mechanisms developed by Mandevu residents demonstrated significant immediate survival capacity and localized ingenuity, the study concluded that informal community resilience was an exhausting and unsustainable substitute for formal state intervention. These uncoordinated </w:t>
      </w:r>
      <w:r w:rsidR="002E50EC" w:rsidRPr="00811F3E">
        <w:rPr>
          <w:color w:val="000000" w:themeColor="text1"/>
        </w:rPr>
        <w:t>neighbourhood</w:t>
      </w:r>
      <w:r w:rsidRPr="00811F3E">
        <w:rPr>
          <w:color w:val="000000" w:themeColor="text1"/>
        </w:rPr>
        <w:t xml:space="preserve"> measures carried heavy, regressive financial burdens for vulnerable households and frequently caused localized social conflict by merely shifting floodwaters from one residential plot to another. Ultimately, achieving long-term climate adaptation and protecting public health in Mandevu requires urban governance to shift decisively away from emergency relief and toward a proactive, data-driven framework that systematically integrates localized physical asset conditions into broader city planning and capital investment strategies.</w:t>
      </w:r>
    </w:p>
    <w:p w:rsidR="005B34EA" w:rsidRDefault="005B34EA" w:rsidP="00811F3E">
      <w:pPr>
        <w:pStyle w:val="NormalWeb"/>
        <w:spacing w:line="360" w:lineRule="auto"/>
        <w:jc w:val="both"/>
        <w:rPr>
          <w:color w:val="000000" w:themeColor="text1"/>
        </w:rPr>
      </w:pPr>
    </w:p>
    <w:p w:rsidR="005B34EA" w:rsidRDefault="005B34EA" w:rsidP="00811F3E">
      <w:pPr>
        <w:pStyle w:val="NormalWeb"/>
        <w:spacing w:line="360" w:lineRule="auto"/>
        <w:jc w:val="both"/>
        <w:rPr>
          <w:color w:val="000000" w:themeColor="text1"/>
        </w:rPr>
      </w:pPr>
    </w:p>
    <w:p w:rsidR="005B34EA" w:rsidRPr="005B34EA" w:rsidRDefault="005B34EA" w:rsidP="005B34EA">
      <w:pPr>
        <w:pStyle w:val="NormalWeb"/>
        <w:spacing w:line="360" w:lineRule="auto"/>
        <w:jc w:val="center"/>
        <w:rPr>
          <w:b/>
          <w:color w:val="000000" w:themeColor="text1"/>
        </w:rPr>
      </w:pPr>
      <w:r w:rsidRPr="005B34EA">
        <w:rPr>
          <w:b/>
          <w:color w:val="000000" w:themeColor="text1"/>
        </w:rPr>
        <w:t>REFERENCES:</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Archer, D., Dodman, D. &amp; Smith, J. (2022) Resilience-building in informal settlements. Urban Climate, 43.</w:t>
      </w:r>
    </w:p>
    <w:p w:rsidR="005B34EA" w:rsidRDefault="005B34EA" w:rsidP="005B34EA">
      <w:pPr>
        <w:spacing w:line="360" w:lineRule="auto"/>
        <w:rPr>
          <w:kern w:val="2"/>
          <w14:ligatures w14:val="standardContextual"/>
        </w:rPr>
      </w:pPr>
      <w:r>
        <w:rPr>
          <w:color w:val="000000"/>
        </w:rPr>
        <w:t>Birkmann, J., Jamshed, A. &amp; McMillan, J. (2019) Understanding vulnerability frameworks. Climate Risk Management, 23.</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Chitonge, H. &amp; Mfune, O. (2015) Urbanisation and service deficits in Lusaka. African Geographical Review, 34(1).</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da Silva, J., Kernaghan, S. &amp; Luque, A. (2020) Urban resilience in the Global South. International Journal of Urban Sustainable Development.</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Dodman, D., Archer, D. &amp; Satterthwaite, D. (2019) Climate change and urban poverty. IIED Working Paper.</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Engle, N. (2020) Adaptive capacity revisited. Global Environmental Change, 64.</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Folke, C. et al. (2016) Resilience and sustainability. Ecology and Society, 21(3).</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bCs/>
          <w:color w:val="000000" w:themeColor="text1"/>
        </w:rPr>
        <w:t>FRACTAL.</w:t>
      </w:r>
      <w:r>
        <w:rPr>
          <w:rFonts w:eastAsia="Times New Roman"/>
          <w:color w:val="000000" w:themeColor="text1"/>
        </w:rPr>
        <w:t xml:space="preserve"> (2017) Flooding, poor drainage, sanitation and cholera outbreaks in Lusaka’s informal settlements. Lusaka: FRACTAL Project.</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IPCC (2022) Sixth Assessment Report. Geneva: Intergovernmental Panel on Climate Change.</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bCs/>
          <w:color w:val="000000" w:themeColor="text1"/>
        </w:rPr>
        <w:t>Kombe, W.</w:t>
      </w:r>
      <w:r>
        <w:rPr>
          <w:rFonts w:eastAsia="Times New Roman"/>
          <w:color w:val="000000" w:themeColor="text1"/>
        </w:rPr>
        <w:t xml:space="preserve"> (2018) ‘Urbanisation and vulnerability in informal settlements of Dar es Salaam’, Journal of Urban Management, 7(2), pp. 53–68.</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color w:val="000000" w:themeColor="text1"/>
        </w:rPr>
        <w:t>Kombe, W. (2020) Informal settlements and urban governance in Tanzania. Urban Studies.</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bCs/>
          <w:color w:val="000000" w:themeColor="text1"/>
        </w:rPr>
        <w:t>Mahmood, S., Rahman, A. and Haque, M.</w:t>
      </w:r>
      <w:r>
        <w:rPr>
          <w:rFonts w:eastAsia="Times New Roman"/>
          <w:color w:val="000000" w:themeColor="text1"/>
        </w:rPr>
        <w:t xml:space="preserve"> (2018) ‘Flood vulnerability in informal settlements in Dhaka’, Water Policy, 20(4), pp. 794–810.</w:t>
      </w:r>
    </w:p>
    <w:p w:rsidR="005B34EA" w:rsidRDefault="005B34EA" w:rsidP="005B34EA">
      <w:pPr>
        <w:spacing w:before="100" w:beforeAutospacing="1" w:after="100" w:afterAutospacing="1" w:line="360" w:lineRule="auto"/>
        <w:rPr>
          <w:rFonts w:eastAsia="Times New Roman"/>
          <w:color w:val="000000" w:themeColor="text1"/>
        </w:rPr>
      </w:pPr>
      <w:r>
        <w:rPr>
          <w:rFonts w:eastAsia="Times New Roman"/>
          <w:bCs/>
          <w:color w:val="000000" w:themeColor="text1"/>
        </w:rPr>
        <w:t>Makena, J.</w:t>
      </w:r>
      <w:r>
        <w:rPr>
          <w:rFonts w:eastAsia="Times New Roman"/>
          <w:color w:val="000000" w:themeColor="text1"/>
        </w:rPr>
        <w:t xml:space="preserve"> (2017) ‘Flooding and infrastructure challenges in Kibera informal settlement’, African Journal of Environmental Science and Technology, 11(9), pp. 456–466.</w:t>
      </w:r>
    </w:p>
    <w:p w:rsidR="005B34EA" w:rsidRPr="004838C0" w:rsidRDefault="005B34EA" w:rsidP="004838C0">
      <w:pPr>
        <w:spacing w:before="100" w:beforeAutospacing="1" w:after="100" w:afterAutospacing="1" w:line="360" w:lineRule="auto"/>
        <w:rPr>
          <w:rFonts w:eastAsia="Times New Roman"/>
          <w:color w:val="000000" w:themeColor="text1"/>
        </w:rPr>
      </w:pPr>
      <w:r>
        <w:rPr>
          <w:rFonts w:eastAsia="Times New Roman"/>
          <w:color w:val="000000" w:themeColor="text1"/>
        </w:rPr>
        <w:t>Mwangi, J. &amp; Were, E. (2018) Infrastructure and flood risk in Nairobi’s informal settlements. Natural Hazards.</w:t>
      </w:r>
    </w:p>
    <w:sectPr w:rsidR="005B34EA" w:rsidRPr="004838C0" w:rsidSect="004F4C7D">
      <w:pgSz w:w="11906" w:h="16838"/>
      <w:pgMar w:top="1440" w:right="680" w:bottom="1440" w:left="68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75D" w:rsidRDefault="0076775D" w:rsidP="004F4C7D">
      <w:pPr>
        <w:spacing w:before="0" w:after="0" w:line="240" w:lineRule="auto"/>
      </w:pPr>
      <w:r>
        <w:separator/>
      </w:r>
    </w:p>
  </w:endnote>
  <w:endnote w:type="continuationSeparator" w:id="0">
    <w:p w:rsidR="0076775D" w:rsidRDefault="0076775D" w:rsidP="004F4C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962798"/>
      <w:docPartObj>
        <w:docPartGallery w:val="Page Numbers (Bottom of Page)"/>
        <w:docPartUnique/>
      </w:docPartObj>
    </w:sdtPr>
    <w:sdtEndPr>
      <w:rPr>
        <w:noProof/>
      </w:rPr>
    </w:sdtEndPr>
    <w:sdtContent>
      <w:p w:rsidR="004F4C7D" w:rsidRDefault="004F4C7D">
        <w:pPr>
          <w:pStyle w:val="Footer"/>
          <w:jc w:val="center"/>
        </w:pPr>
        <w:r>
          <w:fldChar w:fldCharType="begin"/>
        </w:r>
        <w:r>
          <w:instrText xml:space="preserve"> PAGE   \* MERGEFORMAT </w:instrText>
        </w:r>
        <w:r>
          <w:fldChar w:fldCharType="separate"/>
        </w:r>
        <w:r w:rsidR="0076775D">
          <w:rPr>
            <w:noProof/>
          </w:rPr>
          <w:t>i</w:t>
        </w:r>
        <w:r>
          <w:rPr>
            <w:noProof/>
          </w:rPr>
          <w:fldChar w:fldCharType="end"/>
        </w:r>
      </w:p>
    </w:sdtContent>
  </w:sdt>
  <w:p w:rsidR="004F4C7D" w:rsidRDefault="004F4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75D" w:rsidRDefault="0076775D" w:rsidP="004F4C7D">
      <w:pPr>
        <w:spacing w:before="0" w:after="0" w:line="240" w:lineRule="auto"/>
      </w:pPr>
      <w:r>
        <w:separator/>
      </w:r>
    </w:p>
  </w:footnote>
  <w:footnote w:type="continuationSeparator" w:id="0">
    <w:p w:rsidR="0076775D" w:rsidRDefault="0076775D" w:rsidP="004F4C7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4070"/>
    <w:multiLevelType w:val="hybridMultilevel"/>
    <w:tmpl w:val="5F3CD9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1FB7CC5"/>
    <w:multiLevelType w:val="multilevel"/>
    <w:tmpl w:val="D5A0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42C01"/>
    <w:multiLevelType w:val="multilevel"/>
    <w:tmpl w:val="AA92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407D5"/>
    <w:multiLevelType w:val="multilevel"/>
    <w:tmpl w:val="3022D89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nsid w:val="67B01182"/>
    <w:multiLevelType w:val="multilevel"/>
    <w:tmpl w:val="DA00C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4F251E"/>
    <w:multiLevelType w:val="multilevel"/>
    <w:tmpl w:val="7220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5F03FD"/>
    <w:multiLevelType w:val="multilevel"/>
    <w:tmpl w:val="85A4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BD4146"/>
    <w:multiLevelType w:val="multilevel"/>
    <w:tmpl w:val="D356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4"/>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4C5"/>
    <w:rsid w:val="000052AC"/>
    <w:rsid w:val="00006C4C"/>
    <w:rsid w:val="000105D7"/>
    <w:rsid w:val="000774C5"/>
    <w:rsid w:val="000B5D20"/>
    <w:rsid w:val="000C56DA"/>
    <w:rsid w:val="000E46C5"/>
    <w:rsid w:val="000F6F17"/>
    <w:rsid w:val="001B197B"/>
    <w:rsid w:val="001F0BBE"/>
    <w:rsid w:val="001F3048"/>
    <w:rsid w:val="00205D1A"/>
    <w:rsid w:val="002639AB"/>
    <w:rsid w:val="002B33A2"/>
    <w:rsid w:val="002D11AC"/>
    <w:rsid w:val="002E50EC"/>
    <w:rsid w:val="002F2C48"/>
    <w:rsid w:val="00306600"/>
    <w:rsid w:val="00312761"/>
    <w:rsid w:val="003215C0"/>
    <w:rsid w:val="00346D47"/>
    <w:rsid w:val="003A2F2F"/>
    <w:rsid w:val="003E5DD9"/>
    <w:rsid w:val="003F5C84"/>
    <w:rsid w:val="004539C4"/>
    <w:rsid w:val="004838C0"/>
    <w:rsid w:val="004F4C7D"/>
    <w:rsid w:val="00501B46"/>
    <w:rsid w:val="00532955"/>
    <w:rsid w:val="005765AF"/>
    <w:rsid w:val="005B29FB"/>
    <w:rsid w:val="005B34EA"/>
    <w:rsid w:val="005D39FD"/>
    <w:rsid w:val="005D5E23"/>
    <w:rsid w:val="005E7AF9"/>
    <w:rsid w:val="006069BA"/>
    <w:rsid w:val="00612A10"/>
    <w:rsid w:val="0064432A"/>
    <w:rsid w:val="006701BE"/>
    <w:rsid w:val="006767FE"/>
    <w:rsid w:val="006A5F90"/>
    <w:rsid w:val="006C31BD"/>
    <w:rsid w:val="006E74BC"/>
    <w:rsid w:val="00701B8E"/>
    <w:rsid w:val="00726400"/>
    <w:rsid w:val="00736677"/>
    <w:rsid w:val="007548CC"/>
    <w:rsid w:val="0076775D"/>
    <w:rsid w:val="00811F3E"/>
    <w:rsid w:val="00846F66"/>
    <w:rsid w:val="00864940"/>
    <w:rsid w:val="00874B4F"/>
    <w:rsid w:val="00882FEB"/>
    <w:rsid w:val="008C1D74"/>
    <w:rsid w:val="008C4B8D"/>
    <w:rsid w:val="0092594A"/>
    <w:rsid w:val="00930337"/>
    <w:rsid w:val="00977DF4"/>
    <w:rsid w:val="009A02FF"/>
    <w:rsid w:val="009A7B35"/>
    <w:rsid w:val="009D2D19"/>
    <w:rsid w:val="009E4F17"/>
    <w:rsid w:val="00A03533"/>
    <w:rsid w:val="00A82583"/>
    <w:rsid w:val="00AA378F"/>
    <w:rsid w:val="00AB6458"/>
    <w:rsid w:val="00B1618D"/>
    <w:rsid w:val="00B73844"/>
    <w:rsid w:val="00BC34C6"/>
    <w:rsid w:val="00BC5073"/>
    <w:rsid w:val="00BE2E7C"/>
    <w:rsid w:val="00BF6363"/>
    <w:rsid w:val="00C156D4"/>
    <w:rsid w:val="00C63B54"/>
    <w:rsid w:val="00C63C8C"/>
    <w:rsid w:val="00C67E69"/>
    <w:rsid w:val="00C908E7"/>
    <w:rsid w:val="00CF2AFB"/>
    <w:rsid w:val="00D156FB"/>
    <w:rsid w:val="00D165EB"/>
    <w:rsid w:val="00D2044F"/>
    <w:rsid w:val="00D5587B"/>
    <w:rsid w:val="00E412AB"/>
    <w:rsid w:val="00E435F2"/>
    <w:rsid w:val="00E57A3C"/>
    <w:rsid w:val="00E610A8"/>
    <w:rsid w:val="00E960E3"/>
    <w:rsid w:val="00EC2F52"/>
    <w:rsid w:val="00F41B8B"/>
    <w:rsid w:val="00FD7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C5"/>
    <w:pPr>
      <w:spacing w:before="240" w:line="480" w:lineRule="auto"/>
      <w:jc w:val="both"/>
    </w:pPr>
    <w:rPr>
      <w:rFonts w:ascii="Times New Roman" w:hAnsi="Times New Roman" w:cs="Times New Roman"/>
      <w:sz w:val="24"/>
      <w:szCs w:val="24"/>
      <w:lang w:val="en-US"/>
    </w:rPr>
  </w:style>
  <w:style w:type="paragraph" w:styleId="Heading1">
    <w:name w:val="heading 1"/>
    <w:aliases w:val="Heading 1 (Chapter)"/>
    <w:basedOn w:val="ListParagraph"/>
    <w:next w:val="Normal"/>
    <w:link w:val="Heading1Char"/>
    <w:autoRedefine/>
    <w:uiPriority w:val="9"/>
    <w:qFormat/>
    <w:rsid w:val="004F4C7D"/>
    <w:pPr>
      <w:spacing w:before="0" w:line="360" w:lineRule="auto"/>
      <w:ind w:left="0"/>
      <w:jc w:val="center"/>
      <w:outlineLvl w:val="0"/>
    </w:pPr>
    <w:rPr>
      <w:b/>
      <w:color w:val="000000" w:themeColor="text1"/>
      <w:lang w:val="en-GB" w:eastAsia="en-GB"/>
    </w:rPr>
  </w:style>
  <w:style w:type="paragraph" w:styleId="Heading2">
    <w:name w:val="heading 2"/>
    <w:basedOn w:val="Normal"/>
    <w:next w:val="Normal"/>
    <w:link w:val="Heading2Char"/>
    <w:uiPriority w:val="9"/>
    <w:unhideWhenUsed/>
    <w:qFormat/>
    <w:rsid w:val="006A5F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5F9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64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Char"/>
    <w:basedOn w:val="DefaultParagraphFont"/>
    <w:link w:val="Heading1"/>
    <w:uiPriority w:val="9"/>
    <w:rsid w:val="004F4C7D"/>
    <w:rPr>
      <w:rFonts w:ascii="Times New Roman" w:hAnsi="Times New Roman" w:cs="Times New Roman"/>
      <w:b/>
      <w:color w:val="000000" w:themeColor="text1"/>
      <w:sz w:val="24"/>
      <w:szCs w:val="24"/>
      <w:lang w:eastAsia="en-GB"/>
    </w:rPr>
  </w:style>
  <w:style w:type="paragraph" w:styleId="ListParagraph">
    <w:name w:val="List Paragraph"/>
    <w:basedOn w:val="Normal"/>
    <w:uiPriority w:val="34"/>
    <w:qFormat/>
    <w:rsid w:val="000774C5"/>
    <w:pPr>
      <w:ind w:left="720"/>
      <w:contextualSpacing/>
    </w:pPr>
  </w:style>
  <w:style w:type="character" w:customStyle="1" w:styleId="Heading2Char">
    <w:name w:val="Heading 2 Char"/>
    <w:basedOn w:val="DefaultParagraphFont"/>
    <w:link w:val="Heading2"/>
    <w:uiPriority w:val="9"/>
    <w:rsid w:val="006A5F90"/>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6A5F90"/>
    <w:rPr>
      <w:rFonts w:asciiTheme="majorHAnsi" w:eastAsiaTheme="majorEastAsia" w:hAnsiTheme="majorHAnsi" w:cstheme="majorBidi"/>
      <w:b/>
      <w:bCs/>
      <w:color w:val="4F81BD" w:themeColor="accent1"/>
      <w:sz w:val="24"/>
      <w:szCs w:val="24"/>
      <w:lang w:val="en-US"/>
    </w:rPr>
  </w:style>
  <w:style w:type="paragraph" w:styleId="NormalWeb">
    <w:name w:val="Normal (Web)"/>
    <w:basedOn w:val="Normal"/>
    <w:uiPriority w:val="99"/>
    <w:unhideWhenUsed/>
    <w:rsid w:val="006A5F90"/>
    <w:pPr>
      <w:spacing w:before="100" w:beforeAutospacing="1" w:after="100" w:afterAutospacing="1" w:line="240" w:lineRule="auto"/>
      <w:jc w:val="left"/>
    </w:pPr>
    <w:rPr>
      <w:rFonts w:eastAsia="Times New Roman"/>
      <w:lang w:val="en-GB" w:eastAsia="en-GB"/>
    </w:rPr>
  </w:style>
  <w:style w:type="character" w:customStyle="1" w:styleId="citation-13">
    <w:name w:val="citation-13"/>
    <w:basedOn w:val="DefaultParagraphFont"/>
    <w:rsid w:val="00D5587B"/>
  </w:style>
  <w:style w:type="character" w:customStyle="1" w:styleId="citation-12">
    <w:name w:val="citation-12"/>
    <w:basedOn w:val="DefaultParagraphFont"/>
    <w:rsid w:val="00D5587B"/>
  </w:style>
  <w:style w:type="character" w:customStyle="1" w:styleId="citation-11">
    <w:name w:val="citation-11"/>
    <w:basedOn w:val="DefaultParagraphFont"/>
    <w:rsid w:val="00D5587B"/>
  </w:style>
  <w:style w:type="character" w:customStyle="1" w:styleId="button-label">
    <w:name w:val="button-label"/>
    <w:basedOn w:val="DefaultParagraphFont"/>
    <w:rsid w:val="00D5587B"/>
  </w:style>
  <w:style w:type="character" w:customStyle="1" w:styleId="citation-10">
    <w:name w:val="citation-10"/>
    <w:basedOn w:val="DefaultParagraphFont"/>
    <w:rsid w:val="00D5587B"/>
  </w:style>
  <w:style w:type="character" w:customStyle="1" w:styleId="citation-9">
    <w:name w:val="citation-9"/>
    <w:basedOn w:val="DefaultParagraphFont"/>
    <w:rsid w:val="00D5587B"/>
  </w:style>
  <w:style w:type="character" w:customStyle="1" w:styleId="citation-8">
    <w:name w:val="citation-8"/>
    <w:basedOn w:val="DefaultParagraphFont"/>
    <w:rsid w:val="00D5587B"/>
  </w:style>
  <w:style w:type="character" w:customStyle="1" w:styleId="Heading4Char">
    <w:name w:val="Heading 4 Char"/>
    <w:basedOn w:val="DefaultParagraphFont"/>
    <w:link w:val="Heading4"/>
    <w:uiPriority w:val="9"/>
    <w:semiHidden/>
    <w:rsid w:val="00726400"/>
    <w:rPr>
      <w:rFonts w:asciiTheme="majorHAnsi" w:eastAsiaTheme="majorEastAsia" w:hAnsiTheme="majorHAnsi" w:cstheme="majorBidi"/>
      <w:b/>
      <w:bCs/>
      <w:i/>
      <w:iCs/>
      <w:color w:val="4F81BD" w:themeColor="accent1"/>
      <w:sz w:val="24"/>
      <w:szCs w:val="24"/>
      <w:lang w:val="en-US"/>
    </w:rPr>
  </w:style>
  <w:style w:type="character" w:customStyle="1" w:styleId="math-inline">
    <w:name w:val="math-inline"/>
    <w:basedOn w:val="DefaultParagraphFont"/>
    <w:rsid w:val="00E960E3"/>
  </w:style>
  <w:style w:type="paragraph" w:customStyle="1" w:styleId="animating">
    <w:name w:val="animating"/>
    <w:basedOn w:val="Normal"/>
    <w:rsid w:val="00F41B8B"/>
    <w:pPr>
      <w:spacing w:before="100" w:beforeAutospacing="1" w:after="100" w:afterAutospacing="1" w:line="240" w:lineRule="auto"/>
      <w:jc w:val="left"/>
    </w:pPr>
    <w:rPr>
      <w:rFonts w:eastAsia="Times New Roman"/>
      <w:lang w:val="en-GB" w:eastAsia="en-GB"/>
    </w:rPr>
  </w:style>
  <w:style w:type="paragraph" w:styleId="Header">
    <w:name w:val="header"/>
    <w:basedOn w:val="Normal"/>
    <w:link w:val="HeaderChar"/>
    <w:uiPriority w:val="99"/>
    <w:unhideWhenUsed/>
    <w:rsid w:val="004F4C7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F4C7D"/>
    <w:rPr>
      <w:rFonts w:ascii="Times New Roman" w:hAnsi="Times New Roman" w:cs="Times New Roman"/>
      <w:sz w:val="24"/>
      <w:szCs w:val="24"/>
      <w:lang w:val="en-US"/>
    </w:rPr>
  </w:style>
  <w:style w:type="paragraph" w:styleId="Footer">
    <w:name w:val="footer"/>
    <w:basedOn w:val="Normal"/>
    <w:link w:val="FooterChar"/>
    <w:uiPriority w:val="99"/>
    <w:unhideWhenUsed/>
    <w:rsid w:val="004F4C7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F4C7D"/>
    <w:rPr>
      <w:rFonts w:ascii="Times New Roman" w:hAnsi="Times New Roman" w:cs="Times New Roman"/>
      <w:sz w:val="24"/>
      <w:szCs w:val="24"/>
      <w:lang w:val="en-US"/>
    </w:rPr>
  </w:style>
  <w:style w:type="paragraph" w:styleId="TOCHeading">
    <w:name w:val="TOC Heading"/>
    <w:basedOn w:val="Heading1"/>
    <w:next w:val="Normal"/>
    <w:uiPriority w:val="39"/>
    <w:semiHidden/>
    <w:unhideWhenUsed/>
    <w:qFormat/>
    <w:rsid w:val="000C56DA"/>
    <w:pPr>
      <w:keepNext/>
      <w:keepLines/>
      <w:spacing w:before="480" w:after="0" w:line="276" w:lineRule="auto"/>
      <w:contextualSpacing w:val="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0C56DA"/>
    <w:pPr>
      <w:spacing w:after="100"/>
    </w:pPr>
  </w:style>
  <w:style w:type="paragraph" w:styleId="TOC2">
    <w:name w:val="toc 2"/>
    <w:basedOn w:val="Normal"/>
    <w:next w:val="Normal"/>
    <w:autoRedefine/>
    <w:uiPriority w:val="39"/>
    <w:unhideWhenUsed/>
    <w:rsid w:val="000C56DA"/>
    <w:pPr>
      <w:spacing w:after="100"/>
      <w:ind w:left="240"/>
    </w:pPr>
  </w:style>
  <w:style w:type="paragraph" w:styleId="TOC3">
    <w:name w:val="toc 3"/>
    <w:basedOn w:val="Normal"/>
    <w:next w:val="Normal"/>
    <w:autoRedefine/>
    <w:uiPriority w:val="39"/>
    <w:unhideWhenUsed/>
    <w:rsid w:val="000C56DA"/>
    <w:pPr>
      <w:spacing w:after="100"/>
      <w:ind w:left="480"/>
    </w:pPr>
  </w:style>
  <w:style w:type="character" w:styleId="Hyperlink">
    <w:name w:val="Hyperlink"/>
    <w:basedOn w:val="DefaultParagraphFont"/>
    <w:uiPriority w:val="99"/>
    <w:unhideWhenUsed/>
    <w:rsid w:val="000C56DA"/>
    <w:rPr>
      <w:color w:val="0000FF" w:themeColor="hyperlink"/>
      <w:u w:val="single"/>
    </w:rPr>
  </w:style>
  <w:style w:type="paragraph" w:styleId="BalloonText">
    <w:name w:val="Balloon Text"/>
    <w:basedOn w:val="Normal"/>
    <w:link w:val="BalloonTextChar"/>
    <w:uiPriority w:val="99"/>
    <w:semiHidden/>
    <w:unhideWhenUsed/>
    <w:rsid w:val="000C56D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6D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C5"/>
    <w:pPr>
      <w:spacing w:before="240" w:line="480" w:lineRule="auto"/>
      <w:jc w:val="both"/>
    </w:pPr>
    <w:rPr>
      <w:rFonts w:ascii="Times New Roman" w:hAnsi="Times New Roman" w:cs="Times New Roman"/>
      <w:sz w:val="24"/>
      <w:szCs w:val="24"/>
      <w:lang w:val="en-US"/>
    </w:rPr>
  </w:style>
  <w:style w:type="paragraph" w:styleId="Heading1">
    <w:name w:val="heading 1"/>
    <w:aliases w:val="Heading 1 (Chapter)"/>
    <w:basedOn w:val="ListParagraph"/>
    <w:next w:val="Normal"/>
    <w:link w:val="Heading1Char"/>
    <w:autoRedefine/>
    <w:uiPriority w:val="9"/>
    <w:qFormat/>
    <w:rsid w:val="004F4C7D"/>
    <w:pPr>
      <w:spacing w:before="0" w:line="360" w:lineRule="auto"/>
      <w:ind w:left="0"/>
      <w:jc w:val="center"/>
      <w:outlineLvl w:val="0"/>
    </w:pPr>
    <w:rPr>
      <w:b/>
      <w:color w:val="000000" w:themeColor="text1"/>
      <w:lang w:val="en-GB" w:eastAsia="en-GB"/>
    </w:rPr>
  </w:style>
  <w:style w:type="paragraph" w:styleId="Heading2">
    <w:name w:val="heading 2"/>
    <w:basedOn w:val="Normal"/>
    <w:next w:val="Normal"/>
    <w:link w:val="Heading2Char"/>
    <w:uiPriority w:val="9"/>
    <w:unhideWhenUsed/>
    <w:qFormat/>
    <w:rsid w:val="006A5F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5F9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64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Char"/>
    <w:basedOn w:val="DefaultParagraphFont"/>
    <w:link w:val="Heading1"/>
    <w:uiPriority w:val="9"/>
    <w:rsid w:val="004F4C7D"/>
    <w:rPr>
      <w:rFonts w:ascii="Times New Roman" w:hAnsi="Times New Roman" w:cs="Times New Roman"/>
      <w:b/>
      <w:color w:val="000000" w:themeColor="text1"/>
      <w:sz w:val="24"/>
      <w:szCs w:val="24"/>
      <w:lang w:eastAsia="en-GB"/>
    </w:rPr>
  </w:style>
  <w:style w:type="paragraph" w:styleId="ListParagraph">
    <w:name w:val="List Paragraph"/>
    <w:basedOn w:val="Normal"/>
    <w:uiPriority w:val="34"/>
    <w:qFormat/>
    <w:rsid w:val="000774C5"/>
    <w:pPr>
      <w:ind w:left="720"/>
      <w:contextualSpacing/>
    </w:pPr>
  </w:style>
  <w:style w:type="character" w:customStyle="1" w:styleId="Heading2Char">
    <w:name w:val="Heading 2 Char"/>
    <w:basedOn w:val="DefaultParagraphFont"/>
    <w:link w:val="Heading2"/>
    <w:uiPriority w:val="9"/>
    <w:rsid w:val="006A5F90"/>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6A5F90"/>
    <w:rPr>
      <w:rFonts w:asciiTheme="majorHAnsi" w:eastAsiaTheme="majorEastAsia" w:hAnsiTheme="majorHAnsi" w:cstheme="majorBidi"/>
      <w:b/>
      <w:bCs/>
      <w:color w:val="4F81BD" w:themeColor="accent1"/>
      <w:sz w:val="24"/>
      <w:szCs w:val="24"/>
      <w:lang w:val="en-US"/>
    </w:rPr>
  </w:style>
  <w:style w:type="paragraph" w:styleId="NormalWeb">
    <w:name w:val="Normal (Web)"/>
    <w:basedOn w:val="Normal"/>
    <w:uiPriority w:val="99"/>
    <w:unhideWhenUsed/>
    <w:rsid w:val="006A5F90"/>
    <w:pPr>
      <w:spacing w:before="100" w:beforeAutospacing="1" w:after="100" w:afterAutospacing="1" w:line="240" w:lineRule="auto"/>
      <w:jc w:val="left"/>
    </w:pPr>
    <w:rPr>
      <w:rFonts w:eastAsia="Times New Roman"/>
      <w:lang w:val="en-GB" w:eastAsia="en-GB"/>
    </w:rPr>
  </w:style>
  <w:style w:type="character" w:customStyle="1" w:styleId="citation-13">
    <w:name w:val="citation-13"/>
    <w:basedOn w:val="DefaultParagraphFont"/>
    <w:rsid w:val="00D5587B"/>
  </w:style>
  <w:style w:type="character" w:customStyle="1" w:styleId="citation-12">
    <w:name w:val="citation-12"/>
    <w:basedOn w:val="DefaultParagraphFont"/>
    <w:rsid w:val="00D5587B"/>
  </w:style>
  <w:style w:type="character" w:customStyle="1" w:styleId="citation-11">
    <w:name w:val="citation-11"/>
    <w:basedOn w:val="DefaultParagraphFont"/>
    <w:rsid w:val="00D5587B"/>
  </w:style>
  <w:style w:type="character" w:customStyle="1" w:styleId="button-label">
    <w:name w:val="button-label"/>
    <w:basedOn w:val="DefaultParagraphFont"/>
    <w:rsid w:val="00D5587B"/>
  </w:style>
  <w:style w:type="character" w:customStyle="1" w:styleId="citation-10">
    <w:name w:val="citation-10"/>
    <w:basedOn w:val="DefaultParagraphFont"/>
    <w:rsid w:val="00D5587B"/>
  </w:style>
  <w:style w:type="character" w:customStyle="1" w:styleId="citation-9">
    <w:name w:val="citation-9"/>
    <w:basedOn w:val="DefaultParagraphFont"/>
    <w:rsid w:val="00D5587B"/>
  </w:style>
  <w:style w:type="character" w:customStyle="1" w:styleId="citation-8">
    <w:name w:val="citation-8"/>
    <w:basedOn w:val="DefaultParagraphFont"/>
    <w:rsid w:val="00D5587B"/>
  </w:style>
  <w:style w:type="character" w:customStyle="1" w:styleId="Heading4Char">
    <w:name w:val="Heading 4 Char"/>
    <w:basedOn w:val="DefaultParagraphFont"/>
    <w:link w:val="Heading4"/>
    <w:uiPriority w:val="9"/>
    <w:semiHidden/>
    <w:rsid w:val="00726400"/>
    <w:rPr>
      <w:rFonts w:asciiTheme="majorHAnsi" w:eastAsiaTheme="majorEastAsia" w:hAnsiTheme="majorHAnsi" w:cstheme="majorBidi"/>
      <w:b/>
      <w:bCs/>
      <w:i/>
      <w:iCs/>
      <w:color w:val="4F81BD" w:themeColor="accent1"/>
      <w:sz w:val="24"/>
      <w:szCs w:val="24"/>
      <w:lang w:val="en-US"/>
    </w:rPr>
  </w:style>
  <w:style w:type="character" w:customStyle="1" w:styleId="math-inline">
    <w:name w:val="math-inline"/>
    <w:basedOn w:val="DefaultParagraphFont"/>
    <w:rsid w:val="00E960E3"/>
  </w:style>
  <w:style w:type="paragraph" w:customStyle="1" w:styleId="animating">
    <w:name w:val="animating"/>
    <w:basedOn w:val="Normal"/>
    <w:rsid w:val="00F41B8B"/>
    <w:pPr>
      <w:spacing w:before="100" w:beforeAutospacing="1" w:after="100" w:afterAutospacing="1" w:line="240" w:lineRule="auto"/>
      <w:jc w:val="left"/>
    </w:pPr>
    <w:rPr>
      <w:rFonts w:eastAsia="Times New Roman"/>
      <w:lang w:val="en-GB" w:eastAsia="en-GB"/>
    </w:rPr>
  </w:style>
  <w:style w:type="paragraph" w:styleId="Header">
    <w:name w:val="header"/>
    <w:basedOn w:val="Normal"/>
    <w:link w:val="HeaderChar"/>
    <w:uiPriority w:val="99"/>
    <w:unhideWhenUsed/>
    <w:rsid w:val="004F4C7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F4C7D"/>
    <w:rPr>
      <w:rFonts w:ascii="Times New Roman" w:hAnsi="Times New Roman" w:cs="Times New Roman"/>
      <w:sz w:val="24"/>
      <w:szCs w:val="24"/>
      <w:lang w:val="en-US"/>
    </w:rPr>
  </w:style>
  <w:style w:type="paragraph" w:styleId="Footer">
    <w:name w:val="footer"/>
    <w:basedOn w:val="Normal"/>
    <w:link w:val="FooterChar"/>
    <w:uiPriority w:val="99"/>
    <w:unhideWhenUsed/>
    <w:rsid w:val="004F4C7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F4C7D"/>
    <w:rPr>
      <w:rFonts w:ascii="Times New Roman" w:hAnsi="Times New Roman" w:cs="Times New Roman"/>
      <w:sz w:val="24"/>
      <w:szCs w:val="24"/>
      <w:lang w:val="en-US"/>
    </w:rPr>
  </w:style>
  <w:style w:type="paragraph" w:styleId="TOCHeading">
    <w:name w:val="TOC Heading"/>
    <w:basedOn w:val="Heading1"/>
    <w:next w:val="Normal"/>
    <w:uiPriority w:val="39"/>
    <w:semiHidden/>
    <w:unhideWhenUsed/>
    <w:qFormat/>
    <w:rsid w:val="000C56DA"/>
    <w:pPr>
      <w:keepNext/>
      <w:keepLines/>
      <w:spacing w:before="480" w:after="0" w:line="276" w:lineRule="auto"/>
      <w:contextualSpacing w:val="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0C56DA"/>
    <w:pPr>
      <w:spacing w:after="100"/>
    </w:pPr>
  </w:style>
  <w:style w:type="paragraph" w:styleId="TOC2">
    <w:name w:val="toc 2"/>
    <w:basedOn w:val="Normal"/>
    <w:next w:val="Normal"/>
    <w:autoRedefine/>
    <w:uiPriority w:val="39"/>
    <w:unhideWhenUsed/>
    <w:rsid w:val="000C56DA"/>
    <w:pPr>
      <w:spacing w:after="100"/>
      <w:ind w:left="240"/>
    </w:pPr>
  </w:style>
  <w:style w:type="paragraph" w:styleId="TOC3">
    <w:name w:val="toc 3"/>
    <w:basedOn w:val="Normal"/>
    <w:next w:val="Normal"/>
    <w:autoRedefine/>
    <w:uiPriority w:val="39"/>
    <w:unhideWhenUsed/>
    <w:rsid w:val="000C56DA"/>
    <w:pPr>
      <w:spacing w:after="100"/>
      <w:ind w:left="480"/>
    </w:pPr>
  </w:style>
  <w:style w:type="character" w:styleId="Hyperlink">
    <w:name w:val="Hyperlink"/>
    <w:basedOn w:val="DefaultParagraphFont"/>
    <w:uiPriority w:val="99"/>
    <w:unhideWhenUsed/>
    <w:rsid w:val="000C56DA"/>
    <w:rPr>
      <w:color w:val="0000FF" w:themeColor="hyperlink"/>
      <w:u w:val="single"/>
    </w:rPr>
  </w:style>
  <w:style w:type="paragraph" w:styleId="BalloonText">
    <w:name w:val="Balloon Text"/>
    <w:basedOn w:val="Normal"/>
    <w:link w:val="BalloonTextChar"/>
    <w:uiPriority w:val="99"/>
    <w:semiHidden/>
    <w:unhideWhenUsed/>
    <w:rsid w:val="000C56D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6D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3266">
      <w:bodyDiv w:val="1"/>
      <w:marLeft w:val="0"/>
      <w:marRight w:val="0"/>
      <w:marTop w:val="0"/>
      <w:marBottom w:val="0"/>
      <w:divBdr>
        <w:top w:val="none" w:sz="0" w:space="0" w:color="auto"/>
        <w:left w:val="none" w:sz="0" w:space="0" w:color="auto"/>
        <w:bottom w:val="none" w:sz="0" w:space="0" w:color="auto"/>
        <w:right w:val="none" w:sz="0" w:space="0" w:color="auto"/>
      </w:divBdr>
    </w:div>
    <w:div w:id="88309619">
      <w:bodyDiv w:val="1"/>
      <w:marLeft w:val="0"/>
      <w:marRight w:val="0"/>
      <w:marTop w:val="0"/>
      <w:marBottom w:val="0"/>
      <w:divBdr>
        <w:top w:val="none" w:sz="0" w:space="0" w:color="auto"/>
        <w:left w:val="none" w:sz="0" w:space="0" w:color="auto"/>
        <w:bottom w:val="none" w:sz="0" w:space="0" w:color="auto"/>
        <w:right w:val="none" w:sz="0" w:space="0" w:color="auto"/>
      </w:divBdr>
    </w:div>
    <w:div w:id="154565888">
      <w:bodyDiv w:val="1"/>
      <w:marLeft w:val="0"/>
      <w:marRight w:val="0"/>
      <w:marTop w:val="0"/>
      <w:marBottom w:val="0"/>
      <w:divBdr>
        <w:top w:val="none" w:sz="0" w:space="0" w:color="auto"/>
        <w:left w:val="none" w:sz="0" w:space="0" w:color="auto"/>
        <w:bottom w:val="none" w:sz="0" w:space="0" w:color="auto"/>
        <w:right w:val="none" w:sz="0" w:space="0" w:color="auto"/>
      </w:divBdr>
    </w:div>
    <w:div w:id="271860259">
      <w:bodyDiv w:val="1"/>
      <w:marLeft w:val="0"/>
      <w:marRight w:val="0"/>
      <w:marTop w:val="0"/>
      <w:marBottom w:val="0"/>
      <w:divBdr>
        <w:top w:val="none" w:sz="0" w:space="0" w:color="auto"/>
        <w:left w:val="none" w:sz="0" w:space="0" w:color="auto"/>
        <w:bottom w:val="none" w:sz="0" w:space="0" w:color="auto"/>
        <w:right w:val="none" w:sz="0" w:space="0" w:color="auto"/>
      </w:divBdr>
    </w:div>
    <w:div w:id="382097336">
      <w:bodyDiv w:val="1"/>
      <w:marLeft w:val="0"/>
      <w:marRight w:val="0"/>
      <w:marTop w:val="0"/>
      <w:marBottom w:val="0"/>
      <w:divBdr>
        <w:top w:val="none" w:sz="0" w:space="0" w:color="auto"/>
        <w:left w:val="none" w:sz="0" w:space="0" w:color="auto"/>
        <w:bottom w:val="none" w:sz="0" w:space="0" w:color="auto"/>
        <w:right w:val="none" w:sz="0" w:space="0" w:color="auto"/>
      </w:divBdr>
    </w:div>
    <w:div w:id="676611690">
      <w:bodyDiv w:val="1"/>
      <w:marLeft w:val="0"/>
      <w:marRight w:val="0"/>
      <w:marTop w:val="0"/>
      <w:marBottom w:val="0"/>
      <w:divBdr>
        <w:top w:val="none" w:sz="0" w:space="0" w:color="auto"/>
        <w:left w:val="none" w:sz="0" w:space="0" w:color="auto"/>
        <w:bottom w:val="none" w:sz="0" w:space="0" w:color="auto"/>
        <w:right w:val="none" w:sz="0" w:space="0" w:color="auto"/>
      </w:divBdr>
    </w:div>
    <w:div w:id="1030302700">
      <w:bodyDiv w:val="1"/>
      <w:marLeft w:val="0"/>
      <w:marRight w:val="0"/>
      <w:marTop w:val="0"/>
      <w:marBottom w:val="0"/>
      <w:divBdr>
        <w:top w:val="none" w:sz="0" w:space="0" w:color="auto"/>
        <w:left w:val="none" w:sz="0" w:space="0" w:color="auto"/>
        <w:bottom w:val="none" w:sz="0" w:space="0" w:color="auto"/>
        <w:right w:val="none" w:sz="0" w:space="0" w:color="auto"/>
      </w:divBdr>
    </w:div>
    <w:div w:id="1136802832">
      <w:bodyDiv w:val="1"/>
      <w:marLeft w:val="0"/>
      <w:marRight w:val="0"/>
      <w:marTop w:val="0"/>
      <w:marBottom w:val="0"/>
      <w:divBdr>
        <w:top w:val="none" w:sz="0" w:space="0" w:color="auto"/>
        <w:left w:val="none" w:sz="0" w:space="0" w:color="auto"/>
        <w:bottom w:val="none" w:sz="0" w:space="0" w:color="auto"/>
        <w:right w:val="none" w:sz="0" w:space="0" w:color="auto"/>
      </w:divBdr>
    </w:div>
    <w:div w:id="1149978959">
      <w:bodyDiv w:val="1"/>
      <w:marLeft w:val="0"/>
      <w:marRight w:val="0"/>
      <w:marTop w:val="0"/>
      <w:marBottom w:val="0"/>
      <w:divBdr>
        <w:top w:val="none" w:sz="0" w:space="0" w:color="auto"/>
        <w:left w:val="none" w:sz="0" w:space="0" w:color="auto"/>
        <w:bottom w:val="none" w:sz="0" w:space="0" w:color="auto"/>
        <w:right w:val="none" w:sz="0" w:space="0" w:color="auto"/>
      </w:divBdr>
    </w:div>
    <w:div w:id="1351957759">
      <w:bodyDiv w:val="1"/>
      <w:marLeft w:val="0"/>
      <w:marRight w:val="0"/>
      <w:marTop w:val="0"/>
      <w:marBottom w:val="0"/>
      <w:divBdr>
        <w:top w:val="none" w:sz="0" w:space="0" w:color="auto"/>
        <w:left w:val="none" w:sz="0" w:space="0" w:color="auto"/>
        <w:bottom w:val="none" w:sz="0" w:space="0" w:color="auto"/>
        <w:right w:val="none" w:sz="0" w:space="0" w:color="auto"/>
      </w:divBdr>
      <w:divsChild>
        <w:div w:id="1835947674">
          <w:marLeft w:val="0"/>
          <w:marRight w:val="0"/>
          <w:marTop w:val="0"/>
          <w:marBottom w:val="0"/>
          <w:divBdr>
            <w:top w:val="none" w:sz="0" w:space="0" w:color="auto"/>
            <w:left w:val="none" w:sz="0" w:space="0" w:color="auto"/>
            <w:bottom w:val="none" w:sz="0" w:space="0" w:color="auto"/>
            <w:right w:val="none" w:sz="0" w:space="0" w:color="auto"/>
          </w:divBdr>
          <w:divsChild>
            <w:div w:id="492985790">
              <w:marLeft w:val="0"/>
              <w:marRight w:val="0"/>
              <w:marTop w:val="0"/>
              <w:marBottom w:val="0"/>
              <w:divBdr>
                <w:top w:val="none" w:sz="0" w:space="0" w:color="auto"/>
                <w:left w:val="none" w:sz="0" w:space="0" w:color="auto"/>
                <w:bottom w:val="none" w:sz="0" w:space="0" w:color="auto"/>
                <w:right w:val="none" w:sz="0" w:space="0" w:color="auto"/>
              </w:divBdr>
            </w:div>
          </w:divsChild>
        </w:div>
        <w:div w:id="1694653031">
          <w:marLeft w:val="0"/>
          <w:marRight w:val="0"/>
          <w:marTop w:val="0"/>
          <w:marBottom w:val="0"/>
          <w:divBdr>
            <w:top w:val="none" w:sz="0" w:space="0" w:color="auto"/>
            <w:left w:val="none" w:sz="0" w:space="0" w:color="auto"/>
            <w:bottom w:val="none" w:sz="0" w:space="0" w:color="auto"/>
            <w:right w:val="none" w:sz="0" w:space="0" w:color="auto"/>
          </w:divBdr>
          <w:divsChild>
            <w:div w:id="1859344990">
              <w:marLeft w:val="0"/>
              <w:marRight w:val="0"/>
              <w:marTop w:val="0"/>
              <w:marBottom w:val="0"/>
              <w:divBdr>
                <w:top w:val="none" w:sz="0" w:space="0" w:color="auto"/>
                <w:left w:val="none" w:sz="0" w:space="0" w:color="auto"/>
                <w:bottom w:val="none" w:sz="0" w:space="0" w:color="auto"/>
                <w:right w:val="none" w:sz="0" w:space="0" w:color="auto"/>
              </w:divBdr>
              <w:divsChild>
                <w:div w:id="1196191838">
                  <w:marLeft w:val="0"/>
                  <w:marRight w:val="0"/>
                  <w:marTop w:val="0"/>
                  <w:marBottom w:val="0"/>
                  <w:divBdr>
                    <w:top w:val="none" w:sz="0" w:space="0" w:color="auto"/>
                    <w:left w:val="none" w:sz="0" w:space="0" w:color="auto"/>
                    <w:bottom w:val="none" w:sz="0" w:space="0" w:color="auto"/>
                    <w:right w:val="none" w:sz="0" w:space="0" w:color="auto"/>
                  </w:divBdr>
                  <w:divsChild>
                    <w:div w:id="89354437">
                      <w:marLeft w:val="0"/>
                      <w:marRight w:val="0"/>
                      <w:marTop w:val="0"/>
                      <w:marBottom w:val="0"/>
                      <w:divBdr>
                        <w:top w:val="none" w:sz="0" w:space="0" w:color="auto"/>
                        <w:left w:val="none" w:sz="0" w:space="0" w:color="auto"/>
                        <w:bottom w:val="none" w:sz="0" w:space="0" w:color="auto"/>
                        <w:right w:val="none" w:sz="0" w:space="0" w:color="auto"/>
                      </w:divBdr>
                    </w:div>
                    <w:div w:id="14739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072000">
      <w:bodyDiv w:val="1"/>
      <w:marLeft w:val="0"/>
      <w:marRight w:val="0"/>
      <w:marTop w:val="0"/>
      <w:marBottom w:val="0"/>
      <w:divBdr>
        <w:top w:val="none" w:sz="0" w:space="0" w:color="auto"/>
        <w:left w:val="none" w:sz="0" w:space="0" w:color="auto"/>
        <w:bottom w:val="none" w:sz="0" w:space="0" w:color="auto"/>
        <w:right w:val="none" w:sz="0" w:space="0" w:color="auto"/>
      </w:divBdr>
    </w:div>
    <w:div w:id="1520510436">
      <w:bodyDiv w:val="1"/>
      <w:marLeft w:val="0"/>
      <w:marRight w:val="0"/>
      <w:marTop w:val="0"/>
      <w:marBottom w:val="0"/>
      <w:divBdr>
        <w:top w:val="none" w:sz="0" w:space="0" w:color="auto"/>
        <w:left w:val="none" w:sz="0" w:space="0" w:color="auto"/>
        <w:bottom w:val="none" w:sz="0" w:space="0" w:color="auto"/>
        <w:right w:val="none" w:sz="0" w:space="0" w:color="auto"/>
      </w:divBdr>
    </w:div>
    <w:div w:id="1809778329">
      <w:bodyDiv w:val="1"/>
      <w:marLeft w:val="0"/>
      <w:marRight w:val="0"/>
      <w:marTop w:val="0"/>
      <w:marBottom w:val="0"/>
      <w:divBdr>
        <w:top w:val="none" w:sz="0" w:space="0" w:color="auto"/>
        <w:left w:val="none" w:sz="0" w:space="0" w:color="auto"/>
        <w:bottom w:val="none" w:sz="0" w:space="0" w:color="auto"/>
        <w:right w:val="none" w:sz="0" w:space="0" w:color="auto"/>
      </w:divBdr>
    </w:div>
    <w:div w:id="1869484453">
      <w:bodyDiv w:val="1"/>
      <w:marLeft w:val="0"/>
      <w:marRight w:val="0"/>
      <w:marTop w:val="0"/>
      <w:marBottom w:val="0"/>
      <w:divBdr>
        <w:top w:val="none" w:sz="0" w:space="0" w:color="auto"/>
        <w:left w:val="none" w:sz="0" w:space="0" w:color="auto"/>
        <w:bottom w:val="none" w:sz="0" w:space="0" w:color="auto"/>
        <w:right w:val="none" w:sz="0" w:space="0" w:color="auto"/>
      </w:divBdr>
    </w:div>
    <w:div w:id="201445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E8F8-3A3D-4119-8354-F3824D263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28</Pages>
  <Words>8175</Words>
  <Characters>46601</Characters>
  <Application>Microsoft Office Word</Application>
  <DocSecurity>0</DocSecurity>
  <Lines>388</Lines>
  <Paragraphs>109</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DECLARATION</vt:lpstr>
      <vt:lpstr>COPYRIGHT STATEMENT </vt:lpstr>
      <vt:lpstr>CERTIFICATE OF APPROVAL</vt:lpstr>
      <vt:lpstr>DEDICATION</vt:lpstr>
      <vt:lpstr>ACKNOWLEDGEMENTS</vt:lpstr>
      <vt:lpstr>ABSTRACT</vt:lpstr>
      <vt:lpstr>INTRODUCTION</vt:lpstr>
      <vt:lpstr>BACKGROUND OF THE STUDY</vt:lpstr>
      <vt:lpstr/>
      <vt:lpstr>LITERATURE REVIEW AND KNOWLEDGE GAPS</vt:lpstr>
      <vt:lpstr>    Evolution of Urban Flood Risk Management Paradigms</vt:lpstr>
      <vt:lpstr>Economic Impacts versus Structural and Systemic Vulnerabilities</vt:lpstr>
      <vt:lpstr>Cascading Failures and Network Dependencies</vt:lpstr>
      <vt:lpstr>Knowledge Gaps in Informal and Low-Income Urban Contexts</vt:lpstr>
      <vt:lpstr>PROBLEM STATEMENT</vt:lpstr>
      <vt:lpstr>OBJECTIVES OF THE STUDY</vt:lpstr>
      <vt:lpstr>General Objective</vt:lpstr>
      <vt:lpstr>Specific Objectives</vt:lpstr>
      <vt:lpstr>RESEARCH QUESTIONS</vt:lpstr>
      <vt:lpstr>HYPOTHESES</vt:lpstr>
      <vt:lpstr>SIGNIFICANCE OF THE STUDY</vt:lpstr>
      <vt:lpstr>STRUCTURE OF THE THESIS                                                         </vt:lpstr>
      <vt:lpstr>METHODOLOGY</vt:lpstr>
      <vt:lpstr>3.1 RESEARCH DESIGN</vt:lpstr>
      <vt:lpstr>DATA COLLECTION METHODS</vt:lpstr>
      <vt:lpstr>SAMPLING</vt:lpstr>
      <vt:lpstr>DATA ANALYSIS TECHNIQUES</vt:lpstr>
      <vt:lpstr>RESULTS</vt:lpstr>
      <vt:lpstr>INFRASTRUCTURE VULNERABILITY AND ASSET FAILURE MODES</vt:lpstr>
      <vt:lpstr>FLOODING DYNAMICS AND EXPOSURE LEVELS</vt:lpstr>
      <vt:lpstr>INSTITUTIONAL RESPONSES AND GOVERNANCE CHALLENGES</vt:lpstr>
      <vt:lpstr>COMMUNITY COPING MECHANISMS AND RESILIENCE STRATEGIES</vt:lpstr>
      <vt:lpstr>DISCUSSION</vt:lpstr>
      <vt:lpstr>The Micro-Macro Disconnect in Climate Adaptation</vt:lpstr>
      <vt:lpstr>The Cycle of Reactive Governance and Data Poverty</vt:lpstr>
      <vt:lpstr>The Limitations and Hidden Costs of Autonomous Community Resilience</vt:lpstr>
      <vt:lpstr>        CONCLUSION</vt:lpstr>
    </vt:vector>
  </TitlesOfParts>
  <Company>Grizli777</Company>
  <LinksUpToDate>false</LinksUpToDate>
  <CharactersWithSpaces>54667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99</cp:revision>
  <cp:lastPrinted>2026-05-27T11:34:00Z</cp:lastPrinted>
  <dcterms:created xsi:type="dcterms:W3CDTF">2026-05-27T08:08:00Z</dcterms:created>
  <dcterms:modified xsi:type="dcterms:W3CDTF">2026-05-27T11:34:00Z</dcterms:modified>
</cp:coreProperties>
</file>