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37AA" w14:textId="77777777" w:rsidR="00B9160E" w:rsidRPr="00091BDD" w:rsidRDefault="00B9160E" w:rsidP="00091BDD">
      <w:pPr>
        <w:jc w:val="center"/>
        <w:rPr>
          <w:b/>
          <w:bCs/>
          <w:color w:val="0000FF"/>
          <w:sz w:val="32"/>
          <w:szCs w:val="32"/>
        </w:rPr>
      </w:pPr>
      <w:r w:rsidRPr="00091BDD">
        <w:rPr>
          <w:b/>
          <w:bCs/>
          <w:color w:val="0000FF"/>
          <w:sz w:val="32"/>
          <w:szCs w:val="32"/>
        </w:rPr>
        <w:t>The Relationship Between AI Content Exposure and Responsible Usage: Toward a Framework for Informed Digital Engagement</w:t>
      </w:r>
    </w:p>
    <w:p w14:paraId="097CAA3D" w14:textId="77777777" w:rsidR="00091BDD" w:rsidRPr="00091BDD" w:rsidRDefault="00091BDD" w:rsidP="00091BDD">
      <w:pPr>
        <w:jc w:val="center"/>
        <w:rPr>
          <w:sz w:val="28"/>
          <w:szCs w:val="28"/>
        </w:rPr>
      </w:pPr>
      <w:r w:rsidRPr="00091BDD">
        <w:rPr>
          <w:sz w:val="28"/>
          <w:szCs w:val="28"/>
        </w:rPr>
        <w:t/>
      </w:r>
      <w:r w:rsidRPr="00091BDD">
        <w:rPr>
          <w:sz w:val="28"/>
          <w:szCs w:val="28"/>
          <w:vertAlign w:val="superscript"/>
        </w:rPr>
        <w:t/>
      </w:r>
      <w:r w:rsidRPr="00091BDD">
        <w:rPr>
          <w:sz w:val="28"/>
          <w:szCs w:val="28"/>
        </w:rPr>
        <w:t/>
      </w:r>
      <w:r w:rsidRPr="00091BDD">
        <w:rPr>
          <w:sz w:val="28"/>
          <w:szCs w:val="28"/>
          <w:vertAlign w:val="superscript"/>
        </w:rPr>
        <w:t/>
      </w:r>
    </w:p>
    <w:p w14:paraId="6C7BE6F1" w14:textId="77777777" w:rsidR="00BA3365" w:rsidRPr="00BA3365" w:rsidRDefault="00BA3365" w:rsidP="00BA3365">
      <w:pPr>
        <w:pStyle w:val="ListParagraph"/>
        <w:numPr>
          <w:ilvl w:val="0"/>
          <w:numId w:val="3"/>
        </w:numPr>
        <w:ind w:left="360"/>
        <w:rPr>
          <w:sz w:val="20"/>
          <w:szCs w:val="20"/>
        </w:rPr>
      </w:pPr>
      <w:r w:rsidRPr="00BA3365">
        <w:rPr>
          <w:sz w:val="20"/>
          <w:szCs w:val="20"/>
        </w:rPr>
        <w:t xml:space="preserve"/>
      </w:r>
    </w:p>
    <w:p w14:paraId="0230F617" w14:textId="29FFD46E" w:rsidR="00091BDD" w:rsidRPr="00091BDD" w:rsidRDefault="00091BDD" w:rsidP="00091BDD">
      <w:pPr>
        <w:pStyle w:val="ListParagraph"/>
        <w:numPr>
          <w:ilvl w:val="0"/>
          <w:numId w:val="3"/>
        </w:numPr>
        <w:ind w:left="360"/>
        <w:rPr>
          <w:sz w:val="20"/>
          <w:szCs w:val="20"/>
        </w:rPr>
      </w:pPr>
      <w:r w:rsidRPr="00091BDD">
        <w:rPr>
          <w:sz w:val="20"/>
          <w:szCs w:val="20"/>
        </w:rPr>
        <w:t xml:space="preserve"/>
      </w:r>
      <w:r w:rsidR="00B56954" w:rsidRPr="00091BDD">
        <w:rPr>
          <w:sz w:val="20"/>
          <w:szCs w:val="20"/>
        </w:rPr>
        <w:t/>
      </w:r>
      <w:r w:rsidRPr="00091BDD">
        <w:rPr>
          <w:sz w:val="20"/>
          <w:szCs w:val="20"/>
        </w:rPr>
        <w:t xml:space="preserve"/>
      </w:r>
    </w:p>
    <w:p w14:paraId="3652CB14" w14:textId="77777777" w:rsidR="00B9160E" w:rsidRDefault="00B9160E" w:rsidP="00B9160E">
      <w:pPr>
        <w:jc w:val="both"/>
        <w:rPr>
          <w:b/>
          <w:bCs/>
        </w:rPr>
      </w:pPr>
    </w:p>
    <w:p w14:paraId="17A482FB" w14:textId="1C66FF09" w:rsidR="00B9160E" w:rsidRPr="00E239C7" w:rsidRDefault="00B9160E" w:rsidP="00B9160E">
      <w:pPr>
        <w:jc w:val="both"/>
        <w:rPr>
          <w:sz w:val="22"/>
          <w:szCs w:val="22"/>
        </w:rPr>
      </w:pPr>
      <w:r w:rsidRPr="00E239C7">
        <w:rPr>
          <w:b/>
          <w:bCs/>
          <w:sz w:val="22"/>
          <w:szCs w:val="22"/>
        </w:rPr>
        <w:t>Abstract</w:t>
      </w:r>
    </w:p>
    <w:p w14:paraId="1D419FB7" w14:textId="30F6CF23" w:rsidR="00B9160E" w:rsidRPr="00541CD9" w:rsidRDefault="00B9160E" w:rsidP="00B9160E">
      <w:pPr>
        <w:jc w:val="both"/>
        <w:rPr>
          <w:b/>
          <w:bCs/>
          <w:sz w:val="22"/>
          <w:szCs w:val="22"/>
        </w:rPr>
      </w:pPr>
      <w:r w:rsidRPr="00E239C7">
        <w:rPr>
          <w:b/>
          <w:bCs/>
          <w:sz w:val="20"/>
          <w:szCs w:val="20"/>
        </w:rPr>
        <w:t xml:space="preserve">The rapid proliferation of artificial intelligence (AI)-generated content across digital platforms has fundamentally altered the information landscape in ways that demand critical scholarly attention. As AI technologies become increasingly embedded in everyday media consumption, educational settings, and professional environments, questions surrounding how exposure to such content shapes users' attitudes and practices regarding responsible usage have gained considerable urgency. This paper examines the </w:t>
      </w:r>
      <w:r w:rsidR="000E490C" w:rsidRPr="000E490C">
        <w:rPr>
          <w:b/>
          <w:bCs/>
          <w:sz w:val="20"/>
          <w:szCs w:val="20"/>
          <w:u w:val="single"/>
        </w:rPr>
        <w:t>distinct</w:t>
      </w:r>
      <w:r w:rsidRPr="00E239C7">
        <w:rPr>
          <w:b/>
          <w:bCs/>
          <w:color w:val="EE0000"/>
          <w:sz w:val="20"/>
          <w:szCs w:val="20"/>
        </w:rPr>
        <w:t xml:space="preserve"> </w:t>
      </w:r>
      <w:r w:rsidRPr="00E239C7">
        <w:rPr>
          <w:b/>
          <w:bCs/>
          <w:sz w:val="20"/>
          <w:szCs w:val="20"/>
        </w:rPr>
        <w:t>relationship between AI content exposure and responsible usage by drawing on social cognitive theory, digital literacy scholarship, and emerging AI ethics frameworks. Through a conceptual synthesis of existing literature, the study argues that exposure to AI-generated content does not inherently cultivate responsible use behaviours; rather, the nature, frequency, and context of exposure, mediated by users' critical awareness and institutional support structures, collectively determine whether AI engagement becomes a vehicle for informed participation or uncritical dependency. The findings carry implications for digital education policy, platform governance, and the broader ethics of AI deployment. Recommendations are offered for stakeholders invested in fostering responsible AI citizenship in an increasingly automated information environment.</w:t>
      </w:r>
    </w:p>
    <w:p w14:paraId="799902B9" w14:textId="77777777" w:rsidR="00B9160E" w:rsidRPr="00D35454" w:rsidRDefault="00B9160E" w:rsidP="00B9160E">
      <w:pPr>
        <w:jc w:val="both"/>
        <w:rPr>
          <w:sz w:val="22"/>
          <w:szCs w:val="22"/>
        </w:rPr>
      </w:pPr>
      <w:r w:rsidRPr="00D35454">
        <w:rPr>
          <w:b/>
          <w:bCs/>
          <w:sz w:val="22"/>
          <w:szCs w:val="22"/>
        </w:rPr>
        <w:t>Keywords:</w:t>
      </w:r>
      <w:r w:rsidRPr="00D35454">
        <w:rPr>
          <w:sz w:val="22"/>
          <w:szCs w:val="22"/>
        </w:rPr>
        <w:t xml:space="preserve"> artificial intelligence, AI-generated content, responsible usage, digital literacy, social cognitive theory, AI ethics, digital citizenship</w:t>
      </w:r>
    </w:p>
    <w:p w14:paraId="0546ACD4" w14:textId="77777777" w:rsidR="00B9160E" w:rsidRDefault="00B9160E" w:rsidP="00B9160E">
      <w:pPr>
        <w:jc w:val="both"/>
        <w:rPr>
          <w:b/>
          <w:bCs/>
        </w:rPr>
      </w:pPr>
    </w:p>
    <w:p w14:paraId="70D80207" w14:textId="214593E0" w:rsidR="00B9160E" w:rsidRPr="00704683" w:rsidRDefault="00B9160E" w:rsidP="00B9160E">
      <w:pPr>
        <w:jc w:val="both"/>
        <w:rPr>
          <w:b/>
          <w:bCs/>
          <w:sz w:val="22"/>
          <w:szCs w:val="22"/>
        </w:rPr>
      </w:pPr>
      <w:r w:rsidRPr="00704683">
        <w:rPr>
          <w:b/>
          <w:bCs/>
          <w:sz w:val="22"/>
          <w:szCs w:val="22"/>
        </w:rPr>
        <w:t>1. Introduction</w:t>
      </w:r>
    </w:p>
    <w:p w14:paraId="29D2A82D" w14:textId="77777777" w:rsidR="00B9160E" w:rsidRPr="00704683" w:rsidRDefault="00B9160E" w:rsidP="00B9160E">
      <w:pPr>
        <w:jc w:val="both"/>
        <w:rPr>
          <w:sz w:val="20"/>
          <w:szCs w:val="20"/>
        </w:rPr>
      </w:pPr>
      <w:r w:rsidRPr="00704683">
        <w:rPr>
          <w:sz w:val="20"/>
          <w:szCs w:val="20"/>
        </w:rPr>
        <w:t>Few technological developments in recent memory have generated as much public debate, institutional concern, and scholarly inquiry as the emergence of generative artificial intelligence. From large language models capable of producing coherent academic prose to image synthesis tools that blur the line between the real and the fabricated, AI content generation has moved from the margins of speculative computing into the centre of daily digital life. Platforms such as social media networks, news aggregators, and educational portals increasingly rely on algorithmic systems not only to curate content but to generate it outright, often without the knowledge or explicit consent of the audience engaging with it (Diakopoulos, 2016; Jobin et al., 2019).</w:t>
      </w:r>
    </w:p>
    <w:p w14:paraId="118A93E7" w14:textId="42F9B03F" w:rsidR="00B9160E" w:rsidRPr="00704683" w:rsidRDefault="00B9160E" w:rsidP="00B9160E">
      <w:pPr>
        <w:jc w:val="both"/>
        <w:rPr>
          <w:sz w:val="20"/>
          <w:szCs w:val="20"/>
        </w:rPr>
      </w:pPr>
      <w:r w:rsidRPr="00704683">
        <w:rPr>
          <w:sz w:val="20"/>
          <w:szCs w:val="20"/>
        </w:rPr>
        <w:t>This shift raises a fundamental and underexplored question: does increased exposure to AI-generated content make people more or less likely to use AI responsibly? The intuitive assumption might be that familiarity breeds competence</w:t>
      </w:r>
      <w:r w:rsidR="00704683">
        <w:rPr>
          <w:sz w:val="20"/>
          <w:szCs w:val="20"/>
        </w:rPr>
        <w:t xml:space="preserve">, </w:t>
      </w:r>
      <w:r w:rsidRPr="00704683">
        <w:rPr>
          <w:sz w:val="20"/>
          <w:szCs w:val="20"/>
        </w:rPr>
        <w:t xml:space="preserve">that individuals who encounter AI content more frequently develop a keener sense of how to engage with it critically and ethically. Yet the evidence, where it exists, tells a more complicated story. Research on related phenomena such as information overload, algorithmic influence, and digital media </w:t>
      </w:r>
      <w:r w:rsidR="00704683" w:rsidRPr="00704683">
        <w:rPr>
          <w:sz w:val="20"/>
          <w:szCs w:val="20"/>
        </w:rPr>
        <w:t>socialization</w:t>
      </w:r>
      <w:r w:rsidRPr="00704683">
        <w:rPr>
          <w:sz w:val="20"/>
          <w:szCs w:val="20"/>
        </w:rPr>
        <w:t xml:space="preserve"> </w:t>
      </w:r>
      <w:r w:rsidRPr="00704683">
        <w:rPr>
          <w:sz w:val="20"/>
          <w:szCs w:val="20"/>
        </w:rPr>
        <w:lastRenderedPageBreak/>
        <w:t>suggests that exposure, without guided reflection, can just as readily produce cognitive shortcuts, uncritical acceptance, and normative drift as it can cultivate discernment (Sunstein, 2017; Wardle &amp; Derakhshan, 2017).</w:t>
      </w:r>
    </w:p>
    <w:p w14:paraId="0C58B852" w14:textId="7F60787C" w:rsidR="00B9160E" w:rsidRPr="00704683" w:rsidRDefault="00B9160E" w:rsidP="00B9160E">
      <w:pPr>
        <w:jc w:val="both"/>
        <w:rPr>
          <w:sz w:val="20"/>
          <w:szCs w:val="20"/>
        </w:rPr>
      </w:pPr>
      <w:r w:rsidRPr="00704683">
        <w:rPr>
          <w:sz w:val="20"/>
          <w:szCs w:val="20"/>
        </w:rPr>
        <w:t>The concept of "responsible usage" in the context of AI is itself layered and contested. At minimum, it encompasses the ability to identify AI-generated content, critically evaluate its accuracy and intent, and make informed decisions about its application and dissemination. More broadly, it encompasses an ethical orientation toward AI that acknowledges the social, political, and epistemic consequences of how these tools are used</w:t>
      </w:r>
      <w:r w:rsidR="00704683">
        <w:rPr>
          <w:sz w:val="20"/>
          <w:szCs w:val="20"/>
        </w:rPr>
        <w:t>,</w:t>
      </w:r>
      <w:r w:rsidRPr="00704683">
        <w:rPr>
          <w:sz w:val="20"/>
          <w:szCs w:val="20"/>
        </w:rPr>
        <w:t xml:space="preserve"> including concerns about misinformation, intellectual property, bias, and human autonomy (Floridi et al., 2018; Russell, 2019; UNESCO, 2021). Responsible usage, then, is not merely </w:t>
      </w:r>
      <w:r w:rsidR="00704683" w:rsidRPr="00704683">
        <w:rPr>
          <w:sz w:val="20"/>
          <w:szCs w:val="20"/>
        </w:rPr>
        <w:t>technical</w:t>
      </w:r>
      <w:r w:rsidRPr="00704683">
        <w:rPr>
          <w:sz w:val="20"/>
          <w:szCs w:val="20"/>
        </w:rPr>
        <w:t xml:space="preserve"> competency but a dispositional and ethical one, shaped by exposure, education, values, and social context.</w:t>
      </w:r>
    </w:p>
    <w:p w14:paraId="42A3EC7E" w14:textId="77777777" w:rsidR="00B9160E" w:rsidRPr="00704683" w:rsidRDefault="00B9160E" w:rsidP="00B9160E">
      <w:pPr>
        <w:jc w:val="both"/>
        <w:rPr>
          <w:sz w:val="20"/>
          <w:szCs w:val="20"/>
        </w:rPr>
      </w:pPr>
      <w:r w:rsidRPr="00704683">
        <w:rPr>
          <w:sz w:val="20"/>
          <w:szCs w:val="20"/>
        </w:rPr>
        <w:t>This paper seeks to fill a notable gap in the literature by offering a conceptual examination of the relationship between AI content exposure and responsible usage. Rather than treating this relationship as linear or self-evident, the paper maps the mediating and moderating variables that make the exposure-responsibility nexus a dynamic and contingent one. The paper proceeds as follows: Section 2 surveys the relevant literature across the intersecting fields of AI ethics, digital literacy, and social cognition. Section 3 articulates a theoretical framework grounded in Bandura's social cognitive theory and adapted for the AI media environment. Section 4 discusses the core dimensions of the exposure-responsibility relationship, including enablers and barriers. Section 5 draws out policy and educational implications, and Section 6 offers concluding reflections.</w:t>
      </w:r>
    </w:p>
    <w:p w14:paraId="3A6ACD9E" w14:textId="77777777" w:rsidR="00B9160E" w:rsidRDefault="00B9160E" w:rsidP="00B9160E">
      <w:pPr>
        <w:jc w:val="both"/>
        <w:rPr>
          <w:b/>
          <w:bCs/>
        </w:rPr>
      </w:pPr>
    </w:p>
    <w:p w14:paraId="17EA6D5F" w14:textId="0360FA31" w:rsidR="00B9160E" w:rsidRPr="00704683" w:rsidRDefault="00B9160E" w:rsidP="00B9160E">
      <w:pPr>
        <w:jc w:val="both"/>
        <w:rPr>
          <w:b/>
          <w:bCs/>
          <w:sz w:val="22"/>
          <w:szCs w:val="22"/>
        </w:rPr>
      </w:pPr>
      <w:r w:rsidRPr="00704683">
        <w:rPr>
          <w:b/>
          <w:bCs/>
          <w:sz w:val="22"/>
          <w:szCs w:val="22"/>
        </w:rPr>
        <w:t>2. Literature Review</w:t>
      </w:r>
    </w:p>
    <w:p w14:paraId="1772A4CA" w14:textId="77777777" w:rsidR="00B9160E" w:rsidRPr="00704683" w:rsidRDefault="00B9160E" w:rsidP="00B9160E">
      <w:pPr>
        <w:jc w:val="both"/>
        <w:rPr>
          <w:b/>
          <w:bCs/>
          <w:sz w:val="22"/>
          <w:szCs w:val="22"/>
        </w:rPr>
      </w:pPr>
      <w:r w:rsidRPr="00704683">
        <w:rPr>
          <w:b/>
          <w:bCs/>
          <w:sz w:val="22"/>
          <w:szCs w:val="22"/>
        </w:rPr>
        <w:t>2.1 Defining AI-Generated Content</w:t>
      </w:r>
    </w:p>
    <w:p w14:paraId="2428939B" w14:textId="77777777" w:rsidR="00B9160E" w:rsidRPr="00704683" w:rsidRDefault="00B9160E" w:rsidP="00B9160E">
      <w:pPr>
        <w:jc w:val="both"/>
        <w:rPr>
          <w:sz w:val="20"/>
          <w:szCs w:val="20"/>
        </w:rPr>
      </w:pPr>
      <w:r w:rsidRPr="00704683">
        <w:rPr>
          <w:sz w:val="20"/>
          <w:szCs w:val="20"/>
        </w:rPr>
        <w:t>AI-generated content is a broad term encompassing any text, image, audio, video, or data output produced, in whole or in significant part, by automated computational systems trained on large datasets. The category includes outputs from large language models (LLMs) such as those powering conversational AI assistants, image generation tools using diffusion models, synthetic voice and deepfake video technologies, and recommendation algorithms that curate and in some cases synthesise personalised information feeds (Mittelstadt et al., 2016; Crawford, 2021).</w:t>
      </w:r>
    </w:p>
    <w:p w14:paraId="43B359F4" w14:textId="42325CDC" w:rsidR="00B9160E" w:rsidRPr="00704683" w:rsidRDefault="00B9160E" w:rsidP="00B9160E">
      <w:pPr>
        <w:jc w:val="both"/>
        <w:rPr>
          <w:sz w:val="20"/>
          <w:szCs w:val="20"/>
        </w:rPr>
      </w:pPr>
      <w:r w:rsidRPr="00704683">
        <w:rPr>
          <w:sz w:val="20"/>
          <w:szCs w:val="20"/>
        </w:rPr>
        <w:t>What distinguishes contemporary AI-generated content from earlier forms of automated media is its increasing indistinguishability from human-produced content. Whereas early algorithmic outputs were relatively easy to identify through their mechanical repetition or structural rigidity, modern generative models produce outputs that bear the stylistic, tonal, and logical characteristics of expert human authorship (Bucher, 2018). This indistinguishability is not merely a technical curiosity</w:t>
      </w:r>
      <w:r w:rsidR="005A7539">
        <w:rPr>
          <w:sz w:val="20"/>
          <w:szCs w:val="20"/>
        </w:rPr>
        <w:t>,</w:t>
      </w:r>
      <w:r w:rsidRPr="00704683">
        <w:rPr>
          <w:sz w:val="20"/>
          <w:szCs w:val="20"/>
        </w:rPr>
        <w:t xml:space="preserve"> it has profound implications for how audiences perceive, trust, and act upon the content they encounter (Wardle &amp; Derakhshan, 2017).</w:t>
      </w:r>
    </w:p>
    <w:p w14:paraId="528ECBC4" w14:textId="4EDDCC73" w:rsidR="00B9160E" w:rsidRPr="00704683" w:rsidRDefault="00B9160E" w:rsidP="00B9160E">
      <w:pPr>
        <w:jc w:val="both"/>
        <w:rPr>
          <w:sz w:val="20"/>
          <w:szCs w:val="20"/>
        </w:rPr>
      </w:pPr>
      <w:r w:rsidRPr="00704683">
        <w:rPr>
          <w:sz w:val="20"/>
          <w:szCs w:val="20"/>
        </w:rPr>
        <w:t>The contexts in which AI-generated content circulates are equally diverse. Political communication, educational content, commercial advertising, health information, and entertainment media all now incorporate AI production to varying degrees. Each context carries its own set of stakes with respect to responsible usage</w:t>
      </w:r>
      <w:r w:rsidR="005A7539">
        <w:rPr>
          <w:sz w:val="20"/>
          <w:szCs w:val="20"/>
        </w:rPr>
        <w:t>,</w:t>
      </w:r>
      <w:r w:rsidRPr="00704683">
        <w:rPr>
          <w:sz w:val="20"/>
          <w:szCs w:val="20"/>
        </w:rPr>
        <w:t xml:space="preserve"> the consequences of uncritical engagement with AI-generated health misinformation, for instance, are qualitatively different from those associated with engaging with AI-composed music, even though both involve exposure to non-human-generated content (Jobin et al., 2019; Winfield &amp; Jirotka, 2018).</w:t>
      </w:r>
    </w:p>
    <w:p w14:paraId="65BCA1F8" w14:textId="77777777" w:rsidR="00B56954" w:rsidRDefault="00B56954" w:rsidP="00B9160E">
      <w:pPr>
        <w:jc w:val="both"/>
        <w:rPr>
          <w:b/>
          <w:bCs/>
          <w:sz w:val="22"/>
          <w:szCs w:val="22"/>
        </w:rPr>
      </w:pPr>
    </w:p>
    <w:p w14:paraId="30542DFE" w14:textId="77777777" w:rsidR="00B56954" w:rsidRDefault="00B56954" w:rsidP="00B9160E">
      <w:pPr>
        <w:jc w:val="both"/>
        <w:rPr>
          <w:b/>
          <w:bCs/>
          <w:sz w:val="22"/>
          <w:szCs w:val="22"/>
        </w:rPr>
      </w:pPr>
    </w:p>
    <w:p w14:paraId="4B2C0E25" w14:textId="109E9F5B" w:rsidR="00B9160E" w:rsidRPr="00704683" w:rsidRDefault="00B9160E" w:rsidP="00B9160E">
      <w:pPr>
        <w:jc w:val="both"/>
        <w:rPr>
          <w:b/>
          <w:bCs/>
          <w:sz w:val="22"/>
          <w:szCs w:val="22"/>
        </w:rPr>
      </w:pPr>
      <w:r w:rsidRPr="00704683">
        <w:rPr>
          <w:b/>
          <w:bCs/>
          <w:sz w:val="22"/>
          <w:szCs w:val="22"/>
        </w:rPr>
        <w:lastRenderedPageBreak/>
        <w:t>2.2 Responsible AI Usage: Conceptual Clarifications</w:t>
      </w:r>
    </w:p>
    <w:p w14:paraId="74278984" w14:textId="0B14E054" w:rsidR="00B9160E" w:rsidRPr="00704683" w:rsidRDefault="00B9160E" w:rsidP="00B9160E">
      <w:pPr>
        <w:jc w:val="both"/>
        <w:rPr>
          <w:sz w:val="20"/>
          <w:szCs w:val="20"/>
        </w:rPr>
      </w:pPr>
      <w:r w:rsidRPr="00704683">
        <w:rPr>
          <w:sz w:val="20"/>
          <w:szCs w:val="20"/>
        </w:rPr>
        <w:t>The notion of responsible AI usage has been approached from several disciplinary directions, and a degree of terminological inconsistency persists across the literature. In AI ethics and governance scholarship, responsibility is typically framed in terms of accountability structures</w:t>
      </w:r>
      <w:r w:rsidR="005A7539">
        <w:rPr>
          <w:sz w:val="20"/>
          <w:szCs w:val="20"/>
        </w:rPr>
        <w:t xml:space="preserve">, </w:t>
      </w:r>
      <w:r w:rsidRPr="00704683">
        <w:rPr>
          <w:sz w:val="20"/>
          <w:szCs w:val="20"/>
        </w:rPr>
        <w:t>who bears moral and legal responsibility for harmful AI outputs and decisions (Floridi et al., 2018; Diakopoulos, 2016). In digital literacy research, responsibility tends to be framed more in terms of user-level competencies: the capacity to verify AI content, understand its limitations, and avoid its misuse (Livingstone, 2004; Prensky, 2001).</w:t>
      </w:r>
    </w:p>
    <w:p w14:paraId="2BD37242" w14:textId="47B4E5BF" w:rsidR="00B9160E" w:rsidRPr="00704683" w:rsidRDefault="00B9160E" w:rsidP="00B9160E">
      <w:pPr>
        <w:jc w:val="both"/>
        <w:rPr>
          <w:sz w:val="20"/>
          <w:szCs w:val="20"/>
        </w:rPr>
      </w:pPr>
      <w:r w:rsidRPr="00704683">
        <w:rPr>
          <w:sz w:val="20"/>
          <w:szCs w:val="20"/>
        </w:rPr>
        <w:t>For the purposes of this paper, responsible AI usage is understood as a multi-dimensional construct incorporating three core elements. The first is epistemic responsibility, which refers to the user's capacity and willingness to critically assess the veracity, origin, and potential bias of AI-generated content before accepting or disseminating it. The second is ethical responsibility, which concerns the moral dimensions of AI use</w:t>
      </w:r>
      <w:r w:rsidR="005A7539">
        <w:rPr>
          <w:sz w:val="20"/>
          <w:szCs w:val="20"/>
        </w:rPr>
        <w:t xml:space="preserve">, </w:t>
      </w:r>
      <w:r w:rsidRPr="00704683">
        <w:rPr>
          <w:sz w:val="20"/>
          <w:szCs w:val="20"/>
        </w:rPr>
        <w:t xml:space="preserve">including respect for intellectual property, avoidance of harmful applications, and sensitivity to the social consequences of AI-mediated communication. The third is civic responsibility, which positions AI usage within a broader framework of democratic participation and collective well-being, </w:t>
      </w:r>
      <w:r w:rsidR="005A7539" w:rsidRPr="00704683">
        <w:rPr>
          <w:sz w:val="20"/>
          <w:szCs w:val="20"/>
        </w:rPr>
        <w:t>recognizing</w:t>
      </w:r>
      <w:r w:rsidRPr="00704683">
        <w:rPr>
          <w:sz w:val="20"/>
          <w:szCs w:val="20"/>
        </w:rPr>
        <w:t xml:space="preserve"> that individual AI use decisions aggregate into societal-level effects on information quality, public discourse, and institutional trust (UNESCO, 2021; Russell, 2019).</w:t>
      </w:r>
    </w:p>
    <w:p w14:paraId="69D317A1" w14:textId="135C8CB6" w:rsidR="00B9160E" w:rsidRDefault="00B9160E" w:rsidP="00B9160E">
      <w:pPr>
        <w:jc w:val="both"/>
        <w:rPr>
          <w:sz w:val="20"/>
          <w:szCs w:val="20"/>
        </w:rPr>
      </w:pPr>
      <w:r w:rsidRPr="00704683">
        <w:rPr>
          <w:sz w:val="20"/>
          <w:szCs w:val="20"/>
        </w:rPr>
        <w:t xml:space="preserve">This tripartite understanding is consistent with broader </w:t>
      </w:r>
      <w:r w:rsidR="005A7539" w:rsidRPr="00704683">
        <w:rPr>
          <w:sz w:val="20"/>
          <w:szCs w:val="20"/>
        </w:rPr>
        <w:t>conceptualizations</w:t>
      </w:r>
      <w:r w:rsidRPr="00704683">
        <w:rPr>
          <w:sz w:val="20"/>
          <w:szCs w:val="20"/>
        </w:rPr>
        <w:t xml:space="preserve"> of digital citizenship in the literature (Ribble, 2011), and it provides a sufficiently comprehensive foundation for examining how exposure shapes the development</w:t>
      </w:r>
      <w:r w:rsidR="005A7539">
        <w:rPr>
          <w:sz w:val="20"/>
          <w:szCs w:val="20"/>
        </w:rPr>
        <w:t xml:space="preserve">, </w:t>
      </w:r>
      <w:r w:rsidRPr="00704683">
        <w:rPr>
          <w:sz w:val="20"/>
          <w:szCs w:val="20"/>
        </w:rPr>
        <w:t>or erosion of responsible AI practices.</w:t>
      </w:r>
    </w:p>
    <w:p w14:paraId="05BAD30A" w14:textId="77777777" w:rsidR="00704683" w:rsidRPr="00704683" w:rsidRDefault="00704683" w:rsidP="00B9160E">
      <w:pPr>
        <w:jc w:val="both"/>
        <w:rPr>
          <w:sz w:val="20"/>
          <w:szCs w:val="20"/>
        </w:rPr>
      </w:pPr>
    </w:p>
    <w:p w14:paraId="623E6A88" w14:textId="77777777" w:rsidR="00B9160E" w:rsidRPr="00704683" w:rsidRDefault="00B9160E" w:rsidP="00B9160E">
      <w:pPr>
        <w:jc w:val="both"/>
        <w:rPr>
          <w:b/>
          <w:bCs/>
          <w:sz w:val="22"/>
          <w:szCs w:val="22"/>
        </w:rPr>
      </w:pPr>
      <w:r w:rsidRPr="00704683">
        <w:rPr>
          <w:b/>
          <w:bCs/>
          <w:sz w:val="22"/>
          <w:szCs w:val="22"/>
        </w:rPr>
        <w:t>2.3 Exposure and Behavioural Outcomes: Lessons from Adjacent Research</w:t>
      </w:r>
    </w:p>
    <w:p w14:paraId="0F89C497" w14:textId="77777777" w:rsidR="00B9160E" w:rsidRPr="00704683" w:rsidRDefault="00B9160E" w:rsidP="00B9160E">
      <w:pPr>
        <w:jc w:val="both"/>
        <w:rPr>
          <w:sz w:val="20"/>
          <w:szCs w:val="20"/>
        </w:rPr>
      </w:pPr>
      <w:r w:rsidRPr="00704683">
        <w:rPr>
          <w:sz w:val="20"/>
          <w:szCs w:val="20"/>
        </w:rPr>
        <w:t>Direct empirical research on the relationship between AI content exposure and responsible usage remains in its early stages, but a rich body of work on adjacent phenomena provides useful theoretical footholds. Research on media exposure and behaviour change has consistently demonstrated that the effects of exposure are neither automatic nor uniform (Bandura, 1986). Whether exposure to a given form of media content produces positive, negative, or null behavioural effects depends on a constellation of individual, social, and contextual factors, including prior knowledge, motivational orientation, social reinforcement, and the presence or absence of critical scaffolding.</w:t>
      </w:r>
    </w:p>
    <w:p w14:paraId="33479EE3" w14:textId="349F9C9A" w:rsidR="00B9160E" w:rsidRPr="00704683" w:rsidRDefault="00B9160E" w:rsidP="00B9160E">
      <w:pPr>
        <w:jc w:val="both"/>
        <w:rPr>
          <w:sz w:val="20"/>
          <w:szCs w:val="20"/>
        </w:rPr>
      </w:pPr>
      <w:r w:rsidRPr="00704683">
        <w:rPr>
          <w:sz w:val="20"/>
          <w:szCs w:val="20"/>
        </w:rPr>
        <w:t xml:space="preserve">Research on misinformation and disinformation is particularly instructive here. Wardle and Derakhshan (2017) documented how repeated exposure to false or misleading content, even when the exposure is incidental, can gradually </w:t>
      </w:r>
      <w:r w:rsidR="00704683" w:rsidRPr="00704683">
        <w:rPr>
          <w:sz w:val="20"/>
          <w:szCs w:val="20"/>
        </w:rPr>
        <w:t>normalize</w:t>
      </w:r>
      <w:r w:rsidRPr="00704683">
        <w:rPr>
          <w:sz w:val="20"/>
          <w:szCs w:val="20"/>
        </w:rPr>
        <w:t xml:space="preserve"> that content and lower the threshold of scepticism users apply to subsequent claims. This "illusory truth effect"</w:t>
      </w:r>
      <w:r w:rsidR="00BA0C35">
        <w:rPr>
          <w:sz w:val="20"/>
          <w:szCs w:val="20"/>
        </w:rPr>
        <w:t xml:space="preserve">, </w:t>
      </w:r>
      <w:r w:rsidRPr="00704683">
        <w:rPr>
          <w:sz w:val="20"/>
          <w:szCs w:val="20"/>
        </w:rPr>
        <w:t xml:space="preserve">the tendency to rate frequently encountered claims as more credible, regardless of their actual </w:t>
      </w:r>
      <w:proofErr w:type="gramStart"/>
      <w:r w:rsidRPr="00704683">
        <w:rPr>
          <w:sz w:val="20"/>
          <w:szCs w:val="20"/>
        </w:rPr>
        <w:t>accuracy</w:t>
      </w:r>
      <w:r w:rsidR="00BA0C35">
        <w:rPr>
          <w:sz w:val="20"/>
          <w:szCs w:val="20"/>
        </w:rPr>
        <w:t xml:space="preserve">, </w:t>
      </w:r>
      <w:r w:rsidRPr="00704683">
        <w:rPr>
          <w:sz w:val="20"/>
          <w:szCs w:val="20"/>
        </w:rPr>
        <w:t xml:space="preserve"> has</w:t>
      </w:r>
      <w:proofErr w:type="gramEnd"/>
      <w:r w:rsidRPr="00704683">
        <w:rPr>
          <w:sz w:val="20"/>
          <w:szCs w:val="20"/>
        </w:rPr>
        <w:t xml:space="preserve"> been replicated across numerous experimental contexts and is especially pronounced in high-volume, algorithmically curated information environments (Pennycook et al., 2018).</w:t>
      </w:r>
    </w:p>
    <w:p w14:paraId="5DA72F9F" w14:textId="27514F83" w:rsidR="00B9160E" w:rsidRPr="00704683" w:rsidRDefault="00B9160E" w:rsidP="00B9160E">
      <w:pPr>
        <w:jc w:val="both"/>
        <w:rPr>
          <w:sz w:val="20"/>
          <w:szCs w:val="20"/>
        </w:rPr>
      </w:pPr>
      <w:r w:rsidRPr="00704683">
        <w:rPr>
          <w:sz w:val="20"/>
          <w:szCs w:val="20"/>
        </w:rPr>
        <w:t xml:space="preserve">Filter bubble and echo chamber research similarly cautions against assuming that more exposure translates straightforwardly to greater competence or critical awareness. Sunstein (2017) argued compellingly that </w:t>
      </w:r>
      <w:r w:rsidR="00704683" w:rsidRPr="00704683">
        <w:rPr>
          <w:sz w:val="20"/>
          <w:szCs w:val="20"/>
        </w:rPr>
        <w:t>personalization</w:t>
      </w:r>
      <w:r w:rsidRPr="00704683">
        <w:rPr>
          <w:sz w:val="20"/>
          <w:szCs w:val="20"/>
        </w:rPr>
        <w:t xml:space="preserve"> algorithms, by systematically amplifying ideologically congruent content while suppressing divergent perspectives, produce information environments in which users are paradoxically less equipped to evaluate the content they consume most frequently. Applied to AI content, this dynamic suggests that high exposure in algorithmically structured environments may entrench habitual consumption patterns rather than fostering the reflective engagement that responsible usage requires.</w:t>
      </w:r>
    </w:p>
    <w:p w14:paraId="71DAD9B3" w14:textId="23F2FF0E" w:rsidR="00B9160E" w:rsidRPr="00704683" w:rsidRDefault="00B9160E" w:rsidP="00B9160E">
      <w:pPr>
        <w:jc w:val="both"/>
        <w:rPr>
          <w:sz w:val="20"/>
          <w:szCs w:val="20"/>
        </w:rPr>
      </w:pPr>
      <w:r w:rsidRPr="00704683">
        <w:rPr>
          <w:sz w:val="20"/>
          <w:szCs w:val="20"/>
        </w:rPr>
        <w:lastRenderedPageBreak/>
        <w:t>There are, however, conditions under which exposure does appear to support more informed and responsible engagement. Research in digital media literacy suggests that when exposure is accompanied by structured critical reflection</w:t>
      </w:r>
      <w:r w:rsidR="00BA0C35">
        <w:rPr>
          <w:sz w:val="20"/>
          <w:szCs w:val="20"/>
        </w:rPr>
        <w:t xml:space="preserve">, </w:t>
      </w:r>
      <w:r w:rsidRPr="00704683">
        <w:rPr>
          <w:sz w:val="20"/>
          <w:szCs w:val="20"/>
        </w:rPr>
        <w:t>whether through formal education, community discussion, or platform-level design interventions</w:t>
      </w:r>
      <w:r w:rsidR="00BA0C35">
        <w:rPr>
          <w:sz w:val="20"/>
          <w:szCs w:val="20"/>
        </w:rPr>
        <w:t xml:space="preserve">, </w:t>
      </w:r>
      <w:r w:rsidRPr="00704683">
        <w:rPr>
          <w:sz w:val="20"/>
          <w:szCs w:val="20"/>
        </w:rPr>
        <w:t xml:space="preserve">users are better equipped to </w:t>
      </w:r>
      <w:r w:rsidR="00704683" w:rsidRPr="00704683">
        <w:rPr>
          <w:sz w:val="20"/>
          <w:szCs w:val="20"/>
        </w:rPr>
        <w:t>recognize</w:t>
      </w:r>
      <w:r w:rsidRPr="00704683">
        <w:rPr>
          <w:sz w:val="20"/>
          <w:szCs w:val="20"/>
        </w:rPr>
        <w:t xml:space="preserve"> AI-generated content, understand its mechanisms, and apply ethical reasoning to its use (Livingstone, 2004; Buckingham, 2007). The quality and framing of exposure, in other words, matters as much as its quantity.</w:t>
      </w:r>
    </w:p>
    <w:p w14:paraId="0C96417A" w14:textId="77777777" w:rsidR="00B9160E" w:rsidRDefault="00B9160E" w:rsidP="00B9160E">
      <w:pPr>
        <w:jc w:val="both"/>
        <w:rPr>
          <w:b/>
          <w:bCs/>
        </w:rPr>
      </w:pPr>
    </w:p>
    <w:p w14:paraId="3DD2093C" w14:textId="2E5EF97F" w:rsidR="00B9160E" w:rsidRPr="00704683" w:rsidRDefault="00B9160E" w:rsidP="00B9160E">
      <w:pPr>
        <w:jc w:val="both"/>
        <w:rPr>
          <w:b/>
          <w:bCs/>
          <w:sz w:val="22"/>
          <w:szCs w:val="22"/>
        </w:rPr>
      </w:pPr>
      <w:r w:rsidRPr="00704683">
        <w:rPr>
          <w:b/>
          <w:bCs/>
          <w:sz w:val="22"/>
          <w:szCs w:val="22"/>
        </w:rPr>
        <w:t>3. Theoretical Framework</w:t>
      </w:r>
    </w:p>
    <w:p w14:paraId="3DB9227B" w14:textId="77777777" w:rsidR="00B9160E" w:rsidRPr="00704683" w:rsidRDefault="00B9160E" w:rsidP="00B9160E">
      <w:pPr>
        <w:jc w:val="both"/>
        <w:rPr>
          <w:b/>
          <w:bCs/>
          <w:sz w:val="22"/>
          <w:szCs w:val="22"/>
        </w:rPr>
      </w:pPr>
      <w:r w:rsidRPr="00704683">
        <w:rPr>
          <w:b/>
          <w:bCs/>
          <w:sz w:val="22"/>
          <w:szCs w:val="22"/>
        </w:rPr>
        <w:t>3.1 Social Cognitive Theory as an Analytical Lens</w:t>
      </w:r>
    </w:p>
    <w:p w14:paraId="026CA0CE" w14:textId="4EBCDA9A" w:rsidR="00B9160E" w:rsidRPr="00704683" w:rsidRDefault="00B9160E" w:rsidP="00B9160E">
      <w:pPr>
        <w:jc w:val="both"/>
        <w:rPr>
          <w:sz w:val="20"/>
          <w:szCs w:val="20"/>
        </w:rPr>
      </w:pPr>
      <w:r w:rsidRPr="00704683">
        <w:rPr>
          <w:sz w:val="20"/>
          <w:szCs w:val="20"/>
        </w:rPr>
        <w:t>This paper draws primarily on Bandura's (1986) social cognitive theory as its analytical foundation, given the theory's established utility in explaining how individuals acquire behaviours and competencies through observation, modelling, and self-regulation within social environments. Social cognitive theory posits that learning and behaviour change are not simply products of direct reinforcement but emerge from a triadic interaction among personal cognitive factors, behavioural patterns, and environmental influences</w:t>
      </w:r>
      <w:r w:rsidR="00BA0C35">
        <w:rPr>
          <w:sz w:val="20"/>
          <w:szCs w:val="20"/>
        </w:rPr>
        <w:t xml:space="preserve">, </w:t>
      </w:r>
      <w:r w:rsidRPr="00704683">
        <w:rPr>
          <w:sz w:val="20"/>
          <w:szCs w:val="20"/>
        </w:rPr>
        <w:t>a dynamic Bandura termed "reciprocal determinism."</w:t>
      </w:r>
    </w:p>
    <w:p w14:paraId="1C61A354" w14:textId="4A76E1B2" w:rsidR="00B9160E" w:rsidRPr="00704683" w:rsidRDefault="00B9160E" w:rsidP="00B9160E">
      <w:pPr>
        <w:jc w:val="both"/>
        <w:rPr>
          <w:sz w:val="20"/>
          <w:szCs w:val="20"/>
        </w:rPr>
      </w:pPr>
      <w:r w:rsidRPr="00704683">
        <w:rPr>
          <w:sz w:val="20"/>
          <w:szCs w:val="20"/>
        </w:rPr>
        <w:t xml:space="preserve">In the context of AI content exposure, this framework is particularly generative. The environmental dimension encompasses the platforms, algorithms, and institutional structures through which AI content is encountered and mediated. The personal cognitive dimension includes individuals' prior knowledge of AI, their epistemic beliefs, self-efficacy regarding technology use, and motivational orientations toward critical engagement. The behavioural dimension captures the actual practices users adopt in relation to AI </w:t>
      </w:r>
      <w:proofErr w:type="gramStart"/>
      <w:r w:rsidRPr="00704683">
        <w:rPr>
          <w:sz w:val="20"/>
          <w:szCs w:val="20"/>
        </w:rPr>
        <w:t>content</w:t>
      </w:r>
      <w:r w:rsidR="00BA0C35">
        <w:rPr>
          <w:sz w:val="20"/>
          <w:szCs w:val="20"/>
        </w:rPr>
        <w:t xml:space="preserve">, </w:t>
      </w:r>
      <w:r w:rsidRPr="00704683">
        <w:rPr>
          <w:sz w:val="20"/>
          <w:szCs w:val="20"/>
        </w:rPr>
        <w:t xml:space="preserve"> whether</w:t>
      </w:r>
      <w:proofErr w:type="gramEnd"/>
      <w:r w:rsidRPr="00704683">
        <w:rPr>
          <w:sz w:val="20"/>
          <w:szCs w:val="20"/>
        </w:rPr>
        <w:t xml:space="preserve"> they verify, share, question, or unreflectively consume what they encounter.</w:t>
      </w:r>
    </w:p>
    <w:p w14:paraId="68C3929A" w14:textId="77777777" w:rsidR="00B9160E" w:rsidRPr="00704683" w:rsidRDefault="00B9160E" w:rsidP="00B9160E">
      <w:pPr>
        <w:jc w:val="both"/>
        <w:rPr>
          <w:sz w:val="20"/>
          <w:szCs w:val="20"/>
        </w:rPr>
      </w:pPr>
      <w:r w:rsidRPr="00704683">
        <w:rPr>
          <w:sz w:val="20"/>
          <w:szCs w:val="20"/>
        </w:rPr>
        <w:t>Critically, social cognitive theory draws attention to the role of observational learning and modelling in shaping behaviour. Users do not develop their AI usage practices in isolation; they observe how peers, influencers, educators, and public figures engage with AI content, and these observations shape their own normative expectations. If dominant social models treat AI-generated content as inherently trustworthy, authoritative, or unproblematic, then exposure to AI content within those social contexts is likely to reproduce uncritical usage patterns, regardless of individuals' cognitive capacity for scepticism (Bandura, 1986; Cotter, 2019).</w:t>
      </w:r>
    </w:p>
    <w:p w14:paraId="420433A4" w14:textId="77777777" w:rsidR="00B9160E" w:rsidRDefault="00B9160E" w:rsidP="00B9160E">
      <w:pPr>
        <w:jc w:val="both"/>
        <w:rPr>
          <w:b/>
          <w:bCs/>
        </w:rPr>
      </w:pPr>
    </w:p>
    <w:p w14:paraId="31DBFA8F" w14:textId="3E905470" w:rsidR="00B9160E" w:rsidRPr="00704683" w:rsidRDefault="00B9160E" w:rsidP="00B9160E">
      <w:pPr>
        <w:jc w:val="both"/>
        <w:rPr>
          <w:b/>
          <w:bCs/>
          <w:sz w:val="22"/>
          <w:szCs w:val="22"/>
        </w:rPr>
      </w:pPr>
      <w:r w:rsidRPr="00704683">
        <w:rPr>
          <w:b/>
          <w:bCs/>
          <w:sz w:val="22"/>
          <w:szCs w:val="22"/>
        </w:rPr>
        <w:t>3.2 Extending the Framework: Digital Literacy and Ethical Agency</w:t>
      </w:r>
    </w:p>
    <w:p w14:paraId="5F2806E8" w14:textId="16647CA4" w:rsidR="00B9160E" w:rsidRPr="00704683" w:rsidRDefault="00B9160E" w:rsidP="00B9160E">
      <w:pPr>
        <w:jc w:val="both"/>
        <w:rPr>
          <w:sz w:val="20"/>
          <w:szCs w:val="20"/>
        </w:rPr>
      </w:pPr>
      <w:r w:rsidRPr="00704683">
        <w:rPr>
          <w:sz w:val="20"/>
          <w:szCs w:val="20"/>
        </w:rPr>
        <w:t xml:space="preserve">Social cognitive theory is supplemented in this framework by digital literacy scholarship and AI ethics theory to address dimensions of responsible usage that purely behavioural accounts cannot fully capture. Livingstone (2004) </w:t>
      </w:r>
      <w:r w:rsidR="006E147F" w:rsidRPr="00704683">
        <w:rPr>
          <w:sz w:val="20"/>
          <w:szCs w:val="20"/>
        </w:rPr>
        <w:t>conceptualized</w:t>
      </w:r>
      <w:r w:rsidRPr="00704683">
        <w:rPr>
          <w:sz w:val="20"/>
          <w:szCs w:val="20"/>
        </w:rPr>
        <w:t xml:space="preserve"> digital literacy not merely as a set of technical skills but as a form of critical agency</w:t>
      </w:r>
      <w:r w:rsidR="006E147F">
        <w:rPr>
          <w:sz w:val="20"/>
          <w:szCs w:val="20"/>
        </w:rPr>
        <w:t>,</w:t>
      </w:r>
      <w:r w:rsidRPr="00704683">
        <w:rPr>
          <w:sz w:val="20"/>
          <w:szCs w:val="20"/>
        </w:rPr>
        <w:t xml:space="preserve"> the capacity to use digital tools reflexively, with awareness of their social and political embeddedness. This understanding resonates with the civic and ethical dimensions of responsible AI usage articulated in Section 2.2.</w:t>
      </w:r>
    </w:p>
    <w:p w14:paraId="1D9DCCA6" w14:textId="2E73F76B" w:rsidR="00B9160E" w:rsidRPr="00704683" w:rsidRDefault="00B9160E" w:rsidP="00B9160E">
      <w:pPr>
        <w:jc w:val="both"/>
        <w:rPr>
          <w:sz w:val="20"/>
          <w:szCs w:val="20"/>
        </w:rPr>
      </w:pPr>
      <w:r w:rsidRPr="00704683">
        <w:rPr>
          <w:sz w:val="20"/>
          <w:szCs w:val="20"/>
        </w:rPr>
        <w:t xml:space="preserve">Floridi et al.'s (2018) AI4People framework contributes a normative layer by specifying the ethical </w:t>
      </w:r>
      <w:proofErr w:type="gramStart"/>
      <w:r w:rsidRPr="00704683">
        <w:rPr>
          <w:sz w:val="20"/>
          <w:szCs w:val="20"/>
        </w:rPr>
        <w:t>principles</w:t>
      </w:r>
      <w:r w:rsidR="006E147F">
        <w:rPr>
          <w:sz w:val="20"/>
          <w:szCs w:val="20"/>
        </w:rPr>
        <w:t xml:space="preserve">, </w:t>
      </w:r>
      <w:r w:rsidRPr="00704683">
        <w:rPr>
          <w:sz w:val="20"/>
          <w:szCs w:val="20"/>
        </w:rPr>
        <w:t xml:space="preserve"> beneficence</w:t>
      </w:r>
      <w:proofErr w:type="gramEnd"/>
      <w:r w:rsidRPr="00704683">
        <w:rPr>
          <w:sz w:val="20"/>
          <w:szCs w:val="20"/>
        </w:rPr>
        <w:t>, non-maleficence, autonomy, justice, and explicability</w:t>
      </w:r>
      <w:r w:rsidR="006E147F">
        <w:rPr>
          <w:sz w:val="20"/>
          <w:szCs w:val="20"/>
        </w:rPr>
        <w:t xml:space="preserve">, </w:t>
      </w:r>
      <w:r w:rsidRPr="00704683">
        <w:rPr>
          <w:sz w:val="20"/>
          <w:szCs w:val="20"/>
        </w:rPr>
        <w:t xml:space="preserve">that should govern AI design and use. These principles serve as normative anchors against which the responsible or irresponsible character of actual usage practices can be assessed. The framework also highlights the structural dimension of responsibility, </w:t>
      </w:r>
      <w:r w:rsidRPr="00704683">
        <w:rPr>
          <w:sz w:val="20"/>
          <w:szCs w:val="20"/>
        </w:rPr>
        <w:lastRenderedPageBreak/>
        <w:t>noting that individual user behaviour cannot be evaluated in isolation from the institutional and design conditions within which that behaviour occurs.</w:t>
      </w:r>
    </w:p>
    <w:p w14:paraId="7F63DABC" w14:textId="7865BED3" w:rsidR="00B9160E" w:rsidRDefault="00B9160E" w:rsidP="00B9160E">
      <w:pPr>
        <w:jc w:val="both"/>
        <w:rPr>
          <w:sz w:val="20"/>
          <w:szCs w:val="20"/>
        </w:rPr>
      </w:pPr>
      <w:r w:rsidRPr="00704683">
        <w:rPr>
          <w:sz w:val="20"/>
          <w:szCs w:val="20"/>
        </w:rPr>
        <w:t>Together, these theoretical resources support an understanding of the exposure-responsibility relationship as one that is structurally conditioned, socially mediated, and individually variable</w:t>
      </w:r>
      <w:r w:rsidR="006E147F">
        <w:rPr>
          <w:sz w:val="20"/>
          <w:szCs w:val="20"/>
        </w:rPr>
        <w:t>,</w:t>
      </w:r>
      <w:r w:rsidRPr="00704683">
        <w:rPr>
          <w:sz w:val="20"/>
          <w:szCs w:val="20"/>
        </w:rPr>
        <w:t xml:space="preserve"> resisting both technological determinism and naive individualism in its account of how AI usage habits form and change.</w:t>
      </w:r>
    </w:p>
    <w:p w14:paraId="14D622A7" w14:textId="77777777" w:rsidR="00704683" w:rsidRPr="00704683" w:rsidRDefault="00704683" w:rsidP="00B9160E">
      <w:pPr>
        <w:jc w:val="both"/>
        <w:rPr>
          <w:sz w:val="20"/>
          <w:szCs w:val="20"/>
        </w:rPr>
      </w:pPr>
    </w:p>
    <w:p w14:paraId="7A5DA19F" w14:textId="363DE415" w:rsidR="00B9160E" w:rsidRPr="00704683" w:rsidRDefault="00B9160E" w:rsidP="00B9160E">
      <w:pPr>
        <w:jc w:val="both"/>
        <w:rPr>
          <w:b/>
          <w:bCs/>
          <w:sz w:val="22"/>
          <w:szCs w:val="22"/>
        </w:rPr>
      </w:pPr>
      <w:r w:rsidRPr="00704683">
        <w:rPr>
          <w:b/>
          <w:bCs/>
          <w:sz w:val="22"/>
          <w:szCs w:val="22"/>
        </w:rPr>
        <w:t>4. The Exposure-Responsibility Nexus: Discussion</w:t>
      </w:r>
    </w:p>
    <w:p w14:paraId="750E5096" w14:textId="77777777" w:rsidR="00B9160E" w:rsidRPr="00704683" w:rsidRDefault="00B9160E" w:rsidP="00B9160E">
      <w:pPr>
        <w:jc w:val="both"/>
        <w:rPr>
          <w:b/>
          <w:bCs/>
          <w:sz w:val="22"/>
          <w:szCs w:val="22"/>
        </w:rPr>
      </w:pPr>
      <w:r w:rsidRPr="00704683">
        <w:rPr>
          <w:b/>
          <w:bCs/>
          <w:sz w:val="22"/>
          <w:szCs w:val="22"/>
        </w:rPr>
        <w:t>4.1 Dimensions of AI Content Exposure</w:t>
      </w:r>
    </w:p>
    <w:p w14:paraId="41369197" w14:textId="586D1F27" w:rsidR="00B9160E" w:rsidRPr="00704683" w:rsidRDefault="00B9160E" w:rsidP="00B9160E">
      <w:pPr>
        <w:jc w:val="both"/>
        <w:rPr>
          <w:sz w:val="20"/>
          <w:szCs w:val="20"/>
        </w:rPr>
      </w:pPr>
      <w:r w:rsidRPr="00704683">
        <w:rPr>
          <w:sz w:val="20"/>
          <w:szCs w:val="20"/>
        </w:rPr>
        <w:t>Not all AI content exposure is equivalent, and meaningful analysis requires disaggregating "exposure" into its constituent dimensions. Volume refers to the sheer quantity of AI-generated content encountered over a given period. Awareness refers to the degree to which users know they are engaging with AI-generated content, as opposed to assuming they are engaging with human-produced material. Context refers to the social and institutional setting in which the encounter occurs</w:t>
      </w:r>
      <w:r w:rsidR="006E147F">
        <w:rPr>
          <w:sz w:val="20"/>
          <w:szCs w:val="20"/>
        </w:rPr>
        <w:t>,</w:t>
      </w:r>
      <w:r w:rsidRPr="00704683">
        <w:rPr>
          <w:sz w:val="20"/>
          <w:szCs w:val="20"/>
        </w:rPr>
        <w:t xml:space="preserve"> whether in a classroom, a professional environment, a social media feed, or a casual entertainment context. Finally, quality refers to the epistemic and ethical characteristics of the AI content encountered, including its accuracy, transparency, and potential for harm.</w:t>
      </w:r>
    </w:p>
    <w:p w14:paraId="657C1483" w14:textId="439418A1" w:rsidR="00B9160E" w:rsidRPr="00704683" w:rsidRDefault="00B9160E" w:rsidP="00B9160E">
      <w:pPr>
        <w:jc w:val="both"/>
        <w:rPr>
          <w:sz w:val="20"/>
          <w:szCs w:val="20"/>
        </w:rPr>
      </w:pPr>
      <w:r w:rsidRPr="00704683">
        <w:rPr>
          <w:sz w:val="20"/>
          <w:szCs w:val="20"/>
        </w:rPr>
        <w:t>Each of these dimensions interacts with the others to produce different implications for responsible usage. High-volume exposure in conditions of low awareness, for instance, is likely to be particularly deleterious to responsible usage, as users accumulate AI content consumption without the cognitive scaffolding required to reflect critically on what they are consuming. Conversely, even relatively low-volume exposure in conditions of high awareness and contextual support</w:t>
      </w:r>
      <w:r w:rsidR="006E147F">
        <w:rPr>
          <w:sz w:val="20"/>
          <w:szCs w:val="20"/>
        </w:rPr>
        <w:t xml:space="preserve">, </w:t>
      </w:r>
      <w:r w:rsidRPr="00704683">
        <w:rPr>
          <w:sz w:val="20"/>
          <w:szCs w:val="20"/>
        </w:rPr>
        <w:t>for example, within a well-designed AI literacy curriculum</w:t>
      </w:r>
      <w:r w:rsidR="006E147F">
        <w:rPr>
          <w:sz w:val="20"/>
          <w:szCs w:val="20"/>
        </w:rPr>
        <w:t xml:space="preserve">, </w:t>
      </w:r>
      <w:r w:rsidRPr="00704683">
        <w:rPr>
          <w:sz w:val="20"/>
          <w:szCs w:val="20"/>
        </w:rPr>
        <w:t>may be sufficient to cultivate robust responsible usage practices (Livingstone, 2004; UNESCO, 2021).</w:t>
      </w:r>
    </w:p>
    <w:p w14:paraId="758B4D8F" w14:textId="77777777" w:rsidR="00B9160E" w:rsidRPr="00B9160E" w:rsidRDefault="00B9160E" w:rsidP="00B9160E">
      <w:pPr>
        <w:jc w:val="both"/>
      </w:pPr>
    </w:p>
    <w:p w14:paraId="642BCA71" w14:textId="77777777" w:rsidR="00B9160E" w:rsidRPr="00704683" w:rsidRDefault="00B9160E" w:rsidP="00B9160E">
      <w:pPr>
        <w:jc w:val="both"/>
        <w:rPr>
          <w:b/>
          <w:bCs/>
          <w:sz w:val="22"/>
          <w:szCs w:val="22"/>
        </w:rPr>
      </w:pPr>
      <w:r w:rsidRPr="00704683">
        <w:rPr>
          <w:b/>
          <w:bCs/>
          <w:sz w:val="22"/>
          <w:szCs w:val="22"/>
        </w:rPr>
        <w:t>4.2 Mediating Factors: What Determines Whether Exposure Cultivates Responsibility</w:t>
      </w:r>
    </w:p>
    <w:p w14:paraId="7F023D9E" w14:textId="431E811E" w:rsidR="00B9160E" w:rsidRPr="00704683" w:rsidRDefault="00B9160E" w:rsidP="00B9160E">
      <w:pPr>
        <w:jc w:val="both"/>
        <w:rPr>
          <w:sz w:val="20"/>
          <w:szCs w:val="20"/>
        </w:rPr>
      </w:pPr>
      <w:r w:rsidRPr="00704683">
        <w:rPr>
          <w:sz w:val="20"/>
          <w:szCs w:val="20"/>
        </w:rPr>
        <w:t xml:space="preserve">The relationship between exposure and responsible usage is not direct but is mediated by a range of individual and structural factors. At the individual level, prior digital literacy and critical thinking disposition are among the strongest predictors of whether exposure translates into responsible engagement. Individuals who bring well-developed habits of epistemic scepticism to their AI content encounters are better positioned to resist the </w:t>
      </w:r>
      <w:r w:rsidR="006E147F" w:rsidRPr="00704683">
        <w:rPr>
          <w:sz w:val="20"/>
          <w:szCs w:val="20"/>
        </w:rPr>
        <w:t>normalizing</w:t>
      </w:r>
      <w:r w:rsidRPr="00704683">
        <w:rPr>
          <w:sz w:val="20"/>
          <w:szCs w:val="20"/>
        </w:rPr>
        <w:t xml:space="preserve"> effects of high-volume exposure and to apply consistent ethical reasoning across different usage contexts (Pennycook &amp; Rand, 2019).</w:t>
      </w:r>
    </w:p>
    <w:p w14:paraId="1402DE2C" w14:textId="7A0F2365" w:rsidR="00B9160E" w:rsidRPr="00704683" w:rsidRDefault="00B9160E" w:rsidP="00B9160E">
      <w:pPr>
        <w:jc w:val="both"/>
        <w:rPr>
          <w:sz w:val="20"/>
          <w:szCs w:val="20"/>
        </w:rPr>
      </w:pPr>
      <w:r w:rsidRPr="00704683">
        <w:rPr>
          <w:sz w:val="20"/>
          <w:szCs w:val="20"/>
        </w:rPr>
        <w:t>Self-efficacy</w:t>
      </w:r>
      <w:r w:rsidR="006E147F">
        <w:rPr>
          <w:sz w:val="20"/>
          <w:szCs w:val="20"/>
        </w:rPr>
        <w:t xml:space="preserve">, </w:t>
      </w:r>
      <w:r w:rsidRPr="00704683">
        <w:rPr>
          <w:sz w:val="20"/>
          <w:szCs w:val="20"/>
        </w:rPr>
        <w:t>a construct central to Bandura's (1986) theoretical framework</w:t>
      </w:r>
      <w:r w:rsidR="006E147F">
        <w:rPr>
          <w:sz w:val="20"/>
          <w:szCs w:val="20"/>
        </w:rPr>
        <w:t xml:space="preserve">, </w:t>
      </w:r>
      <w:r w:rsidRPr="00704683">
        <w:rPr>
          <w:sz w:val="20"/>
          <w:szCs w:val="20"/>
        </w:rPr>
        <w:t>also plays a significant mediating role. Users who believe themselves capable of understanding and managing AI content are more likely to engage in the verification behaviours, reflective practices, and ethical deliberation that constitute responsible usage. Conversely, users who feel overwhelmed or disempowered by AI technologies may retreat into passive consumption, deferring to algorithmic authority rather than exercising independent judgement (Winfield &amp; Jirotka, 2018).</w:t>
      </w:r>
    </w:p>
    <w:p w14:paraId="4D11F68E" w14:textId="0679378E" w:rsidR="00B9160E" w:rsidRPr="00704683" w:rsidRDefault="00B9160E" w:rsidP="00B9160E">
      <w:pPr>
        <w:jc w:val="both"/>
        <w:rPr>
          <w:sz w:val="20"/>
          <w:szCs w:val="20"/>
        </w:rPr>
      </w:pPr>
      <w:r w:rsidRPr="00704683">
        <w:rPr>
          <w:sz w:val="20"/>
          <w:szCs w:val="20"/>
        </w:rPr>
        <w:t>At the structural level, platform design and institutional environment are powerful mediating factors. Platforms that invest in transparency mechanisms</w:t>
      </w:r>
      <w:r w:rsidR="006E147F">
        <w:rPr>
          <w:sz w:val="20"/>
          <w:szCs w:val="20"/>
        </w:rPr>
        <w:t xml:space="preserve">, </w:t>
      </w:r>
      <w:r w:rsidRPr="00704683">
        <w:rPr>
          <w:sz w:val="20"/>
          <w:szCs w:val="20"/>
        </w:rPr>
        <w:t>such as content labelling, source attribution, and explainability features</w:t>
      </w:r>
      <w:r w:rsidR="006E147F">
        <w:rPr>
          <w:sz w:val="20"/>
          <w:szCs w:val="20"/>
        </w:rPr>
        <w:t>,</w:t>
      </w:r>
      <w:r w:rsidRPr="00704683">
        <w:rPr>
          <w:sz w:val="20"/>
          <w:szCs w:val="20"/>
        </w:rPr>
        <w:t xml:space="preserve"> create conditions more conducive to responsible usage than those that </w:t>
      </w:r>
      <w:r w:rsidR="006E147F" w:rsidRPr="00704683">
        <w:rPr>
          <w:sz w:val="20"/>
          <w:szCs w:val="20"/>
        </w:rPr>
        <w:t>prioritize</w:t>
      </w:r>
      <w:r w:rsidRPr="00704683">
        <w:rPr>
          <w:sz w:val="20"/>
          <w:szCs w:val="20"/>
        </w:rPr>
        <w:t xml:space="preserve"> engagement metrics at the expense of informational integrity (Mittelstadt et al., 2016; Diakopoulos, 2016). Educational institutions that incorporate AI literacy into their curricula provide students with the conceptual tools to </w:t>
      </w:r>
      <w:r w:rsidRPr="00704683">
        <w:rPr>
          <w:sz w:val="20"/>
          <w:szCs w:val="20"/>
        </w:rPr>
        <w:lastRenderedPageBreak/>
        <w:t>approach AI content with informed scepticism, while workplaces that implement ethical AI guidelines shape professional norms around responsible use (Jobin et al., 2019; UNESCO, 2021).</w:t>
      </w:r>
    </w:p>
    <w:p w14:paraId="27214080" w14:textId="77777777" w:rsidR="00B9160E" w:rsidRPr="00B9160E" w:rsidRDefault="00B9160E" w:rsidP="00B9160E">
      <w:pPr>
        <w:jc w:val="both"/>
      </w:pPr>
    </w:p>
    <w:p w14:paraId="452C84BF" w14:textId="372C4235" w:rsidR="00B9160E" w:rsidRPr="00704683" w:rsidRDefault="00B9160E" w:rsidP="00B9160E">
      <w:pPr>
        <w:jc w:val="both"/>
        <w:rPr>
          <w:b/>
          <w:bCs/>
          <w:sz w:val="22"/>
          <w:szCs w:val="22"/>
        </w:rPr>
      </w:pPr>
      <w:r w:rsidRPr="00704683">
        <w:rPr>
          <w:b/>
          <w:bCs/>
          <w:sz w:val="22"/>
          <w:szCs w:val="22"/>
        </w:rPr>
        <w:t xml:space="preserve">4.3 The Risk of </w:t>
      </w:r>
      <w:r w:rsidR="006E147F" w:rsidRPr="00704683">
        <w:rPr>
          <w:b/>
          <w:bCs/>
          <w:sz w:val="22"/>
          <w:szCs w:val="22"/>
        </w:rPr>
        <w:t>Normalization</w:t>
      </w:r>
      <w:r w:rsidRPr="00704683">
        <w:rPr>
          <w:b/>
          <w:bCs/>
          <w:sz w:val="22"/>
          <w:szCs w:val="22"/>
        </w:rPr>
        <w:t xml:space="preserve"> and Cognitive Offloading</w:t>
      </w:r>
    </w:p>
    <w:p w14:paraId="57ED6116" w14:textId="0F502AB7" w:rsidR="00B9160E" w:rsidRPr="00704683" w:rsidRDefault="00B9160E" w:rsidP="00B9160E">
      <w:pPr>
        <w:jc w:val="both"/>
        <w:rPr>
          <w:sz w:val="20"/>
          <w:szCs w:val="20"/>
        </w:rPr>
      </w:pPr>
      <w:r w:rsidRPr="00704683">
        <w:rPr>
          <w:sz w:val="20"/>
          <w:szCs w:val="20"/>
        </w:rPr>
        <w:t xml:space="preserve">One of the most significant risks associated with high-volume AI content exposure is the process of </w:t>
      </w:r>
      <w:r w:rsidR="006E147F" w:rsidRPr="00704683">
        <w:rPr>
          <w:sz w:val="20"/>
          <w:szCs w:val="20"/>
        </w:rPr>
        <w:t>normalization</w:t>
      </w:r>
      <w:r w:rsidR="006E147F">
        <w:rPr>
          <w:sz w:val="20"/>
          <w:szCs w:val="20"/>
        </w:rPr>
        <w:t>,</w:t>
      </w:r>
      <w:r w:rsidRPr="00704683">
        <w:rPr>
          <w:sz w:val="20"/>
          <w:szCs w:val="20"/>
        </w:rPr>
        <w:t xml:space="preserve"> the gradual erosion of critical distance as AI-generated content becomes a routine and unremarkable feature of the information environment. Drawing on Wardle and Derakhshan's (2017) analysis of information disorder, it is possible to trace a trajectory from initial awareness of AI content as a novel category requiring deliberate evaluation to its eventual absorption into the background of taken-for-granted information sources. As this </w:t>
      </w:r>
      <w:r w:rsidR="006E147F" w:rsidRPr="00704683">
        <w:rPr>
          <w:sz w:val="20"/>
          <w:szCs w:val="20"/>
        </w:rPr>
        <w:t>normalization</w:t>
      </w:r>
      <w:r w:rsidRPr="00704683">
        <w:rPr>
          <w:sz w:val="20"/>
          <w:szCs w:val="20"/>
        </w:rPr>
        <w:t xml:space="preserve"> deepens, the likelihood of responsible usage</w:t>
      </w:r>
      <w:r w:rsidR="006E147F">
        <w:rPr>
          <w:sz w:val="20"/>
          <w:szCs w:val="20"/>
        </w:rPr>
        <w:t>,</w:t>
      </w:r>
      <w:r w:rsidRPr="00704683">
        <w:rPr>
          <w:sz w:val="20"/>
          <w:szCs w:val="20"/>
        </w:rPr>
        <w:t xml:space="preserve"> in the sense of active epistemic and ethical engagement</w:t>
      </w:r>
      <w:r w:rsidR="006E147F">
        <w:rPr>
          <w:sz w:val="20"/>
          <w:szCs w:val="20"/>
        </w:rPr>
        <w:t xml:space="preserve">, </w:t>
      </w:r>
      <w:r w:rsidRPr="00704683">
        <w:rPr>
          <w:sz w:val="20"/>
          <w:szCs w:val="20"/>
        </w:rPr>
        <w:t>diminishes.</w:t>
      </w:r>
    </w:p>
    <w:p w14:paraId="48B270B1" w14:textId="6CC0AB5A" w:rsidR="00B9160E" w:rsidRPr="00704683" w:rsidRDefault="00B9160E" w:rsidP="00B9160E">
      <w:pPr>
        <w:jc w:val="both"/>
        <w:rPr>
          <w:sz w:val="20"/>
          <w:szCs w:val="20"/>
        </w:rPr>
      </w:pPr>
      <w:r w:rsidRPr="00704683">
        <w:rPr>
          <w:sz w:val="20"/>
          <w:szCs w:val="20"/>
        </w:rPr>
        <w:t xml:space="preserve">Related to </w:t>
      </w:r>
      <w:r w:rsidR="006E147F" w:rsidRPr="00704683">
        <w:rPr>
          <w:sz w:val="20"/>
          <w:szCs w:val="20"/>
        </w:rPr>
        <w:t>normalization</w:t>
      </w:r>
      <w:r w:rsidRPr="00704683">
        <w:rPr>
          <w:sz w:val="20"/>
          <w:szCs w:val="20"/>
        </w:rPr>
        <w:t xml:space="preserve"> is the phenomenon of cognitive offloading, whereby users progressively delegate cognitive tasks</w:t>
      </w:r>
      <w:r w:rsidR="006E147F">
        <w:rPr>
          <w:sz w:val="20"/>
          <w:szCs w:val="20"/>
        </w:rPr>
        <w:t xml:space="preserve">, </w:t>
      </w:r>
      <w:r w:rsidRPr="00704683">
        <w:rPr>
          <w:sz w:val="20"/>
          <w:szCs w:val="20"/>
        </w:rPr>
        <w:t>including judgement, reasoning, and decision-making</w:t>
      </w:r>
      <w:r w:rsidR="006E147F">
        <w:rPr>
          <w:sz w:val="20"/>
          <w:szCs w:val="20"/>
        </w:rPr>
        <w:t xml:space="preserve">, </w:t>
      </w:r>
      <w:r w:rsidRPr="00704683">
        <w:rPr>
          <w:sz w:val="20"/>
          <w:szCs w:val="20"/>
        </w:rPr>
        <w:t>to AI systems (Bostrom, 2014; Russell, 2019). While cognitive offloading can enhance efficiency and expand human capability in certain contexts, its unreflective application risks undermining the very epistemic capacities that responsible AI usage requires. When users routinely accept AI outputs without critical interrogation, they not only expose themselves to the risk of acting on erroneous or biased information but also contribute to broader institutional cultures in which AI authority is treated as self-validating.</w:t>
      </w:r>
    </w:p>
    <w:p w14:paraId="63137BCF" w14:textId="77777777" w:rsidR="00704683" w:rsidRDefault="00704683" w:rsidP="00B9160E">
      <w:pPr>
        <w:jc w:val="both"/>
        <w:rPr>
          <w:b/>
          <w:bCs/>
        </w:rPr>
      </w:pPr>
    </w:p>
    <w:p w14:paraId="009A1F21" w14:textId="75FC1736" w:rsidR="00B9160E" w:rsidRPr="00704683" w:rsidRDefault="00B9160E" w:rsidP="00B9160E">
      <w:pPr>
        <w:jc w:val="both"/>
        <w:rPr>
          <w:b/>
          <w:bCs/>
          <w:sz w:val="22"/>
          <w:szCs w:val="22"/>
        </w:rPr>
      </w:pPr>
      <w:r w:rsidRPr="00704683">
        <w:rPr>
          <w:b/>
          <w:bCs/>
          <w:sz w:val="22"/>
          <w:szCs w:val="22"/>
        </w:rPr>
        <w:t>4.4 Pathways Toward Responsible Usage</w:t>
      </w:r>
    </w:p>
    <w:p w14:paraId="33A8ECE3" w14:textId="29777300" w:rsidR="00B9160E" w:rsidRPr="00704683" w:rsidRDefault="00B9160E" w:rsidP="00B9160E">
      <w:pPr>
        <w:jc w:val="both"/>
        <w:rPr>
          <w:sz w:val="20"/>
          <w:szCs w:val="20"/>
        </w:rPr>
      </w:pPr>
      <w:r w:rsidRPr="00704683">
        <w:rPr>
          <w:sz w:val="20"/>
          <w:szCs w:val="20"/>
        </w:rPr>
        <w:t xml:space="preserve">Despite the risks outlined above, there are clear and evidence-supported pathways through which AI content exposure can be </w:t>
      </w:r>
      <w:r w:rsidR="006E147F" w:rsidRPr="00704683">
        <w:rPr>
          <w:sz w:val="20"/>
          <w:szCs w:val="20"/>
        </w:rPr>
        <w:t>channeled</w:t>
      </w:r>
      <w:r w:rsidRPr="00704683">
        <w:rPr>
          <w:sz w:val="20"/>
          <w:szCs w:val="20"/>
        </w:rPr>
        <w:t xml:space="preserve"> toward responsible usage outcomes. Digital literacy education, both formal and informal, remains the most consistently supported intervention in </w:t>
      </w:r>
      <w:r w:rsidR="006E147F" w:rsidRPr="00704683">
        <w:rPr>
          <w:sz w:val="20"/>
          <w:szCs w:val="20"/>
        </w:rPr>
        <w:t>literature</w:t>
      </w:r>
      <w:r w:rsidRPr="00704683">
        <w:rPr>
          <w:sz w:val="20"/>
          <w:szCs w:val="20"/>
        </w:rPr>
        <w:t>. Studies across multiple national contexts have demonstrated that structured AI literacy programmes</w:t>
      </w:r>
      <w:r w:rsidR="006E147F">
        <w:rPr>
          <w:sz w:val="20"/>
          <w:szCs w:val="20"/>
        </w:rPr>
        <w:t xml:space="preserve">, </w:t>
      </w:r>
      <w:r w:rsidRPr="00704683">
        <w:rPr>
          <w:sz w:val="20"/>
          <w:szCs w:val="20"/>
        </w:rPr>
        <w:t>those that engage learners not merely with the technical mechanics of AI but with its ethical, social, and epistemic dimensions</w:t>
      </w:r>
      <w:r w:rsidR="006E147F">
        <w:rPr>
          <w:sz w:val="20"/>
          <w:szCs w:val="20"/>
        </w:rPr>
        <w:t xml:space="preserve">, </w:t>
      </w:r>
      <w:r w:rsidRPr="00704683">
        <w:rPr>
          <w:sz w:val="20"/>
          <w:szCs w:val="20"/>
        </w:rPr>
        <w:t>produce measurable improvements in critical engagement with AI content (Livingstone, 2004; UNESCO, 2021).</w:t>
      </w:r>
    </w:p>
    <w:p w14:paraId="72948745" w14:textId="15A78816" w:rsidR="00B9160E" w:rsidRPr="00704683" w:rsidRDefault="00B9160E" w:rsidP="00B9160E">
      <w:pPr>
        <w:jc w:val="both"/>
        <w:rPr>
          <w:sz w:val="20"/>
          <w:szCs w:val="20"/>
        </w:rPr>
      </w:pPr>
      <w:r w:rsidRPr="00704683">
        <w:rPr>
          <w:sz w:val="20"/>
          <w:szCs w:val="20"/>
        </w:rPr>
        <w:t>Community-based approaches also hold considerable promise. When individuals engage with AI content in social contexts that model critical usage</w:t>
      </w:r>
      <w:r w:rsidR="006E147F">
        <w:rPr>
          <w:sz w:val="20"/>
          <w:szCs w:val="20"/>
        </w:rPr>
        <w:t>,</w:t>
      </w:r>
      <w:r w:rsidRPr="00704683">
        <w:rPr>
          <w:sz w:val="20"/>
          <w:szCs w:val="20"/>
        </w:rPr>
        <w:t xml:space="preserve"> through peer discussion, collaborative verification, or community norm-setting</w:t>
      </w:r>
      <w:r w:rsidR="006E147F">
        <w:rPr>
          <w:sz w:val="20"/>
          <w:szCs w:val="20"/>
        </w:rPr>
        <w:t xml:space="preserve">, </w:t>
      </w:r>
      <w:r w:rsidRPr="00704683">
        <w:rPr>
          <w:sz w:val="20"/>
          <w:szCs w:val="20"/>
        </w:rPr>
        <w:t>the social cognitive mechanisms described by Bandura (1986) can work in favour of responsible practices rather than against them. This finding underscores the importance of the social environment in shaping AI usage norms and suggests that interventions targeting communities and institutions, rather than individuals in isolation, may be particularly effective.</w:t>
      </w:r>
    </w:p>
    <w:p w14:paraId="06C89939" w14:textId="0A0442E0" w:rsidR="00704683" w:rsidRDefault="00B9160E" w:rsidP="00B9160E">
      <w:pPr>
        <w:jc w:val="both"/>
        <w:rPr>
          <w:sz w:val="20"/>
          <w:szCs w:val="20"/>
        </w:rPr>
      </w:pPr>
      <w:r w:rsidRPr="00704683">
        <w:rPr>
          <w:sz w:val="20"/>
          <w:szCs w:val="20"/>
        </w:rPr>
        <w:t>Platform-level design interventions represent a third pathway. Diakopoulos (2016) argued that algorithmic accountability</w:t>
      </w:r>
      <w:r w:rsidR="006E147F">
        <w:rPr>
          <w:sz w:val="20"/>
          <w:szCs w:val="20"/>
        </w:rPr>
        <w:t xml:space="preserve">, </w:t>
      </w:r>
      <w:r w:rsidRPr="00704683">
        <w:rPr>
          <w:sz w:val="20"/>
          <w:szCs w:val="20"/>
        </w:rPr>
        <w:t>the systematic disclosure of how automated systems make decisions about content</w:t>
      </w:r>
      <w:r w:rsidR="006E147F">
        <w:rPr>
          <w:sz w:val="20"/>
          <w:szCs w:val="20"/>
        </w:rPr>
        <w:t>,</w:t>
      </w:r>
      <w:r w:rsidRPr="00704683">
        <w:rPr>
          <w:sz w:val="20"/>
          <w:szCs w:val="20"/>
        </w:rPr>
        <w:t xml:space="preserve"> is a prerequisite for informed user engagement. When platforms implement clear AI content labelling, provide users with accessible explanations of how content is generated and ranked, and design interfaces that invite deliberation rather than passive scrolling, they create structural conditions more conducive to responsible usage at scale.</w:t>
      </w:r>
    </w:p>
    <w:p w14:paraId="289E6A23" w14:textId="77777777" w:rsidR="00AA29BE" w:rsidRDefault="00AA29BE" w:rsidP="00B9160E">
      <w:pPr>
        <w:jc w:val="both"/>
        <w:rPr>
          <w:b/>
          <w:bCs/>
          <w:sz w:val="22"/>
          <w:szCs w:val="22"/>
        </w:rPr>
      </w:pPr>
    </w:p>
    <w:p w14:paraId="5B6D89C6" w14:textId="266FC327" w:rsidR="00B9160E" w:rsidRPr="00704683" w:rsidRDefault="00B9160E" w:rsidP="00B9160E">
      <w:pPr>
        <w:jc w:val="both"/>
        <w:rPr>
          <w:sz w:val="18"/>
          <w:szCs w:val="18"/>
        </w:rPr>
      </w:pPr>
      <w:r w:rsidRPr="00704683">
        <w:rPr>
          <w:b/>
          <w:bCs/>
          <w:sz w:val="22"/>
          <w:szCs w:val="22"/>
        </w:rPr>
        <w:lastRenderedPageBreak/>
        <w:t>5. Implications for Policy and Education</w:t>
      </w:r>
    </w:p>
    <w:p w14:paraId="144B46BA" w14:textId="77777777" w:rsidR="00B9160E" w:rsidRPr="00704683" w:rsidRDefault="00B9160E" w:rsidP="00B9160E">
      <w:pPr>
        <w:jc w:val="both"/>
        <w:rPr>
          <w:sz w:val="20"/>
          <w:szCs w:val="20"/>
        </w:rPr>
      </w:pPr>
      <w:r w:rsidRPr="00704683">
        <w:rPr>
          <w:sz w:val="20"/>
          <w:szCs w:val="20"/>
        </w:rPr>
        <w:t>The analysis presented in preceding sections points toward several concrete implications for policymakers, educators, and platform designers invested in promoting responsible AI usage in the context of widespread AI content exposure.</w:t>
      </w:r>
    </w:p>
    <w:p w14:paraId="26E50039" w14:textId="5871E9D5" w:rsidR="00B9160E" w:rsidRPr="00704683" w:rsidRDefault="00B9160E" w:rsidP="00B9160E">
      <w:pPr>
        <w:jc w:val="both"/>
        <w:rPr>
          <w:sz w:val="20"/>
          <w:szCs w:val="20"/>
        </w:rPr>
      </w:pPr>
      <w:r w:rsidRPr="00704683">
        <w:rPr>
          <w:sz w:val="20"/>
          <w:szCs w:val="20"/>
        </w:rPr>
        <w:t>For educational policy, the findings reinforce the urgency of integrating AI literacy</w:t>
      </w:r>
      <w:r w:rsidR="006E147F">
        <w:rPr>
          <w:sz w:val="20"/>
          <w:szCs w:val="20"/>
        </w:rPr>
        <w:t xml:space="preserve">, </w:t>
      </w:r>
      <w:r w:rsidRPr="00704683">
        <w:rPr>
          <w:sz w:val="20"/>
          <w:szCs w:val="20"/>
        </w:rPr>
        <w:t>broadly defined to encompass technical understanding, critical evaluation skills, and ethical reasoning</w:t>
      </w:r>
      <w:r w:rsidR="006E147F">
        <w:rPr>
          <w:sz w:val="20"/>
          <w:szCs w:val="20"/>
        </w:rPr>
        <w:t xml:space="preserve">, </w:t>
      </w:r>
      <w:r w:rsidRPr="00704683">
        <w:rPr>
          <w:sz w:val="20"/>
          <w:szCs w:val="20"/>
        </w:rPr>
        <w:t>into curricula at all levels of formal education. This integration should not be treated as a supplementary or elective component of digital education but as a foundational competency for contemporary citizenship, comparable in its importance to traditional forms of media literacy (UNESCO, 2021; Livingstone, 2004). Teacher training programmes and professional development frameworks should be updated to equip educators with the knowledge and pedagogical strategies necessary to support AI literacy development in their students.</w:t>
      </w:r>
    </w:p>
    <w:p w14:paraId="3A465C74" w14:textId="5A9A4602" w:rsidR="00B9160E" w:rsidRPr="00704683" w:rsidRDefault="00B9160E" w:rsidP="00B9160E">
      <w:pPr>
        <w:jc w:val="both"/>
        <w:rPr>
          <w:sz w:val="20"/>
          <w:szCs w:val="20"/>
        </w:rPr>
      </w:pPr>
      <w:r w:rsidRPr="00704683">
        <w:rPr>
          <w:sz w:val="20"/>
          <w:szCs w:val="20"/>
        </w:rPr>
        <w:t xml:space="preserve">For platform governance, the findings support a regulatory orientation that </w:t>
      </w:r>
      <w:r w:rsidR="006E147F" w:rsidRPr="00704683">
        <w:rPr>
          <w:sz w:val="20"/>
          <w:szCs w:val="20"/>
        </w:rPr>
        <w:t>prioritizes</w:t>
      </w:r>
      <w:r w:rsidRPr="00704683">
        <w:rPr>
          <w:sz w:val="20"/>
          <w:szCs w:val="20"/>
        </w:rPr>
        <w:t xml:space="preserve"> transparency and user empowerment over engagement </w:t>
      </w:r>
      <w:r w:rsidR="006E147F" w:rsidRPr="00704683">
        <w:rPr>
          <w:sz w:val="20"/>
          <w:szCs w:val="20"/>
        </w:rPr>
        <w:t>optimization</w:t>
      </w:r>
      <w:r w:rsidRPr="00704683">
        <w:rPr>
          <w:sz w:val="20"/>
          <w:szCs w:val="20"/>
        </w:rPr>
        <w:t>. Policymakers and regulators should develop and enforce standards for AI content labelling, algorithmic transparency, and user-accessible explanations of AI-generated content. Where platforms derive commercial benefit from the circulation of AI-generated content, there is a compelling case for requiring them to bear proportionate responsibility for its consequences</w:t>
      </w:r>
      <w:r w:rsidR="006E147F">
        <w:rPr>
          <w:sz w:val="20"/>
          <w:szCs w:val="20"/>
        </w:rPr>
        <w:t xml:space="preserve">, </w:t>
      </w:r>
      <w:r w:rsidRPr="00704683">
        <w:rPr>
          <w:sz w:val="20"/>
          <w:szCs w:val="20"/>
        </w:rPr>
        <w:t xml:space="preserve">including the consequences of </w:t>
      </w:r>
      <w:r w:rsidR="006E147F" w:rsidRPr="00704683">
        <w:rPr>
          <w:sz w:val="20"/>
          <w:szCs w:val="20"/>
        </w:rPr>
        <w:t>normalization</w:t>
      </w:r>
      <w:r w:rsidRPr="00704683">
        <w:rPr>
          <w:sz w:val="20"/>
          <w:szCs w:val="20"/>
        </w:rPr>
        <w:t xml:space="preserve"> and uncritical consumption that current platform designs may inadvertently promote (Mittelstadt et al., 2016; Jobin et al., 2019).</w:t>
      </w:r>
    </w:p>
    <w:p w14:paraId="3855AE80" w14:textId="77777777" w:rsidR="00B9160E" w:rsidRPr="00704683" w:rsidRDefault="00B9160E" w:rsidP="00B9160E">
      <w:pPr>
        <w:jc w:val="both"/>
        <w:rPr>
          <w:sz w:val="20"/>
          <w:szCs w:val="20"/>
        </w:rPr>
      </w:pPr>
      <w:r w:rsidRPr="00704683">
        <w:rPr>
          <w:sz w:val="20"/>
          <w:szCs w:val="20"/>
        </w:rPr>
        <w:t>For researchers, the analysis reveals the need for empirical investigation that moves beyond the relatively well-studied question of how to detect AI content toward the more complex and practically significant question of how AI content exposure shapes usage behaviour across diverse populations, contexts, and time horizons. Longitudinal studies, cross-cultural comparisons, and experimental designs that isolate the effects of specific mediating variables would all contribute meaningfully to the evidence base in this area.</w:t>
      </w:r>
    </w:p>
    <w:p w14:paraId="604F2A3D" w14:textId="77777777" w:rsidR="00B9160E" w:rsidRDefault="00B9160E" w:rsidP="00B9160E">
      <w:pPr>
        <w:jc w:val="both"/>
        <w:rPr>
          <w:b/>
          <w:bCs/>
        </w:rPr>
      </w:pPr>
    </w:p>
    <w:p w14:paraId="034CBC71" w14:textId="5CBD2C09" w:rsidR="00B9160E" w:rsidRPr="00704683" w:rsidRDefault="00B9160E" w:rsidP="00B9160E">
      <w:pPr>
        <w:jc w:val="both"/>
        <w:rPr>
          <w:b/>
          <w:bCs/>
          <w:sz w:val="22"/>
          <w:szCs w:val="22"/>
        </w:rPr>
      </w:pPr>
      <w:r w:rsidRPr="00704683">
        <w:rPr>
          <w:b/>
          <w:bCs/>
          <w:sz w:val="22"/>
          <w:szCs w:val="22"/>
        </w:rPr>
        <w:t>6. Conclusion</w:t>
      </w:r>
    </w:p>
    <w:p w14:paraId="31E5DD25" w14:textId="77777777" w:rsidR="00B9160E" w:rsidRPr="00704683" w:rsidRDefault="00B9160E" w:rsidP="00B9160E">
      <w:pPr>
        <w:jc w:val="both"/>
        <w:rPr>
          <w:sz w:val="20"/>
          <w:szCs w:val="20"/>
        </w:rPr>
      </w:pPr>
      <w:r w:rsidRPr="00704683">
        <w:rPr>
          <w:sz w:val="20"/>
          <w:szCs w:val="20"/>
        </w:rPr>
        <w:t>The relationship between AI content exposure and responsible usage is neither linear nor predetermined. It is, rather, a dynamic and contingent relationship shaped by the interplay of individual dispositions, social environments, institutional structures, and platform design features. This paper has argued that exposure to AI-generated content, while increasingly ubiquitous, does not automatically engender responsible usage practices; indeed, under conditions of low awareness, poor critical scaffolding, and algorithmically distorted information environments, high-volume exposure may actively undermine the epistemic and ethical capacities that responsible usage requires.</w:t>
      </w:r>
    </w:p>
    <w:p w14:paraId="5A61A0B8" w14:textId="276D388E" w:rsidR="00B9160E" w:rsidRPr="00704683" w:rsidRDefault="00B9160E" w:rsidP="00B9160E">
      <w:pPr>
        <w:jc w:val="both"/>
        <w:rPr>
          <w:sz w:val="22"/>
          <w:szCs w:val="22"/>
        </w:rPr>
      </w:pPr>
      <w:r w:rsidRPr="00704683">
        <w:rPr>
          <w:sz w:val="20"/>
          <w:szCs w:val="20"/>
        </w:rPr>
        <w:t xml:space="preserve">At the same time, the analysis has identified genuine pathways through which the exposure-responsibility relationship can be made more productive: through targeted AI literacy education, community-based critical engagement, and platform designs that </w:t>
      </w:r>
      <w:r w:rsidR="006E147F" w:rsidRPr="00704683">
        <w:rPr>
          <w:sz w:val="20"/>
          <w:szCs w:val="20"/>
        </w:rPr>
        <w:t>prioritize</w:t>
      </w:r>
      <w:r w:rsidRPr="00704683">
        <w:rPr>
          <w:sz w:val="20"/>
          <w:szCs w:val="20"/>
        </w:rPr>
        <w:t xml:space="preserve"> transparency and user empowerment. These pathways are not mutually exclusive, and their effectiveness is likely to be greatest when pursued in combination rather than in isolation</w:t>
      </w:r>
      <w:r w:rsidRPr="00704683">
        <w:rPr>
          <w:sz w:val="22"/>
          <w:szCs w:val="22"/>
        </w:rPr>
        <w:t>.</w:t>
      </w:r>
    </w:p>
    <w:p w14:paraId="6E5FA03D" w14:textId="77777777" w:rsidR="00B9160E" w:rsidRPr="00704683" w:rsidRDefault="00B9160E" w:rsidP="00B9160E">
      <w:pPr>
        <w:jc w:val="both"/>
        <w:rPr>
          <w:sz w:val="20"/>
          <w:szCs w:val="20"/>
        </w:rPr>
      </w:pPr>
      <w:r w:rsidRPr="00704683">
        <w:rPr>
          <w:sz w:val="20"/>
          <w:szCs w:val="20"/>
        </w:rPr>
        <w:t xml:space="preserve">The stakes of this issue extend well beyond individual usage decisions. In aggregate, the ways in which billions of people engage with AI-generated content shape the epistemic foundations of democratic discourse, the trustworthiness of public information infrastructure, and the long-term trajectory of human-AI relations. Attending carefully to the conditions under which AI content exposure cultivates rather than erodes </w:t>
      </w:r>
      <w:r w:rsidRPr="00704683">
        <w:rPr>
          <w:sz w:val="20"/>
          <w:szCs w:val="20"/>
        </w:rPr>
        <w:lastRenderedPageBreak/>
        <w:t>responsible usage is, therefore, not merely an academic exercise but a matter of considerable social and political consequence. Future research and policy development in this space will benefit from the kind of interdisciplinary, structurally attentive, and empirically grounded approach that this paper has sought to model.</w:t>
      </w:r>
    </w:p>
    <w:p w14:paraId="1BCB52F8" w14:textId="77777777" w:rsidR="00B9160E" w:rsidRPr="00B56954" w:rsidRDefault="00B9160E" w:rsidP="00B9160E">
      <w:pPr>
        <w:jc w:val="both"/>
        <w:rPr>
          <w:b/>
          <w:bCs/>
          <w:sz w:val="12"/>
          <w:szCs w:val="12"/>
        </w:rPr>
      </w:pPr>
    </w:p>
    <w:p w14:paraId="59122AD0" w14:textId="58143F40" w:rsidR="00B9160E" w:rsidRPr="00B56954" w:rsidRDefault="00B9160E" w:rsidP="00B9160E">
      <w:pPr>
        <w:jc w:val="both"/>
        <w:rPr>
          <w:b/>
          <w:bCs/>
          <w:sz w:val="22"/>
          <w:szCs w:val="22"/>
        </w:rPr>
      </w:pPr>
      <w:r w:rsidRPr="00B56954">
        <w:rPr>
          <w:b/>
          <w:bCs/>
          <w:sz w:val="22"/>
          <w:szCs w:val="22"/>
        </w:rPr>
        <w:t>References</w:t>
      </w:r>
    </w:p>
    <w:p w14:paraId="290157D0" w14:textId="77777777" w:rsidR="00B9160E" w:rsidRPr="00B56954" w:rsidRDefault="00B9160E" w:rsidP="00704683">
      <w:pPr>
        <w:pStyle w:val="ListParagraph"/>
        <w:numPr>
          <w:ilvl w:val="0"/>
          <w:numId w:val="4"/>
        </w:numPr>
        <w:jc w:val="both"/>
        <w:rPr>
          <w:sz w:val="20"/>
          <w:szCs w:val="20"/>
        </w:rPr>
      </w:pPr>
      <w:r w:rsidRPr="00B56954">
        <w:rPr>
          <w:sz w:val="20"/>
          <w:szCs w:val="20"/>
        </w:rPr>
        <w:t xml:space="preserve">Bandura, A. (1986). </w:t>
      </w:r>
      <w:r w:rsidRPr="00B56954">
        <w:rPr>
          <w:i/>
          <w:iCs/>
          <w:sz w:val="20"/>
          <w:szCs w:val="20"/>
        </w:rPr>
        <w:t>Social foundations of thought and action: A social cognitive theory</w:t>
      </w:r>
      <w:r w:rsidRPr="00B56954">
        <w:rPr>
          <w:sz w:val="20"/>
          <w:szCs w:val="20"/>
        </w:rPr>
        <w:t>. Prentice-Hall.</w:t>
      </w:r>
    </w:p>
    <w:p w14:paraId="33928FC5" w14:textId="77777777" w:rsidR="00B9160E" w:rsidRPr="00B56954" w:rsidRDefault="00B9160E" w:rsidP="00704683">
      <w:pPr>
        <w:pStyle w:val="ListParagraph"/>
        <w:numPr>
          <w:ilvl w:val="0"/>
          <w:numId w:val="4"/>
        </w:numPr>
        <w:jc w:val="both"/>
        <w:rPr>
          <w:sz w:val="20"/>
          <w:szCs w:val="20"/>
        </w:rPr>
      </w:pPr>
      <w:r w:rsidRPr="00B56954">
        <w:rPr>
          <w:sz w:val="20"/>
          <w:szCs w:val="20"/>
        </w:rPr>
        <w:t xml:space="preserve">Bostrom, N. (2014). </w:t>
      </w:r>
      <w:r w:rsidRPr="00B56954">
        <w:rPr>
          <w:i/>
          <w:iCs/>
          <w:sz w:val="20"/>
          <w:szCs w:val="20"/>
        </w:rPr>
        <w:t>Superintelligence: Paths, dangers, strategies</w:t>
      </w:r>
      <w:r w:rsidRPr="00B56954">
        <w:rPr>
          <w:sz w:val="20"/>
          <w:szCs w:val="20"/>
        </w:rPr>
        <w:t>. Oxford University Press.</w:t>
      </w:r>
    </w:p>
    <w:p w14:paraId="18A23DCE" w14:textId="77777777" w:rsidR="00B9160E" w:rsidRPr="00B56954" w:rsidRDefault="00B9160E" w:rsidP="00704683">
      <w:pPr>
        <w:pStyle w:val="ListParagraph"/>
        <w:numPr>
          <w:ilvl w:val="0"/>
          <w:numId w:val="4"/>
        </w:numPr>
        <w:jc w:val="both"/>
        <w:rPr>
          <w:sz w:val="20"/>
          <w:szCs w:val="20"/>
        </w:rPr>
      </w:pPr>
      <w:r w:rsidRPr="00B56954">
        <w:rPr>
          <w:sz w:val="20"/>
          <w:szCs w:val="20"/>
        </w:rPr>
        <w:t xml:space="preserve">Buckingham, D. (2007). </w:t>
      </w:r>
      <w:r w:rsidRPr="00B56954">
        <w:rPr>
          <w:i/>
          <w:iCs/>
          <w:sz w:val="20"/>
          <w:szCs w:val="20"/>
        </w:rPr>
        <w:t>Beyond technology: Children's learning in the age of digital culture</w:t>
      </w:r>
      <w:r w:rsidRPr="00B56954">
        <w:rPr>
          <w:sz w:val="20"/>
          <w:szCs w:val="20"/>
        </w:rPr>
        <w:t>. Polity Press.</w:t>
      </w:r>
    </w:p>
    <w:p w14:paraId="2329B505" w14:textId="77777777" w:rsidR="00B9160E" w:rsidRPr="00B56954" w:rsidRDefault="00B9160E" w:rsidP="00704683">
      <w:pPr>
        <w:pStyle w:val="ListParagraph"/>
        <w:numPr>
          <w:ilvl w:val="0"/>
          <w:numId w:val="4"/>
        </w:numPr>
        <w:jc w:val="both"/>
        <w:rPr>
          <w:sz w:val="20"/>
          <w:szCs w:val="20"/>
        </w:rPr>
      </w:pPr>
      <w:r w:rsidRPr="00B56954">
        <w:rPr>
          <w:sz w:val="20"/>
          <w:szCs w:val="20"/>
        </w:rPr>
        <w:t xml:space="preserve">Bucher, T. (2018). </w:t>
      </w:r>
      <w:r w:rsidRPr="00B56954">
        <w:rPr>
          <w:i/>
          <w:iCs/>
          <w:sz w:val="20"/>
          <w:szCs w:val="20"/>
        </w:rPr>
        <w:t>If…then: Algorithmic power and politics</w:t>
      </w:r>
      <w:r w:rsidRPr="00B56954">
        <w:rPr>
          <w:sz w:val="20"/>
          <w:szCs w:val="20"/>
        </w:rPr>
        <w:t>. Oxford University Press.</w:t>
      </w:r>
    </w:p>
    <w:p w14:paraId="1212489A" w14:textId="623AA9F7" w:rsidR="00B9160E" w:rsidRPr="00B56954" w:rsidRDefault="00B9160E" w:rsidP="00704683">
      <w:pPr>
        <w:pStyle w:val="ListParagraph"/>
        <w:numPr>
          <w:ilvl w:val="0"/>
          <w:numId w:val="4"/>
        </w:numPr>
        <w:jc w:val="both"/>
        <w:rPr>
          <w:sz w:val="20"/>
          <w:szCs w:val="20"/>
        </w:rPr>
      </w:pPr>
      <w:r w:rsidRPr="00B56954">
        <w:rPr>
          <w:sz w:val="20"/>
          <w:szCs w:val="20"/>
        </w:rPr>
        <w:t xml:space="preserve">Cotter, K. (2019). Playing the visibility game: How digital influencers and algorithms negotiate influence on Instagram. </w:t>
      </w:r>
      <w:r w:rsidRPr="00B56954">
        <w:rPr>
          <w:i/>
          <w:iCs/>
          <w:sz w:val="20"/>
          <w:szCs w:val="20"/>
        </w:rPr>
        <w:t>New Media &amp; Society, 21</w:t>
      </w:r>
      <w:r w:rsidRPr="00B56954">
        <w:rPr>
          <w:sz w:val="20"/>
          <w:szCs w:val="20"/>
        </w:rPr>
        <w:t xml:space="preserve">(4), 895–913. </w:t>
      </w:r>
    </w:p>
    <w:p w14:paraId="6277EFDE" w14:textId="77777777" w:rsidR="00B9160E" w:rsidRPr="00B56954" w:rsidRDefault="00B9160E" w:rsidP="00704683">
      <w:pPr>
        <w:pStyle w:val="ListParagraph"/>
        <w:numPr>
          <w:ilvl w:val="0"/>
          <w:numId w:val="4"/>
        </w:numPr>
        <w:jc w:val="both"/>
        <w:rPr>
          <w:sz w:val="20"/>
          <w:szCs w:val="20"/>
        </w:rPr>
      </w:pPr>
      <w:r w:rsidRPr="00B56954">
        <w:rPr>
          <w:sz w:val="20"/>
          <w:szCs w:val="20"/>
        </w:rPr>
        <w:t xml:space="preserve">Crawford, K. (2021). </w:t>
      </w:r>
      <w:r w:rsidRPr="00B56954">
        <w:rPr>
          <w:i/>
          <w:iCs/>
          <w:sz w:val="20"/>
          <w:szCs w:val="20"/>
        </w:rPr>
        <w:t>Atlas of AI: Power, politics, and the planetary costs of artificial intelligence</w:t>
      </w:r>
      <w:r w:rsidRPr="00B56954">
        <w:rPr>
          <w:sz w:val="20"/>
          <w:szCs w:val="20"/>
        </w:rPr>
        <w:t>. Yale University Press.</w:t>
      </w:r>
    </w:p>
    <w:p w14:paraId="2E3A1322" w14:textId="7F975992" w:rsidR="00B9160E" w:rsidRPr="00B56954" w:rsidRDefault="00B9160E" w:rsidP="00704683">
      <w:pPr>
        <w:pStyle w:val="ListParagraph"/>
        <w:numPr>
          <w:ilvl w:val="0"/>
          <w:numId w:val="4"/>
        </w:numPr>
        <w:jc w:val="both"/>
        <w:rPr>
          <w:sz w:val="20"/>
          <w:szCs w:val="20"/>
        </w:rPr>
      </w:pPr>
      <w:r w:rsidRPr="00B56954">
        <w:rPr>
          <w:sz w:val="20"/>
          <w:szCs w:val="20"/>
        </w:rPr>
        <w:t xml:space="preserve">Diakopoulos, N. (2016). Accountability in algorithmic decision making. </w:t>
      </w:r>
      <w:r w:rsidRPr="00B56954">
        <w:rPr>
          <w:i/>
          <w:iCs/>
          <w:sz w:val="20"/>
          <w:szCs w:val="20"/>
        </w:rPr>
        <w:t>Communications of the ACM, 59</w:t>
      </w:r>
      <w:r w:rsidRPr="00B56954">
        <w:rPr>
          <w:sz w:val="20"/>
          <w:szCs w:val="20"/>
        </w:rPr>
        <w:t xml:space="preserve">(2), 56–62. </w:t>
      </w:r>
    </w:p>
    <w:p w14:paraId="04FCC005" w14:textId="6C542501" w:rsidR="00B9160E" w:rsidRPr="00B56954" w:rsidRDefault="00B9160E" w:rsidP="00704683">
      <w:pPr>
        <w:pStyle w:val="ListParagraph"/>
        <w:numPr>
          <w:ilvl w:val="0"/>
          <w:numId w:val="4"/>
        </w:numPr>
        <w:jc w:val="both"/>
        <w:rPr>
          <w:sz w:val="20"/>
          <w:szCs w:val="20"/>
        </w:rPr>
      </w:pPr>
      <w:r w:rsidRPr="00B56954">
        <w:rPr>
          <w:sz w:val="20"/>
          <w:szCs w:val="20"/>
        </w:rPr>
        <w:t xml:space="preserve">Floridi, L., Cowls, J., </w:t>
      </w:r>
      <w:proofErr w:type="spellStart"/>
      <w:r w:rsidRPr="00B56954">
        <w:rPr>
          <w:sz w:val="20"/>
          <w:szCs w:val="20"/>
        </w:rPr>
        <w:t>Beltrametti</w:t>
      </w:r>
      <w:proofErr w:type="spellEnd"/>
      <w:r w:rsidRPr="00B56954">
        <w:rPr>
          <w:sz w:val="20"/>
          <w:szCs w:val="20"/>
        </w:rPr>
        <w:t xml:space="preserve">, M., Chatila, R., </w:t>
      </w:r>
      <w:proofErr w:type="spellStart"/>
      <w:r w:rsidRPr="00B56954">
        <w:rPr>
          <w:sz w:val="20"/>
          <w:szCs w:val="20"/>
        </w:rPr>
        <w:t>Chazerand</w:t>
      </w:r>
      <w:proofErr w:type="spellEnd"/>
      <w:r w:rsidRPr="00B56954">
        <w:rPr>
          <w:sz w:val="20"/>
          <w:szCs w:val="20"/>
        </w:rPr>
        <w:t xml:space="preserve">, P., Dignum, V., Luetge, C., Madelin, R., </w:t>
      </w:r>
      <w:proofErr w:type="spellStart"/>
      <w:r w:rsidRPr="00B56954">
        <w:rPr>
          <w:sz w:val="20"/>
          <w:szCs w:val="20"/>
        </w:rPr>
        <w:t>Pagallo</w:t>
      </w:r>
      <w:proofErr w:type="spellEnd"/>
      <w:r w:rsidRPr="00B56954">
        <w:rPr>
          <w:sz w:val="20"/>
          <w:szCs w:val="20"/>
        </w:rPr>
        <w:t xml:space="preserve">, U., Rossi, F., </w:t>
      </w:r>
      <w:proofErr w:type="gramStart"/>
      <w:r w:rsidRPr="00B56954">
        <w:rPr>
          <w:sz w:val="20"/>
          <w:szCs w:val="20"/>
        </w:rPr>
        <w:t>Schafer, B.</w:t>
      </w:r>
      <w:proofErr w:type="gramEnd"/>
      <w:r w:rsidRPr="00B56954">
        <w:rPr>
          <w:sz w:val="20"/>
          <w:szCs w:val="20"/>
        </w:rPr>
        <w:t xml:space="preserve">, Valcke, P., &amp; </w:t>
      </w:r>
      <w:proofErr w:type="spellStart"/>
      <w:r w:rsidRPr="00B56954">
        <w:rPr>
          <w:sz w:val="20"/>
          <w:szCs w:val="20"/>
        </w:rPr>
        <w:t>Vayena</w:t>
      </w:r>
      <w:proofErr w:type="spellEnd"/>
      <w:r w:rsidRPr="00B56954">
        <w:rPr>
          <w:sz w:val="20"/>
          <w:szCs w:val="20"/>
        </w:rPr>
        <w:t xml:space="preserve">, E. (2018). AI4People — An ethical framework for a good AI society: Opportunities, risks, principles, and recommendations. </w:t>
      </w:r>
      <w:r w:rsidRPr="00B56954">
        <w:rPr>
          <w:i/>
          <w:iCs/>
          <w:sz w:val="20"/>
          <w:szCs w:val="20"/>
        </w:rPr>
        <w:t>Minds and Machines, 28</w:t>
      </w:r>
      <w:r w:rsidRPr="00B56954">
        <w:rPr>
          <w:sz w:val="20"/>
          <w:szCs w:val="20"/>
        </w:rPr>
        <w:t xml:space="preserve">(4), 689–707. </w:t>
      </w:r>
    </w:p>
    <w:p w14:paraId="6F5F29EC" w14:textId="731C9803" w:rsidR="00B9160E" w:rsidRPr="00B56954" w:rsidRDefault="00B9160E" w:rsidP="00704683">
      <w:pPr>
        <w:pStyle w:val="ListParagraph"/>
        <w:numPr>
          <w:ilvl w:val="0"/>
          <w:numId w:val="4"/>
        </w:numPr>
        <w:jc w:val="both"/>
        <w:rPr>
          <w:sz w:val="20"/>
          <w:szCs w:val="20"/>
        </w:rPr>
      </w:pPr>
      <w:r w:rsidRPr="00B56954">
        <w:rPr>
          <w:sz w:val="20"/>
          <w:szCs w:val="20"/>
        </w:rPr>
        <w:t xml:space="preserve">Jobin, A., Ienca, M., &amp; </w:t>
      </w:r>
      <w:proofErr w:type="spellStart"/>
      <w:r w:rsidRPr="00B56954">
        <w:rPr>
          <w:sz w:val="20"/>
          <w:szCs w:val="20"/>
        </w:rPr>
        <w:t>Vayena</w:t>
      </w:r>
      <w:proofErr w:type="spellEnd"/>
      <w:r w:rsidRPr="00B56954">
        <w:rPr>
          <w:sz w:val="20"/>
          <w:szCs w:val="20"/>
        </w:rPr>
        <w:t xml:space="preserve">, E. (2019). The global landscape of AI ethics guidelines. </w:t>
      </w:r>
      <w:r w:rsidRPr="00B56954">
        <w:rPr>
          <w:i/>
          <w:iCs/>
          <w:sz w:val="20"/>
          <w:szCs w:val="20"/>
        </w:rPr>
        <w:t>Nature Machine Intelligence, 1</w:t>
      </w:r>
      <w:r w:rsidRPr="00B56954">
        <w:rPr>
          <w:sz w:val="20"/>
          <w:szCs w:val="20"/>
        </w:rPr>
        <w:t xml:space="preserve">(9), 389–399. </w:t>
      </w:r>
    </w:p>
    <w:p w14:paraId="26BBA469" w14:textId="213B923C" w:rsidR="00B9160E" w:rsidRPr="00B56954" w:rsidRDefault="00B9160E" w:rsidP="00B9160E">
      <w:pPr>
        <w:pStyle w:val="ListParagraph"/>
        <w:numPr>
          <w:ilvl w:val="0"/>
          <w:numId w:val="4"/>
        </w:numPr>
        <w:jc w:val="both"/>
        <w:rPr>
          <w:sz w:val="20"/>
          <w:szCs w:val="20"/>
        </w:rPr>
      </w:pPr>
      <w:r w:rsidRPr="00B56954">
        <w:rPr>
          <w:sz w:val="20"/>
          <w:szCs w:val="20"/>
        </w:rPr>
        <w:t xml:space="preserve">Livingstone, S. (2004). Media literacy and the challenge of new information and communication technologies. </w:t>
      </w:r>
      <w:r w:rsidRPr="00B56954">
        <w:rPr>
          <w:i/>
          <w:iCs/>
          <w:sz w:val="20"/>
          <w:szCs w:val="20"/>
        </w:rPr>
        <w:t>The Communication Review, 7</w:t>
      </w:r>
      <w:r w:rsidRPr="00B56954">
        <w:rPr>
          <w:sz w:val="20"/>
          <w:szCs w:val="20"/>
        </w:rPr>
        <w:t xml:space="preserve">(1), 3–14. </w:t>
      </w:r>
    </w:p>
    <w:p w14:paraId="74057D80" w14:textId="079F2963" w:rsidR="00B9160E" w:rsidRPr="00B56954" w:rsidRDefault="00B9160E" w:rsidP="00704683">
      <w:pPr>
        <w:pStyle w:val="ListParagraph"/>
        <w:numPr>
          <w:ilvl w:val="0"/>
          <w:numId w:val="4"/>
        </w:numPr>
        <w:jc w:val="both"/>
        <w:rPr>
          <w:sz w:val="20"/>
          <w:szCs w:val="20"/>
        </w:rPr>
      </w:pPr>
      <w:r w:rsidRPr="00B56954">
        <w:rPr>
          <w:sz w:val="20"/>
          <w:szCs w:val="20"/>
        </w:rPr>
        <w:t xml:space="preserve">Mittelstadt, B. D., </w:t>
      </w:r>
      <w:proofErr w:type="spellStart"/>
      <w:r w:rsidRPr="00B56954">
        <w:rPr>
          <w:sz w:val="20"/>
          <w:szCs w:val="20"/>
        </w:rPr>
        <w:t>Allo</w:t>
      </w:r>
      <w:proofErr w:type="spellEnd"/>
      <w:r w:rsidRPr="00B56954">
        <w:rPr>
          <w:sz w:val="20"/>
          <w:szCs w:val="20"/>
        </w:rPr>
        <w:t xml:space="preserve">, P., Taddeo, M., Wachter, S., &amp; Floridi, L. (2016). The ethics of algorithms: Mapping the debate. </w:t>
      </w:r>
      <w:r w:rsidRPr="00B56954">
        <w:rPr>
          <w:i/>
          <w:iCs/>
          <w:sz w:val="20"/>
          <w:szCs w:val="20"/>
        </w:rPr>
        <w:t>Big Data &amp; Society, 3</w:t>
      </w:r>
      <w:r w:rsidRPr="00B56954">
        <w:rPr>
          <w:sz w:val="20"/>
          <w:szCs w:val="20"/>
        </w:rPr>
        <w:t xml:space="preserve">(2), 1–21. </w:t>
      </w:r>
    </w:p>
    <w:p w14:paraId="11AC8A98" w14:textId="00037B42" w:rsidR="00B9160E" w:rsidRPr="00B56954" w:rsidRDefault="00B9160E" w:rsidP="00704683">
      <w:pPr>
        <w:pStyle w:val="ListParagraph"/>
        <w:numPr>
          <w:ilvl w:val="0"/>
          <w:numId w:val="4"/>
        </w:numPr>
        <w:jc w:val="both"/>
        <w:rPr>
          <w:sz w:val="20"/>
          <w:szCs w:val="20"/>
        </w:rPr>
      </w:pPr>
      <w:r w:rsidRPr="00B56954">
        <w:rPr>
          <w:sz w:val="20"/>
          <w:szCs w:val="20"/>
        </w:rPr>
        <w:t xml:space="preserve">Pennycook, G., &amp; Rand, D. G. (2019). Lazy, not biased: Susceptibility to partisan fake news is better explained by lack of reasoning than by motivated reasoning. </w:t>
      </w:r>
      <w:r w:rsidRPr="00B56954">
        <w:rPr>
          <w:i/>
          <w:iCs/>
          <w:sz w:val="20"/>
          <w:szCs w:val="20"/>
        </w:rPr>
        <w:t>Cognition, 188</w:t>
      </w:r>
      <w:r w:rsidRPr="00B56954">
        <w:rPr>
          <w:sz w:val="20"/>
          <w:szCs w:val="20"/>
        </w:rPr>
        <w:t xml:space="preserve">, 39–50. </w:t>
      </w:r>
    </w:p>
    <w:p w14:paraId="234D9CB2" w14:textId="209C409C" w:rsidR="00B9160E" w:rsidRPr="00B56954" w:rsidRDefault="00B9160E" w:rsidP="00704683">
      <w:pPr>
        <w:pStyle w:val="ListParagraph"/>
        <w:numPr>
          <w:ilvl w:val="0"/>
          <w:numId w:val="4"/>
        </w:numPr>
        <w:jc w:val="both"/>
        <w:rPr>
          <w:sz w:val="20"/>
          <w:szCs w:val="20"/>
        </w:rPr>
      </w:pPr>
      <w:r w:rsidRPr="00B56954">
        <w:rPr>
          <w:sz w:val="20"/>
          <w:szCs w:val="20"/>
        </w:rPr>
        <w:t xml:space="preserve">Pennycook, G., Cannon, T. D., &amp; Rand, D. G. (2018). Prior exposure increases perceived accuracy of fake news. </w:t>
      </w:r>
      <w:r w:rsidRPr="00B56954">
        <w:rPr>
          <w:i/>
          <w:iCs/>
          <w:sz w:val="20"/>
          <w:szCs w:val="20"/>
        </w:rPr>
        <w:t>Journal of Experimental Psychology: General, 147</w:t>
      </w:r>
      <w:r w:rsidRPr="00B56954">
        <w:rPr>
          <w:sz w:val="20"/>
          <w:szCs w:val="20"/>
        </w:rPr>
        <w:t xml:space="preserve">(12), 1865–1880. </w:t>
      </w:r>
    </w:p>
    <w:p w14:paraId="73812A55" w14:textId="25676BE7" w:rsidR="00B9160E" w:rsidRPr="00B56954" w:rsidRDefault="00B9160E" w:rsidP="00704683">
      <w:pPr>
        <w:pStyle w:val="ListParagraph"/>
        <w:numPr>
          <w:ilvl w:val="0"/>
          <w:numId w:val="4"/>
        </w:numPr>
        <w:jc w:val="both"/>
        <w:rPr>
          <w:sz w:val="20"/>
          <w:szCs w:val="20"/>
        </w:rPr>
      </w:pPr>
      <w:r w:rsidRPr="00B56954">
        <w:rPr>
          <w:sz w:val="20"/>
          <w:szCs w:val="20"/>
        </w:rPr>
        <w:t xml:space="preserve">Prensky, M. (2001). Digital natives, digital immigrants. </w:t>
      </w:r>
      <w:r w:rsidRPr="00B56954">
        <w:rPr>
          <w:i/>
          <w:iCs/>
          <w:sz w:val="20"/>
          <w:szCs w:val="20"/>
        </w:rPr>
        <w:t>On the Horizon, 9</w:t>
      </w:r>
      <w:r w:rsidRPr="00B56954">
        <w:rPr>
          <w:sz w:val="20"/>
          <w:szCs w:val="20"/>
        </w:rPr>
        <w:t xml:space="preserve">(5), 1–6. </w:t>
      </w:r>
    </w:p>
    <w:p w14:paraId="3D41FEA2" w14:textId="77777777" w:rsidR="00B9160E" w:rsidRPr="00B56954" w:rsidRDefault="00B9160E" w:rsidP="00704683">
      <w:pPr>
        <w:pStyle w:val="ListParagraph"/>
        <w:numPr>
          <w:ilvl w:val="0"/>
          <w:numId w:val="4"/>
        </w:numPr>
        <w:jc w:val="both"/>
        <w:rPr>
          <w:sz w:val="20"/>
          <w:szCs w:val="20"/>
        </w:rPr>
      </w:pPr>
      <w:r w:rsidRPr="00B56954">
        <w:rPr>
          <w:sz w:val="20"/>
          <w:szCs w:val="20"/>
        </w:rPr>
        <w:t xml:space="preserve">Ribble, M. (2011). </w:t>
      </w:r>
      <w:r w:rsidRPr="00B56954">
        <w:rPr>
          <w:i/>
          <w:iCs/>
          <w:sz w:val="20"/>
          <w:szCs w:val="20"/>
        </w:rPr>
        <w:t>Digital citizenship in schools</w:t>
      </w:r>
      <w:r w:rsidRPr="00B56954">
        <w:rPr>
          <w:sz w:val="20"/>
          <w:szCs w:val="20"/>
        </w:rPr>
        <w:t xml:space="preserve"> (2nd ed.). International Society for Technology in Education.</w:t>
      </w:r>
    </w:p>
    <w:p w14:paraId="27D25B27" w14:textId="77777777" w:rsidR="00B9160E" w:rsidRPr="00B56954" w:rsidRDefault="00B9160E" w:rsidP="00704683">
      <w:pPr>
        <w:pStyle w:val="ListParagraph"/>
        <w:numPr>
          <w:ilvl w:val="0"/>
          <w:numId w:val="4"/>
        </w:numPr>
        <w:jc w:val="both"/>
        <w:rPr>
          <w:sz w:val="20"/>
          <w:szCs w:val="20"/>
        </w:rPr>
      </w:pPr>
      <w:r w:rsidRPr="00B56954">
        <w:rPr>
          <w:sz w:val="20"/>
          <w:szCs w:val="20"/>
        </w:rPr>
        <w:t xml:space="preserve">Russell, S. (2019). </w:t>
      </w:r>
      <w:r w:rsidRPr="00B56954">
        <w:rPr>
          <w:i/>
          <w:iCs/>
          <w:sz w:val="20"/>
          <w:szCs w:val="20"/>
        </w:rPr>
        <w:t>Human compatible: Artificial intelligence and the problem of control</w:t>
      </w:r>
      <w:r w:rsidRPr="00B56954">
        <w:rPr>
          <w:sz w:val="20"/>
          <w:szCs w:val="20"/>
        </w:rPr>
        <w:t>. Viking.</w:t>
      </w:r>
    </w:p>
    <w:p w14:paraId="4BFFB9E3" w14:textId="77777777" w:rsidR="00B9160E" w:rsidRPr="00B56954" w:rsidRDefault="00B9160E" w:rsidP="00704683">
      <w:pPr>
        <w:pStyle w:val="ListParagraph"/>
        <w:numPr>
          <w:ilvl w:val="0"/>
          <w:numId w:val="4"/>
        </w:numPr>
        <w:jc w:val="both"/>
        <w:rPr>
          <w:sz w:val="20"/>
          <w:szCs w:val="20"/>
        </w:rPr>
      </w:pPr>
      <w:r w:rsidRPr="00B56954">
        <w:rPr>
          <w:sz w:val="20"/>
          <w:szCs w:val="20"/>
        </w:rPr>
        <w:t xml:space="preserve">Sunstein, C. R. (2017). </w:t>
      </w:r>
      <w:r w:rsidRPr="00B56954">
        <w:rPr>
          <w:i/>
          <w:iCs/>
          <w:sz w:val="20"/>
          <w:szCs w:val="20"/>
        </w:rPr>
        <w:t>#Republic: Divided democracy in the age of social media</w:t>
      </w:r>
      <w:r w:rsidRPr="00B56954">
        <w:rPr>
          <w:sz w:val="20"/>
          <w:szCs w:val="20"/>
        </w:rPr>
        <w:t>. Princeton University Press.</w:t>
      </w:r>
    </w:p>
    <w:p w14:paraId="2C8B27B0" w14:textId="77777777" w:rsidR="00B9160E" w:rsidRPr="00B56954" w:rsidRDefault="00B9160E" w:rsidP="00704683">
      <w:pPr>
        <w:pStyle w:val="ListParagraph"/>
        <w:numPr>
          <w:ilvl w:val="0"/>
          <w:numId w:val="4"/>
        </w:numPr>
        <w:jc w:val="both"/>
        <w:rPr>
          <w:sz w:val="20"/>
          <w:szCs w:val="20"/>
        </w:rPr>
      </w:pPr>
      <w:r w:rsidRPr="00B56954">
        <w:rPr>
          <w:sz w:val="20"/>
          <w:szCs w:val="20"/>
        </w:rPr>
        <w:t xml:space="preserve">UNESCO. (2021). </w:t>
      </w:r>
      <w:r w:rsidRPr="00B56954">
        <w:rPr>
          <w:i/>
          <w:iCs/>
          <w:sz w:val="20"/>
          <w:szCs w:val="20"/>
        </w:rPr>
        <w:t>Recommendation on the ethics of artificial intelligence</w:t>
      </w:r>
      <w:r w:rsidRPr="00B56954">
        <w:rPr>
          <w:sz w:val="20"/>
          <w:szCs w:val="20"/>
        </w:rPr>
        <w:t>. United Nations Educational, Scientific and Cultural Organization.</w:t>
      </w:r>
    </w:p>
    <w:p w14:paraId="717E45D4" w14:textId="12B32431" w:rsidR="00B9160E" w:rsidRPr="00B56954" w:rsidRDefault="00B9160E" w:rsidP="00704683">
      <w:pPr>
        <w:pStyle w:val="ListParagraph"/>
        <w:numPr>
          <w:ilvl w:val="0"/>
          <w:numId w:val="4"/>
        </w:numPr>
        <w:jc w:val="both"/>
        <w:rPr>
          <w:sz w:val="20"/>
          <w:szCs w:val="20"/>
        </w:rPr>
      </w:pPr>
      <w:r w:rsidRPr="00B56954">
        <w:rPr>
          <w:sz w:val="20"/>
          <w:szCs w:val="20"/>
        </w:rPr>
        <w:t xml:space="preserve">Wardle, C., &amp; Derakhshan, H. (2017). </w:t>
      </w:r>
      <w:r w:rsidRPr="00B56954">
        <w:rPr>
          <w:i/>
          <w:iCs/>
          <w:sz w:val="20"/>
          <w:szCs w:val="20"/>
        </w:rPr>
        <w:t>Information disorder: Toward an interdisciplinary framework for research and policy making</w:t>
      </w:r>
      <w:r w:rsidRPr="00B56954">
        <w:rPr>
          <w:sz w:val="20"/>
          <w:szCs w:val="20"/>
        </w:rPr>
        <w:t>. Council of Europe Report DGI (2017)09.</w:t>
      </w:r>
    </w:p>
    <w:p w14:paraId="591AB020" w14:textId="37C99124" w:rsidR="003B4689" w:rsidRPr="00AA29BE" w:rsidRDefault="00B9160E" w:rsidP="00B9160E">
      <w:pPr>
        <w:pStyle w:val="ListParagraph"/>
        <w:numPr>
          <w:ilvl w:val="0"/>
          <w:numId w:val="4"/>
        </w:numPr>
        <w:jc w:val="both"/>
        <w:rPr>
          <w:sz w:val="20"/>
          <w:szCs w:val="20"/>
        </w:rPr>
      </w:pPr>
      <w:r w:rsidRPr="00B56954">
        <w:rPr>
          <w:sz w:val="20"/>
          <w:szCs w:val="20"/>
        </w:rPr>
        <w:t xml:space="preserve">Winfield, A. F. T., &amp; Jirotka, M. (2018). Ethical governance is essential to building trust in robotics and artificial intelligence systems. </w:t>
      </w:r>
      <w:r w:rsidRPr="00B56954">
        <w:rPr>
          <w:i/>
          <w:iCs/>
          <w:sz w:val="20"/>
          <w:szCs w:val="20"/>
        </w:rPr>
        <w:t>Philosophical Transactions of the Royal Society A, 376</w:t>
      </w:r>
      <w:r w:rsidRPr="00B56954">
        <w:rPr>
          <w:sz w:val="20"/>
          <w:szCs w:val="20"/>
        </w:rPr>
        <w:t xml:space="preserve">(2133), 20180085. </w:t>
      </w:r>
    </w:p>
    <w:sectPr w:rsidR="003B4689" w:rsidRPr="00AA29BE" w:rsidSect="00B56954">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698"/>
    <w:multiLevelType w:val="multilevel"/>
    <w:tmpl w:val="48D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56869"/>
    <w:multiLevelType w:val="hybridMultilevel"/>
    <w:tmpl w:val="0238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01ED3"/>
    <w:multiLevelType w:val="multilevel"/>
    <w:tmpl w:val="74D8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1C734E"/>
    <w:multiLevelType w:val="hybridMultilevel"/>
    <w:tmpl w:val="8644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928882">
    <w:abstractNumId w:val="2"/>
  </w:num>
  <w:num w:numId="2" w16cid:durableId="253128225">
    <w:abstractNumId w:val="0"/>
  </w:num>
  <w:num w:numId="3" w16cid:durableId="875578865">
    <w:abstractNumId w:val="1"/>
  </w:num>
  <w:num w:numId="4" w16cid:durableId="1173645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0E"/>
    <w:rsid w:val="00091BDD"/>
    <w:rsid w:val="000E490C"/>
    <w:rsid w:val="000E54EC"/>
    <w:rsid w:val="003B4689"/>
    <w:rsid w:val="00401F7E"/>
    <w:rsid w:val="0047354B"/>
    <w:rsid w:val="00476D1F"/>
    <w:rsid w:val="00541CD9"/>
    <w:rsid w:val="005A7539"/>
    <w:rsid w:val="006D558A"/>
    <w:rsid w:val="006E147F"/>
    <w:rsid w:val="00704683"/>
    <w:rsid w:val="00746508"/>
    <w:rsid w:val="00AA29BE"/>
    <w:rsid w:val="00B56954"/>
    <w:rsid w:val="00B9160E"/>
    <w:rsid w:val="00BA0C35"/>
    <w:rsid w:val="00BA3365"/>
    <w:rsid w:val="00D35454"/>
    <w:rsid w:val="00D921AE"/>
    <w:rsid w:val="00E239C7"/>
    <w:rsid w:val="00EB1CB3"/>
    <w:rsid w:val="00FB0360"/>
    <w:rsid w:val="00FE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6388"/>
  <w15:chartTrackingRefBased/>
  <w15:docId w15:val="{5CA3EDA2-B5D6-4FD9-B099-DC5882E2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60E"/>
    <w:rPr>
      <w:rFonts w:eastAsiaTheme="majorEastAsia" w:cstheme="majorBidi"/>
      <w:color w:val="272727" w:themeColor="text1" w:themeTint="D8"/>
    </w:rPr>
  </w:style>
  <w:style w:type="paragraph" w:styleId="Title">
    <w:name w:val="Title"/>
    <w:basedOn w:val="Normal"/>
    <w:next w:val="Normal"/>
    <w:link w:val="TitleChar"/>
    <w:uiPriority w:val="10"/>
    <w:qFormat/>
    <w:rsid w:val="00B91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60E"/>
    <w:pPr>
      <w:spacing w:before="160"/>
      <w:jc w:val="center"/>
    </w:pPr>
    <w:rPr>
      <w:i/>
      <w:iCs/>
      <w:color w:val="404040" w:themeColor="text1" w:themeTint="BF"/>
    </w:rPr>
  </w:style>
  <w:style w:type="character" w:customStyle="1" w:styleId="QuoteChar">
    <w:name w:val="Quote Char"/>
    <w:basedOn w:val="DefaultParagraphFont"/>
    <w:link w:val="Quote"/>
    <w:uiPriority w:val="29"/>
    <w:rsid w:val="00B9160E"/>
    <w:rPr>
      <w:i/>
      <w:iCs/>
      <w:color w:val="404040" w:themeColor="text1" w:themeTint="BF"/>
    </w:rPr>
  </w:style>
  <w:style w:type="paragraph" w:styleId="ListParagraph">
    <w:name w:val="List Paragraph"/>
    <w:basedOn w:val="Normal"/>
    <w:uiPriority w:val="34"/>
    <w:qFormat/>
    <w:rsid w:val="00B9160E"/>
    <w:pPr>
      <w:ind w:left="720"/>
      <w:contextualSpacing/>
    </w:pPr>
  </w:style>
  <w:style w:type="character" w:styleId="IntenseEmphasis">
    <w:name w:val="Intense Emphasis"/>
    <w:basedOn w:val="DefaultParagraphFont"/>
    <w:uiPriority w:val="21"/>
    <w:qFormat/>
    <w:rsid w:val="00B9160E"/>
    <w:rPr>
      <w:i/>
      <w:iCs/>
      <w:color w:val="0F4761" w:themeColor="accent1" w:themeShade="BF"/>
    </w:rPr>
  </w:style>
  <w:style w:type="paragraph" w:styleId="IntenseQuote">
    <w:name w:val="Intense Quote"/>
    <w:basedOn w:val="Normal"/>
    <w:next w:val="Normal"/>
    <w:link w:val="IntenseQuoteChar"/>
    <w:uiPriority w:val="30"/>
    <w:qFormat/>
    <w:rsid w:val="00B91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60E"/>
    <w:rPr>
      <w:i/>
      <w:iCs/>
      <w:color w:val="0F4761" w:themeColor="accent1" w:themeShade="BF"/>
    </w:rPr>
  </w:style>
  <w:style w:type="character" w:styleId="IntenseReference">
    <w:name w:val="Intense Reference"/>
    <w:basedOn w:val="DefaultParagraphFont"/>
    <w:uiPriority w:val="32"/>
    <w:qFormat/>
    <w:rsid w:val="00B9160E"/>
    <w:rPr>
      <w:b/>
      <w:bCs/>
      <w:smallCaps/>
      <w:color w:val="0F4761" w:themeColor="accent1" w:themeShade="BF"/>
      <w:spacing w:val="5"/>
    </w:rPr>
  </w:style>
  <w:style w:type="character" w:styleId="Hyperlink">
    <w:name w:val="Hyperlink"/>
    <w:basedOn w:val="DefaultParagraphFont"/>
    <w:uiPriority w:val="99"/>
    <w:unhideWhenUsed/>
    <w:rsid w:val="00B9160E"/>
    <w:rPr>
      <w:color w:val="467886" w:themeColor="hyperlink"/>
      <w:u w:val="single"/>
    </w:rPr>
  </w:style>
  <w:style w:type="character" w:styleId="UnresolvedMention">
    <w:name w:val="Unresolved Mention"/>
    <w:basedOn w:val="DefaultParagraphFont"/>
    <w:uiPriority w:val="99"/>
    <w:semiHidden/>
    <w:unhideWhenUsed/>
    <w:rsid w:val="00B91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8</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Armah</dc:creator>
  <cp:keywords/>
  <dc:description/>
  <cp:lastModifiedBy>Albert Armah</cp:lastModifiedBy>
  <cp:revision>34</cp:revision>
  <cp:lastPrinted>2026-06-28T14:03:00Z</cp:lastPrinted>
  <dcterms:created xsi:type="dcterms:W3CDTF">2026-06-28T09:37:00Z</dcterms:created>
  <dcterms:modified xsi:type="dcterms:W3CDTF">2026-06-30T07:50:00Z</dcterms:modified>
</cp:coreProperties>
</file>