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B839B" w14:textId="77777777" w:rsidR="002F11C4" w:rsidRPr="00611899" w:rsidRDefault="00BC19D0">
      <w:pPr>
        <w:spacing w:after="360" w:line="480" w:lineRule="auto"/>
        <w:jc w:val="center"/>
        <w:rPr>
          <w:lang w:val="en-US"/>
        </w:rPr>
      </w:pPr>
      <w:r w:rsidRPr="00611899">
        <w:rPr>
          <w:b/>
          <w:bCs/>
          <w:sz w:val="28"/>
          <w:szCs w:val="28"/>
          <w:lang w:val="en-US"/>
        </w:rPr>
        <w:t>Energy Transition Costs and the Survival of Moroccan Industrial SMEs: A Fixed-Effects Panel Analysis</w:t>
      </w:r>
    </w:p>
    <w:p w14:paraId="54447E7D" w14:textId="11A4B714" w:rsidR="002F11C4" w:rsidRPr="00611899" w:rsidRDefault="001D2E1A" w:rsidP="001D2E1A">
      <w:pPr>
        <w:rPr>
          <w:lang w:val="en-US"/>
        </w:rPr>
      </w:pPr>
      <w:r>
        <w:rPr>
          <w:lang w:val="en-US"/>
        </w:rPr>
        <w:t/>
      </w:r>
      <w:r w:rsidR="00BC19D0" w:rsidRPr="00611899">
        <w:rPr>
          <w:lang w:val="en-US"/>
        </w:rPr>
        <w:t/>
      </w:r>
    </w:p>
    <w:p w14:paraId="62B56F8E" w14:textId="77777777" w:rsidR="002F11C4" w:rsidRPr="00611899" w:rsidRDefault="00BC19D0">
      <w:pPr>
        <w:spacing w:after="60" w:line="480" w:lineRule="auto"/>
        <w:jc w:val="center"/>
        <w:rPr>
          <w:lang w:val="en-US"/>
        </w:rPr>
      </w:pPr>
      <w:r w:rsidRPr="00611899">
        <w:rPr>
          <w:sz w:val="20"/>
          <w:szCs w:val="20"/>
          <w:lang w:val="en-US"/>
        </w:rPr>
        <w:t/>
      </w:r>
    </w:p>
    <w:p w14:paraId="658574DF" w14:textId="40DA3CBA" w:rsidR="002F11C4" w:rsidRPr="00BC19D0" w:rsidRDefault="00BC19D0" w:rsidP="00BC19D0">
      <w:pPr>
        <w:spacing w:after="360" w:line="480" w:lineRule="auto"/>
        <w:jc w:val="center"/>
      </w:pPr>
      <w:r>
        <w:rPr>
          <w:sz w:val="20"/>
          <w:szCs w:val="20"/>
        </w:rPr>
        <w:t/>
      </w:r>
    </w:p>
    <w:p w14:paraId="4BE18A7E" w14:textId="77777777" w:rsidR="002F11C4" w:rsidRPr="00611899" w:rsidRDefault="00BC19D0">
      <w:pPr>
        <w:spacing w:before="240" w:after="120" w:line="480" w:lineRule="auto"/>
        <w:rPr>
          <w:lang w:val="en-US"/>
        </w:rPr>
      </w:pPr>
      <w:r w:rsidRPr="00611899">
        <w:rPr>
          <w:b/>
          <w:bCs/>
          <w:lang w:val="en-US"/>
        </w:rPr>
        <w:t>Abstract</w:t>
      </w:r>
    </w:p>
    <w:p w14:paraId="268AEACD" w14:textId="77777777" w:rsidR="002F11C4" w:rsidRPr="00611899" w:rsidRDefault="00BC19D0">
      <w:pPr>
        <w:spacing w:after="200" w:line="480" w:lineRule="auto"/>
        <w:jc w:val="both"/>
        <w:rPr>
          <w:lang w:val="en-US"/>
        </w:rPr>
      </w:pPr>
      <w:r w:rsidRPr="00611899">
        <w:rPr>
          <w:lang w:val="en-US"/>
        </w:rPr>
        <w:t>Morocco's progressive phase-out of electricity-tariff subsidies for medium- and hig</w:t>
      </w:r>
      <w:r w:rsidRPr="00611899">
        <w:rPr>
          <w:lang w:val="en-US"/>
        </w:rPr>
        <w:t>h-voltage industrial consumers between 2021 and 2023, combined with rising global energy-input costs, has raised the cost of energy transition for industrial small and medium-sized enterprises (SMEs) at the same time as the country pursues an ambitious ren</w:t>
      </w:r>
      <w:r w:rsidRPr="00611899">
        <w:rPr>
          <w:lang w:val="en-US"/>
        </w:rPr>
        <w:t>ewable-energy and decarbonisation agenda. Whether this transition threatens the survival of energy-intensive industrial SMEs, or whether firm-level adaptation—principally through on-site solar self-generation under the Loi 13-09 framework—mitigates the thr</w:t>
      </w:r>
      <w:r w:rsidRPr="00611899">
        <w:rPr>
          <w:lang w:val="en-US"/>
        </w:rPr>
        <w:t>eat, remains empirically unexamined at the firm level. Using an unbalanced panel of 341 Moroccan industrial SMEs observed over 2017–2024, we estimate firm- and year-fixed-effects models of operating margin and a discrete-time hazard model of firm exit as f</w:t>
      </w:r>
      <w:r w:rsidRPr="00611899">
        <w:rPr>
          <w:lang w:val="en-US"/>
        </w:rPr>
        <w:t xml:space="preserve">unctions of firm-level tariff exposure and energy intensity. We find that tariff exposure and energy intensity are both significantly and substantially associated with margin compression and with elevated exit hazard. Firms that have adopted on-site solar </w:t>
      </w:r>
      <w:r w:rsidRPr="00611899">
        <w:rPr>
          <w:lang w:val="en-US"/>
        </w:rPr>
        <w:t>self-generation show a significantly smaller tariff-exposure penalty in operating margin and a significantly lower exit hazard, consistent with solar adoption functioning as an effective firm-level hedge against energy-transition costs. Leverage, firm size</w:t>
      </w:r>
      <w:r w:rsidRPr="00611899">
        <w:rPr>
          <w:lang w:val="en-US"/>
        </w:rPr>
        <w:t xml:space="preserve">, and export orientation condition both outcomes in ways consistent with credit-constrained smaller firms being least able to absorb or adapt to rising energy </w:t>
      </w:r>
      <w:r w:rsidRPr="00611899">
        <w:rPr>
          <w:lang w:val="en-US"/>
        </w:rPr>
        <w:lastRenderedPageBreak/>
        <w:t>costs. These results suggest that targeted financing for SME solar self-generation, rather than b</w:t>
      </w:r>
      <w:r w:rsidRPr="00611899">
        <w:rPr>
          <w:lang w:val="en-US"/>
        </w:rPr>
        <w:t>lanket tariff relief, may be the more cost-effective policy instrument for preserving industrial SME survival through Morocco's energy transition.</w:t>
      </w:r>
    </w:p>
    <w:p w14:paraId="3A5E8AF2" w14:textId="77777777" w:rsidR="002F11C4" w:rsidRPr="00611899" w:rsidRDefault="00BC19D0">
      <w:pPr>
        <w:spacing w:after="120" w:line="480" w:lineRule="auto"/>
        <w:jc w:val="both"/>
        <w:rPr>
          <w:lang w:val="en-US"/>
        </w:rPr>
      </w:pPr>
      <w:r w:rsidRPr="00611899">
        <w:rPr>
          <w:b/>
          <w:bCs/>
          <w:lang w:val="en-US"/>
        </w:rPr>
        <w:t xml:space="preserve">Keywords: </w:t>
      </w:r>
      <w:r w:rsidRPr="00611899">
        <w:rPr>
          <w:lang w:val="en-US"/>
        </w:rPr>
        <w:t>energy transition; SME survival; fixed-effects panel; discrete-time hazard model; solar self-genera</w:t>
      </w:r>
      <w:r w:rsidRPr="00611899">
        <w:rPr>
          <w:lang w:val="en-US"/>
        </w:rPr>
        <w:t>tion; Morocco</w:t>
      </w:r>
    </w:p>
    <w:p w14:paraId="580542E6" w14:textId="77777777" w:rsidR="002F11C4" w:rsidRDefault="00BC19D0">
      <w:pPr>
        <w:spacing w:line="480" w:lineRule="auto"/>
        <w:jc w:val="both"/>
      </w:pPr>
      <w:r>
        <w:rPr>
          <w:b/>
          <w:bCs/>
        </w:rPr>
        <w:t xml:space="preserve">JEL classification: </w:t>
      </w:r>
      <w:r>
        <w:t>Q41, Q42, L25, D22</w:t>
      </w:r>
    </w:p>
    <w:p w14:paraId="5CE45B5A" w14:textId="77777777" w:rsidR="002F11C4" w:rsidRDefault="00BC19D0">
      <w:r>
        <w:br w:type="page"/>
      </w:r>
    </w:p>
    <w:p w14:paraId="3F9177D1" w14:textId="77777777" w:rsidR="002F11C4" w:rsidRPr="00611899" w:rsidRDefault="00BC19D0">
      <w:pPr>
        <w:spacing w:before="240" w:after="120" w:line="480" w:lineRule="auto"/>
        <w:rPr>
          <w:lang w:val="en-US"/>
        </w:rPr>
      </w:pPr>
      <w:r w:rsidRPr="00611899">
        <w:rPr>
          <w:b/>
          <w:bCs/>
          <w:lang w:val="en-US"/>
        </w:rPr>
        <w:lastRenderedPageBreak/>
        <w:t>1. Introduction</w:t>
      </w:r>
    </w:p>
    <w:p w14:paraId="4AAE6AE3" w14:textId="77777777" w:rsidR="002F11C4" w:rsidRPr="00611899" w:rsidRDefault="00BC19D0">
      <w:pPr>
        <w:spacing w:line="480" w:lineRule="auto"/>
        <w:ind w:firstLine="720"/>
        <w:jc w:val="both"/>
        <w:rPr>
          <w:lang w:val="en-US"/>
        </w:rPr>
      </w:pPr>
      <w:r w:rsidRPr="00611899">
        <w:rPr>
          <w:lang w:val="en-US"/>
        </w:rPr>
        <w:t>Between 2021 and 2023, the Office National de l'Electricité et de l'Eau Potable (ONEE) progressively phased out cross-subsidisation of electricity tariffs for medium- and high-voltage i</w:t>
      </w:r>
      <w:r w:rsidRPr="00611899">
        <w:rPr>
          <w:lang w:val="en-US"/>
        </w:rPr>
        <w:t>ndustrial consumers, raising effective industrial electricity prices by an estimated 15 to 28% depending on consumption profile and voltage category (ONEE, 2023; Ministère de l'Energie, des Mines et de l'Environnement, 2022). This reform coincided with a s</w:t>
      </w:r>
      <w:r w:rsidRPr="00611899">
        <w:rPr>
          <w:lang w:val="en-US"/>
        </w:rPr>
        <w:t>harp rise in global energy-input costs following the 2021–2022 commodity-price shock, and with the acceleration of Morocco's renewable-energy strategy, which targets 52% of installed electricity-generation capacity from renewable sources (Ministère de la T</w:t>
      </w:r>
      <w:r w:rsidRPr="00611899">
        <w:rPr>
          <w:lang w:val="en-US"/>
        </w:rPr>
        <w:t>ransition Energétique, 2023). For industrial SMEs—particularly those in energy-intensive subsectors such as textiles finishing, ceramics, food processing, and basic metals fabrication—these parallel developments raise a first-order question: does the risin</w:t>
      </w:r>
      <w:r w:rsidRPr="00611899">
        <w:rPr>
          <w:lang w:val="en-US"/>
        </w:rPr>
        <w:t>g cost of energy, whether through tariff reform or input-price pressure, threaten the survival of energy-intensive industrial SMEs, and does firm-level adaptation through renewable self-generation mitigate this threat?</w:t>
      </w:r>
    </w:p>
    <w:p w14:paraId="204757C4" w14:textId="77777777" w:rsidR="002F11C4" w:rsidRPr="00611899" w:rsidRDefault="00BC19D0">
      <w:pPr>
        <w:spacing w:line="480" w:lineRule="auto"/>
        <w:ind w:firstLine="720"/>
        <w:jc w:val="both"/>
        <w:rPr>
          <w:lang w:val="en-US"/>
        </w:rPr>
      </w:pPr>
      <w:r w:rsidRPr="00611899">
        <w:rPr>
          <w:lang w:val="en-US"/>
        </w:rPr>
        <w:t>This question has received limited em</w:t>
      </w:r>
      <w:r w:rsidRPr="00611899">
        <w:rPr>
          <w:lang w:val="en-US"/>
        </w:rPr>
        <w:t>pirical attention at the firm level in the Moroccan context. Existing assessments of the 2021–2023 tariff reform focus primarily on aggregate industrial competitiveness and macroeconomic pass-through (Bank Al-Maghrib, 2023; OECD, 2022), without distinguish</w:t>
      </w:r>
      <w:r w:rsidRPr="00611899">
        <w:rPr>
          <w:lang w:val="en-US"/>
        </w:rPr>
        <w:t xml:space="preserve">ing firm-level heterogeneity in exposure or adaptive capacity. Yet theory and comparative evidence both suggest such heterogeneity is likely to be substantial: firms differ markedly in energy intensity, in their position on the voltage-tariff schedule, in </w:t>
      </w:r>
      <w:r w:rsidRPr="00611899">
        <w:rPr>
          <w:lang w:val="en-US"/>
        </w:rPr>
        <w:t xml:space="preserve">access to financing for self-generation investment, and in size-related ability to absorb cost shocks (Cole et al., 2021; Marin &amp; Vona, 2021). Aggregate analysis is liable to obscure the distribution of survival risk </w:t>
      </w:r>
      <w:r w:rsidRPr="00611899">
        <w:rPr>
          <w:lang w:val="en-US"/>
        </w:rPr>
        <w:lastRenderedPageBreak/>
        <w:t>across the SME population—precisely the</w:t>
      </w:r>
      <w:r w:rsidRPr="00611899">
        <w:rPr>
          <w:lang w:val="en-US"/>
        </w:rPr>
        <w:t xml:space="preserve"> firms least able to access concessional decarbonisation finance and most exposed to a binding liquidity constraint when energy costs rise.</w:t>
      </w:r>
    </w:p>
    <w:p w14:paraId="6BFEB0C0" w14:textId="77777777" w:rsidR="002F11C4" w:rsidRPr="00611899" w:rsidRDefault="00BC19D0">
      <w:pPr>
        <w:spacing w:line="480" w:lineRule="auto"/>
        <w:ind w:firstLine="720"/>
        <w:jc w:val="both"/>
        <w:rPr>
          <w:lang w:val="en-US"/>
        </w:rPr>
      </w:pPr>
      <w:r w:rsidRPr="00611899">
        <w:rPr>
          <w:lang w:val="en-US"/>
        </w:rPr>
        <w:t>This paper provides firm-level evidence on this question using a panel of 341 Moroccan industrial SMEs over 2017–202</w:t>
      </w:r>
      <w:r w:rsidRPr="00611899">
        <w:rPr>
          <w:lang w:val="en-US"/>
        </w:rPr>
        <w:t>4, spanning the pre-reform and post-reform periods. We make three contributions. First, we construct a firm-level tariff-exposure index reflecting each firm's position on the ONEE voltage-tariff schedule and the magnitude of the 2021–2023 subsidy phase-out</w:t>
      </w:r>
      <w:r w:rsidRPr="00611899">
        <w:rPr>
          <w:lang w:val="en-US"/>
        </w:rPr>
        <w:t xml:space="preserve"> applicable to its consumption profile, allowing us to move beyond sector-level energy-cost proxies used in prior work. Second, we estimate the effect of tariff exposure and energy intensity on firm operating margin using firm- and year-fixed-effects panel</w:t>
      </w:r>
      <w:r w:rsidRPr="00611899">
        <w:rPr>
          <w:lang w:val="en-US"/>
        </w:rPr>
        <w:t xml:space="preserve"> regression, and on firm survival using a discrete-time hazard model, providing both an intensive-margin (profitability) and extensive-margin (exit) perspective on energy-transition cost effects. Third, we examine whether on-site solar self-generation, ado</w:t>
      </w:r>
      <w:r w:rsidRPr="00611899">
        <w:rPr>
          <w:lang w:val="en-US"/>
        </w:rPr>
        <w:t>pted under Morocco's Loi 13-09 medium-voltage self-generation framework, mitigates these effects, directly informing the design of decarbonisation-support policy for industrial SMEs.</w:t>
      </w:r>
    </w:p>
    <w:p w14:paraId="24CF9895" w14:textId="77777777" w:rsidR="002F11C4" w:rsidRPr="00611899" w:rsidRDefault="00BC19D0">
      <w:pPr>
        <w:spacing w:line="480" w:lineRule="auto"/>
        <w:ind w:firstLine="720"/>
        <w:jc w:val="both"/>
        <w:rPr>
          <w:lang w:val="en-US"/>
        </w:rPr>
      </w:pPr>
      <w:r w:rsidRPr="00611899">
        <w:rPr>
          <w:lang w:val="en-US"/>
        </w:rPr>
        <w:t>The remainder of the paper proceeds as follows. Section 2 reviews the rel</w:t>
      </w:r>
      <w:r w:rsidRPr="00611899">
        <w:rPr>
          <w:lang w:val="en-US"/>
        </w:rPr>
        <w:t>evant literature. Section 3 describes the data and variable construction. Section 4 presents the empirical strategy. Section 5 reports results. Section 6 discusses robustness and limitations. Section 7 concludes with policy implications.</w:t>
      </w:r>
    </w:p>
    <w:p w14:paraId="4B1D5615" w14:textId="77777777" w:rsidR="002F11C4" w:rsidRPr="00611899" w:rsidRDefault="00BC19D0">
      <w:pPr>
        <w:spacing w:before="240" w:after="120" w:line="480" w:lineRule="auto"/>
        <w:rPr>
          <w:lang w:val="en-US"/>
        </w:rPr>
      </w:pPr>
      <w:r w:rsidRPr="00611899">
        <w:rPr>
          <w:b/>
          <w:bCs/>
          <w:lang w:val="en-US"/>
        </w:rPr>
        <w:t>2. Literature Revi</w:t>
      </w:r>
      <w:r w:rsidRPr="00611899">
        <w:rPr>
          <w:b/>
          <w:bCs/>
          <w:lang w:val="en-US"/>
        </w:rPr>
        <w:t>ew and Hypotheses</w:t>
      </w:r>
    </w:p>
    <w:p w14:paraId="3F7C482F" w14:textId="77777777" w:rsidR="002F11C4" w:rsidRPr="00611899" w:rsidRDefault="00BC19D0">
      <w:pPr>
        <w:spacing w:before="200" w:after="100" w:line="480" w:lineRule="auto"/>
        <w:rPr>
          <w:lang w:val="en-US"/>
        </w:rPr>
      </w:pPr>
      <w:r w:rsidRPr="00611899">
        <w:rPr>
          <w:b/>
          <w:bCs/>
          <w:i/>
          <w:iCs/>
          <w:lang w:val="en-US"/>
        </w:rPr>
        <w:t>2.1 Energy costs, firm performance, and survival</w:t>
      </w:r>
    </w:p>
    <w:p w14:paraId="1DEA03C6" w14:textId="77777777" w:rsidR="002F11C4" w:rsidRPr="00611899" w:rsidRDefault="00BC19D0">
      <w:pPr>
        <w:spacing w:line="480" w:lineRule="auto"/>
        <w:ind w:firstLine="720"/>
        <w:jc w:val="both"/>
        <w:rPr>
          <w:lang w:val="en-US"/>
        </w:rPr>
      </w:pPr>
      <w:r w:rsidRPr="00611899">
        <w:rPr>
          <w:lang w:val="en-US"/>
        </w:rPr>
        <w:t>A substantial literature documents that energy-price shocks compress firm profitability and, in extreme cases, induce exit, with effects concentrated among energy-intensive and credit-const</w:t>
      </w:r>
      <w:r w:rsidRPr="00611899">
        <w:rPr>
          <w:lang w:val="en-US"/>
        </w:rPr>
        <w:t xml:space="preserve">rained firms (Ganapati et al., 2020; Marin &amp; Vona, 2021). Energy-cost pass-through to output </w:t>
      </w:r>
      <w:r w:rsidRPr="00611899">
        <w:rPr>
          <w:lang w:val="en-US"/>
        </w:rPr>
        <w:lastRenderedPageBreak/>
        <w:t>prices is typically incomplete in the short run, particularly for SMEs operating in competitive product markets with limited pricing power relative to larger incum</w:t>
      </w:r>
      <w:r w:rsidRPr="00611899">
        <w:rPr>
          <w:lang w:val="en-US"/>
        </w:rPr>
        <w:t>bents (Cole et al., 2021). Evidence from European emissions-trading and energy-tax reforms similarly finds that smaller, more energy-intensive firms bear disproportionate adjustment costs relative to larger firms able to invest in efficiency improvements o</w:t>
      </w:r>
      <w:r w:rsidRPr="00611899">
        <w:rPr>
          <w:lang w:val="en-US"/>
        </w:rPr>
        <w:t>r pass costs through supply chains (Martin et al., 2014; Flues &amp; Lutz, 2015).</w:t>
      </w:r>
    </w:p>
    <w:p w14:paraId="359F8E75" w14:textId="77777777" w:rsidR="002F11C4" w:rsidRPr="00611899" w:rsidRDefault="00BC19D0">
      <w:pPr>
        <w:spacing w:line="480" w:lineRule="auto"/>
        <w:ind w:firstLine="720"/>
        <w:jc w:val="both"/>
        <w:rPr>
          <w:lang w:val="en-US"/>
        </w:rPr>
      </w:pPr>
      <w:r w:rsidRPr="00611899">
        <w:rPr>
          <w:i/>
          <w:iCs/>
          <w:lang w:val="en-US"/>
        </w:rPr>
        <w:t>H1: Higher firm-level tariff exposure and energy intensity are associated with lower operating margins and higher exit hazard among Moroccan industrial SMEs.</w:t>
      </w:r>
    </w:p>
    <w:p w14:paraId="4528FBF1" w14:textId="77777777" w:rsidR="002F11C4" w:rsidRPr="00611899" w:rsidRDefault="00BC19D0">
      <w:pPr>
        <w:spacing w:before="200" w:after="100" w:line="480" w:lineRule="auto"/>
        <w:rPr>
          <w:lang w:val="en-US"/>
        </w:rPr>
      </w:pPr>
      <w:r w:rsidRPr="00611899">
        <w:rPr>
          <w:b/>
          <w:bCs/>
          <w:i/>
          <w:iCs/>
          <w:lang w:val="en-US"/>
        </w:rPr>
        <w:t>2.2 Renewable self-g</w:t>
      </w:r>
      <w:r w:rsidRPr="00611899">
        <w:rPr>
          <w:b/>
          <w:bCs/>
          <w:i/>
          <w:iCs/>
          <w:lang w:val="en-US"/>
        </w:rPr>
        <w:t>eneration as firm-level adaptation</w:t>
      </w:r>
    </w:p>
    <w:p w14:paraId="5056136F" w14:textId="77777777" w:rsidR="002F11C4" w:rsidRPr="00611899" w:rsidRDefault="00BC19D0">
      <w:pPr>
        <w:spacing w:line="480" w:lineRule="auto"/>
        <w:ind w:firstLine="720"/>
        <w:jc w:val="both"/>
        <w:rPr>
          <w:lang w:val="en-US"/>
        </w:rPr>
      </w:pPr>
      <w:r w:rsidRPr="00611899">
        <w:rPr>
          <w:lang w:val="en-US"/>
        </w:rPr>
        <w:t>A growing literature examines firm-level renewable self-generation as a hedge against energy-price volatility and a margin-preserving investment under rising grid tariffs (Bayer &amp; Aklin, 2020; IRENA, 2022). For SMEs speci</w:t>
      </w:r>
      <w:r w:rsidRPr="00611899">
        <w:rPr>
          <w:lang w:val="en-US"/>
        </w:rPr>
        <w:t>fically, on-site solar photovoltaic self-generation offers a relatively scalable adaptation technology, given declining capital costs and Morocco's favourable solar resource, but uptake may be constrained by financing access, particularly for smaller and m</w:t>
      </w:r>
      <w:r w:rsidRPr="00611899">
        <w:rPr>
          <w:lang w:val="en-US"/>
        </w:rPr>
        <w:t>ore leveraged firms (AMEE, 2022). Whether solar self-generation has materially mitigated the survival risk associated with Morocco's tariff reform for the SME population is, to our knowledge, untested.</w:t>
      </w:r>
    </w:p>
    <w:p w14:paraId="11345CB9" w14:textId="77777777" w:rsidR="002F11C4" w:rsidRPr="00611899" w:rsidRDefault="00BC19D0">
      <w:pPr>
        <w:spacing w:line="480" w:lineRule="auto"/>
        <w:ind w:firstLine="720"/>
        <w:jc w:val="both"/>
        <w:rPr>
          <w:lang w:val="en-US"/>
        </w:rPr>
      </w:pPr>
      <w:r w:rsidRPr="00611899">
        <w:rPr>
          <w:i/>
          <w:iCs/>
          <w:lang w:val="en-US"/>
        </w:rPr>
        <w:t>H2: On-site solar self-generation attenuates the negative effect of tariff exposure on operating margin and reduces exit hazard.</w:t>
      </w:r>
    </w:p>
    <w:p w14:paraId="20D5DF0E" w14:textId="77777777" w:rsidR="002F11C4" w:rsidRPr="00611899" w:rsidRDefault="00BC19D0">
      <w:pPr>
        <w:spacing w:before="200" w:after="100" w:line="480" w:lineRule="auto"/>
        <w:rPr>
          <w:lang w:val="en-US"/>
        </w:rPr>
      </w:pPr>
      <w:r w:rsidRPr="00611899">
        <w:rPr>
          <w:b/>
          <w:bCs/>
          <w:i/>
          <w:iCs/>
          <w:lang w:val="en-US"/>
        </w:rPr>
        <w:t>2.3 Financial constraints as a conditioning factor</w:t>
      </w:r>
    </w:p>
    <w:p w14:paraId="47DAD841" w14:textId="77777777" w:rsidR="002F11C4" w:rsidRPr="00611899" w:rsidRDefault="00BC19D0">
      <w:pPr>
        <w:spacing w:line="480" w:lineRule="auto"/>
        <w:ind w:firstLine="720"/>
        <w:jc w:val="both"/>
        <w:rPr>
          <w:lang w:val="en-US"/>
        </w:rPr>
      </w:pPr>
      <w:r w:rsidRPr="00611899">
        <w:rPr>
          <w:lang w:val="en-US"/>
        </w:rPr>
        <w:t>Leverage and firm size are well-established conditioning factors in firm res</w:t>
      </w:r>
      <w:r w:rsidRPr="00611899">
        <w:rPr>
          <w:lang w:val="en-US"/>
        </w:rPr>
        <w:t xml:space="preserve">ponses to cost shocks, with more leveraged and smaller firms facing tighter liquidity constraints and reduced </w:t>
      </w:r>
      <w:r w:rsidRPr="00611899">
        <w:rPr>
          <w:lang w:val="en-US"/>
        </w:rPr>
        <w:lastRenderedPageBreak/>
        <w:t xml:space="preserve">capacity to finance adaptive investment (Almeida et al., 2011; Beck et al., 2008). We expect these factors to condition both the direct effect of </w:t>
      </w:r>
      <w:r w:rsidRPr="00611899">
        <w:rPr>
          <w:lang w:val="en-US"/>
        </w:rPr>
        <w:t>energy costs and the mitigating effect of solar adoption.</w:t>
      </w:r>
    </w:p>
    <w:p w14:paraId="31A709FC" w14:textId="77777777" w:rsidR="002F11C4" w:rsidRPr="00611899" w:rsidRDefault="00BC19D0">
      <w:pPr>
        <w:spacing w:line="480" w:lineRule="auto"/>
        <w:ind w:firstLine="720"/>
        <w:jc w:val="both"/>
        <w:rPr>
          <w:lang w:val="en-US"/>
        </w:rPr>
      </w:pPr>
      <w:r w:rsidRPr="00611899">
        <w:rPr>
          <w:i/>
          <w:iCs/>
          <w:lang w:val="en-US"/>
        </w:rPr>
        <w:t>H3: The adverse effect of energy-transition costs on margin and survival is more pronounced among more highly leveraged and smaller firms.</w:t>
      </w:r>
    </w:p>
    <w:p w14:paraId="7036D040" w14:textId="77777777" w:rsidR="002F11C4" w:rsidRPr="00611899" w:rsidRDefault="00BC19D0">
      <w:pPr>
        <w:spacing w:before="240" w:after="120" w:line="480" w:lineRule="auto"/>
        <w:rPr>
          <w:lang w:val="en-US"/>
        </w:rPr>
      </w:pPr>
      <w:r w:rsidRPr="00611899">
        <w:rPr>
          <w:b/>
          <w:bCs/>
          <w:lang w:val="en-US"/>
        </w:rPr>
        <w:t>3. Data and Variables</w:t>
      </w:r>
    </w:p>
    <w:p w14:paraId="01E020F0" w14:textId="77777777" w:rsidR="002F11C4" w:rsidRPr="00611899" w:rsidRDefault="00BC19D0">
      <w:pPr>
        <w:spacing w:line="480" w:lineRule="auto"/>
        <w:ind w:firstLine="720"/>
        <w:jc w:val="both"/>
        <w:rPr>
          <w:lang w:val="en-US"/>
        </w:rPr>
      </w:pPr>
      <w:r w:rsidRPr="00611899">
        <w:rPr>
          <w:lang w:val="en-US"/>
        </w:rPr>
        <w:t>The sample comprises 341 formally reg</w:t>
      </w:r>
      <w:r w:rsidRPr="00611899">
        <w:rPr>
          <w:lang w:val="en-US"/>
        </w:rPr>
        <w:t xml:space="preserve">istered Moroccan industrial SMEs (20–250 employees) drawn from the Institut Marocain de la Compétitivité (ICE)/Haut-Commissariat au Plan (HCP) firm survey panel, merged with ONEE billing records, OMPIC business-registry data, CNSS employment records, Bank </w:t>
      </w:r>
      <w:r w:rsidRPr="00611899">
        <w:rPr>
          <w:lang w:val="en-US"/>
        </w:rPr>
        <w:t>Al-Maghrib credit-registry data, and the Agence Marocaine pour l'Efficacité Energétique (AMEE) energy-audit database, covering 2017–2024. The resulting unbalanced panel comprises 2,046 firm-year observations, including 39 firm exits identified through dere</w:t>
      </w:r>
      <w:r w:rsidRPr="00611899">
        <w:rPr>
          <w:lang w:val="en-US"/>
        </w:rPr>
        <w:t>gistration, bankruptcy filing, or two consecutive years of zero CNSS-declared employment. Table 1 defines all variables; Table 2 reports descriptive statistics by energy-intensity group.</w:t>
      </w:r>
    </w:p>
    <w:p w14:paraId="0E5C4A11" w14:textId="77777777" w:rsidR="002F11C4" w:rsidRPr="00611899" w:rsidRDefault="00BC19D0">
      <w:pPr>
        <w:spacing w:line="480" w:lineRule="auto"/>
        <w:ind w:firstLine="720"/>
        <w:jc w:val="both"/>
        <w:rPr>
          <w:lang w:val="en-US"/>
        </w:rPr>
      </w:pPr>
      <w:r w:rsidRPr="00611899">
        <w:rPr>
          <w:lang w:val="en-US"/>
        </w:rPr>
        <w:t>The firm-level tariff-exposure index (TARIFF_EXP) is constructed from</w:t>
      </w:r>
      <w:r w:rsidRPr="00611899">
        <w:rPr>
          <w:lang w:val="en-US"/>
        </w:rPr>
        <w:t xml:space="preserve"> each firm's voltage-tariff category and historical consumption profile, weighted by the magnitude of the subsidy reduction applicable to that category under the 2021–2023 ONEE reform schedule; firms on tariff schedules unaffected by the reform (principall</w:t>
      </w:r>
      <w:r w:rsidRPr="00611899">
        <w:rPr>
          <w:lang w:val="en-US"/>
        </w:rPr>
        <w:t xml:space="preserve">y low-voltage consumers) receive a score of zero. ENERGY_INT measures energy intensity as kWh consumed per unit of value added, drawn from AMEE energy-audit records where available (76% of sample firms) and otherwise imputed from sector-median values with </w:t>
      </w:r>
      <w:r w:rsidRPr="00611899">
        <w:rPr>
          <w:lang w:val="en-US"/>
        </w:rPr>
        <w:t xml:space="preserve">a missingness flag included as a control in unreported specifications. SOLAR_ADOPT identifies firms that have installed on-site solar self-generation </w:t>
      </w:r>
      <w:r w:rsidRPr="00611899">
        <w:rPr>
          <w:lang w:val="en-US"/>
        </w:rPr>
        <w:lastRenderedPageBreak/>
        <w:t>capacity under the Loi 13-09 medium-voltage self-generation framework, drawn from ANRE and MASEN connectio</w:t>
      </w:r>
      <w:r w:rsidRPr="00611899">
        <w:rPr>
          <w:lang w:val="en-US"/>
        </w:rPr>
        <w:t>n registries.</w:t>
      </w:r>
    </w:p>
    <w:p w14:paraId="05922E78" w14:textId="77777777" w:rsidR="002F11C4" w:rsidRPr="00611899" w:rsidRDefault="00BC19D0">
      <w:pPr>
        <w:spacing w:before="200" w:after="80"/>
        <w:rPr>
          <w:lang w:val="en-US"/>
        </w:rPr>
      </w:pPr>
      <w:r w:rsidRPr="00611899">
        <w:rPr>
          <w:b/>
          <w:bCs/>
          <w:lang w:val="en-US"/>
        </w:rPr>
        <w:t>Table 1. Variable definitions and data sources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4900"/>
        <w:gridCol w:w="2660"/>
      </w:tblGrid>
      <w:tr w:rsidR="002F11C4" w14:paraId="0A800364" w14:textId="77777777">
        <w:tblPrEx>
          <w:tblCellMar>
            <w:top w:w="0" w:type="dxa"/>
            <w:bottom w:w="0" w:type="dxa"/>
          </w:tblCellMar>
        </w:tblPrEx>
        <w:tc>
          <w:tcPr>
            <w:tcW w:w="18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40D763A" w14:textId="77777777" w:rsidR="002F11C4" w:rsidRDefault="00BC19D0">
            <w:r>
              <w:rPr>
                <w:b/>
                <w:bCs/>
                <w:sz w:val="20"/>
                <w:szCs w:val="20"/>
              </w:rPr>
              <w:t>Variable</w:t>
            </w:r>
          </w:p>
        </w:tc>
        <w:tc>
          <w:tcPr>
            <w:tcW w:w="49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237D7799" w14:textId="77777777" w:rsidR="002F11C4" w:rsidRDefault="00BC19D0">
            <w:r>
              <w:rPr>
                <w:b/>
                <w:bCs/>
                <w:sz w:val="20"/>
                <w:szCs w:val="20"/>
              </w:rPr>
              <w:t>Definition</w:t>
            </w:r>
          </w:p>
        </w:tc>
        <w:tc>
          <w:tcPr>
            <w:tcW w:w="266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1F61EAF9" w14:textId="77777777" w:rsidR="002F11C4" w:rsidRDefault="00BC19D0">
            <w:r>
              <w:rPr>
                <w:b/>
                <w:bCs/>
                <w:sz w:val="20"/>
                <w:szCs w:val="20"/>
              </w:rPr>
              <w:t>Source</w:t>
            </w:r>
          </w:p>
        </w:tc>
      </w:tr>
      <w:tr w:rsidR="002F11C4" w14:paraId="71429524"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C0EB7E4" w14:textId="77777777" w:rsidR="002F11C4" w:rsidRDefault="00BC19D0">
            <w:r>
              <w:rPr>
                <w:sz w:val="20"/>
                <w:szCs w:val="20"/>
              </w:rPr>
              <w:t>EXIT</w:t>
            </w:r>
          </w:p>
        </w:tc>
        <w:tc>
          <w:tcPr>
            <w:tcW w:w="49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BB1983F" w14:textId="77777777" w:rsidR="002F11C4" w:rsidRPr="00611899" w:rsidRDefault="00BC19D0">
            <w:pPr>
              <w:rPr>
                <w:lang w:val="en-US"/>
              </w:rPr>
            </w:pPr>
            <w:r w:rsidRPr="00611899">
              <w:rPr>
                <w:sz w:val="20"/>
                <w:szCs w:val="20"/>
                <w:lang w:val="en-US"/>
              </w:rPr>
              <w:t>Dummy = 1 in the year a firm exits formal activity (deregistration, bankruptcy filing, or two consecutive years of zero CNSS-declared employment)</w:t>
            </w:r>
          </w:p>
        </w:tc>
        <w:tc>
          <w:tcPr>
            <w:tcW w:w="26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72A6A73" w14:textId="77777777" w:rsidR="002F11C4" w:rsidRDefault="00BC19D0">
            <w:r>
              <w:rPr>
                <w:sz w:val="20"/>
                <w:szCs w:val="20"/>
              </w:rPr>
              <w:t>OMPIC; CNSS; Tribunal de commerce records</w:t>
            </w:r>
          </w:p>
        </w:tc>
      </w:tr>
      <w:tr w:rsidR="002F11C4" w:rsidRPr="00611899" w14:paraId="08FD4F68"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2607E57" w14:textId="77777777" w:rsidR="002F11C4" w:rsidRDefault="00BC19D0">
            <w:r>
              <w:rPr>
                <w:sz w:val="20"/>
                <w:szCs w:val="20"/>
              </w:rPr>
              <w:t>MARGIN</w:t>
            </w:r>
          </w:p>
        </w:tc>
        <w:tc>
          <w:tcPr>
            <w:tcW w:w="49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ADB979C" w14:textId="77777777" w:rsidR="002F11C4" w:rsidRDefault="00BC19D0">
            <w:r>
              <w:rPr>
                <w:sz w:val="20"/>
                <w:szCs w:val="20"/>
              </w:rPr>
              <w:t>Operating margin (EBITDA / turnover), %</w:t>
            </w:r>
          </w:p>
        </w:tc>
        <w:tc>
          <w:tcPr>
            <w:tcW w:w="26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5542ADF" w14:textId="77777777" w:rsidR="002F11C4" w:rsidRPr="00611899" w:rsidRDefault="00BC19D0">
            <w:pPr>
              <w:rPr>
                <w:lang w:val="en-US"/>
              </w:rPr>
            </w:pPr>
            <w:r w:rsidRPr="00611899">
              <w:rPr>
                <w:sz w:val="20"/>
                <w:szCs w:val="20"/>
                <w:lang w:val="en-US"/>
              </w:rPr>
              <w:t>ICE/HCP firm survey panel</w:t>
            </w:r>
          </w:p>
        </w:tc>
      </w:tr>
      <w:tr w:rsidR="002F11C4" w:rsidRPr="00611899" w14:paraId="07E56F7E"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78DC0A91" w14:textId="77777777" w:rsidR="002F11C4" w:rsidRDefault="00BC19D0">
            <w:r>
              <w:rPr>
                <w:sz w:val="20"/>
                <w:szCs w:val="20"/>
              </w:rPr>
              <w:t>ENERGY_COST</w:t>
            </w:r>
          </w:p>
        </w:tc>
        <w:tc>
          <w:tcPr>
            <w:tcW w:w="49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C8E48F3" w14:textId="77777777" w:rsidR="002F11C4" w:rsidRPr="00611899" w:rsidRDefault="00BC19D0">
            <w:pPr>
              <w:rPr>
                <w:lang w:val="en-US"/>
              </w:rPr>
            </w:pPr>
            <w:r w:rsidRPr="00611899">
              <w:rPr>
                <w:sz w:val="20"/>
                <w:szCs w:val="20"/>
                <w:lang w:val="en-US"/>
              </w:rPr>
              <w:t>Energy expenditure as a share of total production cost, %</w:t>
            </w:r>
          </w:p>
        </w:tc>
        <w:tc>
          <w:tcPr>
            <w:tcW w:w="26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99157E2" w14:textId="77777777" w:rsidR="002F11C4" w:rsidRPr="00611899" w:rsidRDefault="00BC19D0">
            <w:pPr>
              <w:rPr>
                <w:lang w:val="en-US"/>
              </w:rPr>
            </w:pPr>
            <w:r w:rsidRPr="00611899">
              <w:rPr>
                <w:sz w:val="20"/>
                <w:szCs w:val="20"/>
                <w:lang w:val="en-US"/>
              </w:rPr>
              <w:t>Firm survey; ONEE billing records</w:t>
            </w:r>
          </w:p>
        </w:tc>
      </w:tr>
      <w:tr w:rsidR="002F11C4" w:rsidRPr="00611899" w14:paraId="22EC840B"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7F2E7F4" w14:textId="77777777" w:rsidR="002F11C4" w:rsidRDefault="00BC19D0">
            <w:r>
              <w:rPr>
                <w:sz w:val="20"/>
                <w:szCs w:val="20"/>
              </w:rPr>
              <w:t>TARIFF_EXP</w:t>
            </w:r>
          </w:p>
        </w:tc>
        <w:tc>
          <w:tcPr>
            <w:tcW w:w="49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CB93171" w14:textId="77777777" w:rsidR="002F11C4" w:rsidRPr="00611899" w:rsidRDefault="00BC19D0">
            <w:pPr>
              <w:rPr>
                <w:lang w:val="en-US"/>
              </w:rPr>
            </w:pPr>
            <w:r w:rsidRPr="00611899">
              <w:rPr>
                <w:sz w:val="20"/>
                <w:szCs w:val="20"/>
                <w:lang w:val="en-US"/>
              </w:rPr>
              <w:t>Firm-level electricity-tariff exposure index (share of consumption on the</w:t>
            </w:r>
            <w:r w:rsidRPr="00611899">
              <w:rPr>
                <w:sz w:val="20"/>
                <w:szCs w:val="20"/>
                <w:lang w:val="en-US"/>
              </w:rPr>
              <w:t xml:space="preserve"> medium/high-voltage tariff schedule affected by the 2021–2023 subsidy phase-out)</w:t>
            </w:r>
          </w:p>
        </w:tc>
        <w:tc>
          <w:tcPr>
            <w:tcW w:w="26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7AA7F90" w14:textId="77777777" w:rsidR="002F11C4" w:rsidRPr="00611899" w:rsidRDefault="00BC19D0">
            <w:pPr>
              <w:rPr>
                <w:lang w:val="en-US"/>
              </w:rPr>
            </w:pPr>
            <w:r w:rsidRPr="00611899">
              <w:rPr>
                <w:sz w:val="20"/>
                <w:szCs w:val="20"/>
                <w:lang w:val="en-US"/>
              </w:rPr>
              <w:t>ONEE tariff schedules; firm billing data</w:t>
            </w:r>
          </w:p>
        </w:tc>
      </w:tr>
      <w:tr w:rsidR="002F11C4" w14:paraId="2A4A46F7"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6924D78" w14:textId="77777777" w:rsidR="002F11C4" w:rsidRDefault="00BC19D0">
            <w:r>
              <w:rPr>
                <w:sz w:val="20"/>
                <w:szCs w:val="20"/>
              </w:rPr>
              <w:t>ENERGY_INT</w:t>
            </w:r>
          </w:p>
        </w:tc>
        <w:tc>
          <w:tcPr>
            <w:tcW w:w="49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15B2ECA2" w14:textId="77777777" w:rsidR="002F11C4" w:rsidRPr="00611899" w:rsidRDefault="00BC19D0">
            <w:pPr>
              <w:rPr>
                <w:lang w:val="en-US"/>
              </w:rPr>
            </w:pPr>
            <w:r w:rsidRPr="00611899">
              <w:rPr>
                <w:sz w:val="20"/>
                <w:szCs w:val="20"/>
                <w:lang w:val="en-US"/>
              </w:rPr>
              <w:t>Energy intensity, kWh per unit of value added</w:t>
            </w:r>
          </w:p>
        </w:tc>
        <w:tc>
          <w:tcPr>
            <w:tcW w:w="26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C2CB5E2" w14:textId="77777777" w:rsidR="002F11C4" w:rsidRDefault="00BC19D0">
            <w:r>
              <w:rPr>
                <w:sz w:val="20"/>
                <w:szCs w:val="20"/>
              </w:rPr>
              <w:t>AMEE energy-audit records</w:t>
            </w:r>
          </w:p>
        </w:tc>
      </w:tr>
      <w:tr w:rsidR="002F11C4" w14:paraId="075E9F14"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7E913D7B" w14:textId="77777777" w:rsidR="002F11C4" w:rsidRDefault="00BC19D0">
            <w:r>
              <w:rPr>
                <w:sz w:val="20"/>
                <w:szCs w:val="20"/>
              </w:rPr>
              <w:t>SOLAR_ADOPT</w:t>
            </w:r>
          </w:p>
        </w:tc>
        <w:tc>
          <w:tcPr>
            <w:tcW w:w="49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4F08A07" w14:textId="77777777" w:rsidR="002F11C4" w:rsidRPr="00611899" w:rsidRDefault="00BC19D0">
            <w:pPr>
              <w:rPr>
                <w:lang w:val="en-US"/>
              </w:rPr>
            </w:pPr>
            <w:r w:rsidRPr="00611899">
              <w:rPr>
                <w:sz w:val="20"/>
                <w:szCs w:val="20"/>
                <w:lang w:val="en-US"/>
              </w:rPr>
              <w:t>Dummy: firm has installed on-site solar self-generation capacity (Loi 13-09 framework)</w:t>
            </w:r>
          </w:p>
        </w:tc>
        <w:tc>
          <w:tcPr>
            <w:tcW w:w="26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AEBE936" w14:textId="77777777" w:rsidR="002F11C4" w:rsidRDefault="00BC19D0">
            <w:r>
              <w:rPr>
                <w:sz w:val="20"/>
                <w:szCs w:val="20"/>
              </w:rPr>
              <w:t>ANRE; MASEN connection registry</w:t>
            </w:r>
          </w:p>
        </w:tc>
      </w:tr>
      <w:tr w:rsidR="002F11C4" w14:paraId="2E76F6A7"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5409694D" w14:textId="77777777" w:rsidR="002F11C4" w:rsidRDefault="00BC19D0">
            <w:r>
              <w:rPr>
                <w:sz w:val="20"/>
                <w:szCs w:val="20"/>
              </w:rPr>
              <w:t>SIZE</w:t>
            </w:r>
          </w:p>
        </w:tc>
        <w:tc>
          <w:tcPr>
            <w:tcW w:w="49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819A12B" w14:textId="77777777" w:rsidR="002F11C4" w:rsidRDefault="00BC19D0">
            <w:r>
              <w:rPr>
                <w:sz w:val="20"/>
                <w:szCs w:val="20"/>
              </w:rPr>
              <w:t>Log of firm employment</w:t>
            </w:r>
          </w:p>
        </w:tc>
        <w:tc>
          <w:tcPr>
            <w:tcW w:w="26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5A489B34" w14:textId="77777777" w:rsidR="002F11C4" w:rsidRDefault="00BC19D0">
            <w:r>
              <w:rPr>
                <w:sz w:val="20"/>
                <w:szCs w:val="20"/>
              </w:rPr>
              <w:t>CNSS administrative records</w:t>
            </w:r>
          </w:p>
        </w:tc>
      </w:tr>
      <w:tr w:rsidR="002F11C4" w14:paraId="4AE256D5"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4E13990" w14:textId="77777777" w:rsidR="002F11C4" w:rsidRDefault="00BC19D0">
            <w:r>
              <w:rPr>
                <w:sz w:val="20"/>
                <w:szCs w:val="20"/>
              </w:rPr>
              <w:t>AGE</w:t>
            </w:r>
          </w:p>
        </w:tc>
        <w:tc>
          <w:tcPr>
            <w:tcW w:w="49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F6A1B6E" w14:textId="77777777" w:rsidR="002F11C4" w:rsidRDefault="00BC19D0">
            <w:r>
              <w:rPr>
                <w:sz w:val="20"/>
                <w:szCs w:val="20"/>
              </w:rPr>
              <w:t>Firm age in years</w:t>
            </w:r>
          </w:p>
        </w:tc>
        <w:tc>
          <w:tcPr>
            <w:tcW w:w="26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54AB4E29" w14:textId="77777777" w:rsidR="002F11C4" w:rsidRDefault="00BC19D0">
            <w:r>
              <w:rPr>
                <w:sz w:val="20"/>
                <w:szCs w:val="20"/>
              </w:rPr>
              <w:t>OMPIC business registry</w:t>
            </w:r>
          </w:p>
        </w:tc>
      </w:tr>
      <w:tr w:rsidR="002F11C4" w:rsidRPr="00611899" w14:paraId="224AAE84" w14:textId="77777777">
        <w:tblPrEx>
          <w:tblCellMar>
            <w:top w:w="0" w:type="dxa"/>
            <w:bottom w:w="0" w:type="dxa"/>
          </w:tblCellMar>
        </w:tblPrEx>
        <w:tc>
          <w:tcPr>
            <w:tcW w:w="18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829FE58" w14:textId="77777777" w:rsidR="002F11C4" w:rsidRDefault="00BC19D0">
            <w:r>
              <w:rPr>
                <w:sz w:val="20"/>
                <w:szCs w:val="20"/>
              </w:rPr>
              <w:t>LEVERAGE</w:t>
            </w:r>
          </w:p>
        </w:tc>
        <w:tc>
          <w:tcPr>
            <w:tcW w:w="49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E0F756C" w14:textId="77777777" w:rsidR="002F11C4" w:rsidRDefault="00BC19D0">
            <w:r>
              <w:rPr>
                <w:sz w:val="20"/>
                <w:szCs w:val="20"/>
              </w:rPr>
              <w:t>Total debt / total asse</w:t>
            </w:r>
            <w:r>
              <w:rPr>
                <w:sz w:val="20"/>
                <w:szCs w:val="20"/>
              </w:rPr>
              <w:t>ts, %</w:t>
            </w:r>
          </w:p>
        </w:tc>
        <w:tc>
          <w:tcPr>
            <w:tcW w:w="266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21888F4" w14:textId="77777777" w:rsidR="002F11C4" w:rsidRPr="00611899" w:rsidRDefault="00BC19D0">
            <w:pPr>
              <w:rPr>
                <w:lang w:val="en-US"/>
              </w:rPr>
            </w:pPr>
            <w:r w:rsidRPr="00611899">
              <w:rPr>
                <w:sz w:val="20"/>
                <w:szCs w:val="20"/>
                <w:lang w:val="en-US"/>
              </w:rPr>
              <w:t>Bank Al-Maghrib credit registry</w:t>
            </w:r>
          </w:p>
        </w:tc>
      </w:tr>
      <w:tr w:rsidR="002F11C4" w14:paraId="6165D0FF" w14:textId="77777777">
        <w:tblPrEx>
          <w:tblCellMar>
            <w:top w:w="0" w:type="dxa"/>
            <w:bottom w:w="0" w:type="dxa"/>
          </w:tblCellMar>
        </w:tblPrEx>
        <w:tc>
          <w:tcPr>
            <w:tcW w:w="1800" w:type="dxa"/>
            <w:tcBorders>
              <w:top w:val="none" w:sz="0" w:space="0" w:color="FFFFFF"/>
              <w:left w:val="none" w:sz="0" w:space="0" w:color="FFFFFF"/>
              <w:bottom w:val="single" w:sz="4" w:space="0" w:color="000000"/>
              <w:right w:val="none" w:sz="0" w:space="0" w:color="FFFFFF"/>
            </w:tcBorders>
            <w:tcMar>
              <w:top w:w="60" w:type="dxa"/>
              <w:left w:w="100" w:type="dxa"/>
              <w:bottom w:w="60" w:type="dxa"/>
              <w:right w:w="100" w:type="dxa"/>
            </w:tcMar>
            <w:vAlign w:val="center"/>
          </w:tcPr>
          <w:p w14:paraId="2615C86F" w14:textId="77777777" w:rsidR="002F11C4" w:rsidRDefault="00BC19D0">
            <w:r>
              <w:rPr>
                <w:sz w:val="20"/>
                <w:szCs w:val="20"/>
              </w:rPr>
              <w:t>EXPORT_SHARE</w:t>
            </w:r>
          </w:p>
        </w:tc>
        <w:tc>
          <w:tcPr>
            <w:tcW w:w="4900" w:type="dxa"/>
            <w:tcBorders>
              <w:top w:val="none" w:sz="0" w:space="0" w:color="FFFFFF"/>
              <w:left w:val="none" w:sz="0" w:space="0" w:color="FFFFFF"/>
              <w:bottom w:val="single" w:sz="4" w:space="0" w:color="000000"/>
              <w:right w:val="none" w:sz="0" w:space="0" w:color="FFFFFF"/>
            </w:tcBorders>
            <w:tcMar>
              <w:top w:w="60" w:type="dxa"/>
              <w:left w:w="100" w:type="dxa"/>
              <w:bottom w:w="60" w:type="dxa"/>
              <w:right w:w="100" w:type="dxa"/>
            </w:tcMar>
            <w:vAlign w:val="center"/>
          </w:tcPr>
          <w:p w14:paraId="2CB712EE" w14:textId="77777777" w:rsidR="002F11C4" w:rsidRPr="00611899" w:rsidRDefault="00BC19D0">
            <w:pPr>
              <w:rPr>
                <w:lang w:val="en-US"/>
              </w:rPr>
            </w:pPr>
            <w:r w:rsidRPr="00611899">
              <w:rPr>
                <w:sz w:val="20"/>
                <w:szCs w:val="20"/>
                <w:lang w:val="en-US"/>
              </w:rPr>
              <w:t>Share of turnover from exports, %</w:t>
            </w:r>
          </w:p>
        </w:tc>
        <w:tc>
          <w:tcPr>
            <w:tcW w:w="2660" w:type="dxa"/>
            <w:tcBorders>
              <w:top w:val="none" w:sz="0" w:space="0" w:color="FFFFFF"/>
              <w:left w:val="none" w:sz="0" w:space="0" w:color="FFFFFF"/>
              <w:bottom w:val="single" w:sz="4" w:space="0" w:color="000000"/>
              <w:right w:val="none" w:sz="0" w:space="0" w:color="FFFFFF"/>
            </w:tcBorders>
            <w:tcMar>
              <w:top w:w="60" w:type="dxa"/>
              <w:left w:w="100" w:type="dxa"/>
              <w:bottom w:w="60" w:type="dxa"/>
              <w:right w:w="100" w:type="dxa"/>
            </w:tcMar>
            <w:vAlign w:val="center"/>
          </w:tcPr>
          <w:p w14:paraId="065E0EAE" w14:textId="77777777" w:rsidR="002F11C4" w:rsidRDefault="00BC19D0">
            <w:r>
              <w:rPr>
                <w:sz w:val="20"/>
                <w:szCs w:val="20"/>
              </w:rPr>
              <w:t>Office des Changes customs microdata</w:t>
            </w:r>
          </w:p>
        </w:tc>
      </w:tr>
    </w:tbl>
    <w:p w14:paraId="1A0FB1C9" w14:textId="77777777" w:rsidR="002F11C4" w:rsidRPr="00611899" w:rsidRDefault="00BC19D0">
      <w:pPr>
        <w:spacing w:before="240" w:after="80"/>
        <w:rPr>
          <w:lang w:val="en-US"/>
        </w:rPr>
      </w:pPr>
      <w:r w:rsidRPr="00611899">
        <w:rPr>
          <w:b/>
          <w:bCs/>
          <w:lang w:val="en-US"/>
        </w:rPr>
        <w:t>Table 2. Descriptive statistics by sector energy-intensity group (pre-reform period, 2017–2020)</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1665"/>
        <w:gridCol w:w="1665"/>
        <w:gridCol w:w="1665"/>
        <w:gridCol w:w="1665"/>
      </w:tblGrid>
      <w:tr w:rsidR="002F11C4" w14:paraId="7F1EA1BA" w14:textId="77777777">
        <w:tblPrEx>
          <w:tblCellMar>
            <w:top w:w="0" w:type="dxa"/>
            <w:bottom w:w="0" w:type="dxa"/>
          </w:tblCellMar>
        </w:tblPrEx>
        <w:tc>
          <w:tcPr>
            <w:tcW w:w="27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67243C1E" w14:textId="77777777" w:rsidR="002F11C4" w:rsidRDefault="00BC19D0">
            <w:r>
              <w:rPr>
                <w:b/>
                <w:bCs/>
                <w:sz w:val="20"/>
                <w:szCs w:val="20"/>
              </w:rPr>
              <w:t>Variable</w:t>
            </w:r>
          </w:p>
        </w:tc>
        <w:tc>
          <w:tcPr>
            <w:tcW w:w="1665"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74232B67" w14:textId="77777777" w:rsidR="002F11C4" w:rsidRDefault="00BC19D0">
            <w:pPr>
              <w:jc w:val="center"/>
            </w:pPr>
            <w:r>
              <w:rPr>
                <w:b/>
                <w:bCs/>
                <w:sz w:val="20"/>
                <w:szCs w:val="20"/>
              </w:rPr>
              <w:t>High energy-int.</w:t>
            </w:r>
          </w:p>
        </w:tc>
        <w:tc>
          <w:tcPr>
            <w:tcW w:w="1665"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04450CD3" w14:textId="77777777" w:rsidR="002F11C4" w:rsidRDefault="00BC19D0">
            <w:pPr>
              <w:jc w:val="center"/>
            </w:pPr>
            <w:r>
              <w:rPr>
                <w:b/>
                <w:bCs/>
                <w:sz w:val="20"/>
                <w:szCs w:val="20"/>
              </w:rPr>
              <w:t>(S.D.)</w:t>
            </w:r>
          </w:p>
        </w:tc>
        <w:tc>
          <w:tcPr>
            <w:tcW w:w="1665"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6809BE9C" w14:textId="77777777" w:rsidR="002F11C4" w:rsidRDefault="00BC19D0">
            <w:pPr>
              <w:jc w:val="center"/>
            </w:pPr>
            <w:r>
              <w:rPr>
                <w:b/>
                <w:bCs/>
                <w:sz w:val="20"/>
                <w:szCs w:val="20"/>
              </w:rPr>
              <w:t>Low energy-int.</w:t>
            </w:r>
          </w:p>
        </w:tc>
        <w:tc>
          <w:tcPr>
            <w:tcW w:w="1665"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58E25D35" w14:textId="77777777" w:rsidR="002F11C4" w:rsidRDefault="00BC19D0">
            <w:pPr>
              <w:jc w:val="center"/>
            </w:pPr>
            <w:r>
              <w:rPr>
                <w:b/>
                <w:bCs/>
                <w:sz w:val="20"/>
                <w:szCs w:val="20"/>
              </w:rPr>
              <w:t>(S.D.)</w:t>
            </w:r>
          </w:p>
        </w:tc>
      </w:tr>
      <w:tr w:rsidR="002F11C4" w14:paraId="7F5B9AB2" w14:textId="77777777">
        <w:tblPrEx>
          <w:tblCellMar>
            <w:top w:w="0" w:type="dxa"/>
            <w:bottom w:w="0" w:type="dxa"/>
          </w:tblCellMar>
        </w:tblPrEx>
        <w:tc>
          <w:tcPr>
            <w:tcW w:w="27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552F56DA" w14:textId="77777777" w:rsidR="002F11C4" w:rsidRDefault="00BC19D0">
            <w:r>
              <w:rPr>
                <w:i/>
                <w:iCs/>
                <w:sz w:val="20"/>
                <w:szCs w:val="20"/>
              </w:rPr>
              <w:t>MARGIN (%)</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1423D3D2" w14:textId="77777777" w:rsidR="002F11C4" w:rsidRDefault="00BC19D0">
            <w:pPr>
              <w:jc w:val="center"/>
            </w:pPr>
            <w:r>
              <w:rPr>
                <w:sz w:val="20"/>
                <w:szCs w:val="20"/>
              </w:rPr>
              <w:t>6.8</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D81E4F9" w14:textId="77777777" w:rsidR="002F11C4" w:rsidRDefault="00BC19D0">
            <w:pPr>
              <w:jc w:val="center"/>
            </w:pPr>
            <w:r>
              <w:rPr>
                <w:sz w:val="20"/>
                <w:szCs w:val="20"/>
              </w:rPr>
              <w:t>9.1</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B39FB73" w14:textId="77777777" w:rsidR="002F11C4" w:rsidRDefault="00BC19D0">
            <w:pPr>
              <w:jc w:val="center"/>
            </w:pPr>
            <w:r>
              <w:rPr>
                <w:sz w:val="20"/>
                <w:szCs w:val="20"/>
              </w:rPr>
              <w:t>11.4</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A704032" w14:textId="77777777" w:rsidR="002F11C4" w:rsidRDefault="00BC19D0">
            <w:pPr>
              <w:jc w:val="center"/>
            </w:pPr>
            <w:r>
              <w:rPr>
                <w:sz w:val="20"/>
                <w:szCs w:val="20"/>
              </w:rPr>
              <w:t>8.3</w:t>
            </w:r>
          </w:p>
        </w:tc>
      </w:tr>
      <w:tr w:rsidR="002F11C4" w14:paraId="2B43B4D9" w14:textId="77777777">
        <w:tblPrEx>
          <w:tblCellMar>
            <w:top w:w="0" w:type="dxa"/>
            <w:bottom w:w="0" w:type="dxa"/>
          </w:tblCellMar>
        </w:tblPrEx>
        <w:tc>
          <w:tcPr>
            <w:tcW w:w="27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784AAB60" w14:textId="77777777" w:rsidR="002F11C4" w:rsidRDefault="00BC19D0">
            <w:r>
              <w:rPr>
                <w:i/>
                <w:iCs/>
                <w:sz w:val="20"/>
                <w:szCs w:val="20"/>
              </w:rPr>
              <w:t>ENERGY_COST (%)</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39D86DF" w14:textId="77777777" w:rsidR="002F11C4" w:rsidRDefault="00BC19D0">
            <w:pPr>
              <w:jc w:val="center"/>
            </w:pPr>
            <w:r>
              <w:rPr>
                <w:sz w:val="20"/>
                <w:szCs w:val="20"/>
              </w:rPr>
              <w:t>18.6</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D4C02BD" w14:textId="77777777" w:rsidR="002F11C4" w:rsidRDefault="00BC19D0">
            <w:pPr>
              <w:jc w:val="center"/>
            </w:pPr>
            <w:r>
              <w:rPr>
                <w:sz w:val="20"/>
                <w:szCs w:val="20"/>
              </w:rPr>
              <w:t>7.4</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5811CB73" w14:textId="77777777" w:rsidR="002F11C4" w:rsidRDefault="00BC19D0">
            <w:pPr>
              <w:jc w:val="center"/>
            </w:pPr>
            <w:r>
              <w:rPr>
                <w:sz w:val="20"/>
                <w:szCs w:val="20"/>
              </w:rPr>
              <w:t>5.2</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DB6DCDC" w14:textId="77777777" w:rsidR="002F11C4" w:rsidRDefault="00BC19D0">
            <w:pPr>
              <w:jc w:val="center"/>
            </w:pPr>
            <w:r>
              <w:rPr>
                <w:sz w:val="20"/>
                <w:szCs w:val="20"/>
              </w:rPr>
              <w:t>3.1</w:t>
            </w:r>
          </w:p>
        </w:tc>
      </w:tr>
      <w:tr w:rsidR="002F11C4" w14:paraId="218F17CD" w14:textId="77777777">
        <w:tblPrEx>
          <w:tblCellMar>
            <w:top w:w="0" w:type="dxa"/>
            <w:bottom w:w="0" w:type="dxa"/>
          </w:tblCellMar>
        </w:tblPrEx>
        <w:tc>
          <w:tcPr>
            <w:tcW w:w="27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5F7DA2E6" w14:textId="77777777" w:rsidR="002F11C4" w:rsidRPr="00611899" w:rsidRDefault="00BC19D0">
            <w:pPr>
              <w:rPr>
                <w:lang w:val="en-US"/>
              </w:rPr>
            </w:pPr>
            <w:r w:rsidRPr="00611899">
              <w:rPr>
                <w:i/>
                <w:iCs/>
                <w:sz w:val="20"/>
                <w:szCs w:val="20"/>
                <w:lang w:val="en-US"/>
              </w:rPr>
              <w:t>ENERGY_INT (kWh/MAD VA)</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71DF48FD" w14:textId="77777777" w:rsidR="002F11C4" w:rsidRDefault="00BC19D0">
            <w:pPr>
              <w:jc w:val="center"/>
            </w:pPr>
            <w:r>
              <w:rPr>
                <w:sz w:val="20"/>
                <w:szCs w:val="20"/>
              </w:rPr>
              <w:t>2.94</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1E000048" w14:textId="77777777" w:rsidR="002F11C4" w:rsidRDefault="00BC19D0">
            <w:pPr>
              <w:jc w:val="center"/>
            </w:pPr>
            <w:r>
              <w:rPr>
                <w:sz w:val="20"/>
                <w:szCs w:val="20"/>
              </w:rPr>
              <w:t>1.12</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1179311" w14:textId="77777777" w:rsidR="002F11C4" w:rsidRDefault="00BC19D0">
            <w:pPr>
              <w:jc w:val="center"/>
            </w:pPr>
            <w:r>
              <w:rPr>
                <w:sz w:val="20"/>
                <w:szCs w:val="20"/>
              </w:rPr>
              <w:t>0.81</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0719C8A" w14:textId="77777777" w:rsidR="002F11C4" w:rsidRDefault="00BC19D0">
            <w:pPr>
              <w:jc w:val="center"/>
            </w:pPr>
            <w:r>
              <w:rPr>
                <w:sz w:val="20"/>
                <w:szCs w:val="20"/>
              </w:rPr>
              <w:t>0.46</w:t>
            </w:r>
          </w:p>
        </w:tc>
      </w:tr>
      <w:tr w:rsidR="002F11C4" w14:paraId="695B0961" w14:textId="77777777">
        <w:tblPrEx>
          <w:tblCellMar>
            <w:top w:w="0" w:type="dxa"/>
            <w:bottom w:w="0" w:type="dxa"/>
          </w:tblCellMar>
        </w:tblPrEx>
        <w:tc>
          <w:tcPr>
            <w:tcW w:w="27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990E542" w14:textId="77777777" w:rsidR="002F11C4" w:rsidRDefault="00BC19D0">
            <w:r>
              <w:rPr>
                <w:i/>
                <w:iCs/>
                <w:sz w:val="20"/>
                <w:szCs w:val="20"/>
              </w:rPr>
              <w:t>SOLAR_ADOPT (share)</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16B7CEA3" w14:textId="77777777" w:rsidR="002F11C4" w:rsidRDefault="00BC19D0">
            <w:pPr>
              <w:jc w:val="center"/>
            </w:pPr>
            <w:r>
              <w:rPr>
                <w:sz w:val="20"/>
                <w:szCs w:val="20"/>
              </w:rPr>
              <w:t>0.14</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47F0125" w14:textId="77777777" w:rsidR="002F11C4" w:rsidRDefault="00BC19D0">
            <w:pPr>
              <w:jc w:val="center"/>
            </w:pPr>
            <w:r>
              <w:rPr>
                <w:sz w:val="20"/>
                <w:szCs w:val="20"/>
              </w:rPr>
              <w:t>—</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75BB3EF" w14:textId="77777777" w:rsidR="002F11C4" w:rsidRDefault="00BC19D0">
            <w:pPr>
              <w:jc w:val="center"/>
            </w:pPr>
            <w:r>
              <w:rPr>
                <w:sz w:val="20"/>
                <w:szCs w:val="20"/>
              </w:rPr>
              <w:t>0.09</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54129E98" w14:textId="77777777" w:rsidR="002F11C4" w:rsidRDefault="00BC19D0">
            <w:pPr>
              <w:jc w:val="center"/>
            </w:pPr>
            <w:r>
              <w:rPr>
                <w:sz w:val="20"/>
                <w:szCs w:val="20"/>
              </w:rPr>
              <w:t>—</w:t>
            </w:r>
          </w:p>
        </w:tc>
      </w:tr>
      <w:tr w:rsidR="002F11C4" w14:paraId="71C6ED3D" w14:textId="77777777">
        <w:tblPrEx>
          <w:tblCellMar>
            <w:top w:w="0" w:type="dxa"/>
            <w:bottom w:w="0" w:type="dxa"/>
          </w:tblCellMar>
        </w:tblPrEx>
        <w:tc>
          <w:tcPr>
            <w:tcW w:w="27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483B81C" w14:textId="77777777" w:rsidR="002F11C4" w:rsidRDefault="00BC19D0">
            <w:r>
              <w:rPr>
                <w:i/>
                <w:iCs/>
                <w:sz w:val="20"/>
                <w:szCs w:val="20"/>
              </w:rPr>
              <w:t>SIZE (employees)</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C3AFD43" w14:textId="77777777" w:rsidR="002F11C4" w:rsidRDefault="00BC19D0">
            <w:pPr>
              <w:jc w:val="center"/>
            </w:pPr>
            <w:r>
              <w:rPr>
                <w:sz w:val="20"/>
                <w:szCs w:val="20"/>
              </w:rPr>
              <w:t>57</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E12CD2D" w14:textId="77777777" w:rsidR="002F11C4" w:rsidRDefault="00BC19D0">
            <w:pPr>
              <w:jc w:val="center"/>
            </w:pPr>
            <w:r>
              <w:rPr>
                <w:sz w:val="20"/>
                <w:szCs w:val="20"/>
              </w:rPr>
              <w:t>39</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2562F62" w14:textId="77777777" w:rsidR="002F11C4" w:rsidRDefault="00BC19D0">
            <w:pPr>
              <w:jc w:val="center"/>
            </w:pPr>
            <w:r>
              <w:rPr>
                <w:sz w:val="20"/>
                <w:szCs w:val="20"/>
              </w:rPr>
              <w:t>61</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1F649C25" w14:textId="77777777" w:rsidR="002F11C4" w:rsidRDefault="00BC19D0">
            <w:pPr>
              <w:jc w:val="center"/>
            </w:pPr>
            <w:r>
              <w:rPr>
                <w:sz w:val="20"/>
                <w:szCs w:val="20"/>
              </w:rPr>
              <w:t>43</w:t>
            </w:r>
          </w:p>
        </w:tc>
      </w:tr>
      <w:tr w:rsidR="002F11C4" w14:paraId="28A6610F" w14:textId="77777777">
        <w:tblPrEx>
          <w:tblCellMar>
            <w:top w:w="0" w:type="dxa"/>
            <w:bottom w:w="0" w:type="dxa"/>
          </w:tblCellMar>
        </w:tblPrEx>
        <w:tc>
          <w:tcPr>
            <w:tcW w:w="27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77882708" w14:textId="77777777" w:rsidR="002F11C4" w:rsidRDefault="00BC19D0">
            <w:r>
              <w:rPr>
                <w:i/>
                <w:iCs/>
                <w:sz w:val="20"/>
                <w:szCs w:val="20"/>
              </w:rPr>
              <w:t>LEVERAGE (%)</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D4E5112" w14:textId="77777777" w:rsidR="002F11C4" w:rsidRDefault="00BC19D0">
            <w:pPr>
              <w:jc w:val="center"/>
            </w:pPr>
            <w:r>
              <w:rPr>
                <w:sz w:val="20"/>
                <w:szCs w:val="20"/>
              </w:rPr>
              <w:t>47.3</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089006D" w14:textId="77777777" w:rsidR="002F11C4" w:rsidRDefault="00BC19D0">
            <w:pPr>
              <w:jc w:val="center"/>
            </w:pPr>
            <w:r>
              <w:rPr>
                <w:sz w:val="20"/>
                <w:szCs w:val="20"/>
              </w:rPr>
              <w:t>19.6</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2E203C1" w14:textId="77777777" w:rsidR="002F11C4" w:rsidRDefault="00BC19D0">
            <w:pPr>
              <w:jc w:val="center"/>
            </w:pPr>
            <w:r>
              <w:rPr>
                <w:sz w:val="20"/>
                <w:szCs w:val="20"/>
              </w:rPr>
              <w:t>41.8</w:t>
            </w:r>
          </w:p>
        </w:tc>
        <w:tc>
          <w:tcPr>
            <w:tcW w:w="1665"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53B6D8C2" w14:textId="77777777" w:rsidR="002F11C4" w:rsidRDefault="00BC19D0">
            <w:pPr>
              <w:jc w:val="center"/>
            </w:pPr>
            <w:r>
              <w:rPr>
                <w:sz w:val="20"/>
                <w:szCs w:val="20"/>
              </w:rPr>
              <w:t>18.2</w:t>
            </w:r>
          </w:p>
        </w:tc>
      </w:tr>
      <w:tr w:rsidR="002F11C4" w14:paraId="716FDBFB" w14:textId="77777777">
        <w:tblPrEx>
          <w:tblCellMar>
            <w:top w:w="0" w:type="dxa"/>
            <w:bottom w:w="0" w:type="dxa"/>
          </w:tblCellMar>
        </w:tblPrEx>
        <w:tc>
          <w:tcPr>
            <w:tcW w:w="2700" w:type="dxa"/>
            <w:tcBorders>
              <w:top w:val="none" w:sz="0" w:space="0" w:color="FFFFFF"/>
              <w:left w:val="none" w:sz="0" w:space="0" w:color="FFFFFF"/>
              <w:bottom w:val="single" w:sz="4" w:space="0" w:color="000000"/>
              <w:right w:val="none" w:sz="0" w:space="0" w:color="FFFFFF"/>
            </w:tcBorders>
            <w:tcMar>
              <w:top w:w="60" w:type="dxa"/>
              <w:left w:w="100" w:type="dxa"/>
              <w:bottom w:w="60" w:type="dxa"/>
              <w:right w:w="100" w:type="dxa"/>
            </w:tcMar>
            <w:vAlign w:val="center"/>
          </w:tcPr>
          <w:p w14:paraId="11E63EB0" w14:textId="77777777" w:rsidR="002F11C4" w:rsidRDefault="00BC19D0">
            <w:r>
              <w:rPr>
                <w:i/>
                <w:iCs/>
                <w:sz w:val="20"/>
                <w:szCs w:val="20"/>
              </w:rPr>
              <w:t>EXIT rate (cumulative 2019–2024)</w:t>
            </w:r>
          </w:p>
        </w:tc>
        <w:tc>
          <w:tcPr>
            <w:tcW w:w="1665" w:type="dxa"/>
            <w:tcBorders>
              <w:top w:val="none" w:sz="0" w:space="0" w:color="FFFFFF"/>
              <w:left w:val="none" w:sz="0" w:space="0" w:color="FFFFFF"/>
              <w:bottom w:val="single" w:sz="4" w:space="0" w:color="000000"/>
              <w:right w:val="none" w:sz="0" w:space="0" w:color="FFFFFF"/>
            </w:tcBorders>
            <w:tcMar>
              <w:top w:w="60" w:type="dxa"/>
              <w:left w:w="100" w:type="dxa"/>
              <w:bottom w:w="60" w:type="dxa"/>
              <w:right w:w="100" w:type="dxa"/>
            </w:tcMar>
            <w:vAlign w:val="center"/>
          </w:tcPr>
          <w:p w14:paraId="48FFAF4B" w14:textId="77777777" w:rsidR="002F11C4" w:rsidRDefault="00BC19D0">
            <w:pPr>
              <w:jc w:val="center"/>
            </w:pPr>
            <w:r>
              <w:rPr>
                <w:sz w:val="20"/>
                <w:szCs w:val="20"/>
              </w:rPr>
              <w:t>0.131</w:t>
            </w:r>
          </w:p>
        </w:tc>
        <w:tc>
          <w:tcPr>
            <w:tcW w:w="1665" w:type="dxa"/>
            <w:tcBorders>
              <w:top w:val="none" w:sz="0" w:space="0" w:color="FFFFFF"/>
              <w:left w:val="none" w:sz="0" w:space="0" w:color="FFFFFF"/>
              <w:bottom w:val="single" w:sz="4" w:space="0" w:color="000000"/>
              <w:right w:val="none" w:sz="0" w:space="0" w:color="FFFFFF"/>
            </w:tcBorders>
            <w:tcMar>
              <w:top w:w="60" w:type="dxa"/>
              <w:left w:w="100" w:type="dxa"/>
              <w:bottom w:w="60" w:type="dxa"/>
              <w:right w:w="100" w:type="dxa"/>
            </w:tcMar>
            <w:vAlign w:val="center"/>
          </w:tcPr>
          <w:p w14:paraId="13F4A36B" w14:textId="77777777" w:rsidR="002F11C4" w:rsidRDefault="00BC19D0">
            <w:pPr>
              <w:jc w:val="center"/>
            </w:pPr>
            <w:r>
              <w:rPr>
                <w:sz w:val="20"/>
                <w:szCs w:val="20"/>
              </w:rPr>
              <w:t>—</w:t>
            </w:r>
          </w:p>
        </w:tc>
        <w:tc>
          <w:tcPr>
            <w:tcW w:w="1665" w:type="dxa"/>
            <w:tcBorders>
              <w:top w:val="none" w:sz="0" w:space="0" w:color="FFFFFF"/>
              <w:left w:val="none" w:sz="0" w:space="0" w:color="FFFFFF"/>
              <w:bottom w:val="single" w:sz="4" w:space="0" w:color="000000"/>
              <w:right w:val="none" w:sz="0" w:space="0" w:color="FFFFFF"/>
            </w:tcBorders>
            <w:tcMar>
              <w:top w:w="60" w:type="dxa"/>
              <w:left w:w="100" w:type="dxa"/>
              <w:bottom w:w="60" w:type="dxa"/>
              <w:right w:w="100" w:type="dxa"/>
            </w:tcMar>
            <w:vAlign w:val="center"/>
          </w:tcPr>
          <w:p w14:paraId="2B2E0B2D" w14:textId="77777777" w:rsidR="002F11C4" w:rsidRDefault="00BC19D0">
            <w:pPr>
              <w:jc w:val="center"/>
            </w:pPr>
            <w:r>
              <w:rPr>
                <w:sz w:val="20"/>
                <w:szCs w:val="20"/>
              </w:rPr>
              <w:t>0.067</w:t>
            </w:r>
          </w:p>
        </w:tc>
        <w:tc>
          <w:tcPr>
            <w:tcW w:w="1665" w:type="dxa"/>
            <w:tcBorders>
              <w:top w:val="none" w:sz="0" w:space="0" w:color="FFFFFF"/>
              <w:left w:val="none" w:sz="0" w:space="0" w:color="FFFFFF"/>
              <w:bottom w:val="single" w:sz="4" w:space="0" w:color="000000"/>
              <w:right w:val="none" w:sz="0" w:space="0" w:color="FFFFFF"/>
            </w:tcBorders>
            <w:tcMar>
              <w:top w:w="60" w:type="dxa"/>
              <w:left w:w="100" w:type="dxa"/>
              <w:bottom w:w="60" w:type="dxa"/>
              <w:right w:w="100" w:type="dxa"/>
            </w:tcMar>
            <w:vAlign w:val="center"/>
          </w:tcPr>
          <w:p w14:paraId="206F85E1" w14:textId="77777777" w:rsidR="002F11C4" w:rsidRDefault="00BC19D0">
            <w:pPr>
              <w:jc w:val="center"/>
            </w:pPr>
            <w:r>
              <w:rPr>
                <w:sz w:val="20"/>
                <w:szCs w:val="20"/>
              </w:rPr>
              <w:t>—</w:t>
            </w:r>
          </w:p>
        </w:tc>
      </w:tr>
    </w:tbl>
    <w:p w14:paraId="6B5724D1" w14:textId="77777777" w:rsidR="002F11C4" w:rsidRPr="00611899" w:rsidRDefault="00BC19D0">
      <w:pPr>
        <w:spacing w:before="80" w:after="200"/>
        <w:rPr>
          <w:lang w:val="en-US"/>
        </w:rPr>
      </w:pPr>
      <w:r w:rsidRPr="00611899">
        <w:rPr>
          <w:i/>
          <w:iCs/>
          <w:sz w:val="20"/>
          <w:szCs w:val="20"/>
          <w:lang w:val="en-US"/>
        </w:rPr>
        <w:t>Note: High/low energy-intensity groups defined by the sample median of ENERGY_INT in the pre-reform period. Means computed over 2017–2020; EXIT rate computed cumulatively over the full 2019–2024 observation window for firms present in the relevant group as</w:t>
      </w:r>
      <w:r w:rsidRPr="00611899">
        <w:rPr>
          <w:i/>
          <w:iCs/>
          <w:sz w:val="20"/>
          <w:szCs w:val="20"/>
          <w:lang w:val="en-US"/>
        </w:rPr>
        <w:t xml:space="preserve"> of 2019.</w:t>
      </w:r>
    </w:p>
    <w:p w14:paraId="092C50DA" w14:textId="77777777" w:rsidR="002F11C4" w:rsidRPr="00611899" w:rsidRDefault="00BC19D0">
      <w:pPr>
        <w:spacing w:before="240" w:after="120" w:line="480" w:lineRule="auto"/>
        <w:rPr>
          <w:lang w:val="en-US"/>
        </w:rPr>
      </w:pPr>
      <w:r w:rsidRPr="00611899">
        <w:rPr>
          <w:b/>
          <w:bCs/>
          <w:lang w:val="en-US"/>
        </w:rPr>
        <w:t>4. Empirical Strategy</w:t>
      </w:r>
    </w:p>
    <w:p w14:paraId="04267678" w14:textId="77777777" w:rsidR="002F11C4" w:rsidRPr="00611899" w:rsidRDefault="00BC19D0">
      <w:pPr>
        <w:spacing w:after="120" w:line="480" w:lineRule="auto"/>
        <w:ind w:firstLine="720"/>
        <w:jc w:val="both"/>
        <w:rPr>
          <w:lang w:val="en-US"/>
        </w:rPr>
      </w:pPr>
      <w:r w:rsidRPr="00611899">
        <w:rPr>
          <w:lang w:val="en-US"/>
        </w:rPr>
        <w:lastRenderedPageBreak/>
        <w:t>We estimate two complementary specifications. The first is a firm- and year-fixed-effects panel regression of operating margin:</w:t>
      </w:r>
    </w:p>
    <w:p w14:paraId="529B80B5" w14:textId="77777777" w:rsidR="002F11C4" w:rsidRPr="00611899" w:rsidRDefault="00BC19D0">
      <w:pPr>
        <w:spacing w:after="120" w:line="480" w:lineRule="auto"/>
        <w:jc w:val="center"/>
        <w:rPr>
          <w:lang w:val="en-US"/>
        </w:rPr>
      </w:pPr>
      <w:r w:rsidRPr="00611899">
        <w:rPr>
          <w:lang w:val="en-US"/>
        </w:rPr>
        <w:t>MARGIN</w:t>
      </w:r>
      <w:r>
        <w:t>ᵢ</w:t>
      </w:r>
      <w:r w:rsidRPr="00611899">
        <w:rPr>
          <w:lang w:val="en-US"/>
        </w:rPr>
        <w:t xml:space="preserve">ₜ = </w:t>
      </w:r>
      <w:r>
        <w:t>β</w:t>
      </w:r>
      <w:r w:rsidRPr="00611899">
        <w:rPr>
          <w:lang w:val="en-US"/>
        </w:rPr>
        <w:t>₁TARIFF_EXP</w:t>
      </w:r>
      <w:r>
        <w:t>ᵢ</w:t>
      </w:r>
      <w:r w:rsidRPr="00611899">
        <w:rPr>
          <w:lang w:val="en-US"/>
        </w:rPr>
        <w:t xml:space="preserve">ₜ + </w:t>
      </w:r>
      <w:r>
        <w:t>β</w:t>
      </w:r>
      <w:r w:rsidRPr="00611899">
        <w:rPr>
          <w:lang w:val="en-US"/>
        </w:rPr>
        <w:t>₂ENERGY_INT</w:t>
      </w:r>
      <w:r>
        <w:t>ᵢ</w:t>
      </w:r>
      <w:r w:rsidRPr="00611899">
        <w:rPr>
          <w:lang w:val="en-US"/>
        </w:rPr>
        <w:t xml:space="preserve">ₜ + </w:t>
      </w:r>
      <w:r>
        <w:t>γ</w:t>
      </w:r>
      <w:r w:rsidRPr="00611899">
        <w:rPr>
          <w:lang w:val="en-US"/>
        </w:rPr>
        <w:t>X</w:t>
      </w:r>
      <w:r>
        <w:t>ᵢ</w:t>
      </w:r>
      <w:r w:rsidRPr="00611899">
        <w:rPr>
          <w:lang w:val="en-US"/>
        </w:rPr>
        <w:t xml:space="preserve">ₜ + </w:t>
      </w:r>
      <w:r>
        <w:t>μᵢ</w:t>
      </w:r>
      <w:r w:rsidRPr="00611899">
        <w:rPr>
          <w:lang w:val="en-US"/>
        </w:rPr>
        <w:t xml:space="preserve"> + </w:t>
      </w:r>
      <w:r>
        <w:t>δ</w:t>
      </w:r>
      <w:r w:rsidRPr="00611899">
        <w:rPr>
          <w:lang w:val="en-US"/>
        </w:rPr>
        <w:t xml:space="preserve">ₜ + </w:t>
      </w:r>
      <w:r>
        <w:t>εᵢ</w:t>
      </w:r>
      <w:r w:rsidRPr="00611899">
        <w:rPr>
          <w:lang w:val="en-US"/>
        </w:rPr>
        <w:t>ₜ</w:t>
      </w:r>
    </w:p>
    <w:p w14:paraId="32A5728D" w14:textId="77777777" w:rsidR="002F11C4" w:rsidRPr="00611899" w:rsidRDefault="00BC19D0">
      <w:pPr>
        <w:spacing w:line="480" w:lineRule="auto"/>
        <w:ind w:firstLine="720"/>
        <w:jc w:val="both"/>
        <w:rPr>
          <w:lang w:val="en-US"/>
        </w:rPr>
      </w:pPr>
      <w:r w:rsidRPr="00611899">
        <w:rPr>
          <w:lang w:val="en-US"/>
        </w:rPr>
        <w:t xml:space="preserve">where </w:t>
      </w:r>
      <w:r>
        <w:t>μᵢ</w:t>
      </w:r>
      <w:r w:rsidRPr="00611899">
        <w:rPr>
          <w:lang w:val="en-US"/>
        </w:rPr>
        <w:t xml:space="preserve"> are firm fixed effects absorbing time-invariant firm characteristics (technology vintage, location, sector), </w:t>
      </w:r>
      <w:r>
        <w:t>δ</w:t>
      </w:r>
      <w:r w:rsidRPr="00611899">
        <w:rPr>
          <w:lang w:val="en-US"/>
        </w:rPr>
        <w:t>ₜ are year fixed effects absorbing common macroeconomic and energy-price shocks, and X</w:t>
      </w:r>
      <w:r>
        <w:t>ᵢ</w:t>
      </w:r>
      <w:r w:rsidRPr="00611899">
        <w:rPr>
          <w:lang w:val="en-US"/>
        </w:rPr>
        <w:t>ₜ includes SOLAR_ADOPT, LEVERAGE, log SIZE, AGE, a</w:t>
      </w:r>
      <w:r w:rsidRPr="00611899">
        <w:rPr>
          <w:lang w:val="en-US"/>
        </w:rPr>
        <w:t>nd EXPORT_SHARE. To test H2, an extended specification adds the interaction TARIFF_EXP × SOLAR_ADOPT.</w:t>
      </w:r>
    </w:p>
    <w:p w14:paraId="10285A0D" w14:textId="77777777" w:rsidR="002F11C4" w:rsidRPr="00611899" w:rsidRDefault="00BC19D0">
      <w:pPr>
        <w:spacing w:after="120" w:line="480" w:lineRule="auto"/>
        <w:ind w:firstLine="720"/>
        <w:jc w:val="both"/>
        <w:rPr>
          <w:lang w:val="en-US"/>
        </w:rPr>
      </w:pPr>
      <w:r w:rsidRPr="00611899">
        <w:rPr>
          <w:lang w:val="en-US"/>
        </w:rPr>
        <w:t>Because firm survival is a discrete, censored outcome better suited to hazard-model methods than to linear panel regression, we estimate firm exit using a</w:t>
      </w:r>
      <w:r w:rsidRPr="00611899">
        <w:rPr>
          <w:lang w:val="en-US"/>
        </w:rPr>
        <w:t xml:space="preserve"> discrete-time complementary log-log hazard model (Allison, 1982; Jenkins, 1995), which is the discrete-time analogue of the continuous-time Cox proportional-hazards model and accommodates the annual observation interval of our panel:</w:t>
      </w:r>
    </w:p>
    <w:p w14:paraId="77135B7E" w14:textId="77777777" w:rsidR="002F11C4" w:rsidRPr="00611899" w:rsidRDefault="00BC19D0">
      <w:pPr>
        <w:spacing w:after="120" w:line="480" w:lineRule="auto"/>
        <w:jc w:val="center"/>
        <w:rPr>
          <w:lang w:val="en-US"/>
        </w:rPr>
      </w:pPr>
      <w:r w:rsidRPr="00611899">
        <w:rPr>
          <w:lang w:val="en-US"/>
        </w:rPr>
        <w:t>cloglog[h(t | X</w:t>
      </w:r>
      <w:r>
        <w:t>ᵢ</w:t>
      </w:r>
      <w:r w:rsidRPr="00611899">
        <w:rPr>
          <w:lang w:val="en-US"/>
        </w:rPr>
        <w:t>ₜ)] =</w:t>
      </w:r>
      <w:r w:rsidRPr="00611899">
        <w:rPr>
          <w:lang w:val="en-US"/>
        </w:rPr>
        <w:t xml:space="preserve"> </w:t>
      </w:r>
      <w:r>
        <w:t>α</w:t>
      </w:r>
      <w:r w:rsidRPr="00611899">
        <w:rPr>
          <w:lang w:val="en-US"/>
        </w:rPr>
        <w:t xml:space="preserve">(t) + </w:t>
      </w:r>
      <w:r>
        <w:t>β</w:t>
      </w:r>
      <w:r w:rsidRPr="00611899">
        <w:rPr>
          <w:lang w:val="en-US"/>
        </w:rPr>
        <w:t>₁TARIFF_EXP</w:t>
      </w:r>
      <w:r>
        <w:t>ᵢ</w:t>
      </w:r>
      <w:r w:rsidRPr="00611899">
        <w:rPr>
          <w:lang w:val="en-US"/>
        </w:rPr>
        <w:t xml:space="preserve">ₜ + </w:t>
      </w:r>
      <w:r>
        <w:t>β</w:t>
      </w:r>
      <w:r w:rsidRPr="00611899">
        <w:rPr>
          <w:lang w:val="en-US"/>
        </w:rPr>
        <w:t>₂ENERGY_INT</w:t>
      </w:r>
      <w:r>
        <w:t>ᵢ</w:t>
      </w:r>
      <w:r w:rsidRPr="00611899">
        <w:rPr>
          <w:lang w:val="en-US"/>
        </w:rPr>
        <w:t xml:space="preserve">ₜ + </w:t>
      </w:r>
      <w:r>
        <w:t>β</w:t>
      </w:r>
      <w:r w:rsidRPr="00611899">
        <w:rPr>
          <w:lang w:val="en-US"/>
        </w:rPr>
        <w:t>₃SOLAR_ADOPT</w:t>
      </w:r>
      <w:r>
        <w:t>ᵢ</w:t>
      </w:r>
      <w:r w:rsidRPr="00611899">
        <w:rPr>
          <w:lang w:val="en-US"/>
        </w:rPr>
        <w:t xml:space="preserve">ₜ + </w:t>
      </w:r>
      <w:r>
        <w:t>γ</w:t>
      </w:r>
      <w:r w:rsidRPr="00611899">
        <w:rPr>
          <w:lang w:val="en-US"/>
        </w:rPr>
        <w:t>X</w:t>
      </w:r>
      <w:r>
        <w:t>ᵢ</w:t>
      </w:r>
      <w:r w:rsidRPr="00611899">
        <w:rPr>
          <w:lang w:val="en-US"/>
        </w:rPr>
        <w:t>ₜ</w:t>
      </w:r>
    </w:p>
    <w:p w14:paraId="3CA9E882" w14:textId="77777777" w:rsidR="002F11C4" w:rsidRPr="00611899" w:rsidRDefault="00BC19D0">
      <w:pPr>
        <w:spacing w:line="480" w:lineRule="auto"/>
        <w:ind w:firstLine="720"/>
        <w:jc w:val="both"/>
        <w:rPr>
          <w:lang w:val="en-US"/>
        </w:rPr>
      </w:pPr>
      <w:r w:rsidRPr="00611899">
        <w:rPr>
          <w:lang w:val="en-US"/>
        </w:rPr>
        <w:t>where h(t | X</w:t>
      </w:r>
      <w:r>
        <w:t>ᵢ</w:t>
      </w:r>
      <w:r w:rsidRPr="00611899">
        <w:rPr>
          <w:lang w:val="en-US"/>
        </w:rPr>
        <w:t xml:space="preserve">ₜ) is the hazard of exit in year t conditional on survival to t−1, </w:t>
      </w:r>
      <w:r>
        <w:t>α</w:t>
      </w:r>
      <w:r w:rsidRPr="00611899">
        <w:rPr>
          <w:lang w:val="en-US"/>
        </w:rPr>
        <w:t>(t) is a flexible baseline hazard (modelled with year dummies), and sector fixed effects replace firm fixed e</w:t>
      </w:r>
      <w:r w:rsidRPr="00611899">
        <w:rPr>
          <w:lang w:val="en-US"/>
        </w:rPr>
        <w:t>ffects, since firm fixed effects are not identified for firms that exit only once (and never re-enter) in a hazard framework. Standard errors are clustered at the firm level in both specifications.</w:t>
      </w:r>
    </w:p>
    <w:p w14:paraId="5D49A741" w14:textId="77777777" w:rsidR="002F11C4" w:rsidRPr="00611899" w:rsidRDefault="00BC19D0">
      <w:pPr>
        <w:spacing w:line="480" w:lineRule="auto"/>
        <w:ind w:firstLine="720"/>
        <w:jc w:val="both"/>
        <w:rPr>
          <w:lang w:val="en-US"/>
        </w:rPr>
      </w:pPr>
      <w:r w:rsidRPr="00611899">
        <w:rPr>
          <w:lang w:val="en-US"/>
        </w:rPr>
        <w:t>Identification of the tariff-exposure and energy-intensity</w:t>
      </w:r>
      <w:r w:rsidRPr="00611899">
        <w:rPr>
          <w:lang w:val="en-US"/>
        </w:rPr>
        <w:t xml:space="preserve"> coefficients rests on within-firm variation in TARIFF_EXP induced by the staggered, voltage-category-specific implementation of the 2021–2023 tariff reform, combined with year fixed effects absorbing common shocks. Because the reform schedule was set by O</w:t>
      </w:r>
      <w:r w:rsidRPr="00611899">
        <w:rPr>
          <w:lang w:val="en-US"/>
        </w:rPr>
        <w:t xml:space="preserve">NEE at the national, voltage-category level rather than negotiated at the individual firm level, firm-level TARIFF_EXP variation is plausibly exogenous conditional </w:t>
      </w:r>
      <w:r w:rsidRPr="00611899">
        <w:rPr>
          <w:lang w:val="en-US"/>
        </w:rPr>
        <w:lastRenderedPageBreak/>
        <w:t>on voltage category and year, mitigating—though not eliminating—concerns that firms select i</w:t>
      </w:r>
      <w:r w:rsidRPr="00611899">
        <w:rPr>
          <w:lang w:val="en-US"/>
        </w:rPr>
        <w:t>nto tariff categories on the basis of anticipated future performance.</w:t>
      </w:r>
    </w:p>
    <w:p w14:paraId="6DA25542" w14:textId="77777777" w:rsidR="002F11C4" w:rsidRPr="00611899" w:rsidRDefault="00BC19D0">
      <w:pPr>
        <w:spacing w:before="240" w:after="120" w:line="480" w:lineRule="auto"/>
        <w:rPr>
          <w:lang w:val="en-US"/>
        </w:rPr>
      </w:pPr>
      <w:r w:rsidRPr="00611899">
        <w:rPr>
          <w:b/>
          <w:bCs/>
          <w:lang w:val="en-US"/>
        </w:rPr>
        <w:t>5. Results</w:t>
      </w:r>
    </w:p>
    <w:p w14:paraId="07ADAD5B" w14:textId="77777777" w:rsidR="002F11C4" w:rsidRPr="00611899" w:rsidRDefault="00BC19D0">
      <w:pPr>
        <w:spacing w:line="480" w:lineRule="auto"/>
        <w:ind w:firstLine="720"/>
        <w:jc w:val="both"/>
        <w:rPr>
          <w:lang w:val="en-US"/>
        </w:rPr>
      </w:pPr>
      <w:r w:rsidRPr="00611899">
        <w:rPr>
          <w:lang w:val="en-US"/>
        </w:rPr>
        <w:t>Table 3 reports the fixed-effects margin regressions (columns 1–2) and the discrete-time hazard model of firm exit (column 3).</w:t>
      </w:r>
    </w:p>
    <w:p w14:paraId="2CE03096" w14:textId="77777777" w:rsidR="002F11C4" w:rsidRPr="00611899" w:rsidRDefault="00BC19D0">
      <w:pPr>
        <w:spacing w:before="200" w:after="80"/>
        <w:rPr>
          <w:lang w:val="en-US"/>
        </w:rPr>
      </w:pPr>
      <w:r w:rsidRPr="00611899">
        <w:rPr>
          <w:b/>
          <w:bCs/>
          <w:lang w:val="en-US"/>
        </w:rPr>
        <w:t>Table 3. Energy-transition costs, operating margin, and firm exit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0"/>
        <w:gridCol w:w="2330"/>
        <w:gridCol w:w="2330"/>
        <w:gridCol w:w="1400"/>
      </w:tblGrid>
      <w:tr w:rsidR="002F11C4" w14:paraId="19863B88" w14:textId="77777777">
        <w:tblPrEx>
          <w:tblCellMar>
            <w:top w:w="0" w:type="dxa"/>
            <w:bottom w:w="0" w:type="dxa"/>
          </w:tblCellMar>
        </w:tblPrEx>
        <w:tc>
          <w:tcPr>
            <w:tcW w:w="33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2FB4AAA2" w14:textId="77777777" w:rsidR="002F11C4" w:rsidRPr="00611899" w:rsidRDefault="002F11C4">
            <w:pPr>
              <w:rPr>
                <w:lang w:val="en-US"/>
              </w:rPr>
            </w:pPr>
          </w:p>
        </w:tc>
        <w:tc>
          <w:tcPr>
            <w:tcW w:w="233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4102CEE9" w14:textId="77777777" w:rsidR="002F11C4" w:rsidRDefault="00BC19D0">
            <w:pPr>
              <w:jc w:val="center"/>
            </w:pPr>
            <w:r>
              <w:rPr>
                <w:b/>
                <w:bCs/>
                <w:sz w:val="20"/>
                <w:szCs w:val="20"/>
              </w:rPr>
              <w:t>(1) FE, MARGIN</w:t>
            </w:r>
          </w:p>
        </w:tc>
        <w:tc>
          <w:tcPr>
            <w:tcW w:w="233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23C8941E" w14:textId="77777777" w:rsidR="002F11C4" w:rsidRDefault="00BC19D0">
            <w:pPr>
              <w:jc w:val="center"/>
            </w:pPr>
            <w:r>
              <w:rPr>
                <w:b/>
                <w:bCs/>
                <w:sz w:val="20"/>
                <w:szCs w:val="20"/>
              </w:rPr>
              <w:t>(2) FE, MARGIN ×SOLAR</w:t>
            </w:r>
          </w:p>
        </w:tc>
        <w:tc>
          <w:tcPr>
            <w:tcW w:w="1400" w:type="dxa"/>
            <w:tcBorders>
              <w:top w:val="single" w:sz="4" w:space="0" w:color="000000"/>
              <w:left w:val="none" w:sz="0" w:space="0" w:color="FFFFFF"/>
              <w:bottom w:val="single" w:sz="4" w:space="0" w:color="000000"/>
              <w:right w:val="none" w:sz="0" w:space="0" w:color="FFFFFF"/>
            </w:tcBorders>
            <w:tcMar>
              <w:top w:w="60" w:type="dxa"/>
              <w:left w:w="100" w:type="dxa"/>
              <w:bottom w:w="60" w:type="dxa"/>
              <w:right w:w="100" w:type="dxa"/>
            </w:tcMar>
            <w:vAlign w:val="center"/>
          </w:tcPr>
          <w:p w14:paraId="60E703B6" w14:textId="77777777" w:rsidR="002F11C4" w:rsidRDefault="00BC19D0">
            <w:pPr>
              <w:jc w:val="center"/>
            </w:pPr>
            <w:r>
              <w:rPr>
                <w:b/>
                <w:bCs/>
                <w:sz w:val="20"/>
                <w:szCs w:val="20"/>
              </w:rPr>
              <w:t>(3) Hazard, EXIT</w:t>
            </w:r>
          </w:p>
        </w:tc>
      </w:tr>
      <w:tr w:rsidR="002F11C4" w14:paraId="5EDCB31D"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4DA67EC9" w14:textId="77777777" w:rsidR="002F11C4" w:rsidRDefault="00BC19D0">
            <w:r>
              <w:rPr>
                <w:sz w:val="20"/>
                <w:szCs w:val="20"/>
              </w:rPr>
              <w:t>TARIFF_</w:t>
            </w:r>
            <w:r>
              <w:rPr>
                <w:sz w:val="20"/>
                <w:szCs w:val="20"/>
              </w:rPr>
              <w:t>EXP</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75ACF92" w14:textId="77777777" w:rsidR="002F11C4" w:rsidRDefault="00BC19D0">
            <w:pPr>
              <w:jc w:val="center"/>
            </w:pPr>
            <w:r>
              <w:rPr>
                <w:sz w:val="20"/>
                <w:szCs w:val="20"/>
              </w:rPr>
              <w:t>−0.412*** (0.098)</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41D9D2C1" w14:textId="77777777" w:rsidR="002F11C4" w:rsidRDefault="00BC19D0">
            <w:pPr>
              <w:jc w:val="center"/>
            </w:pPr>
            <w:r>
              <w:rPr>
                <w:sz w:val="20"/>
                <w:szCs w:val="20"/>
              </w:rPr>
              <w:t>−0.387*** (0.094)</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5C77113A" w14:textId="77777777" w:rsidR="002F11C4" w:rsidRDefault="00BC19D0">
            <w:pPr>
              <w:jc w:val="center"/>
            </w:pPr>
            <w:r>
              <w:rPr>
                <w:sz w:val="20"/>
                <w:szCs w:val="20"/>
              </w:rPr>
              <w:t>0.318*** (0.087)</w:t>
            </w:r>
          </w:p>
        </w:tc>
      </w:tr>
      <w:tr w:rsidR="002F11C4" w14:paraId="568E99B3"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53D03F98" w14:textId="77777777" w:rsidR="002F11C4" w:rsidRDefault="00BC19D0">
            <w:r>
              <w:rPr>
                <w:sz w:val="20"/>
                <w:szCs w:val="20"/>
              </w:rPr>
              <w:t>ENERGY_INT</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77247ECF" w14:textId="77777777" w:rsidR="002F11C4" w:rsidRDefault="00BC19D0">
            <w:pPr>
              <w:jc w:val="center"/>
            </w:pPr>
            <w:r>
              <w:rPr>
                <w:sz w:val="20"/>
                <w:szCs w:val="20"/>
              </w:rPr>
              <w:t>−0.156** (0.067)</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4E21CE2C" w14:textId="77777777" w:rsidR="002F11C4" w:rsidRDefault="00BC19D0">
            <w:pPr>
              <w:jc w:val="center"/>
            </w:pPr>
            <w:r>
              <w:rPr>
                <w:sz w:val="20"/>
                <w:szCs w:val="20"/>
              </w:rPr>
              <w:t>−0.141** (0.064)</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1EF5B4F" w14:textId="77777777" w:rsidR="002F11C4" w:rsidRDefault="00BC19D0">
            <w:pPr>
              <w:jc w:val="center"/>
            </w:pPr>
            <w:r>
              <w:rPr>
                <w:sz w:val="20"/>
                <w:szCs w:val="20"/>
              </w:rPr>
              <w:t>0.124** (0.058)</w:t>
            </w:r>
          </w:p>
        </w:tc>
      </w:tr>
      <w:tr w:rsidR="002F11C4" w14:paraId="30C2D243"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7AB441E" w14:textId="77777777" w:rsidR="002F11C4" w:rsidRDefault="00BC19D0">
            <w:r>
              <w:rPr>
                <w:sz w:val="20"/>
                <w:szCs w:val="20"/>
              </w:rPr>
              <w:t>TARIFF_EXP × SOLAR_ADOPT</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40610672" w14:textId="77777777" w:rsidR="002F11C4" w:rsidRDefault="00BC19D0">
            <w:pPr>
              <w:jc w:val="center"/>
            </w:pPr>
            <w:r>
              <w:rPr>
                <w:sz w:val="20"/>
                <w:szCs w:val="20"/>
              </w:rPr>
              <w:t>—</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5410B32" w14:textId="77777777" w:rsidR="002F11C4" w:rsidRDefault="00BC19D0">
            <w:pPr>
              <w:jc w:val="center"/>
            </w:pPr>
            <w:r>
              <w:rPr>
                <w:sz w:val="20"/>
                <w:szCs w:val="20"/>
              </w:rPr>
              <w:t>0.276*** (0.081)</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B575775" w14:textId="77777777" w:rsidR="002F11C4" w:rsidRDefault="00BC19D0">
            <w:pPr>
              <w:jc w:val="center"/>
            </w:pPr>
            <w:r>
              <w:rPr>
                <w:sz w:val="20"/>
                <w:szCs w:val="20"/>
              </w:rPr>
              <w:t>—</w:t>
            </w:r>
          </w:p>
        </w:tc>
      </w:tr>
      <w:tr w:rsidR="002F11C4" w14:paraId="200CD846"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D091501" w14:textId="77777777" w:rsidR="002F11C4" w:rsidRDefault="00BC19D0">
            <w:r>
              <w:rPr>
                <w:sz w:val="20"/>
                <w:szCs w:val="20"/>
              </w:rPr>
              <w:t>SOLAR_ADOPT</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07797D7" w14:textId="77777777" w:rsidR="002F11C4" w:rsidRDefault="00BC19D0">
            <w:pPr>
              <w:jc w:val="center"/>
            </w:pPr>
            <w:r>
              <w:rPr>
                <w:sz w:val="20"/>
                <w:szCs w:val="20"/>
              </w:rPr>
              <w:t>0.089* (0.052)</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708C9BB" w14:textId="77777777" w:rsidR="002F11C4" w:rsidRDefault="00BC19D0">
            <w:pPr>
              <w:jc w:val="center"/>
            </w:pPr>
            <w:r>
              <w:rPr>
                <w:sz w:val="20"/>
                <w:szCs w:val="20"/>
              </w:rPr>
              <w:t>0.064 (0.057)</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172FCE5F" w14:textId="77777777" w:rsidR="002F11C4" w:rsidRDefault="00BC19D0">
            <w:pPr>
              <w:jc w:val="center"/>
            </w:pPr>
            <w:r>
              <w:rPr>
                <w:sz w:val="20"/>
                <w:szCs w:val="20"/>
              </w:rPr>
              <w:t>−0.211** (0.096)</w:t>
            </w:r>
          </w:p>
        </w:tc>
      </w:tr>
      <w:tr w:rsidR="002F11C4" w14:paraId="3B02D166"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7D1AD07" w14:textId="77777777" w:rsidR="002F11C4" w:rsidRDefault="00BC19D0">
            <w:r>
              <w:rPr>
                <w:sz w:val="20"/>
                <w:szCs w:val="20"/>
              </w:rPr>
              <w:t>LEVERAGE</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1E7B6D7" w14:textId="77777777" w:rsidR="002F11C4" w:rsidRDefault="00BC19D0">
            <w:pPr>
              <w:jc w:val="center"/>
            </w:pPr>
            <w:r>
              <w:rPr>
                <w:sz w:val="20"/>
                <w:szCs w:val="20"/>
              </w:rPr>
              <w:t xml:space="preserve">−0.071** </w:t>
            </w:r>
            <w:r>
              <w:rPr>
                <w:sz w:val="20"/>
                <w:szCs w:val="20"/>
              </w:rPr>
              <w:t>(0.031)</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15E3305" w14:textId="77777777" w:rsidR="002F11C4" w:rsidRDefault="00BC19D0">
            <w:pPr>
              <w:jc w:val="center"/>
            </w:pPr>
            <w:r>
              <w:rPr>
                <w:sz w:val="20"/>
                <w:szCs w:val="20"/>
              </w:rPr>
              <w:t>−0.068** (0.030)</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5D80349" w14:textId="77777777" w:rsidR="002F11C4" w:rsidRDefault="00BC19D0">
            <w:pPr>
              <w:jc w:val="center"/>
            </w:pPr>
            <w:r>
              <w:rPr>
                <w:sz w:val="20"/>
                <w:szCs w:val="20"/>
              </w:rPr>
              <w:t>0.143*** (0.041)</w:t>
            </w:r>
          </w:p>
        </w:tc>
      </w:tr>
      <w:tr w:rsidR="002F11C4" w14:paraId="67FB5BF9"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762813A3" w14:textId="77777777" w:rsidR="002F11C4" w:rsidRDefault="00BC19D0">
            <w:r>
              <w:rPr>
                <w:sz w:val="20"/>
                <w:szCs w:val="20"/>
              </w:rPr>
              <w:t>log(SIZE)</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7A864F65" w14:textId="77777777" w:rsidR="002F11C4" w:rsidRDefault="00BC19D0">
            <w:pPr>
              <w:jc w:val="center"/>
            </w:pPr>
            <w:r>
              <w:rPr>
                <w:sz w:val="20"/>
                <w:szCs w:val="20"/>
              </w:rPr>
              <w:t>0.118** (0.049)</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DA0C736" w14:textId="77777777" w:rsidR="002F11C4" w:rsidRDefault="00BC19D0">
            <w:pPr>
              <w:jc w:val="center"/>
            </w:pPr>
            <w:r>
              <w:rPr>
                <w:sz w:val="20"/>
                <w:szCs w:val="20"/>
              </w:rPr>
              <w:t>0.112** (0.047)</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C071D49" w14:textId="77777777" w:rsidR="002F11C4" w:rsidRDefault="00BC19D0">
            <w:pPr>
              <w:jc w:val="center"/>
            </w:pPr>
            <w:r>
              <w:rPr>
                <w:sz w:val="20"/>
                <w:szCs w:val="20"/>
              </w:rPr>
              <w:t>−0.187** (0.073)</w:t>
            </w:r>
          </w:p>
        </w:tc>
      </w:tr>
      <w:tr w:rsidR="002F11C4" w14:paraId="49F96E28"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104535F" w14:textId="77777777" w:rsidR="002F11C4" w:rsidRDefault="00BC19D0">
            <w:r>
              <w:rPr>
                <w:sz w:val="20"/>
                <w:szCs w:val="20"/>
              </w:rPr>
              <w:t>EXPORT_SHARE</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DFF3D47" w14:textId="77777777" w:rsidR="002F11C4" w:rsidRDefault="00BC19D0">
            <w:pPr>
              <w:jc w:val="center"/>
            </w:pPr>
            <w:r>
              <w:rPr>
                <w:sz w:val="20"/>
                <w:szCs w:val="20"/>
              </w:rPr>
              <w:t>0.064** (0.028)</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13DE9780" w14:textId="77777777" w:rsidR="002F11C4" w:rsidRDefault="00BC19D0">
            <w:pPr>
              <w:jc w:val="center"/>
            </w:pPr>
            <w:r>
              <w:rPr>
                <w:sz w:val="20"/>
                <w:szCs w:val="20"/>
              </w:rPr>
              <w:t>0.061** (0.027)</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5D66C0A5" w14:textId="77777777" w:rsidR="002F11C4" w:rsidRDefault="00BC19D0">
            <w:pPr>
              <w:jc w:val="center"/>
            </w:pPr>
            <w:r>
              <w:rPr>
                <w:sz w:val="20"/>
                <w:szCs w:val="20"/>
              </w:rPr>
              <w:t>−0.092** (0.039)</w:t>
            </w:r>
          </w:p>
        </w:tc>
      </w:tr>
      <w:tr w:rsidR="002F11C4" w14:paraId="3AFAA061"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103C3CF" w14:textId="77777777" w:rsidR="002F11C4" w:rsidRDefault="00BC19D0">
            <w:r>
              <w:rPr>
                <w:sz w:val="20"/>
                <w:szCs w:val="20"/>
              </w:rPr>
              <w:t>AGE</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87B966C" w14:textId="77777777" w:rsidR="002F11C4" w:rsidRDefault="00BC19D0">
            <w:pPr>
              <w:jc w:val="center"/>
            </w:pPr>
            <w:r>
              <w:rPr>
                <w:sz w:val="20"/>
                <w:szCs w:val="20"/>
              </w:rPr>
              <w:t>0.012 (0.014)</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84665E3" w14:textId="77777777" w:rsidR="002F11C4" w:rsidRDefault="00BC19D0">
            <w:pPr>
              <w:jc w:val="center"/>
            </w:pPr>
            <w:r>
              <w:rPr>
                <w:sz w:val="20"/>
                <w:szCs w:val="20"/>
              </w:rPr>
              <w:t>0.011 (0.013)</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FBF5A5F" w14:textId="77777777" w:rsidR="002F11C4" w:rsidRDefault="00BC19D0">
            <w:pPr>
              <w:jc w:val="center"/>
            </w:pPr>
            <w:r>
              <w:rPr>
                <w:sz w:val="20"/>
                <w:szCs w:val="20"/>
              </w:rPr>
              <w:t>−0.019 (0.021)</w:t>
            </w:r>
          </w:p>
        </w:tc>
      </w:tr>
      <w:tr w:rsidR="002F11C4" w14:paraId="0A5F41D8"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BE76B5D" w14:textId="77777777" w:rsidR="002F11C4" w:rsidRDefault="00BC19D0">
            <w:r>
              <w:rPr>
                <w:sz w:val="20"/>
                <w:szCs w:val="20"/>
              </w:rPr>
              <w:t>Firm FE</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80EA0E8" w14:textId="77777777" w:rsidR="002F11C4" w:rsidRDefault="00BC19D0">
            <w:pPr>
              <w:jc w:val="center"/>
            </w:pPr>
            <w:r>
              <w:rPr>
                <w:sz w:val="20"/>
                <w:szCs w:val="20"/>
              </w:rPr>
              <w:t>Yes</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43FC11F" w14:textId="77777777" w:rsidR="002F11C4" w:rsidRDefault="00BC19D0">
            <w:pPr>
              <w:jc w:val="center"/>
            </w:pPr>
            <w:r>
              <w:rPr>
                <w:sz w:val="20"/>
                <w:szCs w:val="20"/>
              </w:rPr>
              <w:t>Yes</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CE077C3" w14:textId="77777777" w:rsidR="002F11C4" w:rsidRDefault="00BC19D0">
            <w:pPr>
              <w:jc w:val="center"/>
            </w:pPr>
            <w:r>
              <w:rPr>
                <w:sz w:val="20"/>
                <w:szCs w:val="20"/>
              </w:rPr>
              <w:t>—</w:t>
            </w:r>
          </w:p>
        </w:tc>
      </w:tr>
      <w:tr w:rsidR="002F11C4" w14:paraId="3FC95BE0"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36DB252" w14:textId="77777777" w:rsidR="002F11C4" w:rsidRDefault="00BC19D0">
            <w:r>
              <w:rPr>
                <w:sz w:val="20"/>
                <w:szCs w:val="20"/>
              </w:rPr>
              <w:t>Year FE</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25EA5C5" w14:textId="77777777" w:rsidR="002F11C4" w:rsidRDefault="00BC19D0">
            <w:pPr>
              <w:jc w:val="center"/>
            </w:pPr>
            <w:r>
              <w:rPr>
                <w:sz w:val="20"/>
                <w:szCs w:val="20"/>
              </w:rPr>
              <w:t>Yes</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40A2FF7" w14:textId="77777777" w:rsidR="002F11C4" w:rsidRDefault="00BC19D0">
            <w:pPr>
              <w:jc w:val="center"/>
            </w:pPr>
            <w:r>
              <w:rPr>
                <w:sz w:val="20"/>
                <w:szCs w:val="20"/>
              </w:rPr>
              <w:t>Yes</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5DECF74" w14:textId="77777777" w:rsidR="002F11C4" w:rsidRDefault="00BC19D0">
            <w:pPr>
              <w:jc w:val="center"/>
            </w:pPr>
            <w:r>
              <w:rPr>
                <w:sz w:val="20"/>
                <w:szCs w:val="20"/>
              </w:rPr>
              <w:t>Yes</w:t>
            </w:r>
          </w:p>
        </w:tc>
      </w:tr>
      <w:tr w:rsidR="002F11C4" w14:paraId="6418421A"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AD665D6" w14:textId="77777777" w:rsidR="002F11C4" w:rsidRDefault="00BC19D0">
            <w:r>
              <w:rPr>
                <w:sz w:val="20"/>
                <w:szCs w:val="20"/>
              </w:rPr>
              <w:t>Sector FE</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7E0D84D3" w14:textId="77777777" w:rsidR="002F11C4" w:rsidRDefault="00BC19D0">
            <w:pPr>
              <w:jc w:val="center"/>
            </w:pPr>
            <w:r>
              <w:rPr>
                <w:sz w:val="20"/>
                <w:szCs w:val="20"/>
              </w:rPr>
              <w:t>—</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7AD9ACC" w14:textId="77777777" w:rsidR="002F11C4" w:rsidRDefault="00BC19D0">
            <w:pPr>
              <w:jc w:val="center"/>
            </w:pPr>
            <w:r>
              <w:rPr>
                <w:sz w:val="20"/>
                <w:szCs w:val="20"/>
              </w:rPr>
              <w:t>—</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A185F9A" w14:textId="77777777" w:rsidR="002F11C4" w:rsidRDefault="00BC19D0">
            <w:pPr>
              <w:jc w:val="center"/>
            </w:pPr>
            <w:r>
              <w:rPr>
                <w:sz w:val="20"/>
                <w:szCs w:val="20"/>
              </w:rPr>
              <w:t>Yes</w:t>
            </w:r>
          </w:p>
        </w:tc>
      </w:tr>
      <w:tr w:rsidR="002F11C4" w14:paraId="7B91285F"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11ACD144" w14:textId="77777777" w:rsidR="002F11C4" w:rsidRDefault="00BC19D0">
            <w:r>
              <w:rPr>
                <w:sz w:val="20"/>
                <w:szCs w:val="20"/>
              </w:rPr>
              <w:t>Observations</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DE4CDCF" w14:textId="77777777" w:rsidR="002F11C4" w:rsidRDefault="00BC19D0">
            <w:pPr>
              <w:jc w:val="center"/>
            </w:pPr>
            <w:r>
              <w:rPr>
                <w:sz w:val="20"/>
                <w:szCs w:val="20"/>
              </w:rPr>
              <w:t>2,046</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DB84934" w14:textId="77777777" w:rsidR="002F11C4" w:rsidRDefault="00BC19D0">
            <w:pPr>
              <w:jc w:val="center"/>
            </w:pPr>
            <w:r>
              <w:rPr>
                <w:sz w:val="20"/>
                <w:szCs w:val="20"/>
              </w:rPr>
              <w:t>2,046</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61DD22E9" w14:textId="77777777" w:rsidR="002F11C4" w:rsidRDefault="00BC19D0">
            <w:pPr>
              <w:jc w:val="center"/>
            </w:pPr>
            <w:r>
              <w:rPr>
                <w:sz w:val="20"/>
                <w:szCs w:val="20"/>
              </w:rPr>
              <w:t>2,046</w:t>
            </w:r>
          </w:p>
        </w:tc>
      </w:tr>
      <w:tr w:rsidR="002F11C4" w14:paraId="64B35DDB"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AC6BBA7" w14:textId="77777777" w:rsidR="002F11C4" w:rsidRDefault="00BC19D0">
            <w:r>
              <w:rPr>
                <w:sz w:val="20"/>
                <w:szCs w:val="20"/>
              </w:rPr>
              <w:t>Firms</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519A1F4" w14:textId="77777777" w:rsidR="002F11C4" w:rsidRDefault="00BC19D0">
            <w:pPr>
              <w:jc w:val="center"/>
            </w:pPr>
            <w:r>
              <w:rPr>
                <w:sz w:val="20"/>
                <w:szCs w:val="20"/>
              </w:rPr>
              <w:t>341</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4366CE87" w14:textId="77777777" w:rsidR="002F11C4" w:rsidRDefault="00BC19D0">
            <w:pPr>
              <w:jc w:val="center"/>
            </w:pPr>
            <w:r>
              <w:rPr>
                <w:sz w:val="20"/>
                <w:szCs w:val="20"/>
              </w:rPr>
              <w:t>341</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5A0DF66B" w14:textId="77777777" w:rsidR="002F11C4" w:rsidRDefault="00BC19D0">
            <w:pPr>
              <w:jc w:val="center"/>
            </w:pPr>
            <w:r>
              <w:rPr>
                <w:sz w:val="20"/>
                <w:szCs w:val="20"/>
              </w:rPr>
              <w:t>341</w:t>
            </w:r>
          </w:p>
        </w:tc>
      </w:tr>
      <w:tr w:rsidR="002F11C4" w14:paraId="6FEC301A" w14:textId="77777777">
        <w:tblPrEx>
          <w:tblCellMar>
            <w:top w:w="0" w:type="dxa"/>
            <w:bottom w:w="0" w:type="dxa"/>
          </w:tblCellMar>
        </w:tblPrEx>
        <w:tc>
          <w:tcPr>
            <w:tcW w:w="33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5024857B" w14:textId="77777777" w:rsidR="002F11C4" w:rsidRDefault="00BC19D0">
            <w:r>
              <w:rPr>
                <w:sz w:val="20"/>
                <w:szCs w:val="20"/>
              </w:rPr>
              <w:t>Exits (failures)</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2421A13E" w14:textId="77777777" w:rsidR="002F11C4" w:rsidRDefault="00BC19D0">
            <w:pPr>
              <w:jc w:val="center"/>
            </w:pPr>
            <w:r>
              <w:rPr>
                <w:sz w:val="20"/>
                <w:szCs w:val="20"/>
              </w:rPr>
              <w:t>—</w:t>
            </w:r>
          </w:p>
        </w:tc>
        <w:tc>
          <w:tcPr>
            <w:tcW w:w="233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39338E08" w14:textId="77777777" w:rsidR="002F11C4" w:rsidRDefault="00BC19D0">
            <w:pPr>
              <w:jc w:val="center"/>
            </w:pPr>
            <w:r>
              <w:rPr>
                <w:sz w:val="20"/>
                <w:szCs w:val="20"/>
              </w:rPr>
              <w:t>—</w:t>
            </w:r>
          </w:p>
        </w:tc>
        <w:tc>
          <w:tcPr>
            <w:tcW w:w="1400"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vAlign w:val="center"/>
          </w:tcPr>
          <w:p w14:paraId="09DC9FD4" w14:textId="77777777" w:rsidR="002F11C4" w:rsidRDefault="00BC19D0">
            <w:pPr>
              <w:jc w:val="center"/>
            </w:pPr>
            <w:r>
              <w:rPr>
                <w:sz w:val="20"/>
                <w:szCs w:val="20"/>
              </w:rPr>
              <w:t>39</w:t>
            </w:r>
          </w:p>
        </w:tc>
      </w:tr>
      <w:tr w:rsidR="002F11C4" w14:paraId="6E4A3705" w14:textId="77777777">
        <w:tblPrEx>
          <w:tblCellMar>
            <w:top w:w="0" w:type="dxa"/>
            <w:bottom w:w="0" w:type="dxa"/>
          </w:tblCellMar>
        </w:tblPrEx>
        <w:tc>
          <w:tcPr>
            <w:tcW w:w="3300" w:type="dxa"/>
            <w:tcBorders>
              <w:top w:val="none" w:sz="0" w:space="0" w:color="FFFFFF"/>
              <w:left w:val="none" w:sz="0" w:space="0" w:color="FFFFFF"/>
              <w:bottom w:val="single" w:sz="4" w:space="0" w:color="000000"/>
              <w:right w:val="none" w:sz="0" w:space="0" w:color="FFFFFF"/>
            </w:tcBorders>
            <w:tcMar>
              <w:top w:w="60" w:type="dxa"/>
              <w:left w:w="100" w:type="dxa"/>
              <w:bottom w:w="60" w:type="dxa"/>
              <w:right w:w="100" w:type="dxa"/>
            </w:tcMar>
            <w:vAlign w:val="center"/>
          </w:tcPr>
          <w:p w14:paraId="52FE361A" w14:textId="77777777" w:rsidR="002F11C4" w:rsidRDefault="00BC19D0">
            <w:r>
              <w:rPr>
                <w:sz w:val="20"/>
                <w:szCs w:val="20"/>
              </w:rPr>
              <w:t>R² (within) / Pseudo-R²</w:t>
            </w:r>
          </w:p>
        </w:tc>
        <w:tc>
          <w:tcPr>
            <w:tcW w:w="2330" w:type="dxa"/>
            <w:tcBorders>
              <w:top w:val="none" w:sz="0" w:space="0" w:color="FFFFFF"/>
              <w:left w:val="none" w:sz="0" w:space="0" w:color="FFFFFF"/>
              <w:bottom w:val="single" w:sz="4" w:space="0" w:color="000000"/>
              <w:right w:val="none" w:sz="0" w:space="0" w:color="FFFFFF"/>
            </w:tcBorders>
            <w:tcMar>
              <w:top w:w="60" w:type="dxa"/>
              <w:left w:w="100" w:type="dxa"/>
              <w:bottom w:w="60" w:type="dxa"/>
              <w:right w:w="100" w:type="dxa"/>
            </w:tcMar>
            <w:vAlign w:val="center"/>
          </w:tcPr>
          <w:p w14:paraId="7D6E6992" w14:textId="77777777" w:rsidR="002F11C4" w:rsidRDefault="00BC19D0">
            <w:pPr>
              <w:jc w:val="center"/>
            </w:pPr>
            <w:r>
              <w:rPr>
                <w:sz w:val="20"/>
                <w:szCs w:val="20"/>
              </w:rPr>
              <w:t>0.197</w:t>
            </w:r>
          </w:p>
        </w:tc>
        <w:tc>
          <w:tcPr>
            <w:tcW w:w="2330" w:type="dxa"/>
            <w:tcBorders>
              <w:top w:val="none" w:sz="0" w:space="0" w:color="FFFFFF"/>
              <w:left w:val="none" w:sz="0" w:space="0" w:color="FFFFFF"/>
              <w:bottom w:val="single" w:sz="4" w:space="0" w:color="000000"/>
              <w:right w:val="none" w:sz="0" w:space="0" w:color="FFFFFF"/>
            </w:tcBorders>
            <w:tcMar>
              <w:top w:w="60" w:type="dxa"/>
              <w:left w:w="100" w:type="dxa"/>
              <w:bottom w:w="60" w:type="dxa"/>
              <w:right w:w="100" w:type="dxa"/>
            </w:tcMar>
            <w:vAlign w:val="center"/>
          </w:tcPr>
          <w:p w14:paraId="0FD4F5FC" w14:textId="77777777" w:rsidR="002F11C4" w:rsidRDefault="00BC19D0">
            <w:pPr>
              <w:jc w:val="center"/>
            </w:pPr>
            <w:r>
              <w:rPr>
                <w:sz w:val="20"/>
                <w:szCs w:val="20"/>
              </w:rPr>
              <w:t>0.213</w:t>
            </w:r>
          </w:p>
        </w:tc>
        <w:tc>
          <w:tcPr>
            <w:tcW w:w="1400" w:type="dxa"/>
            <w:tcBorders>
              <w:top w:val="none" w:sz="0" w:space="0" w:color="FFFFFF"/>
              <w:left w:val="none" w:sz="0" w:space="0" w:color="FFFFFF"/>
              <w:bottom w:val="single" w:sz="4" w:space="0" w:color="000000"/>
              <w:right w:val="none" w:sz="0" w:space="0" w:color="FFFFFF"/>
            </w:tcBorders>
            <w:tcMar>
              <w:top w:w="60" w:type="dxa"/>
              <w:left w:w="100" w:type="dxa"/>
              <w:bottom w:w="60" w:type="dxa"/>
              <w:right w:w="100" w:type="dxa"/>
            </w:tcMar>
            <w:vAlign w:val="center"/>
          </w:tcPr>
          <w:p w14:paraId="77ED8668" w14:textId="77777777" w:rsidR="002F11C4" w:rsidRDefault="00BC19D0">
            <w:pPr>
              <w:jc w:val="center"/>
            </w:pPr>
            <w:r>
              <w:rPr>
                <w:sz w:val="20"/>
                <w:szCs w:val="20"/>
              </w:rPr>
              <w:t>0.142</w:t>
            </w:r>
          </w:p>
        </w:tc>
      </w:tr>
    </w:tbl>
    <w:p w14:paraId="302DA2BE" w14:textId="77777777" w:rsidR="002F11C4" w:rsidRPr="00611899" w:rsidRDefault="00BC19D0">
      <w:pPr>
        <w:spacing w:before="80" w:after="200"/>
        <w:rPr>
          <w:lang w:val="en-US"/>
        </w:rPr>
      </w:pPr>
      <w:r w:rsidRPr="00611899">
        <w:rPr>
          <w:i/>
          <w:iCs/>
          <w:sz w:val="20"/>
          <w:szCs w:val="20"/>
          <w:lang w:val="en-US"/>
        </w:rPr>
        <w:t>Note: Columns (1)–(2): dependent variable is MARGIN, firm- and year-fixed-effects OLS, standard errors clustered at the firm level. Column (3): dependent variable is EXIT, discrete-time complementary log-log hazard model with sector and year fixed effects;</w:t>
      </w:r>
      <w:r w:rsidRPr="00611899">
        <w:rPr>
          <w:i/>
          <w:iCs/>
          <w:sz w:val="20"/>
          <w:szCs w:val="20"/>
          <w:lang w:val="en-US"/>
        </w:rPr>
        <w:t xml:space="preserve"> coefficients reported as log-hazard-ratio equivalents. *** p&lt;0.01, ** p&lt;0.05, * p&lt;0.10.</w:t>
      </w:r>
    </w:p>
    <w:p w14:paraId="61C92A77" w14:textId="77777777" w:rsidR="002F11C4" w:rsidRPr="00611899" w:rsidRDefault="00BC19D0">
      <w:pPr>
        <w:spacing w:line="480" w:lineRule="auto"/>
        <w:ind w:firstLine="720"/>
        <w:jc w:val="both"/>
        <w:rPr>
          <w:lang w:val="en-US"/>
        </w:rPr>
      </w:pPr>
      <w:r w:rsidRPr="00611899">
        <w:rPr>
          <w:lang w:val="en-US"/>
        </w:rPr>
        <w:t>The results in column (1) support H1: tariff exposure is associated with a substantial and highly significant reduction in operating margin (−0.412, p&lt;0.01), and energ</w:t>
      </w:r>
      <w:r w:rsidRPr="00611899">
        <w:rPr>
          <w:lang w:val="en-US"/>
        </w:rPr>
        <w:t xml:space="preserve">y intensity carries an </w:t>
      </w:r>
      <w:r w:rsidRPr="00611899">
        <w:rPr>
          <w:lang w:val="en-US"/>
        </w:rPr>
        <w:lastRenderedPageBreak/>
        <w:t>additional independent negative effect (−0.156, p&lt;0.05). The corresponding hazard model in column (3) shows that both variables are associated with significantly elevated exit hazard (0.318 and 0.124 respectively, both p&lt;0.05 or bett</w:t>
      </w:r>
      <w:r w:rsidRPr="00611899">
        <w:rPr>
          <w:lang w:val="en-US"/>
        </w:rPr>
        <w:t>er), confirming that the margin compression documented in column (1) is accompanied by a meaningful increase in the probability of firm exit, rather than being absorbed indefinitely through reduced profitability alone.</w:t>
      </w:r>
    </w:p>
    <w:p w14:paraId="7D6EF018" w14:textId="77777777" w:rsidR="002F11C4" w:rsidRPr="00611899" w:rsidRDefault="00BC19D0">
      <w:pPr>
        <w:spacing w:line="480" w:lineRule="auto"/>
        <w:ind w:firstLine="720"/>
        <w:jc w:val="both"/>
        <w:rPr>
          <w:lang w:val="en-US"/>
        </w:rPr>
      </w:pPr>
      <w:r w:rsidRPr="00611899">
        <w:rPr>
          <w:lang w:val="en-US"/>
        </w:rPr>
        <w:t>Column (2) tests H2 by adding the int</w:t>
      </w:r>
      <w:r w:rsidRPr="00611899">
        <w:rPr>
          <w:lang w:val="en-US"/>
        </w:rPr>
        <w:t xml:space="preserve">eraction between tariff exposure and solar self-generation adoption. The interaction term is positive and significant (0.276, p&lt;0.01), indicating that firms with on-site solar capacity experience a substantially smaller margin penalty from tariff exposure </w:t>
      </w:r>
      <w:r w:rsidRPr="00611899">
        <w:rPr>
          <w:lang w:val="en-US"/>
        </w:rPr>
        <w:t>than non-adopting firms; the implied net effect of tariff exposure on margin for solar-adopting firms (−0.387 + 0.276 ≈ −0.111) is roughly a quarter of the effect for non-adopting firms. In the hazard model, SOLAR_ADOPT itself carries a negative and signif</w:t>
      </w:r>
      <w:r w:rsidRPr="00611899">
        <w:rPr>
          <w:lang w:val="en-US"/>
        </w:rPr>
        <w:t>icant coefficient (−0.211, p&lt;0.05), indicating that solar-adopting firms face a significantly lower baseline exit hazard, consistent with solar self-generation functioning as an effective firm-level hedge against energy-transition costs, supporting H2.</w:t>
      </w:r>
    </w:p>
    <w:p w14:paraId="23FDB2E5" w14:textId="77777777" w:rsidR="002F11C4" w:rsidRPr="00611899" w:rsidRDefault="00BC19D0">
      <w:pPr>
        <w:spacing w:line="480" w:lineRule="auto"/>
        <w:ind w:firstLine="720"/>
        <w:jc w:val="both"/>
        <w:rPr>
          <w:lang w:val="en-US"/>
        </w:rPr>
      </w:pPr>
      <w:r w:rsidRPr="00611899">
        <w:rPr>
          <w:lang w:val="en-US"/>
        </w:rPr>
        <w:t>Con</w:t>
      </w:r>
      <w:r w:rsidRPr="00611899">
        <w:rPr>
          <w:lang w:val="en-US"/>
        </w:rPr>
        <w:t>sistent with H3, leverage is negatively associated with margin and positively associated with exit hazard (both significant at the 1% or 5% level), and firm size is positively associated with margin and negatively associated with exit hazard, indicating th</w:t>
      </w:r>
      <w:r w:rsidRPr="00611899">
        <w:rPr>
          <w:lang w:val="en-US"/>
        </w:rPr>
        <w:t>at more leveraged and smaller firms are systematically less resilient to energy-transition cost pressure. Export-oriented firms show both higher margins and lower exit hazard, plausibly reflecting selection on underlying competitiveness among firms able to</w:t>
      </w:r>
      <w:r w:rsidRPr="00611899">
        <w:rPr>
          <w:lang w:val="en-US"/>
        </w:rPr>
        <w:t xml:space="preserve"> sustain export relationships, though this association should be interpreted with appropriate caution given the absence of a clear exogenous source of variation in export status within this design.</w:t>
      </w:r>
    </w:p>
    <w:p w14:paraId="56C4BD80" w14:textId="77777777" w:rsidR="002F11C4" w:rsidRPr="00611899" w:rsidRDefault="00BC19D0">
      <w:pPr>
        <w:spacing w:before="240" w:after="120" w:line="480" w:lineRule="auto"/>
        <w:rPr>
          <w:lang w:val="en-US"/>
        </w:rPr>
      </w:pPr>
      <w:r w:rsidRPr="00611899">
        <w:rPr>
          <w:b/>
          <w:bCs/>
          <w:lang w:val="en-US"/>
        </w:rPr>
        <w:t>6. Robustness Checks and Limitations</w:t>
      </w:r>
    </w:p>
    <w:p w14:paraId="54A6CE2F" w14:textId="77777777" w:rsidR="002F11C4" w:rsidRPr="00611899" w:rsidRDefault="00BC19D0">
      <w:pPr>
        <w:spacing w:line="480" w:lineRule="auto"/>
        <w:ind w:firstLine="720"/>
        <w:jc w:val="both"/>
        <w:rPr>
          <w:lang w:val="en-US"/>
        </w:rPr>
      </w:pPr>
      <w:r w:rsidRPr="00611899">
        <w:rPr>
          <w:lang w:val="en-US"/>
        </w:rPr>
        <w:lastRenderedPageBreak/>
        <w:t>We conduct three robustness checks. First, re-estimating the margin specification using the Arellano–Bond dynamic panel GMM estimator, including a lagged dependent variable to address potential margin persistence, yields a tariff-exposure coefficient of −0</w:t>
      </w:r>
      <w:r w:rsidRPr="00611899">
        <w:rPr>
          <w:lang w:val="en-US"/>
        </w:rPr>
        <w:t>.378 (p&lt;0.01), closely comparable to the fixed-effects baseline. Second, replacing the discrete-time complementary log-log hazard model with a Cox proportional-hazards specification using annual-interval data yields qualitatively identical hazard-ratio sig</w:t>
      </w:r>
      <w:r w:rsidRPr="00611899">
        <w:rPr>
          <w:lang w:val="en-US"/>
        </w:rPr>
        <w:t>ns and significance for TARIFF_EXP, ENERGY_INT, and SOLAR_ADOPT. Third, restricting the sample to firms with non-imputed (audit-based) energy-intensity data does not materially alter the magnitude or significance of the ENERGY_INT coefficient, suggesting t</w:t>
      </w:r>
      <w:r w:rsidRPr="00611899">
        <w:rPr>
          <w:lang w:val="en-US"/>
        </w:rPr>
        <w:t>he imputation procedure for the minority of firms lacking audit data does not drive the main results.</w:t>
      </w:r>
    </w:p>
    <w:p w14:paraId="1E40D67D" w14:textId="5E6EFA3D" w:rsidR="002F11C4" w:rsidRDefault="00BC19D0">
      <w:pPr>
        <w:spacing w:line="480" w:lineRule="auto"/>
        <w:ind w:firstLine="720"/>
        <w:jc w:val="both"/>
        <w:rPr>
          <w:lang w:val="en-US"/>
        </w:rPr>
      </w:pPr>
      <w:r w:rsidRPr="00611899">
        <w:rPr>
          <w:lang w:val="en-US"/>
        </w:rPr>
        <w:t>Several limitations merit acknowledgement. The relatively small number of observed exits (39) limits statistical power in the hazard model and precludes m</w:t>
      </w:r>
      <w:r w:rsidRPr="00611899">
        <w:rPr>
          <w:lang w:val="en-US"/>
        </w:rPr>
        <w:t xml:space="preserve">ore granular sub-sample analysis by sector or region. Solar self-generation adoption is plausibly endogenous to unobserved firm-level factors—such as managerial quality or growth ambition—that independently affect survival; while firm fixed effects in the </w:t>
      </w:r>
      <w:r w:rsidRPr="00611899">
        <w:rPr>
          <w:lang w:val="en-US"/>
        </w:rPr>
        <w:t>margin specification partially address time-invariant selection, the sector-fixed-effects hazard specification cannot fully rule out such selection, and the solar-adoption coefficients should accordingly be interpreted as documenting a robust association c</w:t>
      </w:r>
      <w:r w:rsidRPr="00611899">
        <w:rPr>
          <w:lang w:val="en-US"/>
        </w:rPr>
        <w:t>onsistent with, rather than definitive proof of, a causal hedging effect. Finally, the tariff-exposure index reflects the formally documented ONEE tariff schedule and does not capture potential informal negotiated arrangements between large industrial grou</w:t>
      </w:r>
      <w:r w:rsidRPr="00611899">
        <w:rPr>
          <w:lang w:val="en-US"/>
        </w:rPr>
        <w:t>ps and the utility, which, if present, would not affect the SME-focused sample used here but should be borne in mind when extrapolating to the broader Moroccan industrial population.</w:t>
      </w:r>
    </w:p>
    <w:p w14:paraId="6282D2EB" w14:textId="77777777" w:rsidR="00BC19D0" w:rsidRPr="00611899" w:rsidRDefault="00BC19D0">
      <w:pPr>
        <w:spacing w:line="480" w:lineRule="auto"/>
        <w:ind w:firstLine="720"/>
        <w:jc w:val="both"/>
        <w:rPr>
          <w:lang w:val="en-US"/>
        </w:rPr>
      </w:pPr>
    </w:p>
    <w:p w14:paraId="38714517" w14:textId="77777777" w:rsidR="002F11C4" w:rsidRPr="00611899" w:rsidRDefault="00BC19D0">
      <w:pPr>
        <w:spacing w:before="240" w:after="120" w:line="480" w:lineRule="auto"/>
        <w:rPr>
          <w:lang w:val="en-US"/>
        </w:rPr>
      </w:pPr>
      <w:r w:rsidRPr="00611899">
        <w:rPr>
          <w:b/>
          <w:bCs/>
          <w:lang w:val="en-US"/>
        </w:rPr>
        <w:lastRenderedPageBreak/>
        <w:t>7. Conclusion and Policy Implications</w:t>
      </w:r>
    </w:p>
    <w:p w14:paraId="6C74485D" w14:textId="77777777" w:rsidR="002F11C4" w:rsidRPr="00611899" w:rsidRDefault="00BC19D0">
      <w:pPr>
        <w:spacing w:line="480" w:lineRule="auto"/>
        <w:ind w:firstLine="720"/>
        <w:jc w:val="both"/>
        <w:rPr>
          <w:lang w:val="en-US"/>
        </w:rPr>
      </w:pPr>
      <w:r w:rsidRPr="00611899">
        <w:rPr>
          <w:lang w:val="en-US"/>
        </w:rPr>
        <w:t>This paper has shown that Morocco's</w:t>
      </w:r>
      <w:r w:rsidRPr="00611899">
        <w:rPr>
          <w:lang w:val="en-US"/>
        </w:rPr>
        <w:t xml:space="preserve"> 2021–2023 industrial electricity-tariff reform, combined with firm-level energy intensity, is associated with significant margin compression and elevated exit hazard among industrial SMEs, and that on-site solar self-generation under the Loi 13-09 framewo</w:t>
      </w:r>
      <w:r w:rsidRPr="00611899">
        <w:rPr>
          <w:lang w:val="en-US"/>
        </w:rPr>
        <w:t>rk substantially attenuates both effects. These findings indicate that the cost of Morocco's energy transition is not borne uniformly across the industrial SME population: it falls disproportionately on energy-intensive, highly leveraged, and smaller firms</w:t>
      </w:r>
      <w:r w:rsidRPr="00611899">
        <w:rPr>
          <w:lang w:val="en-US"/>
        </w:rPr>
        <w:t xml:space="preserve"> least able to finance adaptive investment, while firms that have successfully adopted self-generation are substantially insulated from the reform's adverse effects.</w:t>
      </w:r>
    </w:p>
    <w:p w14:paraId="4408FCCA" w14:textId="77777777" w:rsidR="002F11C4" w:rsidRPr="00611899" w:rsidRDefault="00BC19D0">
      <w:pPr>
        <w:spacing w:line="480" w:lineRule="auto"/>
        <w:ind w:firstLine="720"/>
        <w:jc w:val="both"/>
        <w:rPr>
          <w:lang w:val="en-US"/>
        </w:rPr>
      </w:pPr>
      <w:r w:rsidRPr="00611899">
        <w:rPr>
          <w:lang w:val="en-US"/>
        </w:rPr>
        <w:t>The policy implication is that targeted financing for SME solar self-generation—rather tha</w:t>
      </w:r>
      <w:r w:rsidRPr="00611899">
        <w:rPr>
          <w:lang w:val="en-US"/>
        </w:rPr>
        <w:t>n blanket tariff relief, which would dilute support across firms regardless of vulnerability or energy intensity, or undermine the price signal central to the broader energy-transition strategy—is likely to be the more cost-effective instrument for preserv</w:t>
      </w:r>
      <w:r w:rsidRPr="00611899">
        <w:rPr>
          <w:lang w:val="en-US"/>
        </w:rPr>
        <w:t xml:space="preserve">ing industrial SME survival. Given the significant conditioning role of leverage and firm size identified here, such financing should prioritise credit-constrained, high-energy-intensity SMEs, for instance through partial credit guarantees or concessional </w:t>
      </w:r>
      <w:r w:rsidRPr="00611899">
        <w:rPr>
          <w:lang w:val="en-US"/>
        </w:rPr>
        <w:t>green-lending facilities administered jointly by the Caisse Centrale de Garantie and AMEE, rather than uniform capital subsidies. More broadly, the results suggest that monitoring firm-level survival risk during energy-tariff reform—rather than relying sol</w:t>
      </w:r>
      <w:r w:rsidRPr="00611899">
        <w:rPr>
          <w:lang w:val="en-US"/>
        </w:rPr>
        <w:t>ely on aggregate industrial-competitiveness indicators—would allow policymakers to identify and support the specific subset of SMEs facing the most acute transition risk. Future research extending the panel beyond 2024, and incorporating a larger sample of</w:t>
      </w:r>
      <w:r w:rsidRPr="00611899">
        <w:rPr>
          <w:lang w:val="en-US"/>
        </w:rPr>
        <w:t xml:space="preserve"> exits, would help establish whether the mitigating effect of solar adoption identified here persists as the reform's cumulative effects continue to unfold.</w:t>
      </w:r>
    </w:p>
    <w:p w14:paraId="27D6A587" w14:textId="77777777" w:rsidR="002F11C4" w:rsidRPr="00611899" w:rsidRDefault="00BC19D0">
      <w:pPr>
        <w:rPr>
          <w:lang w:val="en-US"/>
        </w:rPr>
      </w:pPr>
      <w:r w:rsidRPr="00611899">
        <w:rPr>
          <w:lang w:val="en-US"/>
        </w:rPr>
        <w:lastRenderedPageBreak/>
        <w:br w:type="page"/>
      </w:r>
    </w:p>
    <w:p w14:paraId="70990534" w14:textId="77777777" w:rsidR="002F11C4" w:rsidRPr="00611899" w:rsidRDefault="00BC19D0">
      <w:pPr>
        <w:spacing w:before="240" w:after="120" w:line="480" w:lineRule="auto"/>
        <w:rPr>
          <w:lang w:val="en-US"/>
        </w:rPr>
      </w:pPr>
      <w:r w:rsidRPr="00611899">
        <w:rPr>
          <w:b/>
          <w:bCs/>
          <w:lang w:val="en-US"/>
        </w:rPr>
        <w:lastRenderedPageBreak/>
        <w:t>References</w:t>
      </w:r>
    </w:p>
    <w:p w14:paraId="3969A1F0" w14:textId="77777777" w:rsidR="002F11C4" w:rsidRPr="00611899" w:rsidRDefault="00BC19D0">
      <w:pPr>
        <w:spacing w:after="120" w:line="480" w:lineRule="auto"/>
        <w:ind w:left="720" w:hanging="720"/>
        <w:jc w:val="both"/>
        <w:rPr>
          <w:lang w:val="en-US"/>
        </w:rPr>
      </w:pPr>
      <w:r w:rsidRPr="00611899">
        <w:rPr>
          <w:lang w:val="en-US"/>
        </w:rPr>
        <w:t>Allison, P. D. (1982). Discrete-time methods for the analysis of event histories. Sociological Methodology, 13, 61–98. https://doi.org/10.2307/270718</w:t>
      </w:r>
    </w:p>
    <w:p w14:paraId="24764C61" w14:textId="77777777" w:rsidR="002F11C4" w:rsidRDefault="00BC19D0">
      <w:pPr>
        <w:spacing w:after="120" w:line="480" w:lineRule="auto"/>
        <w:ind w:left="720" w:hanging="720"/>
        <w:jc w:val="both"/>
      </w:pPr>
      <w:r w:rsidRPr="00611899">
        <w:rPr>
          <w:lang w:val="en-US"/>
        </w:rPr>
        <w:t>Almeida, H., Campello, M., &amp; Weisbach, M. S. (2011). Corporate financial and investment policies when futu</w:t>
      </w:r>
      <w:r w:rsidRPr="00611899">
        <w:rPr>
          <w:lang w:val="en-US"/>
        </w:rPr>
        <w:t xml:space="preserve">re financing is not frictionless. </w:t>
      </w:r>
      <w:r>
        <w:t>Journal of Corporate Finance, 17(3), 675–693. https://doi.org/10.1016/j.jcorpfin.2009.04.001</w:t>
      </w:r>
    </w:p>
    <w:p w14:paraId="695CF70F" w14:textId="77777777" w:rsidR="002F11C4" w:rsidRDefault="00BC19D0">
      <w:pPr>
        <w:spacing w:after="120" w:line="480" w:lineRule="auto"/>
        <w:ind w:left="720" w:hanging="720"/>
        <w:jc w:val="both"/>
      </w:pPr>
      <w:r>
        <w:t>AMEE (Agence Marocaine pour l'Efficacité Energétique). (2022). Rapport annuel sur l'efficacité énergétique industrielle au Maroc.</w:t>
      </w:r>
      <w:r>
        <w:t xml:space="preserve"> Royaume du Maroc.</w:t>
      </w:r>
    </w:p>
    <w:p w14:paraId="2E7EE1C7" w14:textId="77777777" w:rsidR="002F11C4" w:rsidRPr="00611899" w:rsidRDefault="00BC19D0">
      <w:pPr>
        <w:spacing w:after="120" w:line="480" w:lineRule="auto"/>
        <w:ind w:left="720" w:hanging="720"/>
        <w:jc w:val="both"/>
        <w:rPr>
          <w:lang w:val="en-US"/>
        </w:rPr>
      </w:pPr>
      <w:r>
        <w:t xml:space="preserve">Bank Al-Maghrib. (2023). Rapport annuel sur la situation économique, sociale et environnementale 2022. </w:t>
      </w:r>
      <w:r w:rsidRPr="00611899">
        <w:rPr>
          <w:lang w:val="en-US"/>
        </w:rPr>
        <w:t>Bank Al-Maghrib.</w:t>
      </w:r>
    </w:p>
    <w:p w14:paraId="54A85546" w14:textId="77777777" w:rsidR="002F11C4" w:rsidRPr="00611899" w:rsidRDefault="00BC19D0">
      <w:pPr>
        <w:spacing w:after="120" w:line="480" w:lineRule="auto"/>
        <w:ind w:left="720" w:hanging="720"/>
        <w:jc w:val="both"/>
        <w:rPr>
          <w:lang w:val="en-US"/>
        </w:rPr>
      </w:pPr>
      <w:r w:rsidRPr="00611899">
        <w:rPr>
          <w:lang w:val="en-US"/>
        </w:rPr>
        <w:t xml:space="preserve">Bayer, P., &amp; Aklin, M. (2020). The European Union emissions trading system reduced CO2 emissions despite low prices. </w:t>
      </w:r>
      <w:r w:rsidRPr="00611899">
        <w:rPr>
          <w:lang w:val="en-US"/>
        </w:rPr>
        <w:t>Proceedings of the National Academy of Sciences, 117(16), 8804–8812. https://doi.org/10.1073/pnas.1918128117</w:t>
      </w:r>
    </w:p>
    <w:p w14:paraId="58DC514B" w14:textId="77777777" w:rsidR="002F11C4" w:rsidRPr="00611899" w:rsidRDefault="00BC19D0">
      <w:pPr>
        <w:spacing w:after="120" w:line="480" w:lineRule="auto"/>
        <w:ind w:left="720" w:hanging="720"/>
        <w:jc w:val="both"/>
        <w:rPr>
          <w:lang w:val="en-US"/>
        </w:rPr>
      </w:pPr>
      <w:r w:rsidRPr="00611899">
        <w:rPr>
          <w:lang w:val="en-US"/>
        </w:rPr>
        <w:t>Beck, T., Demirgüç-Kunt, A., &amp; Maksimovic, V. (2008). Financing patterns around the world: Are small firms different? Journal of Financial Economic</w:t>
      </w:r>
      <w:r w:rsidRPr="00611899">
        <w:rPr>
          <w:lang w:val="en-US"/>
        </w:rPr>
        <w:t>s, 89(3), 467–487. https://doi.org/10.1016/j.jfineco.2007.10.005</w:t>
      </w:r>
    </w:p>
    <w:p w14:paraId="1727958C" w14:textId="77777777" w:rsidR="002F11C4" w:rsidRPr="00611899" w:rsidRDefault="00BC19D0">
      <w:pPr>
        <w:spacing w:after="120" w:line="480" w:lineRule="auto"/>
        <w:ind w:left="720" w:hanging="720"/>
        <w:jc w:val="both"/>
        <w:rPr>
          <w:lang w:val="en-US"/>
        </w:rPr>
      </w:pPr>
      <w:r w:rsidRPr="00611899">
        <w:rPr>
          <w:lang w:val="en-US"/>
        </w:rPr>
        <w:t xml:space="preserve">Cole, M. A., Elliott, R. J. R., &amp; Okubo, T. (2021). Energy prices, environmental regulation and firm performance: Comparative evidence from international firm-level data. Resource and Energy </w:t>
      </w:r>
      <w:r w:rsidRPr="00611899">
        <w:rPr>
          <w:lang w:val="en-US"/>
        </w:rPr>
        <w:t>Economics, 65, 101247.</w:t>
      </w:r>
    </w:p>
    <w:p w14:paraId="64A0D387" w14:textId="77777777" w:rsidR="002F11C4" w:rsidRDefault="00BC19D0">
      <w:pPr>
        <w:spacing w:after="120" w:line="480" w:lineRule="auto"/>
        <w:ind w:left="720" w:hanging="720"/>
        <w:jc w:val="both"/>
      </w:pPr>
      <w:r w:rsidRPr="00611899">
        <w:rPr>
          <w:lang w:val="en-US"/>
        </w:rPr>
        <w:t xml:space="preserve">Flues, F., &amp; Lutz, B. J. (2015). Competitiveness impacts of the German electricity tax. </w:t>
      </w:r>
      <w:r>
        <w:t>OECD Environment Working Papers, No. 88. OECD Publishing.</w:t>
      </w:r>
    </w:p>
    <w:p w14:paraId="08DFE0AD" w14:textId="77777777" w:rsidR="002F11C4" w:rsidRPr="00611899" w:rsidRDefault="00BC19D0">
      <w:pPr>
        <w:spacing w:after="120" w:line="480" w:lineRule="auto"/>
        <w:ind w:left="720" w:hanging="720"/>
        <w:jc w:val="both"/>
        <w:rPr>
          <w:lang w:val="en-US"/>
        </w:rPr>
      </w:pPr>
      <w:r w:rsidRPr="00611899">
        <w:rPr>
          <w:lang w:val="en-US"/>
        </w:rPr>
        <w:lastRenderedPageBreak/>
        <w:t>Ganapati, S., Shapiro, J. S., &amp; Walker, R. (2020). Energy cost pass-through in US manuf</w:t>
      </w:r>
      <w:r w:rsidRPr="00611899">
        <w:rPr>
          <w:lang w:val="en-US"/>
        </w:rPr>
        <w:t>acturing: Estimates and implications for carbon taxes. American Economic Journal: Applied Economics, 12(2), 303–342. https://doi.org/10.1257/app.20180474</w:t>
      </w:r>
    </w:p>
    <w:p w14:paraId="0FBAFF47" w14:textId="77777777" w:rsidR="002F11C4" w:rsidRPr="00611899" w:rsidRDefault="00BC19D0">
      <w:pPr>
        <w:spacing w:after="120" w:line="480" w:lineRule="auto"/>
        <w:ind w:left="720" w:hanging="720"/>
        <w:jc w:val="both"/>
        <w:rPr>
          <w:lang w:val="en-US"/>
        </w:rPr>
      </w:pPr>
      <w:r w:rsidRPr="00611899">
        <w:rPr>
          <w:lang w:val="en-US"/>
        </w:rPr>
        <w:t>IRENA (International Renewable Energy Agency). (2022). Renewable power generation costs in 2021. IRENA</w:t>
      </w:r>
      <w:r w:rsidRPr="00611899">
        <w:rPr>
          <w:lang w:val="en-US"/>
        </w:rPr>
        <w:t>.</w:t>
      </w:r>
    </w:p>
    <w:p w14:paraId="13E003A3" w14:textId="77777777" w:rsidR="002F11C4" w:rsidRPr="00611899" w:rsidRDefault="00BC19D0">
      <w:pPr>
        <w:spacing w:after="120" w:line="480" w:lineRule="auto"/>
        <w:ind w:left="720" w:hanging="720"/>
        <w:jc w:val="both"/>
        <w:rPr>
          <w:lang w:val="en-US"/>
        </w:rPr>
      </w:pPr>
      <w:r w:rsidRPr="00611899">
        <w:rPr>
          <w:lang w:val="en-US"/>
        </w:rPr>
        <w:t>Jenkins, S. P. (1995). Easy estimation methods for discrete-time duration models. Oxford Bulletin of Economics and Statistics, 57(1), 129–138. https://doi.org/10.1111/j.1468-0084.1995.tb00031.x</w:t>
      </w:r>
    </w:p>
    <w:p w14:paraId="13F84A93" w14:textId="77777777" w:rsidR="002F11C4" w:rsidRPr="00611899" w:rsidRDefault="00BC19D0">
      <w:pPr>
        <w:spacing w:after="120" w:line="480" w:lineRule="auto"/>
        <w:ind w:left="720" w:hanging="720"/>
        <w:jc w:val="both"/>
        <w:rPr>
          <w:lang w:val="en-US"/>
        </w:rPr>
      </w:pPr>
      <w:r w:rsidRPr="00611899">
        <w:rPr>
          <w:lang w:val="en-US"/>
        </w:rPr>
        <w:t>Marin, G., &amp; Vona, F. (2021). The impact of energy prices on</w:t>
      </w:r>
      <w:r w:rsidRPr="00611899">
        <w:rPr>
          <w:lang w:val="en-US"/>
        </w:rPr>
        <w:t xml:space="preserve"> socioeconomic and environmental performance: Evidence from French manufacturing establishments, 1997–2015. European Economic Review, 135, 103739. https://doi.org/10.1016/j.euroecorev.2021.103739</w:t>
      </w:r>
    </w:p>
    <w:p w14:paraId="3751B262" w14:textId="77777777" w:rsidR="002F11C4" w:rsidRPr="00611899" w:rsidRDefault="00BC19D0">
      <w:pPr>
        <w:spacing w:after="120" w:line="480" w:lineRule="auto"/>
        <w:ind w:left="720" w:hanging="720"/>
        <w:jc w:val="both"/>
        <w:rPr>
          <w:lang w:val="en-US"/>
        </w:rPr>
      </w:pPr>
      <w:r w:rsidRPr="00611899">
        <w:rPr>
          <w:lang w:val="en-US"/>
        </w:rPr>
        <w:t>Martin, R., Muûls, M., &amp; Wagner, U. J. (2014). The impact of</w:t>
      </w:r>
      <w:r w:rsidRPr="00611899">
        <w:rPr>
          <w:lang w:val="en-US"/>
        </w:rPr>
        <w:t xml:space="preserve"> the European Union emissions trading scheme on regulated firms: What is the evidence after ten years? Review of Environmental Economics and Policy, 8(2), 297–321. https://doi.org/10.1093/reep/reu008</w:t>
      </w:r>
    </w:p>
    <w:p w14:paraId="5435304B" w14:textId="77777777" w:rsidR="002F11C4" w:rsidRDefault="00BC19D0">
      <w:pPr>
        <w:spacing w:after="120" w:line="480" w:lineRule="auto"/>
        <w:ind w:left="720" w:hanging="720"/>
        <w:jc w:val="both"/>
      </w:pPr>
      <w:r>
        <w:t>Ministère de l'Energie, des Mines et de l'Environnement.</w:t>
      </w:r>
      <w:r>
        <w:t xml:space="preserve"> (2022). Bilan énergétique national 2021. Royaume du Maroc.</w:t>
      </w:r>
    </w:p>
    <w:p w14:paraId="178A8D28" w14:textId="77777777" w:rsidR="002F11C4" w:rsidRDefault="00BC19D0">
      <w:pPr>
        <w:spacing w:after="120" w:line="480" w:lineRule="auto"/>
        <w:ind w:left="720" w:hanging="720"/>
        <w:jc w:val="both"/>
      </w:pPr>
      <w:r>
        <w:t>Ministère de la Transition Energétique et du Développement Durable. (2023). Stratégie énergétique nationale: Bilan et perspectives 2030. Royaume du Maroc.</w:t>
      </w:r>
    </w:p>
    <w:p w14:paraId="3955FE30" w14:textId="77777777" w:rsidR="002F11C4" w:rsidRDefault="00BC19D0">
      <w:pPr>
        <w:spacing w:after="120" w:line="480" w:lineRule="auto"/>
        <w:ind w:left="720" w:hanging="720"/>
        <w:jc w:val="both"/>
      </w:pPr>
      <w:r>
        <w:t>OECD. (2022). Études économiques de l'OCD</w:t>
      </w:r>
      <w:r>
        <w:t>E: Maroc 2022. OECD Publishing.</w:t>
      </w:r>
    </w:p>
    <w:p w14:paraId="33055C4B" w14:textId="77777777" w:rsidR="002F11C4" w:rsidRDefault="00BC19D0">
      <w:pPr>
        <w:spacing w:after="120" w:line="480" w:lineRule="auto"/>
        <w:ind w:left="720" w:hanging="720"/>
        <w:jc w:val="both"/>
      </w:pPr>
      <w:r>
        <w:t>ONEE (Office National de l'Electricité et de l'Eau Potable). (2023). Rapport annuel d'activité 2022. Royaume du Maroc.</w:t>
      </w:r>
    </w:p>
    <w:sectPr w:rsidR="002F11C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B6BBE"/>
    <w:multiLevelType w:val="hybridMultilevel"/>
    <w:tmpl w:val="2E34FD2C"/>
    <w:lvl w:ilvl="0" w:tplc="37EE2FD6">
      <w:start w:val="1"/>
      <w:numFmt w:val="bullet"/>
      <w:lvlText w:val="●"/>
      <w:lvlJc w:val="left"/>
      <w:pPr>
        <w:ind w:left="720" w:hanging="360"/>
      </w:pPr>
    </w:lvl>
    <w:lvl w:ilvl="1" w:tplc="6C5227EC">
      <w:start w:val="1"/>
      <w:numFmt w:val="bullet"/>
      <w:lvlText w:val="○"/>
      <w:lvlJc w:val="left"/>
      <w:pPr>
        <w:ind w:left="1440" w:hanging="360"/>
      </w:pPr>
    </w:lvl>
    <w:lvl w:ilvl="2" w:tplc="D27A3094">
      <w:start w:val="1"/>
      <w:numFmt w:val="bullet"/>
      <w:lvlText w:val="■"/>
      <w:lvlJc w:val="left"/>
      <w:pPr>
        <w:ind w:left="2160" w:hanging="360"/>
      </w:pPr>
    </w:lvl>
    <w:lvl w:ilvl="3" w:tplc="20026A34">
      <w:start w:val="1"/>
      <w:numFmt w:val="bullet"/>
      <w:lvlText w:val="●"/>
      <w:lvlJc w:val="left"/>
      <w:pPr>
        <w:ind w:left="2880" w:hanging="360"/>
      </w:pPr>
    </w:lvl>
    <w:lvl w:ilvl="4" w:tplc="D5FA9838">
      <w:start w:val="1"/>
      <w:numFmt w:val="bullet"/>
      <w:lvlText w:val="○"/>
      <w:lvlJc w:val="left"/>
      <w:pPr>
        <w:ind w:left="3600" w:hanging="360"/>
      </w:pPr>
    </w:lvl>
    <w:lvl w:ilvl="5" w:tplc="3A5A215C">
      <w:start w:val="1"/>
      <w:numFmt w:val="bullet"/>
      <w:lvlText w:val="■"/>
      <w:lvlJc w:val="left"/>
      <w:pPr>
        <w:ind w:left="4320" w:hanging="360"/>
      </w:pPr>
    </w:lvl>
    <w:lvl w:ilvl="6" w:tplc="395A7D0A">
      <w:start w:val="1"/>
      <w:numFmt w:val="bullet"/>
      <w:lvlText w:val="●"/>
      <w:lvlJc w:val="left"/>
      <w:pPr>
        <w:ind w:left="5040" w:hanging="360"/>
      </w:pPr>
    </w:lvl>
    <w:lvl w:ilvl="7" w:tplc="81587F8A">
      <w:start w:val="1"/>
      <w:numFmt w:val="bullet"/>
      <w:lvlText w:val="●"/>
      <w:lvlJc w:val="left"/>
      <w:pPr>
        <w:ind w:left="5760" w:hanging="360"/>
      </w:pPr>
    </w:lvl>
    <w:lvl w:ilvl="8" w:tplc="665445A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1C4"/>
    <w:rsid w:val="001D2E1A"/>
    <w:rsid w:val="002F11C4"/>
    <w:rsid w:val="00611899"/>
    <w:rsid w:val="00BC19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A968D"/>
  <w15:docId w15:val="{EE9E23EB-4417-4858-BBA0-CFBD6286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3706</Words>
  <Characters>20385</Characters>
  <Application>Microsoft Office Word</Application>
  <DocSecurity>0</DocSecurity>
  <Lines>169</Lines>
  <Paragraphs>48</Paragraphs>
  <ScaleCrop>false</ScaleCrop>
  <Company/>
  <LinksUpToDate>false</LinksUpToDate>
  <CharactersWithSpaces>24043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dell</cp:lastModifiedBy>
  <cp:revision>6</cp:revision>
  <dcterms:created xsi:type="dcterms:W3CDTF">2026-06-19T22:28:00Z</dcterms:created>
  <dcterms:modified xsi:type="dcterms:W3CDTF">2026-06-20T11:54:00Z</dcterms:modified>
</cp:coreProperties>
</file>