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D2A347C" w14:textId="77777777" w:rsidR="0017428B" w:rsidRPr="00C830C3" w:rsidRDefault="0017428B" w:rsidP="00C830C3">
      <w:pPr>
        <w:spacing w:line="360" w:lineRule="auto"/>
        <w:rPr>
          <w:rFonts w:ascii="Arial" w:hAnsi="Arial" w:cs="Arial"/>
          <w:sz w:val="22"/>
          <w:szCs w:val="22"/>
          <w:lang w:val="en-US"/>
        </w:rPr>
      </w:pPr>
    </w:p>
    <w:p w14:paraId="272C3C56" w14:textId="77777777" w:rsidR="0017428B" w:rsidRPr="00C830C3" w:rsidRDefault="0017428B" w:rsidP="00C830C3">
      <w:pPr>
        <w:spacing w:line="360" w:lineRule="auto"/>
        <w:rPr>
          <w:rFonts w:ascii="Arial" w:hAnsi="Arial" w:cs="Arial"/>
          <w:sz w:val="22"/>
          <w:szCs w:val="22"/>
          <w:lang w:val="en-US"/>
        </w:rPr>
      </w:pPr>
    </w:p>
    <w:p w14:paraId="67136710"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b/>
          <w:bCs/>
          <w:sz w:val="22"/>
          <w:szCs w:val="22"/>
          <w:lang w:val="en-US"/>
        </w:rPr>
        <w:t>AI-Supported Early Detection of Burnout and Depression in Social Work Professionals:</w:t>
      </w:r>
    </w:p>
    <w:p w14:paraId="6E65B703"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b/>
          <w:bCs/>
          <w:sz w:val="22"/>
          <w:szCs w:val="22"/>
          <w:lang w:val="en-US"/>
        </w:rPr>
        <w:t/>
      </w:r>
    </w:p>
    <w:p w14:paraId="4F2AE500" w14:textId="77777777" w:rsidR="0017428B" w:rsidRPr="00C830C3" w:rsidRDefault="0017428B" w:rsidP="00C830C3">
      <w:pPr>
        <w:spacing w:line="360" w:lineRule="auto"/>
        <w:rPr>
          <w:rFonts w:ascii="Arial" w:hAnsi="Arial" w:cs="Arial"/>
          <w:sz w:val="22"/>
          <w:szCs w:val="22"/>
          <w:lang w:val="en-US"/>
        </w:rPr>
      </w:pPr>
    </w:p>
    <w:p w14:paraId="3BA01508"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
      </w:r>
    </w:p>
    <w:p w14:paraId="07539A31"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
      </w:r>
    </w:p>
    <w:p w14:paraId="2D4F0BD0" w14:textId="77777777" w:rsidR="0017428B" w:rsidRPr="00C830C3" w:rsidRDefault="0017428B" w:rsidP="00C830C3">
      <w:pPr>
        <w:spacing w:line="360" w:lineRule="auto"/>
        <w:rPr>
          <w:rFonts w:ascii="Arial" w:hAnsi="Arial" w:cs="Arial"/>
          <w:sz w:val="22"/>
          <w:szCs w:val="22"/>
          <w:lang w:val="en-US"/>
        </w:rPr>
      </w:pPr>
    </w:p>
    <w:p w14:paraId="262C1369" w14:textId="77777777" w:rsidR="0017428B" w:rsidRPr="00C830C3" w:rsidRDefault="0017428B" w:rsidP="00C830C3">
      <w:pPr>
        <w:spacing w:line="360" w:lineRule="auto"/>
        <w:rPr>
          <w:rFonts w:ascii="Arial" w:hAnsi="Arial" w:cs="Arial"/>
          <w:sz w:val="22"/>
          <w:szCs w:val="22"/>
          <w:lang w:val="en-US"/>
        </w:rPr>
      </w:pPr>
    </w:p>
    <w:p w14:paraId="03F16D54" w14:textId="77777777" w:rsidR="0017428B" w:rsidRPr="00C830C3" w:rsidRDefault="0017428B" w:rsidP="00C830C3">
      <w:pPr>
        <w:spacing w:line="360" w:lineRule="auto"/>
        <w:rPr>
          <w:rFonts w:ascii="Arial" w:hAnsi="Arial" w:cs="Arial"/>
          <w:sz w:val="22"/>
          <w:szCs w:val="22"/>
          <w:lang w:val="en-US"/>
        </w:rPr>
      </w:pPr>
    </w:p>
    <w:p w14:paraId="5FFBDC3F" w14:textId="77777777" w:rsidR="0017428B" w:rsidRPr="00C830C3" w:rsidRDefault="0017428B" w:rsidP="00C830C3">
      <w:pPr>
        <w:pageBreakBefore/>
        <w:spacing w:line="360" w:lineRule="auto"/>
        <w:rPr>
          <w:rFonts w:ascii="Arial" w:hAnsi="Arial" w:cs="Arial"/>
          <w:sz w:val="22"/>
          <w:szCs w:val="22"/>
          <w:lang w:val="en-US"/>
        </w:rPr>
      </w:pPr>
    </w:p>
    <w:p w14:paraId="5C3D4795" w14:textId="77777777" w:rsidR="0017428B" w:rsidRPr="00C830C3" w:rsidRDefault="00000000" w:rsidP="00C830C3">
      <w:pPr>
        <w:spacing w:before="480" w:line="360" w:lineRule="auto"/>
        <w:jc w:val="center"/>
        <w:rPr>
          <w:rFonts w:ascii="Arial" w:hAnsi="Arial" w:cs="Arial"/>
          <w:sz w:val="22"/>
          <w:szCs w:val="22"/>
          <w:lang w:val="en-US"/>
        </w:rPr>
      </w:pPr>
      <w:r w:rsidRPr="00C830C3">
        <w:rPr>
          <w:rFonts w:ascii="Arial" w:hAnsi="Arial" w:cs="Arial"/>
          <w:b/>
          <w:bCs/>
          <w:sz w:val="22"/>
          <w:szCs w:val="22"/>
          <w:lang w:val="en-US"/>
        </w:rPr>
        <w:t>Abstract</w:t>
      </w:r>
    </w:p>
    <w:p w14:paraId="35F01225"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b/>
          <w:bCs/>
          <w:sz w:val="22"/>
          <w:szCs w:val="22"/>
          <w:lang w:val="en-US"/>
        </w:rPr>
        <w:t>Background:</w:t>
      </w:r>
      <w:r w:rsidRPr="00C830C3">
        <w:rPr>
          <w:rFonts w:ascii="Arial" w:hAnsi="Arial" w:cs="Arial"/>
          <w:sz w:val="22"/>
          <w:szCs w:val="22"/>
          <w:lang w:val="en-US"/>
        </w:rPr>
        <w:t xml:space="preserve"> Social work professionals constitute one of the most psychologically vulnerable occupational groups, characterized by sustained exposure to emotionally demanding client interactions, chronic resource scarcity, and structural organizational pressures. Despite a substantial body of evidence linking occupational stressors to burnout and depression, the specific psychological mechanisms through which these outcomes arise—and the potential of artificial intelligence (AI) to support early detection and prevention—remain underexplored. </w:t>
      </w:r>
      <w:r w:rsidRPr="00C830C3">
        <w:rPr>
          <w:rFonts w:ascii="Arial" w:hAnsi="Arial" w:cs="Arial"/>
          <w:b/>
          <w:bCs/>
          <w:sz w:val="22"/>
          <w:szCs w:val="22"/>
          <w:lang w:val="en-US"/>
        </w:rPr>
        <w:t>Aim:</w:t>
      </w:r>
      <w:r w:rsidRPr="00C830C3">
        <w:rPr>
          <w:rFonts w:ascii="Arial" w:hAnsi="Arial" w:cs="Arial"/>
          <w:sz w:val="22"/>
          <w:szCs w:val="22"/>
          <w:lang w:val="en-US"/>
        </w:rPr>
        <w:t xml:space="preserve"> This study examined emotional labor, specifically surface acting, as a mediating mechanism linking effort-reward imbalance to burnout and depression among social work professionals, and derived implications for a conceptual AI-based monitoring framework. </w:t>
      </w:r>
      <w:r w:rsidRPr="00C830C3">
        <w:rPr>
          <w:rFonts w:ascii="Arial" w:hAnsi="Arial" w:cs="Arial"/>
          <w:b/>
          <w:bCs/>
          <w:sz w:val="22"/>
          <w:szCs w:val="22"/>
          <w:lang w:val="en-US"/>
        </w:rPr>
        <w:t>Method:</w:t>
      </w:r>
      <w:r w:rsidRPr="00C830C3">
        <w:rPr>
          <w:rFonts w:ascii="Arial" w:hAnsi="Arial" w:cs="Arial"/>
          <w:sz w:val="22"/>
          <w:szCs w:val="22"/>
          <w:lang w:val="en-US"/>
        </w:rPr>
        <w:t xml:space="preserve"> A cross-sectional online survey was conducted with </w:t>
      </w:r>
      <w:r w:rsidRPr="00C830C3">
        <w:rPr>
          <w:rFonts w:ascii="Arial" w:hAnsi="Arial" w:cs="Arial"/>
          <w:i/>
          <w:iCs/>
          <w:sz w:val="22"/>
          <w:szCs w:val="22"/>
          <w:lang w:val="en-US"/>
        </w:rPr>
        <w:t>N</w:t>
      </w:r>
      <w:r w:rsidRPr="00C830C3">
        <w:rPr>
          <w:rFonts w:ascii="Arial" w:hAnsi="Arial" w:cs="Arial"/>
          <w:sz w:val="22"/>
          <w:szCs w:val="22"/>
          <w:lang w:val="en-US"/>
        </w:rPr>
        <w:t xml:space="preserve"> = 312 qualified social work professionals in Germany (</w:t>
      </w:r>
      <w:r w:rsidRPr="00C830C3">
        <w:rPr>
          <w:rFonts w:ascii="Arial" w:hAnsi="Arial" w:cs="Arial"/>
          <w:i/>
          <w:iCs/>
          <w:sz w:val="22"/>
          <w:szCs w:val="22"/>
          <w:lang w:val="en-US"/>
        </w:rPr>
        <w:t>M</w:t>
      </w:r>
      <w:r w:rsidRPr="00C830C3">
        <w:rPr>
          <w:rFonts w:ascii="Arial" w:hAnsi="Arial" w:cs="Arial"/>
          <w:sz w:val="22"/>
          <w:szCs w:val="22"/>
          <w:lang w:val="en-US"/>
        </w:rPr>
        <w:t xml:space="preserve"> age = 34.7 years, </w:t>
      </w:r>
      <w:r w:rsidRPr="00C830C3">
        <w:rPr>
          <w:rFonts w:ascii="Arial" w:hAnsi="Arial" w:cs="Arial"/>
          <w:i/>
          <w:iCs/>
          <w:sz w:val="22"/>
          <w:szCs w:val="22"/>
          <w:lang w:val="en-US"/>
        </w:rPr>
        <w:t>SD</w:t>
      </w:r>
      <w:r w:rsidRPr="00C830C3">
        <w:rPr>
          <w:rFonts w:ascii="Arial" w:hAnsi="Arial" w:cs="Arial"/>
          <w:sz w:val="22"/>
          <w:szCs w:val="22"/>
          <w:lang w:val="en-US"/>
        </w:rPr>
        <w:t xml:space="preserve"> = 9.2; 68.6% female). Validated instruments included the Effort-Reward Imbalance Scale (Siegrist et al., 2004), the Maslach Burnout Inventory – Emotional Exhaustion subscale (Maslach et al., 1996), the Patient Health Questionnaire-9 (Kroenke et al., 2001), and the Surface Acting subscale of the Emotional Labor Scale (Grandey, 2003). </w:t>
      </w:r>
      <w:r w:rsidRPr="00C830C3">
        <w:rPr>
          <w:rFonts w:ascii="Arial" w:hAnsi="Arial" w:cs="Arial"/>
          <w:b/>
          <w:bCs/>
          <w:sz w:val="22"/>
          <w:szCs w:val="22"/>
          <w:lang w:val="en-US"/>
        </w:rPr>
        <w:t>Results:</w:t>
      </w:r>
      <w:r w:rsidRPr="00C830C3">
        <w:rPr>
          <w:rFonts w:ascii="Arial" w:hAnsi="Arial" w:cs="Arial"/>
          <w:sz w:val="22"/>
          <w:szCs w:val="22"/>
          <w:lang w:val="en-US"/>
        </w:rPr>
        <w:t xml:space="preserve"> Effort-reward imbalance significantly predicted both emotional exhaustion (</w:t>
      </w:r>
      <w:r w:rsidRPr="00C830C3">
        <w:rPr>
          <w:rFonts w:ascii="Arial" w:hAnsi="Arial" w:cs="Arial"/>
          <w:i/>
          <w:iCs/>
          <w:sz w:val="22"/>
          <w:szCs w:val="22"/>
          <w:lang w:val="en-US"/>
        </w:rPr>
        <w:t>β</w:t>
      </w:r>
      <w:r w:rsidRPr="00C830C3">
        <w:rPr>
          <w:rFonts w:ascii="Arial" w:hAnsi="Arial" w:cs="Arial"/>
          <w:sz w:val="22"/>
          <w:szCs w:val="22"/>
          <w:lang w:val="en-US"/>
        </w:rPr>
        <w:t xml:space="preserve"> = .48, </w:t>
      </w:r>
      <w:r w:rsidRPr="00C830C3">
        <w:rPr>
          <w:rFonts w:ascii="Arial" w:hAnsi="Arial" w:cs="Arial"/>
          <w:i/>
          <w:iCs/>
          <w:sz w:val="22"/>
          <w:szCs w:val="22"/>
          <w:lang w:val="en-US"/>
        </w:rPr>
        <w:t>p</w:t>
      </w:r>
      <w:r w:rsidRPr="00C830C3">
        <w:rPr>
          <w:rFonts w:ascii="Arial" w:hAnsi="Arial" w:cs="Arial"/>
          <w:sz w:val="22"/>
          <w:szCs w:val="22"/>
          <w:lang w:val="en-US"/>
        </w:rPr>
        <w:t xml:space="preserve"> &lt; .001, 95% CI [.38, .58]) and depression (</w:t>
      </w:r>
      <w:r w:rsidRPr="00C830C3">
        <w:rPr>
          <w:rFonts w:ascii="Arial" w:hAnsi="Arial" w:cs="Arial"/>
          <w:i/>
          <w:iCs/>
          <w:sz w:val="22"/>
          <w:szCs w:val="22"/>
          <w:lang w:val="en-US"/>
        </w:rPr>
        <w:t>β</w:t>
      </w:r>
      <w:r w:rsidRPr="00C830C3">
        <w:rPr>
          <w:rFonts w:ascii="Arial" w:hAnsi="Arial" w:cs="Arial"/>
          <w:sz w:val="22"/>
          <w:szCs w:val="22"/>
          <w:lang w:val="en-US"/>
        </w:rPr>
        <w:t xml:space="preserve"> = .42, </w:t>
      </w:r>
      <w:r w:rsidRPr="00C830C3">
        <w:rPr>
          <w:rFonts w:ascii="Arial" w:hAnsi="Arial" w:cs="Arial"/>
          <w:i/>
          <w:iCs/>
          <w:sz w:val="22"/>
          <w:szCs w:val="22"/>
          <w:lang w:val="en-US"/>
        </w:rPr>
        <w:t>p</w:t>
      </w:r>
      <w:r w:rsidRPr="00C830C3">
        <w:rPr>
          <w:rFonts w:ascii="Arial" w:hAnsi="Arial" w:cs="Arial"/>
          <w:sz w:val="22"/>
          <w:szCs w:val="22"/>
          <w:lang w:val="en-US"/>
        </w:rPr>
        <w:t xml:space="preserve"> &lt; .001, 95% CI [.31, .53]). Surface acting partially mediated both relationships (indirect effect on burnout: </w:t>
      </w:r>
      <w:r w:rsidRPr="00C830C3">
        <w:rPr>
          <w:rFonts w:ascii="Arial" w:hAnsi="Arial" w:cs="Arial"/>
          <w:i/>
          <w:iCs/>
          <w:sz w:val="22"/>
          <w:szCs w:val="22"/>
          <w:lang w:val="en-US"/>
        </w:rPr>
        <w:t>β</w:t>
      </w:r>
      <w:r w:rsidRPr="00C830C3">
        <w:rPr>
          <w:rFonts w:ascii="Arial" w:hAnsi="Arial" w:cs="Arial"/>
          <w:sz w:val="22"/>
          <w:szCs w:val="22"/>
          <w:lang w:val="en-US"/>
        </w:rPr>
        <w:t xml:space="preserve"> = .12, 95% CI [.07, .18]; indirect effect on depression: </w:t>
      </w:r>
      <w:r w:rsidRPr="00C830C3">
        <w:rPr>
          <w:rFonts w:ascii="Arial" w:hAnsi="Arial" w:cs="Arial"/>
          <w:i/>
          <w:iCs/>
          <w:sz w:val="22"/>
          <w:szCs w:val="22"/>
          <w:lang w:val="en-US"/>
        </w:rPr>
        <w:t>β</w:t>
      </w:r>
      <w:r w:rsidRPr="00C830C3">
        <w:rPr>
          <w:rFonts w:ascii="Arial" w:hAnsi="Arial" w:cs="Arial"/>
          <w:sz w:val="22"/>
          <w:szCs w:val="22"/>
          <w:lang w:val="en-US"/>
        </w:rPr>
        <w:t xml:space="preserve"> = .10, 95% CI [.06, .15]). </w:t>
      </w:r>
      <w:r w:rsidRPr="00C830C3">
        <w:rPr>
          <w:rFonts w:ascii="Arial" w:hAnsi="Arial" w:cs="Arial"/>
          <w:b/>
          <w:bCs/>
          <w:sz w:val="22"/>
          <w:szCs w:val="22"/>
          <w:lang w:val="en-US"/>
        </w:rPr>
        <w:t>Conclusion:</w:t>
      </w:r>
      <w:r w:rsidRPr="00C830C3">
        <w:rPr>
          <w:rFonts w:ascii="Arial" w:hAnsi="Arial" w:cs="Arial"/>
          <w:sz w:val="22"/>
          <w:szCs w:val="22"/>
          <w:lang w:val="en-US"/>
        </w:rPr>
        <w:t xml:space="preserve"> The findings underscore the pivotal role of emotional labor in the stress-health pathway of social work professionals and provide an empirical foundation for the development of AI-supported systems for early psychological risk detection, thereby opening transformative possibilities for occupational health prevention.</w:t>
      </w:r>
    </w:p>
    <w:p w14:paraId="55F4E850" w14:textId="77777777" w:rsidR="0017428B" w:rsidRPr="00C830C3" w:rsidRDefault="0017428B" w:rsidP="00C830C3">
      <w:pPr>
        <w:spacing w:line="360" w:lineRule="auto"/>
        <w:rPr>
          <w:rFonts w:ascii="Arial" w:hAnsi="Arial" w:cs="Arial"/>
          <w:sz w:val="22"/>
          <w:szCs w:val="22"/>
          <w:lang w:val="en-US"/>
        </w:rPr>
      </w:pPr>
    </w:p>
    <w:p w14:paraId="2F811ADB"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i/>
          <w:iCs/>
          <w:sz w:val="22"/>
          <w:szCs w:val="22"/>
          <w:lang w:val="en-US"/>
        </w:rPr>
        <w:t>Keywords:</w:t>
      </w:r>
      <w:r w:rsidRPr="00C830C3">
        <w:rPr>
          <w:rFonts w:ascii="Arial" w:hAnsi="Arial" w:cs="Arial"/>
          <w:sz w:val="22"/>
          <w:szCs w:val="22"/>
          <w:lang w:val="en-US"/>
        </w:rPr>
        <w:t xml:space="preserve"> burnout, depression, social work, emotional labor, artificial intelligence, early detection, effort-reward imbalance</w:t>
      </w:r>
    </w:p>
    <w:p w14:paraId="06F01C94" w14:textId="77777777" w:rsidR="0017428B" w:rsidRPr="00C830C3" w:rsidRDefault="0017428B" w:rsidP="00C830C3">
      <w:pPr>
        <w:pageBreakBefore/>
        <w:spacing w:line="360" w:lineRule="auto"/>
        <w:rPr>
          <w:rFonts w:ascii="Arial" w:hAnsi="Arial" w:cs="Arial"/>
          <w:sz w:val="22"/>
          <w:szCs w:val="22"/>
          <w:lang w:val="en-US"/>
        </w:rPr>
      </w:pPr>
    </w:p>
    <w:p w14:paraId="44850526" w14:textId="77777777" w:rsidR="0017428B" w:rsidRPr="00C830C3" w:rsidRDefault="00000000" w:rsidP="00C830C3">
      <w:pPr>
        <w:spacing w:before="480" w:line="360" w:lineRule="auto"/>
        <w:jc w:val="center"/>
        <w:rPr>
          <w:rFonts w:ascii="Arial" w:hAnsi="Arial" w:cs="Arial"/>
          <w:sz w:val="22"/>
          <w:szCs w:val="22"/>
          <w:lang w:val="en-US"/>
        </w:rPr>
      </w:pPr>
      <w:r w:rsidRPr="00C830C3">
        <w:rPr>
          <w:rFonts w:ascii="Arial" w:hAnsi="Arial" w:cs="Arial"/>
          <w:b/>
          <w:bCs/>
          <w:sz w:val="22"/>
          <w:szCs w:val="22"/>
          <w:lang w:val="en-US"/>
        </w:rPr>
        <w:t>1. Introduction</w:t>
      </w:r>
    </w:p>
    <w:p w14:paraId="3E23632A"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It is Tuesday afternoon in a community mental health center in Frankfurt. A social worker—seven years into a career she once described as her calling—sits across from a client in acute crisis, her third in five hours. Her voice is calm, her posture attentive, her affect carefully modulated to project both warmth and professional authority. Internally, however, she is running on empty: her concentration is fraying, a low-grade headache has settled behind her eyes, and for the second consecutive week, she has skipped lunch. She does not label what she is experiencing as burnout. She calls it Tuesday.</w:t>
      </w:r>
    </w:p>
    <w:p w14:paraId="6EA00C5C"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This vignette, while fictional in detail, reflects a structural reality that pervades the helping professions with particular severity in social work. The global prevalence of burnout among social workers is estimated at between 35% and 75% depending on the subsector, measurement instrument, and national context, with consistently higher rates in child protection, psychiatric aftercare, and migration counseling (Maslach &amp; Leiter, 2016; Kim &amp; Ji, 2009). Depression, frequently comorbid with professional burnout, affects approximately one in four social work practitioners at clinically significant levels across international studies (Siebert, 2004; Stalker et al., 2007). Yet early detection and prevention remain structurally underdeveloped: most social workers who experience clinically relevant psychological distress neither seek help proactively nor receive systematic organizational screening (Sousa et al., 2018).</w:t>
      </w:r>
    </w:p>
    <w:p w14:paraId="0D0717EA"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 German context intensifies this challenge considerably. The social work sector in Germany employs approximately 420,000 qualified professionals and faces structural pressures including chronic underfunding, high caseloads, and persistent undervaluation relative to comparable professions in education and healthcare (Bundesagentur für Arbeit, 2023). Occupational health surveillance is largely absent or inconsistently implemented at the organizational level, and self-reporting of mental health difficulties carries strong stigma within a professional culture that implicitly demands resilience and self-sacrifice (Pazer, 2024a). These conditions converge to produce a workforce highly susceptible to undetected psychological deterioration over extended time periods—with individual, organizational, and societal costs that remain difficult to quantify precisely because the deterioration itself so often goes undetected.</w:t>
      </w:r>
    </w:p>
    <w:p w14:paraId="642D3476"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 xml:space="preserve">Understanding the specific psychological mechanisms through which occupational stressors translate into burnout and depression in this population is therefore a matter of both theoretical importance and urgent practical consequence. A substantial body of research has established effort-reward imbalance (ERI)—the mismatch between subjectively experienced work </w:t>
      </w:r>
      <w:r w:rsidRPr="00C830C3">
        <w:rPr>
          <w:rFonts w:ascii="Arial" w:hAnsi="Arial" w:cs="Arial"/>
          <w:sz w:val="22"/>
          <w:szCs w:val="22"/>
          <w:lang w:val="en-US"/>
        </w:rPr>
        <w:lastRenderedPageBreak/>
        <w:t>demands and perceived occupational rewards—as a central predictor of burnout and poor mental health among caring professionals (Siegrist, 1996; van Vegchel et al., 2005). However, comparatively less attention has been directed toward the mediating mechanisms through which this imbalance produces psychological harm. Emotional labor—the management of expressed emotions to fulfill occupational role requirements, as theorized by Hochschild (1983) and elaborated within the organizational psychology literature by Grandey (2000) and Morris and Feldman (1996)—represents a theoretically compelling and empirically underexplored candidate mediator in the social work context, given the constitutive centrality of relational emotional performance to social work professional practice.</w:t>
      </w:r>
    </w:p>
    <w:p w14:paraId="35428582"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Moreover, a significant and structurally underexamined research gap concerns the integration of emerging artificial intelligence (AI) technologies into occupational health prevention frameworks for the helping professions. Recent years have witnessed an accelerating development of AI applications capable of detecting psychological distress through behavioral biomarkers, natural language patterns, speech analysis, and physiological indicators (Luxton, 2020; Torous et al., 2020). These developments open novel possibilities for continuous, low-threshold, and stigma-reducing monitoring of occupational mental health, yet their application to the specific context of social work—and the empirical evidence base required to inform such systems—remains at a nascent stage.</w:t>
      </w:r>
    </w:p>
    <w:p w14:paraId="5408A29E"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Against this backdrop, the present study pursues the following central research question: To what extent does surface acting as a form of emotional labor mediate the relationship between effort-reward imbalance and the dual outcomes of burnout and depression among German social work professionals? The answer to this question carries direct implications not only for theoretical models of occupational health in the helping professions, but for the evidence-based design of AI-supported early detection systems that may represent a transformative intervention point in the prevention of professional psychological deterioration. By situating empirical mediation analysis within a broader discourse on technological prevention architectures, this article aims to contribute simultaneously to occupational health psychology, social work research, and applied AI scholarship.</w:t>
      </w:r>
    </w:p>
    <w:p w14:paraId="6A5371CB" w14:textId="77777777" w:rsidR="0017428B" w:rsidRPr="00C830C3" w:rsidRDefault="00000000" w:rsidP="00C830C3">
      <w:pPr>
        <w:spacing w:before="480" w:line="360" w:lineRule="auto"/>
        <w:jc w:val="center"/>
        <w:rPr>
          <w:rFonts w:ascii="Arial" w:hAnsi="Arial" w:cs="Arial"/>
          <w:sz w:val="22"/>
          <w:szCs w:val="22"/>
          <w:lang w:val="en-US"/>
        </w:rPr>
      </w:pPr>
      <w:r w:rsidRPr="00C830C3">
        <w:rPr>
          <w:rFonts w:ascii="Arial" w:hAnsi="Arial" w:cs="Arial"/>
          <w:b/>
          <w:bCs/>
          <w:sz w:val="22"/>
          <w:szCs w:val="22"/>
          <w:lang w:val="en-US"/>
        </w:rPr>
        <w:t>2. Theoretical Background</w:t>
      </w:r>
    </w:p>
    <w:p w14:paraId="1E417641"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2.1 Burnout in Social Work: Definition, Prevalence, and the Job Demands-Resources Model</w:t>
      </w:r>
    </w:p>
    <w:p w14:paraId="5062589B"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lastRenderedPageBreak/>
        <w:t>The conceptualization of burnout has undergone considerable theoretical refinement since Freudenberger's (1974) initial description of the phenomenon among volunteer workers in alternative care settings. The dominant framework in contemporary research remains Maslach and Jackson's (1981) tridimensional model, which defines burnout as a syndrome constituted by emotional exhaustion, depersonalization, and a reduced sense of personal accomplishment. Emotional exhaustion—the depletion of the emotional resources required for sustained empathic engagement—occupies the central position in this model as the primary driver from which depersonalization and reduced accomplishment are theorized to follow (Maslach et al., 1996). For social work professionals, whose occupational role is constitutively defined by relational engagement with clients in states of vulnerability, distress, or systemic exclusion, emotional exhaustion carries both phenomenological and functional significance of particular gravity.</w:t>
      </w:r>
    </w:p>
    <w:p w14:paraId="67EE069A"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 Job Demands-Resources (JD-R) model developed by Demerouti et al. (2001) and subsequently extended by Bakker and Demerouti (2017) offers the most comprehensive structural account of burnout as an organizational phenomenon. The model posits two fundamental processes: a health-impairment process, through which chronic exposure to demanding job characteristics without adequate resources depletes psychological capital and produces burnout; and a motivational process, through which resources function as buffers and enablers of engagement. In the social work context, demands include emotional intensity, role ambiguity, high caseload, and secondary traumatic stress, while resources typically encompass supervisory support, autonomy, and institutional recognition—resources that are systematically undersupplied in many social work organizations (Bakker et al., 2004; Hobfoll, 2001). The consistent finding that subjective appraisal of demand-resource imbalance predicts burnout outcomes over and above objective workload indicators suggests that the psychological interpretation of workplace conditions, rather than their mere objective presence, constitutes the operative mechanism (van Vegchel et al., 2005; Alarcon, 2011).</w:t>
      </w:r>
    </w:p>
    <w:p w14:paraId="3180290C"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2.2 Depression as a Comorbid Condition in Occupational Health</w:t>
      </w:r>
    </w:p>
    <w:p w14:paraId="1CB388CE"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 xml:space="preserve">The conceptual and nosological relationship between burnout and depression has been a subject of ongoing theoretical and empirical debate. Whereas early contributions by Maslach and colleagues positioned burnout as a work-specific syndrome categorically distinct from the generalized symptomatology of depressive disorder, subsequent research has challenged this differentiation on both empirical and theoretical grounds (Bianchi et al., 2015; Schonfeld &amp; Bianchi, 2016). Meta-analyses examining the overlap between validated burnout and depression measures consistently report correlation coefficients in the range of .51 to .68, suggesting </w:t>
      </w:r>
      <w:r w:rsidRPr="00C830C3">
        <w:rPr>
          <w:rFonts w:ascii="Arial" w:hAnsi="Arial" w:cs="Arial"/>
          <w:sz w:val="22"/>
          <w:szCs w:val="22"/>
          <w:lang w:val="en-US"/>
        </w:rPr>
        <w:lastRenderedPageBreak/>
        <w:t>substantial shared variance while not precluding meaningful construct distinction (Koutsimani et al., 2019). The conceptualization of the relationship between burnout and depression as sequential rather than synonymous—with burnout functioning as a proximal antecedent of clinical depression when sustained without intervention—has received empirical support from prospective longitudinal investigations.</w:t>
      </w:r>
    </w:p>
    <w:p w14:paraId="2E93F957"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From a clinical standpoint, the comorbidity of burnout and depression in social work populations is of significant epidemiological and practical concern. Siebert's (2004) survey of NASW members in the United States found that 19% reported a personal history of clinical depression, with notably elevated rates among those working in high-intensity subsectors. In the German context, Lehr et al. (2010) documented that helping professionals with high burnout scores had a substantially elevated risk of a subsequent depressive episode within a 12-month period. The trajectory of professional mental health deterioration is theorized to operate via several mechanistic pathways: the erosion of cognitive resources reduces affective regulatory capacity; the progressive withdrawal from meaningful work eliminates sources of positive reinforcement; and the social isolation frequently accompanying advanced burnout deprives individuals of the interpersonal support that constitutes a principal buffer against depressive onset (Nolen-Hoeksema et al., 2008; Hakanen &amp; Schaufeli, 2012). These considerations underscore the scientific and practical value of assessing depression as a distinct, clinically validated outcome measure alongside burnout in high-risk occupational research.</w:t>
      </w:r>
    </w:p>
    <w:p w14:paraId="7DD1426A"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2.3 Emotional Labor as a Mechanism of Psychological Depletion</w:t>
      </w:r>
    </w:p>
    <w:p w14:paraId="5FEDC51B"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 concept of emotional labor, as theoretically introduced by Hochschild (1983) in her seminal sociological study of airline attendants, refers to the management of felt and displayed emotions in accordance with occupational role requirements—the production of emotional performances as a dimension of professional service. Hochschild distinguished two fundamental regulatory strategies: surface acting, in which the worker alters external emotional expression without modifying the underlying affective state (changing the "mask" without changing the "face"); and deep acting, in which the worker engages in active internal psychological work to genuinely modify subjective feeling states in alignment with role demands. The psychological consequences of these strategies differ substantially: surface acting has been consistently and robustly associated with emotional exhaustion, depersonalization, and poor subjective wellbeing, while deep acting—requiring greater cognitive effort but producing more authentic alignment—shows more nuanced and context-dependent associations with health outcomes (Grandey, 2003; Hülsheger &amp; Schewe, 2011).</w:t>
      </w:r>
    </w:p>
    <w:p w14:paraId="3FAF8C87"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lastRenderedPageBreak/>
        <w:t>The theoretical link between surface acting and burnout operates most coherently through the lens of the resource depletion perspective articulated by Grandey (2000) and subsequently elaborated in the Conservation of Resources (COR) framework of Hobfoll (1989, 2001). Surface acting places sustained demands on self-regulatory resources—particularly attentional control and emotional suppression—that share a limited pool with the resources required for empathic attunement, reflective practice, and client-centered relationship maintenance. When the performance of emotional labor is chronic, intensive, and inadequately resourced, the resulting depletion of self-regulatory capacity creates conditions for emotional exhaustion that directly parallel the central dimension of burnout as defined by Maslach and colleagues (Hülsheger &amp; Schewe, 2011; Zapf, 2002). In the specific context of social work, emotional labor occupies a particularly complex and structurally inescapable position: the emotional performances required of social workers are not primarily governed by organizational display rules aimed at customer satisfaction, but by normative professional ethics of empathy, non-judgment, and client dignity that constitute the ethical foundation of the discipline (Dominelli, 2014), positioning surface acting not as an occasional adaptive strategy but as a structurally enforced coping mechanism under conditions of resource scarcity.</w:t>
      </w:r>
    </w:p>
    <w:p w14:paraId="4CAEEA37"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2.4 Artificial Intelligence in Occupational Mental Health Monitoring</w:t>
      </w:r>
    </w:p>
    <w:p w14:paraId="6D5C0B48"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 application of artificial intelligence methodologies to the early detection of psychological distress represents one of the most rapidly developing and consequential frontiers at the intersection of technology, psychology, and public health. Broadly defined, AI-based mental health monitoring systems leverage machine learning algorithms to identify patterns in behavioral, physiological, linguistic, and temporal data that reliably precede or co-occur with clinically significant psychological deterioration (Luxton, 2020; Torous et al., 2020). Existing applications range from passive monitoring systems that analyze smartphone usage patterns, keystroke dynamics, and social media behavior (Chow et al., 2017; Saeb et al., 2015), to active systems that employ natural language processing (NLP) to analyze the semantic and affective content of written or spoken professional output (Coppersmith et al., 2015; Guntuku et al., 2017), to multimodal integrative platforms combining physiological sensor data with validated self-report instruments in real-time feedback architectures (Mohr et al., 2017).</w:t>
      </w:r>
    </w:p>
    <w:p w14:paraId="7F29B80C"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 xml:space="preserve">The theoretical promise of AI-based occupational health monitoring for high-risk professional groups such as social workers lies in several mutually reinforcing advantages. Their capacity for continuous, unobtrusive monitoring enables the detection of gradual deterioration trajectories that periodic clinical assessment cannot capture. Their potential for personalization </w:t>
      </w:r>
      <w:r w:rsidRPr="00C830C3">
        <w:rPr>
          <w:rFonts w:ascii="Arial" w:hAnsi="Arial" w:cs="Arial"/>
          <w:sz w:val="22"/>
          <w:szCs w:val="22"/>
          <w:lang w:val="en-US"/>
        </w:rPr>
        <w:lastRenderedPageBreak/>
        <w:t>through adaptive algorithms addresses the well-documented heterogeneity of burnout and depression presentations across individuals and organizational contexts. And their capacity for immediate, algorithmically triggered psychoeducational feedback introduces a novel point of preventive contact that does not require clinical consultation—a particularly significant advantage in professional cultures characterized by help-seeking stigma (Luxton, 2020; Pazer, 2024b). However, the evidence base for AI-based mental health monitoring in occupational contexts remains nascent, and the specific empirical parameters required to inform responsible system design—including which validated psychological constructs most effectively serve as early warning indicators—require systematic investigation. The present study addresses this gap empirically.</w:t>
      </w:r>
    </w:p>
    <w:p w14:paraId="7E869DF7"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2.5 Research Hypotheses</w:t>
      </w:r>
    </w:p>
    <w:p w14:paraId="0D670572"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 xml:space="preserve">Drawing on the theoretical foundations established in the preceding subsections, the following hypotheses are advanced for empirical examination. </w:t>
      </w:r>
      <w:r w:rsidRPr="00C830C3">
        <w:rPr>
          <w:rFonts w:ascii="Arial" w:hAnsi="Arial" w:cs="Arial"/>
          <w:i/>
          <w:iCs/>
          <w:sz w:val="22"/>
          <w:szCs w:val="22"/>
          <w:lang w:val="en-US"/>
        </w:rPr>
        <w:t>H1:</w:t>
      </w:r>
      <w:r w:rsidRPr="00C830C3">
        <w:rPr>
          <w:rFonts w:ascii="Arial" w:hAnsi="Arial" w:cs="Arial"/>
          <w:sz w:val="22"/>
          <w:szCs w:val="22"/>
          <w:lang w:val="en-US"/>
        </w:rPr>
        <w:t xml:space="preserve"> Effort-reward imbalance will positively and significantly predict emotional exhaustion (H1a) and depressive symptomatology (H1b) among social work professionals. </w:t>
      </w:r>
      <w:r w:rsidRPr="00C830C3">
        <w:rPr>
          <w:rFonts w:ascii="Arial" w:hAnsi="Arial" w:cs="Arial"/>
          <w:i/>
          <w:iCs/>
          <w:sz w:val="22"/>
          <w:szCs w:val="22"/>
          <w:lang w:val="en-US"/>
        </w:rPr>
        <w:t>H2:</w:t>
      </w:r>
      <w:r w:rsidRPr="00C830C3">
        <w:rPr>
          <w:rFonts w:ascii="Arial" w:hAnsi="Arial" w:cs="Arial"/>
          <w:sz w:val="22"/>
          <w:szCs w:val="22"/>
          <w:lang w:val="en-US"/>
        </w:rPr>
        <w:t xml:space="preserve"> Surface acting will function as a partial mediator of the relationship between effort-reward imbalance and emotional exhaustion (H2a) and between effort-reward imbalance and depression (H2b), such that the bootstrap confidence interval for the indirect effect excludes zero for both outcomes. </w:t>
      </w:r>
      <w:r w:rsidRPr="00C830C3">
        <w:rPr>
          <w:rFonts w:ascii="Arial" w:hAnsi="Arial" w:cs="Arial"/>
          <w:i/>
          <w:iCs/>
          <w:sz w:val="22"/>
          <w:szCs w:val="22"/>
          <w:lang w:val="en-US"/>
        </w:rPr>
        <w:t>H3:</w:t>
      </w:r>
      <w:r w:rsidRPr="00C830C3">
        <w:rPr>
          <w:rFonts w:ascii="Arial" w:hAnsi="Arial" w:cs="Arial"/>
          <w:sz w:val="22"/>
          <w:szCs w:val="22"/>
          <w:lang w:val="en-US"/>
        </w:rPr>
        <w:t xml:space="preserve"> The empirically identified mediation pathways will provide a theoretically coherent and empirically defensible foundation for the design of AI-supported early detection systems targeting occupationally specific psychological risk indicators in social work.</w:t>
      </w:r>
    </w:p>
    <w:p w14:paraId="44488B81" w14:textId="77777777" w:rsidR="0017428B" w:rsidRPr="00C830C3" w:rsidRDefault="00000000" w:rsidP="00C830C3">
      <w:pPr>
        <w:spacing w:before="480" w:line="360" w:lineRule="auto"/>
        <w:jc w:val="center"/>
        <w:rPr>
          <w:rFonts w:ascii="Arial" w:hAnsi="Arial" w:cs="Arial"/>
          <w:sz w:val="22"/>
          <w:szCs w:val="22"/>
          <w:lang w:val="en-US"/>
        </w:rPr>
      </w:pPr>
      <w:r w:rsidRPr="00C830C3">
        <w:rPr>
          <w:rFonts w:ascii="Arial" w:hAnsi="Arial" w:cs="Arial"/>
          <w:b/>
          <w:bCs/>
          <w:sz w:val="22"/>
          <w:szCs w:val="22"/>
          <w:lang w:val="en-US"/>
        </w:rPr>
        <w:t>3. Method</w:t>
      </w:r>
    </w:p>
    <w:p w14:paraId="2E1CAA55"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3.1 Study Design</w:t>
      </w:r>
    </w:p>
    <w:p w14:paraId="1CBF49E2"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 present investigation employed a cross-sectional, correlational online survey design. This design was selected as methodologically appropriate for the initial examination of the hypothesized mediation pathways, providing the statistical power required for path-analytic procedures while enabling efficient, platform-independent data collection from a geographically dispersed professional population. The inherent limitations of cross-sectional designs with respect to causal inference and temporal precedence are acknowledged and addressed systematically in Section 5.3 of this article.</w:t>
      </w:r>
    </w:p>
    <w:p w14:paraId="7182361F"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lastRenderedPageBreak/>
        <w:t>3.2 Sample and Recruitment</w:t>
      </w:r>
    </w:p>
    <w:p w14:paraId="2B6326FE"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 xml:space="preserve">Participants were recruited through purposive professional network sampling during the period from October to December 2023. Invitations were distributed via the German Professional Association of Social Work (DBSH) regional networks, occupational health newsletters of federal state social service authorities, and professional networking platforms targeting qualified social workers. Eligibility required current employment in a qualified social work role (state-recognized </w:t>
      </w:r>
      <w:r w:rsidRPr="00C830C3">
        <w:rPr>
          <w:rFonts w:ascii="Arial" w:hAnsi="Arial" w:cs="Arial"/>
          <w:i/>
          <w:iCs/>
          <w:sz w:val="22"/>
          <w:szCs w:val="22"/>
          <w:lang w:val="en-US"/>
        </w:rPr>
        <w:t>Sozialarbeiter/in</w:t>
      </w:r>
      <w:r w:rsidRPr="00C830C3">
        <w:rPr>
          <w:rFonts w:ascii="Arial" w:hAnsi="Arial" w:cs="Arial"/>
          <w:sz w:val="22"/>
          <w:szCs w:val="22"/>
          <w:lang w:val="en-US"/>
        </w:rPr>
        <w:t xml:space="preserve"> or </w:t>
      </w:r>
      <w:r w:rsidRPr="00C830C3">
        <w:rPr>
          <w:rFonts w:ascii="Arial" w:hAnsi="Arial" w:cs="Arial"/>
          <w:i/>
          <w:iCs/>
          <w:sz w:val="22"/>
          <w:szCs w:val="22"/>
          <w:lang w:val="en-US"/>
        </w:rPr>
        <w:t>Sozialpädagoge/in</w:t>
      </w:r>
      <w:r w:rsidRPr="00C830C3">
        <w:rPr>
          <w:rFonts w:ascii="Arial" w:hAnsi="Arial" w:cs="Arial"/>
          <w:sz w:val="22"/>
          <w:szCs w:val="22"/>
          <w:lang w:val="en-US"/>
        </w:rPr>
        <w:t>) and a minimum of six months of continuous professional practice. Participants were informed of voluntary participation, anonymity, data protection compliance with GDPR regulations, and the right to withdraw at any time without disadvantage.</w:t>
      </w:r>
    </w:p>
    <w:p w14:paraId="15DBAF20"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 xml:space="preserve">The final analytic sample comprised </w:t>
      </w:r>
      <w:r w:rsidRPr="00C830C3">
        <w:rPr>
          <w:rFonts w:ascii="Arial" w:hAnsi="Arial" w:cs="Arial"/>
          <w:i/>
          <w:iCs/>
          <w:sz w:val="22"/>
          <w:szCs w:val="22"/>
          <w:lang w:val="en-US"/>
        </w:rPr>
        <w:t>N</w:t>
      </w:r>
      <w:r w:rsidRPr="00C830C3">
        <w:rPr>
          <w:rFonts w:ascii="Arial" w:hAnsi="Arial" w:cs="Arial"/>
          <w:sz w:val="22"/>
          <w:szCs w:val="22"/>
          <w:lang w:val="en-US"/>
        </w:rPr>
        <w:t xml:space="preserve"> = 312 participants (68.6% female, 29.8% male, 1.6% non-binary or unspecified; </w:t>
      </w:r>
      <w:r w:rsidRPr="00C830C3">
        <w:rPr>
          <w:rFonts w:ascii="Arial" w:hAnsi="Arial" w:cs="Arial"/>
          <w:i/>
          <w:iCs/>
          <w:sz w:val="22"/>
          <w:szCs w:val="22"/>
          <w:lang w:val="en-US"/>
        </w:rPr>
        <w:t>M</w:t>
      </w:r>
      <w:r w:rsidRPr="00C830C3">
        <w:rPr>
          <w:rFonts w:ascii="Arial" w:hAnsi="Arial" w:cs="Arial"/>
          <w:sz w:val="22"/>
          <w:szCs w:val="22"/>
          <w:lang w:val="en-US"/>
        </w:rPr>
        <w:t xml:space="preserve"> age = 34.7 years, </w:t>
      </w:r>
      <w:r w:rsidRPr="00C830C3">
        <w:rPr>
          <w:rFonts w:ascii="Arial" w:hAnsi="Arial" w:cs="Arial"/>
          <w:i/>
          <w:iCs/>
          <w:sz w:val="22"/>
          <w:szCs w:val="22"/>
          <w:lang w:val="en-US"/>
        </w:rPr>
        <w:t>SD</w:t>
      </w:r>
      <w:r w:rsidRPr="00C830C3">
        <w:rPr>
          <w:rFonts w:ascii="Arial" w:hAnsi="Arial" w:cs="Arial"/>
          <w:sz w:val="22"/>
          <w:szCs w:val="22"/>
          <w:lang w:val="en-US"/>
        </w:rPr>
        <w:t xml:space="preserve"> = 9.2, range 22–61). Mean weekly working hours were </w:t>
      </w:r>
      <w:r w:rsidRPr="00C830C3">
        <w:rPr>
          <w:rFonts w:ascii="Arial" w:hAnsi="Arial" w:cs="Arial"/>
          <w:i/>
          <w:iCs/>
          <w:sz w:val="22"/>
          <w:szCs w:val="22"/>
          <w:lang w:val="en-US"/>
        </w:rPr>
        <w:t>M</w:t>
      </w:r>
      <w:r w:rsidRPr="00C830C3">
        <w:rPr>
          <w:rFonts w:ascii="Arial" w:hAnsi="Arial" w:cs="Arial"/>
          <w:sz w:val="22"/>
          <w:szCs w:val="22"/>
          <w:lang w:val="en-US"/>
        </w:rPr>
        <w:t xml:space="preserve"> = 37.4 (</w:t>
      </w:r>
      <w:r w:rsidRPr="00C830C3">
        <w:rPr>
          <w:rFonts w:ascii="Arial" w:hAnsi="Arial" w:cs="Arial"/>
          <w:i/>
          <w:iCs/>
          <w:sz w:val="22"/>
          <w:szCs w:val="22"/>
          <w:lang w:val="en-US"/>
        </w:rPr>
        <w:t>SD</w:t>
      </w:r>
      <w:r w:rsidRPr="00C830C3">
        <w:rPr>
          <w:rFonts w:ascii="Arial" w:hAnsi="Arial" w:cs="Arial"/>
          <w:sz w:val="22"/>
          <w:szCs w:val="22"/>
          <w:lang w:val="en-US"/>
        </w:rPr>
        <w:t xml:space="preserve"> = 5.6). The majority held a Bachelor's degree in Social Work (71.5%), with 28.5% holding a Master's degree. Occupational subsectors represented included child and youth welfare (38.7%), psychiatric social work (17.9%), addiction counseling (14.1%), migration and integration services (12.8%), and other fields (16.5%). Estimated survey completion time was approximately 18 minutes.</w:t>
      </w:r>
    </w:p>
    <w:p w14:paraId="27DA11BA"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3.3 Measures</w:t>
      </w:r>
    </w:p>
    <w:p w14:paraId="73E6E1C3"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i/>
          <w:iCs/>
          <w:sz w:val="22"/>
          <w:szCs w:val="22"/>
          <w:lang w:val="en-US"/>
        </w:rPr>
        <w:t>Effort-Reward Imbalance (ERI).</w:t>
      </w:r>
      <w:r w:rsidRPr="00C830C3">
        <w:rPr>
          <w:rFonts w:ascii="Arial" w:hAnsi="Arial" w:cs="Arial"/>
          <w:sz w:val="22"/>
          <w:szCs w:val="22"/>
          <w:lang w:val="en-US"/>
        </w:rPr>
        <w:t xml:space="preserve"> The Effort-Reward Imbalance Scale (Siegrist et al., 2004) was employed to assess the subjective balance between perceived occupational demands and experienced rewards. The instrument consists of 16 items rated on a five-point Likert scale (1 = </w:t>
      </w:r>
      <w:r w:rsidRPr="00C830C3">
        <w:rPr>
          <w:rFonts w:ascii="Arial" w:hAnsi="Arial" w:cs="Arial"/>
          <w:i/>
          <w:iCs/>
          <w:sz w:val="22"/>
          <w:szCs w:val="22"/>
          <w:lang w:val="en-US"/>
        </w:rPr>
        <w:t>strongly disagree</w:t>
      </w:r>
      <w:r w:rsidRPr="00C830C3">
        <w:rPr>
          <w:rFonts w:ascii="Arial" w:hAnsi="Arial" w:cs="Arial"/>
          <w:sz w:val="22"/>
          <w:szCs w:val="22"/>
          <w:lang w:val="en-US"/>
        </w:rPr>
        <w:t xml:space="preserve"> to 5 = </w:t>
      </w:r>
      <w:r w:rsidRPr="00C830C3">
        <w:rPr>
          <w:rFonts w:ascii="Arial" w:hAnsi="Arial" w:cs="Arial"/>
          <w:i/>
          <w:iCs/>
          <w:sz w:val="22"/>
          <w:szCs w:val="22"/>
          <w:lang w:val="en-US"/>
        </w:rPr>
        <w:t>strongly agree</w:t>
      </w:r>
      <w:r w:rsidRPr="00C830C3">
        <w:rPr>
          <w:rFonts w:ascii="Arial" w:hAnsi="Arial" w:cs="Arial"/>
          <w:sz w:val="22"/>
          <w:szCs w:val="22"/>
          <w:lang w:val="en-US"/>
        </w:rPr>
        <w:t>), generating an ERI ratio through the division of effort scores by reward scores weighted for item number; values exceeding 1.0 indicate demand-reward imbalance. A sample item from the effort subscale is: "I have constant time pressure due to a heavy work load." Internal consistency in the present sample was excellent (</w:t>
      </w:r>
      <w:r w:rsidRPr="00C830C3">
        <w:rPr>
          <w:rFonts w:ascii="Arial" w:hAnsi="Arial" w:cs="Arial"/>
          <w:i/>
          <w:iCs/>
          <w:sz w:val="22"/>
          <w:szCs w:val="22"/>
          <w:lang w:val="en-US"/>
        </w:rPr>
        <w:t>α</w:t>
      </w:r>
      <w:r w:rsidRPr="00C830C3">
        <w:rPr>
          <w:rFonts w:ascii="Arial" w:hAnsi="Arial" w:cs="Arial"/>
          <w:sz w:val="22"/>
          <w:szCs w:val="22"/>
          <w:lang w:val="en-US"/>
        </w:rPr>
        <w:t xml:space="preserve"> = .84).</w:t>
      </w:r>
    </w:p>
    <w:p w14:paraId="7B6FE3D5"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i/>
          <w:iCs/>
          <w:sz w:val="22"/>
          <w:szCs w:val="22"/>
          <w:lang w:val="en-US"/>
        </w:rPr>
        <w:t>Emotional Exhaustion (MBI-EE).</w:t>
      </w:r>
      <w:r w:rsidRPr="00C830C3">
        <w:rPr>
          <w:rFonts w:ascii="Arial" w:hAnsi="Arial" w:cs="Arial"/>
          <w:sz w:val="22"/>
          <w:szCs w:val="22"/>
          <w:lang w:val="en-US"/>
        </w:rPr>
        <w:t xml:space="preserve"> Burnout was operationalized through the Emotional Exhaustion subscale of the Maslach Burnout Inventory (Maslach et al., 1996), consisting of nine items rated on a seven-point frequency scale (0 = </w:t>
      </w:r>
      <w:r w:rsidRPr="00C830C3">
        <w:rPr>
          <w:rFonts w:ascii="Arial" w:hAnsi="Arial" w:cs="Arial"/>
          <w:i/>
          <w:iCs/>
          <w:sz w:val="22"/>
          <w:szCs w:val="22"/>
          <w:lang w:val="en-US"/>
        </w:rPr>
        <w:t>never</w:t>
      </w:r>
      <w:r w:rsidRPr="00C830C3">
        <w:rPr>
          <w:rFonts w:ascii="Arial" w:hAnsi="Arial" w:cs="Arial"/>
          <w:sz w:val="22"/>
          <w:szCs w:val="22"/>
          <w:lang w:val="en-US"/>
        </w:rPr>
        <w:t xml:space="preserve"> to 6 = </w:t>
      </w:r>
      <w:r w:rsidRPr="00C830C3">
        <w:rPr>
          <w:rFonts w:ascii="Arial" w:hAnsi="Arial" w:cs="Arial"/>
          <w:i/>
          <w:iCs/>
          <w:sz w:val="22"/>
          <w:szCs w:val="22"/>
          <w:lang w:val="en-US"/>
        </w:rPr>
        <w:t>every day</w:t>
      </w:r>
      <w:r w:rsidRPr="00C830C3">
        <w:rPr>
          <w:rFonts w:ascii="Arial" w:hAnsi="Arial" w:cs="Arial"/>
          <w:sz w:val="22"/>
          <w:szCs w:val="22"/>
          <w:lang w:val="en-US"/>
        </w:rPr>
        <w:t>). Higher scores indicate greater emotional exhaustion. A sample item is: "I feel emotionally drained from my work." Internal consistency in the present sample was excellent (</w:t>
      </w:r>
      <w:r w:rsidRPr="00C830C3">
        <w:rPr>
          <w:rFonts w:ascii="Arial" w:hAnsi="Arial" w:cs="Arial"/>
          <w:i/>
          <w:iCs/>
          <w:sz w:val="22"/>
          <w:szCs w:val="22"/>
          <w:lang w:val="en-US"/>
        </w:rPr>
        <w:t>α</w:t>
      </w:r>
      <w:r w:rsidRPr="00C830C3">
        <w:rPr>
          <w:rFonts w:ascii="Arial" w:hAnsi="Arial" w:cs="Arial"/>
          <w:sz w:val="22"/>
          <w:szCs w:val="22"/>
          <w:lang w:val="en-US"/>
        </w:rPr>
        <w:t xml:space="preserve"> = .89).</w:t>
      </w:r>
    </w:p>
    <w:p w14:paraId="0E845519"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i/>
          <w:iCs/>
          <w:sz w:val="22"/>
          <w:szCs w:val="22"/>
          <w:lang w:val="en-US"/>
        </w:rPr>
        <w:t>Depression (PHQ-9).</w:t>
      </w:r>
      <w:r w:rsidRPr="00C830C3">
        <w:rPr>
          <w:rFonts w:ascii="Arial" w:hAnsi="Arial" w:cs="Arial"/>
          <w:sz w:val="22"/>
          <w:szCs w:val="22"/>
          <w:lang w:val="en-US"/>
        </w:rPr>
        <w:t xml:space="preserve"> Depressive symptomatology was assessed using the Patient Health Questionnaire-9 (Kroenke et al., 2001), a nine-item validated screening instrument for the detection of clinically significant depression. Items are rated on a four-point frequency scale (0 = </w:t>
      </w:r>
      <w:r w:rsidRPr="00C830C3">
        <w:rPr>
          <w:rFonts w:ascii="Arial" w:hAnsi="Arial" w:cs="Arial"/>
          <w:i/>
          <w:iCs/>
          <w:sz w:val="22"/>
          <w:szCs w:val="22"/>
          <w:lang w:val="en-US"/>
        </w:rPr>
        <w:t>not at all</w:t>
      </w:r>
      <w:r w:rsidRPr="00C830C3">
        <w:rPr>
          <w:rFonts w:ascii="Arial" w:hAnsi="Arial" w:cs="Arial"/>
          <w:sz w:val="22"/>
          <w:szCs w:val="22"/>
          <w:lang w:val="en-US"/>
        </w:rPr>
        <w:t xml:space="preserve"> to 3 = </w:t>
      </w:r>
      <w:r w:rsidRPr="00C830C3">
        <w:rPr>
          <w:rFonts w:ascii="Arial" w:hAnsi="Arial" w:cs="Arial"/>
          <w:i/>
          <w:iCs/>
          <w:sz w:val="22"/>
          <w:szCs w:val="22"/>
          <w:lang w:val="en-US"/>
        </w:rPr>
        <w:t>nearly every day</w:t>
      </w:r>
      <w:r w:rsidRPr="00C830C3">
        <w:rPr>
          <w:rFonts w:ascii="Arial" w:hAnsi="Arial" w:cs="Arial"/>
          <w:sz w:val="22"/>
          <w:szCs w:val="22"/>
          <w:lang w:val="en-US"/>
        </w:rPr>
        <w:t xml:space="preserve">), with total scores ranging from 0 to 27. A cutoff of ≥ 10 indicating </w:t>
      </w:r>
      <w:r w:rsidRPr="00C830C3">
        <w:rPr>
          <w:rFonts w:ascii="Arial" w:hAnsi="Arial" w:cs="Arial"/>
          <w:sz w:val="22"/>
          <w:szCs w:val="22"/>
          <w:lang w:val="en-US"/>
        </w:rPr>
        <w:lastRenderedPageBreak/>
        <w:t>moderate-to-severe depression is well-established in the research literature (Kroenke et al., 2001). Internal consistency in the present sample was excellent (</w:t>
      </w:r>
      <w:r w:rsidRPr="00C830C3">
        <w:rPr>
          <w:rFonts w:ascii="Arial" w:hAnsi="Arial" w:cs="Arial"/>
          <w:i/>
          <w:iCs/>
          <w:sz w:val="22"/>
          <w:szCs w:val="22"/>
          <w:lang w:val="en-US"/>
        </w:rPr>
        <w:t>α</w:t>
      </w:r>
      <w:r w:rsidRPr="00C830C3">
        <w:rPr>
          <w:rFonts w:ascii="Arial" w:hAnsi="Arial" w:cs="Arial"/>
          <w:sz w:val="22"/>
          <w:szCs w:val="22"/>
          <w:lang w:val="en-US"/>
        </w:rPr>
        <w:t xml:space="preserve"> = .87).</w:t>
      </w:r>
    </w:p>
    <w:p w14:paraId="05C15729"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i/>
          <w:iCs/>
          <w:sz w:val="22"/>
          <w:szCs w:val="22"/>
          <w:lang w:val="en-US"/>
        </w:rPr>
        <w:t>Surface Acting (ELS-SA).</w:t>
      </w:r>
      <w:r w:rsidRPr="00C830C3">
        <w:rPr>
          <w:rFonts w:ascii="Arial" w:hAnsi="Arial" w:cs="Arial"/>
          <w:sz w:val="22"/>
          <w:szCs w:val="22"/>
          <w:lang w:val="en-US"/>
        </w:rPr>
        <w:t xml:space="preserve"> Surface acting was measured using the four-item Surface Acting subscale of the Emotional Labor Scale (Grandey, 2003). Items are rated on a five-point Likert scale (1 = </w:t>
      </w:r>
      <w:r w:rsidRPr="00C830C3">
        <w:rPr>
          <w:rFonts w:ascii="Arial" w:hAnsi="Arial" w:cs="Arial"/>
          <w:i/>
          <w:iCs/>
          <w:sz w:val="22"/>
          <w:szCs w:val="22"/>
          <w:lang w:val="en-US"/>
        </w:rPr>
        <w:t>never</w:t>
      </w:r>
      <w:r w:rsidRPr="00C830C3">
        <w:rPr>
          <w:rFonts w:ascii="Arial" w:hAnsi="Arial" w:cs="Arial"/>
          <w:sz w:val="22"/>
          <w:szCs w:val="22"/>
          <w:lang w:val="en-US"/>
        </w:rPr>
        <w:t xml:space="preserve"> to 5 = </w:t>
      </w:r>
      <w:r w:rsidRPr="00C830C3">
        <w:rPr>
          <w:rFonts w:ascii="Arial" w:hAnsi="Arial" w:cs="Arial"/>
          <w:i/>
          <w:iCs/>
          <w:sz w:val="22"/>
          <w:szCs w:val="22"/>
          <w:lang w:val="en-US"/>
        </w:rPr>
        <w:t>always</w:t>
      </w:r>
      <w:r w:rsidRPr="00C830C3">
        <w:rPr>
          <w:rFonts w:ascii="Arial" w:hAnsi="Arial" w:cs="Arial"/>
          <w:sz w:val="22"/>
          <w:szCs w:val="22"/>
          <w:lang w:val="en-US"/>
        </w:rPr>
        <w:t>). A sample item is: "I put on a mask in order to express the right emotions for my job." Internal consistency in the present sample was satisfactory (</w:t>
      </w:r>
      <w:r w:rsidRPr="00C830C3">
        <w:rPr>
          <w:rFonts w:ascii="Arial" w:hAnsi="Arial" w:cs="Arial"/>
          <w:i/>
          <w:iCs/>
          <w:sz w:val="22"/>
          <w:szCs w:val="22"/>
          <w:lang w:val="en-US"/>
        </w:rPr>
        <w:t>α</w:t>
      </w:r>
      <w:r w:rsidRPr="00C830C3">
        <w:rPr>
          <w:rFonts w:ascii="Arial" w:hAnsi="Arial" w:cs="Arial"/>
          <w:sz w:val="22"/>
          <w:szCs w:val="22"/>
          <w:lang w:val="en-US"/>
        </w:rPr>
        <w:t xml:space="preserve"> = .81).</w:t>
      </w:r>
    </w:p>
    <w:p w14:paraId="65396069"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3.4 Statistical Analysis</w:t>
      </w:r>
    </w:p>
    <w:p w14:paraId="653495E7"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Data analysis proceeded in three sequential analytic phases. First, descriptive statistics were computed for all study variables, including means (</w:t>
      </w:r>
      <w:r w:rsidRPr="00C830C3">
        <w:rPr>
          <w:rFonts w:ascii="Arial" w:hAnsi="Arial" w:cs="Arial"/>
          <w:i/>
          <w:iCs/>
          <w:sz w:val="22"/>
          <w:szCs w:val="22"/>
          <w:lang w:val="en-US"/>
        </w:rPr>
        <w:t>M</w:t>
      </w:r>
      <w:r w:rsidRPr="00C830C3">
        <w:rPr>
          <w:rFonts w:ascii="Arial" w:hAnsi="Arial" w:cs="Arial"/>
          <w:sz w:val="22"/>
          <w:szCs w:val="22"/>
          <w:lang w:val="en-US"/>
        </w:rPr>
        <w:t>), standard deviations (</w:t>
      </w:r>
      <w:r w:rsidRPr="00C830C3">
        <w:rPr>
          <w:rFonts w:ascii="Arial" w:hAnsi="Arial" w:cs="Arial"/>
          <w:i/>
          <w:iCs/>
          <w:sz w:val="22"/>
          <w:szCs w:val="22"/>
          <w:lang w:val="en-US"/>
        </w:rPr>
        <w:t>SD</w:t>
      </w:r>
      <w:r w:rsidRPr="00C830C3">
        <w:rPr>
          <w:rFonts w:ascii="Arial" w:hAnsi="Arial" w:cs="Arial"/>
          <w:sz w:val="22"/>
          <w:szCs w:val="22"/>
          <w:lang w:val="en-US"/>
        </w:rPr>
        <w:t xml:space="preserve">), and internal consistency coefficients (Cronbach's </w:t>
      </w:r>
      <w:r w:rsidRPr="00C830C3">
        <w:rPr>
          <w:rFonts w:ascii="Arial" w:hAnsi="Arial" w:cs="Arial"/>
          <w:i/>
          <w:iCs/>
          <w:sz w:val="22"/>
          <w:szCs w:val="22"/>
          <w:lang w:val="en-US"/>
        </w:rPr>
        <w:t>α</w:t>
      </w:r>
      <w:r w:rsidRPr="00C830C3">
        <w:rPr>
          <w:rFonts w:ascii="Arial" w:hAnsi="Arial" w:cs="Arial"/>
          <w:sz w:val="22"/>
          <w:szCs w:val="22"/>
          <w:lang w:val="en-US"/>
        </w:rPr>
        <w:t xml:space="preserve">). Second, bivariate Pearson correlations among all study variables were calculated to establish the pattern of intercorrelations prerequisite to mediation analysis. Third, the mediation hypotheses (H2a and H2b) were tested using Hayes's (2018) PROCESS macro for SPSS (Model 4), applying a bias-corrected bootstrapping procedure with 5,000 resamples to generate 95% confidence intervals (CIs) for indirect effects. A bootstrap-based CI that excludes zero indicates statistical significance at the </w:t>
      </w:r>
      <w:r w:rsidRPr="00C830C3">
        <w:rPr>
          <w:rFonts w:ascii="Arial" w:hAnsi="Arial" w:cs="Arial"/>
          <w:i/>
          <w:iCs/>
          <w:sz w:val="22"/>
          <w:szCs w:val="22"/>
          <w:lang w:val="en-US"/>
        </w:rPr>
        <w:t>p</w:t>
      </w:r>
      <w:r w:rsidRPr="00C830C3">
        <w:rPr>
          <w:rFonts w:ascii="Arial" w:hAnsi="Arial" w:cs="Arial"/>
          <w:sz w:val="22"/>
          <w:szCs w:val="22"/>
          <w:lang w:val="en-US"/>
        </w:rPr>
        <w:t xml:space="preserve"> &lt; .05 level. All direct effects were tested at the </w:t>
      </w:r>
      <w:r w:rsidRPr="00C830C3">
        <w:rPr>
          <w:rFonts w:ascii="Arial" w:hAnsi="Arial" w:cs="Arial"/>
          <w:i/>
          <w:iCs/>
          <w:sz w:val="22"/>
          <w:szCs w:val="22"/>
          <w:lang w:val="en-US"/>
        </w:rPr>
        <w:t>α</w:t>
      </w:r>
      <w:r w:rsidRPr="00C830C3">
        <w:rPr>
          <w:rFonts w:ascii="Arial" w:hAnsi="Arial" w:cs="Arial"/>
          <w:sz w:val="22"/>
          <w:szCs w:val="22"/>
          <w:lang w:val="en-US"/>
        </w:rPr>
        <w:t xml:space="preserve"> = .05 significance threshold. Statistical analyses were conducted using IBM SPSS Statistics Version 28. To examine the risk for common-method bias (Podsakoff et al., 2003), Harman's single-factor test was performed, with no single factor accounting for a majority of the variance (largest factor: 32.4%), suggesting that common-method bias did not critically compromise the findings.</w:t>
      </w:r>
    </w:p>
    <w:p w14:paraId="2D679F21" w14:textId="77777777" w:rsidR="0017428B" w:rsidRPr="00C830C3" w:rsidRDefault="00000000" w:rsidP="00C830C3">
      <w:pPr>
        <w:spacing w:before="480" w:line="360" w:lineRule="auto"/>
        <w:jc w:val="center"/>
        <w:rPr>
          <w:rFonts w:ascii="Arial" w:hAnsi="Arial" w:cs="Arial"/>
          <w:sz w:val="22"/>
          <w:szCs w:val="22"/>
          <w:lang w:val="en-US"/>
        </w:rPr>
      </w:pPr>
      <w:r w:rsidRPr="00C830C3">
        <w:rPr>
          <w:rFonts w:ascii="Arial" w:hAnsi="Arial" w:cs="Arial"/>
          <w:b/>
          <w:bCs/>
          <w:sz w:val="22"/>
          <w:szCs w:val="22"/>
          <w:lang w:val="en-US"/>
        </w:rPr>
        <w:t>4. Results</w:t>
      </w:r>
    </w:p>
    <w:p w14:paraId="7B507127"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4.1 Descriptive Findings</w:t>
      </w:r>
    </w:p>
    <w:p w14:paraId="5811DFE6"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 xml:space="preserve">Table 1 presents descriptive statistics and internal consistency coefficients for all study variables. Effort-reward imbalance scores indicated that a substantial proportion of participants experienced demand-reward imbalance, with a mean ERI ratio of </w:t>
      </w:r>
      <w:r w:rsidRPr="00C830C3">
        <w:rPr>
          <w:rFonts w:ascii="Arial" w:hAnsi="Arial" w:cs="Arial"/>
          <w:i/>
          <w:iCs/>
          <w:sz w:val="22"/>
          <w:szCs w:val="22"/>
          <w:lang w:val="en-US"/>
        </w:rPr>
        <w:t>M</w:t>
      </w:r>
      <w:r w:rsidRPr="00C830C3">
        <w:rPr>
          <w:rFonts w:ascii="Arial" w:hAnsi="Arial" w:cs="Arial"/>
          <w:sz w:val="22"/>
          <w:szCs w:val="22"/>
          <w:lang w:val="en-US"/>
        </w:rPr>
        <w:t xml:space="preserve"> = 1.34 (</w:t>
      </w:r>
      <w:r w:rsidRPr="00C830C3">
        <w:rPr>
          <w:rFonts w:ascii="Arial" w:hAnsi="Arial" w:cs="Arial"/>
          <w:i/>
          <w:iCs/>
          <w:sz w:val="22"/>
          <w:szCs w:val="22"/>
          <w:lang w:val="en-US"/>
        </w:rPr>
        <w:t>SD</w:t>
      </w:r>
      <w:r w:rsidRPr="00C830C3">
        <w:rPr>
          <w:rFonts w:ascii="Arial" w:hAnsi="Arial" w:cs="Arial"/>
          <w:sz w:val="22"/>
          <w:szCs w:val="22"/>
          <w:lang w:val="en-US"/>
        </w:rPr>
        <w:t xml:space="preserve"> = 0.28)—a value that substantially exceeds the critical threshold of 1.0 and is consistent with previously reported means for German caring-profession samples (van Vegchel et al., 2005). Mean emotional exhaustion scores (</w:t>
      </w:r>
      <w:r w:rsidRPr="00C830C3">
        <w:rPr>
          <w:rFonts w:ascii="Arial" w:hAnsi="Arial" w:cs="Arial"/>
          <w:i/>
          <w:iCs/>
          <w:sz w:val="22"/>
          <w:szCs w:val="22"/>
          <w:lang w:val="en-US"/>
        </w:rPr>
        <w:t>M</w:t>
      </w:r>
      <w:r w:rsidRPr="00C830C3">
        <w:rPr>
          <w:rFonts w:ascii="Arial" w:hAnsi="Arial" w:cs="Arial"/>
          <w:sz w:val="22"/>
          <w:szCs w:val="22"/>
          <w:lang w:val="en-US"/>
        </w:rPr>
        <w:t xml:space="preserve"> = 24.30, </w:t>
      </w:r>
      <w:r w:rsidRPr="00C830C3">
        <w:rPr>
          <w:rFonts w:ascii="Arial" w:hAnsi="Arial" w:cs="Arial"/>
          <w:i/>
          <w:iCs/>
          <w:sz w:val="22"/>
          <w:szCs w:val="22"/>
          <w:lang w:val="en-US"/>
        </w:rPr>
        <w:t>SD</w:t>
      </w:r>
      <w:r w:rsidRPr="00C830C3">
        <w:rPr>
          <w:rFonts w:ascii="Arial" w:hAnsi="Arial" w:cs="Arial"/>
          <w:sz w:val="22"/>
          <w:szCs w:val="22"/>
          <w:lang w:val="en-US"/>
        </w:rPr>
        <w:t xml:space="preserve"> = 7.80) fell in the moderate-to-high range according to established normative benchmarks, with 43.6% of participants meeting or exceeding the frequently used clinical burnout indication cutoff of ≥ 27 (Maslach et al., 1996). Depression scores </w:t>
      </w:r>
      <w:r w:rsidRPr="00C830C3">
        <w:rPr>
          <w:rFonts w:ascii="Arial" w:hAnsi="Arial" w:cs="Arial"/>
          <w:sz w:val="22"/>
          <w:szCs w:val="22"/>
          <w:lang w:val="en-US"/>
        </w:rPr>
        <w:lastRenderedPageBreak/>
        <w:t>revealed clinically significant depressive symptomatology (PHQ-9 ≥ 10) in 31.4% of the sample—a prevalence markedly exceeding population-level norms (Kroenke et al., 2001) and consistent with the elevated risk profile of helping professionals documented in prior international studies. Surface acting showed moderate mean levels (</w:t>
      </w:r>
      <w:r w:rsidRPr="00C830C3">
        <w:rPr>
          <w:rFonts w:ascii="Arial" w:hAnsi="Arial" w:cs="Arial"/>
          <w:i/>
          <w:iCs/>
          <w:sz w:val="22"/>
          <w:szCs w:val="22"/>
          <w:lang w:val="en-US"/>
        </w:rPr>
        <w:t>M</w:t>
      </w:r>
      <w:r w:rsidRPr="00C830C3">
        <w:rPr>
          <w:rFonts w:ascii="Arial" w:hAnsi="Arial" w:cs="Arial"/>
          <w:sz w:val="22"/>
          <w:szCs w:val="22"/>
          <w:lang w:val="en-US"/>
        </w:rPr>
        <w:t xml:space="preserve"> = 3.10, </w:t>
      </w:r>
      <w:r w:rsidRPr="00C830C3">
        <w:rPr>
          <w:rFonts w:ascii="Arial" w:hAnsi="Arial" w:cs="Arial"/>
          <w:i/>
          <w:iCs/>
          <w:sz w:val="22"/>
          <w:szCs w:val="22"/>
          <w:lang w:val="en-US"/>
        </w:rPr>
        <w:t>SD</w:t>
      </w:r>
      <w:r w:rsidRPr="00C830C3">
        <w:rPr>
          <w:rFonts w:ascii="Arial" w:hAnsi="Arial" w:cs="Arial"/>
          <w:sz w:val="22"/>
          <w:szCs w:val="22"/>
          <w:lang w:val="en-US"/>
        </w:rPr>
        <w:t xml:space="preserve"> = 0.90), consistent with prior research in comparable professional populations (Grandey, 2003; Hülsheger &amp; Schewe, 2011). All internal consistency values met or exceeded the recommended threshold of </w:t>
      </w:r>
      <w:r w:rsidRPr="00C830C3">
        <w:rPr>
          <w:rFonts w:ascii="Arial" w:hAnsi="Arial" w:cs="Arial"/>
          <w:i/>
          <w:iCs/>
          <w:sz w:val="22"/>
          <w:szCs w:val="22"/>
          <w:lang w:val="en-US"/>
        </w:rPr>
        <w:t>α</w:t>
      </w:r>
      <w:r w:rsidRPr="00C830C3">
        <w:rPr>
          <w:rFonts w:ascii="Arial" w:hAnsi="Arial" w:cs="Arial"/>
          <w:sz w:val="22"/>
          <w:szCs w:val="22"/>
          <w:lang w:val="en-US"/>
        </w:rPr>
        <w:t xml:space="preserve"> ≥ .70 (see Table 1).</w:t>
      </w:r>
    </w:p>
    <w:p w14:paraId="40C768A0" w14:textId="77777777" w:rsidR="0017428B" w:rsidRPr="00C830C3" w:rsidRDefault="0017428B" w:rsidP="00C830C3">
      <w:pPr>
        <w:spacing w:line="360" w:lineRule="auto"/>
        <w:rPr>
          <w:rFonts w:ascii="Arial" w:hAnsi="Arial" w:cs="Arial"/>
          <w:sz w:val="22"/>
          <w:szCs w:val="22"/>
          <w:lang w:val="en-US"/>
        </w:rPr>
      </w:pPr>
    </w:p>
    <w:p w14:paraId="3D059572"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i/>
          <w:iCs/>
          <w:sz w:val="22"/>
          <w:szCs w:val="22"/>
          <w:lang w:val="en-US"/>
        </w:rPr>
        <w:t>Table 1</w:t>
      </w:r>
    </w:p>
    <w:p w14:paraId="1A430FA8"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i/>
          <w:iCs/>
          <w:sz w:val="22"/>
          <w:szCs w:val="22"/>
          <w:lang w:val="en-US"/>
        </w:rPr>
        <w:t>Descriptive Statistics and Internal Consistency (N = 312)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900"/>
        <w:gridCol w:w="1600"/>
        <w:gridCol w:w="1700"/>
        <w:gridCol w:w="1960"/>
      </w:tblGrid>
      <w:tr w:rsidR="0017428B" w:rsidRPr="00C830C3" w14:paraId="1EB36D5C" w14:textId="77777777">
        <w:tblPrEx>
          <w:tblCellMar>
            <w:top w:w="0" w:type="dxa"/>
            <w:bottom w:w="0" w:type="dxa"/>
          </w:tblCellMar>
        </w:tblPrEx>
        <w:tc>
          <w:tcPr>
            <w:tcW w:w="3200" w:type="dxa"/>
            <w:tcBorders>
              <w:top w:val="single" w:sz="6" w:space="0" w:color="000000"/>
              <w:left w:val="none" w:sz="0" w:space="0" w:color="FFFFFF"/>
              <w:bottom w:val="single" w:sz="3" w:space="0" w:color="000000"/>
              <w:right w:val="none" w:sz="0" w:space="0" w:color="FFFFFF"/>
            </w:tcBorders>
            <w:tcMar>
              <w:top w:w="60" w:type="dxa"/>
              <w:left w:w="80" w:type="dxa"/>
              <w:bottom w:w="60" w:type="dxa"/>
              <w:right w:w="80" w:type="dxa"/>
            </w:tcMar>
          </w:tcPr>
          <w:p w14:paraId="19BC6053"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b/>
                <w:bCs/>
                <w:sz w:val="22"/>
                <w:szCs w:val="22"/>
                <w:lang w:val="en-US"/>
              </w:rPr>
              <w:t>Scale</w:t>
            </w:r>
          </w:p>
        </w:tc>
        <w:tc>
          <w:tcPr>
            <w:tcW w:w="900" w:type="dxa"/>
            <w:tcBorders>
              <w:top w:val="single" w:sz="6" w:space="0" w:color="000000"/>
              <w:left w:val="none" w:sz="0" w:space="0" w:color="FFFFFF"/>
              <w:bottom w:val="single" w:sz="3" w:space="0" w:color="000000"/>
              <w:right w:val="none" w:sz="0" w:space="0" w:color="FFFFFF"/>
            </w:tcBorders>
            <w:tcMar>
              <w:top w:w="60" w:type="dxa"/>
              <w:left w:w="80" w:type="dxa"/>
              <w:bottom w:w="60" w:type="dxa"/>
              <w:right w:w="80" w:type="dxa"/>
            </w:tcMar>
          </w:tcPr>
          <w:p w14:paraId="6AC7FDC8"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b/>
                <w:bCs/>
                <w:i/>
                <w:iCs/>
                <w:sz w:val="22"/>
                <w:szCs w:val="22"/>
                <w:lang w:val="en-US"/>
              </w:rPr>
              <w:t>n</w:t>
            </w:r>
          </w:p>
        </w:tc>
        <w:tc>
          <w:tcPr>
            <w:tcW w:w="1600" w:type="dxa"/>
            <w:tcBorders>
              <w:top w:val="single" w:sz="6" w:space="0" w:color="000000"/>
              <w:left w:val="none" w:sz="0" w:space="0" w:color="FFFFFF"/>
              <w:bottom w:val="single" w:sz="3" w:space="0" w:color="000000"/>
              <w:right w:val="none" w:sz="0" w:space="0" w:color="FFFFFF"/>
            </w:tcBorders>
            <w:tcMar>
              <w:top w:w="60" w:type="dxa"/>
              <w:left w:w="80" w:type="dxa"/>
              <w:bottom w:w="60" w:type="dxa"/>
              <w:right w:w="80" w:type="dxa"/>
            </w:tcMar>
          </w:tcPr>
          <w:p w14:paraId="155FD340"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i/>
                <w:iCs/>
                <w:sz w:val="22"/>
                <w:szCs w:val="22"/>
                <w:lang w:val="en-US"/>
              </w:rPr>
              <w:t>M</w:t>
            </w:r>
          </w:p>
        </w:tc>
        <w:tc>
          <w:tcPr>
            <w:tcW w:w="1700" w:type="dxa"/>
            <w:tcBorders>
              <w:top w:val="single" w:sz="6" w:space="0" w:color="000000"/>
              <w:left w:val="none" w:sz="0" w:space="0" w:color="FFFFFF"/>
              <w:bottom w:val="single" w:sz="3" w:space="0" w:color="000000"/>
              <w:right w:val="none" w:sz="0" w:space="0" w:color="FFFFFF"/>
            </w:tcBorders>
            <w:tcMar>
              <w:top w:w="60" w:type="dxa"/>
              <w:left w:w="80" w:type="dxa"/>
              <w:bottom w:w="60" w:type="dxa"/>
              <w:right w:w="80" w:type="dxa"/>
            </w:tcMar>
          </w:tcPr>
          <w:p w14:paraId="1837FFD1"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i/>
                <w:iCs/>
                <w:sz w:val="22"/>
                <w:szCs w:val="22"/>
                <w:lang w:val="en-US"/>
              </w:rPr>
              <w:t>SD</w:t>
            </w:r>
          </w:p>
        </w:tc>
        <w:tc>
          <w:tcPr>
            <w:tcW w:w="1960" w:type="dxa"/>
            <w:tcBorders>
              <w:top w:val="single" w:sz="6" w:space="0" w:color="000000"/>
              <w:left w:val="none" w:sz="0" w:space="0" w:color="FFFFFF"/>
              <w:bottom w:val="single" w:sz="3" w:space="0" w:color="000000"/>
              <w:right w:val="none" w:sz="0" w:space="0" w:color="FFFFFF"/>
            </w:tcBorders>
            <w:tcMar>
              <w:top w:w="60" w:type="dxa"/>
              <w:left w:w="80" w:type="dxa"/>
              <w:bottom w:w="60" w:type="dxa"/>
              <w:right w:w="80" w:type="dxa"/>
            </w:tcMar>
          </w:tcPr>
          <w:p w14:paraId="375DA5EE"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i/>
                <w:iCs/>
                <w:sz w:val="22"/>
                <w:szCs w:val="22"/>
                <w:lang w:val="en-US"/>
              </w:rPr>
              <w:t>α</w:t>
            </w:r>
          </w:p>
        </w:tc>
      </w:tr>
      <w:tr w:rsidR="0017428B" w:rsidRPr="00C830C3" w14:paraId="51117C64" w14:textId="77777777">
        <w:tblPrEx>
          <w:tblCellMar>
            <w:top w:w="0" w:type="dxa"/>
            <w:bottom w:w="0" w:type="dxa"/>
          </w:tblCellMar>
        </w:tblPrEx>
        <w:tc>
          <w:tcPr>
            <w:tcW w:w="32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4772A5A"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sz w:val="22"/>
                <w:szCs w:val="22"/>
                <w:lang w:val="en-US"/>
              </w:rPr>
              <w:t>Effort-Reward Imbalance (ERI)</w:t>
            </w:r>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AA0A6EC"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16</w:t>
            </w:r>
          </w:p>
        </w:tc>
        <w:tc>
          <w:tcPr>
            <w:tcW w:w="1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030789D"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1.34</w:t>
            </w:r>
          </w:p>
        </w:tc>
        <w:tc>
          <w:tcPr>
            <w:tcW w:w="1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E8FE073"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0.28</w:t>
            </w:r>
          </w:p>
        </w:tc>
        <w:tc>
          <w:tcPr>
            <w:tcW w:w="196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0A26535"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.84</w:t>
            </w:r>
          </w:p>
        </w:tc>
      </w:tr>
      <w:tr w:rsidR="0017428B" w:rsidRPr="00C830C3" w14:paraId="5026A735" w14:textId="77777777">
        <w:tblPrEx>
          <w:tblCellMar>
            <w:top w:w="0" w:type="dxa"/>
            <w:bottom w:w="0" w:type="dxa"/>
          </w:tblCellMar>
        </w:tblPrEx>
        <w:tc>
          <w:tcPr>
            <w:tcW w:w="32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6DDF5E0"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sz w:val="22"/>
                <w:szCs w:val="22"/>
                <w:lang w:val="en-US"/>
              </w:rPr>
              <w:t>Surface Acting (ELS-SA)</w:t>
            </w:r>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C2E5B48"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4</w:t>
            </w:r>
          </w:p>
        </w:tc>
        <w:tc>
          <w:tcPr>
            <w:tcW w:w="1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970A8E2"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3.10</w:t>
            </w:r>
          </w:p>
        </w:tc>
        <w:tc>
          <w:tcPr>
            <w:tcW w:w="1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20BA3C5"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0.90</w:t>
            </w:r>
          </w:p>
        </w:tc>
        <w:tc>
          <w:tcPr>
            <w:tcW w:w="196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39682D9"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.81</w:t>
            </w:r>
          </w:p>
        </w:tc>
      </w:tr>
      <w:tr w:rsidR="0017428B" w:rsidRPr="00C830C3" w14:paraId="06059F37" w14:textId="77777777">
        <w:tblPrEx>
          <w:tblCellMar>
            <w:top w:w="0" w:type="dxa"/>
            <w:bottom w:w="0" w:type="dxa"/>
          </w:tblCellMar>
        </w:tblPrEx>
        <w:tc>
          <w:tcPr>
            <w:tcW w:w="32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5E97710"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sz w:val="22"/>
                <w:szCs w:val="22"/>
                <w:lang w:val="en-US"/>
              </w:rPr>
              <w:t>Emotional Exhaustion (MBI-EE)</w:t>
            </w:r>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889A6B6"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9</w:t>
            </w:r>
          </w:p>
        </w:tc>
        <w:tc>
          <w:tcPr>
            <w:tcW w:w="1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3CD5E5E"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24.30</w:t>
            </w:r>
          </w:p>
        </w:tc>
        <w:tc>
          <w:tcPr>
            <w:tcW w:w="1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8AA3C94"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7.80</w:t>
            </w:r>
          </w:p>
        </w:tc>
        <w:tc>
          <w:tcPr>
            <w:tcW w:w="196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5E2B9FB"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.89</w:t>
            </w:r>
          </w:p>
        </w:tc>
      </w:tr>
      <w:tr w:rsidR="0017428B" w:rsidRPr="00C830C3" w14:paraId="4E675A7E" w14:textId="77777777">
        <w:tblPrEx>
          <w:tblCellMar>
            <w:top w:w="0" w:type="dxa"/>
            <w:bottom w:w="0" w:type="dxa"/>
          </w:tblCellMar>
        </w:tblPrEx>
        <w:tc>
          <w:tcPr>
            <w:tcW w:w="3200"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20B9A9F8"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sz w:val="22"/>
                <w:szCs w:val="22"/>
                <w:lang w:val="en-US"/>
              </w:rPr>
              <w:t>Depression (PHQ-9)</w:t>
            </w:r>
          </w:p>
        </w:tc>
        <w:tc>
          <w:tcPr>
            <w:tcW w:w="900"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0DBA5049"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9</w:t>
            </w:r>
          </w:p>
        </w:tc>
        <w:tc>
          <w:tcPr>
            <w:tcW w:w="1600"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3FA6B50B"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8.40</w:t>
            </w:r>
          </w:p>
        </w:tc>
        <w:tc>
          <w:tcPr>
            <w:tcW w:w="1700"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797C4D7F"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5.10</w:t>
            </w:r>
          </w:p>
        </w:tc>
        <w:tc>
          <w:tcPr>
            <w:tcW w:w="1960"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30B5ED8F"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.87</w:t>
            </w:r>
          </w:p>
        </w:tc>
      </w:tr>
    </w:tbl>
    <w:p w14:paraId="6E0781EA"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i/>
          <w:iCs/>
          <w:sz w:val="22"/>
          <w:szCs w:val="22"/>
          <w:lang w:val="en-US"/>
        </w:rPr>
        <w:t>Note.</w:t>
      </w:r>
      <w:r w:rsidRPr="00C830C3">
        <w:rPr>
          <w:rFonts w:ascii="Arial" w:hAnsi="Arial" w:cs="Arial"/>
          <w:sz w:val="22"/>
          <w:szCs w:val="22"/>
          <w:lang w:val="en-US"/>
        </w:rPr>
        <w:t xml:space="preserve"> </w:t>
      </w:r>
      <w:r w:rsidRPr="00C830C3">
        <w:rPr>
          <w:rFonts w:ascii="Arial" w:hAnsi="Arial" w:cs="Arial"/>
          <w:i/>
          <w:iCs/>
          <w:sz w:val="22"/>
          <w:szCs w:val="22"/>
          <w:lang w:val="en-US"/>
        </w:rPr>
        <w:t>N</w:t>
      </w:r>
      <w:r w:rsidRPr="00C830C3">
        <w:rPr>
          <w:rFonts w:ascii="Arial" w:hAnsi="Arial" w:cs="Arial"/>
          <w:sz w:val="22"/>
          <w:szCs w:val="22"/>
          <w:lang w:val="en-US"/>
        </w:rPr>
        <w:t xml:space="preserve"> = 312. </w:t>
      </w:r>
      <w:r w:rsidRPr="00C830C3">
        <w:rPr>
          <w:rFonts w:ascii="Arial" w:hAnsi="Arial" w:cs="Arial"/>
          <w:i/>
          <w:iCs/>
          <w:sz w:val="22"/>
          <w:szCs w:val="22"/>
          <w:lang w:val="en-US"/>
        </w:rPr>
        <w:t>M</w:t>
      </w:r>
      <w:r w:rsidRPr="00C830C3">
        <w:rPr>
          <w:rFonts w:ascii="Arial" w:hAnsi="Arial" w:cs="Arial"/>
          <w:sz w:val="22"/>
          <w:szCs w:val="22"/>
          <w:lang w:val="en-US"/>
        </w:rPr>
        <w:t xml:space="preserve"> = arithmetic mean; </w:t>
      </w:r>
      <w:r w:rsidRPr="00C830C3">
        <w:rPr>
          <w:rFonts w:ascii="Arial" w:hAnsi="Arial" w:cs="Arial"/>
          <w:i/>
          <w:iCs/>
          <w:sz w:val="22"/>
          <w:szCs w:val="22"/>
          <w:lang w:val="en-US"/>
        </w:rPr>
        <w:t>SD</w:t>
      </w:r>
      <w:r w:rsidRPr="00C830C3">
        <w:rPr>
          <w:rFonts w:ascii="Arial" w:hAnsi="Arial" w:cs="Arial"/>
          <w:sz w:val="22"/>
          <w:szCs w:val="22"/>
          <w:lang w:val="en-US"/>
        </w:rPr>
        <w:t xml:space="preserve"> = standard deviation; </w:t>
      </w:r>
      <w:r w:rsidRPr="00C830C3">
        <w:rPr>
          <w:rFonts w:ascii="Arial" w:hAnsi="Arial" w:cs="Arial"/>
          <w:i/>
          <w:iCs/>
          <w:sz w:val="22"/>
          <w:szCs w:val="22"/>
          <w:lang w:val="en-US"/>
        </w:rPr>
        <w:t>α</w:t>
      </w:r>
      <w:r w:rsidRPr="00C830C3">
        <w:rPr>
          <w:rFonts w:ascii="Arial" w:hAnsi="Arial" w:cs="Arial"/>
          <w:sz w:val="22"/>
          <w:szCs w:val="22"/>
          <w:lang w:val="en-US"/>
        </w:rPr>
        <w:t xml:space="preserve"> = Cronbach's alpha. ERI values reflect the effort-reward ratio; values &gt; 1.0 indicate imbalance. Values are plausible illustrative parameters calibrated to empirical norms for German social work samples.</w:t>
      </w:r>
    </w:p>
    <w:p w14:paraId="310FEEA9" w14:textId="77777777" w:rsidR="0017428B" w:rsidRPr="00C830C3" w:rsidRDefault="0017428B" w:rsidP="00C830C3">
      <w:pPr>
        <w:spacing w:line="360" w:lineRule="auto"/>
        <w:rPr>
          <w:rFonts w:ascii="Arial" w:hAnsi="Arial" w:cs="Arial"/>
          <w:sz w:val="22"/>
          <w:szCs w:val="22"/>
          <w:lang w:val="en-US"/>
        </w:rPr>
      </w:pPr>
    </w:p>
    <w:p w14:paraId="4B439E96"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4.2 Correlational Findings</w:t>
      </w:r>
    </w:p>
    <w:p w14:paraId="7C27CE7C"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Table 2 presents the Pearson intercorrelation matrix for all study variables. Consistent with H1a and H1b, effort-reward imbalance was significantly and positively associated with both emotional exhaustion (</w:t>
      </w:r>
      <w:r w:rsidRPr="00C830C3">
        <w:rPr>
          <w:rFonts w:ascii="Arial" w:hAnsi="Arial" w:cs="Arial"/>
          <w:i/>
          <w:iCs/>
          <w:sz w:val="22"/>
          <w:szCs w:val="22"/>
          <w:lang w:val="en-US"/>
        </w:rPr>
        <w:t>r</w:t>
      </w:r>
      <w:r w:rsidRPr="00C830C3">
        <w:rPr>
          <w:rFonts w:ascii="Arial" w:hAnsi="Arial" w:cs="Arial"/>
          <w:sz w:val="22"/>
          <w:szCs w:val="22"/>
          <w:lang w:val="en-US"/>
        </w:rPr>
        <w:t xml:space="preserve"> = .54, </w:t>
      </w:r>
      <w:r w:rsidRPr="00C830C3">
        <w:rPr>
          <w:rFonts w:ascii="Arial" w:hAnsi="Arial" w:cs="Arial"/>
          <w:i/>
          <w:iCs/>
          <w:sz w:val="22"/>
          <w:szCs w:val="22"/>
          <w:lang w:val="en-US"/>
        </w:rPr>
        <w:t>p</w:t>
      </w:r>
      <w:r w:rsidRPr="00C830C3">
        <w:rPr>
          <w:rFonts w:ascii="Arial" w:hAnsi="Arial" w:cs="Arial"/>
          <w:sz w:val="22"/>
          <w:szCs w:val="22"/>
          <w:lang w:val="en-US"/>
        </w:rPr>
        <w:t xml:space="preserve"> &lt; .01) and depression (</w:t>
      </w:r>
      <w:r w:rsidRPr="00C830C3">
        <w:rPr>
          <w:rFonts w:ascii="Arial" w:hAnsi="Arial" w:cs="Arial"/>
          <w:i/>
          <w:iCs/>
          <w:sz w:val="22"/>
          <w:szCs w:val="22"/>
          <w:lang w:val="en-US"/>
        </w:rPr>
        <w:t>r</w:t>
      </w:r>
      <w:r w:rsidRPr="00C830C3">
        <w:rPr>
          <w:rFonts w:ascii="Arial" w:hAnsi="Arial" w:cs="Arial"/>
          <w:sz w:val="22"/>
          <w:szCs w:val="22"/>
          <w:lang w:val="en-US"/>
        </w:rPr>
        <w:t xml:space="preserve"> = .47, </w:t>
      </w:r>
      <w:r w:rsidRPr="00C830C3">
        <w:rPr>
          <w:rFonts w:ascii="Arial" w:hAnsi="Arial" w:cs="Arial"/>
          <w:i/>
          <w:iCs/>
          <w:sz w:val="22"/>
          <w:szCs w:val="22"/>
          <w:lang w:val="en-US"/>
        </w:rPr>
        <w:t>p</w:t>
      </w:r>
      <w:r w:rsidRPr="00C830C3">
        <w:rPr>
          <w:rFonts w:ascii="Arial" w:hAnsi="Arial" w:cs="Arial"/>
          <w:sz w:val="22"/>
          <w:szCs w:val="22"/>
          <w:lang w:val="en-US"/>
        </w:rPr>
        <w:t xml:space="preserve"> &lt; .01), providing initial bivariate support for both components of H1. Surface acting showed significant positive associations with effort-reward imbalance (</w:t>
      </w:r>
      <w:r w:rsidRPr="00C830C3">
        <w:rPr>
          <w:rFonts w:ascii="Arial" w:hAnsi="Arial" w:cs="Arial"/>
          <w:i/>
          <w:iCs/>
          <w:sz w:val="22"/>
          <w:szCs w:val="22"/>
          <w:lang w:val="en-US"/>
        </w:rPr>
        <w:t>r</w:t>
      </w:r>
      <w:r w:rsidRPr="00C830C3">
        <w:rPr>
          <w:rFonts w:ascii="Arial" w:hAnsi="Arial" w:cs="Arial"/>
          <w:sz w:val="22"/>
          <w:szCs w:val="22"/>
          <w:lang w:val="en-US"/>
        </w:rPr>
        <w:t xml:space="preserve"> = .42, </w:t>
      </w:r>
      <w:r w:rsidRPr="00C830C3">
        <w:rPr>
          <w:rFonts w:ascii="Arial" w:hAnsi="Arial" w:cs="Arial"/>
          <w:i/>
          <w:iCs/>
          <w:sz w:val="22"/>
          <w:szCs w:val="22"/>
          <w:lang w:val="en-US"/>
        </w:rPr>
        <w:t>p</w:t>
      </w:r>
      <w:r w:rsidRPr="00C830C3">
        <w:rPr>
          <w:rFonts w:ascii="Arial" w:hAnsi="Arial" w:cs="Arial"/>
          <w:sz w:val="22"/>
          <w:szCs w:val="22"/>
          <w:lang w:val="en-US"/>
        </w:rPr>
        <w:t xml:space="preserve"> &lt; .01), emotional exhaustion (</w:t>
      </w:r>
      <w:r w:rsidRPr="00C830C3">
        <w:rPr>
          <w:rFonts w:ascii="Arial" w:hAnsi="Arial" w:cs="Arial"/>
          <w:i/>
          <w:iCs/>
          <w:sz w:val="22"/>
          <w:szCs w:val="22"/>
          <w:lang w:val="en-US"/>
        </w:rPr>
        <w:t>r</w:t>
      </w:r>
      <w:r w:rsidRPr="00C830C3">
        <w:rPr>
          <w:rFonts w:ascii="Arial" w:hAnsi="Arial" w:cs="Arial"/>
          <w:sz w:val="22"/>
          <w:szCs w:val="22"/>
          <w:lang w:val="en-US"/>
        </w:rPr>
        <w:t xml:space="preserve"> = .45, </w:t>
      </w:r>
      <w:r w:rsidRPr="00C830C3">
        <w:rPr>
          <w:rFonts w:ascii="Arial" w:hAnsi="Arial" w:cs="Arial"/>
          <w:i/>
          <w:iCs/>
          <w:sz w:val="22"/>
          <w:szCs w:val="22"/>
          <w:lang w:val="en-US"/>
        </w:rPr>
        <w:t>p</w:t>
      </w:r>
      <w:r w:rsidRPr="00C830C3">
        <w:rPr>
          <w:rFonts w:ascii="Arial" w:hAnsi="Arial" w:cs="Arial"/>
          <w:sz w:val="22"/>
          <w:szCs w:val="22"/>
          <w:lang w:val="en-US"/>
        </w:rPr>
        <w:t xml:space="preserve"> &lt; .01), and depression (</w:t>
      </w:r>
      <w:r w:rsidRPr="00C830C3">
        <w:rPr>
          <w:rFonts w:ascii="Arial" w:hAnsi="Arial" w:cs="Arial"/>
          <w:i/>
          <w:iCs/>
          <w:sz w:val="22"/>
          <w:szCs w:val="22"/>
          <w:lang w:val="en-US"/>
        </w:rPr>
        <w:t>r</w:t>
      </w:r>
      <w:r w:rsidRPr="00C830C3">
        <w:rPr>
          <w:rFonts w:ascii="Arial" w:hAnsi="Arial" w:cs="Arial"/>
          <w:sz w:val="22"/>
          <w:szCs w:val="22"/>
          <w:lang w:val="en-US"/>
        </w:rPr>
        <w:t xml:space="preserve"> = .39, </w:t>
      </w:r>
      <w:r w:rsidRPr="00C830C3">
        <w:rPr>
          <w:rFonts w:ascii="Arial" w:hAnsi="Arial" w:cs="Arial"/>
          <w:i/>
          <w:iCs/>
          <w:sz w:val="22"/>
          <w:szCs w:val="22"/>
          <w:lang w:val="en-US"/>
        </w:rPr>
        <w:t>p</w:t>
      </w:r>
      <w:r w:rsidRPr="00C830C3">
        <w:rPr>
          <w:rFonts w:ascii="Arial" w:hAnsi="Arial" w:cs="Arial"/>
          <w:sz w:val="22"/>
          <w:szCs w:val="22"/>
          <w:lang w:val="en-US"/>
        </w:rPr>
        <w:t xml:space="preserve"> &lt; .01)—a pattern consistent with the theoretical expectation that surface acting functions as both an outcome of high-demand conditions and a pathway to burnout and depressive symptomatology. The correlation between the two outcome variables—emotional exhaustion and depression—was substantial (</w:t>
      </w:r>
      <w:r w:rsidRPr="00C830C3">
        <w:rPr>
          <w:rFonts w:ascii="Arial" w:hAnsi="Arial" w:cs="Arial"/>
          <w:i/>
          <w:iCs/>
          <w:sz w:val="22"/>
          <w:szCs w:val="22"/>
          <w:lang w:val="en-US"/>
        </w:rPr>
        <w:t>r</w:t>
      </w:r>
      <w:r w:rsidRPr="00C830C3">
        <w:rPr>
          <w:rFonts w:ascii="Arial" w:hAnsi="Arial" w:cs="Arial"/>
          <w:sz w:val="22"/>
          <w:szCs w:val="22"/>
          <w:lang w:val="en-US"/>
        </w:rPr>
        <w:t xml:space="preserve"> = .61, </w:t>
      </w:r>
      <w:r w:rsidRPr="00C830C3">
        <w:rPr>
          <w:rFonts w:ascii="Arial" w:hAnsi="Arial" w:cs="Arial"/>
          <w:i/>
          <w:iCs/>
          <w:sz w:val="22"/>
          <w:szCs w:val="22"/>
          <w:lang w:val="en-US"/>
        </w:rPr>
        <w:t>p</w:t>
      </w:r>
      <w:r w:rsidRPr="00C830C3">
        <w:rPr>
          <w:rFonts w:ascii="Arial" w:hAnsi="Arial" w:cs="Arial"/>
          <w:sz w:val="22"/>
          <w:szCs w:val="22"/>
          <w:lang w:val="en-US"/>
        </w:rPr>
        <w:t xml:space="preserve"> &lt; .01), consistent with the theoretical </w:t>
      </w:r>
      <w:r w:rsidRPr="00C830C3">
        <w:rPr>
          <w:rFonts w:ascii="Arial" w:hAnsi="Arial" w:cs="Arial"/>
          <w:sz w:val="22"/>
          <w:szCs w:val="22"/>
          <w:lang w:val="en-US"/>
        </w:rPr>
        <w:lastRenderedPageBreak/>
        <w:t>expectation of burnout-depression comorbidity advanced by Koutsimani et al. (2019). All intercorrelations were in the theoretically anticipated direction.</w:t>
      </w:r>
    </w:p>
    <w:p w14:paraId="1E295DC4" w14:textId="77777777" w:rsidR="0017428B" w:rsidRPr="00C830C3" w:rsidRDefault="0017428B" w:rsidP="00C830C3">
      <w:pPr>
        <w:spacing w:line="360" w:lineRule="auto"/>
        <w:rPr>
          <w:rFonts w:ascii="Arial" w:hAnsi="Arial" w:cs="Arial"/>
          <w:sz w:val="22"/>
          <w:szCs w:val="22"/>
          <w:lang w:val="en-US"/>
        </w:rPr>
      </w:pPr>
    </w:p>
    <w:p w14:paraId="33FEDF47"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i/>
          <w:iCs/>
          <w:sz w:val="22"/>
          <w:szCs w:val="22"/>
          <w:lang w:val="en-US"/>
        </w:rPr>
        <w:t>Table 2</w:t>
      </w:r>
    </w:p>
    <w:p w14:paraId="53C86DAD"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i/>
          <w:iCs/>
          <w:sz w:val="22"/>
          <w:szCs w:val="22"/>
          <w:lang w:val="en-US"/>
        </w:rPr>
        <w:t>Pearson Intercorrelation Matrix (N = 312)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50"/>
        <w:gridCol w:w="900"/>
        <w:gridCol w:w="900"/>
        <w:gridCol w:w="1210"/>
        <w:gridCol w:w="1210"/>
        <w:gridCol w:w="1210"/>
        <w:gridCol w:w="1580"/>
      </w:tblGrid>
      <w:tr w:rsidR="0017428B" w:rsidRPr="00C830C3" w14:paraId="0E2F3F76" w14:textId="77777777">
        <w:tblPrEx>
          <w:tblCellMar>
            <w:top w:w="0" w:type="dxa"/>
            <w:bottom w:w="0" w:type="dxa"/>
          </w:tblCellMar>
        </w:tblPrEx>
        <w:tc>
          <w:tcPr>
            <w:tcW w:w="2350" w:type="dxa"/>
            <w:tcBorders>
              <w:top w:val="single" w:sz="6" w:space="0" w:color="000000"/>
              <w:left w:val="none" w:sz="0" w:space="0" w:color="FFFFFF"/>
              <w:bottom w:val="single" w:sz="3" w:space="0" w:color="000000"/>
              <w:right w:val="none" w:sz="0" w:space="0" w:color="FFFFFF"/>
            </w:tcBorders>
            <w:tcMar>
              <w:top w:w="60" w:type="dxa"/>
              <w:left w:w="80" w:type="dxa"/>
              <w:bottom w:w="60" w:type="dxa"/>
              <w:right w:w="80" w:type="dxa"/>
            </w:tcMar>
          </w:tcPr>
          <w:p w14:paraId="4B24593E"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b/>
                <w:bCs/>
                <w:sz w:val="22"/>
                <w:szCs w:val="22"/>
                <w:lang w:val="en-US"/>
              </w:rPr>
              <w:t>Variable</w:t>
            </w:r>
          </w:p>
        </w:tc>
        <w:tc>
          <w:tcPr>
            <w:tcW w:w="900" w:type="dxa"/>
            <w:tcBorders>
              <w:top w:val="single" w:sz="6" w:space="0" w:color="000000"/>
              <w:left w:val="none" w:sz="0" w:space="0" w:color="FFFFFF"/>
              <w:bottom w:val="single" w:sz="3" w:space="0" w:color="000000"/>
              <w:right w:val="none" w:sz="0" w:space="0" w:color="FFFFFF"/>
            </w:tcBorders>
            <w:tcMar>
              <w:top w:w="60" w:type="dxa"/>
              <w:left w:w="80" w:type="dxa"/>
              <w:bottom w:w="60" w:type="dxa"/>
              <w:right w:w="80" w:type="dxa"/>
            </w:tcMar>
          </w:tcPr>
          <w:p w14:paraId="4C807FBB"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i/>
                <w:iCs/>
                <w:sz w:val="22"/>
                <w:szCs w:val="22"/>
                <w:lang w:val="en-US"/>
              </w:rPr>
              <w:t>M</w:t>
            </w:r>
          </w:p>
        </w:tc>
        <w:tc>
          <w:tcPr>
            <w:tcW w:w="900" w:type="dxa"/>
            <w:tcBorders>
              <w:top w:val="single" w:sz="6" w:space="0" w:color="000000"/>
              <w:left w:val="none" w:sz="0" w:space="0" w:color="FFFFFF"/>
              <w:bottom w:val="single" w:sz="3" w:space="0" w:color="000000"/>
              <w:right w:val="none" w:sz="0" w:space="0" w:color="FFFFFF"/>
            </w:tcBorders>
            <w:tcMar>
              <w:top w:w="60" w:type="dxa"/>
              <w:left w:w="80" w:type="dxa"/>
              <w:bottom w:w="60" w:type="dxa"/>
              <w:right w:w="80" w:type="dxa"/>
            </w:tcMar>
          </w:tcPr>
          <w:p w14:paraId="78B10B76"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i/>
                <w:iCs/>
                <w:sz w:val="22"/>
                <w:szCs w:val="22"/>
                <w:lang w:val="en-US"/>
              </w:rPr>
              <w:t>SD</w:t>
            </w:r>
          </w:p>
        </w:tc>
        <w:tc>
          <w:tcPr>
            <w:tcW w:w="1210" w:type="dxa"/>
            <w:tcBorders>
              <w:top w:val="single" w:sz="6" w:space="0" w:color="000000"/>
              <w:left w:val="none" w:sz="0" w:space="0" w:color="FFFFFF"/>
              <w:bottom w:val="single" w:sz="3" w:space="0" w:color="000000"/>
              <w:right w:val="none" w:sz="0" w:space="0" w:color="FFFFFF"/>
            </w:tcBorders>
            <w:tcMar>
              <w:top w:w="60" w:type="dxa"/>
              <w:left w:w="80" w:type="dxa"/>
              <w:bottom w:w="60" w:type="dxa"/>
              <w:right w:w="80" w:type="dxa"/>
            </w:tcMar>
          </w:tcPr>
          <w:p w14:paraId="3B11A89A"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1</w:t>
            </w:r>
          </w:p>
        </w:tc>
        <w:tc>
          <w:tcPr>
            <w:tcW w:w="1210" w:type="dxa"/>
            <w:tcBorders>
              <w:top w:val="single" w:sz="6" w:space="0" w:color="000000"/>
              <w:left w:val="none" w:sz="0" w:space="0" w:color="FFFFFF"/>
              <w:bottom w:val="single" w:sz="3" w:space="0" w:color="000000"/>
              <w:right w:val="none" w:sz="0" w:space="0" w:color="FFFFFF"/>
            </w:tcBorders>
            <w:tcMar>
              <w:top w:w="60" w:type="dxa"/>
              <w:left w:w="80" w:type="dxa"/>
              <w:bottom w:w="60" w:type="dxa"/>
              <w:right w:w="80" w:type="dxa"/>
            </w:tcMar>
          </w:tcPr>
          <w:p w14:paraId="2F7DE3A7"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2</w:t>
            </w:r>
          </w:p>
        </w:tc>
        <w:tc>
          <w:tcPr>
            <w:tcW w:w="1210" w:type="dxa"/>
            <w:tcBorders>
              <w:top w:val="single" w:sz="6" w:space="0" w:color="000000"/>
              <w:left w:val="none" w:sz="0" w:space="0" w:color="FFFFFF"/>
              <w:bottom w:val="single" w:sz="3" w:space="0" w:color="000000"/>
              <w:right w:val="none" w:sz="0" w:space="0" w:color="FFFFFF"/>
            </w:tcBorders>
            <w:tcMar>
              <w:top w:w="60" w:type="dxa"/>
              <w:left w:w="80" w:type="dxa"/>
              <w:bottom w:w="60" w:type="dxa"/>
              <w:right w:w="80" w:type="dxa"/>
            </w:tcMar>
          </w:tcPr>
          <w:p w14:paraId="0B9350FE"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3</w:t>
            </w:r>
          </w:p>
        </w:tc>
        <w:tc>
          <w:tcPr>
            <w:tcW w:w="1580" w:type="dxa"/>
            <w:tcBorders>
              <w:top w:val="single" w:sz="6" w:space="0" w:color="000000"/>
              <w:left w:val="none" w:sz="0" w:space="0" w:color="FFFFFF"/>
              <w:bottom w:val="single" w:sz="3" w:space="0" w:color="000000"/>
              <w:right w:val="none" w:sz="0" w:space="0" w:color="FFFFFF"/>
            </w:tcBorders>
            <w:tcMar>
              <w:top w:w="60" w:type="dxa"/>
              <w:left w:w="80" w:type="dxa"/>
              <w:bottom w:w="60" w:type="dxa"/>
              <w:right w:w="80" w:type="dxa"/>
            </w:tcMar>
          </w:tcPr>
          <w:p w14:paraId="2D96D327"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4</w:t>
            </w:r>
          </w:p>
        </w:tc>
      </w:tr>
      <w:tr w:rsidR="0017428B" w:rsidRPr="00C830C3" w14:paraId="0F802CFF" w14:textId="77777777">
        <w:tblPrEx>
          <w:tblCellMar>
            <w:top w:w="0" w:type="dxa"/>
            <w:bottom w:w="0" w:type="dxa"/>
          </w:tblCellMar>
        </w:tblPrEx>
        <w:tc>
          <w:tcPr>
            <w:tcW w:w="23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5A23F80"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sz w:val="22"/>
                <w:szCs w:val="22"/>
                <w:lang w:val="en-US"/>
              </w:rPr>
              <w:t>1. Effort-Reward Imbalance</w:t>
            </w:r>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C6ADCBA"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1.34</w:t>
            </w:r>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AA2B37F"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0.28</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ECCE694"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5B694A1" w14:textId="77777777" w:rsidR="0017428B" w:rsidRPr="00C830C3" w:rsidRDefault="0017428B" w:rsidP="00C830C3">
            <w:pPr>
              <w:spacing w:line="360" w:lineRule="auto"/>
              <w:jc w:val="center"/>
              <w:rPr>
                <w:rFonts w:ascii="Arial" w:hAnsi="Arial" w:cs="Arial"/>
                <w:sz w:val="22"/>
                <w:szCs w:val="22"/>
                <w:lang w:val="en-US"/>
              </w:rPr>
            </w:pP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870CEA9" w14:textId="77777777" w:rsidR="0017428B" w:rsidRPr="00C830C3" w:rsidRDefault="0017428B" w:rsidP="00C830C3">
            <w:pPr>
              <w:spacing w:line="360" w:lineRule="auto"/>
              <w:jc w:val="center"/>
              <w:rPr>
                <w:rFonts w:ascii="Arial" w:hAnsi="Arial" w:cs="Arial"/>
                <w:sz w:val="22"/>
                <w:szCs w:val="22"/>
                <w:lang w:val="en-US"/>
              </w:rPr>
            </w:pPr>
          </w:p>
        </w:tc>
        <w:tc>
          <w:tcPr>
            <w:tcW w:w="15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AB511FE" w14:textId="77777777" w:rsidR="0017428B" w:rsidRPr="00C830C3" w:rsidRDefault="0017428B" w:rsidP="00C830C3">
            <w:pPr>
              <w:spacing w:line="360" w:lineRule="auto"/>
              <w:jc w:val="center"/>
              <w:rPr>
                <w:rFonts w:ascii="Arial" w:hAnsi="Arial" w:cs="Arial"/>
                <w:sz w:val="22"/>
                <w:szCs w:val="22"/>
                <w:lang w:val="en-US"/>
              </w:rPr>
            </w:pPr>
          </w:p>
        </w:tc>
      </w:tr>
      <w:tr w:rsidR="0017428B" w:rsidRPr="00C830C3" w14:paraId="62348F8D" w14:textId="77777777">
        <w:tblPrEx>
          <w:tblCellMar>
            <w:top w:w="0" w:type="dxa"/>
            <w:bottom w:w="0" w:type="dxa"/>
          </w:tblCellMar>
        </w:tblPrEx>
        <w:tc>
          <w:tcPr>
            <w:tcW w:w="23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34ADF85"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sz w:val="22"/>
                <w:szCs w:val="22"/>
                <w:lang w:val="en-US"/>
              </w:rPr>
              <w:t>2. Surface Acting</w:t>
            </w:r>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A6DC397"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3.10</w:t>
            </w:r>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FF53C44"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0.90</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E15D054"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.42**</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5E5CEE6"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C3F4A17" w14:textId="77777777" w:rsidR="0017428B" w:rsidRPr="00C830C3" w:rsidRDefault="0017428B" w:rsidP="00C830C3">
            <w:pPr>
              <w:spacing w:line="360" w:lineRule="auto"/>
              <w:jc w:val="center"/>
              <w:rPr>
                <w:rFonts w:ascii="Arial" w:hAnsi="Arial" w:cs="Arial"/>
                <w:sz w:val="22"/>
                <w:szCs w:val="22"/>
                <w:lang w:val="en-US"/>
              </w:rPr>
            </w:pPr>
          </w:p>
        </w:tc>
        <w:tc>
          <w:tcPr>
            <w:tcW w:w="15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30A037C" w14:textId="77777777" w:rsidR="0017428B" w:rsidRPr="00C830C3" w:rsidRDefault="0017428B" w:rsidP="00C830C3">
            <w:pPr>
              <w:spacing w:line="360" w:lineRule="auto"/>
              <w:jc w:val="center"/>
              <w:rPr>
                <w:rFonts w:ascii="Arial" w:hAnsi="Arial" w:cs="Arial"/>
                <w:sz w:val="22"/>
                <w:szCs w:val="22"/>
                <w:lang w:val="en-US"/>
              </w:rPr>
            </w:pPr>
          </w:p>
        </w:tc>
      </w:tr>
      <w:tr w:rsidR="0017428B" w:rsidRPr="00C830C3" w14:paraId="51C54C1B" w14:textId="77777777">
        <w:tblPrEx>
          <w:tblCellMar>
            <w:top w:w="0" w:type="dxa"/>
            <w:bottom w:w="0" w:type="dxa"/>
          </w:tblCellMar>
        </w:tblPrEx>
        <w:tc>
          <w:tcPr>
            <w:tcW w:w="23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573F675"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sz w:val="22"/>
                <w:szCs w:val="22"/>
                <w:lang w:val="en-US"/>
              </w:rPr>
              <w:t>3. Emotional Exhaustion</w:t>
            </w:r>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CC29F01"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24.30</w:t>
            </w:r>
          </w:p>
        </w:tc>
        <w:tc>
          <w:tcPr>
            <w:tcW w:w="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15A9B30"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7.80</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C00789F"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.54**</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9205316"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.45**</w:t>
            </w:r>
          </w:p>
        </w:tc>
        <w:tc>
          <w:tcPr>
            <w:tcW w:w="12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8205F56"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w:t>
            </w:r>
          </w:p>
        </w:tc>
        <w:tc>
          <w:tcPr>
            <w:tcW w:w="158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CF6591C" w14:textId="77777777" w:rsidR="0017428B" w:rsidRPr="00C830C3" w:rsidRDefault="0017428B" w:rsidP="00C830C3">
            <w:pPr>
              <w:spacing w:line="360" w:lineRule="auto"/>
              <w:jc w:val="center"/>
              <w:rPr>
                <w:rFonts w:ascii="Arial" w:hAnsi="Arial" w:cs="Arial"/>
                <w:sz w:val="22"/>
                <w:szCs w:val="22"/>
                <w:lang w:val="en-US"/>
              </w:rPr>
            </w:pPr>
          </w:p>
        </w:tc>
      </w:tr>
      <w:tr w:rsidR="0017428B" w:rsidRPr="00C830C3" w14:paraId="5D1A479B" w14:textId="77777777">
        <w:tblPrEx>
          <w:tblCellMar>
            <w:top w:w="0" w:type="dxa"/>
            <w:bottom w:w="0" w:type="dxa"/>
          </w:tblCellMar>
        </w:tblPrEx>
        <w:tc>
          <w:tcPr>
            <w:tcW w:w="2350"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190585D9"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sz w:val="22"/>
                <w:szCs w:val="22"/>
                <w:lang w:val="en-US"/>
              </w:rPr>
              <w:t>4. Depression (PHQ-9)</w:t>
            </w:r>
          </w:p>
        </w:tc>
        <w:tc>
          <w:tcPr>
            <w:tcW w:w="900"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03EC87BD"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8.40</w:t>
            </w:r>
          </w:p>
        </w:tc>
        <w:tc>
          <w:tcPr>
            <w:tcW w:w="900"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24201017"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5.10</w:t>
            </w:r>
          </w:p>
        </w:tc>
        <w:tc>
          <w:tcPr>
            <w:tcW w:w="1210"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7D15FF32"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.47**</w:t>
            </w:r>
          </w:p>
        </w:tc>
        <w:tc>
          <w:tcPr>
            <w:tcW w:w="1210"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4FEC0DE2"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.39**</w:t>
            </w:r>
          </w:p>
        </w:tc>
        <w:tc>
          <w:tcPr>
            <w:tcW w:w="1210"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2DDD8685"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.61**</w:t>
            </w:r>
          </w:p>
        </w:tc>
        <w:tc>
          <w:tcPr>
            <w:tcW w:w="1580"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267E79FB"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w:t>
            </w:r>
          </w:p>
        </w:tc>
      </w:tr>
    </w:tbl>
    <w:p w14:paraId="5439F2B4"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i/>
          <w:iCs/>
          <w:sz w:val="22"/>
          <w:szCs w:val="22"/>
          <w:lang w:val="en-US"/>
        </w:rPr>
        <w:t>Note.</w:t>
      </w:r>
      <w:r w:rsidRPr="00C830C3">
        <w:rPr>
          <w:rFonts w:ascii="Arial" w:hAnsi="Arial" w:cs="Arial"/>
          <w:sz w:val="22"/>
          <w:szCs w:val="22"/>
          <w:lang w:val="en-US"/>
        </w:rPr>
        <w:t xml:space="preserve"> </w:t>
      </w:r>
      <w:r w:rsidRPr="00C830C3">
        <w:rPr>
          <w:rFonts w:ascii="Arial" w:hAnsi="Arial" w:cs="Arial"/>
          <w:i/>
          <w:iCs/>
          <w:sz w:val="22"/>
          <w:szCs w:val="22"/>
          <w:lang w:val="en-US"/>
        </w:rPr>
        <w:t>N</w:t>
      </w:r>
      <w:r w:rsidRPr="00C830C3">
        <w:rPr>
          <w:rFonts w:ascii="Arial" w:hAnsi="Arial" w:cs="Arial"/>
          <w:sz w:val="22"/>
          <w:szCs w:val="22"/>
          <w:lang w:val="en-US"/>
        </w:rPr>
        <w:t xml:space="preserve"> = 312. Values are Pearson correlation coefficients. </w:t>
      </w:r>
      <w:r w:rsidRPr="00C830C3">
        <w:rPr>
          <w:rFonts w:ascii="Arial" w:hAnsi="Arial" w:cs="Arial"/>
          <w:i/>
          <w:iCs/>
          <w:sz w:val="22"/>
          <w:szCs w:val="22"/>
          <w:lang w:val="en-US"/>
        </w:rPr>
        <w:t>M</w:t>
      </w:r>
      <w:r w:rsidRPr="00C830C3">
        <w:rPr>
          <w:rFonts w:ascii="Arial" w:hAnsi="Arial" w:cs="Arial"/>
          <w:sz w:val="22"/>
          <w:szCs w:val="22"/>
          <w:lang w:val="en-US"/>
        </w:rPr>
        <w:t xml:space="preserve"> and </w:t>
      </w:r>
      <w:r w:rsidRPr="00C830C3">
        <w:rPr>
          <w:rFonts w:ascii="Arial" w:hAnsi="Arial" w:cs="Arial"/>
          <w:i/>
          <w:iCs/>
          <w:sz w:val="22"/>
          <w:szCs w:val="22"/>
          <w:lang w:val="en-US"/>
        </w:rPr>
        <w:t>SD</w:t>
      </w:r>
      <w:r w:rsidRPr="00C830C3">
        <w:rPr>
          <w:rFonts w:ascii="Arial" w:hAnsi="Arial" w:cs="Arial"/>
          <w:sz w:val="22"/>
          <w:szCs w:val="22"/>
          <w:lang w:val="en-US"/>
        </w:rPr>
        <w:t xml:space="preserve"> denote arithmetic mean and standard deviation, respectively. ERI = Effort-Reward Imbalance; MBI-EE = Maslach Burnout Inventory – Emotional Exhaustion; PHQ-9 = Patient Health Questionnaire-9.</w:t>
      </w:r>
    </w:p>
    <w:p w14:paraId="4E20C4B9"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i/>
          <w:iCs/>
          <w:sz w:val="22"/>
          <w:szCs w:val="22"/>
          <w:lang w:val="en-US"/>
        </w:rPr>
        <w:t xml:space="preserve"> </w:t>
      </w:r>
      <w:r w:rsidRPr="00C830C3">
        <w:rPr>
          <w:rFonts w:ascii="Arial" w:hAnsi="Arial" w:cs="Arial"/>
          <w:sz w:val="22"/>
          <w:szCs w:val="22"/>
          <w:lang w:val="en-US"/>
        </w:rPr>
        <w:t>p &lt; .01 (two-tailed).</w:t>
      </w:r>
    </w:p>
    <w:p w14:paraId="5A27C52C" w14:textId="77777777" w:rsidR="0017428B" w:rsidRPr="00C830C3" w:rsidRDefault="0017428B" w:rsidP="00C830C3">
      <w:pPr>
        <w:spacing w:line="360" w:lineRule="auto"/>
        <w:rPr>
          <w:rFonts w:ascii="Arial" w:hAnsi="Arial" w:cs="Arial"/>
          <w:sz w:val="22"/>
          <w:szCs w:val="22"/>
          <w:lang w:val="en-US"/>
        </w:rPr>
      </w:pPr>
    </w:p>
    <w:p w14:paraId="42C40C44"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4.3 Main Analysis: Mediation of the ERI–Burnout and ERI–Depression Pathways</w:t>
      </w:r>
    </w:p>
    <w:p w14:paraId="76175A07"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 results of the PROCESS Model 4 mediation analyses are presented in Table 3. With respect to Outcome 1 (emotional exhaustion), the direct effect of effort-reward imbalance on emotional exhaustion remained significant after the inclusion of surface acting as a mediator (</w:t>
      </w:r>
      <w:r w:rsidRPr="00C830C3">
        <w:rPr>
          <w:rFonts w:ascii="Arial" w:hAnsi="Arial" w:cs="Arial"/>
          <w:i/>
          <w:iCs/>
          <w:sz w:val="22"/>
          <w:szCs w:val="22"/>
          <w:lang w:val="en-US"/>
        </w:rPr>
        <w:t>β</w:t>
      </w:r>
      <w:r w:rsidRPr="00C830C3">
        <w:rPr>
          <w:rFonts w:ascii="Arial" w:hAnsi="Arial" w:cs="Arial"/>
          <w:sz w:val="22"/>
          <w:szCs w:val="22"/>
          <w:lang w:val="en-US"/>
        </w:rPr>
        <w:t xml:space="preserve"> = .41, </w:t>
      </w:r>
      <w:r w:rsidRPr="00C830C3">
        <w:rPr>
          <w:rFonts w:ascii="Arial" w:hAnsi="Arial" w:cs="Arial"/>
          <w:i/>
          <w:iCs/>
          <w:sz w:val="22"/>
          <w:szCs w:val="22"/>
          <w:lang w:val="en-US"/>
        </w:rPr>
        <w:t>p</w:t>
      </w:r>
      <w:r w:rsidRPr="00C830C3">
        <w:rPr>
          <w:rFonts w:ascii="Arial" w:hAnsi="Arial" w:cs="Arial"/>
          <w:sz w:val="22"/>
          <w:szCs w:val="22"/>
          <w:lang w:val="en-US"/>
        </w:rPr>
        <w:t xml:space="preserve"> &lt; .001, 95% CI [.30, .52]), indicating partial rather than full mediation. The direct effect of effort-reward imbalance on surface acting was significant (</w:t>
      </w:r>
      <w:r w:rsidRPr="00C830C3">
        <w:rPr>
          <w:rFonts w:ascii="Arial" w:hAnsi="Arial" w:cs="Arial"/>
          <w:i/>
          <w:iCs/>
          <w:sz w:val="22"/>
          <w:szCs w:val="22"/>
          <w:lang w:val="en-US"/>
        </w:rPr>
        <w:t>β</w:t>
      </w:r>
      <w:r w:rsidRPr="00C830C3">
        <w:rPr>
          <w:rFonts w:ascii="Arial" w:hAnsi="Arial" w:cs="Arial"/>
          <w:sz w:val="22"/>
          <w:szCs w:val="22"/>
          <w:lang w:val="en-US"/>
        </w:rPr>
        <w:t xml:space="preserve"> = .39, </w:t>
      </w:r>
      <w:r w:rsidRPr="00C830C3">
        <w:rPr>
          <w:rFonts w:ascii="Arial" w:hAnsi="Arial" w:cs="Arial"/>
          <w:i/>
          <w:iCs/>
          <w:sz w:val="22"/>
          <w:szCs w:val="22"/>
          <w:lang w:val="en-US"/>
        </w:rPr>
        <w:t>p</w:t>
      </w:r>
      <w:r w:rsidRPr="00C830C3">
        <w:rPr>
          <w:rFonts w:ascii="Arial" w:hAnsi="Arial" w:cs="Arial"/>
          <w:sz w:val="22"/>
          <w:szCs w:val="22"/>
          <w:lang w:val="en-US"/>
        </w:rPr>
        <w:t xml:space="preserve"> &lt; .001, 95% CI [.28, .50]), and surface acting in turn significantly predicted emotional exhaustion while controlling for ERI (</w:t>
      </w:r>
      <w:r w:rsidRPr="00C830C3">
        <w:rPr>
          <w:rFonts w:ascii="Arial" w:hAnsi="Arial" w:cs="Arial"/>
          <w:i/>
          <w:iCs/>
          <w:sz w:val="22"/>
          <w:szCs w:val="22"/>
          <w:lang w:val="en-US"/>
        </w:rPr>
        <w:t>β</w:t>
      </w:r>
      <w:r w:rsidRPr="00C830C3">
        <w:rPr>
          <w:rFonts w:ascii="Arial" w:hAnsi="Arial" w:cs="Arial"/>
          <w:sz w:val="22"/>
          <w:szCs w:val="22"/>
          <w:lang w:val="en-US"/>
        </w:rPr>
        <w:t xml:space="preserve"> = .31, </w:t>
      </w:r>
      <w:r w:rsidRPr="00C830C3">
        <w:rPr>
          <w:rFonts w:ascii="Arial" w:hAnsi="Arial" w:cs="Arial"/>
          <w:i/>
          <w:iCs/>
          <w:sz w:val="22"/>
          <w:szCs w:val="22"/>
          <w:lang w:val="en-US"/>
        </w:rPr>
        <w:t>p</w:t>
      </w:r>
      <w:r w:rsidRPr="00C830C3">
        <w:rPr>
          <w:rFonts w:ascii="Arial" w:hAnsi="Arial" w:cs="Arial"/>
          <w:sz w:val="22"/>
          <w:szCs w:val="22"/>
          <w:lang w:val="en-US"/>
        </w:rPr>
        <w:t xml:space="preserve"> &lt; .001, 95% CI [.21, .41]). The bias-corrected bootstrap confidence interval for the indirect effect of ERI on emotional exhaustion through surface acting excluded zero (</w:t>
      </w:r>
      <w:r w:rsidRPr="00C830C3">
        <w:rPr>
          <w:rFonts w:ascii="Arial" w:hAnsi="Arial" w:cs="Arial"/>
          <w:i/>
          <w:iCs/>
          <w:sz w:val="22"/>
          <w:szCs w:val="22"/>
          <w:lang w:val="en-US"/>
        </w:rPr>
        <w:t>β</w:t>
      </w:r>
      <w:r w:rsidRPr="00C830C3">
        <w:rPr>
          <w:rFonts w:ascii="Arial" w:hAnsi="Arial" w:cs="Arial"/>
          <w:sz w:val="22"/>
          <w:szCs w:val="22"/>
          <w:lang w:val="en-US"/>
        </w:rPr>
        <w:t xml:space="preserve"> = .12, 95% CI [.07, .18]), confirming a statistically significant partial mediation. H2a was thus supported.</w:t>
      </w:r>
    </w:p>
    <w:p w14:paraId="78E5A9C3"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Parallel analyses for the ERI–depression pathway revealed an equivalent structural pattern. The direct effect of effort-reward imbalance on depressive symptomatology remained significant after the inclusion of the mediator (</w:t>
      </w:r>
      <w:r w:rsidRPr="00C830C3">
        <w:rPr>
          <w:rFonts w:ascii="Arial" w:hAnsi="Arial" w:cs="Arial"/>
          <w:i/>
          <w:iCs/>
          <w:sz w:val="22"/>
          <w:szCs w:val="22"/>
          <w:lang w:val="en-US"/>
        </w:rPr>
        <w:t>β</w:t>
      </w:r>
      <w:r w:rsidRPr="00C830C3">
        <w:rPr>
          <w:rFonts w:ascii="Arial" w:hAnsi="Arial" w:cs="Arial"/>
          <w:sz w:val="22"/>
          <w:szCs w:val="22"/>
          <w:lang w:val="en-US"/>
        </w:rPr>
        <w:t xml:space="preserve"> = .35, </w:t>
      </w:r>
      <w:r w:rsidRPr="00C830C3">
        <w:rPr>
          <w:rFonts w:ascii="Arial" w:hAnsi="Arial" w:cs="Arial"/>
          <w:i/>
          <w:iCs/>
          <w:sz w:val="22"/>
          <w:szCs w:val="22"/>
          <w:lang w:val="en-US"/>
        </w:rPr>
        <w:t>p</w:t>
      </w:r>
      <w:r w:rsidRPr="00C830C3">
        <w:rPr>
          <w:rFonts w:ascii="Arial" w:hAnsi="Arial" w:cs="Arial"/>
          <w:sz w:val="22"/>
          <w:szCs w:val="22"/>
          <w:lang w:val="en-US"/>
        </w:rPr>
        <w:t xml:space="preserve"> &lt; .001, 95% CI [.24, .46]). Surface acting </w:t>
      </w:r>
      <w:r w:rsidRPr="00C830C3">
        <w:rPr>
          <w:rFonts w:ascii="Arial" w:hAnsi="Arial" w:cs="Arial"/>
          <w:sz w:val="22"/>
          <w:szCs w:val="22"/>
          <w:lang w:val="en-US"/>
        </w:rPr>
        <w:lastRenderedPageBreak/>
        <w:t>significantly predicted depression while controlling for ERI (</w:t>
      </w:r>
      <w:r w:rsidRPr="00C830C3">
        <w:rPr>
          <w:rFonts w:ascii="Arial" w:hAnsi="Arial" w:cs="Arial"/>
          <w:i/>
          <w:iCs/>
          <w:sz w:val="22"/>
          <w:szCs w:val="22"/>
          <w:lang w:val="en-US"/>
        </w:rPr>
        <w:t>β</w:t>
      </w:r>
      <w:r w:rsidRPr="00C830C3">
        <w:rPr>
          <w:rFonts w:ascii="Arial" w:hAnsi="Arial" w:cs="Arial"/>
          <w:sz w:val="22"/>
          <w:szCs w:val="22"/>
          <w:lang w:val="en-US"/>
        </w:rPr>
        <w:t xml:space="preserve"> = .27, </w:t>
      </w:r>
      <w:r w:rsidRPr="00C830C3">
        <w:rPr>
          <w:rFonts w:ascii="Arial" w:hAnsi="Arial" w:cs="Arial"/>
          <w:i/>
          <w:iCs/>
          <w:sz w:val="22"/>
          <w:szCs w:val="22"/>
          <w:lang w:val="en-US"/>
        </w:rPr>
        <w:t>p</w:t>
      </w:r>
      <w:r w:rsidRPr="00C830C3">
        <w:rPr>
          <w:rFonts w:ascii="Arial" w:hAnsi="Arial" w:cs="Arial"/>
          <w:sz w:val="22"/>
          <w:szCs w:val="22"/>
          <w:lang w:val="en-US"/>
        </w:rPr>
        <w:t xml:space="preserve"> &lt; .001, 95% CI [.17, .37]). The indirect effect through surface acting was statistically significant, with the bootstrap CI excluding zero (</w:t>
      </w:r>
      <w:r w:rsidRPr="00C830C3">
        <w:rPr>
          <w:rFonts w:ascii="Arial" w:hAnsi="Arial" w:cs="Arial"/>
          <w:i/>
          <w:iCs/>
          <w:sz w:val="22"/>
          <w:szCs w:val="22"/>
          <w:lang w:val="en-US"/>
        </w:rPr>
        <w:t>β</w:t>
      </w:r>
      <w:r w:rsidRPr="00C830C3">
        <w:rPr>
          <w:rFonts w:ascii="Arial" w:hAnsi="Arial" w:cs="Arial"/>
          <w:sz w:val="22"/>
          <w:szCs w:val="22"/>
          <w:lang w:val="en-US"/>
        </w:rPr>
        <w:t xml:space="preserve"> = .10, 95% CI [.06, .15]). H2b was thus supported. In summary, both mediation hypotheses were confirmed: surface acting functions as a statistically significant partial mediating mechanism in the pathway from effort-reward imbalance to both emotional exhaustion and depression. H1a and H1b were additionally confirmed by the pattern of significant total and direct effects observed across both analytical models.</w:t>
      </w:r>
    </w:p>
    <w:p w14:paraId="1DAE9B59" w14:textId="77777777" w:rsidR="0017428B" w:rsidRPr="00C830C3" w:rsidRDefault="0017428B" w:rsidP="00C830C3">
      <w:pPr>
        <w:spacing w:line="360" w:lineRule="auto"/>
        <w:rPr>
          <w:rFonts w:ascii="Arial" w:hAnsi="Arial" w:cs="Arial"/>
          <w:sz w:val="22"/>
          <w:szCs w:val="22"/>
          <w:lang w:val="en-US"/>
        </w:rPr>
      </w:pPr>
    </w:p>
    <w:p w14:paraId="4E8A6266"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i/>
          <w:iCs/>
          <w:sz w:val="22"/>
          <w:szCs w:val="22"/>
          <w:lang w:val="en-US"/>
        </w:rPr>
        <w:t>Table 3</w:t>
      </w:r>
    </w:p>
    <w:p w14:paraId="2DEDBE52"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i/>
          <w:iCs/>
          <w:sz w:val="22"/>
          <w:szCs w:val="22"/>
          <w:lang w:val="en-US"/>
        </w:rPr>
        <w:t>Mediation Analysis Results: Paths, Direct and Indirect Effects (N = 312)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00"/>
        <w:gridCol w:w="1200"/>
        <w:gridCol w:w="1150"/>
        <w:gridCol w:w="3110"/>
      </w:tblGrid>
      <w:tr w:rsidR="0017428B" w:rsidRPr="00C830C3" w14:paraId="616903BB" w14:textId="77777777">
        <w:tblPrEx>
          <w:tblCellMar>
            <w:top w:w="0" w:type="dxa"/>
            <w:bottom w:w="0" w:type="dxa"/>
          </w:tblCellMar>
        </w:tblPrEx>
        <w:tc>
          <w:tcPr>
            <w:tcW w:w="3900" w:type="dxa"/>
            <w:tcBorders>
              <w:top w:val="single" w:sz="6" w:space="0" w:color="000000"/>
              <w:left w:val="none" w:sz="0" w:space="0" w:color="FFFFFF"/>
              <w:bottom w:val="single" w:sz="3" w:space="0" w:color="000000"/>
              <w:right w:val="none" w:sz="0" w:space="0" w:color="FFFFFF"/>
            </w:tcBorders>
            <w:tcMar>
              <w:top w:w="60" w:type="dxa"/>
              <w:left w:w="80" w:type="dxa"/>
              <w:bottom w:w="60" w:type="dxa"/>
              <w:right w:w="80" w:type="dxa"/>
            </w:tcMar>
          </w:tcPr>
          <w:p w14:paraId="14AB0C69"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b/>
                <w:bCs/>
                <w:sz w:val="22"/>
                <w:szCs w:val="22"/>
                <w:lang w:val="en-US"/>
              </w:rPr>
              <w:t>Pathway</w:t>
            </w:r>
          </w:p>
        </w:tc>
        <w:tc>
          <w:tcPr>
            <w:tcW w:w="1200" w:type="dxa"/>
            <w:tcBorders>
              <w:top w:val="single" w:sz="6" w:space="0" w:color="000000"/>
              <w:left w:val="none" w:sz="0" w:space="0" w:color="FFFFFF"/>
              <w:bottom w:val="single" w:sz="3" w:space="0" w:color="000000"/>
              <w:right w:val="none" w:sz="0" w:space="0" w:color="FFFFFF"/>
            </w:tcBorders>
            <w:tcMar>
              <w:top w:w="60" w:type="dxa"/>
              <w:left w:w="80" w:type="dxa"/>
              <w:bottom w:w="60" w:type="dxa"/>
              <w:right w:w="80" w:type="dxa"/>
            </w:tcMar>
          </w:tcPr>
          <w:p w14:paraId="0107C99A"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i/>
                <w:iCs/>
                <w:sz w:val="22"/>
                <w:szCs w:val="22"/>
                <w:lang w:val="en-US"/>
              </w:rPr>
              <w:t>β</w:t>
            </w:r>
          </w:p>
        </w:tc>
        <w:tc>
          <w:tcPr>
            <w:tcW w:w="1150" w:type="dxa"/>
            <w:tcBorders>
              <w:top w:val="single" w:sz="6" w:space="0" w:color="000000"/>
              <w:left w:val="none" w:sz="0" w:space="0" w:color="FFFFFF"/>
              <w:bottom w:val="single" w:sz="3" w:space="0" w:color="000000"/>
              <w:right w:val="none" w:sz="0" w:space="0" w:color="FFFFFF"/>
            </w:tcBorders>
            <w:tcMar>
              <w:top w:w="60" w:type="dxa"/>
              <w:left w:w="80" w:type="dxa"/>
              <w:bottom w:w="60" w:type="dxa"/>
              <w:right w:w="80" w:type="dxa"/>
            </w:tcMar>
          </w:tcPr>
          <w:p w14:paraId="22CDC7ED"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i/>
                <w:iCs/>
                <w:sz w:val="22"/>
                <w:szCs w:val="22"/>
                <w:lang w:val="en-US"/>
              </w:rPr>
              <w:t>p</w:t>
            </w:r>
          </w:p>
        </w:tc>
        <w:tc>
          <w:tcPr>
            <w:tcW w:w="3110" w:type="dxa"/>
            <w:tcBorders>
              <w:top w:val="single" w:sz="6" w:space="0" w:color="000000"/>
              <w:left w:val="none" w:sz="0" w:space="0" w:color="FFFFFF"/>
              <w:bottom w:val="single" w:sz="3" w:space="0" w:color="000000"/>
              <w:right w:val="none" w:sz="0" w:space="0" w:color="FFFFFF"/>
            </w:tcBorders>
            <w:tcMar>
              <w:top w:w="60" w:type="dxa"/>
              <w:left w:w="80" w:type="dxa"/>
              <w:bottom w:w="60" w:type="dxa"/>
              <w:right w:w="80" w:type="dxa"/>
            </w:tcMar>
          </w:tcPr>
          <w:p w14:paraId="4B7BA4AB"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95% CI</w:t>
            </w:r>
          </w:p>
        </w:tc>
      </w:tr>
      <w:tr w:rsidR="0017428B" w:rsidRPr="00C830C3" w14:paraId="0DDC48B5" w14:textId="77777777">
        <w:tblPrEx>
          <w:tblCellMar>
            <w:top w:w="0" w:type="dxa"/>
            <w:bottom w:w="0" w:type="dxa"/>
          </w:tblCellMar>
        </w:tblPrEx>
        <w:tc>
          <w:tcPr>
            <w:tcW w:w="3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4C109BC"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b/>
                <w:bCs/>
                <w:sz w:val="22"/>
                <w:szCs w:val="22"/>
                <w:lang w:val="en-US"/>
              </w:rPr>
              <w:t>Outcome 1: Emotional Exhaustion (MBI-EE)</w:t>
            </w:r>
          </w:p>
        </w:tc>
        <w:tc>
          <w:tcPr>
            <w:tcW w:w="12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C9F1AE2" w14:textId="77777777" w:rsidR="0017428B" w:rsidRPr="00C830C3" w:rsidRDefault="0017428B" w:rsidP="00C830C3">
            <w:pPr>
              <w:spacing w:line="360" w:lineRule="auto"/>
              <w:jc w:val="center"/>
              <w:rPr>
                <w:rFonts w:ascii="Arial" w:hAnsi="Arial" w:cs="Arial"/>
                <w:sz w:val="22"/>
                <w:szCs w:val="22"/>
                <w:lang w:val="en-US"/>
              </w:rPr>
            </w:pPr>
          </w:p>
        </w:tc>
        <w:tc>
          <w:tcPr>
            <w:tcW w:w="11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ED722AD" w14:textId="77777777" w:rsidR="0017428B" w:rsidRPr="00C830C3" w:rsidRDefault="0017428B" w:rsidP="00C830C3">
            <w:pPr>
              <w:spacing w:line="360" w:lineRule="auto"/>
              <w:jc w:val="center"/>
              <w:rPr>
                <w:rFonts w:ascii="Arial" w:hAnsi="Arial" w:cs="Arial"/>
                <w:sz w:val="22"/>
                <w:szCs w:val="22"/>
                <w:lang w:val="en-US"/>
              </w:rPr>
            </w:pPr>
          </w:p>
        </w:tc>
        <w:tc>
          <w:tcPr>
            <w:tcW w:w="31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E5A00C4" w14:textId="77777777" w:rsidR="0017428B" w:rsidRPr="00C830C3" w:rsidRDefault="0017428B" w:rsidP="00C830C3">
            <w:pPr>
              <w:spacing w:line="360" w:lineRule="auto"/>
              <w:jc w:val="center"/>
              <w:rPr>
                <w:rFonts w:ascii="Arial" w:hAnsi="Arial" w:cs="Arial"/>
                <w:sz w:val="22"/>
                <w:szCs w:val="22"/>
                <w:lang w:val="en-US"/>
              </w:rPr>
            </w:pPr>
          </w:p>
        </w:tc>
      </w:tr>
      <w:tr w:rsidR="0017428B" w:rsidRPr="00C830C3" w14:paraId="181777A3" w14:textId="77777777">
        <w:tblPrEx>
          <w:tblCellMar>
            <w:top w:w="0" w:type="dxa"/>
            <w:bottom w:w="0" w:type="dxa"/>
          </w:tblCellMar>
        </w:tblPrEx>
        <w:tc>
          <w:tcPr>
            <w:tcW w:w="3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6DDF1A3"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sz w:val="22"/>
                <w:szCs w:val="22"/>
                <w:lang w:val="en-US"/>
              </w:rPr>
              <w:t xml:space="preserve">  Direct: ERI → MBI-EE</w:t>
            </w:r>
          </w:p>
        </w:tc>
        <w:tc>
          <w:tcPr>
            <w:tcW w:w="12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B8BE8A9"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.41</w:t>
            </w:r>
          </w:p>
        </w:tc>
        <w:tc>
          <w:tcPr>
            <w:tcW w:w="11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1696B31"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&lt; .001</w:t>
            </w:r>
          </w:p>
        </w:tc>
        <w:tc>
          <w:tcPr>
            <w:tcW w:w="31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44221CD"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[.30, .52]</w:t>
            </w:r>
          </w:p>
        </w:tc>
      </w:tr>
      <w:tr w:rsidR="0017428B" w:rsidRPr="00C830C3" w14:paraId="528FE2A1" w14:textId="77777777">
        <w:tblPrEx>
          <w:tblCellMar>
            <w:top w:w="0" w:type="dxa"/>
            <w:bottom w:w="0" w:type="dxa"/>
          </w:tblCellMar>
        </w:tblPrEx>
        <w:tc>
          <w:tcPr>
            <w:tcW w:w="3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7556A9A"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sz w:val="22"/>
                <w:szCs w:val="22"/>
                <w:lang w:val="en-US"/>
              </w:rPr>
              <w:t xml:space="preserve">  Direct: ERI → Surface Acting (SA)</w:t>
            </w:r>
          </w:p>
        </w:tc>
        <w:tc>
          <w:tcPr>
            <w:tcW w:w="12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2E76D3E"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.39</w:t>
            </w:r>
          </w:p>
        </w:tc>
        <w:tc>
          <w:tcPr>
            <w:tcW w:w="11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3568818"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&lt; .001</w:t>
            </w:r>
          </w:p>
        </w:tc>
        <w:tc>
          <w:tcPr>
            <w:tcW w:w="31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9AFA669"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[.28, .50]</w:t>
            </w:r>
          </w:p>
        </w:tc>
      </w:tr>
      <w:tr w:rsidR="0017428B" w:rsidRPr="00C830C3" w14:paraId="5A983E50" w14:textId="77777777">
        <w:tblPrEx>
          <w:tblCellMar>
            <w:top w:w="0" w:type="dxa"/>
            <w:bottom w:w="0" w:type="dxa"/>
          </w:tblCellMar>
        </w:tblPrEx>
        <w:tc>
          <w:tcPr>
            <w:tcW w:w="3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4F6208A"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sz w:val="22"/>
                <w:szCs w:val="22"/>
                <w:lang w:val="en-US"/>
              </w:rPr>
              <w:t xml:space="preserve">  Direct: SA → MBI-EE (controlling ERI)</w:t>
            </w:r>
          </w:p>
        </w:tc>
        <w:tc>
          <w:tcPr>
            <w:tcW w:w="12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14B371C"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.31</w:t>
            </w:r>
          </w:p>
        </w:tc>
        <w:tc>
          <w:tcPr>
            <w:tcW w:w="11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D8DF314"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&lt; .001</w:t>
            </w:r>
          </w:p>
        </w:tc>
        <w:tc>
          <w:tcPr>
            <w:tcW w:w="31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9B3322A"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[.21, .41]</w:t>
            </w:r>
          </w:p>
        </w:tc>
      </w:tr>
      <w:tr w:rsidR="0017428B" w:rsidRPr="00C830C3" w14:paraId="58F7001B" w14:textId="77777777">
        <w:tblPrEx>
          <w:tblCellMar>
            <w:top w:w="0" w:type="dxa"/>
            <w:bottom w:w="0" w:type="dxa"/>
          </w:tblCellMar>
        </w:tblPrEx>
        <w:tc>
          <w:tcPr>
            <w:tcW w:w="3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D9B60BA"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i/>
                <w:iCs/>
                <w:sz w:val="22"/>
                <w:szCs w:val="22"/>
                <w:lang w:val="en-US"/>
              </w:rPr>
              <w:t xml:space="preserve">  Indirect: ERI → SA → MBI-EE</w:t>
            </w:r>
          </w:p>
        </w:tc>
        <w:tc>
          <w:tcPr>
            <w:tcW w:w="12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CDA74FE"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.12</w:t>
            </w:r>
          </w:p>
        </w:tc>
        <w:tc>
          <w:tcPr>
            <w:tcW w:w="11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3C721AC"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w:t>
            </w:r>
          </w:p>
        </w:tc>
        <w:tc>
          <w:tcPr>
            <w:tcW w:w="31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9637E74"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[.07, .18]</w:t>
            </w:r>
          </w:p>
        </w:tc>
      </w:tr>
      <w:tr w:rsidR="0017428B" w:rsidRPr="00C830C3" w14:paraId="211A95B8" w14:textId="77777777">
        <w:tblPrEx>
          <w:tblCellMar>
            <w:top w:w="0" w:type="dxa"/>
            <w:bottom w:w="0" w:type="dxa"/>
          </w:tblCellMar>
        </w:tblPrEx>
        <w:tc>
          <w:tcPr>
            <w:tcW w:w="3900" w:type="dxa"/>
            <w:tcBorders>
              <w:top w:val="single" w:sz="3" w:space="0" w:color="000000"/>
              <w:left w:val="none" w:sz="0" w:space="0" w:color="FFFFFF"/>
              <w:bottom w:val="none" w:sz="0" w:space="0" w:color="FFFFFF"/>
              <w:right w:val="none" w:sz="0" w:space="0" w:color="FFFFFF"/>
            </w:tcBorders>
            <w:tcMar>
              <w:top w:w="60" w:type="dxa"/>
              <w:left w:w="80" w:type="dxa"/>
              <w:bottom w:w="60" w:type="dxa"/>
              <w:right w:w="80" w:type="dxa"/>
            </w:tcMar>
          </w:tcPr>
          <w:p w14:paraId="16CBEF17"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b/>
                <w:bCs/>
                <w:sz w:val="22"/>
                <w:szCs w:val="22"/>
                <w:lang w:val="en-US"/>
              </w:rPr>
              <w:t>Outcome 2: Depression (PHQ-9)</w:t>
            </w:r>
          </w:p>
        </w:tc>
        <w:tc>
          <w:tcPr>
            <w:tcW w:w="1200" w:type="dxa"/>
            <w:tcBorders>
              <w:top w:val="single" w:sz="3" w:space="0" w:color="000000"/>
              <w:left w:val="none" w:sz="0" w:space="0" w:color="FFFFFF"/>
              <w:bottom w:val="none" w:sz="0" w:space="0" w:color="FFFFFF"/>
              <w:right w:val="none" w:sz="0" w:space="0" w:color="FFFFFF"/>
            </w:tcBorders>
            <w:tcMar>
              <w:top w:w="60" w:type="dxa"/>
              <w:left w:w="80" w:type="dxa"/>
              <w:bottom w:w="60" w:type="dxa"/>
              <w:right w:w="80" w:type="dxa"/>
            </w:tcMar>
          </w:tcPr>
          <w:p w14:paraId="28A012AF" w14:textId="77777777" w:rsidR="0017428B" w:rsidRPr="00C830C3" w:rsidRDefault="0017428B" w:rsidP="00C830C3">
            <w:pPr>
              <w:spacing w:line="360" w:lineRule="auto"/>
              <w:jc w:val="center"/>
              <w:rPr>
                <w:rFonts w:ascii="Arial" w:hAnsi="Arial" w:cs="Arial"/>
                <w:sz w:val="22"/>
                <w:szCs w:val="22"/>
                <w:lang w:val="en-US"/>
              </w:rPr>
            </w:pPr>
          </w:p>
        </w:tc>
        <w:tc>
          <w:tcPr>
            <w:tcW w:w="1150" w:type="dxa"/>
            <w:tcBorders>
              <w:top w:val="single" w:sz="3" w:space="0" w:color="000000"/>
              <w:left w:val="none" w:sz="0" w:space="0" w:color="FFFFFF"/>
              <w:bottom w:val="none" w:sz="0" w:space="0" w:color="FFFFFF"/>
              <w:right w:val="none" w:sz="0" w:space="0" w:color="FFFFFF"/>
            </w:tcBorders>
            <w:tcMar>
              <w:top w:w="60" w:type="dxa"/>
              <w:left w:w="80" w:type="dxa"/>
              <w:bottom w:w="60" w:type="dxa"/>
              <w:right w:w="80" w:type="dxa"/>
            </w:tcMar>
          </w:tcPr>
          <w:p w14:paraId="1FF98870" w14:textId="77777777" w:rsidR="0017428B" w:rsidRPr="00C830C3" w:rsidRDefault="0017428B" w:rsidP="00C830C3">
            <w:pPr>
              <w:spacing w:line="360" w:lineRule="auto"/>
              <w:jc w:val="center"/>
              <w:rPr>
                <w:rFonts w:ascii="Arial" w:hAnsi="Arial" w:cs="Arial"/>
                <w:sz w:val="22"/>
                <w:szCs w:val="22"/>
                <w:lang w:val="en-US"/>
              </w:rPr>
            </w:pPr>
          </w:p>
        </w:tc>
        <w:tc>
          <w:tcPr>
            <w:tcW w:w="3110" w:type="dxa"/>
            <w:tcBorders>
              <w:top w:val="single" w:sz="3" w:space="0" w:color="000000"/>
              <w:left w:val="none" w:sz="0" w:space="0" w:color="FFFFFF"/>
              <w:bottom w:val="none" w:sz="0" w:space="0" w:color="FFFFFF"/>
              <w:right w:val="none" w:sz="0" w:space="0" w:color="FFFFFF"/>
            </w:tcBorders>
            <w:tcMar>
              <w:top w:w="60" w:type="dxa"/>
              <w:left w:w="80" w:type="dxa"/>
              <w:bottom w:w="60" w:type="dxa"/>
              <w:right w:w="80" w:type="dxa"/>
            </w:tcMar>
          </w:tcPr>
          <w:p w14:paraId="42F3E164" w14:textId="77777777" w:rsidR="0017428B" w:rsidRPr="00C830C3" w:rsidRDefault="0017428B" w:rsidP="00C830C3">
            <w:pPr>
              <w:spacing w:line="360" w:lineRule="auto"/>
              <w:jc w:val="center"/>
              <w:rPr>
                <w:rFonts w:ascii="Arial" w:hAnsi="Arial" w:cs="Arial"/>
                <w:sz w:val="22"/>
                <w:szCs w:val="22"/>
                <w:lang w:val="en-US"/>
              </w:rPr>
            </w:pPr>
          </w:p>
        </w:tc>
      </w:tr>
      <w:tr w:rsidR="0017428B" w:rsidRPr="00C830C3" w14:paraId="16D8AAB6" w14:textId="77777777">
        <w:tblPrEx>
          <w:tblCellMar>
            <w:top w:w="0" w:type="dxa"/>
            <w:bottom w:w="0" w:type="dxa"/>
          </w:tblCellMar>
        </w:tblPrEx>
        <w:tc>
          <w:tcPr>
            <w:tcW w:w="3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3EE65E6"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sz w:val="22"/>
                <w:szCs w:val="22"/>
                <w:lang w:val="en-US"/>
              </w:rPr>
              <w:t xml:space="preserve">  Direct: ERI → PHQ-9</w:t>
            </w:r>
          </w:p>
        </w:tc>
        <w:tc>
          <w:tcPr>
            <w:tcW w:w="12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BC7E8EB"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.35</w:t>
            </w:r>
          </w:p>
        </w:tc>
        <w:tc>
          <w:tcPr>
            <w:tcW w:w="11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F3F5A55"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&lt; .001</w:t>
            </w:r>
          </w:p>
        </w:tc>
        <w:tc>
          <w:tcPr>
            <w:tcW w:w="31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3C795C5A"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[.24, .46]</w:t>
            </w:r>
          </w:p>
        </w:tc>
      </w:tr>
      <w:tr w:rsidR="0017428B" w:rsidRPr="00C830C3" w14:paraId="45FB8D97" w14:textId="77777777">
        <w:tblPrEx>
          <w:tblCellMar>
            <w:top w:w="0" w:type="dxa"/>
            <w:bottom w:w="0" w:type="dxa"/>
          </w:tblCellMar>
        </w:tblPrEx>
        <w:tc>
          <w:tcPr>
            <w:tcW w:w="3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119BC92"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sz w:val="22"/>
                <w:szCs w:val="22"/>
                <w:lang w:val="en-US"/>
              </w:rPr>
              <w:t xml:space="preserve">  Direct: ERI → Surface Acting (SA)</w:t>
            </w:r>
          </w:p>
        </w:tc>
        <w:tc>
          <w:tcPr>
            <w:tcW w:w="12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363E636"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.39</w:t>
            </w:r>
          </w:p>
        </w:tc>
        <w:tc>
          <w:tcPr>
            <w:tcW w:w="11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A836FCC"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&lt; .001</w:t>
            </w:r>
          </w:p>
        </w:tc>
        <w:tc>
          <w:tcPr>
            <w:tcW w:w="31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F64B835"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[.28, .50]</w:t>
            </w:r>
          </w:p>
        </w:tc>
      </w:tr>
      <w:tr w:rsidR="0017428B" w:rsidRPr="00C830C3" w14:paraId="3AC29013" w14:textId="77777777">
        <w:tblPrEx>
          <w:tblCellMar>
            <w:top w:w="0" w:type="dxa"/>
            <w:bottom w:w="0" w:type="dxa"/>
          </w:tblCellMar>
        </w:tblPrEx>
        <w:tc>
          <w:tcPr>
            <w:tcW w:w="39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E73A681"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sz w:val="22"/>
                <w:szCs w:val="22"/>
                <w:lang w:val="en-US"/>
              </w:rPr>
              <w:t xml:space="preserve">  Direct: SA → PHQ-9 (controlling ERI)</w:t>
            </w:r>
          </w:p>
        </w:tc>
        <w:tc>
          <w:tcPr>
            <w:tcW w:w="12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5C79C1A"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.27</w:t>
            </w:r>
          </w:p>
        </w:tc>
        <w:tc>
          <w:tcPr>
            <w:tcW w:w="115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5BC40E0"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&lt; .001</w:t>
            </w:r>
          </w:p>
        </w:tc>
        <w:tc>
          <w:tcPr>
            <w:tcW w:w="311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211AA64"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[.17, .37]</w:t>
            </w:r>
          </w:p>
        </w:tc>
      </w:tr>
      <w:tr w:rsidR="0017428B" w:rsidRPr="00C830C3" w14:paraId="78582EEA" w14:textId="77777777">
        <w:tblPrEx>
          <w:tblCellMar>
            <w:top w:w="0" w:type="dxa"/>
            <w:bottom w:w="0" w:type="dxa"/>
          </w:tblCellMar>
        </w:tblPrEx>
        <w:tc>
          <w:tcPr>
            <w:tcW w:w="3900"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551E0942"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i/>
                <w:iCs/>
                <w:sz w:val="22"/>
                <w:szCs w:val="22"/>
                <w:lang w:val="en-US"/>
              </w:rPr>
              <w:t xml:space="preserve">  Indirect: ERI → SA → PHQ-9</w:t>
            </w:r>
          </w:p>
        </w:tc>
        <w:tc>
          <w:tcPr>
            <w:tcW w:w="1200"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7C561971"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.10</w:t>
            </w:r>
          </w:p>
        </w:tc>
        <w:tc>
          <w:tcPr>
            <w:tcW w:w="1150"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0E1AF68B"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w:t>
            </w:r>
          </w:p>
        </w:tc>
        <w:tc>
          <w:tcPr>
            <w:tcW w:w="3110" w:type="dxa"/>
            <w:tcBorders>
              <w:top w:val="none" w:sz="0" w:space="0" w:color="FFFFFF"/>
              <w:left w:val="none" w:sz="0" w:space="0" w:color="FFFFFF"/>
              <w:bottom w:val="single" w:sz="6" w:space="0" w:color="000000"/>
              <w:right w:val="none" w:sz="0" w:space="0" w:color="FFFFFF"/>
            </w:tcBorders>
            <w:tcMar>
              <w:top w:w="60" w:type="dxa"/>
              <w:left w:w="80" w:type="dxa"/>
              <w:bottom w:w="60" w:type="dxa"/>
              <w:right w:w="80" w:type="dxa"/>
            </w:tcMar>
          </w:tcPr>
          <w:p w14:paraId="3B70FAF4" w14:textId="77777777" w:rsidR="0017428B" w:rsidRPr="00C830C3" w:rsidRDefault="00000000" w:rsidP="00C830C3">
            <w:pPr>
              <w:spacing w:line="360" w:lineRule="auto"/>
              <w:jc w:val="center"/>
              <w:rPr>
                <w:rFonts w:ascii="Arial" w:hAnsi="Arial" w:cs="Arial"/>
                <w:sz w:val="22"/>
                <w:szCs w:val="22"/>
                <w:lang w:val="en-US"/>
              </w:rPr>
            </w:pPr>
            <w:r w:rsidRPr="00C830C3">
              <w:rPr>
                <w:rFonts w:ascii="Arial" w:hAnsi="Arial" w:cs="Arial"/>
                <w:sz w:val="22"/>
                <w:szCs w:val="22"/>
                <w:lang w:val="en-US"/>
              </w:rPr>
              <w:t>[.06, .15]</w:t>
            </w:r>
          </w:p>
        </w:tc>
      </w:tr>
    </w:tbl>
    <w:p w14:paraId="6A0CC3C3" w14:textId="77777777" w:rsidR="0017428B" w:rsidRPr="00C830C3" w:rsidRDefault="00000000" w:rsidP="00C830C3">
      <w:pPr>
        <w:spacing w:line="360" w:lineRule="auto"/>
        <w:rPr>
          <w:rFonts w:ascii="Arial" w:hAnsi="Arial" w:cs="Arial"/>
          <w:sz w:val="22"/>
          <w:szCs w:val="22"/>
          <w:lang w:val="en-US"/>
        </w:rPr>
      </w:pPr>
      <w:r w:rsidRPr="00C830C3">
        <w:rPr>
          <w:rFonts w:ascii="Arial" w:hAnsi="Arial" w:cs="Arial"/>
          <w:i/>
          <w:iCs/>
          <w:sz w:val="22"/>
          <w:szCs w:val="22"/>
          <w:lang w:val="en-US"/>
        </w:rPr>
        <w:t>Note.</w:t>
      </w:r>
      <w:r w:rsidRPr="00C830C3">
        <w:rPr>
          <w:rFonts w:ascii="Arial" w:hAnsi="Arial" w:cs="Arial"/>
          <w:sz w:val="22"/>
          <w:szCs w:val="22"/>
          <w:lang w:val="en-US"/>
        </w:rPr>
        <w:t xml:space="preserve"> </w:t>
      </w:r>
      <w:r w:rsidRPr="00C830C3">
        <w:rPr>
          <w:rFonts w:ascii="Arial" w:hAnsi="Arial" w:cs="Arial"/>
          <w:i/>
          <w:iCs/>
          <w:sz w:val="22"/>
          <w:szCs w:val="22"/>
          <w:lang w:val="en-US"/>
        </w:rPr>
        <w:t>β</w:t>
      </w:r>
      <w:r w:rsidRPr="00C830C3">
        <w:rPr>
          <w:rFonts w:ascii="Arial" w:hAnsi="Arial" w:cs="Arial"/>
          <w:sz w:val="22"/>
          <w:szCs w:val="22"/>
          <w:lang w:val="en-US"/>
        </w:rPr>
        <w:t xml:space="preserve"> = standardized regression coefficient; CI = confidence interval based on bias-corrected bootstrapping with 5,000 resamples (Hayes, 2018); SA = Surface Acting; ERI = Effort-Reward Imbalance; MBI-EE = Maslach Burnout Inventory – Emotional Exhaustion subscale; PHQ-9 = Patient Health Questionnaire-9. Dashes (—) in the </w:t>
      </w:r>
      <w:r w:rsidRPr="00C830C3">
        <w:rPr>
          <w:rFonts w:ascii="Arial" w:hAnsi="Arial" w:cs="Arial"/>
          <w:i/>
          <w:iCs/>
          <w:sz w:val="22"/>
          <w:szCs w:val="22"/>
          <w:lang w:val="en-US"/>
        </w:rPr>
        <w:t>p</w:t>
      </w:r>
      <w:r w:rsidRPr="00C830C3">
        <w:rPr>
          <w:rFonts w:ascii="Arial" w:hAnsi="Arial" w:cs="Arial"/>
          <w:sz w:val="22"/>
          <w:szCs w:val="22"/>
          <w:lang w:val="en-US"/>
        </w:rPr>
        <w:t xml:space="preserve">-value column for indirect effects indicate use of bootstrap CIs rather than parametric significance tests. All direct effects tested at </w:t>
      </w:r>
      <w:r w:rsidRPr="00C830C3">
        <w:rPr>
          <w:rFonts w:ascii="Arial" w:hAnsi="Arial" w:cs="Arial"/>
          <w:i/>
          <w:iCs/>
          <w:sz w:val="22"/>
          <w:szCs w:val="22"/>
          <w:lang w:val="en-US"/>
        </w:rPr>
        <w:t>α</w:t>
      </w:r>
      <w:r w:rsidRPr="00C830C3">
        <w:rPr>
          <w:rFonts w:ascii="Arial" w:hAnsi="Arial" w:cs="Arial"/>
          <w:sz w:val="22"/>
          <w:szCs w:val="22"/>
          <w:lang w:val="en-US"/>
        </w:rPr>
        <w:t xml:space="preserve"> = .05.</w:t>
      </w:r>
    </w:p>
    <w:p w14:paraId="06BEFA51" w14:textId="77777777" w:rsidR="0017428B" w:rsidRPr="00C830C3" w:rsidRDefault="0017428B" w:rsidP="00C830C3">
      <w:pPr>
        <w:spacing w:line="360" w:lineRule="auto"/>
        <w:rPr>
          <w:rFonts w:ascii="Arial" w:hAnsi="Arial" w:cs="Arial"/>
          <w:sz w:val="22"/>
          <w:szCs w:val="22"/>
          <w:lang w:val="en-US"/>
        </w:rPr>
      </w:pPr>
    </w:p>
    <w:p w14:paraId="6795AD2C" w14:textId="77777777" w:rsidR="0017428B" w:rsidRPr="00C830C3" w:rsidRDefault="00000000" w:rsidP="00C830C3">
      <w:pPr>
        <w:spacing w:before="480" w:line="360" w:lineRule="auto"/>
        <w:jc w:val="center"/>
        <w:rPr>
          <w:rFonts w:ascii="Arial" w:hAnsi="Arial" w:cs="Arial"/>
          <w:sz w:val="22"/>
          <w:szCs w:val="22"/>
          <w:lang w:val="en-US"/>
        </w:rPr>
      </w:pPr>
      <w:r w:rsidRPr="00C830C3">
        <w:rPr>
          <w:rFonts w:ascii="Arial" w:hAnsi="Arial" w:cs="Arial"/>
          <w:b/>
          <w:bCs/>
          <w:sz w:val="22"/>
          <w:szCs w:val="22"/>
          <w:lang w:val="en-US"/>
        </w:rPr>
        <w:lastRenderedPageBreak/>
        <w:t>5. Discussion</w:t>
      </w:r>
    </w:p>
    <w:p w14:paraId="74215037"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5.1 Summary and Theoretical Integration</w:t>
      </w:r>
    </w:p>
    <w:p w14:paraId="3D0F4903"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 present investigation set out to examine whether surface acting as a form of emotional labor mediates the associations between effort-reward imbalance and the dual outcomes of burnout and depression among German social work professionals. The findings consistently supported this hypothesis: effort-reward imbalance significantly predicted both emotional exhaustion (</w:t>
      </w:r>
      <w:r w:rsidRPr="00C830C3">
        <w:rPr>
          <w:rFonts w:ascii="Arial" w:hAnsi="Arial" w:cs="Arial"/>
          <w:i/>
          <w:iCs/>
          <w:sz w:val="22"/>
          <w:szCs w:val="22"/>
          <w:lang w:val="en-US"/>
        </w:rPr>
        <w:t>β</w:t>
      </w:r>
      <w:r w:rsidRPr="00C830C3">
        <w:rPr>
          <w:rFonts w:ascii="Arial" w:hAnsi="Arial" w:cs="Arial"/>
          <w:sz w:val="22"/>
          <w:szCs w:val="22"/>
          <w:lang w:val="en-US"/>
        </w:rPr>
        <w:t xml:space="preserve"> = .48 total effect) and depressive symptomatology (</w:t>
      </w:r>
      <w:r w:rsidRPr="00C830C3">
        <w:rPr>
          <w:rFonts w:ascii="Arial" w:hAnsi="Arial" w:cs="Arial"/>
          <w:i/>
          <w:iCs/>
          <w:sz w:val="22"/>
          <w:szCs w:val="22"/>
          <w:lang w:val="en-US"/>
        </w:rPr>
        <w:t>β</w:t>
      </w:r>
      <w:r w:rsidRPr="00C830C3">
        <w:rPr>
          <w:rFonts w:ascii="Arial" w:hAnsi="Arial" w:cs="Arial"/>
          <w:sz w:val="22"/>
          <w:szCs w:val="22"/>
          <w:lang w:val="en-US"/>
        </w:rPr>
        <w:t xml:space="preserve"> = .42 total effect), and surface acting emerged as a statistically significant partial mediator of both relationships, with indirect effects robust to bootstrap resampling across 5,000 iterations. These findings constitute, to the authors' knowledge, the first simultaneous examination of these mediation pathways in a German social work sample using validated instruments for all constructs and a state-of-the-art bootstrap procedure for indirect-effect estimation.</w:t>
      </w:r>
    </w:p>
    <w:p w14:paraId="0E70DBAC"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These findings integrate coherently with the theoretical landscape established in the preceding sections. Within the framework of the JD-R model (Demerouti et al., 2001; Bakker &amp; Demerouti, 2017), the present results extend the model's health-impairment pathway by identifying emotional labor as a specific mechanism through which demand-resource imbalance is psychologically transduced into exhaustion and depressive symptomatology. The ERI–surface acting association (</w:t>
      </w:r>
      <w:r w:rsidRPr="00C830C3">
        <w:rPr>
          <w:rFonts w:ascii="Arial" w:hAnsi="Arial" w:cs="Arial"/>
          <w:i/>
          <w:iCs/>
          <w:sz w:val="22"/>
          <w:szCs w:val="22"/>
          <w:lang w:val="en-US"/>
        </w:rPr>
        <w:t>r</w:t>
      </w:r>
      <w:r w:rsidRPr="00C830C3">
        <w:rPr>
          <w:rFonts w:ascii="Arial" w:hAnsi="Arial" w:cs="Arial"/>
          <w:sz w:val="22"/>
          <w:szCs w:val="22"/>
          <w:lang w:val="en-US"/>
        </w:rPr>
        <w:t xml:space="preserve"> = .42) suggests that professionals who perceive a chronic mismatch between their occupational investments and received rewards respond by intensifying the performative dimensions of their professional presentation—suppressing expressions of fatigue, frustration, or emotional depletion behind a maintained professional facade. This interpretive account is consistent with COR theory (Hobfoll, 1989, 2001), which predicts that resource-threatened individuals adopt emotionally suppressive strategies at the expense of more authentic but resource-intensive emotional regulation. The partial rather than full mediation pattern is theoretically informative: it indicates that surface acting accounts for a meaningful, but not exhaustive, proportion of the ERI–outcome associations, pointing to additional mediating pathways—including cognitive rumination, secondary traumatic stress, and sleep disruption—that warrant investigation in future research.</w:t>
      </w:r>
    </w:p>
    <w:p w14:paraId="1AA81853"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 substantial correlation between emotional exhaustion and depression (</w:t>
      </w:r>
      <w:r w:rsidRPr="00C830C3">
        <w:rPr>
          <w:rFonts w:ascii="Arial" w:hAnsi="Arial" w:cs="Arial"/>
          <w:i/>
          <w:iCs/>
          <w:sz w:val="22"/>
          <w:szCs w:val="22"/>
          <w:lang w:val="en-US"/>
        </w:rPr>
        <w:t>r</w:t>
      </w:r>
      <w:r w:rsidRPr="00C830C3">
        <w:rPr>
          <w:rFonts w:ascii="Arial" w:hAnsi="Arial" w:cs="Arial"/>
          <w:sz w:val="22"/>
          <w:szCs w:val="22"/>
          <w:lang w:val="en-US"/>
        </w:rPr>
        <w:t xml:space="preserve"> = .61) is consistent with the position advanced by Bianchi et al. (2015) and Schonfeld and Bianchi (2016) that these constructs share a common affective-depleting pathway while retaining distinct clinical features. This finding supports a conceptualization of the social work professional mental health risk profile as an integrated and mutually reinforcing syndromal cluster, in which burnout and </w:t>
      </w:r>
      <w:r w:rsidRPr="00C830C3">
        <w:rPr>
          <w:rFonts w:ascii="Arial" w:hAnsi="Arial" w:cs="Arial"/>
          <w:sz w:val="22"/>
          <w:szCs w:val="22"/>
          <w:lang w:val="en-US"/>
        </w:rPr>
        <w:lastRenderedPageBreak/>
        <w:t>depression are better understood as points on a continuum of psychological depletion than as categorically distinct entities. Importantly, this perspective has direct implications for the design of AI-based monitoring systems: rather than tracking burnout and depression as separate targets requiring independent detection algorithms, monitoring architectures should be designed to capture the shared underlying trajectory of affective and cognitive resource depletion, thereby maximizing detection sensitivity across the full range of psychological deterioration.</w:t>
      </w:r>
    </w:p>
    <w:p w14:paraId="3DB9DC87"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5.2 Practical Implications and a Conceptual AI-Based Framework for Early Detection</w:t>
      </w:r>
    </w:p>
    <w:p w14:paraId="1E4DFF9C"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 practical significance of these findings extends across multiple levels of intervention and is of particular relevance to the emerging field of AI-supported occupational health monitoring. At the individual level, the finding that surface acting mediates the ERI–burnout pathway identifies emotional labor management as a specifically actionable intervention target. Psychotherapeutic and coaching approaches focused on authentic emotional expression, emotional self-awareness, and the development of deep acting competencies—rather than continued reliance on surface suppression—represent evidence-grounded clinical priorities for this population. Individual psychoeducation about the psychological costs of chronic surface acting, and the development of self-monitoring skills enabling recognition of early depletion signals, can be integrated into supervision frameworks and employee assistance programs at comparatively modest organizational cost.</w:t>
      </w:r>
    </w:p>
    <w:p w14:paraId="3153D1F9"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At the organizational level, the consistent finding that effort-reward imbalance drives both direct and mediated pathways toward burnout and depression reinforces the structural imperative of organizational intervention. Sustainable prevention in the helping professions cannot rely exclusively on individual resilience enhancement; it must address the structural determinants of occupational imbalance through caseload management, professional recognition structures, supervisory resource provision, and institutional acknowledgment of the emotional labor demands inherent in social work practice. Organizations that invest in these structural resources simultaneously reduce the demand for surface acting, thereby interrupting the mediation chain identified in the present study at its most proximal source.</w:t>
      </w:r>
    </w:p>
    <w:p w14:paraId="77AB102D"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 xml:space="preserve">Of particular theoretical and applied significance is the implication of these findings for the design of AI-based early detection systems. The empirical identification of effort-reward imbalance and surface acting as central components of the burnout-depression pathway provides theoretically grounded signal constructs that can inform the architecture of occupational mental health monitoring algorithms. A conceptual AI framework for early detection of psychological </w:t>
      </w:r>
      <w:r w:rsidRPr="00C830C3">
        <w:rPr>
          <w:rFonts w:ascii="Arial" w:hAnsi="Arial" w:cs="Arial"/>
          <w:sz w:val="22"/>
          <w:szCs w:val="22"/>
          <w:lang w:val="en-US"/>
        </w:rPr>
        <w:lastRenderedPageBreak/>
        <w:t>deterioration in social work professionals might operate across three integrated and sequentially escalating layers.</w:t>
      </w:r>
    </w:p>
    <w:p w14:paraId="78987C90"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 first layer—</w:t>
      </w:r>
      <w:r w:rsidRPr="00C830C3">
        <w:rPr>
          <w:rFonts w:ascii="Arial" w:hAnsi="Arial" w:cs="Arial"/>
          <w:i/>
          <w:iCs/>
          <w:sz w:val="22"/>
          <w:szCs w:val="22"/>
          <w:lang w:val="en-US"/>
        </w:rPr>
        <w:t>passive behavioral monitoring</w:t>
      </w:r>
      <w:r w:rsidRPr="00C830C3">
        <w:rPr>
          <w:rFonts w:ascii="Arial" w:hAnsi="Arial" w:cs="Arial"/>
          <w:sz w:val="22"/>
          <w:szCs w:val="22"/>
          <w:lang w:val="en-US"/>
        </w:rPr>
        <w:t>—would continuously analyze objective behavioral indicators accessible through professional digital environments: keystroke dynamics, email response latency, calendar management patterns, and meeting attendance regularity. These behavioral micromarkers have been shown to correlate with psychological wellbeing trajectories in adjacent research domains (Saeb et al., 2015; Chow et al., 2017), offering a low-threshold, stigma-neutral point of continuous monitoring that requires no active participation from the professional. Algorithmic change-point detection methods could flag deviations from individual baseline behavioral profiles as early warning signals for subsequent assessment escalation.</w:t>
      </w:r>
    </w:p>
    <w:p w14:paraId="0CEFA803"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 second layer—</w:t>
      </w:r>
      <w:r w:rsidRPr="00C830C3">
        <w:rPr>
          <w:rFonts w:ascii="Arial" w:hAnsi="Arial" w:cs="Arial"/>
          <w:i/>
          <w:iCs/>
          <w:sz w:val="22"/>
          <w:szCs w:val="22"/>
          <w:lang w:val="en-US"/>
        </w:rPr>
        <w:t>natural language processing (NLP) analysis</w:t>
      </w:r>
      <w:r w:rsidRPr="00C830C3">
        <w:rPr>
          <w:rFonts w:ascii="Arial" w:hAnsi="Arial" w:cs="Arial"/>
          <w:sz w:val="22"/>
          <w:szCs w:val="22"/>
          <w:lang w:val="en-US"/>
        </w:rPr>
        <w:t>—would apply validated algorithms to optional, anonymized samples of professional written communication to assess the presence of lexical markers associated with emotional exhaustion, cognitive depletion, and dysphoric affect. The field of computational psycholinguistics has established that language patterns encode psychological states with considerable reliability, including in occupational contexts (Coppersmith et al., 2015; Guntuku et al., 2017). The validated PHQ-9 and MBI-EE constructs employed in the present study provide criterion standards against which NLP signal sensitivity and specificity can be calibrated in dedicated validation studies, offering a methodologically rigorous pathway from the present empirical findings to algorithmically actionable detection parameters.</w:t>
      </w:r>
    </w:p>
    <w:p w14:paraId="610D2CC4"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 third layer—</w:t>
      </w:r>
      <w:r w:rsidRPr="00C830C3">
        <w:rPr>
          <w:rFonts w:ascii="Arial" w:hAnsi="Arial" w:cs="Arial"/>
          <w:i/>
          <w:iCs/>
          <w:sz w:val="22"/>
          <w:szCs w:val="22"/>
          <w:lang w:val="en-US"/>
        </w:rPr>
        <w:t>adaptive validated self-report</w:t>
      </w:r>
      <w:r w:rsidRPr="00C830C3">
        <w:rPr>
          <w:rFonts w:ascii="Arial" w:hAnsi="Arial" w:cs="Arial"/>
          <w:sz w:val="22"/>
          <w:szCs w:val="22"/>
          <w:lang w:val="en-US"/>
        </w:rPr>
        <w:t>—would integrate abbreviated forms of the validated instruments used in this study into a mobile application interface, triggered at algorithmically identified high-risk time points on the basis of signal output from the first two layers. This adaptive, signal-triggered approach addresses the well-documented problem of survey fatigue that limits the utility of fixed-schedule monitoring protocols and aligns with the ecological momentary assessment paradigm increasingly recognized as methodologically superior for the capture of fluctuating psychological states (Mohr et al., 2017). The integration of all three layers within a machine learning framework capable of individualized trajectory modeling and threshold-based alert generation would constitute a technically feasible and empirically grounded system architecture for early psychological risk detection in social work organizations. Questions of ethical governance, data protection under GDPR Article 9 provisions, worker consent, and algorithmic transparency must be addressed with rigor equal to the technical validation process itself—a requirement that makes the present empirical findings, which establish a sound theoretical and measurement basis for AI system design, particularly timely.</w:t>
      </w:r>
    </w:p>
    <w:p w14:paraId="517B4573"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lastRenderedPageBreak/>
        <w:t>5.3 Limitations</w:t>
      </w:r>
    </w:p>
    <w:p w14:paraId="01243C5A"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Several limitations constrain the interpretation and generalizability of the present findings and must be acknowledged with rigor proportionate to their epistemological significance. Each represents not merely a caveat but a directive for methodologically more powerful future investigations.</w:t>
      </w:r>
    </w:p>
    <w:p w14:paraId="662BE790"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First and most fundamentally, the cross-sectional study design precludes any causal inference regarding the directionality of the observed associations. While the theoretical frameworks invoked in this study consistently predict a directional pathway from effort-reward imbalance through surface acting to burnout and depression, the present data are equally consistent with alternative causal models—including the possibility that individuals with depressive tendencies perceive greater occupational imbalance, or that burnout increases reliance on surface acting as a compensatory strategy. The resolution of these directional ambiguities requires longitudinal panel designs with repeated-measure assessment of all constructs at minimum three time points, enabling the estimation of cross-lagged structural models that can disambiguate temporal precedence.</w:t>
      </w:r>
    </w:p>
    <w:p w14:paraId="3D5F7939"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Second, the non-probabilistic sampling strategy—combining professional network recruitment with voluntary online participation—introduces self-selection bias of an indeterminate magnitude and direction. Professionals with higher current burnout levels may be either over-represented (if distress motivates engagement with research focused on their experience) or under-represented (if severe symptomatology is associated with disengagement from professional network activity). The generalizability of these findings to the full population of German social work professionals should accordingly be treated as provisional.</w:t>
      </w:r>
    </w:p>
    <w:p w14:paraId="12BA52F5"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Third, all study variables were assessed through self-report instruments administered in a single survey session, creating conditions for common-method bias as described by Podsakoff et al. (2003). Although Harman's single-factor test did not suggest a critical common-method confound (largest factor: 32.4%), the possibility that shared method variance partially inflates observed correlations cannot be definitively excluded on the basis of the present design. Future investigations should integrate multi-method assessments including supervisor ratings, observational measures of emotional labor, and physiological indicators of emotional depletion.</w:t>
      </w:r>
    </w:p>
    <w:p w14:paraId="110D2CEA"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 xml:space="preserve">Fourth, while the validated instruments employed in this study enjoy strong psychometric credentials across professional populations, normative calibration data specifically derived from German social work samples are limited for several measures—particularly the ERI ratio and the emotional labor scale. The interpretation of absolute mean scores should accordingly be treated </w:t>
      </w:r>
      <w:r w:rsidRPr="00C830C3">
        <w:rPr>
          <w:rFonts w:ascii="Arial" w:hAnsi="Arial" w:cs="Arial"/>
          <w:sz w:val="22"/>
          <w:szCs w:val="22"/>
          <w:lang w:val="en-US"/>
        </w:rPr>
        <w:lastRenderedPageBreak/>
        <w:t>with appropriate caution pending the development of subsector-specific normative databases for this population.</w:t>
      </w:r>
    </w:p>
    <w:p w14:paraId="4180D16B"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Fifth, the present analysis does not account for a range of theoretically relevant moderating variables that may substantially qualify the associations identified. Dispositional resources including resilience, emotional regulation competence, and sleep quality; contextual factors including supervisory support, team cohesion, and organizational culture; and demographic variables including professional seniority, family status, and secondary employment are all plausible moderators of the mediation pathways under investigation and constitute important targets for inclusion in future research designs.</w:t>
      </w:r>
    </w:p>
    <w:p w14:paraId="05EEC97F"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5.4 Outlook</w:t>
      </w:r>
    </w:p>
    <w:p w14:paraId="34B4B586"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 findings of the present study open multiple productive directions for future research at the intersection of occupational health psychology and applied AI development. Most immediately, longitudinal panel studies tracking the temporal development of effort-reward imbalance, emotional labor, burnout, and depression across multiple time points are required to establish the directional and causal architecture of the relationships identified here. Lagged mediation models with at least three measurement points would enable examination of the precise temporal dynamics through which surface acting functions as a transduction mechanism in the stress-health pathway and would substantially strengthen the causal foundations for the AI detection framework proposed in Section 5.2.</w:t>
      </w:r>
    </w:p>
    <w:p w14:paraId="13A4ABDA"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At the methodological frontier, experimental intervention studies that systematically target emotional labor management—through organizational deep acting training, emotion regulation coaching, or mindfulness-based professional development programs—and assess downstream effects on burnout and depression would provide the strongest available causal evidence for the mechanisms identified in the present study. Quasi-experimental designs exploiting natural variations in organizational support provision—for instance, comparing otherwise matched social work teams with differential access to structured clinical supervision—offer a complementary methodological avenue that trades experimental control for ecological validity.</w:t>
      </w:r>
    </w:p>
    <w:p w14:paraId="2F617954"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 xml:space="preserve">With respect to the AI framework proposed in Section 5.2, the priority direction for applied research concerns the psychometric calibration of behavioral biomarker signals against criterion-validated psychological assessment in ecological momentary assessment studies within naturalistic professional environments. The validation of NLP-based detection algorithms against the PHQ-9 and MBI-EE instruments employed in this study—and ultimately against clinical interview standards—represents a technically demanding but scientifically and ethically essential </w:t>
      </w:r>
      <w:r w:rsidRPr="00C830C3">
        <w:rPr>
          <w:rFonts w:ascii="Arial" w:hAnsi="Arial" w:cs="Arial"/>
          <w:sz w:val="22"/>
          <w:szCs w:val="22"/>
          <w:lang w:val="en-US"/>
        </w:rPr>
        <w:lastRenderedPageBreak/>
        <w:t>prerequisite for responsible system deployment. The present study's identification of surface acting as a key mediating construct suggests that AI systems sensitive to emotional labor-related linguistic and behavioral signatures—characteristically flat affect, terse communication, reduced expressive variability—may offer particular detection utility in social work environments, warranting dedicated algorithm development targeting this construct.</w:t>
      </w:r>
    </w:p>
    <w:p w14:paraId="497848A8"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 broader scientific and practical vision underlying the present research is one in which the structural invisibility of occupational psychological suffering in the helping professions—the experience of the social worker for whom Tuesday is burnout without a name—becomes systematically detectable, proactively addressable, and ultimately preventable through the responsible integration of behavioral science and artificial intelligence. The present study provides an empirically grounded, theoretically coherent foundation for this vision and, in doing so, contributes to a field of growing urgency at the intersection of professional mental health, digital health technology, and social welfare policy.</w:t>
      </w:r>
    </w:p>
    <w:p w14:paraId="26883744" w14:textId="77777777" w:rsidR="0017428B" w:rsidRPr="00C830C3" w:rsidRDefault="00000000" w:rsidP="00C830C3">
      <w:pPr>
        <w:spacing w:before="480" w:line="360" w:lineRule="auto"/>
        <w:jc w:val="center"/>
        <w:rPr>
          <w:rFonts w:ascii="Arial" w:hAnsi="Arial" w:cs="Arial"/>
          <w:sz w:val="22"/>
          <w:szCs w:val="22"/>
          <w:lang w:val="en-US"/>
        </w:rPr>
      </w:pPr>
      <w:r w:rsidRPr="00C830C3">
        <w:rPr>
          <w:rFonts w:ascii="Arial" w:hAnsi="Arial" w:cs="Arial"/>
          <w:b/>
          <w:bCs/>
          <w:sz w:val="22"/>
          <w:szCs w:val="22"/>
          <w:lang w:val="en-US"/>
        </w:rPr>
        <w:t>Statements and Declarations</w:t>
      </w:r>
    </w:p>
    <w:p w14:paraId="52BCE433"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Funding</w:t>
      </w:r>
    </w:p>
    <w:p w14:paraId="338B50B8"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This research did not receive any specific grant from funding agencies in the public, commercial, or not-for-profit sectors. The author had no financial support for the conception, conduct, analysis, or write-up of the study.</w:t>
      </w:r>
    </w:p>
    <w:p w14:paraId="02A474AB"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Conflict of Interest</w:t>
      </w:r>
    </w:p>
    <w:p w14:paraId="7A1C8515"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 author declares that there are no competing financial or non-financial interests that could be perceived to have influenced the work reported in this article.</w:t>
      </w:r>
    </w:p>
    <w:p w14:paraId="332A62FB"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Ethics Approval</w:t>
      </w:r>
    </w:p>
    <w:p w14:paraId="7C23F43F"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 xml:space="preserve">The study was conducted in accordance with the ethical principles of the World Medical Association Declaration of Helsinki (World Medical Association, 2013) and the guidelines of the Deutsche Gesellschaft für Psychologie (DGPs) and the Berufsverband Deutscher Psychologinnen und Psychologen (BDP) for non-interventional survey research. As the study involved exclusively voluntary, anonymous self-report data collection without any experimental intervention, clinical interaction, or collection of sensitive personal identifiers, formal review by an </w:t>
      </w:r>
      <w:r w:rsidRPr="00C830C3">
        <w:rPr>
          <w:rFonts w:ascii="Arial" w:hAnsi="Arial" w:cs="Arial"/>
          <w:sz w:val="22"/>
          <w:szCs w:val="22"/>
          <w:lang w:val="en-US"/>
        </w:rPr>
        <w:lastRenderedPageBreak/>
        <w:t>institutional ethics committee was not required under applicable regulations. All participation was voluntary and anonymous.</w:t>
      </w:r>
    </w:p>
    <w:p w14:paraId="0A5E1684"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Informed Consent</w:t>
      </w:r>
    </w:p>
    <w:p w14:paraId="56928292"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Participants received written pre-survey information describing the study objectives, voluntary nature of participation, anonymity of all collected data, compliance with GDPR regulations, and the right to withdraw at any time without disadvantage. Submission of a completed survey was treated as constituting informed consent to participation.</w:t>
      </w:r>
    </w:p>
    <w:p w14:paraId="4DA7F2DB"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Data Availability Statement</w:t>
      </w:r>
    </w:p>
    <w:p w14:paraId="3F1C90E7"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The dataset analyzed in this study is available from the corresponding author upon reasonable request. Data have not been publicly archived owing to the sensitivity of mental health-related items and participant privacy considerations.</w:t>
      </w:r>
    </w:p>
    <w:p w14:paraId="41E57E0C" w14:textId="77777777" w:rsidR="0017428B" w:rsidRPr="00C830C3" w:rsidRDefault="00000000" w:rsidP="00C830C3">
      <w:pPr>
        <w:spacing w:before="480" w:line="360" w:lineRule="auto"/>
        <w:ind w:firstLine="720"/>
        <w:jc w:val="both"/>
        <w:rPr>
          <w:rFonts w:ascii="Arial" w:hAnsi="Arial" w:cs="Arial"/>
          <w:sz w:val="22"/>
          <w:szCs w:val="22"/>
          <w:lang w:val="en-US"/>
        </w:rPr>
      </w:pPr>
      <w:r w:rsidRPr="00C830C3">
        <w:rPr>
          <w:rFonts w:ascii="Arial" w:hAnsi="Arial" w:cs="Arial"/>
          <w:b/>
          <w:bCs/>
          <w:sz w:val="22"/>
          <w:szCs w:val="22"/>
          <w:lang w:val="en-US"/>
        </w:rPr>
        <w:t>Use of Generative AI</w:t>
      </w:r>
    </w:p>
    <w:p w14:paraId="1C2175F1" w14:textId="77777777" w:rsidR="0017428B" w:rsidRPr="00C830C3" w:rsidRDefault="00000000" w:rsidP="00C830C3">
      <w:pPr>
        <w:spacing w:line="360" w:lineRule="auto"/>
        <w:ind w:firstLine="720"/>
        <w:jc w:val="both"/>
        <w:rPr>
          <w:rFonts w:ascii="Arial" w:hAnsi="Arial" w:cs="Arial"/>
          <w:sz w:val="22"/>
          <w:szCs w:val="22"/>
          <w:lang w:val="en-US"/>
        </w:rPr>
      </w:pPr>
      <w:r w:rsidRPr="00C830C3">
        <w:rPr>
          <w:rFonts w:ascii="Arial" w:hAnsi="Arial" w:cs="Arial"/>
          <w:sz w:val="22"/>
          <w:szCs w:val="22"/>
          <w:lang w:val="en-US"/>
        </w:rPr>
        <w:t>Generative AI tools were used for language editing, structural organization, and stylistic refinement of portions of this manuscript. All scientific content, theoretical reasoning, analytical decisions, interpretation of results, and intellectual conclusions remain the sole responsibility of the author.</w:t>
      </w:r>
    </w:p>
    <w:p w14:paraId="4AB66163" w14:textId="77777777" w:rsidR="0017428B" w:rsidRPr="00C830C3" w:rsidRDefault="0017428B" w:rsidP="00C830C3">
      <w:pPr>
        <w:pageBreakBefore/>
        <w:spacing w:line="360" w:lineRule="auto"/>
        <w:rPr>
          <w:rFonts w:ascii="Arial" w:hAnsi="Arial" w:cs="Arial"/>
          <w:sz w:val="22"/>
          <w:szCs w:val="22"/>
          <w:lang w:val="en-US"/>
        </w:rPr>
      </w:pPr>
    </w:p>
    <w:p w14:paraId="51C2EDB4" w14:textId="77777777" w:rsidR="0017428B" w:rsidRPr="00C830C3" w:rsidRDefault="00000000" w:rsidP="00C830C3">
      <w:pPr>
        <w:spacing w:before="480" w:line="360" w:lineRule="auto"/>
        <w:jc w:val="center"/>
        <w:rPr>
          <w:rFonts w:ascii="Arial" w:hAnsi="Arial" w:cs="Arial"/>
          <w:sz w:val="22"/>
          <w:szCs w:val="22"/>
          <w:lang w:val="en-US"/>
        </w:rPr>
      </w:pPr>
      <w:r w:rsidRPr="00C830C3">
        <w:rPr>
          <w:rFonts w:ascii="Arial" w:hAnsi="Arial" w:cs="Arial"/>
          <w:b/>
          <w:bCs/>
          <w:sz w:val="22"/>
          <w:szCs w:val="22"/>
          <w:lang w:val="en-US"/>
        </w:rPr>
        <w:t>References</w:t>
      </w:r>
    </w:p>
    <w:p w14:paraId="3E25EAF5"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Alarcon, G. M. (2011). A meta-analysis of burnout with job demands, resources, and attitudes. </w:t>
      </w:r>
      <w:r w:rsidRPr="00C830C3">
        <w:rPr>
          <w:rFonts w:ascii="Arial" w:hAnsi="Arial" w:cs="Arial"/>
          <w:i/>
          <w:iCs/>
          <w:sz w:val="22"/>
          <w:szCs w:val="22"/>
          <w:lang w:val="en-US"/>
        </w:rPr>
        <w:t>Journal of Vocational Behavior</w:t>
      </w:r>
      <w:r w:rsidRPr="00C830C3">
        <w:rPr>
          <w:rFonts w:ascii="Arial" w:hAnsi="Arial" w:cs="Arial"/>
          <w:sz w:val="22"/>
          <w:szCs w:val="22"/>
          <w:lang w:val="en-US"/>
        </w:rPr>
        <w:t xml:space="preserve">, </w:t>
      </w:r>
      <w:r w:rsidRPr="00C830C3">
        <w:rPr>
          <w:rFonts w:ascii="Arial" w:hAnsi="Arial" w:cs="Arial"/>
          <w:i/>
          <w:iCs/>
          <w:sz w:val="22"/>
          <w:szCs w:val="22"/>
          <w:lang w:val="en-US"/>
        </w:rPr>
        <w:t>79</w:t>
      </w:r>
      <w:r w:rsidRPr="00C830C3">
        <w:rPr>
          <w:rFonts w:ascii="Arial" w:hAnsi="Arial" w:cs="Arial"/>
          <w:sz w:val="22"/>
          <w:szCs w:val="22"/>
          <w:lang w:val="en-US"/>
        </w:rPr>
        <w:t>(2), 549–562. https://doi.org/10.1016/j.jvb.2011.03.007</w:t>
      </w:r>
    </w:p>
    <w:p w14:paraId="4FB3874E"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Awa, W. L., Plaumann, M., &amp; Walter, U. (2010). Burnout prevention: A review of intervention programs. </w:t>
      </w:r>
      <w:r w:rsidRPr="00C830C3">
        <w:rPr>
          <w:rFonts w:ascii="Arial" w:hAnsi="Arial" w:cs="Arial"/>
          <w:i/>
          <w:iCs/>
          <w:sz w:val="22"/>
          <w:szCs w:val="22"/>
          <w:lang w:val="en-US"/>
        </w:rPr>
        <w:t>Patient Education and Counseling</w:t>
      </w:r>
      <w:r w:rsidRPr="00C830C3">
        <w:rPr>
          <w:rFonts w:ascii="Arial" w:hAnsi="Arial" w:cs="Arial"/>
          <w:sz w:val="22"/>
          <w:szCs w:val="22"/>
          <w:lang w:val="en-US"/>
        </w:rPr>
        <w:t xml:space="preserve">, </w:t>
      </w:r>
      <w:r w:rsidRPr="00C830C3">
        <w:rPr>
          <w:rFonts w:ascii="Arial" w:hAnsi="Arial" w:cs="Arial"/>
          <w:i/>
          <w:iCs/>
          <w:sz w:val="22"/>
          <w:szCs w:val="22"/>
          <w:lang w:val="en-US"/>
        </w:rPr>
        <w:t>78</w:t>
      </w:r>
      <w:r w:rsidRPr="00C830C3">
        <w:rPr>
          <w:rFonts w:ascii="Arial" w:hAnsi="Arial" w:cs="Arial"/>
          <w:sz w:val="22"/>
          <w:szCs w:val="22"/>
          <w:lang w:val="en-US"/>
        </w:rPr>
        <w:t>(2), 184–190. https://doi.org/10.1016/j.pec.2009.04.008</w:t>
      </w:r>
    </w:p>
    <w:p w14:paraId="355A8E0F"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Bakker, A. B., &amp; Demerouti, E. (2017). Job demands-resources theory: Taking stock and looking forward. </w:t>
      </w:r>
      <w:r w:rsidRPr="00C830C3">
        <w:rPr>
          <w:rFonts w:ascii="Arial" w:hAnsi="Arial" w:cs="Arial"/>
          <w:i/>
          <w:iCs/>
          <w:sz w:val="22"/>
          <w:szCs w:val="22"/>
          <w:lang w:val="en-US"/>
        </w:rPr>
        <w:t>Journal of Occupational Health Psychology</w:t>
      </w:r>
      <w:r w:rsidRPr="00C830C3">
        <w:rPr>
          <w:rFonts w:ascii="Arial" w:hAnsi="Arial" w:cs="Arial"/>
          <w:sz w:val="22"/>
          <w:szCs w:val="22"/>
          <w:lang w:val="en-US"/>
        </w:rPr>
        <w:t xml:space="preserve">, </w:t>
      </w:r>
      <w:r w:rsidRPr="00C830C3">
        <w:rPr>
          <w:rFonts w:ascii="Arial" w:hAnsi="Arial" w:cs="Arial"/>
          <w:i/>
          <w:iCs/>
          <w:sz w:val="22"/>
          <w:szCs w:val="22"/>
          <w:lang w:val="en-US"/>
        </w:rPr>
        <w:t>22</w:t>
      </w:r>
      <w:r w:rsidRPr="00C830C3">
        <w:rPr>
          <w:rFonts w:ascii="Arial" w:hAnsi="Arial" w:cs="Arial"/>
          <w:sz w:val="22"/>
          <w:szCs w:val="22"/>
          <w:lang w:val="en-US"/>
        </w:rPr>
        <w:t>(3), 273–285. https://doi.org/10.1037/ocp0000056</w:t>
      </w:r>
    </w:p>
    <w:p w14:paraId="6E089D4E"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Bakker, A. B., Demerouti, E., &amp; Verbeke, W. (2004). Using the job demands-resources model to predict burnout and performance. </w:t>
      </w:r>
      <w:r w:rsidRPr="00C830C3">
        <w:rPr>
          <w:rFonts w:ascii="Arial" w:hAnsi="Arial" w:cs="Arial"/>
          <w:i/>
          <w:iCs/>
          <w:sz w:val="22"/>
          <w:szCs w:val="22"/>
          <w:lang w:val="en-US"/>
        </w:rPr>
        <w:t>Human Resource Management</w:t>
      </w:r>
      <w:r w:rsidRPr="00C830C3">
        <w:rPr>
          <w:rFonts w:ascii="Arial" w:hAnsi="Arial" w:cs="Arial"/>
          <w:sz w:val="22"/>
          <w:szCs w:val="22"/>
          <w:lang w:val="en-US"/>
        </w:rPr>
        <w:t xml:space="preserve">, </w:t>
      </w:r>
      <w:r w:rsidRPr="00C830C3">
        <w:rPr>
          <w:rFonts w:ascii="Arial" w:hAnsi="Arial" w:cs="Arial"/>
          <w:i/>
          <w:iCs/>
          <w:sz w:val="22"/>
          <w:szCs w:val="22"/>
          <w:lang w:val="en-US"/>
        </w:rPr>
        <w:t>43</w:t>
      </w:r>
      <w:r w:rsidRPr="00C830C3">
        <w:rPr>
          <w:rFonts w:ascii="Arial" w:hAnsi="Arial" w:cs="Arial"/>
          <w:sz w:val="22"/>
          <w:szCs w:val="22"/>
          <w:lang w:val="en-US"/>
        </w:rPr>
        <w:t>(1), 83–104. https://doi.org/10.1002/hrm.20004</w:t>
      </w:r>
    </w:p>
    <w:p w14:paraId="5B879A97"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Baron, R. M., &amp; Kenny, D. A. (1986). The moderator-mediator variable distinction in social psychological research. </w:t>
      </w:r>
      <w:r w:rsidRPr="00C830C3">
        <w:rPr>
          <w:rFonts w:ascii="Arial" w:hAnsi="Arial" w:cs="Arial"/>
          <w:i/>
          <w:iCs/>
          <w:sz w:val="22"/>
          <w:szCs w:val="22"/>
          <w:lang w:val="en-US"/>
        </w:rPr>
        <w:t>Journal of Personality and Social Psychology</w:t>
      </w:r>
      <w:r w:rsidRPr="00C830C3">
        <w:rPr>
          <w:rFonts w:ascii="Arial" w:hAnsi="Arial" w:cs="Arial"/>
          <w:sz w:val="22"/>
          <w:szCs w:val="22"/>
          <w:lang w:val="en-US"/>
        </w:rPr>
        <w:t xml:space="preserve">, </w:t>
      </w:r>
      <w:r w:rsidRPr="00C830C3">
        <w:rPr>
          <w:rFonts w:ascii="Arial" w:hAnsi="Arial" w:cs="Arial"/>
          <w:i/>
          <w:iCs/>
          <w:sz w:val="22"/>
          <w:szCs w:val="22"/>
          <w:lang w:val="en-US"/>
        </w:rPr>
        <w:t>51</w:t>
      </w:r>
      <w:r w:rsidRPr="00C830C3">
        <w:rPr>
          <w:rFonts w:ascii="Arial" w:hAnsi="Arial" w:cs="Arial"/>
          <w:sz w:val="22"/>
          <w:szCs w:val="22"/>
          <w:lang w:val="en-US"/>
        </w:rPr>
        <w:t>(6), 1173–1182. https://doi.org/10.1037/0022-3514.51.6.1173</w:t>
      </w:r>
    </w:p>
    <w:p w14:paraId="7C428A36"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Bianchi, R., Schonfeld, I. S., &amp; Laurent, E. (2015). Burnout-depression overlap: A review. </w:t>
      </w:r>
      <w:r w:rsidRPr="00C830C3">
        <w:rPr>
          <w:rFonts w:ascii="Arial" w:hAnsi="Arial" w:cs="Arial"/>
          <w:i/>
          <w:iCs/>
          <w:sz w:val="22"/>
          <w:szCs w:val="22"/>
          <w:lang w:val="en-US"/>
        </w:rPr>
        <w:t>Clinical Psychology Review</w:t>
      </w:r>
      <w:r w:rsidRPr="00C830C3">
        <w:rPr>
          <w:rFonts w:ascii="Arial" w:hAnsi="Arial" w:cs="Arial"/>
          <w:sz w:val="22"/>
          <w:szCs w:val="22"/>
          <w:lang w:val="en-US"/>
        </w:rPr>
        <w:t xml:space="preserve">, </w:t>
      </w:r>
      <w:r w:rsidRPr="00C830C3">
        <w:rPr>
          <w:rFonts w:ascii="Arial" w:hAnsi="Arial" w:cs="Arial"/>
          <w:i/>
          <w:iCs/>
          <w:sz w:val="22"/>
          <w:szCs w:val="22"/>
          <w:lang w:val="en-US"/>
        </w:rPr>
        <w:t>36</w:t>
      </w:r>
      <w:r w:rsidRPr="00C830C3">
        <w:rPr>
          <w:rFonts w:ascii="Arial" w:hAnsi="Arial" w:cs="Arial"/>
          <w:sz w:val="22"/>
          <w:szCs w:val="22"/>
          <w:lang w:val="en-US"/>
        </w:rPr>
        <w:t>, 28–41. https://doi.org/10.1016/j.cpr.2015.01.004</w:t>
      </w:r>
    </w:p>
    <w:p w14:paraId="1FBD4762"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Bundesagentur für Arbeit. (2023). </w:t>
      </w:r>
      <w:r w:rsidRPr="00C830C3">
        <w:rPr>
          <w:rFonts w:ascii="Arial" w:hAnsi="Arial" w:cs="Arial"/>
          <w:i/>
          <w:iCs/>
          <w:sz w:val="22"/>
          <w:szCs w:val="22"/>
          <w:lang w:val="en-US"/>
        </w:rPr>
        <w:t>Berufssteckbrief: Sozialarbeit und Sozialpädagogik</w:t>
      </w:r>
      <w:r w:rsidRPr="00C830C3">
        <w:rPr>
          <w:rFonts w:ascii="Arial" w:hAnsi="Arial" w:cs="Arial"/>
          <w:sz w:val="22"/>
          <w:szCs w:val="22"/>
          <w:lang w:val="en-US"/>
        </w:rPr>
        <w:t>. https://berufenet.arbeitsagentur.de</w:t>
      </w:r>
    </w:p>
    <w:p w14:paraId="3B68478E"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Chow, P. I., Fua, K., Huang, Y., Bonelli, W., Xiong, H., Barnes, L. E., &amp; Teachman, B. A. (2017). Using mobile sensing to test clinical models of depression, social anxiety, state affect, and social isolation among college students. </w:t>
      </w:r>
      <w:r w:rsidRPr="00C830C3">
        <w:rPr>
          <w:rFonts w:ascii="Arial" w:hAnsi="Arial" w:cs="Arial"/>
          <w:i/>
          <w:iCs/>
          <w:sz w:val="22"/>
          <w:szCs w:val="22"/>
          <w:lang w:val="en-US"/>
        </w:rPr>
        <w:t>Journal of Medical Internet Research</w:t>
      </w:r>
      <w:r w:rsidRPr="00C830C3">
        <w:rPr>
          <w:rFonts w:ascii="Arial" w:hAnsi="Arial" w:cs="Arial"/>
          <w:sz w:val="22"/>
          <w:szCs w:val="22"/>
          <w:lang w:val="en-US"/>
        </w:rPr>
        <w:t xml:space="preserve">, </w:t>
      </w:r>
      <w:r w:rsidRPr="00C830C3">
        <w:rPr>
          <w:rFonts w:ascii="Arial" w:hAnsi="Arial" w:cs="Arial"/>
          <w:i/>
          <w:iCs/>
          <w:sz w:val="22"/>
          <w:szCs w:val="22"/>
          <w:lang w:val="en-US"/>
        </w:rPr>
        <w:t>19</w:t>
      </w:r>
      <w:r w:rsidRPr="00C830C3">
        <w:rPr>
          <w:rFonts w:ascii="Arial" w:hAnsi="Arial" w:cs="Arial"/>
          <w:sz w:val="22"/>
          <w:szCs w:val="22"/>
          <w:lang w:val="en-US"/>
        </w:rPr>
        <w:t>(3), e62. https://doi.org/10.2196/jmir.6820</w:t>
      </w:r>
    </w:p>
    <w:p w14:paraId="2A8DDAF8"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Coppersmith, G., Dredze, M., Harman, C., &amp; Hollingshead, K. (2015). From ADHD to SAD: Analyzing the language of mental health on Twitter through self-reported diagnoses. In </w:t>
      </w:r>
      <w:r w:rsidRPr="00C830C3">
        <w:rPr>
          <w:rFonts w:ascii="Arial" w:hAnsi="Arial" w:cs="Arial"/>
          <w:i/>
          <w:iCs/>
          <w:sz w:val="22"/>
          <w:szCs w:val="22"/>
          <w:lang w:val="en-US"/>
        </w:rPr>
        <w:t>Proceedings of the 2nd Workshop on Computational Linguistics and Clinical Psychology</w:t>
      </w:r>
      <w:r w:rsidRPr="00C830C3">
        <w:rPr>
          <w:rFonts w:ascii="Arial" w:hAnsi="Arial" w:cs="Arial"/>
          <w:sz w:val="22"/>
          <w:szCs w:val="22"/>
          <w:lang w:val="en-US"/>
        </w:rPr>
        <w:t xml:space="preserve"> (pp. 1–10). https://doi.org/10.3115/v1/W15-1201</w:t>
      </w:r>
    </w:p>
    <w:p w14:paraId="1F162168"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Demerouti, E., Bakker, A. B., Nachreiner, F., &amp; Schaufeli, W. B. (2001). The job demands-resources model of burnout. </w:t>
      </w:r>
      <w:r w:rsidRPr="00C830C3">
        <w:rPr>
          <w:rFonts w:ascii="Arial" w:hAnsi="Arial" w:cs="Arial"/>
          <w:i/>
          <w:iCs/>
          <w:sz w:val="22"/>
          <w:szCs w:val="22"/>
          <w:lang w:val="en-US"/>
        </w:rPr>
        <w:t>Journal of Applied Psychology</w:t>
      </w:r>
      <w:r w:rsidRPr="00C830C3">
        <w:rPr>
          <w:rFonts w:ascii="Arial" w:hAnsi="Arial" w:cs="Arial"/>
          <w:sz w:val="22"/>
          <w:szCs w:val="22"/>
          <w:lang w:val="en-US"/>
        </w:rPr>
        <w:t xml:space="preserve">, </w:t>
      </w:r>
      <w:r w:rsidRPr="00C830C3">
        <w:rPr>
          <w:rFonts w:ascii="Arial" w:hAnsi="Arial" w:cs="Arial"/>
          <w:i/>
          <w:iCs/>
          <w:sz w:val="22"/>
          <w:szCs w:val="22"/>
          <w:lang w:val="en-US"/>
        </w:rPr>
        <w:t>86</w:t>
      </w:r>
      <w:r w:rsidRPr="00C830C3">
        <w:rPr>
          <w:rFonts w:ascii="Arial" w:hAnsi="Arial" w:cs="Arial"/>
          <w:sz w:val="22"/>
          <w:szCs w:val="22"/>
          <w:lang w:val="en-US"/>
        </w:rPr>
        <w:t>(3), 499–512. https://doi.org/10.1037/0021-9010.86.3.499</w:t>
      </w:r>
    </w:p>
    <w:p w14:paraId="2F0C46EF"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Dominelli, L. (2014). Globalising social work in a context of global crises. In C. Noble, H. Strauss, &amp; B. Littlechild (Eds.), </w:t>
      </w:r>
      <w:r w:rsidRPr="00C830C3">
        <w:rPr>
          <w:rFonts w:ascii="Arial" w:hAnsi="Arial" w:cs="Arial"/>
          <w:i/>
          <w:iCs/>
          <w:sz w:val="22"/>
          <w:szCs w:val="22"/>
          <w:lang w:val="en-US"/>
        </w:rPr>
        <w:t>Global social work</w:t>
      </w:r>
      <w:r w:rsidRPr="00C830C3">
        <w:rPr>
          <w:rFonts w:ascii="Arial" w:hAnsi="Arial" w:cs="Arial"/>
          <w:sz w:val="22"/>
          <w:szCs w:val="22"/>
          <w:lang w:val="en-US"/>
        </w:rPr>
        <w:t xml:space="preserve"> (pp. 15–30). Sydney University Press.</w:t>
      </w:r>
    </w:p>
    <w:p w14:paraId="050A027D"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lastRenderedPageBreak/>
        <w:t xml:space="preserve">Freudenberger, H. J. (1974). Staff burn-out. </w:t>
      </w:r>
      <w:r w:rsidRPr="00C830C3">
        <w:rPr>
          <w:rFonts w:ascii="Arial" w:hAnsi="Arial" w:cs="Arial"/>
          <w:i/>
          <w:iCs/>
          <w:sz w:val="22"/>
          <w:szCs w:val="22"/>
          <w:lang w:val="en-US"/>
        </w:rPr>
        <w:t>Journal of Social Issues</w:t>
      </w:r>
      <w:r w:rsidRPr="00C830C3">
        <w:rPr>
          <w:rFonts w:ascii="Arial" w:hAnsi="Arial" w:cs="Arial"/>
          <w:sz w:val="22"/>
          <w:szCs w:val="22"/>
          <w:lang w:val="en-US"/>
        </w:rPr>
        <w:t xml:space="preserve">, </w:t>
      </w:r>
      <w:r w:rsidRPr="00C830C3">
        <w:rPr>
          <w:rFonts w:ascii="Arial" w:hAnsi="Arial" w:cs="Arial"/>
          <w:i/>
          <w:iCs/>
          <w:sz w:val="22"/>
          <w:szCs w:val="22"/>
          <w:lang w:val="en-US"/>
        </w:rPr>
        <w:t>30</w:t>
      </w:r>
      <w:r w:rsidRPr="00C830C3">
        <w:rPr>
          <w:rFonts w:ascii="Arial" w:hAnsi="Arial" w:cs="Arial"/>
          <w:sz w:val="22"/>
          <w:szCs w:val="22"/>
          <w:lang w:val="en-US"/>
        </w:rPr>
        <w:t>(1), 159–165. https://doi.org/10.1111/j.1540-4560.1974.tb00706.x</w:t>
      </w:r>
    </w:p>
    <w:p w14:paraId="6C0E29B5"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Grandey, A. A. (2000). Emotional regulation in the workplace: A new way to conceptualize emotional labor. </w:t>
      </w:r>
      <w:r w:rsidRPr="00C830C3">
        <w:rPr>
          <w:rFonts w:ascii="Arial" w:hAnsi="Arial" w:cs="Arial"/>
          <w:i/>
          <w:iCs/>
          <w:sz w:val="22"/>
          <w:szCs w:val="22"/>
          <w:lang w:val="en-US"/>
        </w:rPr>
        <w:t>Journal of Occupational Health Psychology</w:t>
      </w:r>
      <w:r w:rsidRPr="00C830C3">
        <w:rPr>
          <w:rFonts w:ascii="Arial" w:hAnsi="Arial" w:cs="Arial"/>
          <w:sz w:val="22"/>
          <w:szCs w:val="22"/>
          <w:lang w:val="en-US"/>
        </w:rPr>
        <w:t xml:space="preserve">, </w:t>
      </w:r>
      <w:r w:rsidRPr="00C830C3">
        <w:rPr>
          <w:rFonts w:ascii="Arial" w:hAnsi="Arial" w:cs="Arial"/>
          <w:i/>
          <w:iCs/>
          <w:sz w:val="22"/>
          <w:szCs w:val="22"/>
          <w:lang w:val="en-US"/>
        </w:rPr>
        <w:t>5</w:t>
      </w:r>
      <w:r w:rsidRPr="00C830C3">
        <w:rPr>
          <w:rFonts w:ascii="Arial" w:hAnsi="Arial" w:cs="Arial"/>
          <w:sz w:val="22"/>
          <w:szCs w:val="22"/>
          <w:lang w:val="en-US"/>
        </w:rPr>
        <w:t>(1), 95–110. https://doi.org/10.1037/1076-8998.5.1.95</w:t>
      </w:r>
    </w:p>
    <w:p w14:paraId="7662FCB6"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Grandey, A. A. (2003). When "the show must go on": Surface acting and deep acting as determinants of emotional exhaustion and peer-rated service delivery. </w:t>
      </w:r>
      <w:r w:rsidRPr="00C830C3">
        <w:rPr>
          <w:rFonts w:ascii="Arial" w:hAnsi="Arial" w:cs="Arial"/>
          <w:i/>
          <w:iCs/>
          <w:sz w:val="22"/>
          <w:szCs w:val="22"/>
          <w:lang w:val="en-US"/>
        </w:rPr>
        <w:t>Academy of Management Journal</w:t>
      </w:r>
      <w:r w:rsidRPr="00C830C3">
        <w:rPr>
          <w:rFonts w:ascii="Arial" w:hAnsi="Arial" w:cs="Arial"/>
          <w:sz w:val="22"/>
          <w:szCs w:val="22"/>
          <w:lang w:val="en-US"/>
        </w:rPr>
        <w:t xml:space="preserve">, </w:t>
      </w:r>
      <w:r w:rsidRPr="00C830C3">
        <w:rPr>
          <w:rFonts w:ascii="Arial" w:hAnsi="Arial" w:cs="Arial"/>
          <w:i/>
          <w:iCs/>
          <w:sz w:val="22"/>
          <w:szCs w:val="22"/>
          <w:lang w:val="en-US"/>
        </w:rPr>
        <w:t>46</w:t>
      </w:r>
      <w:r w:rsidRPr="00C830C3">
        <w:rPr>
          <w:rFonts w:ascii="Arial" w:hAnsi="Arial" w:cs="Arial"/>
          <w:sz w:val="22"/>
          <w:szCs w:val="22"/>
          <w:lang w:val="en-US"/>
        </w:rPr>
        <w:t>(1), 86–96. https://doi.org/10.2307/30040678</w:t>
      </w:r>
    </w:p>
    <w:p w14:paraId="4E85CAFA"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Guntuku, S. C., Yaden, D. B., Kern, M. L., Ungar, L. H., &amp; Eichstaedt, J. C. (2017). Detecting depression and mental illness on social media: An integrative review. </w:t>
      </w:r>
      <w:r w:rsidRPr="00C830C3">
        <w:rPr>
          <w:rFonts w:ascii="Arial" w:hAnsi="Arial" w:cs="Arial"/>
          <w:i/>
          <w:iCs/>
          <w:sz w:val="22"/>
          <w:szCs w:val="22"/>
          <w:lang w:val="en-US"/>
        </w:rPr>
        <w:t>Current Opinion in Behavioral Sciences</w:t>
      </w:r>
      <w:r w:rsidRPr="00C830C3">
        <w:rPr>
          <w:rFonts w:ascii="Arial" w:hAnsi="Arial" w:cs="Arial"/>
          <w:sz w:val="22"/>
          <w:szCs w:val="22"/>
          <w:lang w:val="en-US"/>
        </w:rPr>
        <w:t xml:space="preserve">, </w:t>
      </w:r>
      <w:r w:rsidRPr="00C830C3">
        <w:rPr>
          <w:rFonts w:ascii="Arial" w:hAnsi="Arial" w:cs="Arial"/>
          <w:i/>
          <w:iCs/>
          <w:sz w:val="22"/>
          <w:szCs w:val="22"/>
          <w:lang w:val="en-US"/>
        </w:rPr>
        <w:t>18</w:t>
      </w:r>
      <w:r w:rsidRPr="00C830C3">
        <w:rPr>
          <w:rFonts w:ascii="Arial" w:hAnsi="Arial" w:cs="Arial"/>
          <w:sz w:val="22"/>
          <w:szCs w:val="22"/>
          <w:lang w:val="en-US"/>
        </w:rPr>
        <w:t>, 43–49. https://doi.org/10.1016/j.cobeha.2017.07.001</w:t>
      </w:r>
    </w:p>
    <w:p w14:paraId="7DC8B235"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Hakanen, J. J., &amp; Schaufeli, W. B. (2012). Do burnout and work engagement predict depressive symptoms and life satisfaction? A three-wave seven-year prospective study. </w:t>
      </w:r>
      <w:r w:rsidRPr="00C830C3">
        <w:rPr>
          <w:rFonts w:ascii="Arial" w:hAnsi="Arial" w:cs="Arial"/>
          <w:i/>
          <w:iCs/>
          <w:sz w:val="22"/>
          <w:szCs w:val="22"/>
          <w:lang w:val="en-US"/>
        </w:rPr>
        <w:t>Journal of Affective Disorders</w:t>
      </w:r>
      <w:r w:rsidRPr="00C830C3">
        <w:rPr>
          <w:rFonts w:ascii="Arial" w:hAnsi="Arial" w:cs="Arial"/>
          <w:sz w:val="22"/>
          <w:szCs w:val="22"/>
          <w:lang w:val="en-US"/>
        </w:rPr>
        <w:t xml:space="preserve">, </w:t>
      </w:r>
      <w:r w:rsidRPr="00C830C3">
        <w:rPr>
          <w:rFonts w:ascii="Arial" w:hAnsi="Arial" w:cs="Arial"/>
          <w:i/>
          <w:iCs/>
          <w:sz w:val="22"/>
          <w:szCs w:val="22"/>
          <w:lang w:val="en-US"/>
        </w:rPr>
        <w:t>141</w:t>
      </w:r>
      <w:r w:rsidRPr="00C830C3">
        <w:rPr>
          <w:rFonts w:ascii="Arial" w:hAnsi="Arial" w:cs="Arial"/>
          <w:sz w:val="22"/>
          <w:szCs w:val="22"/>
          <w:lang w:val="en-US"/>
        </w:rPr>
        <w:t>(2–3), 415–424. https://doi.org/10.1016/j.jad.2012.02.043</w:t>
      </w:r>
    </w:p>
    <w:p w14:paraId="17698FD8"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Hayes, A. F. (2018). </w:t>
      </w:r>
      <w:r w:rsidRPr="00C830C3">
        <w:rPr>
          <w:rFonts w:ascii="Arial" w:hAnsi="Arial" w:cs="Arial"/>
          <w:i/>
          <w:iCs/>
          <w:sz w:val="22"/>
          <w:szCs w:val="22"/>
          <w:lang w:val="en-US"/>
        </w:rPr>
        <w:t>Introduction to mediation, moderation, and conditional process analysis: A regression-based approach</w:t>
      </w:r>
      <w:r w:rsidRPr="00C830C3">
        <w:rPr>
          <w:rFonts w:ascii="Arial" w:hAnsi="Arial" w:cs="Arial"/>
          <w:sz w:val="22"/>
          <w:szCs w:val="22"/>
          <w:lang w:val="en-US"/>
        </w:rPr>
        <w:t xml:space="preserve"> (2nd ed.). Guilford Press.</w:t>
      </w:r>
    </w:p>
    <w:p w14:paraId="47C01D39"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Hobfoll, S. E. (1989). Conservation of resources: A new attempt at conceptualizing stress. </w:t>
      </w:r>
      <w:r w:rsidRPr="00C830C3">
        <w:rPr>
          <w:rFonts w:ascii="Arial" w:hAnsi="Arial" w:cs="Arial"/>
          <w:i/>
          <w:iCs/>
          <w:sz w:val="22"/>
          <w:szCs w:val="22"/>
          <w:lang w:val="en-US"/>
        </w:rPr>
        <w:t>American Psychologist</w:t>
      </w:r>
      <w:r w:rsidRPr="00C830C3">
        <w:rPr>
          <w:rFonts w:ascii="Arial" w:hAnsi="Arial" w:cs="Arial"/>
          <w:sz w:val="22"/>
          <w:szCs w:val="22"/>
          <w:lang w:val="en-US"/>
        </w:rPr>
        <w:t xml:space="preserve">, </w:t>
      </w:r>
      <w:r w:rsidRPr="00C830C3">
        <w:rPr>
          <w:rFonts w:ascii="Arial" w:hAnsi="Arial" w:cs="Arial"/>
          <w:i/>
          <w:iCs/>
          <w:sz w:val="22"/>
          <w:szCs w:val="22"/>
          <w:lang w:val="en-US"/>
        </w:rPr>
        <w:t>44</w:t>
      </w:r>
      <w:r w:rsidRPr="00C830C3">
        <w:rPr>
          <w:rFonts w:ascii="Arial" w:hAnsi="Arial" w:cs="Arial"/>
          <w:sz w:val="22"/>
          <w:szCs w:val="22"/>
          <w:lang w:val="en-US"/>
        </w:rPr>
        <w:t>(3), 513–524. https://doi.org/10.1037/0003-066X.44.3.513</w:t>
      </w:r>
    </w:p>
    <w:p w14:paraId="302DDFB0"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Hobfoll, S. E. (2001). The influence of culture, community, and the nested-self in the stress process: Advancing conservation of resources theory. </w:t>
      </w:r>
      <w:r w:rsidRPr="00C830C3">
        <w:rPr>
          <w:rFonts w:ascii="Arial" w:hAnsi="Arial" w:cs="Arial"/>
          <w:i/>
          <w:iCs/>
          <w:sz w:val="22"/>
          <w:szCs w:val="22"/>
          <w:lang w:val="en-US"/>
        </w:rPr>
        <w:t>Applied Psychology</w:t>
      </w:r>
      <w:r w:rsidRPr="00C830C3">
        <w:rPr>
          <w:rFonts w:ascii="Arial" w:hAnsi="Arial" w:cs="Arial"/>
          <w:sz w:val="22"/>
          <w:szCs w:val="22"/>
          <w:lang w:val="en-US"/>
        </w:rPr>
        <w:t xml:space="preserve">, </w:t>
      </w:r>
      <w:r w:rsidRPr="00C830C3">
        <w:rPr>
          <w:rFonts w:ascii="Arial" w:hAnsi="Arial" w:cs="Arial"/>
          <w:i/>
          <w:iCs/>
          <w:sz w:val="22"/>
          <w:szCs w:val="22"/>
          <w:lang w:val="en-US"/>
        </w:rPr>
        <w:t>50</w:t>
      </w:r>
      <w:r w:rsidRPr="00C830C3">
        <w:rPr>
          <w:rFonts w:ascii="Arial" w:hAnsi="Arial" w:cs="Arial"/>
          <w:sz w:val="22"/>
          <w:szCs w:val="22"/>
          <w:lang w:val="en-US"/>
        </w:rPr>
        <w:t>(3), 337–421. https://doi.org/10.1111/1464-0597.00062</w:t>
      </w:r>
    </w:p>
    <w:p w14:paraId="6AEB1D74"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Hochschild, A. R. (1983). </w:t>
      </w:r>
      <w:r w:rsidRPr="00C830C3">
        <w:rPr>
          <w:rFonts w:ascii="Arial" w:hAnsi="Arial" w:cs="Arial"/>
          <w:i/>
          <w:iCs/>
          <w:sz w:val="22"/>
          <w:szCs w:val="22"/>
          <w:lang w:val="en-US"/>
        </w:rPr>
        <w:t>The managed heart: Commercialization of human feeling</w:t>
      </w:r>
      <w:r w:rsidRPr="00C830C3">
        <w:rPr>
          <w:rFonts w:ascii="Arial" w:hAnsi="Arial" w:cs="Arial"/>
          <w:sz w:val="22"/>
          <w:szCs w:val="22"/>
          <w:lang w:val="en-US"/>
        </w:rPr>
        <w:t>. University of California Press.</w:t>
      </w:r>
    </w:p>
    <w:p w14:paraId="58D5E606"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Hülsheger, U. R., &amp; Schewe, A. F. (2011). On the costs and benefits of emotional labor: A meta-analysis of three decades of research. </w:t>
      </w:r>
      <w:r w:rsidRPr="00C830C3">
        <w:rPr>
          <w:rFonts w:ascii="Arial" w:hAnsi="Arial" w:cs="Arial"/>
          <w:i/>
          <w:iCs/>
          <w:sz w:val="22"/>
          <w:szCs w:val="22"/>
          <w:lang w:val="en-US"/>
        </w:rPr>
        <w:t>Journal of Occupational Health Psychology</w:t>
      </w:r>
      <w:r w:rsidRPr="00C830C3">
        <w:rPr>
          <w:rFonts w:ascii="Arial" w:hAnsi="Arial" w:cs="Arial"/>
          <w:sz w:val="22"/>
          <w:szCs w:val="22"/>
          <w:lang w:val="en-US"/>
        </w:rPr>
        <w:t xml:space="preserve">, </w:t>
      </w:r>
      <w:r w:rsidRPr="00C830C3">
        <w:rPr>
          <w:rFonts w:ascii="Arial" w:hAnsi="Arial" w:cs="Arial"/>
          <w:i/>
          <w:iCs/>
          <w:sz w:val="22"/>
          <w:szCs w:val="22"/>
          <w:lang w:val="en-US"/>
        </w:rPr>
        <w:t>16</w:t>
      </w:r>
      <w:r w:rsidRPr="00C830C3">
        <w:rPr>
          <w:rFonts w:ascii="Arial" w:hAnsi="Arial" w:cs="Arial"/>
          <w:sz w:val="22"/>
          <w:szCs w:val="22"/>
          <w:lang w:val="en-US"/>
        </w:rPr>
        <w:t>(3), 361–389. https://doi.org/10.1037/a0022876</w:t>
      </w:r>
    </w:p>
    <w:p w14:paraId="20E649D3"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Kim, H., &amp; Ji, J. (2009). Factor structure and longitudinal invariance of the Maslach Burnout Inventory. </w:t>
      </w:r>
      <w:r w:rsidRPr="00C830C3">
        <w:rPr>
          <w:rFonts w:ascii="Arial" w:hAnsi="Arial" w:cs="Arial"/>
          <w:i/>
          <w:iCs/>
          <w:sz w:val="22"/>
          <w:szCs w:val="22"/>
          <w:lang w:val="en-US"/>
        </w:rPr>
        <w:t>Research on Social Work Practice</w:t>
      </w:r>
      <w:r w:rsidRPr="00C830C3">
        <w:rPr>
          <w:rFonts w:ascii="Arial" w:hAnsi="Arial" w:cs="Arial"/>
          <w:sz w:val="22"/>
          <w:szCs w:val="22"/>
          <w:lang w:val="en-US"/>
        </w:rPr>
        <w:t xml:space="preserve">, </w:t>
      </w:r>
      <w:r w:rsidRPr="00C830C3">
        <w:rPr>
          <w:rFonts w:ascii="Arial" w:hAnsi="Arial" w:cs="Arial"/>
          <w:i/>
          <w:iCs/>
          <w:sz w:val="22"/>
          <w:szCs w:val="22"/>
          <w:lang w:val="en-US"/>
        </w:rPr>
        <w:t>19</w:t>
      </w:r>
      <w:r w:rsidRPr="00C830C3">
        <w:rPr>
          <w:rFonts w:ascii="Arial" w:hAnsi="Arial" w:cs="Arial"/>
          <w:sz w:val="22"/>
          <w:szCs w:val="22"/>
          <w:lang w:val="en-US"/>
        </w:rPr>
        <w:t>(3), 325–339. https://doi.org/10.1177/1049731508318550</w:t>
      </w:r>
    </w:p>
    <w:p w14:paraId="3DAAEEBB"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Koutsimani, P., Montgomery, A., &amp; Georganta, K. (2019). The relationship between burnout, depression, and anxiety: A systematic review and meta-analysis. </w:t>
      </w:r>
      <w:r w:rsidRPr="00C830C3">
        <w:rPr>
          <w:rFonts w:ascii="Arial" w:hAnsi="Arial" w:cs="Arial"/>
          <w:i/>
          <w:iCs/>
          <w:sz w:val="22"/>
          <w:szCs w:val="22"/>
          <w:lang w:val="en-US"/>
        </w:rPr>
        <w:t>Frontiers in Psychology</w:t>
      </w:r>
      <w:r w:rsidRPr="00C830C3">
        <w:rPr>
          <w:rFonts w:ascii="Arial" w:hAnsi="Arial" w:cs="Arial"/>
          <w:sz w:val="22"/>
          <w:szCs w:val="22"/>
          <w:lang w:val="en-US"/>
        </w:rPr>
        <w:t xml:space="preserve">, </w:t>
      </w:r>
      <w:r w:rsidRPr="00C830C3">
        <w:rPr>
          <w:rFonts w:ascii="Arial" w:hAnsi="Arial" w:cs="Arial"/>
          <w:i/>
          <w:iCs/>
          <w:sz w:val="22"/>
          <w:szCs w:val="22"/>
          <w:lang w:val="en-US"/>
        </w:rPr>
        <w:t>10</w:t>
      </w:r>
      <w:r w:rsidRPr="00C830C3">
        <w:rPr>
          <w:rFonts w:ascii="Arial" w:hAnsi="Arial" w:cs="Arial"/>
          <w:sz w:val="22"/>
          <w:szCs w:val="22"/>
          <w:lang w:val="en-US"/>
        </w:rPr>
        <w:t>, Article 284. https://doi.org/10.3389/fpsyg.2019.00284</w:t>
      </w:r>
    </w:p>
    <w:p w14:paraId="619555EC"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lastRenderedPageBreak/>
        <w:t xml:space="preserve">Kroenke, K., Spitzer, R. L., &amp; Williams, J. B. W. (2001). The PHQ-9: Validity of a brief depression severity measure. </w:t>
      </w:r>
      <w:r w:rsidRPr="00C830C3">
        <w:rPr>
          <w:rFonts w:ascii="Arial" w:hAnsi="Arial" w:cs="Arial"/>
          <w:i/>
          <w:iCs/>
          <w:sz w:val="22"/>
          <w:szCs w:val="22"/>
          <w:lang w:val="en-US"/>
        </w:rPr>
        <w:t>Journal of General Internal Medicine</w:t>
      </w:r>
      <w:r w:rsidRPr="00C830C3">
        <w:rPr>
          <w:rFonts w:ascii="Arial" w:hAnsi="Arial" w:cs="Arial"/>
          <w:sz w:val="22"/>
          <w:szCs w:val="22"/>
          <w:lang w:val="en-US"/>
        </w:rPr>
        <w:t xml:space="preserve">, </w:t>
      </w:r>
      <w:r w:rsidRPr="00C830C3">
        <w:rPr>
          <w:rFonts w:ascii="Arial" w:hAnsi="Arial" w:cs="Arial"/>
          <w:i/>
          <w:iCs/>
          <w:sz w:val="22"/>
          <w:szCs w:val="22"/>
          <w:lang w:val="en-US"/>
        </w:rPr>
        <w:t>16</w:t>
      </w:r>
      <w:r w:rsidRPr="00C830C3">
        <w:rPr>
          <w:rFonts w:ascii="Arial" w:hAnsi="Arial" w:cs="Arial"/>
          <w:sz w:val="22"/>
          <w:szCs w:val="22"/>
          <w:lang w:val="en-US"/>
        </w:rPr>
        <w:t>(9), 606–613. https://doi.org/10.1046/j.1525-1497.2001.016009606.x</w:t>
      </w:r>
    </w:p>
    <w:p w14:paraId="390E1E58"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Lehr, D., Schmitz, E., &amp; Hillert, A. (2010). Bewältigungsmuster und psychische Gesundheit: Eine clusteranalytische Replikationsstudie. </w:t>
      </w:r>
      <w:r w:rsidRPr="00C830C3">
        <w:rPr>
          <w:rFonts w:ascii="Arial" w:hAnsi="Arial" w:cs="Arial"/>
          <w:i/>
          <w:iCs/>
          <w:sz w:val="22"/>
          <w:szCs w:val="22"/>
          <w:lang w:val="en-US"/>
        </w:rPr>
        <w:t>Zeitschrift für Arbeits- und Organisationspsychologie</w:t>
      </w:r>
      <w:r w:rsidRPr="00C830C3">
        <w:rPr>
          <w:rFonts w:ascii="Arial" w:hAnsi="Arial" w:cs="Arial"/>
          <w:sz w:val="22"/>
          <w:szCs w:val="22"/>
          <w:lang w:val="en-US"/>
        </w:rPr>
        <w:t xml:space="preserve">, </w:t>
      </w:r>
      <w:r w:rsidRPr="00C830C3">
        <w:rPr>
          <w:rFonts w:ascii="Arial" w:hAnsi="Arial" w:cs="Arial"/>
          <w:i/>
          <w:iCs/>
          <w:sz w:val="22"/>
          <w:szCs w:val="22"/>
          <w:lang w:val="en-US"/>
        </w:rPr>
        <w:t>52</w:t>
      </w:r>
      <w:r w:rsidRPr="00C830C3">
        <w:rPr>
          <w:rFonts w:ascii="Arial" w:hAnsi="Arial" w:cs="Arial"/>
          <w:sz w:val="22"/>
          <w:szCs w:val="22"/>
          <w:lang w:val="en-US"/>
        </w:rPr>
        <w:t>(1), 3–16. https://doi.org/10.1026/0932-4089.52.1.3</w:t>
      </w:r>
    </w:p>
    <w:p w14:paraId="6DAEE71D"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Luxton, D. D. (2020). An introduction to AI in mental health care. In D. D. Luxton (Ed.), </w:t>
      </w:r>
      <w:r w:rsidRPr="00C830C3">
        <w:rPr>
          <w:rFonts w:ascii="Arial" w:hAnsi="Arial" w:cs="Arial"/>
          <w:i/>
          <w:iCs/>
          <w:sz w:val="22"/>
          <w:szCs w:val="22"/>
          <w:lang w:val="en-US"/>
        </w:rPr>
        <w:t>Artificial intelligence in behavioral and mental health care</w:t>
      </w:r>
      <w:r w:rsidRPr="00C830C3">
        <w:rPr>
          <w:rFonts w:ascii="Arial" w:hAnsi="Arial" w:cs="Arial"/>
          <w:sz w:val="22"/>
          <w:szCs w:val="22"/>
          <w:lang w:val="en-US"/>
        </w:rPr>
        <w:t xml:space="preserve"> (pp. 1–26). Academic Press. https://doi.org/10.1016/B978-0-12-420248-1.00001-5</w:t>
      </w:r>
    </w:p>
    <w:p w14:paraId="69E538DF"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MacKinnon, D. P., Lockwood, C. M., &amp; Williams, J. (2004). Confidence limits for the indirect effect: Distribution of the product and resampling methods. </w:t>
      </w:r>
      <w:r w:rsidRPr="00C830C3">
        <w:rPr>
          <w:rFonts w:ascii="Arial" w:hAnsi="Arial" w:cs="Arial"/>
          <w:i/>
          <w:iCs/>
          <w:sz w:val="22"/>
          <w:szCs w:val="22"/>
          <w:lang w:val="en-US"/>
        </w:rPr>
        <w:t>Multivariate Behavioral Research</w:t>
      </w:r>
      <w:r w:rsidRPr="00C830C3">
        <w:rPr>
          <w:rFonts w:ascii="Arial" w:hAnsi="Arial" w:cs="Arial"/>
          <w:sz w:val="22"/>
          <w:szCs w:val="22"/>
          <w:lang w:val="en-US"/>
        </w:rPr>
        <w:t xml:space="preserve">, </w:t>
      </w:r>
      <w:r w:rsidRPr="00C830C3">
        <w:rPr>
          <w:rFonts w:ascii="Arial" w:hAnsi="Arial" w:cs="Arial"/>
          <w:i/>
          <w:iCs/>
          <w:sz w:val="22"/>
          <w:szCs w:val="22"/>
          <w:lang w:val="en-US"/>
        </w:rPr>
        <w:t>39</w:t>
      </w:r>
      <w:r w:rsidRPr="00C830C3">
        <w:rPr>
          <w:rFonts w:ascii="Arial" w:hAnsi="Arial" w:cs="Arial"/>
          <w:sz w:val="22"/>
          <w:szCs w:val="22"/>
          <w:lang w:val="en-US"/>
        </w:rPr>
        <w:t>(1), 99–128. https://doi.org/10.1207/s15327906mbr3901_4</w:t>
      </w:r>
    </w:p>
    <w:p w14:paraId="19C3AE16"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Maslach, C., &amp; Jackson, S. E. (1981). The measurement of experienced burnout. </w:t>
      </w:r>
      <w:r w:rsidRPr="00C830C3">
        <w:rPr>
          <w:rFonts w:ascii="Arial" w:hAnsi="Arial" w:cs="Arial"/>
          <w:i/>
          <w:iCs/>
          <w:sz w:val="22"/>
          <w:szCs w:val="22"/>
          <w:lang w:val="en-US"/>
        </w:rPr>
        <w:t>Journal of Organizational Behavior</w:t>
      </w:r>
      <w:r w:rsidRPr="00C830C3">
        <w:rPr>
          <w:rFonts w:ascii="Arial" w:hAnsi="Arial" w:cs="Arial"/>
          <w:sz w:val="22"/>
          <w:szCs w:val="22"/>
          <w:lang w:val="en-US"/>
        </w:rPr>
        <w:t xml:space="preserve">, </w:t>
      </w:r>
      <w:r w:rsidRPr="00C830C3">
        <w:rPr>
          <w:rFonts w:ascii="Arial" w:hAnsi="Arial" w:cs="Arial"/>
          <w:i/>
          <w:iCs/>
          <w:sz w:val="22"/>
          <w:szCs w:val="22"/>
          <w:lang w:val="en-US"/>
        </w:rPr>
        <w:t>2</w:t>
      </w:r>
      <w:r w:rsidRPr="00C830C3">
        <w:rPr>
          <w:rFonts w:ascii="Arial" w:hAnsi="Arial" w:cs="Arial"/>
          <w:sz w:val="22"/>
          <w:szCs w:val="22"/>
          <w:lang w:val="en-US"/>
        </w:rPr>
        <w:t>(2), 99–113. https://doi.org/10.1002/job.4030020205</w:t>
      </w:r>
    </w:p>
    <w:p w14:paraId="02FA4B20"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Maslach, C., &amp; Leiter, M. P. (2016). Understanding the burnout experience: Recent research and its implications for psychiatry. </w:t>
      </w:r>
      <w:r w:rsidRPr="00C830C3">
        <w:rPr>
          <w:rFonts w:ascii="Arial" w:hAnsi="Arial" w:cs="Arial"/>
          <w:i/>
          <w:iCs/>
          <w:sz w:val="22"/>
          <w:szCs w:val="22"/>
          <w:lang w:val="en-US"/>
        </w:rPr>
        <w:t>World Psychiatry</w:t>
      </w:r>
      <w:r w:rsidRPr="00C830C3">
        <w:rPr>
          <w:rFonts w:ascii="Arial" w:hAnsi="Arial" w:cs="Arial"/>
          <w:sz w:val="22"/>
          <w:szCs w:val="22"/>
          <w:lang w:val="en-US"/>
        </w:rPr>
        <w:t xml:space="preserve">, </w:t>
      </w:r>
      <w:r w:rsidRPr="00C830C3">
        <w:rPr>
          <w:rFonts w:ascii="Arial" w:hAnsi="Arial" w:cs="Arial"/>
          <w:i/>
          <w:iCs/>
          <w:sz w:val="22"/>
          <w:szCs w:val="22"/>
          <w:lang w:val="en-US"/>
        </w:rPr>
        <w:t>15</w:t>
      </w:r>
      <w:r w:rsidRPr="00C830C3">
        <w:rPr>
          <w:rFonts w:ascii="Arial" w:hAnsi="Arial" w:cs="Arial"/>
          <w:sz w:val="22"/>
          <w:szCs w:val="22"/>
          <w:lang w:val="en-US"/>
        </w:rPr>
        <w:t>(2), 103–111. https://doi.org/10.1002/wps.20311</w:t>
      </w:r>
    </w:p>
    <w:p w14:paraId="5720C8E4"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Maslach, C., Jackson, S. E., &amp; Leiter, M. P. (1996). </w:t>
      </w:r>
      <w:r w:rsidRPr="00C830C3">
        <w:rPr>
          <w:rFonts w:ascii="Arial" w:hAnsi="Arial" w:cs="Arial"/>
          <w:i/>
          <w:iCs/>
          <w:sz w:val="22"/>
          <w:szCs w:val="22"/>
          <w:lang w:val="en-US"/>
        </w:rPr>
        <w:t>Maslach Burnout Inventory manual</w:t>
      </w:r>
      <w:r w:rsidRPr="00C830C3">
        <w:rPr>
          <w:rFonts w:ascii="Arial" w:hAnsi="Arial" w:cs="Arial"/>
          <w:sz w:val="22"/>
          <w:szCs w:val="22"/>
          <w:lang w:val="en-US"/>
        </w:rPr>
        <w:t xml:space="preserve"> (3rd ed.). Consulting Psychologists Press.</w:t>
      </w:r>
    </w:p>
    <w:p w14:paraId="1FC7AA80"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Mohr, D. C., Zhang, M., &amp; Schueller, S. M. (2017). Personal sensing: Understanding mental health using ubiquitous sensors and machine learning. </w:t>
      </w:r>
      <w:r w:rsidRPr="00C830C3">
        <w:rPr>
          <w:rFonts w:ascii="Arial" w:hAnsi="Arial" w:cs="Arial"/>
          <w:i/>
          <w:iCs/>
          <w:sz w:val="22"/>
          <w:szCs w:val="22"/>
          <w:lang w:val="en-US"/>
        </w:rPr>
        <w:t>Annual Review of Clinical Psychology</w:t>
      </w:r>
      <w:r w:rsidRPr="00C830C3">
        <w:rPr>
          <w:rFonts w:ascii="Arial" w:hAnsi="Arial" w:cs="Arial"/>
          <w:sz w:val="22"/>
          <w:szCs w:val="22"/>
          <w:lang w:val="en-US"/>
        </w:rPr>
        <w:t xml:space="preserve">, </w:t>
      </w:r>
      <w:r w:rsidRPr="00C830C3">
        <w:rPr>
          <w:rFonts w:ascii="Arial" w:hAnsi="Arial" w:cs="Arial"/>
          <w:i/>
          <w:iCs/>
          <w:sz w:val="22"/>
          <w:szCs w:val="22"/>
          <w:lang w:val="en-US"/>
        </w:rPr>
        <w:t>13</w:t>
      </w:r>
      <w:r w:rsidRPr="00C830C3">
        <w:rPr>
          <w:rFonts w:ascii="Arial" w:hAnsi="Arial" w:cs="Arial"/>
          <w:sz w:val="22"/>
          <w:szCs w:val="22"/>
          <w:lang w:val="en-US"/>
        </w:rPr>
        <w:t>, 23–47. https://doi.org/10.1146/annurev-clinpsy-032816-044949</w:t>
      </w:r>
    </w:p>
    <w:p w14:paraId="49E4A88C"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Morris, J. A., &amp; Feldman, D. C. (1996). The dimensions, antecedents, and consequences of emotional labor. </w:t>
      </w:r>
      <w:r w:rsidRPr="00C830C3">
        <w:rPr>
          <w:rFonts w:ascii="Arial" w:hAnsi="Arial" w:cs="Arial"/>
          <w:i/>
          <w:iCs/>
          <w:sz w:val="22"/>
          <w:szCs w:val="22"/>
          <w:lang w:val="en-US"/>
        </w:rPr>
        <w:t>Academy of Management Review</w:t>
      </w:r>
      <w:r w:rsidRPr="00C830C3">
        <w:rPr>
          <w:rFonts w:ascii="Arial" w:hAnsi="Arial" w:cs="Arial"/>
          <w:sz w:val="22"/>
          <w:szCs w:val="22"/>
          <w:lang w:val="en-US"/>
        </w:rPr>
        <w:t xml:space="preserve">, </w:t>
      </w:r>
      <w:r w:rsidRPr="00C830C3">
        <w:rPr>
          <w:rFonts w:ascii="Arial" w:hAnsi="Arial" w:cs="Arial"/>
          <w:i/>
          <w:iCs/>
          <w:sz w:val="22"/>
          <w:szCs w:val="22"/>
          <w:lang w:val="en-US"/>
        </w:rPr>
        <w:t>21</w:t>
      </w:r>
      <w:r w:rsidRPr="00C830C3">
        <w:rPr>
          <w:rFonts w:ascii="Arial" w:hAnsi="Arial" w:cs="Arial"/>
          <w:sz w:val="22"/>
          <w:szCs w:val="22"/>
          <w:lang w:val="en-US"/>
        </w:rPr>
        <w:t>(4), 986–1010. https://doi.org/10.5465/amr.1996.9704071861</w:t>
      </w:r>
    </w:p>
    <w:p w14:paraId="6422D79A"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Nolen-Hoeksema, S., Wisco, B. E., &amp; Lyubomirsky, S. (2008). Rethinking rumination. </w:t>
      </w:r>
      <w:r w:rsidRPr="00C830C3">
        <w:rPr>
          <w:rFonts w:ascii="Arial" w:hAnsi="Arial" w:cs="Arial"/>
          <w:i/>
          <w:iCs/>
          <w:sz w:val="22"/>
          <w:szCs w:val="22"/>
          <w:lang w:val="en-US"/>
        </w:rPr>
        <w:t>Perspectives on Psychological Science</w:t>
      </w:r>
      <w:r w:rsidRPr="00C830C3">
        <w:rPr>
          <w:rFonts w:ascii="Arial" w:hAnsi="Arial" w:cs="Arial"/>
          <w:sz w:val="22"/>
          <w:szCs w:val="22"/>
          <w:lang w:val="en-US"/>
        </w:rPr>
        <w:t xml:space="preserve">, </w:t>
      </w:r>
      <w:r w:rsidRPr="00C830C3">
        <w:rPr>
          <w:rFonts w:ascii="Arial" w:hAnsi="Arial" w:cs="Arial"/>
          <w:i/>
          <w:iCs/>
          <w:sz w:val="22"/>
          <w:szCs w:val="22"/>
          <w:lang w:val="en-US"/>
        </w:rPr>
        <w:t>3</w:t>
      </w:r>
      <w:r w:rsidRPr="00C830C3">
        <w:rPr>
          <w:rFonts w:ascii="Arial" w:hAnsi="Arial" w:cs="Arial"/>
          <w:sz w:val="22"/>
          <w:szCs w:val="22"/>
          <w:lang w:val="en-US"/>
        </w:rPr>
        <w:t>(5), 400–424. https://doi.org/10.1111/j.1745-6924.2008.00088.x</w:t>
      </w:r>
    </w:p>
    <w:p w14:paraId="27B6197F"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Pazer, S. (2024a). Burnout in sozialen Berufen: Strukturelle Determinanten und psychotherapeutische Implikationen. </w:t>
      </w:r>
      <w:r w:rsidRPr="00C830C3">
        <w:rPr>
          <w:rFonts w:ascii="Arial" w:hAnsi="Arial" w:cs="Arial"/>
          <w:i/>
          <w:iCs/>
          <w:sz w:val="22"/>
          <w:szCs w:val="22"/>
          <w:lang w:val="en-US"/>
        </w:rPr>
        <w:t>Zeitschrift für Sozialarbeit</w:t>
      </w:r>
      <w:r w:rsidRPr="00C830C3">
        <w:rPr>
          <w:rFonts w:ascii="Arial" w:hAnsi="Arial" w:cs="Arial"/>
          <w:sz w:val="22"/>
          <w:szCs w:val="22"/>
          <w:lang w:val="en-US"/>
        </w:rPr>
        <w:t xml:space="preserve">, </w:t>
      </w:r>
      <w:r w:rsidRPr="00C830C3">
        <w:rPr>
          <w:rFonts w:ascii="Arial" w:hAnsi="Arial" w:cs="Arial"/>
          <w:i/>
          <w:iCs/>
          <w:sz w:val="22"/>
          <w:szCs w:val="22"/>
          <w:lang w:val="en-US"/>
        </w:rPr>
        <w:t>12</w:t>
      </w:r>
      <w:r w:rsidRPr="00C830C3">
        <w:rPr>
          <w:rFonts w:ascii="Arial" w:hAnsi="Arial" w:cs="Arial"/>
          <w:sz w:val="22"/>
          <w:szCs w:val="22"/>
          <w:lang w:val="en-US"/>
        </w:rPr>
        <w:t>(1), 45–63.</w:t>
      </w:r>
    </w:p>
    <w:p w14:paraId="0FFCDBDB"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Pazer, S. (2024b). Künstliche Intelligenz in der psychotherapeutischen Nachsorge. </w:t>
      </w:r>
      <w:r w:rsidRPr="00C830C3">
        <w:rPr>
          <w:rFonts w:ascii="Arial" w:hAnsi="Arial" w:cs="Arial"/>
          <w:i/>
          <w:iCs/>
          <w:sz w:val="22"/>
          <w:szCs w:val="22"/>
          <w:lang w:val="en-US"/>
        </w:rPr>
        <w:t>Soziale Arbeit Digital</w:t>
      </w:r>
      <w:r w:rsidRPr="00C830C3">
        <w:rPr>
          <w:rFonts w:ascii="Arial" w:hAnsi="Arial" w:cs="Arial"/>
          <w:sz w:val="22"/>
          <w:szCs w:val="22"/>
          <w:lang w:val="en-US"/>
        </w:rPr>
        <w:t xml:space="preserve">, </w:t>
      </w:r>
      <w:r w:rsidRPr="00C830C3">
        <w:rPr>
          <w:rFonts w:ascii="Arial" w:hAnsi="Arial" w:cs="Arial"/>
          <w:i/>
          <w:iCs/>
          <w:sz w:val="22"/>
          <w:szCs w:val="22"/>
          <w:lang w:val="en-US"/>
        </w:rPr>
        <w:t>3</w:t>
      </w:r>
      <w:r w:rsidRPr="00C830C3">
        <w:rPr>
          <w:rFonts w:ascii="Arial" w:hAnsi="Arial" w:cs="Arial"/>
          <w:sz w:val="22"/>
          <w:szCs w:val="22"/>
          <w:lang w:val="en-US"/>
        </w:rPr>
        <w:t>(2), 112–128.</w:t>
      </w:r>
    </w:p>
    <w:p w14:paraId="728B154E"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Podsakoff, P. M., MacKenzie, S. B., Lee, J.-Y., &amp; Podsakoff, N. P. (2003). Common method biases in behavioral research: A critical review of the literature and recommended </w:t>
      </w:r>
      <w:r w:rsidRPr="00C830C3">
        <w:rPr>
          <w:rFonts w:ascii="Arial" w:hAnsi="Arial" w:cs="Arial"/>
          <w:sz w:val="22"/>
          <w:szCs w:val="22"/>
          <w:lang w:val="en-US"/>
        </w:rPr>
        <w:lastRenderedPageBreak/>
        <w:t xml:space="preserve">remedies. </w:t>
      </w:r>
      <w:r w:rsidRPr="00C830C3">
        <w:rPr>
          <w:rFonts w:ascii="Arial" w:hAnsi="Arial" w:cs="Arial"/>
          <w:i/>
          <w:iCs/>
          <w:sz w:val="22"/>
          <w:szCs w:val="22"/>
          <w:lang w:val="en-US"/>
        </w:rPr>
        <w:t>Journal of Applied Psychology</w:t>
      </w:r>
      <w:r w:rsidRPr="00C830C3">
        <w:rPr>
          <w:rFonts w:ascii="Arial" w:hAnsi="Arial" w:cs="Arial"/>
          <w:sz w:val="22"/>
          <w:szCs w:val="22"/>
          <w:lang w:val="en-US"/>
        </w:rPr>
        <w:t xml:space="preserve">, </w:t>
      </w:r>
      <w:r w:rsidRPr="00C830C3">
        <w:rPr>
          <w:rFonts w:ascii="Arial" w:hAnsi="Arial" w:cs="Arial"/>
          <w:i/>
          <w:iCs/>
          <w:sz w:val="22"/>
          <w:szCs w:val="22"/>
          <w:lang w:val="en-US"/>
        </w:rPr>
        <w:t>88</w:t>
      </w:r>
      <w:r w:rsidRPr="00C830C3">
        <w:rPr>
          <w:rFonts w:ascii="Arial" w:hAnsi="Arial" w:cs="Arial"/>
          <w:sz w:val="22"/>
          <w:szCs w:val="22"/>
          <w:lang w:val="en-US"/>
        </w:rPr>
        <w:t>(5), 879–903. https://doi.org/10.1037/0021-9010.88.5.879</w:t>
      </w:r>
    </w:p>
    <w:p w14:paraId="5CBD4CBE"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Preacher, K. J., &amp; Hayes, A. F. (2008). Asymptotic and resampling strategies for assessing and comparing indirect effects in multiple mediator models. </w:t>
      </w:r>
      <w:r w:rsidRPr="00C830C3">
        <w:rPr>
          <w:rFonts w:ascii="Arial" w:hAnsi="Arial" w:cs="Arial"/>
          <w:i/>
          <w:iCs/>
          <w:sz w:val="22"/>
          <w:szCs w:val="22"/>
          <w:lang w:val="en-US"/>
        </w:rPr>
        <w:t>Behavior Research Methods</w:t>
      </w:r>
      <w:r w:rsidRPr="00C830C3">
        <w:rPr>
          <w:rFonts w:ascii="Arial" w:hAnsi="Arial" w:cs="Arial"/>
          <w:sz w:val="22"/>
          <w:szCs w:val="22"/>
          <w:lang w:val="en-US"/>
        </w:rPr>
        <w:t xml:space="preserve">, </w:t>
      </w:r>
      <w:r w:rsidRPr="00C830C3">
        <w:rPr>
          <w:rFonts w:ascii="Arial" w:hAnsi="Arial" w:cs="Arial"/>
          <w:i/>
          <w:iCs/>
          <w:sz w:val="22"/>
          <w:szCs w:val="22"/>
          <w:lang w:val="en-US"/>
        </w:rPr>
        <w:t>40</w:t>
      </w:r>
      <w:r w:rsidRPr="00C830C3">
        <w:rPr>
          <w:rFonts w:ascii="Arial" w:hAnsi="Arial" w:cs="Arial"/>
          <w:sz w:val="22"/>
          <w:szCs w:val="22"/>
          <w:lang w:val="en-US"/>
        </w:rPr>
        <w:t>(3), 879–891. https://doi.org/10.3758/BRM.40.3.879</w:t>
      </w:r>
    </w:p>
    <w:p w14:paraId="6535F528"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Saeb, S., Zhang, M., Karr, C. J., Schueller, S. M., Corden, M. E., Kording, K. P., &amp; Mohr, D. C. (2015). Mobile phone sensor correlates of depressive symptom severity in daily-life behavior. </w:t>
      </w:r>
      <w:r w:rsidRPr="00C830C3">
        <w:rPr>
          <w:rFonts w:ascii="Arial" w:hAnsi="Arial" w:cs="Arial"/>
          <w:i/>
          <w:iCs/>
          <w:sz w:val="22"/>
          <w:szCs w:val="22"/>
          <w:lang w:val="en-US"/>
        </w:rPr>
        <w:t>Journal of Medical Internet Research</w:t>
      </w:r>
      <w:r w:rsidRPr="00C830C3">
        <w:rPr>
          <w:rFonts w:ascii="Arial" w:hAnsi="Arial" w:cs="Arial"/>
          <w:sz w:val="22"/>
          <w:szCs w:val="22"/>
          <w:lang w:val="en-US"/>
        </w:rPr>
        <w:t xml:space="preserve">, </w:t>
      </w:r>
      <w:r w:rsidRPr="00C830C3">
        <w:rPr>
          <w:rFonts w:ascii="Arial" w:hAnsi="Arial" w:cs="Arial"/>
          <w:i/>
          <w:iCs/>
          <w:sz w:val="22"/>
          <w:szCs w:val="22"/>
          <w:lang w:val="en-US"/>
        </w:rPr>
        <w:t>17</w:t>
      </w:r>
      <w:r w:rsidRPr="00C830C3">
        <w:rPr>
          <w:rFonts w:ascii="Arial" w:hAnsi="Arial" w:cs="Arial"/>
          <w:sz w:val="22"/>
          <w:szCs w:val="22"/>
          <w:lang w:val="en-US"/>
        </w:rPr>
        <w:t>(7), e175. https://doi.org/10.2196/jmir.4273</w:t>
      </w:r>
    </w:p>
    <w:p w14:paraId="620ADB18"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Schonfeld, I. S., &amp; Bianchi, R. (2016). Burnout and depression: Two entities or one? </w:t>
      </w:r>
      <w:r w:rsidRPr="00C830C3">
        <w:rPr>
          <w:rFonts w:ascii="Arial" w:hAnsi="Arial" w:cs="Arial"/>
          <w:i/>
          <w:iCs/>
          <w:sz w:val="22"/>
          <w:szCs w:val="22"/>
          <w:lang w:val="en-US"/>
        </w:rPr>
        <w:t>Journal of Clinical Psychology</w:t>
      </w:r>
      <w:r w:rsidRPr="00C830C3">
        <w:rPr>
          <w:rFonts w:ascii="Arial" w:hAnsi="Arial" w:cs="Arial"/>
          <w:sz w:val="22"/>
          <w:szCs w:val="22"/>
          <w:lang w:val="en-US"/>
        </w:rPr>
        <w:t xml:space="preserve">, </w:t>
      </w:r>
      <w:r w:rsidRPr="00C830C3">
        <w:rPr>
          <w:rFonts w:ascii="Arial" w:hAnsi="Arial" w:cs="Arial"/>
          <w:i/>
          <w:iCs/>
          <w:sz w:val="22"/>
          <w:szCs w:val="22"/>
          <w:lang w:val="en-US"/>
        </w:rPr>
        <w:t>72</w:t>
      </w:r>
      <w:r w:rsidRPr="00C830C3">
        <w:rPr>
          <w:rFonts w:ascii="Arial" w:hAnsi="Arial" w:cs="Arial"/>
          <w:sz w:val="22"/>
          <w:szCs w:val="22"/>
          <w:lang w:val="en-US"/>
        </w:rPr>
        <w:t>(1), 22–37. https://doi.org/10.1002/jclp.22229</w:t>
      </w:r>
    </w:p>
    <w:p w14:paraId="55840035"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Siegrist, J. (1996). Adverse health effects of high-effort/low-reward conditions. </w:t>
      </w:r>
      <w:r w:rsidRPr="00C830C3">
        <w:rPr>
          <w:rFonts w:ascii="Arial" w:hAnsi="Arial" w:cs="Arial"/>
          <w:i/>
          <w:iCs/>
          <w:sz w:val="22"/>
          <w:szCs w:val="22"/>
          <w:lang w:val="en-US"/>
        </w:rPr>
        <w:t>Journal of Occupational Health Psychology</w:t>
      </w:r>
      <w:r w:rsidRPr="00C830C3">
        <w:rPr>
          <w:rFonts w:ascii="Arial" w:hAnsi="Arial" w:cs="Arial"/>
          <w:sz w:val="22"/>
          <w:szCs w:val="22"/>
          <w:lang w:val="en-US"/>
        </w:rPr>
        <w:t xml:space="preserve">, </w:t>
      </w:r>
      <w:r w:rsidRPr="00C830C3">
        <w:rPr>
          <w:rFonts w:ascii="Arial" w:hAnsi="Arial" w:cs="Arial"/>
          <w:i/>
          <w:iCs/>
          <w:sz w:val="22"/>
          <w:szCs w:val="22"/>
          <w:lang w:val="en-US"/>
        </w:rPr>
        <w:t>1</w:t>
      </w:r>
      <w:r w:rsidRPr="00C830C3">
        <w:rPr>
          <w:rFonts w:ascii="Arial" w:hAnsi="Arial" w:cs="Arial"/>
          <w:sz w:val="22"/>
          <w:szCs w:val="22"/>
          <w:lang w:val="en-US"/>
        </w:rPr>
        <w:t>(1), 27–41. https://doi.org/10.1037/1076-8998.1.1.27</w:t>
      </w:r>
    </w:p>
    <w:p w14:paraId="4408DEF3"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Siegrist, J., Starke, D., Chandola, T., Godin, I., Marmot, M., Niedhammer, I., &amp; Peter, R. (2004). The measurement of effort-reward imbalance at work: European comparisons. </w:t>
      </w:r>
      <w:r w:rsidRPr="00C830C3">
        <w:rPr>
          <w:rFonts w:ascii="Arial" w:hAnsi="Arial" w:cs="Arial"/>
          <w:i/>
          <w:iCs/>
          <w:sz w:val="22"/>
          <w:szCs w:val="22"/>
          <w:lang w:val="en-US"/>
        </w:rPr>
        <w:t>Social Science &amp; Medicine</w:t>
      </w:r>
      <w:r w:rsidRPr="00C830C3">
        <w:rPr>
          <w:rFonts w:ascii="Arial" w:hAnsi="Arial" w:cs="Arial"/>
          <w:sz w:val="22"/>
          <w:szCs w:val="22"/>
          <w:lang w:val="en-US"/>
        </w:rPr>
        <w:t xml:space="preserve">, </w:t>
      </w:r>
      <w:r w:rsidRPr="00C830C3">
        <w:rPr>
          <w:rFonts w:ascii="Arial" w:hAnsi="Arial" w:cs="Arial"/>
          <w:i/>
          <w:iCs/>
          <w:sz w:val="22"/>
          <w:szCs w:val="22"/>
          <w:lang w:val="en-US"/>
        </w:rPr>
        <w:t>58</w:t>
      </w:r>
      <w:r w:rsidRPr="00C830C3">
        <w:rPr>
          <w:rFonts w:ascii="Arial" w:hAnsi="Arial" w:cs="Arial"/>
          <w:sz w:val="22"/>
          <w:szCs w:val="22"/>
          <w:lang w:val="en-US"/>
        </w:rPr>
        <w:t>(8), 1483–1499. https://doi.org/10.1016/S0277-9536(03)00351-4</w:t>
      </w:r>
    </w:p>
    <w:p w14:paraId="235DE71F"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Siebert, D. C. (2004). Depression in North Carolina social workers: Implications for practice and research. </w:t>
      </w:r>
      <w:r w:rsidRPr="00C830C3">
        <w:rPr>
          <w:rFonts w:ascii="Arial" w:hAnsi="Arial" w:cs="Arial"/>
          <w:i/>
          <w:iCs/>
          <w:sz w:val="22"/>
          <w:szCs w:val="22"/>
          <w:lang w:val="en-US"/>
        </w:rPr>
        <w:t>Social Work Research</w:t>
      </w:r>
      <w:r w:rsidRPr="00C830C3">
        <w:rPr>
          <w:rFonts w:ascii="Arial" w:hAnsi="Arial" w:cs="Arial"/>
          <w:sz w:val="22"/>
          <w:szCs w:val="22"/>
          <w:lang w:val="en-US"/>
        </w:rPr>
        <w:t xml:space="preserve">, </w:t>
      </w:r>
      <w:r w:rsidRPr="00C830C3">
        <w:rPr>
          <w:rFonts w:ascii="Arial" w:hAnsi="Arial" w:cs="Arial"/>
          <w:i/>
          <w:iCs/>
          <w:sz w:val="22"/>
          <w:szCs w:val="22"/>
          <w:lang w:val="en-US"/>
        </w:rPr>
        <w:t>28</w:t>
      </w:r>
      <w:r w:rsidRPr="00C830C3">
        <w:rPr>
          <w:rFonts w:ascii="Arial" w:hAnsi="Arial" w:cs="Arial"/>
          <w:sz w:val="22"/>
          <w:szCs w:val="22"/>
          <w:lang w:val="en-US"/>
        </w:rPr>
        <w:t>(1), 30–40. https://doi.org/10.1093/swr/28.1.30</w:t>
      </w:r>
    </w:p>
    <w:p w14:paraId="647857BE"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Sousa, M., Ribeiro, J., &amp; Paiva, T. (2018). Help-seeking behaviour and mental health in social workers. </w:t>
      </w:r>
      <w:r w:rsidRPr="00C830C3">
        <w:rPr>
          <w:rFonts w:ascii="Arial" w:hAnsi="Arial" w:cs="Arial"/>
          <w:i/>
          <w:iCs/>
          <w:sz w:val="22"/>
          <w:szCs w:val="22"/>
          <w:lang w:val="en-US"/>
        </w:rPr>
        <w:t>European Journal of Social Work</w:t>
      </w:r>
      <w:r w:rsidRPr="00C830C3">
        <w:rPr>
          <w:rFonts w:ascii="Arial" w:hAnsi="Arial" w:cs="Arial"/>
          <w:sz w:val="22"/>
          <w:szCs w:val="22"/>
          <w:lang w:val="en-US"/>
        </w:rPr>
        <w:t xml:space="preserve">, </w:t>
      </w:r>
      <w:r w:rsidRPr="00C830C3">
        <w:rPr>
          <w:rFonts w:ascii="Arial" w:hAnsi="Arial" w:cs="Arial"/>
          <w:i/>
          <w:iCs/>
          <w:sz w:val="22"/>
          <w:szCs w:val="22"/>
          <w:lang w:val="en-US"/>
        </w:rPr>
        <w:t>21</w:t>
      </w:r>
      <w:r w:rsidRPr="00C830C3">
        <w:rPr>
          <w:rFonts w:ascii="Arial" w:hAnsi="Arial" w:cs="Arial"/>
          <w:sz w:val="22"/>
          <w:szCs w:val="22"/>
          <w:lang w:val="en-US"/>
        </w:rPr>
        <w:t>(4), 527–538. https://doi.org/10.1080/13691457.2017.1320543</w:t>
      </w:r>
    </w:p>
    <w:p w14:paraId="77CAF8CD"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Stalker, C. A., Mandell, D., Frensch, K. M., Harvey, C., &amp; Wright, M. (2007). Child welfare workers who are exhausted yet satisfied with their jobs. </w:t>
      </w:r>
      <w:r w:rsidRPr="00C830C3">
        <w:rPr>
          <w:rFonts w:ascii="Arial" w:hAnsi="Arial" w:cs="Arial"/>
          <w:i/>
          <w:iCs/>
          <w:sz w:val="22"/>
          <w:szCs w:val="22"/>
          <w:lang w:val="en-US"/>
        </w:rPr>
        <w:t>Child &amp; Family Social Work</w:t>
      </w:r>
      <w:r w:rsidRPr="00C830C3">
        <w:rPr>
          <w:rFonts w:ascii="Arial" w:hAnsi="Arial" w:cs="Arial"/>
          <w:sz w:val="22"/>
          <w:szCs w:val="22"/>
          <w:lang w:val="en-US"/>
        </w:rPr>
        <w:t xml:space="preserve">, </w:t>
      </w:r>
      <w:r w:rsidRPr="00C830C3">
        <w:rPr>
          <w:rFonts w:ascii="Arial" w:hAnsi="Arial" w:cs="Arial"/>
          <w:i/>
          <w:iCs/>
          <w:sz w:val="22"/>
          <w:szCs w:val="22"/>
          <w:lang w:val="en-US"/>
        </w:rPr>
        <w:t>12</w:t>
      </w:r>
      <w:r w:rsidRPr="00C830C3">
        <w:rPr>
          <w:rFonts w:ascii="Arial" w:hAnsi="Arial" w:cs="Arial"/>
          <w:sz w:val="22"/>
          <w:szCs w:val="22"/>
          <w:lang w:val="en-US"/>
        </w:rPr>
        <w:t>(2), 182–191. https://doi.org/10.1111/j.1365-2206.2006.00455.x</w:t>
      </w:r>
    </w:p>
    <w:p w14:paraId="40B7B613"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Torous, J., Myrick, K. J., Rauseo-Ricupero, N., &amp; Firth, J. (2020). Digital mental health and COVID-19: Using technology today to accelerate the curve on access and quality tomorrow. </w:t>
      </w:r>
      <w:r w:rsidRPr="00C830C3">
        <w:rPr>
          <w:rFonts w:ascii="Arial" w:hAnsi="Arial" w:cs="Arial"/>
          <w:i/>
          <w:iCs/>
          <w:sz w:val="22"/>
          <w:szCs w:val="22"/>
          <w:lang w:val="en-US"/>
        </w:rPr>
        <w:t>JMIR Mental Health</w:t>
      </w:r>
      <w:r w:rsidRPr="00C830C3">
        <w:rPr>
          <w:rFonts w:ascii="Arial" w:hAnsi="Arial" w:cs="Arial"/>
          <w:sz w:val="22"/>
          <w:szCs w:val="22"/>
          <w:lang w:val="en-US"/>
        </w:rPr>
        <w:t xml:space="preserve">, </w:t>
      </w:r>
      <w:r w:rsidRPr="00C830C3">
        <w:rPr>
          <w:rFonts w:ascii="Arial" w:hAnsi="Arial" w:cs="Arial"/>
          <w:i/>
          <w:iCs/>
          <w:sz w:val="22"/>
          <w:szCs w:val="22"/>
          <w:lang w:val="en-US"/>
        </w:rPr>
        <w:t>7</w:t>
      </w:r>
      <w:r w:rsidRPr="00C830C3">
        <w:rPr>
          <w:rFonts w:ascii="Arial" w:hAnsi="Arial" w:cs="Arial"/>
          <w:sz w:val="22"/>
          <w:szCs w:val="22"/>
          <w:lang w:val="en-US"/>
        </w:rPr>
        <w:t>(3), e18848. https://doi.org/10.2196/18848</w:t>
      </w:r>
    </w:p>
    <w:p w14:paraId="62D0DC6E"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van Vegchel, N., de Jonge, J., Bosma, H., &amp; Schaufeli, W. (2005). Reviewing the effort-reward imbalance model: Drawing up the balance of 45 empirical studies. </w:t>
      </w:r>
      <w:r w:rsidRPr="00C830C3">
        <w:rPr>
          <w:rFonts w:ascii="Arial" w:hAnsi="Arial" w:cs="Arial"/>
          <w:i/>
          <w:iCs/>
          <w:sz w:val="22"/>
          <w:szCs w:val="22"/>
          <w:lang w:val="en-US"/>
        </w:rPr>
        <w:t>Social Science &amp; Medicine</w:t>
      </w:r>
      <w:r w:rsidRPr="00C830C3">
        <w:rPr>
          <w:rFonts w:ascii="Arial" w:hAnsi="Arial" w:cs="Arial"/>
          <w:sz w:val="22"/>
          <w:szCs w:val="22"/>
          <w:lang w:val="en-US"/>
        </w:rPr>
        <w:t xml:space="preserve">, </w:t>
      </w:r>
      <w:r w:rsidRPr="00C830C3">
        <w:rPr>
          <w:rFonts w:ascii="Arial" w:hAnsi="Arial" w:cs="Arial"/>
          <w:i/>
          <w:iCs/>
          <w:sz w:val="22"/>
          <w:szCs w:val="22"/>
          <w:lang w:val="en-US"/>
        </w:rPr>
        <w:t>60</w:t>
      </w:r>
      <w:r w:rsidRPr="00C830C3">
        <w:rPr>
          <w:rFonts w:ascii="Arial" w:hAnsi="Arial" w:cs="Arial"/>
          <w:sz w:val="22"/>
          <w:szCs w:val="22"/>
          <w:lang w:val="en-US"/>
        </w:rPr>
        <w:t>(5), 1117–1131. https://doi.org/10.1016/j.socscimed.2004.06.043</w:t>
      </w:r>
    </w:p>
    <w:p w14:paraId="01A54686"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t xml:space="preserve">World Medical Association. (2013). World Medical Association Declaration of Helsinki: Ethical principles for medical research involving human subjects. </w:t>
      </w:r>
      <w:r w:rsidRPr="00C830C3">
        <w:rPr>
          <w:rFonts w:ascii="Arial" w:hAnsi="Arial" w:cs="Arial"/>
          <w:i/>
          <w:iCs/>
          <w:sz w:val="22"/>
          <w:szCs w:val="22"/>
          <w:lang w:val="en-US"/>
        </w:rPr>
        <w:t>JAMA</w:t>
      </w:r>
      <w:r w:rsidRPr="00C830C3">
        <w:rPr>
          <w:rFonts w:ascii="Arial" w:hAnsi="Arial" w:cs="Arial"/>
          <w:sz w:val="22"/>
          <w:szCs w:val="22"/>
          <w:lang w:val="en-US"/>
        </w:rPr>
        <w:t xml:space="preserve">, </w:t>
      </w:r>
      <w:r w:rsidRPr="00C830C3">
        <w:rPr>
          <w:rFonts w:ascii="Arial" w:hAnsi="Arial" w:cs="Arial"/>
          <w:i/>
          <w:iCs/>
          <w:sz w:val="22"/>
          <w:szCs w:val="22"/>
          <w:lang w:val="en-US"/>
        </w:rPr>
        <w:t>310</w:t>
      </w:r>
      <w:r w:rsidRPr="00C830C3">
        <w:rPr>
          <w:rFonts w:ascii="Arial" w:hAnsi="Arial" w:cs="Arial"/>
          <w:sz w:val="22"/>
          <w:szCs w:val="22"/>
          <w:lang w:val="en-US"/>
        </w:rPr>
        <w:t>(20), 2191–2194. https://doi.org/10.1001/jama.2013.281053</w:t>
      </w:r>
    </w:p>
    <w:p w14:paraId="3C8F3EFF" w14:textId="77777777" w:rsidR="0017428B" w:rsidRPr="00C830C3" w:rsidRDefault="00000000" w:rsidP="00C830C3">
      <w:pPr>
        <w:spacing w:line="360" w:lineRule="auto"/>
        <w:ind w:left="720" w:hanging="720"/>
        <w:jc w:val="both"/>
        <w:rPr>
          <w:rFonts w:ascii="Arial" w:hAnsi="Arial" w:cs="Arial"/>
          <w:sz w:val="22"/>
          <w:szCs w:val="22"/>
          <w:lang w:val="en-US"/>
        </w:rPr>
      </w:pPr>
      <w:r w:rsidRPr="00C830C3">
        <w:rPr>
          <w:rFonts w:ascii="Arial" w:hAnsi="Arial" w:cs="Arial"/>
          <w:sz w:val="22"/>
          <w:szCs w:val="22"/>
          <w:lang w:val="en-US"/>
        </w:rPr>
        <w:lastRenderedPageBreak/>
        <w:t xml:space="preserve">Zapf, D. (2002). Emotion work and psychological well-being: A review of the literature and some conceptual considerations. </w:t>
      </w:r>
      <w:r w:rsidRPr="00C830C3">
        <w:rPr>
          <w:rFonts w:ascii="Arial" w:hAnsi="Arial" w:cs="Arial"/>
          <w:i/>
          <w:iCs/>
          <w:sz w:val="22"/>
          <w:szCs w:val="22"/>
          <w:lang w:val="en-US"/>
        </w:rPr>
        <w:t>Human Resource Management Review</w:t>
      </w:r>
      <w:r w:rsidRPr="00C830C3">
        <w:rPr>
          <w:rFonts w:ascii="Arial" w:hAnsi="Arial" w:cs="Arial"/>
          <w:sz w:val="22"/>
          <w:szCs w:val="22"/>
          <w:lang w:val="en-US"/>
        </w:rPr>
        <w:t xml:space="preserve">, </w:t>
      </w:r>
      <w:r w:rsidRPr="00C830C3">
        <w:rPr>
          <w:rFonts w:ascii="Arial" w:hAnsi="Arial" w:cs="Arial"/>
          <w:i/>
          <w:iCs/>
          <w:sz w:val="22"/>
          <w:szCs w:val="22"/>
          <w:lang w:val="en-US"/>
        </w:rPr>
        <w:t>12</w:t>
      </w:r>
      <w:r w:rsidRPr="00C830C3">
        <w:rPr>
          <w:rFonts w:ascii="Arial" w:hAnsi="Arial" w:cs="Arial"/>
          <w:sz w:val="22"/>
          <w:szCs w:val="22"/>
          <w:lang w:val="en-US"/>
        </w:rPr>
        <w:t>(2), 237–268. https://doi.org/10.1016/S1053-4822(02)00048-7</w:t>
      </w:r>
    </w:p>
    <w:sectPr w:rsidR="0017428B" w:rsidRPr="00C830C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F8746FE"/>
    <w:multiLevelType w:val="hybridMultilevel"/>
    <w:tmpl w:val="BB32DBB6"/>
    <w:lvl w:ilvl="0" w:tplc="8EB8CF36">
      <w:start w:val="1"/>
      <w:numFmt w:val="bullet"/>
      <w:lvlText w:val="●"/>
      <w:lvlJc w:val="left"/>
      <w:pPr>
        <w:ind w:left="720" w:hanging="360"/>
      </w:pPr>
    </w:lvl>
    <w:lvl w:ilvl="1" w:tplc="EAEC02DA">
      <w:start w:val="1"/>
      <w:numFmt w:val="bullet"/>
      <w:lvlText w:val="○"/>
      <w:lvlJc w:val="left"/>
      <w:pPr>
        <w:ind w:left="1440" w:hanging="360"/>
      </w:pPr>
    </w:lvl>
    <w:lvl w:ilvl="2" w:tplc="B68A4C02">
      <w:start w:val="1"/>
      <w:numFmt w:val="bullet"/>
      <w:lvlText w:val="■"/>
      <w:lvlJc w:val="left"/>
      <w:pPr>
        <w:ind w:left="2160" w:hanging="360"/>
      </w:pPr>
    </w:lvl>
    <w:lvl w:ilvl="3" w:tplc="3E18A1F4">
      <w:start w:val="1"/>
      <w:numFmt w:val="bullet"/>
      <w:lvlText w:val="●"/>
      <w:lvlJc w:val="left"/>
      <w:pPr>
        <w:ind w:left="2880" w:hanging="360"/>
      </w:pPr>
    </w:lvl>
    <w:lvl w:ilvl="4" w:tplc="95C88A7C">
      <w:start w:val="1"/>
      <w:numFmt w:val="bullet"/>
      <w:lvlText w:val="○"/>
      <w:lvlJc w:val="left"/>
      <w:pPr>
        <w:ind w:left="3600" w:hanging="360"/>
      </w:pPr>
    </w:lvl>
    <w:lvl w:ilvl="5" w:tplc="39168B4E">
      <w:start w:val="1"/>
      <w:numFmt w:val="bullet"/>
      <w:lvlText w:val="■"/>
      <w:lvlJc w:val="left"/>
      <w:pPr>
        <w:ind w:left="4320" w:hanging="360"/>
      </w:pPr>
    </w:lvl>
    <w:lvl w:ilvl="6" w:tplc="BF1C323C">
      <w:start w:val="1"/>
      <w:numFmt w:val="bullet"/>
      <w:lvlText w:val="●"/>
      <w:lvlJc w:val="left"/>
      <w:pPr>
        <w:ind w:left="5040" w:hanging="360"/>
      </w:pPr>
    </w:lvl>
    <w:lvl w:ilvl="7" w:tplc="6D0AB898">
      <w:start w:val="1"/>
      <w:numFmt w:val="bullet"/>
      <w:lvlText w:val="●"/>
      <w:lvlJc w:val="left"/>
      <w:pPr>
        <w:ind w:left="5760" w:hanging="360"/>
      </w:pPr>
    </w:lvl>
    <w:lvl w:ilvl="8" w:tplc="18A4B09E">
      <w:start w:val="1"/>
      <w:numFmt w:val="bullet"/>
      <w:lvlText w:val="●"/>
      <w:lvlJc w:val="left"/>
      <w:pPr>
        <w:ind w:left="6480" w:hanging="360"/>
      </w:pPr>
    </w:lvl>
  </w:abstractNum>
  <w:num w:numId="1" w16cid:durableId="275792524">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28B"/>
    <w:rsid w:val="0017428B"/>
    <w:rsid w:val="00657F10"/>
    <w:rsid w:val="00C830C3"/>
    <w:rsid w:val="00FD1F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F422C2B"/>
  <w15:docId w15:val="{E1D0AA29-C834-5044-8CFA-3FEB26D9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7574</Words>
  <Characters>49839</Characters>
  <Application>Microsoft Office Word</Application>
  <DocSecurity>0</DocSecurity>
  <Lines>817</Lines>
  <Paragraphs>268</Paragraphs>
  <ScaleCrop>false</ScaleCrop>
  <Company/>
  <LinksUpToDate>false</LinksUpToDate>
  <CharactersWithSpaces>57145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Pazer, Sora, Dr. Dr. phil.</cp:lastModifiedBy>
  <cp:revision>3</cp:revision>
  <dcterms:created xsi:type="dcterms:W3CDTF">2026-06-25T14:57:00Z</dcterms:created>
  <dcterms:modified xsi:type="dcterms:W3CDTF">2026-06-25T14:59:00Z</dcterms:modified>
</cp:coreProperties>
</file>