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113FD">
      <w:pPr>
        <w:spacing w:line="360" w:lineRule="auto"/>
        <w:jc w:val="both"/>
        <w:rPr>
          <w:rFonts w:ascii="Times New Roman" w:hAnsi="Times New Roman" w:eastAsia="Times New Roman" w:cs="Times New Roman"/>
          <w:b/>
          <w:bCs/>
          <w:sz w:val="28"/>
          <w:szCs w:val="28"/>
        </w:rPr>
      </w:pPr>
      <w:bookmarkStart w:id="0" w:name="_Hlk196078657"/>
      <w:r>
        <w:rPr>
          <w:rFonts w:ascii="Times New Roman" w:hAnsi="Times New Roman" w:cs="Times New Roman"/>
          <w:b/>
          <w:bCs/>
          <w:sz w:val="28"/>
          <w:szCs w:val="28"/>
        </w:rPr>
        <w:t>IMPACT OF SELECTED MACROECONOMIC VARIABLES ON THE INDUSTRIAL SECTOR IN NIGERIA</w:t>
      </w:r>
    </w:p>
    <w:bookmarkEnd w:id="0"/>
    <w:p w14:paraId="61789CF6">
      <w:pPr>
        <w:spacing w:line="360" w:lineRule="auto"/>
        <w:jc w:val="center"/>
        <w:rPr>
          <w:rFonts w:ascii="Times New Roman" w:hAnsi="Times New Roman" w:cs="Times New Roman"/>
          <w:b/>
          <w:bCs/>
        </w:rPr>
      </w:pPr>
      <w:r>
        <w:rPr>
          <w:rFonts w:ascii="Times New Roman" w:hAnsi="Times New Roman" w:cs="Times New Roman"/>
          <w:b/>
          <w:bCs/>
        </w:rPr>
        <w:t/>
      </w:r>
    </w:p>
    <w:p w14:paraId="6B2A7137">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w:r>
    </w:p>
    <w:p w14:paraId="32C73BA3">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w:r>
    </w:p>
    <w:p w14:paraId="6BD1F198">
      <w:pPr>
        <w:spacing w:line="360" w:lineRule="auto"/>
        <w:jc w:val="both"/>
        <w:rPr>
          <w:rFonts w:ascii="Times New Roman" w:hAnsi="Times New Roman" w:cs="Times New Roman"/>
          <w:b/>
          <w:bCs/>
          <w:sz w:val="20"/>
          <w:szCs w:val="20"/>
          <w:lang w:val="zh-CN"/>
        </w:rPr>
      </w:pPr>
      <w:r>
        <w:rPr>
          <w:rFonts w:ascii="Times New Roman" w:hAnsi="Times New Roman" w:cs="Times New Roman"/>
          <w:b/>
          <w:bCs/>
          <w:sz w:val="20"/>
          <w:szCs w:val="20"/>
          <w:lang w:val="zh-CN"/>
        </w:rPr>
        <w:t/>
      </w:r>
    </w:p>
    <w:p w14:paraId="0592CD12">
      <w:pPr>
        <w:spacing w:line="360" w:lineRule="auto"/>
        <w:jc w:val="center"/>
        <w:rPr>
          <w:rFonts w:ascii="Times New Roman" w:hAnsi="Times New Roman" w:cs="Times New Roman"/>
          <w:b/>
          <w:bCs/>
          <w:sz w:val="20"/>
          <w:szCs w:val="20"/>
        </w:rPr>
      </w:pPr>
    </w:p>
    <w:p w14:paraId="564641BE">
      <w:pPr>
        <w:jc w:val="center"/>
        <w:rPr>
          <w:rFonts w:ascii="Times New Roman" w:hAnsi="Times New Roman" w:cs="Times New Roman"/>
          <w:b/>
          <w:bCs/>
        </w:rPr>
      </w:pPr>
      <w:r>
        <w:rPr>
          <w:rFonts w:ascii="Times New Roman" w:hAnsi="Times New Roman" w:cs="Times New Roman"/>
          <w:b/>
          <w:bCs/>
        </w:rPr>
        <w:t xml:space="preserve">  ABSTRACT</w:t>
      </w:r>
    </w:p>
    <w:p w14:paraId="227E714A">
      <w:pPr>
        <w:spacing w:line="240" w:lineRule="auto"/>
        <w:jc w:val="both"/>
        <w:rPr>
          <w:i/>
          <w:iCs/>
          <w:sz w:val="20"/>
          <w:szCs w:val="20"/>
        </w:rPr>
      </w:pPr>
      <w:r>
        <w:rPr>
          <w:rFonts w:ascii="Times New Roman" w:hAnsi="Times New Roman" w:cs="Times New Roman"/>
          <w:i/>
          <w:iCs/>
          <w:sz w:val="20"/>
          <w:szCs w:val="20"/>
        </w:rPr>
        <w:t xml:space="preserve">This study examined the impact of inflation, exchange rate, interest rate, credit to the private sector, and oil prices on Nigeria’s declining industrial sector, employing the ARDL methodology to analyze 43 years of annual data (1981-2023). The findings revealed that macroeconomic instability, particularly inflation and exchange rate volatility, exerts significant adverse effects on industrial performance. In the long run, inflation and exchange rate depreciation negatively impact industrial output, reflecting structural vulnerabilities such as import dependency, rising production costs, and eroded investor confidence. Conversely, oil prices demonstrate a positive relationship with the share of industrial sector, underscoring the dual role of oil revenues in providing fiscal liquidity while simultaneously exposing the economy to Dutch Disease effects, where resource dominance stifles diversification. Notably, credit to the private sector and lending rates showed counterintuitive or insignificant effects, suggesting inefficiencies in financial intermediation and limited access to productive financing for industrial firms. The error correction mechanism confirmed a robust long-run equilibrium, with a high adjustment speed (77%) restoring deviations annually, validating the model’s stability and reliability. It was therefore recommended that </w:t>
      </w:r>
      <w:r>
        <w:rPr>
          <w:rFonts w:ascii="Times New Roman" w:hAnsi="Times New Roman" w:eastAsia="SimSun" w:cs="Times New Roman"/>
          <w:bCs/>
          <w:i/>
          <w:iCs/>
          <w:sz w:val="20"/>
          <w:szCs w:val="20"/>
        </w:rPr>
        <w:t>the Central Bank of Nigeria should prioritize inflation targeting frameworks to curb persistent inflationary pressures.</w:t>
      </w:r>
      <w:r>
        <w:rPr>
          <w:rFonts w:ascii="Times New Roman" w:hAnsi="Times New Roman" w:cs="Times New Roman"/>
          <w:b/>
          <w:bCs/>
          <w:sz w:val="28"/>
          <w:szCs w:val="28"/>
        </w:rPr>
        <w:t xml:space="preserve"> </w:t>
      </w:r>
    </w:p>
    <w:p w14:paraId="0285D227">
      <w:pPr>
        <w:spacing w:line="360" w:lineRule="auto"/>
        <w:jc w:val="both"/>
        <w:rPr>
          <w:rFonts w:ascii="Times New Roman" w:hAnsi="Times New Roman" w:cs="Times New Roman"/>
          <w:b/>
          <w:bCs/>
        </w:rPr>
      </w:pPr>
    </w:p>
    <w:p w14:paraId="5CC8E01D">
      <w:pPr>
        <w:spacing w:line="360" w:lineRule="auto"/>
        <w:jc w:val="both"/>
        <w:rPr>
          <w:rFonts w:ascii="Times New Roman" w:hAnsi="Times New Roman" w:cs="Times New Roman"/>
          <w:b/>
          <w:bCs/>
          <w:lang w:val="zh-CN"/>
        </w:rPr>
      </w:pPr>
      <w:r>
        <w:rPr>
          <w:rFonts w:ascii="Times New Roman" w:hAnsi="Times New Roman" w:cs="Times New Roman"/>
          <w:b/>
          <w:bCs/>
        </w:rPr>
        <w:t xml:space="preserve">Key Words: </w:t>
      </w:r>
      <w:r>
        <w:rPr>
          <w:rFonts w:ascii="Times New Roman" w:hAnsi="Times New Roman" w:cs="Times New Roman"/>
          <w:b/>
          <w:bCs/>
          <w:lang w:val="zh-CN"/>
        </w:rPr>
        <w:t>Industrial sector, inflation, exchange rate, interest rate, oil prices, Dutch disease, economic growth, ARDL model.</w:t>
      </w:r>
    </w:p>
    <w:p w14:paraId="6FB0DAB6">
      <w:pPr>
        <w:pStyle w:val="25"/>
        <w:spacing w:line="360" w:lineRule="auto"/>
        <w:ind w:left="0"/>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58B441DA">
      <w:pPr>
        <w:pStyle w:val="25"/>
        <w:spacing w:before="240" w:after="300" w:line="360" w:lineRule="auto"/>
        <w:ind w:left="0"/>
        <w:jc w:val="both"/>
        <w:rPr>
          <w:rFonts w:ascii="Times New Roman" w:hAnsi="Times New Roman" w:cs="Times New Roman"/>
        </w:rPr>
      </w:pPr>
      <w:r>
        <w:rPr>
          <w:rFonts w:ascii="Times New Roman" w:hAnsi="Times New Roman" w:cs="Times New Roman"/>
        </w:rPr>
        <w:t>While economic growth and development are common goals for nations, their achievement is ultimately contingent upon the effectiveness of their macroeconomic policies. As economies evolve, the composition of output and employment naturally shifts, often moving from agriculture to manufacturing and later to services, accompanied by rising GDP per capita (Manoj et al., 2018). The ability of a country to expand its productive capacity, strengthen value-addition, and enhance technological progress is therefore closely tied to the performance of its industrial sector. For developing economies in particular, a strong industrial base is widely viewed as essential for narrowing income gaps and accelerating long-term growth (Abraham, 2023; Anthonia &amp; Taiwo, 2017).</w:t>
      </w:r>
    </w:p>
    <w:p w14:paraId="7953B331">
      <w:pPr>
        <w:pStyle w:val="25"/>
        <w:spacing w:before="240" w:after="300" w:line="360" w:lineRule="auto"/>
        <w:ind w:left="0"/>
        <w:jc w:val="both"/>
        <w:rPr>
          <w:rFonts w:ascii="Times New Roman" w:hAnsi="Times New Roman" w:cs="Times New Roman"/>
        </w:rPr>
      </w:pPr>
      <w:r>
        <w:rPr>
          <w:rFonts w:ascii="Times New Roman" w:hAnsi="Times New Roman" w:cs="Times New Roman"/>
        </w:rPr>
        <w:t>The industrial sector plays a pivotal role in driving economic expansion. Its performance is not only a key indicator of economic strength but also a critical determinant of employment creation, productivity improvement, technological upgrading, competitiveness, and sustained increases in per capita income. As the link between primary activities such as agriculture and mining and the services sector, the industrial sector facilitates the processing of raw materials and the production of essential goods. This connecting role positions it as an indispensable pillar for economies seeking to transition from low-value primary production to higher-value, diversified economic structures. In contemporary economic systems, the industrial sector therefore remains central to the production of goods, income generation, enhanced value chains, and broader economic resilience. Historical and contemporary experiences reinforce the importance of a strong industrial base. Germany is a notable example: despite limited natural resources and economic challenges such as the inflationary pressures of the 1920s, the country’s manufacturing strength supported its emergence as the largest economy in Europe and the third largest globally. Similarly, the rapid economic expansion witnessed in several Asian economies since the mid-20th century has been strongly linked to the development and consolidation of their industrial sectors (</w:t>
      </w:r>
      <w:bookmarkStart w:id="1" w:name="_Hlk215222733"/>
      <w:r>
        <w:rPr>
          <w:rFonts w:ascii="Times New Roman" w:hAnsi="Times New Roman" w:cs="Times New Roman"/>
        </w:rPr>
        <w:t>IMF, 2023; Adedoyin et al., 2022; Guilherme &amp; Peter, 2020; Araujo et al., 2021; Zhang et al., 2019; Banga, 2016; Olamade et al., 2014;</w:t>
      </w:r>
      <w:bookmarkEnd w:id="1"/>
      <w:r>
        <w:rPr>
          <w:rFonts w:ascii="Times New Roman" w:hAnsi="Times New Roman" w:cs="Times New Roman"/>
        </w:rPr>
        <w:t xml:space="preserve"> CBN, 2013; Constantin et al., 2009; Kayode, 1989).</w:t>
      </w:r>
    </w:p>
    <w:p w14:paraId="675819C5">
      <w:pPr>
        <w:spacing w:line="360" w:lineRule="auto"/>
        <w:jc w:val="both"/>
        <w:rPr>
          <w:rFonts w:ascii="Times New Roman" w:hAnsi="Times New Roman" w:cs="Times New Roman"/>
        </w:rPr>
      </w:pPr>
      <w:r>
        <w:rPr>
          <w:rFonts w:ascii="Times New Roman" w:hAnsi="Times New Roman" w:cs="Times New Roman"/>
        </w:rPr>
        <w:t>The industrial sector which is a vital catalyst for economic growth in many developing countries has evidently registered poor performance in Nigeria</w:t>
      </w:r>
      <w:r>
        <w:rPr>
          <w:rFonts w:hint="default" w:ascii="Times New Roman" w:hAnsi="Times New Roman" w:cs="Times New Roman"/>
          <w:lang w:val="en-US"/>
        </w:rPr>
        <w:t>, (</w:t>
      </w:r>
      <w:r>
        <w:rPr>
          <w:rFonts w:ascii="Times New Roman" w:hAnsi="Times New Roman" w:cs="Times New Roman"/>
        </w:rPr>
        <w:t>Ezu et al, 2020). While the services sector has expanded sharply, rising from 32.3 per cent of GDP in 1980 to 55.52 per cent in 2024, the industrial sector’s contribution has deteriorated from 52.2 per cent to 16.67 per cent within the same period (NBS, 2024). This sustained contraction indicates a process of declining share in the industrial capacity and productive diversity of the economy. Such a pattern is not only economically inefficient but also undermines Nigeria’s long-term growth potential, as the industrial sector historically provides the most reliable path for productivity gains, innovation, and export competitiveness</w:t>
      </w:r>
      <w:r>
        <w:rPr>
          <w:rFonts w:hint="default" w:ascii="Times New Roman" w:hAnsi="Times New Roman" w:cs="Times New Roman"/>
          <w:lang w:val="en-US"/>
        </w:rPr>
        <w:t>, (</w:t>
      </w:r>
      <w:r>
        <w:rPr>
          <w:rFonts w:ascii="Times New Roman" w:hAnsi="Times New Roman" w:cs="Times New Roman"/>
          <w:lang w:val="zh-CN"/>
        </w:rPr>
        <w:t>Chioma</w:t>
      </w:r>
      <w:r>
        <w:rPr>
          <w:rFonts w:hint="default" w:ascii="Times New Roman" w:hAnsi="Times New Roman" w:cs="Times New Roman"/>
          <w:lang w:val="en-US"/>
        </w:rPr>
        <w:t xml:space="preserve">, </w:t>
      </w:r>
      <w:r>
        <w:rPr>
          <w:rFonts w:ascii="Times New Roman" w:hAnsi="Times New Roman" w:cs="Times New Roman"/>
          <w:lang w:val="zh-CN"/>
        </w:rPr>
        <w:t>2020</w:t>
      </w:r>
      <w:r>
        <w:rPr>
          <w:rFonts w:hint="default" w:ascii="Times New Roman" w:hAnsi="Times New Roman" w:cs="Times New Roman"/>
          <w:lang w:val="en-US"/>
        </w:rPr>
        <w:t>)</w:t>
      </w:r>
      <w:r>
        <w:rPr>
          <w:rFonts w:ascii="Times New Roman" w:hAnsi="Times New Roman" w:cs="Times New Roman"/>
        </w:rPr>
        <w:t>.</w:t>
      </w:r>
    </w:p>
    <w:p w14:paraId="6BE05037">
      <w:pPr>
        <w:spacing w:line="360" w:lineRule="auto"/>
        <w:jc w:val="both"/>
        <w:rPr>
          <w:rFonts w:ascii="Times New Roman" w:hAnsi="Times New Roman" w:cs="Times New Roman"/>
        </w:rPr>
      </w:pPr>
      <w:r>
        <w:rPr>
          <w:rFonts w:ascii="Times New Roman" w:hAnsi="Times New Roman" w:cs="Times New Roman"/>
        </w:rPr>
        <w:t xml:space="preserve">The challenges are further compounded by the unprecedented exit or downsizing of both domestic and multinational firms. Over the past decade and more recently between 2023 and 2024 major players across manufacturing, consumer goods, food processing, pharmaceuticals, and technology sectors have either shut down, divested or substantially scaled back operations. Companies such as Unilever Nigeria PLC, Procter &amp; Gamble Nigeria, GlaxoSmithKline Consumer Nigeria Ltd, ShopRite Nigeria, Sanofi-Aventis, Microsoft Nigeria, and PZ Cussons Nigeria PLC, among others, have exited or weakened their Nigeria presence due to rising production costs, exchange rate instability, energy shortages, insecurity, and deteriorating business conditions. The cumulative effect of these exits is severe: recent estimates suggest Nigeria may lose up to </w:t>
      </w:r>
      <w:r>
        <w:rPr>
          <w:rFonts w:ascii="Times New Roman" w:hAnsi="Times New Roman" w:cs="Times New Roman"/>
          <w:dstrike/>
        </w:rPr>
        <w:t>N</w:t>
      </w:r>
      <w:r>
        <w:rPr>
          <w:rFonts w:ascii="Times New Roman" w:hAnsi="Times New Roman" w:cs="Times New Roman"/>
        </w:rPr>
        <w:t>94 trillion in economic output over the next five years, in addition to worsening unemployment, weakening industrial linkages, shrinking export capacity, and heightened economic fragility (Arinze, 2024).</w:t>
      </w:r>
    </w:p>
    <w:p w14:paraId="108B6711">
      <w:pPr>
        <w:spacing w:before="240" w:after="360" w:line="360" w:lineRule="auto"/>
        <w:jc w:val="both"/>
        <w:rPr>
          <w:rFonts w:ascii="Times New Roman" w:hAnsi="Times New Roman" w:cs="Times New Roman"/>
        </w:rPr>
      </w:pPr>
      <w:r>
        <w:rPr>
          <w:rFonts w:ascii="Times New Roman" w:hAnsi="Times New Roman" w:cs="Times New Roman"/>
        </w:rPr>
        <w:t xml:space="preserve">Various macroeconomic variables, such as inflation, exchange rate, interest rate, and even oil prices have continued to exacerbate the current trend where the share of the industrial sector to growth is declining in Nigeria. This is because the industrial sector responds to the behaviours of these macroeconomics variables. For instance, the ability of the industrial sector to access capital is dependent on the prevailing interest rate regime. Furthermore, the inflation rate shapes the movement in the demand for manufactured goods, first the input factors, and second, the demand for manufactured goods, without which manufacturing becomes less attractive (Ferreira &amp; de Santana Ribeiro, 2019; Halkos et al., 2021). The exchange rate regime (especially in import-oriented economies like Nigeria) affects the ability of the industrial sector in maximizing trade openness that will support factor inputs like machinery, raw-material and technological transfer. An increase in oil prices will lead to a rise in production costs for industries reliant on energy, as transportation and manufacturing inputs will equally soar, as is the case today. High oil prices often accelerate decline in the industrial sector directly by raising operational costs and pushing companies to offshore. </w:t>
      </w:r>
    </w:p>
    <w:p w14:paraId="2BB5A8AB">
      <w:pPr>
        <w:spacing w:before="240" w:after="360" w:line="360" w:lineRule="auto"/>
        <w:jc w:val="both"/>
        <w:rPr>
          <w:rFonts w:ascii="Times New Roman" w:hAnsi="Times New Roman" w:cs="Times New Roman"/>
          <w:b/>
          <w:bCs/>
          <w:sz w:val="28"/>
          <w:szCs w:val="28"/>
        </w:rPr>
      </w:pPr>
      <w:bookmarkStart w:id="11" w:name="_GoBack"/>
      <w:bookmarkEnd w:id="11"/>
      <w:r>
        <w:rPr>
          <w:rFonts w:ascii="Times New Roman" w:hAnsi="Times New Roman" w:cs="Times New Roman"/>
        </w:rPr>
        <w:t>Hence, by exploring historical trends, policy frameworks, and economic data, this study will identify the key drivers behind the declining state of industries and evaluate potential strategies for revitalizing the sector. The study will also seek to know the role of government policies and infrastructure development in promoting or hindering growth in the industrial sector in Nigeria. It is noteworthy that most studies before now excluded oil prices, as to ascertain whether rise or fall in its prices has any impact on the decline in industrial sector share in Nigeria. This study will fill that gap by introducing the oil price macroeconomic variable.</w:t>
      </w:r>
    </w:p>
    <w:p w14:paraId="394D80AE">
      <w:pPr>
        <w:pStyle w:val="25"/>
        <w:spacing w:before="240" w:after="300" w:line="360" w:lineRule="auto"/>
        <w:ind w:left="0"/>
        <w:jc w:val="both"/>
        <w:rPr>
          <w:rFonts w:ascii="Times New Roman" w:hAnsi="Times New Roman" w:cs="Times New Roman"/>
          <w:b/>
          <w:bCs/>
          <w:sz w:val="28"/>
          <w:szCs w:val="28"/>
        </w:rPr>
      </w:pPr>
      <w:r>
        <w:rPr>
          <w:rFonts w:ascii="Times New Roman" w:hAnsi="Times New Roman" w:cs="Times New Roman"/>
          <w:b/>
          <w:bCs/>
          <w:sz w:val="28"/>
          <w:szCs w:val="28"/>
        </w:rPr>
        <w:t>LITERATURE REVIEW</w:t>
      </w:r>
    </w:p>
    <w:p w14:paraId="02DB3784">
      <w:pPr>
        <w:pStyle w:val="25"/>
        <w:spacing w:before="240" w:after="300" w:line="360" w:lineRule="auto"/>
        <w:ind w:left="0"/>
        <w:jc w:val="both"/>
        <w:rPr>
          <w:rFonts w:ascii="Times New Roman" w:hAnsi="Times New Roman" w:cs="Times New Roman"/>
        </w:rPr>
      </w:pPr>
      <w:r>
        <w:rPr>
          <w:rFonts w:ascii="Times New Roman" w:hAnsi="Times New Roman" w:cs="Times New Roman"/>
        </w:rPr>
        <w:t>Despite th</w:t>
      </w:r>
      <w:r>
        <w:rPr>
          <w:rFonts w:hint="default" w:ascii="Times New Roman" w:hAnsi="Times New Roman" w:cs="Times New Roman"/>
          <w:lang w:val="en-US"/>
        </w:rPr>
        <w:t>e</w:t>
      </w:r>
      <w:r>
        <w:rPr>
          <w:rFonts w:ascii="Times New Roman" w:hAnsi="Times New Roman" w:cs="Times New Roman"/>
        </w:rPr>
        <w:t xml:space="preserve"> broad consensus on the sector’s importance, the literature presents mixed evidence on how macroeconomic variables influence industrial performance. Scholars such as </w:t>
      </w:r>
      <w:r>
        <w:rPr>
          <w:rFonts w:ascii="Times New Roman" w:hAnsi="Times New Roman" w:cs="Times New Roman"/>
          <w:lang w:val="zh-CN"/>
        </w:rPr>
        <w:t xml:space="preserve">Romanus et.al., (2024); Thankgod &amp; Nwikina (2023); Paulo &amp; Joaquim (2023), Odey &amp; Agunobi (2023); Felix et.al., (2023), Anochie (2023); Anthony (2023); Omolola et.al., (2023); Martin &amp; Ezeanyaeji (2022); </w:t>
      </w:r>
      <w:r>
        <w:rPr>
          <w:rFonts w:ascii="Times New Roman" w:hAnsi="Times New Roman" w:cs="Times New Roman"/>
        </w:rPr>
        <w:t xml:space="preserve">Adedoyin et al., (2022); </w:t>
      </w:r>
      <w:r>
        <w:rPr>
          <w:rFonts w:ascii="Times New Roman" w:hAnsi="Times New Roman" w:cs="Times New Roman"/>
          <w:lang w:val="zh-CN"/>
        </w:rPr>
        <w:t xml:space="preserve">Adigun et.al., (2022); Elisangela et.al., (2021); Pam et.al., (2021); Ndife (2020), Chioma (2020); </w:t>
      </w:r>
      <w:r>
        <w:rPr>
          <w:rFonts w:ascii="Times New Roman" w:hAnsi="Times New Roman" w:cs="Times New Roman"/>
        </w:rPr>
        <w:t xml:space="preserve">Ezu et al., (2020); </w:t>
      </w:r>
      <w:r>
        <w:rPr>
          <w:rFonts w:ascii="Times New Roman" w:hAnsi="Times New Roman" w:cs="Times New Roman"/>
          <w:lang w:val="zh-CN"/>
        </w:rPr>
        <w:t xml:space="preserve">Fabrizio et.al., (2019); Olabode (2018); </w:t>
      </w:r>
      <w:r>
        <w:rPr>
          <w:rFonts w:ascii="Times New Roman" w:hAnsi="Times New Roman" w:cs="Times New Roman"/>
        </w:rPr>
        <w:t xml:space="preserve">Manoj et al. (2018); Khan et al., (2018); </w:t>
      </w:r>
      <w:r>
        <w:rPr>
          <w:rFonts w:ascii="Times New Roman" w:hAnsi="Times New Roman" w:cs="Times New Roman"/>
          <w:lang w:val="zh-CN"/>
        </w:rPr>
        <w:t xml:space="preserve">Ghulam et.al., (2018); Okafor et.al., (2018); Akinmulegun &amp; Falana (2018); </w:t>
      </w:r>
      <w:r>
        <w:rPr>
          <w:rFonts w:ascii="Times New Roman" w:hAnsi="Times New Roman" w:cs="Times New Roman"/>
        </w:rPr>
        <w:t xml:space="preserve">Dan &amp; Yao, (2017);  </w:t>
      </w:r>
      <w:r>
        <w:rPr>
          <w:rFonts w:ascii="Times New Roman" w:hAnsi="Times New Roman" w:cs="Times New Roman"/>
          <w:lang w:val="zh-CN"/>
        </w:rPr>
        <w:t xml:space="preserve">Okonkwo &amp; Egbulonu (2016); Lawal (2016); Erinma (2016); Chikezie (2015); Emerenini &amp; Ajudua (2014); Nwole (2013); Yakubu &amp; Jibrin (2013); Audu &amp; Amaegberi (2013); Adegboyega et.al., (2023); Opaluwa et al., (2010); Hacker et.al., (2009) and </w:t>
      </w:r>
      <w:r>
        <w:rPr>
          <w:rFonts w:ascii="Times New Roman" w:hAnsi="Times New Roman" w:cs="Times New Roman"/>
        </w:rPr>
        <w:t>Christopher, (2002), argue that key macroeconomic indicators such as inflation, exchange rates, foreign direct investment, interest rates, and unemployment tend to constrain the sector’s growth when poorly managed. Their findings suggest that adverse macroeconomic conditions weaken productive efficiency, discourage investment, and undermine the capacity of the industrial sector to fulfil its role in the economy, particularly in developing countries like Nigeria. Conversely, other authors, including Robert &amp; Ramana, (1997) and Christopher, (2009), posit a more optimistic interpretation. They argue that structural changes in the composition of output may reflect successful economic advancement, driven largely by variations in productivity growth between manufacturing and services. Under this line of reasoning, changes in the industrial sector’s contribution could be a natural outcome of economic progress rather than a sign of structural weakness.</w:t>
      </w:r>
    </w:p>
    <w:p w14:paraId="285AEEAF">
      <w:pPr>
        <w:pStyle w:val="25"/>
        <w:spacing w:before="240" w:after="300" w:line="360" w:lineRule="auto"/>
        <w:ind w:left="0"/>
        <w:jc w:val="both"/>
        <w:rPr>
          <w:rFonts w:ascii="Times New Roman" w:hAnsi="Times New Roman" w:cs="Times New Roman"/>
        </w:rPr>
      </w:pPr>
    </w:p>
    <w:p w14:paraId="28A077EC">
      <w:pPr>
        <w:pStyle w:val="25"/>
        <w:spacing w:before="240" w:after="300" w:line="360" w:lineRule="auto"/>
        <w:ind w:left="0"/>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THEORETICAL</w:t>
      </w:r>
      <w:r>
        <w:rPr>
          <w:rFonts w:ascii="Times New Roman" w:hAnsi="Times New Roman" w:cs="Times New Roman"/>
          <w:b/>
          <w:bCs/>
          <w:sz w:val="28"/>
          <w:szCs w:val="28"/>
        </w:rPr>
        <w:t xml:space="preserve"> </w:t>
      </w:r>
      <w:r>
        <w:rPr>
          <w:rFonts w:hint="default" w:ascii="Times New Roman" w:hAnsi="Times New Roman" w:cs="Times New Roman"/>
          <w:b/>
          <w:bCs/>
          <w:sz w:val="28"/>
          <w:szCs w:val="28"/>
          <w:lang w:val="en-US"/>
        </w:rPr>
        <w:t>FRAMEWORK</w:t>
      </w:r>
    </w:p>
    <w:p w14:paraId="27F6C2B4">
      <w:pPr>
        <w:pStyle w:val="25"/>
        <w:spacing w:before="240" w:after="300" w:line="360" w:lineRule="auto"/>
        <w:ind w:left="0"/>
        <w:jc w:val="both"/>
        <w:rPr>
          <w:rFonts w:ascii="Times New Roman" w:hAnsi="Times New Roman" w:cs="Times New Roman"/>
          <w:lang w:val="zh-CN"/>
        </w:rPr>
      </w:pPr>
      <w:r>
        <w:rPr>
          <w:rFonts w:ascii="Times New Roman" w:hAnsi="Times New Roman" w:cs="Times New Roman"/>
        </w:rPr>
        <w:t>Theoretically, this work is underpinned on Dutch disease theory</w:t>
      </w:r>
      <w:r>
        <w:rPr>
          <w:rFonts w:hint="default" w:ascii="Times New Roman" w:hAnsi="Times New Roman" w:cs="Times New Roman"/>
          <w:lang w:val="en-US"/>
        </w:rPr>
        <w:t>,</w:t>
      </w:r>
      <w:r>
        <w:rPr>
          <w:rFonts w:ascii="Times New Roman" w:hAnsi="Times New Roman" w:cs="Times New Roman"/>
        </w:rPr>
        <w:t xml:space="preserve"> formalized by Corden and Neary (1982). </w:t>
      </w:r>
      <w:r>
        <w:rPr>
          <w:rFonts w:ascii="Times New Roman" w:hAnsi="Times New Roman" w:cs="Times New Roman"/>
          <w:lang w:val="zh-CN"/>
        </w:rPr>
        <w:t>The Dutch disease is an economic theory that explains the paradoxical relationship between a boom in a natural resource sector and the decline of a nation's industry and agricultural base. In the Nigerian context, the discovery and subsequent boom in crude oil exports from the 1970s onwards provide a textbook case of the Dutch Disease. The oil sector rapidly became the dominant source of government revenue and foreign exchange earnings, accounting for over 90 per cent of export earnings and the bulk of fiscal revenues (Adenikinju, 2005). This triggered the classic spending effect: massive petrodollar inflows appreciated the real exchange rate of the Naira, making Nigerian non-oil exports, such as manufactured goods and agricultural products like cocoa and palm oil, uncompetitive internationally. Simultaneously, the cheapening of imports led to a flood of foreign manufactured goods into the Nigerian market, undercutting local producers. Consequently, Nigeria, which had a promising industrial base at independence, began a steady process of experiencing decline in its industrial sector.</w:t>
      </w:r>
    </w:p>
    <w:p w14:paraId="7CC0341E">
      <w:pPr>
        <w:spacing w:line="360" w:lineRule="auto"/>
        <w:rPr>
          <w:rFonts w:ascii="Times New Roman" w:hAnsi="Times New Roman" w:cs="Times New Roman"/>
          <w:b/>
        </w:rPr>
      </w:pPr>
      <w:r>
        <w:rPr>
          <w:rFonts w:ascii="Times New Roman" w:hAnsi="Times New Roman" w:cs="Times New Roman"/>
          <w:b/>
        </w:rPr>
        <w:t>METHODOLOGY</w:t>
      </w:r>
    </w:p>
    <w:p w14:paraId="027772D4">
      <w:pPr>
        <w:spacing w:line="360" w:lineRule="auto"/>
        <w:jc w:val="both"/>
        <w:rPr>
          <w:rFonts w:ascii="Times New Roman" w:hAnsi="Times New Roman" w:cs="Times New Roman"/>
        </w:rPr>
      </w:pPr>
      <w:r>
        <w:rPr>
          <w:rFonts w:ascii="Times New Roman" w:hAnsi="Times New Roman" w:cs="Times New Roman"/>
        </w:rPr>
        <w:t>The study relies predominantly on secondary data sourced from various repositories:</w:t>
      </w:r>
    </w:p>
    <w:p w14:paraId="3B7CD142">
      <w:pPr>
        <w:spacing w:line="276" w:lineRule="auto"/>
        <w:ind w:left="3600" w:hanging="3600"/>
        <w:contextualSpacing/>
        <w:rPr>
          <w:rFonts w:ascii="Times New Roman" w:hAnsi="Times New Roman" w:eastAsia="Calibri" w:cs="Times New Roman"/>
          <w:b/>
          <w:i/>
          <w:szCs w:val="20"/>
        </w:rPr>
      </w:pPr>
      <w:bookmarkStart w:id="2" w:name="_Toc138418660"/>
      <w:r>
        <w:rPr>
          <w:rFonts w:ascii="Times New Roman" w:hAnsi="Times New Roman" w:eastAsia="Calibri" w:cs="Times New Roman"/>
          <w:b/>
          <w:i/>
          <w:szCs w:val="20"/>
        </w:rPr>
        <w:t>Table 3.1: Description of Variables</w:t>
      </w:r>
      <w:bookmarkEnd w:id="2"/>
    </w:p>
    <w:tbl>
      <w:tblPr>
        <w:tblStyle w:val="34"/>
        <w:tblpPr w:leftFromText="180" w:rightFromText="180" w:vertAnchor="text" w:tblpY="1"/>
        <w:tblOverlap w:val="never"/>
        <w:tblW w:w="9187" w:type="dxa"/>
        <w:tblInd w:w="0" w:type="dxa"/>
        <w:tblBorders>
          <w:top w:val="single" w:color="7F7F7F" w:sz="4" w:space="0"/>
          <w:left w:val="none" w:color="auto" w:sz="0" w:space="0"/>
          <w:bottom w:val="single" w:color="7F7F7F" w:sz="4" w:space="0"/>
          <w:right w:val="none" w:color="auto" w:sz="0" w:space="0"/>
          <w:insideH w:val="none" w:color="auto" w:sz="0" w:space="0"/>
          <w:insideV w:val="none" w:color="auto" w:sz="0" w:space="0"/>
        </w:tblBorders>
        <w:tblLayout w:type="autofit"/>
        <w:tblCellMar>
          <w:top w:w="0" w:type="dxa"/>
          <w:left w:w="115" w:type="dxa"/>
          <w:bottom w:w="0" w:type="dxa"/>
          <w:right w:w="115" w:type="dxa"/>
        </w:tblCellMar>
      </w:tblPr>
      <w:tblGrid>
        <w:gridCol w:w="1391"/>
        <w:gridCol w:w="2552"/>
        <w:gridCol w:w="5244"/>
      </w:tblGrid>
      <w:tr w14:paraId="19196722">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276" w:hRule="atLeast"/>
        </w:trPr>
        <w:tc>
          <w:tcPr>
            <w:tcW w:w="1391" w:type="dxa"/>
            <w:tcBorders>
              <w:top w:val="single" w:color="7F7F7F" w:sz="4" w:space="0"/>
              <w:bottom w:val="single" w:color="7F7F7F" w:sz="4" w:space="0"/>
              <w:insideH w:val="single" w:sz="4" w:space="0"/>
            </w:tcBorders>
          </w:tcPr>
          <w:p w14:paraId="3E74AB31">
            <w:pPr>
              <w:spacing w:after="0" w:line="360" w:lineRule="auto"/>
              <w:jc w:val="both"/>
              <w:rPr>
                <w:rFonts w:ascii="Times New Roman" w:hAnsi="Times New Roman" w:eastAsia="Times New Roman" w:cstheme="minorBidi"/>
                <w:b/>
                <w:bCs/>
                <w:i/>
                <w:sz w:val="22"/>
                <w:szCs w:val="22"/>
              </w:rPr>
            </w:pPr>
            <w:r>
              <w:rPr>
                <w:rFonts w:ascii="Times New Roman" w:hAnsi="Times New Roman" w:eastAsia="Times New Roman" w:cstheme="minorBidi"/>
                <w:b/>
                <w:bCs/>
                <w:i/>
                <w:sz w:val="22"/>
                <w:szCs w:val="22"/>
              </w:rPr>
              <w:t xml:space="preserve">Variable </w:t>
            </w:r>
          </w:p>
        </w:tc>
        <w:tc>
          <w:tcPr>
            <w:tcW w:w="2552" w:type="dxa"/>
            <w:tcBorders>
              <w:top w:val="single" w:color="7F7F7F" w:sz="4" w:space="0"/>
              <w:bottom w:val="single" w:color="7F7F7F" w:sz="4" w:space="0"/>
              <w:insideH w:val="single" w:sz="4" w:space="0"/>
            </w:tcBorders>
          </w:tcPr>
          <w:p w14:paraId="1CD85BF5">
            <w:pPr>
              <w:spacing w:after="0" w:line="360" w:lineRule="auto"/>
              <w:jc w:val="both"/>
              <w:rPr>
                <w:rFonts w:ascii="Times New Roman" w:hAnsi="Times New Roman" w:eastAsia="Times New Roman" w:cstheme="minorBidi"/>
                <w:b/>
                <w:bCs/>
                <w:sz w:val="22"/>
                <w:szCs w:val="22"/>
              </w:rPr>
            </w:pPr>
            <w:r>
              <w:rPr>
                <w:rFonts w:ascii="Times New Roman" w:hAnsi="Times New Roman" w:eastAsia="Times New Roman" w:cstheme="minorBidi"/>
                <w:b/>
                <w:bCs/>
                <w:sz w:val="22"/>
                <w:szCs w:val="22"/>
              </w:rPr>
              <w:t xml:space="preserve">Description </w:t>
            </w:r>
          </w:p>
        </w:tc>
        <w:tc>
          <w:tcPr>
            <w:tcW w:w="5244" w:type="dxa"/>
            <w:tcBorders>
              <w:top w:val="single" w:color="7F7F7F" w:sz="4" w:space="0"/>
              <w:bottom w:val="single" w:color="7F7F7F" w:sz="4" w:space="0"/>
              <w:insideH w:val="single" w:sz="4" w:space="0"/>
            </w:tcBorders>
          </w:tcPr>
          <w:p w14:paraId="334C81B9">
            <w:pPr>
              <w:spacing w:after="0" w:line="360" w:lineRule="auto"/>
              <w:jc w:val="both"/>
              <w:rPr>
                <w:rFonts w:ascii="Times New Roman" w:hAnsi="Times New Roman" w:eastAsia="Times New Roman" w:cstheme="minorBidi"/>
                <w:b/>
                <w:bCs/>
                <w:sz w:val="22"/>
                <w:szCs w:val="22"/>
              </w:rPr>
            </w:pPr>
            <w:r>
              <w:rPr>
                <w:rFonts w:ascii="Times New Roman" w:hAnsi="Times New Roman" w:eastAsia="Times New Roman" w:cstheme="minorBidi"/>
                <w:b/>
                <w:bCs/>
                <w:sz w:val="22"/>
                <w:szCs w:val="22"/>
              </w:rPr>
              <w:t xml:space="preserve">Source </w:t>
            </w:r>
          </w:p>
        </w:tc>
      </w:tr>
      <w:tr w14:paraId="6CEF3F53">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150" w:hRule="atLeast"/>
        </w:trPr>
        <w:tc>
          <w:tcPr>
            <w:tcW w:w="1391" w:type="dxa"/>
            <w:tcBorders>
              <w:top w:val="single" w:color="7F7F7F" w:sz="4" w:space="0"/>
              <w:bottom w:val="single" w:color="7F7F7F" w:sz="4" w:space="0"/>
              <w:insideH w:val="single" w:sz="4" w:space="0"/>
            </w:tcBorders>
          </w:tcPr>
          <w:p w14:paraId="7E963D6B">
            <w:pPr>
              <w:spacing w:after="0" w:line="360" w:lineRule="auto"/>
              <w:jc w:val="both"/>
              <w:rPr>
                <w:rFonts w:ascii="Times New Roman" w:hAnsi="Times New Roman" w:eastAsia="Times New Roman" w:cstheme="minorBidi"/>
                <w:bCs/>
                <w:i/>
                <w:sz w:val="22"/>
                <w:szCs w:val="22"/>
              </w:rPr>
            </w:pPr>
            <w:r>
              <w:rPr>
                <w:rFonts w:ascii="Times New Roman" w:hAnsi="Times New Roman" w:eastAsia="Times New Roman" w:cstheme="minorBidi"/>
                <w:bCs/>
                <w:i/>
                <w:sz w:val="22"/>
                <w:szCs w:val="22"/>
              </w:rPr>
              <w:t>INF</w:t>
            </w:r>
          </w:p>
        </w:tc>
        <w:tc>
          <w:tcPr>
            <w:tcW w:w="2552" w:type="dxa"/>
            <w:tcBorders>
              <w:top w:val="single" w:color="7F7F7F" w:sz="4" w:space="0"/>
              <w:bottom w:val="single" w:color="7F7F7F" w:sz="4" w:space="0"/>
              <w:insideH w:val="single" w:sz="4" w:space="0"/>
            </w:tcBorders>
          </w:tcPr>
          <w:p w14:paraId="64BF294E">
            <w:pPr>
              <w:spacing w:after="0" w:line="360" w:lineRule="auto"/>
              <w:jc w:val="both"/>
              <w:rPr>
                <w:rFonts w:ascii="Times New Roman" w:hAnsi="Times New Roman" w:eastAsia="Times New Roman" w:cstheme="minorBidi"/>
                <w:sz w:val="22"/>
                <w:szCs w:val="22"/>
              </w:rPr>
            </w:pPr>
            <w:r>
              <w:rPr>
                <w:rFonts w:ascii="Times New Roman" w:hAnsi="Times New Roman" w:eastAsia="Times New Roman" w:cstheme="minorBidi"/>
                <w:sz w:val="22"/>
                <w:szCs w:val="22"/>
              </w:rPr>
              <w:t>Inflation rate</w:t>
            </w:r>
          </w:p>
        </w:tc>
        <w:tc>
          <w:tcPr>
            <w:tcW w:w="5244" w:type="dxa"/>
            <w:tcBorders>
              <w:top w:val="single" w:color="7F7F7F" w:sz="4" w:space="0"/>
              <w:bottom w:val="single" w:color="7F7F7F" w:sz="4" w:space="0"/>
              <w:insideH w:val="single" w:sz="4" w:space="0"/>
            </w:tcBorders>
          </w:tcPr>
          <w:p w14:paraId="14A083DC">
            <w:pPr>
              <w:spacing w:after="60" w:line="240" w:lineRule="auto"/>
              <w:rPr>
                <w:rFonts w:ascii="Times New Roman" w:hAnsi="Times New Roman" w:eastAsia="Times New Roman" w:cstheme="minorBidi"/>
                <w:b/>
                <w:bCs/>
                <w:sz w:val="22"/>
                <w:szCs w:val="22"/>
              </w:rPr>
            </w:pPr>
            <w:r>
              <w:rPr>
                <w:rFonts w:ascii="Times New Roman" w:hAnsi="Times New Roman" w:eastAsia="Times New Roman" w:cstheme="minorBidi"/>
                <w:b/>
                <w:bCs/>
                <w:sz w:val="22"/>
                <w:szCs w:val="22"/>
              </w:rPr>
              <w:t>National Bureau of Statistics</w:t>
            </w:r>
          </w:p>
        </w:tc>
      </w:tr>
      <w:tr w14:paraId="41A479BC">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380" w:hRule="atLeast"/>
        </w:trPr>
        <w:tc>
          <w:tcPr>
            <w:tcW w:w="1391" w:type="dxa"/>
          </w:tcPr>
          <w:p w14:paraId="315D3A08">
            <w:pPr>
              <w:spacing w:after="0" w:line="360" w:lineRule="auto"/>
              <w:jc w:val="both"/>
              <w:rPr>
                <w:rFonts w:ascii="Times New Roman" w:hAnsi="Times New Roman" w:eastAsia="Times New Roman" w:cstheme="minorBidi"/>
                <w:i/>
                <w:sz w:val="22"/>
                <w:szCs w:val="22"/>
              </w:rPr>
            </w:pPr>
            <w:r>
              <w:rPr>
                <w:rFonts w:ascii="Times New Roman" w:hAnsi="Times New Roman" w:eastAsia="Times New Roman" w:cstheme="minorBidi"/>
                <w:i/>
                <w:sz w:val="22"/>
                <w:szCs w:val="22"/>
              </w:rPr>
              <w:t>IND</w:t>
            </w:r>
          </w:p>
        </w:tc>
        <w:tc>
          <w:tcPr>
            <w:tcW w:w="2552" w:type="dxa"/>
          </w:tcPr>
          <w:p w14:paraId="60880784">
            <w:pPr>
              <w:spacing w:after="0" w:line="360" w:lineRule="auto"/>
              <w:jc w:val="both"/>
              <w:rPr>
                <w:rFonts w:ascii="Times New Roman" w:hAnsi="Times New Roman" w:eastAsia="Times New Roman" w:cstheme="minorBidi"/>
                <w:sz w:val="22"/>
                <w:szCs w:val="22"/>
              </w:rPr>
            </w:pPr>
            <w:r>
              <w:rPr>
                <w:rFonts w:ascii="Times New Roman" w:hAnsi="Times New Roman" w:eastAsia="Times New Roman" w:cstheme="minorBidi"/>
                <w:sz w:val="22"/>
                <w:szCs w:val="22"/>
              </w:rPr>
              <w:t xml:space="preserve">Share of Industrial Sector </w:t>
            </w:r>
          </w:p>
        </w:tc>
        <w:tc>
          <w:tcPr>
            <w:tcW w:w="5244" w:type="dxa"/>
          </w:tcPr>
          <w:p w14:paraId="5D953F26">
            <w:pPr>
              <w:spacing w:after="60" w:line="240" w:lineRule="auto"/>
              <w:rPr>
                <w:rFonts w:ascii="Times New Roman" w:hAnsi="Times New Roman" w:eastAsia="Times New Roman" w:cstheme="minorBidi"/>
                <w:b/>
                <w:bCs/>
                <w:sz w:val="22"/>
                <w:szCs w:val="22"/>
              </w:rPr>
            </w:pPr>
            <w:r>
              <w:rPr>
                <w:rFonts w:ascii="Times New Roman" w:hAnsi="Times New Roman" w:eastAsia="Times New Roman" w:cstheme="minorBidi"/>
                <w:b/>
                <w:bCs/>
                <w:sz w:val="22"/>
                <w:szCs w:val="22"/>
              </w:rPr>
              <w:t>Central bank of Nigeria/National Bureau of Statistics</w:t>
            </w:r>
          </w:p>
        </w:tc>
      </w:tr>
      <w:tr w14:paraId="54338904">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243" w:hRule="atLeast"/>
        </w:trPr>
        <w:tc>
          <w:tcPr>
            <w:tcW w:w="1391" w:type="dxa"/>
            <w:tcBorders>
              <w:top w:val="single" w:color="7F7F7F" w:sz="4" w:space="0"/>
              <w:bottom w:val="single" w:color="7F7F7F" w:sz="4" w:space="0"/>
              <w:insideH w:val="single" w:sz="4" w:space="0"/>
            </w:tcBorders>
          </w:tcPr>
          <w:p w14:paraId="5DDEEE79">
            <w:pPr>
              <w:spacing w:after="0" w:line="360" w:lineRule="auto"/>
              <w:jc w:val="both"/>
              <w:rPr>
                <w:rFonts w:ascii="Times New Roman" w:hAnsi="Times New Roman" w:eastAsia="Times New Roman" w:cstheme="minorBidi"/>
                <w:i/>
                <w:sz w:val="22"/>
                <w:szCs w:val="22"/>
              </w:rPr>
            </w:pPr>
            <w:r>
              <w:rPr>
                <w:rFonts w:ascii="Times New Roman" w:hAnsi="Times New Roman" w:eastAsia="Times New Roman" w:cstheme="minorBidi"/>
                <w:i/>
                <w:sz w:val="22"/>
                <w:szCs w:val="22"/>
              </w:rPr>
              <w:t>EXR</w:t>
            </w:r>
          </w:p>
        </w:tc>
        <w:tc>
          <w:tcPr>
            <w:tcW w:w="2552" w:type="dxa"/>
            <w:tcBorders>
              <w:top w:val="single" w:color="7F7F7F" w:sz="4" w:space="0"/>
              <w:bottom w:val="single" w:color="7F7F7F" w:sz="4" w:space="0"/>
              <w:insideH w:val="single" w:sz="4" w:space="0"/>
            </w:tcBorders>
          </w:tcPr>
          <w:p w14:paraId="4C6F753E">
            <w:pPr>
              <w:spacing w:after="0" w:line="360" w:lineRule="auto"/>
              <w:jc w:val="both"/>
              <w:rPr>
                <w:rFonts w:ascii="Times New Roman" w:hAnsi="Times New Roman" w:eastAsia="Times New Roman" w:cstheme="minorBidi"/>
                <w:sz w:val="22"/>
                <w:szCs w:val="22"/>
              </w:rPr>
            </w:pPr>
            <w:r>
              <w:rPr>
                <w:rFonts w:ascii="Times New Roman" w:hAnsi="Times New Roman" w:eastAsia="Times New Roman" w:cstheme="minorBidi"/>
                <w:sz w:val="22"/>
                <w:szCs w:val="22"/>
              </w:rPr>
              <w:t xml:space="preserve">Exchange rate </w:t>
            </w:r>
          </w:p>
        </w:tc>
        <w:tc>
          <w:tcPr>
            <w:tcW w:w="5244" w:type="dxa"/>
            <w:tcBorders>
              <w:top w:val="single" w:color="7F7F7F" w:sz="4" w:space="0"/>
              <w:bottom w:val="single" w:color="7F7F7F" w:sz="4" w:space="0"/>
              <w:insideH w:val="single" w:sz="4" w:space="0"/>
            </w:tcBorders>
          </w:tcPr>
          <w:p w14:paraId="6AF1AAD4">
            <w:pPr>
              <w:spacing w:after="60" w:line="240" w:lineRule="auto"/>
              <w:rPr>
                <w:rFonts w:ascii="Times New Roman" w:hAnsi="Times New Roman" w:eastAsia="Times New Roman" w:cstheme="minorBidi"/>
                <w:b/>
                <w:bCs/>
                <w:sz w:val="22"/>
                <w:szCs w:val="22"/>
              </w:rPr>
            </w:pPr>
            <w:r>
              <w:rPr>
                <w:rFonts w:ascii="Times New Roman" w:hAnsi="Times New Roman" w:eastAsia="Times New Roman" w:cstheme="minorBidi"/>
                <w:b/>
                <w:bCs/>
                <w:sz w:val="22"/>
                <w:szCs w:val="22"/>
              </w:rPr>
              <w:t>Central bank of Nigeria</w:t>
            </w:r>
          </w:p>
        </w:tc>
      </w:tr>
      <w:tr w14:paraId="7F2DBC79">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279" w:hRule="atLeast"/>
        </w:trPr>
        <w:tc>
          <w:tcPr>
            <w:tcW w:w="1391" w:type="dxa"/>
          </w:tcPr>
          <w:p w14:paraId="581C3DFC">
            <w:pPr>
              <w:spacing w:after="0" w:line="360" w:lineRule="auto"/>
              <w:jc w:val="both"/>
              <w:rPr>
                <w:rFonts w:ascii="Times New Roman" w:hAnsi="Times New Roman" w:eastAsia="Times New Roman" w:cstheme="minorBidi"/>
                <w:bCs/>
                <w:i/>
                <w:sz w:val="22"/>
                <w:szCs w:val="22"/>
              </w:rPr>
            </w:pPr>
            <w:r>
              <w:rPr>
                <w:rFonts w:ascii="Times New Roman" w:hAnsi="Times New Roman" w:eastAsia="Times New Roman" w:cstheme="minorBidi"/>
                <w:bCs/>
                <w:i/>
                <w:sz w:val="22"/>
                <w:szCs w:val="22"/>
              </w:rPr>
              <w:t xml:space="preserve">Oil                   </w:t>
            </w:r>
          </w:p>
        </w:tc>
        <w:tc>
          <w:tcPr>
            <w:tcW w:w="2552" w:type="dxa"/>
          </w:tcPr>
          <w:p w14:paraId="4E82DD17">
            <w:pPr>
              <w:spacing w:after="0" w:line="360" w:lineRule="auto"/>
              <w:jc w:val="both"/>
              <w:rPr>
                <w:rFonts w:ascii="Times New Roman" w:hAnsi="Times New Roman" w:eastAsia="Times New Roman" w:cstheme="minorBidi"/>
                <w:sz w:val="22"/>
                <w:szCs w:val="22"/>
              </w:rPr>
            </w:pPr>
            <w:r>
              <w:rPr>
                <w:rFonts w:ascii="Times New Roman" w:hAnsi="Times New Roman" w:eastAsia="Times New Roman" w:cstheme="minorBidi"/>
                <w:sz w:val="22"/>
                <w:szCs w:val="22"/>
              </w:rPr>
              <w:t>Oil prices</w:t>
            </w:r>
          </w:p>
        </w:tc>
        <w:tc>
          <w:tcPr>
            <w:tcW w:w="5244" w:type="dxa"/>
          </w:tcPr>
          <w:p w14:paraId="0D688E74">
            <w:pPr>
              <w:spacing w:after="60" w:line="240" w:lineRule="auto"/>
              <w:rPr>
                <w:rFonts w:ascii="Times New Roman" w:hAnsi="Times New Roman" w:eastAsia="Times New Roman" w:cstheme="minorBidi"/>
                <w:b/>
                <w:bCs/>
                <w:sz w:val="22"/>
                <w:szCs w:val="22"/>
              </w:rPr>
            </w:pPr>
            <w:r>
              <w:rPr>
                <w:rFonts w:ascii="Times New Roman" w:hAnsi="Times New Roman" w:eastAsia="Times New Roman" w:cstheme="minorBidi"/>
                <w:b/>
                <w:bCs/>
                <w:sz w:val="22"/>
                <w:szCs w:val="22"/>
              </w:rPr>
              <w:t>Nigerian National Petroleum Corporation</w:t>
            </w:r>
          </w:p>
        </w:tc>
      </w:tr>
      <w:tr w14:paraId="290DB0C2">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279" w:hRule="atLeast"/>
        </w:trPr>
        <w:tc>
          <w:tcPr>
            <w:tcW w:w="1391" w:type="dxa"/>
            <w:tcBorders>
              <w:top w:val="single" w:color="7F7F7F" w:sz="4" w:space="0"/>
              <w:bottom w:val="single" w:color="7F7F7F" w:sz="4" w:space="0"/>
              <w:insideH w:val="single" w:sz="4" w:space="0"/>
            </w:tcBorders>
          </w:tcPr>
          <w:p w14:paraId="18A460FA">
            <w:pPr>
              <w:spacing w:after="0" w:line="360" w:lineRule="auto"/>
              <w:jc w:val="both"/>
              <w:rPr>
                <w:rFonts w:ascii="Times New Roman" w:hAnsi="Times New Roman" w:eastAsia="Times New Roman" w:cstheme="minorBidi"/>
                <w:bCs/>
                <w:i/>
                <w:sz w:val="22"/>
                <w:szCs w:val="22"/>
              </w:rPr>
            </w:pPr>
            <w:r>
              <w:rPr>
                <w:rFonts w:ascii="Times New Roman" w:hAnsi="Times New Roman" w:eastAsia="Times New Roman" w:cstheme="minorBidi"/>
                <w:bCs/>
                <w:i/>
                <w:sz w:val="22"/>
                <w:szCs w:val="22"/>
              </w:rPr>
              <w:t>CPS</w:t>
            </w:r>
          </w:p>
        </w:tc>
        <w:tc>
          <w:tcPr>
            <w:tcW w:w="2552" w:type="dxa"/>
            <w:tcBorders>
              <w:top w:val="single" w:color="7F7F7F" w:sz="4" w:space="0"/>
              <w:bottom w:val="single" w:color="7F7F7F" w:sz="4" w:space="0"/>
              <w:insideH w:val="single" w:sz="4" w:space="0"/>
            </w:tcBorders>
          </w:tcPr>
          <w:p w14:paraId="75290366">
            <w:pPr>
              <w:spacing w:after="0" w:line="360" w:lineRule="auto"/>
              <w:jc w:val="both"/>
              <w:rPr>
                <w:rFonts w:ascii="Times New Roman" w:hAnsi="Times New Roman" w:eastAsia="Times New Roman" w:cstheme="minorBidi"/>
                <w:sz w:val="22"/>
                <w:szCs w:val="22"/>
              </w:rPr>
            </w:pPr>
            <w:r>
              <w:rPr>
                <w:rFonts w:ascii="Times New Roman" w:hAnsi="Times New Roman" w:eastAsia="Times New Roman" w:cstheme="minorBidi"/>
                <w:sz w:val="22"/>
                <w:szCs w:val="22"/>
              </w:rPr>
              <w:t>Credit to private Sectors</w:t>
            </w:r>
          </w:p>
        </w:tc>
        <w:tc>
          <w:tcPr>
            <w:tcW w:w="5244" w:type="dxa"/>
            <w:tcBorders>
              <w:top w:val="single" w:color="7F7F7F" w:sz="4" w:space="0"/>
              <w:bottom w:val="single" w:color="7F7F7F" w:sz="4" w:space="0"/>
              <w:insideH w:val="single" w:sz="4" w:space="0"/>
            </w:tcBorders>
          </w:tcPr>
          <w:p w14:paraId="4174632E">
            <w:pPr>
              <w:spacing w:after="60" w:line="240" w:lineRule="auto"/>
              <w:rPr>
                <w:rFonts w:ascii="Times New Roman" w:hAnsi="Times New Roman" w:eastAsia="Times New Roman" w:cstheme="minorBidi"/>
                <w:b/>
                <w:bCs/>
                <w:sz w:val="22"/>
                <w:szCs w:val="22"/>
              </w:rPr>
            </w:pPr>
            <w:r>
              <w:rPr>
                <w:rFonts w:ascii="Times New Roman" w:hAnsi="Times New Roman" w:eastAsia="Times New Roman" w:cstheme="minorBidi"/>
                <w:b/>
                <w:bCs/>
                <w:sz w:val="22"/>
                <w:szCs w:val="22"/>
              </w:rPr>
              <w:t>Central bank of Nigeria</w:t>
            </w:r>
          </w:p>
        </w:tc>
      </w:tr>
      <w:tr w14:paraId="307B6A32">
        <w:tblPrEx>
          <w:tblBorders>
            <w:top w:val="single" w:color="7F7F7F" w:sz="4" w:space="0"/>
            <w:left w:val="none" w:color="auto" w:sz="0" w:space="0"/>
            <w:bottom w:val="single" w:color="7F7F7F" w:sz="4" w:space="0"/>
            <w:right w:val="none" w:color="auto" w:sz="0" w:space="0"/>
            <w:insideH w:val="none" w:color="auto" w:sz="0" w:space="0"/>
            <w:insideV w:val="none" w:color="auto" w:sz="0" w:space="0"/>
          </w:tblBorders>
          <w:tblCellMar>
            <w:top w:w="0" w:type="dxa"/>
            <w:left w:w="115" w:type="dxa"/>
            <w:bottom w:w="0" w:type="dxa"/>
            <w:right w:w="115" w:type="dxa"/>
          </w:tblCellMar>
        </w:tblPrEx>
        <w:trPr>
          <w:trHeight w:val="279" w:hRule="atLeast"/>
        </w:trPr>
        <w:tc>
          <w:tcPr>
            <w:tcW w:w="1391" w:type="dxa"/>
          </w:tcPr>
          <w:p w14:paraId="0D42BC2D">
            <w:pPr>
              <w:spacing w:after="0" w:line="360" w:lineRule="auto"/>
              <w:jc w:val="both"/>
              <w:rPr>
                <w:rFonts w:ascii="Times New Roman" w:hAnsi="Times New Roman" w:eastAsia="Times New Roman" w:cstheme="minorBidi"/>
                <w:bCs/>
                <w:i/>
                <w:sz w:val="22"/>
                <w:szCs w:val="22"/>
              </w:rPr>
            </w:pPr>
            <w:r>
              <w:rPr>
                <w:rFonts w:ascii="Times New Roman" w:hAnsi="Times New Roman" w:eastAsia="Times New Roman" w:cstheme="minorBidi"/>
                <w:bCs/>
                <w:i/>
                <w:sz w:val="22"/>
                <w:szCs w:val="22"/>
              </w:rPr>
              <w:t>LR</w:t>
            </w:r>
          </w:p>
        </w:tc>
        <w:tc>
          <w:tcPr>
            <w:tcW w:w="2552" w:type="dxa"/>
          </w:tcPr>
          <w:p w14:paraId="5439B894">
            <w:pPr>
              <w:spacing w:after="0" w:line="360" w:lineRule="auto"/>
              <w:jc w:val="both"/>
              <w:rPr>
                <w:rFonts w:ascii="Times New Roman" w:hAnsi="Times New Roman" w:eastAsia="Times New Roman" w:cstheme="minorBidi"/>
                <w:sz w:val="22"/>
                <w:szCs w:val="22"/>
              </w:rPr>
            </w:pPr>
            <w:r>
              <w:rPr>
                <w:rFonts w:ascii="Times New Roman" w:hAnsi="Times New Roman" w:eastAsia="Times New Roman" w:cstheme="minorBidi"/>
                <w:sz w:val="22"/>
                <w:szCs w:val="22"/>
              </w:rPr>
              <w:t>Lending rate</w:t>
            </w:r>
          </w:p>
        </w:tc>
        <w:tc>
          <w:tcPr>
            <w:tcW w:w="5244" w:type="dxa"/>
          </w:tcPr>
          <w:p w14:paraId="456AE261">
            <w:pPr>
              <w:spacing w:after="60" w:line="240" w:lineRule="auto"/>
              <w:rPr>
                <w:rFonts w:ascii="Times New Roman" w:hAnsi="Times New Roman" w:eastAsia="Times New Roman" w:cstheme="minorBidi"/>
                <w:b/>
                <w:bCs/>
                <w:sz w:val="22"/>
                <w:szCs w:val="22"/>
              </w:rPr>
            </w:pPr>
            <w:r>
              <w:rPr>
                <w:rFonts w:ascii="Times New Roman" w:hAnsi="Times New Roman" w:eastAsia="Times New Roman" w:cstheme="minorBidi"/>
                <w:b/>
                <w:bCs/>
                <w:sz w:val="22"/>
                <w:szCs w:val="22"/>
              </w:rPr>
              <w:t>Central bank of Nigeria</w:t>
            </w:r>
          </w:p>
        </w:tc>
      </w:tr>
    </w:tbl>
    <w:p w14:paraId="09A5DA88">
      <w:pPr>
        <w:spacing w:line="360" w:lineRule="auto"/>
        <w:jc w:val="both"/>
        <w:rPr>
          <w:rFonts w:ascii="Times New Roman" w:hAnsi="Times New Roman" w:eastAsia="Times New Roman" w:cs="Times New Roman"/>
          <w:sz w:val="18"/>
          <w:szCs w:val="18"/>
        </w:rPr>
      </w:pPr>
      <w:r>
        <w:rPr>
          <w:rFonts w:ascii="Times New Roman" w:hAnsi="Times New Roman" w:eastAsia="Times New Roman" w:cs="Times New Roman"/>
          <w:b/>
          <w:sz w:val="18"/>
          <w:szCs w:val="18"/>
        </w:rPr>
        <w:t>Source:</w:t>
      </w:r>
      <w:r>
        <w:rPr>
          <w:rFonts w:ascii="Times New Roman" w:hAnsi="Times New Roman" w:eastAsia="Times New Roman" w:cs="Times New Roman"/>
          <w:sz w:val="18"/>
          <w:szCs w:val="18"/>
        </w:rPr>
        <w:t xml:space="preserve"> Author’s computation, 2024</w:t>
      </w:r>
    </w:p>
    <w:p w14:paraId="7A0FB660">
      <w:pPr>
        <w:spacing w:line="360" w:lineRule="auto"/>
        <w:jc w:val="both"/>
        <w:rPr>
          <w:rFonts w:ascii="Times New Roman" w:hAnsi="Times New Roman" w:cs="Times New Roman"/>
          <w:b/>
          <w:bCs/>
        </w:rPr>
      </w:pPr>
      <w:bookmarkStart w:id="3" w:name="_Toc138418381"/>
      <w:bookmarkStart w:id="4" w:name="_Toc138421232"/>
      <w:bookmarkStart w:id="5" w:name="_Toc138421881"/>
      <w:r>
        <w:rPr>
          <w:rFonts w:ascii="Times New Roman" w:hAnsi="Times New Roman" w:cs="Times New Roman"/>
          <w:b/>
          <w:bCs/>
        </w:rPr>
        <w:t>3.4</w:t>
      </w:r>
      <w:r>
        <w:rPr>
          <w:rFonts w:ascii="Times New Roman" w:hAnsi="Times New Roman" w:cs="Times New Roman"/>
          <w:b/>
          <w:bCs/>
        </w:rPr>
        <w:tab/>
      </w:r>
      <w:r>
        <w:rPr>
          <w:rFonts w:ascii="Times New Roman" w:hAnsi="Times New Roman" w:cs="Times New Roman"/>
          <w:b/>
          <w:bCs/>
        </w:rPr>
        <w:t>Model Specification</w:t>
      </w:r>
      <w:bookmarkEnd w:id="3"/>
      <w:bookmarkEnd w:id="4"/>
      <w:bookmarkEnd w:id="5"/>
    </w:p>
    <w:p w14:paraId="2EDB8720">
      <w:pPr>
        <w:spacing w:line="360" w:lineRule="auto"/>
        <w:jc w:val="both"/>
        <w:rPr>
          <w:rFonts w:ascii="Times New Roman" w:hAnsi="Times New Roman" w:cs="Times New Roman"/>
          <w:lang w:val="zh-CN"/>
        </w:rPr>
      </w:pPr>
      <w:r>
        <w:rPr>
          <w:rFonts w:ascii="Times New Roman" w:hAnsi="Times New Roman" w:cs="Times New Roman"/>
        </w:rPr>
        <w:t xml:space="preserve">Interestingly, in accordance with a study on Impact of macroeconomic variables on the manufacturing sector in Nigeria by Adedoyin et al., (2022), inflation rate, interest rate, and exchange rate were observed to have a negative impact on the manufacturing sector in Nigeria because when these variables increase, manufacturing in Nigeria decreases. Furthermore, findings from the study showed that despite Nigeria being an oil-producing country, higher energy prices have continued to impact negatively on industrial output, largely, because the economy relies on imported fuel. The scholars, hence, proposed that policymakers keep a focus on the inflation rate, the exchange rate, and the interest rate since these would help the manufacturing industry. The reason for the above was because of the reduction of the exchange rate, which would favour the manufacturing industry since the industry would be able to import plants and equipment easily to aid in the production process. The need to focus on the interest rate was also essential since the interest rate was used in the growth of the manufacturing industry; hence a high interest rate would limit the ability of the manufacturing industry to obtain money for growth. </w:t>
      </w:r>
    </w:p>
    <w:p w14:paraId="3BBF6CBD">
      <w:pPr>
        <w:spacing w:line="360" w:lineRule="auto"/>
        <w:jc w:val="both"/>
        <w:rPr>
          <w:rFonts w:ascii="Times New Roman" w:hAnsi="Times New Roman" w:cs="Times New Roman"/>
        </w:rPr>
      </w:pPr>
      <w:r>
        <w:rPr>
          <w:rFonts w:ascii="Times New Roman" w:hAnsi="Times New Roman" w:cs="Times New Roman"/>
        </w:rPr>
        <w:t xml:space="preserve">Therefore, drawing inspiration from Adedoyin's et.al., (2022) model, this study seeks to adapt and expand upon the existing framework by incorporating additional variables, while dropping some in order to address identified gaps in the research landscape. This is because while they focussed on the manufacturing sector alone, we will be focussing on the entire industrial sector. </w:t>
      </w:r>
    </w:p>
    <w:p w14:paraId="39BB613B">
      <w:pPr>
        <w:spacing w:line="360" w:lineRule="auto"/>
        <w:jc w:val="both"/>
        <w:rPr>
          <w:rFonts w:ascii="Times New Roman" w:hAnsi="Times New Roman" w:cs="Times New Roman"/>
        </w:rPr>
      </w:pPr>
      <w:bookmarkStart w:id="6" w:name="_Hlk151018551"/>
      <w:r>
        <w:rPr>
          <w:rFonts w:ascii="Times New Roman" w:hAnsi="Times New Roman" w:cs="Times New Roman"/>
        </w:rPr>
        <w:t>The model of the study is therefore, specified as follows:</w:t>
      </w:r>
    </w:p>
    <w:bookmarkEnd w:id="6"/>
    <w:p w14:paraId="648DF4B7">
      <w:pPr>
        <w:spacing w:line="360" w:lineRule="auto"/>
        <w:jc w:val="both"/>
        <w:rPr>
          <w:rFonts w:ascii="Times New Roman" w:hAnsi="Times New Roman" w:cs="Times New Roman"/>
        </w:rPr>
      </w:pPr>
      <w:r>
        <w:rPr>
          <w:rFonts w:ascii="Times New Roman" w:hAnsi="Times New Roman" w:cs="Times New Roman"/>
        </w:rPr>
        <w:t xml:space="preserve">IND =f (INF, </w:t>
      </w:r>
      <w:r>
        <w:rPr>
          <w:rFonts w:ascii="Times New Roman" w:hAnsi="Times New Roman" w:cs="Times New Roman"/>
          <w:bCs/>
        </w:rPr>
        <w:t>EXR, Oil, CSP, and LR)</w:t>
      </w:r>
      <w:r>
        <w:rPr>
          <w:rFonts w:ascii="Times New Roman" w:hAnsi="Times New Roman" w:cs="Times New Roman"/>
        </w:rPr>
        <w:t xml:space="preserve"> …………………………………… (</w:t>
      </w:r>
      <w:r>
        <w:rPr>
          <w:rFonts w:ascii="Cambria Math" w:hAnsi="Cambria Math" w:eastAsia="Times New Roman" w:cs="Times New Roman"/>
          <w:b/>
          <w:i/>
          <w:lang w:val="en-US"/>
        </w:rPr>
        <w:t>eqn</w:t>
      </w:r>
      <w:r>
        <w:rPr>
          <w:rFonts w:ascii="Times New Roman" w:hAnsi="Times New Roman" w:cs="Times New Roman"/>
        </w:rPr>
        <w:t>. 1)</w:t>
      </w:r>
    </w:p>
    <w:p w14:paraId="34F1F9FB">
      <w:pPr>
        <w:spacing w:line="360" w:lineRule="auto"/>
        <w:jc w:val="both"/>
        <w:rPr>
          <w:rFonts w:ascii="Times New Roman" w:hAnsi="Times New Roman" w:cs="Times New Roman"/>
        </w:rPr>
      </w:pPr>
      <w:r>
        <w:rPr>
          <w:rFonts w:ascii="Times New Roman" w:hAnsi="Times New Roman" w:cs="Times New Roman"/>
        </w:rPr>
        <w:t xml:space="preserve">Where: </w:t>
      </w:r>
    </w:p>
    <w:p w14:paraId="420FE26F">
      <w:pPr>
        <w:spacing w:line="360" w:lineRule="auto"/>
        <w:jc w:val="both"/>
        <w:rPr>
          <w:rFonts w:ascii="Times New Roman" w:hAnsi="Times New Roman" w:cs="Times New Roman"/>
        </w:rPr>
      </w:pPr>
      <w:r>
        <w:rPr>
          <w:rFonts w:ascii="Times New Roman" w:hAnsi="Times New Roman" w:cs="Times New Roman"/>
        </w:rPr>
        <w:t>IND= Share of Industrial to GDP</w:t>
      </w:r>
    </w:p>
    <w:p w14:paraId="766E8467">
      <w:pPr>
        <w:spacing w:line="360" w:lineRule="auto"/>
        <w:jc w:val="both"/>
        <w:rPr>
          <w:rFonts w:ascii="Times New Roman" w:hAnsi="Times New Roman" w:cs="Times New Roman"/>
        </w:rPr>
      </w:pPr>
      <w:r>
        <w:rPr>
          <w:rFonts w:ascii="Times New Roman" w:hAnsi="Times New Roman" w:cs="Times New Roman"/>
        </w:rPr>
        <w:t>INF = Inflation rate</w:t>
      </w:r>
    </w:p>
    <w:p w14:paraId="08DA5995">
      <w:pPr>
        <w:spacing w:line="360" w:lineRule="auto"/>
        <w:jc w:val="both"/>
        <w:rPr>
          <w:rFonts w:ascii="Times New Roman" w:hAnsi="Times New Roman" w:cs="Times New Roman"/>
        </w:rPr>
      </w:pPr>
      <w:r>
        <w:rPr>
          <w:rFonts w:ascii="Times New Roman" w:hAnsi="Times New Roman" w:cs="Times New Roman"/>
        </w:rPr>
        <w:t xml:space="preserve">EXR = Exchange Rate </w:t>
      </w:r>
    </w:p>
    <w:p w14:paraId="3BAB6DD7">
      <w:pPr>
        <w:spacing w:line="360" w:lineRule="auto"/>
        <w:jc w:val="both"/>
        <w:rPr>
          <w:rFonts w:ascii="Times New Roman" w:hAnsi="Times New Roman" w:cs="Times New Roman"/>
        </w:rPr>
      </w:pPr>
      <w:r>
        <w:rPr>
          <w:rFonts w:ascii="Times New Roman" w:hAnsi="Times New Roman" w:cs="Times New Roman"/>
        </w:rPr>
        <w:t xml:space="preserve">Oil = Oil prices </w:t>
      </w:r>
    </w:p>
    <w:p w14:paraId="3AA19A3C">
      <w:pPr>
        <w:spacing w:line="360" w:lineRule="auto"/>
        <w:jc w:val="both"/>
        <w:rPr>
          <w:rFonts w:ascii="Times New Roman" w:hAnsi="Times New Roman" w:cs="Times New Roman"/>
        </w:rPr>
      </w:pPr>
      <w:r>
        <w:rPr>
          <w:rFonts w:ascii="Times New Roman" w:hAnsi="Times New Roman" w:cs="Times New Roman"/>
        </w:rPr>
        <w:t>CSP = Credit to private sector</w:t>
      </w:r>
    </w:p>
    <w:p w14:paraId="64A6D46C">
      <w:pPr>
        <w:spacing w:line="360" w:lineRule="auto"/>
        <w:jc w:val="both"/>
        <w:rPr>
          <w:rFonts w:ascii="Times New Roman" w:hAnsi="Times New Roman" w:cs="Times New Roman"/>
        </w:rPr>
      </w:pPr>
      <w:r>
        <w:rPr>
          <w:rFonts w:ascii="Times New Roman" w:hAnsi="Times New Roman" w:cs="Times New Roman"/>
        </w:rPr>
        <w:t>LR = Lending rate (which proxies the interest rate)</w:t>
      </w:r>
    </w:p>
    <w:p w14:paraId="6F303143">
      <w:pPr>
        <w:spacing w:line="360" w:lineRule="auto"/>
        <w:jc w:val="both"/>
        <w:rPr>
          <w:rFonts w:ascii="Times New Roman" w:hAnsi="Times New Roman" w:cs="Times New Roman"/>
        </w:rPr>
      </w:pPr>
      <w:r>
        <w:rPr>
          <w:rFonts w:ascii="Times New Roman" w:hAnsi="Times New Roman" w:cs="Times New Roman"/>
        </w:rPr>
        <w:t>Further specifying the model in the econometric form (stochastic form) equation (1) becomes:</w:t>
      </w:r>
    </w:p>
    <w:p w14:paraId="26DEC51D">
      <w:pPr>
        <w:spacing w:line="360" w:lineRule="auto"/>
        <w:jc w:val="both"/>
        <w:rPr>
          <w:rFonts w:ascii="Times New Roman" w:hAnsi="Times New Roman" w:cs="Times New Roman"/>
        </w:rPr>
      </w:pPr>
      <w:r>
        <w:rPr>
          <w:rFonts w:ascii="Times New Roman" w:hAnsi="Times New Roman" w:cs="Times New Roman"/>
        </w:rPr>
        <w:t>IND = a</w:t>
      </w:r>
      <w:r>
        <w:rPr>
          <w:rFonts w:ascii="Times New Roman" w:hAnsi="Times New Roman" w:cs="Times New Roman"/>
          <w:vertAlign w:val="subscript"/>
        </w:rPr>
        <w:t>0</w:t>
      </w:r>
      <w:r>
        <w:rPr>
          <w:rFonts w:ascii="Times New Roman" w:hAnsi="Times New Roman" w:cs="Times New Roman"/>
        </w:rPr>
        <w:t xml:space="preserve"> + a</w:t>
      </w:r>
      <w:r>
        <w:rPr>
          <w:rFonts w:ascii="Times New Roman" w:hAnsi="Times New Roman" w:cs="Times New Roman"/>
          <w:vertAlign w:val="subscript"/>
        </w:rPr>
        <w:t>1</w:t>
      </w:r>
      <w:r>
        <w:rPr>
          <w:rFonts w:ascii="Times New Roman" w:hAnsi="Times New Roman" w:cs="Times New Roman"/>
        </w:rPr>
        <w:t>INF + a</w:t>
      </w:r>
      <w:r>
        <w:rPr>
          <w:rFonts w:ascii="Times New Roman" w:hAnsi="Times New Roman" w:cs="Times New Roman"/>
          <w:vertAlign w:val="subscript"/>
        </w:rPr>
        <w:t>2</w:t>
      </w:r>
      <w:r>
        <w:rPr>
          <w:rFonts w:ascii="Times New Roman" w:hAnsi="Times New Roman" w:cs="Times New Roman"/>
        </w:rPr>
        <w:t xml:space="preserve"> EXR + a</w:t>
      </w:r>
      <w:r>
        <w:rPr>
          <w:rFonts w:ascii="Times New Roman" w:hAnsi="Times New Roman" w:cs="Times New Roman"/>
          <w:vertAlign w:val="subscript"/>
        </w:rPr>
        <w:t>3</w:t>
      </w:r>
      <w:r>
        <w:rPr>
          <w:rFonts w:ascii="Times New Roman" w:hAnsi="Times New Roman" w:cs="Times New Roman"/>
        </w:rPr>
        <w:t xml:space="preserve">Oil + </w:t>
      </w:r>
      <w:bookmarkStart w:id="7" w:name="_Hlk180351292"/>
      <w:r>
        <w:rPr>
          <w:rFonts w:ascii="Times New Roman" w:hAnsi="Times New Roman" w:cs="Times New Roman"/>
        </w:rPr>
        <w:t>a</w:t>
      </w:r>
      <w:r>
        <w:rPr>
          <w:rFonts w:ascii="Times New Roman" w:hAnsi="Times New Roman" w:cs="Times New Roman"/>
          <w:vertAlign w:val="subscript"/>
        </w:rPr>
        <w:t>4</w:t>
      </w:r>
      <w:r>
        <w:rPr>
          <w:rFonts w:ascii="Times New Roman" w:hAnsi="Times New Roman" w:cs="Times New Roman"/>
        </w:rPr>
        <w:t>CSP</w:t>
      </w:r>
      <w:bookmarkEnd w:id="7"/>
      <w:r>
        <w:rPr>
          <w:rFonts w:ascii="Times New Roman" w:hAnsi="Times New Roman" w:cs="Times New Roman"/>
        </w:rPr>
        <w:t xml:space="preserve"> + a</w:t>
      </w:r>
      <w:r>
        <w:rPr>
          <w:rFonts w:ascii="Times New Roman" w:hAnsi="Times New Roman" w:cs="Times New Roman"/>
          <w:vertAlign w:val="subscript"/>
        </w:rPr>
        <w:t>5</w:t>
      </w:r>
      <w:r>
        <w:rPr>
          <w:rFonts w:ascii="Times New Roman" w:hAnsi="Times New Roman" w:cs="Times New Roman"/>
        </w:rPr>
        <w:t>LR + Ut …………………… (</w:t>
      </w:r>
      <w:r>
        <w:rPr>
          <w:rFonts w:ascii="Cambria Math" w:hAnsi="Cambria Math" w:eastAsia="Times New Roman" w:cs="Times New Roman"/>
          <w:b/>
          <w:i/>
          <w:lang w:val="en-US"/>
        </w:rPr>
        <w:t>eqn</w:t>
      </w:r>
      <w:r>
        <w:rPr>
          <w:rFonts w:ascii="Times New Roman" w:hAnsi="Times New Roman" w:cs="Times New Roman"/>
        </w:rPr>
        <w:t>. 2)</w:t>
      </w:r>
    </w:p>
    <w:p w14:paraId="4B3CA10F">
      <w:pPr>
        <w:spacing w:line="360" w:lineRule="auto"/>
        <w:jc w:val="both"/>
        <w:rPr>
          <w:rFonts w:ascii="Times New Roman" w:hAnsi="Times New Roman" w:cs="Times New Roman"/>
        </w:rPr>
      </w:pPr>
      <w:r>
        <w:rPr>
          <w:rFonts w:ascii="Times New Roman" w:hAnsi="Times New Roman" w:cs="Times New Roman"/>
        </w:rPr>
        <w:t xml:space="preserve"> a</w:t>
      </w:r>
      <w:r>
        <w:rPr>
          <w:rFonts w:ascii="Times New Roman" w:hAnsi="Times New Roman" w:cs="Times New Roman"/>
          <w:vertAlign w:val="subscript"/>
        </w:rPr>
        <w:t>1</w:t>
      </w:r>
      <w:r>
        <w:rPr>
          <w:rFonts w:ascii="Times New Roman" w:hAnsi="Times New Roman" w:cs="Times New Roman"/>
        </w:rPr>
        <w:t>&lt; 0, a</w:t>
      </w:r>
      <w:r>
        <w:rPr>
          <w:rFonts w:ascii="Times New Roman" w:hAnsi="Times New Roman" w:cs="Times New Roman"/>
          <w:vertAlign w:val="subscript"/>
        </w:rPr>
        <w:t>2</w:t>
      </w:r>
      <w:r>
        <w:rPr>
          <w:rFonts w:ascii="Times New Roman" w:hAnsi="Times New Roman" w:cs="Times New Roman"/>
        </w:rPr>
        <w:t xml:space="preserve"> &lt; 0, a</w:t>
      </w:r>
      <w:r>
        <w:rPr>
          <w:rFonts w:ascii="Times New Roman" w:hAnsi="Times New Roman" w:cs="Times New Roman"/>
          <w:vertAlign w:val="subscript"/>
        </w:rPr>
        <w:t>3</w:t>
      </w:r>
      <w:r>
        <w:rPr>
          <w:rFonts w:ascii="Times New Roman" w:hAnsi="Times New Roman" w:cs="Times New Roman"/>
        </w:rPr>
        <w:t xml:space="preserve">&gt;&lt; </w:t>
      </w:r>
      <w:bookmarkStart w:id="8" w:name="_Hlk180351368"/>
      <w:r>
        <w:rPr>
          <w:rFonts w:ascii="Times New Roman" w:hAnsi="Times New Roman" w:cs="Times New Roman"/>
        </w:rPr>
        <w:t>a</w:t>
      </w:r>
      <w:r>
        <w:rPr>
          <w:rFonts w:ascii="Times New Roman" w:hAnsi="Times New Roman" w:cs="Times New Roman"/>
          <w:vertAlign w:val="subscript"/>
        </w:rPr>
        <w:t>4</w:t>
      </w:r>
      <w:bookmarkEnd w:id="8"/>
      <w:r>
        <w:rPr>
          <w:rFonts w:ascii="Times New Roman" w:hAnsi="Times New Roman" w:cs="Times New Roman"/>
        </w:rPr>
        <w:t>&gt;&lt; a</w:t>
      </w:r>
      <w:r>
        <w:rPr>
          <w:rFonts w:ascii="Times New Roman" w:hAnsi="Times New Roman" w:cs="Times New Roman"/>
          <w:vertAlign w:val="subscript"/>
        </w:rPr>
        <w:t xml:space="preserve">5 </w:t>
      </w:r>
      <w:r>
        <w:rPr>
          <w:rFonts w:ascii="Times New Roman" w:hAnsi="Times New Roman" w:cs="Times New Roman"/>
        </w:rPr>
        <w:t>&gt;&lt; 0</w:t>
      </w:r>
    </w:p>
    <w:p w14:paraId="6FFB86C7">
      <w:pPr>
        <w:spacing w:line="360" w:lineRule="auto"/>
        <w:jc w:val="both"/>
        <w:rPr>
          <w:rFonts w:ascii="Times New Roman" w:hAnsi="Times New Roman" w:cs="Times New Roman"/>
        </w:rPr>
      </w:pPr>
      <w:r>
        <w:rPr>
          <w:rFonts w:ascii="Times New Roman" w:hAnsi="Times New Roman" w:cs="Times New Roman"/>
        </w:rPr>
        <w:t>Where:</w:t>
      </w:r>
    </w:p>
    <w:p w14:paraId="1F6E6154">
      <w:pPr>
        <w:spacing w:line="360" w:lineRule="auto"/>
        <w:jc w:val="both"/>
        <w:rPr>
          <w:rFonts w:ascii="Times New Roman" w:hAnsi="Times New Roman" w:cs="Times New Roman"/>
        </w:rPr>
      </w:pPr>
      <w:r>
        <w:rPr>
          <w:rFonts w:ascii="Times New Roman" w:hAnsi="Times New Roman" w:cs="Times New Roman"/>
        </w:rPr>
        <w:t>a</w:t>
      </w:r>
      <w:r>
        <w:rPr>
          <w:rFonts w:ascii="Times New Roman" w:hAnsi="Times New Roman" w:cs="Times New Roman"/>
          <w:vertAlign w:val="subscript"/>
        </w:rPr>
        <w:t>0</w:t>
      </w:r>
      <w:r>
        <w:rPr>
          <w:rFonts w:ascii="Times New Roman" w:hAnsi="Times New Roman" w:cs="Times New Roman"/>
        </w:rPr>
        <w:t>= the intercept of the regression line</w:t>
      </w:r>
    </w:p>
    <w:p w14:paraId="68988FAE">
      <w:pPr>
        <w:spacing w:line="360" w:lineRule="auto"/>
        <w:jc w:val="both"/>
        <w:rPr>
          <w:rFonts w:ascii="Times New Roman" w:hAnsi="Times New Roman" w:cs="Times New Roman"/>
        </w:rPr>
      </w:pPr>
      <w:r>
        <w:rPr>
          <w:rFonts w:ascii="Times New Roman" w:hAnsi="Times New Roman" w:cs="Times New Roman"/>
        </w:rPr>
        <w:t>a</w:t>
      </w:r>
      <w:r>
        <w:rPr>
          <w:rFonts w:ascii="Times New Roman" w:hAnsi="Times New Roman" w:cs="Times New Roman"/>
          <w:vertAlign w:val="subscript"/>
        </w:rPr>
        <w:t>1</w:t>
      </w:r>
      <w:r>
        <w:rPr>
          <w:rFonts w:ascii="Times New Roman" w:hAnsi="Times New Roman" w:cs="Times New Roman"/>
        </w:rPr>
        <w:t>, a</w:t>
      </w:r>
      <w:r>
        <w:rPr>
          <w:rFonts w:ascii="Times New Roman" w:hAnsi="Times New Roman" w:cs="Times New Roman"/>
          <w:vertAlign w:val="subscript"/>
        </w:rPr>
        <w:t>2</w:t>
      </w:r>
      <w:r>
        <w:rPr>
          <w:rFonts w:ascii="Times New Roman" w:hAnsi="Times New Roman" w:cs="Times New Roman"/>
        </w:rPr>
        <w:t>, a</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vertAlign w:val="subscript"/>
        </w:rPr>
        <w:t xml:space="preserve"> </w:t>
      </w:r>
      <w:r>
        <w:rPr>
          <w:rFonts w:ascii="Times New Roman" w:hAnsi="Times New Roman" w:cs="Times New Roman"/>
        </w:rPr>
        <w:t>a</w:t>
      </w:r>
      <w:r>
        <w:rPr>
          <w:rFonts w:ascii="Times New Roman" w:hAnsi="Times New Roman" w:cs="Times New Roman"/>
          <w:vertAlign w:val="subscript"/>
        </w:rPr>
        <w:t>4</w:t>
      </w:r>
      <w:r>
        <w:rPr>
          <w:rFonts w:ascii="Times New Roman" w:hAnsi="Times New Roman" w:cs="Times New Roman"/>
        </w:rPr>
        <w:t>, a</w:t>
      </w:r>
      <w:r>
        <w:rPr>
          <w:rFonts w:ascii="Times New Roman" w:hAnsi="Times New Roman" w:cs="Times New Roman"/>
          <w:vertAlign w:val="subscript"/>
        </w:rPr>
        <w:t>5</w:t>
      </w:r>
      <w:r>
        <w:rPr>
          <w:rFonts w:ascii="Times New Roman" w:hAnsi="Times New Roman" w:cs="Times New Roman"/>
        </w:rPr>
        <w:t>= the slope of the regression line</w:t>
      </w:r>
    </w:p>
    <w:p w14:paraId="6471BA94">
      <w:pPr>
        <w:spacing w:line="360" w:lineRule="auto"/>
        <w:jc w:val="both"/>
        <w:rPr>
          <w:rFonts w:ascii="Times New Roman" w:hAnsi="Times New Roman" w:cs="Times New Roman"/>
        </w:rPr>
      </w:pPr>
      <w:r>
        <w:rPr>
          <w:rFonts w:ascii="Times New Roman" w:hAnsi="Times New Roman" w:cs="Times New Roman"/>
        </w:rPr>
        <w:t>Ut = error term or stochastic element</w:t>
      </w:r>
    </w:p>
    <w:p w14:paraId="3E342A5A">
      <w:pPr>
        <w:spacing w:line="360" w:lineRule="auto"/>
        <w:jc w:val="both"/>
        <w:rPr>
          <w:rFonts w:ascii="Times New Roman" w:hAnsi="Times New Roman" w:eastAsia="Aptos" w:cs="Times New Roman"/>
        </w:rPr>
      </w:pPr>
      <w:r>
        <w:rPr>
          <w:rFonts w:ascii="Times New Roman" w:hAnsi="Times New Roman" w:eastAsia="Aptos" w:cs="Times New Roman"/>
        </w:rPr>
        <w:t>The ARDL model estimated is specified as follows:</w:t>
      </w:r>
    </w:p>
    <w:p w14:paraId="7249814E">
      <w:pPr>
        <w:autoSpaceDE w:val="0"/>
        <w:autoSpaceDN w:val="0"/>
        <w:adjustRightInd w:val="0"/>
        <w:spacing w:after="240" w:line="360" w:lineRule="auto"/>
        <w:jc w:val="both"/>
        <w:rPr>
          <w:rFonts w:ascii="Times New Roman" w:hAnsi="Times New Roman" w:eastAsia="Times New Roman" w:cs="Times New Roman"/>
          <w:b/>
          <w:lang w:val="en-US"/>
        </w:rPr>
      </w:pPr>
      <m:oMathPara>
        <m:oMath>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ΔIND</m:t>
              </m:r>
              <m:ctrlPr>
                <w:rPr>
                  <w:rFonts w:ascii="Cambria Math" w:hAnsi="Cambria Math" w:eastAsia="Times New Roman" w:cs="Times New Roman"/>
                  <w:i/>
                  <w:lang w:val="en-US"/>
                </w:rPr>
              </m:ctrlPr>
            </m:e>
            <m:sub>
              <m:r>
                <m:rPr/>
                <w:rPr>
                  <w:rFonts w:ascii="Cambria Math" w:hAnsi="Cambria Math" w:eastAsia="Times New Roman" w:cs="Times New Roman"/>
                  <w:lang w:val="en-US"/>
                </w:rPr>
                <m:t>t</m:t>
              </m:r>
              <m:ctrlPr>
                <w:rPr>
                  <w:rFonts w:ascii="Cambria Math" w:hAnsi="Cambria Math" w:eastAsia="Times New Roman" w:cs="Times New Roman"/>
                  <w:i/>
                  <w:lang w:val="en-US"/>
                </w:rPr>
              </m:ctrlPr>
            </m:sub>
          </m:sSub>
          <m:r>
            <m:rPr/>
            <w:rPr>
              <w:rFonts w:ascii="Cambria Math" w:hAnsi="Cambria Math" w:eastAsia="Times New Roman" w:cs="Times New Roman"/>
              <w:lang w:val="en-US"/>
            </w:rPr>
            <m:t>=</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bidi="en-US"/>
                </w:rPr>
                <m:t>β</m:t>
              </m:r>
              <m:ctrlPr>
                <w:rPr>
                  <w:rFonts w:ascii="Cambria Math" w:hAnsi="Cambria Math" w:eastAsia="Times New Roman" w:cs="Times New Roman"/>
                  <w:i/>
                  <w:lang w:val="en-US"/>
                </w:rPr>
              </m:ctrlPr>
            </m:e>
            <m:sub>
              <m:r>
                <m:rPr/>
                <w:rPr>
                  <w:rFonts w:ascii="Cambria Math" w:hAnsi="Cambria Math" w:eastAsia="Times New Roman" w:cs="Times New Roman"/>
                  <w:lang w:val="en-US"/>
                </w:rPr>
                <m:t>0</m:t>
              </m:r>
              <m:ctrlPr>
                <w:rPr>
                  <w:rFonts w:ascii="Cambria Math" w:hAnsi="Cambria Math" w:eastAsia="Times New Roman" w:cs="Times New Roman"/>
                  <w:i/>
                  <w:lang w:val="en-US"/>
                </w:rPr>
              </m:ctrlPr>
            </m:sub>
          </m:sSub>
          <m:r>
            <m:rPr/>
            <w:rPr>
              <w:rFonts w:ascii="Cambria Math" w:hAnsi="Cambria Math" w:eastAsia="Times New Roman" w:cs="Times New Roman"/>
              <w:lang w:val="en-US"/>
            </w:rPr>
            <m:t>+</m:t>
          </m:r>
          <m:nary>
            <m:naryPr>
              <m:chr m:val="∑"/>
              <m:limLoc m:val="undOvr"/>
              <m:ctrlPr>
                <w:rPr>
                  <w:rFonts w:ascii="Cambria Math" w:hAnsi="Cambria Math" w:eastAsia="Times New Roman" w:cs="Times New Roman"/>
                  <w:i/>
                  <w:lang w:val="en-US"/>
                </w:rPr>
              </m:ctrlPr>
            </m:naryPr>
            <m:sub>
              <m:r>
                <m:rPr/>
                <w:rPr>
                  <w:rFonts w:ascii="Cambria Math" w:hAnsi="Cambria Math" w:eastAsia="Times New Roman" w:cs="Times New Roman"/>
                  <w:lang w:val="en-US"/>
                </w:rPr>
                <m:t>i=1</m:t>
              </m:r>
              <m:ctrlPr>
                <w:rPr>
                  <w:rFonts w:ascii="Cambria Math" w:hAnsi="Cambria Math" w:eastAsia="Times New Roman" w:cs="Times New Roman"/>
                  <w:i/>
                  <w:lang w:val="en-US"/>
                </w:rPr>
              </m:ctrlPr>
            </m:sub>
            <m:sup>
              <m:r>
                <m:rPr/>
                <w:rPr>
                  <w:rFonts w:ascii="Cambria Math" w:hAnsi="Cambria Math" w:eastAsia="Times New Roman" w:cs="Times New Roman"/>
                  <w:lang w:val="en-US"/>
                </w:rPr>
                <m:t>n</m:t>
              </m:r>
              <m:ctrlPr>
                <w:rPr>
                  <w:rFonts w:ascii="Cambria Math" w:hAnsi="Cambria Math" w:eastAsia="Times New Roman" w:cs="Times New Roman"/>
                  <w:i/>
                  <w:lang w:val="en-US"/>
                </w:rPr>
              </m:ctrlPr>
            </m:sup>
            <m:e>
              <m:sSub>
                <m:sSubPr>
                  <m:ctrlPr>
                    <w:rPr>
                      <w:rFonts w:ascii="Cambria Math" w:hAnsi="Cambria Math" w:eastAsia="Times New Roman" w:cs="Times New Roman"/>
                      <w:i/>
                      <w:lang w:val="en-US"/>
                    </w:rPr>
                  </m:ctrlPr>
                </m:sSubPr>
                <m:e>
                  <m:r>
                    <m:rPr/>
                    <w:rPr>
                      <w:rFonts w:ascii="Cambria Math" w:hAnsi="Cambria Math" w:eastAsia="Times New Roman" w:cs="Times New Roman"/>
                      <w:lang w:val="en-US" w:bidi="en-US"/>
                    </w:rPr>
                    <m:t>β</m:t>
                  </m:r>
                  <m:ctrlPr>
                    <w:rPr>
                      <w:rFonts w:ascii="Cambria Math" w:hAnsi="Cambria Math" w:eastAsia="Times New Roman" w:cs="Times New Roman"/>
                      <w:i/>
                      <w:lang w:val="en-US"/>
                    </w:rPr>
                  </m:ctrlPr>
                </m:e>
                <m:sub>
                  <m:r>
                    <m:rPr/>
                    <w:rPr>
                      <w:rFonts w:ascii="Cambria Math" w:hAnsi="Cambria Math" w:eastAsia="Times New Roman" w:cs="Times New Roman"/>
                      <w:lang w:val="en-US"/>
                    </w:rPr>
                    <m:t>1</m:t>
                  </m:r>
                  <m:ctrlPr>
                    <w:rPr>
                      <w:rFonts w:ascii="Cambria Math" w:hAnsi="Cambria Math" w:eastAsia="Times New Roman" w:cs="Times New Roman"/>
                      <w:i/>
                      <w:lang w:val="en-US"/>
                    </w:rPr>
                  </m:ctrlPr>
                </m:sub>
              </m:sSub>
              <m:ctrlPr>
                <w:rPr>
                  <w:rFonts w:ascii="Cambria Math" w:hAnsi="Cambria Math" w:eastAsia="Times New Roman" w:cs="Times New Roman"/>
                  <w:i/>
                  <w:lang w:val="en-US"/>
                </w:rPr>
              </m:ctrlPr>
            </m:e>
          </m:nary>
          <m:r>
            <m:rPr/>
            <w:rPr>
              <w:rFonts w:ascii="Cambria Math" w:hAnsi="Cambria Math" w:eastAsia="Times New Roman" w:cs="Times New Roman"/>
              <w:lang w:val="en-US"/>
            </w:rPr>
            <m:t>Δ</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IND</m:t>
              </m:r>
              <m:ctrlPr>
                <w:rPr>
                  <w:rFonts w:ascii="Cambria Math" w:hAnsi="Cambria Math" w:eastAsia="Times New Roman" w:cs="Times New Roman"/>
                  <w:i/>
                  <w:lang w:val="en-US"/>
                </w:rPr>
              </m:ctrlPr>
            </m:e>
            <m:sub>
              <m:r>
                <m:rPr/>
                <w:rPr>
                  <w:rFonts w:ascii="Cambria Math" w:hAnsi="Cambria Math" w:eastAsia="Times New Roman" w:cs="Times New Roman"/>
                  <w:lang w:val="en-US"/>
                </w:rPr>
                <m:t>t−i</m:t>
              </m:r>
              <m:ctrlPr>
                <w:rPr>
                  <w:rFonts w:ascii="Cambria Math" w:hAnsi="Cambria Math" w:eastAsia="Times New Roman" w:cs="Times New Roman"/>
                  <w:i/>
                  <w:lang w:val="en-US"/>
                </w:rPr>
              </m:ctrlPr>
            </m:sub>
          </m:sSub>
          <m:r>
            <m:rPr/>
            <w:rPr>
              <w:rFonts w:ascii="Cambria Math" w:hAnsi="Cambria Math" w:eastAsia="Times New Roman" w:cs="Times New Roman"/>
              <w:lang w:val="en-US"/>
            </w:rPr>
            <m:t>+</m:t>
          </m:r>
          <m:nary>
            <m:naryPr>
              <m:chr m:val="∑"/>
              <m:limLoc m:val="undOvr"/>
              <m:ctrlPr>
                <w:rPr>
                  <w:rFonts w:ascii="Cambria Math" w:hAnsi="Cambria Math" w:eastAsia="Times New Roman" w:cs="Times New Roman"/>
                  <w:i/>
                  <w:lang w:val="en-US"/>
                </w:rPr>
              </m:ctrlPr>
            </m:naryPr>
            <m:sub>
              <m:r>
                <m:rPr/>
                <w:rPr>
                  <w:rFonts w:ascii="Cambria Math" w:hAnsi="Cambria Math" w:eastAsia="Times New Roman" w:cs="Times New Roman"/>
                  <w:lang w:val="en-US"/>
                </w:rPr>
                <m:t>i=0</m:t>
              </m:r>
              <m:ctrlPr>
                <w:rPr>
                  <w:rFonts w:ascii="Cambria Math" w:hAnsi="Cambria Math" w:eastAsia="Times New Roman" w:cs="Times New Roman"/>
                  <w:i/>
                  <w:lang w:val="en-US"/>
                </w:rPr>
              </m:ctrlPr>
            </m:sub>
            <m:sup>
              <m:r>
                <m:rPr/>
                <w:rPr>
                  <w:rFonts w:ascii="Cambria Math" w:hAnsi="Cambria Math" w:eastAsia="Times New Roman" w:cs="Times New Roman"/>
                  <w:lang w:val="en-US"/>
                </w:rPr>
                <m:t>n</m:t>
              </m:r>
              <m:ctrlPr>
                <w:rPr>
                  <w:rFonts w:ascii="Cambria Math" w:hAnsi="Cambria Math" w:eastAsia="Times New Roman" w:cs="Times New Roman"/>
                  <w:i/>
                  <w:lang w:val="en-US"/>
                </w:rPr>
              </m:ctrlPr>
            </m:sup>
            <m:e>
              <m:sSub>
                <m:sSubPr>
                  <m:ctrlPr>
                    <w:rPr>
                      <w:rFonts w:ascii="Cambria Math" w:hAnsi="Cambria Math" w:eastAsia="Times New Roman" w:cs="Times New Roman"/>
                      <w:i/>
                      <w:lang w:val="en-US"/>
                    </w:rPr>
                  </m:ctrlPr>
                </m:sSubPr>
                <m:e>
                  <m:r>
                    <m:rPr/>
                    <w:rPr>
                      <w:rFonts w:ascii="Cambria Math" w:hAnsi="Cambria Math" w:eastAsia="Times New Roman" w:cs="Times New Roman"/>
                      <w:lang w:val="en-US" w:bidi="en-US"/>
                    </w:rPr>
                    <m:t>β</m:t>
                  </m:r>
                  <m:ctrlPr>
                    <w:rPr>
                      <w:rFonts w:ascii="Cambria Math" w:hAnsi="Cambria Math" w:eastAsia="Times New Roman" w:cs="Times New Roman"/>
                      <w:i/>
                      <w:lang w:val="en-US"/>
                    </w:rPr>
                  </m:ctrlPr>
                </m:e>
                <m:sub>
                  <m:r>
                    <m:rPr/>
                    <w:rPr>
                      <w:rFonts w:ascii="Cambria Math" w:hAnsi="Cambria Math" w:eastAsia="Times New Roman" w:cs="Times New Roman"/>
                      <w:lang w:val="en-US"/>
                    </w:rPr>
                    <m:t>2</m:t>
                  </m:r>
                  <m:ctrlPr>
                    <w:rPr>
                      <w:rFonts w:ascii="Cambria Math" w:hAnsi="Cambria Math" w:eastAsia="Times New Roman" w:cs="Times New Roman"/>
                      <w:i/>
                      <w:lang w:val="en-US"/>
                    </w:rPr>
                  </m:ctrlPr>
                </m:sub>
              </m:sSub>
              <m:ctrlPr>
                <w:rPr>
                  <w:rFonts w:ascii="Cambria Math" w:hAnsi="Cambria Math" w:eastAsia="Times New Roman" w:cs="Times New Roman"/>
                  <w:i/>
                  <w:lang w:val="en-US"/>
                </w:rPr>
              </m:ctrlPr>
            </m:e>
          </m:nary>
          <m:r>
            <m:rPr/>
            <w:rPr>
              <w:rFonts w:ascii="Cambria Math" w:hAnsi="Cambria Math" w:eastAsia="Times New Roman" w:cs="Times New Roman"/>
              <w:lang w:val="en-US"/>
            </w:rPr>
            <m:t>Δ</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INF</m:t>
              </m:r>
              <m:ctrlPr>
                <w:rPr>
                  <w:rFonts w:ascii="Cambria Math" w:hAnsi="Cambria Math" w:eastAsia="Times New Roman" w:cs="Times New Roman"/>
                  <w:i/>
                  <w:lang w:val="en-US"/>
                </w:rPr>
              </m:ctrlPr>
            </m:e>
            <m:sub>
              <m:r>
                <m:rPr/>
                <w:rPr>
                  <w:rFonts w:ascii="Cambria Math" w:hAnsi="Cambria Math" w:eastAsia="Times New Roman" w:cs="Times New Roman"/>
                  <w:lang w:val="en-US"/>
                </w:rPr>
                <m:t>t−i</m:t>
              </m:r>
              <m:ctrlPr>
                <w:rPr>
                  <w:rFonts w:ascii="Cambria Math" w:hAnsi="Cambria Math" w:eastAsia="Times New Roman" w:cs="Times New Roman"/>
                  <w:i/>
                  <w:lang w:val="en-US"/>
                </w:rPr>
              </m:ctrlPr>
            </m:sub>
          </m:sSub>
          <m:r>
            <m:rPr/>
            <w:rPr>
              <w:rFonts w:ascii="Cambria Math" w:hAnsi="Cambria Math" w:eastAsia="Times New Roman" w:cs="Times New Roman"/>
              <w:lang w:val="en-US"/>
            </w:rPr>
            <m:t>+</m:t>
          </m:r>
          <m:nary>
            <m:naryPr>
              <m:chr m:val="∑"/>
              <m:limLoc m:val="undOvr"/>
              <m:ctrlPr>
                <w:rPr>
                  <w:rFonts w:ascii="Cambria Math" w:hAnsi="Cambria Math" w:eastAsia="Times New Roman" w:cs="Times New Roman"/>
                  <w:i/>
                  <w:lang w:val="en-US"/>
                </w:rPr>
              </m:ctrlPr>
            </m:naryPr>
            <m:sub>
              <m:r>
                <m:rPr/>
                <w:rPr>
                  <w:rFonts w:ascii="Cambria Math" w:hAnsi="Cambria Math" w:eastAsia="Times New Roman" w:cs="Times New Roman"/>
                  <w:lang w:val="en-US"/>
                </w:rPr>
                <m:t>i=0</m:t>
              </m:r>
              <m:ctrlPr>
                <w:rPr>
                  <w:rFonts w:ascii="Cambria Math" w:hAnsi="Cambria Math" w:eastAsia="Times New Roman" w:cs="Times New Roman"/>
                  <w:i/>
                  <w:lang w:val="en-US"/>
                </w:rPr>
              </m:ctrlPr>
            </m:sub>
            <m:sup>
              <m:r>
                <m:rPr/>
                <w:rPr>
                  <w:rFonts w:ascii="Cambria Math" w:hAnsi="Cambria Math" w:eastAsia="Times New Roman" w:cs="Times New Roman"/>
                  <w:lang w:val="en-US"/>
                </w:rPr>
                <m:t>n</m:t>
              </m:r>
              <m:ctrlPr>
                <w:rPr>
                  <w:rFonts w:ascii="Cambria Math" w:hAnsi="Cambria Math" w:eastAsia="Times New Roman" w:cs="Times New Roman"/>
                  <w:i/>
                  <w:lang w:val="en-US"/>
                </w:rPr>
              </m:ctrlPr>
            </m:sup>
            <m:e>
              <m:sSub>
                <m:sSubPr>
                  <m:ctrlPr>
                    <w:rPr>
                      <w:rFonts w:ascii="Cambria Math" w:hAnsi="Cambria Math" w:eastAsia="Times New Roman" w:cs="Times New Roman"/>
                      <w:i/>
                      <w:lang w:val="en-US"/>
                    </w:rPr>
                  </m:ctrlPr>
                </m:sSubPr>
                <m:e>
                  <m:r>
                    <m:rPr/>
                    <w:rPr>
                      <w:rFonts w:ascii="Cambria Math" w:hAnsi="Cambria Math" w:eastAsia="Times New Roman" w:cs="Times New Roman"/>
                      <w:lang w:val="en-US" w:bidi="en-US"/>
                    </w:rPr>
                    <m:t>β</m:t>
                  </m:r>
                  <m:ctrlPr>
                    <w:rPr>
                      <w:rFonts w:ascii="Cambria Math" w:hAnsi="Cambria Math" w:eastAsia="Times New Roman" w:cs="Times New Roman"/>
                      <w:i/>
                      <w:lang w:val="en-US"/>
                    </w:rPr>
                  </m:ctrlPr>
                </m:e>
                <m:sub>
                  <m:r>
                    <m:rPr/>
                    <w:rPr>
                      <w:rFonts w:ascii="Cambria Math" w:hAnsi="Cambria Math" w:eastAsia="Times New Roman" w:cs="Times New Roman"/>
                      <w:lang w:val="en-US"/>
                    </w:rPr>
                    <m:t>3</m:t>
                  </m:r>
                  <m:ctrlPr>
                    <w:rPr>
                      <w:rFonts w:ascii="Cambria Math" w:hAnsi="Cambria Math" w:eastAsia="Times New Roman" w:cs="Times New Roman"/>
                      <w:i/>
                      <w:lang w:val="en-US"/>
                    </w:rPr>
                  </m:ctrlPr>
                </m:sub>
              </m:sSub>
              <m:ctrlPr>
                <w:rPr>
                  <w:rFonts w:ascii="Cambria Math" w:hAnsi="Cambria Math" w:eastAsia="Times New Roman" w:cs="Times New Roman"/>
                  <w:i/>
                  <w:lang w:val="en-US"/>
                </w:rPr>
              </m:ctrlPr>
            </m:e>
          </m:nary>
          <m:r>
            <m:rPr/>
            <w:rPr>
              <w:rFonts w:ascii="Cambria Math" w:hAnsi="Cambria Math" w:eastAsia="Times New Roman" w:cs="Times New Roman"/>
              <w:lang w:val="en-US"/>
            </w:rPr>
            <m:t>Δ</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EXR</m:t>
              </m:r>
              <m:ctrlPr>
                <w:rPr>
                  <w:rFonts w:ascii="Cambria Math" w:hAnsi="Cambria Math" w:eastAsia="Times New Roman" w:cs="Times New Roman"/>
                  <w:i/>
                  <w:lang w:val="en-US"/>
                </w:rPr>
              </m:ctrlPr>
            </m:e>
            <m:sub>
              <m:r>
                <m:rPr/>
                <w:rPr>
                  <w:rFonts w:ascii="Cambria Math" w:hAnsi="Cambria Math" w:eastAsia="Times New Roman" w:cs="Times New Roman"/>
                  <w:lang w:val="en-US"/>
                </w:rPr>
                <m:t>t−i</m:t>
              </m:r>
              <m:ctrlPr>
                <w:rPr>
                  <w:rFonts w:ascii="Cambria Math" w:hAnsi="Cambria Math" w:eastAsia="Times New Roman" w:cs="Times New Roman"/>
                  <w:i/>
                  <w:lang w:val="en-US"/>
                </w:rPr>
              </m:ctrlPr>
            </m:sub>
          </m:sSub>
          <m:r>
            <m:rPr/>
            <w:rPr>
              <w:rFonts w:ascii="Cambria Math" w:hAnsi="Cambria Math" w:eastAsia="Times New Roman" w:cs="Times New Roman"/>
              <w:lang w:val="en-US"/>
            </w:rPr>
            <m:t>+</m:t>
          </m:r>
          <m:nary>
            <m:naryPr>
              <m:chr m:val="∑"/>
              <m:limLoc m:val="undOvr"/>
              <m:ctrlPr>
                <w:rPr>
                  <w:rFonts w:ascii="Cambria Math" w:hAnsi="Cambria Math" w:eastAsia="Times New Roman" w:cs="Times New Roman"/>
                  <w:i/>
                  <w:lang w:val="en-US"/>
                </w:rPr>
              </m:ctrlPr>
            </m:naryPr>
            <m:sub>
              <m:r>
                <m:rPr/>
                <w:rPr>
                  <w:rFonts w:ascii="Cambria Math" w:hAnsi="Cambria Math" w:eastAsia="Times New Roman" w:cs="Times New Roman"/>
                  <w:lang w:val="en-US"/>
                </w:rPr>
                <m:t>i=0</m:t>
              </m:r>
              <m:ctrlPr>
                <w:rPr>
                  <w:rFonts w:ascii="Cambria Math" w:hAnsi="Cambria Math" w:eastAsia="Times New Roman" w:cs="Times New Roman"/>
                  <w:i/>
                  <w:lang w:val="en-US"/>
                </w:rPr>
              </m:ctrlPr>
            </m:sub>
            <m:sup>
              <m:r>
                <m:rPr/>
                <w:rPr>
                  <w:rFonts w:ascii="Cambria Math" w:hAnsi="Cambria Math" w:eastAsia="Times New Roman" w:cs="Times New Roman"/>
                  <w:lang w:val="en-US"/>
                </w:rPr>
                <m:t>n</m:t>
              </m:r>
              <m:ctrlPr>
                <w:rPr>
                  <w:rFonts w:ascii="Cambria Math" w:hAnsi="Cambria Math" w:eastAsia="Times New Roman" w:cs="Times New Roman"/>
                  <w:i/>
                  <w:lang w:val="en-US"/>
                </w:rPr>
              </m:ctrlPr>
            </m:sup>
            <m:e>
              <m:sSub>
                <m:sSubPr>
                  <m:ctrlPr>
                    <w:rPr>
                      <w:rFonts w:ascii="Cambria Math" w:hAnsi="Cambria Math" w:eastAsia="Times New Roman" w:cs="Times New Roman"/>
                      <w:i/>
                      <w:lang w:val="en-US"/>
                    </w:rPr>
                  </m:ctrlPr>
                </m:sSubPr>
                <m:e>
                  <m:r>
                    <m:rPr/>
                    <w:rPr>
                      <w:rFonts w:ascii="Cambria Math" w:hAnsi="Cambria Math" w:eastAsia="Times New Roman" w:cs="Times New Roman"/>
                      <w:lang w:val="en-US" w:bidi="en-US"/>
                    </w:rPr>
                    <m:t>β</m:t>
                  </m:r>
                  <m:ctrlPr>
                    <w:rPr>
                      <w:rFonts w:ascii="Cambria Math" w:hAnsi="Cambria Math" w:eastAsia="Times New Roman" w:cs="Times New Roman"/>
                      <w:i/>
                      <w:lang w:val="en-US"/>
                    </w:rPr>
                  </m:ctrlPr>
                </m:e>
                <m:sub>
                  <m:r>
                    <m:rPr/>
                    <w:rPr>
                      <w:rFonts w:ascii="Cambria Math" w:hAnsi="Cambria Math" w:eastAsia="Times New Roman" w:cs="Times New Roman"/>
                      <w:lang w:val="en-US"/>
                    </w:rPr>
                    <m:t>4</m:t>
                  </m:r>
                  <m:ctrlPr>
                    <w:rPr>
                      <w:rFonts w:ascii="Cambria Math" w:hAnsi="Cambria Math" w:eastAsia="Times New Roman" w:cs="Times New Roman"/>
                      <w:i/>
                      <w:lang w:val="en-US"/>
                    </w:rPr>
                  </m:ctrlPr>
                </m:sub>
              </m:sSub>
              <m:ctrlPr>
                <w:rPr>
                  <w:rFonts w:ascii="Cambria Math" w:hAnsi="Cambria Math" w:eastAsia="Times New Roman" w:cs="Times New Roman"/>
                  <w:i/>
                  <w:lang w:val="en-US"/>
                </w:rPr>
              </m:ctrlPr>
            </m:e>
          </m:nary>
          <m:r>
            <m:rPr/>
            <w:rPr>
              <w:rFonts w:ascii="Cambria Math" w:hAnsi="Cambria Math" w:eastAsia="Times New Roman" w:cs="Times New Roman"/>
              <w:lang w:val="en-US"/>
            </w:rPr>
            <m:t>Δ</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OIL</m:t>
              </m:r>
              <m:ctrlPr>
                <w:rPr>
                  <w:rFonts w:ascii="Cambria Math" w:hAnsi="Cambria Math" w:eastAsia="Times New Roman" w:cs="Times New Roman"/>
                  <w:i/>
                  <w:lang w:val="en-US"/>
                </w:rPr>
              </m:ctrlPr>
            </m:e>
            <m:sub>
              <m:r>
                <m:rPr/>
                <w:rPr>
                  <w:rFonts w:ascii="Cambria Math" w:hAnsi="Cambria Math" w:eastAsia="Times New Roman" w:cs="Times New Roman"/>
                  <w:lang w:val="en-US"/>
                </w:rPr>
                <m:t>t−i</m:t>
              </m:r>
              <m:ctrlPr>
                <w:rPr>
                  <w:rFonts w:ascii="Cambria Math" w:hAnsi="Cambria Math" w:eastAsia="Times New Roman" w:cs="Times New Roman"/>
                  <w:i/>
                  <w:lang w:val="en-US"/>
                </w:rPr>
              </m:ctrlPr>
            </m:sub>
          </m:sSub>
          <m:r>
            <m:rPr/>
            <w:rPr>
              <w:rFonts w:ascii="Cambria Math" w:hAnsi="Cambria Math" w:eastAsia="Times New Roman" w:cs="Times New Roman"/>
              <w:lang w:val="en-US"/>
            </w:rPr>
            <m:t>+</m:t>
          </m:r>
          <m:nary>
            <m:naryPr>
              <m:chr m:val="∑"/>
              <m:limLoc m:val="undOvr"/>
              <m:ctrlPr>
                <w:rPr>
                  <w:rFonts w:ascii="Cambria Math" w:hAnsi="Cambria Math" w:eastAsia="Times New Roman" w:cs="Times New Roman"/>
                  <w:i/>
                  <w:lang w:val="en-US"/>
                </w:rPr>
              </m:ctrlPr>
            </m:naryPr>
            <m:sub>
              <m:r>
                <m:rPr/>
                <w:rPr>
                  <w:rFonts w:ascii="Cambria Math" w:hAnsi="Cambria Math" w:eastAsia="Times New Roman" w:cs="Times New Roman"/>
                  <w:lang w:val="en-US"/>
                </w:rPr>
                <m:t>i=0</m:t>
              </m:r>
              <m:ctrlPr>
                <w:rPr>
                  <w:rFonts w:ascii="Cambria Math" w:hAnsi="Cambria Math" w:eastAsia="Times New Roman" w:cs="Times New Roman"/>
                  <w:i/>
                  <w:lang w:val="en-US"/>
                </w:rPr>
              </m:ctrlPr>
            </m:sub>
            <m:sup>
              <m:r>
                <m:rPr/>
                <w:rPr>
                  <w:rFonts w:ascii="Cambria Math" w:hAnsi="Cambria Math" w:eastAsia="Times New Roman" w:cs="Times New Roman"/>
                  <w:lang w:val="en-US"/>
                </w:rPr>
                <m:t>n</m:t>
              </m:r>
              <m:ctrlPr>
                <w:rPr>
                  <w:rFonts w:ascii="Cambria Math" w:hAnsi="Cambria Math" w:eastAsia="Times New Roman" w:cs="Times New Roman"/>
                  <w:i/>
                  <w:lang w:val="en-US"/>
                </w:rPr>
              </m:ctrlPr>
            </m:sup>
            <m:e>
              <m:sSub>
                <m:sSubPr>
                  <m:ctrlPr>
                    <w:rPr>
                      <w:rFonts w:ascii="Cambria Math" w:hAnsi="Cambria Math" w:eastAsia="Times New Roman" w:cs="Times New Roman"/>
                      <w:i/>
                      <w:lang w:val="en-US"/>
                    </w:rPr>
                  </m:ctrlPr>
                </m:sSubPr>
                <m:e>
                  <m:r>
                    <m:rPr/>
                    <w:rPr>
                      <w:rFonts w:ascii="Cambria Math" w:hAnsi="Cambria Math" w:eastAsia="Times New Roman" w:cs="Times New Roman"/>
                      <w:lang w:val="en-US" w:bidi="en-US"/>
                    </w:rPr>
                    <m:t>β</m:t>
                  </m:r>
                  <m:ctrlPr>
                    <w:rPr>
                      <w:rFonts w:ascii="Cambria Math" w:hAnsi="Cambria Math" w:eastAsia="Times New Roman" w:cs="Times New Roman"/>
                      <w:i/>
                      <w:lang w:val="en-US"/>
                    </w:rPr>
                  </m:ctrlPr>
                </m:e>
                <m:sub>
                  <m:r>
                    <m:rPr/>
                    <w:rPr>
                      <w:rFonts w:ascii="Cambria Math" w:hAnsi="Cambria Math" w:eastAsia="Times New Roman" w:cs="Times New Roman"/>
                      <w:lang w:val="en-US"/>
                    </w:rPr>
                    <m:t>5</m:t>
                  </m:r>
                  <m:ctrlPr>
                    <w:rPr>
                      <w:rFonts w:ascii="Cambria Math" w:hAnsi="Cambria Math" w:eastAsia="Times New Roman" w:cs="Times New Roman"/>
                      <w:i/>
                      <w:lang w:val="en-US"/>
                    </w:rPr>
                  </m:ctrlPr>
                </m:sub>
              </m:sSub>
              <m:ctrlPr>
                <w:rPr>
                  <w:rFonts w:ascii="Cambria Math" w:hAnsi="Cambria Math" w:eastAsia="Times New Roman" w:cs="Times New Roman"/>
                  <w:i/>
                  <w:lang w:val="en-US"/>
                </w:rPr>
              </m:ctrlPr>
            </m:e>
          </m:nary>
          <m:r>
            <m:rPr/>
            <w:rPr>
              <w:rFonts w:ascii="Cambria Math" w:hAnsi="Cambria Math" w:eastAsia="Times New Roman" w:cs="Times New Roman"/>
              <w:lang w:val="en-US"/>
            </w:rPr>
            <m:t>Δ</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CPS</m:t>
              </m:r>
              <m:ctrlPr>
                <w:rPr>
                  <w:rFonts w:ascii="Cambria Math" w:hAnsi="Cambria Math" w:eastAsia="Times New Roman" w:cs="Times New Roman"/>
                  <w:i/>
                  <w:lang w:val="en-US"/>
                </w:rPr>
              </m:ctrlPr>
            </m:e>
            <m:sub>
              <m:r>
                <m:rPr/>
                <w:rPr>
                  <w:rFonts w:ascii="Cambria Math" w:hAnsi="Cambria Math" w:eastAsia="Times New Roman" w:cs="Times New Roman"/>
                  <w:lang w:val="en-US"/>
                </w:rPr>
                <m:t>t−i</m:t>
              </m:r>
              <m:ctrlPr>
                <w:rPr>
                  <w:rFonts w:ascii="Cambria Math" w:hAnsi="Cambria Math" w:eastAsia="Times New Roman" w:cs="Times New Roman"/>
                  <w:i/>
                  <w:lang w:val="en-US"/>
                </w:rPr>
              </m:ctrlPr>
            </m:sub>
          </m:sSub>
          <m:r>
            <m:rPr/>
            <w:rPr>
              <w:rFonts w:ascii="Cambria Math" w:hAnsi="Cambria Math" w:eastAsia="Times New Roman" w:cs="Times New Roman"/>
              <w:lang w:val="en-US"/>
            </w:rPr>
            <m:t>+</m:t>
          </m:r>
          <m:nary>
            <m:naryPr>
              <m:chr m:val="∑"/>
              <m:limLoc m:val="undOvr"/>
              <m:ctrlPr>
                <w:rPr>
                  <w:rFonts w:ascii="Cambria Math" w:hAnsi="Cambria Math" w:eastAsia="Times New Roman" w:cs="Times New Roman"/>
                  <w:i/>
                  <w:lang w:val="en-US"/>
                </w:rPr>
              </m:ctrlPr>
            </m:naryPr>
            <m:sub>
              <m:r>
                <m:rPr/>
                <w:rPr>
                  <w:rFonts w:ascii="Cambria Math" w:hAnsi="Cambria Math" w:eastAsia="Times New Roman" w:cs="Times New Roman"/>
                  <w:lang w:val="en-US"/>
                </w:rPr>
                <m:t>i=0</m:t>
              </m:r>
              <m:ctrlPr>
                <w:rPr>
                  <w:rFonts w:ascii="Cambria Math" w:hAnsi="Cambria Math" w:eastAsia="Times New Roman" w:cs="Times New Roman"/>
                  <w:i/>
                  <w:lang w:val="en-US"/>
                </w:rPr>
              </m:ctrlPr>
            </m:sub>
            <m:sup>
              <m:r>
                <m:rPr/>
                <w:rPr>
                  <w:rFonts w:ascii="Cambria Math" w:hAnsi="Cambria Math" w:eastAsia="Times New Roman" w:cs="Times New Roman"/>
                  <w:lang w:val="en-US"/>
                </w:rPr>
                <m:t>n</m:t>
              </m:r>
              <m:ctrlPr>
                <w:rPr>
                  <w:rFonts w:ascii="Cambria Math" w:hAnsi="Cambria Math" w:eastAsia="Times New Roman" w:cs="Times New Roman"/>
                  <w:i/>
                  <w:lang w:val="en-US"/>
                </w:rPr>
              </m:ctrlPr>
            </m:sup>
            <m:e>
              <m:sSub>
                <m:sSubPr>
                  <m:ctrlPr>
                    <w:rPr>
                      <w:rFonts w:ascii="Cambria Math" w:hAnsi="Cambria Math" w:eastAsia="Times New Roman" w:cs="Times New Roman"/>
                      <w:i/>
                      <w:lang w:val="en-US"/>
                    </w:rPr>
                  </m:ctrlPr>
                </m:sSubPr>
                <m:e>
                  <m:r>
                    <m:rPr/>
                    <w:rPr>
                      <w:rFonts w:ascii="Cambria Math" w:hAnsi="Cambria Math" w:eastAsia="Times New Roman" w:cs="Times New Roman"/>
                      <w:lang w:val="en-US" w:bidi="en-US"/>
                    </w:rPr>
                    <m:t>β</m:t>
                  </m:r>
                  <m:ctrlPr>
                    <w:rPr>
                      <w:rFonts w:ascii="Cambria Math" w:hAnsi="Cambria Math" w:eastAsia="Times New Roman" w:cs="Times New Roman"/>
                      <w:i/>
                      <w:lang w:val="en-US"/>
                    </w:rPr>
                  </m:ctrlPr>
                </m:e>
                <m:sub>
                  <m:r>
                    <m:rPr/>
                    <w:rPr>
                      <w:rFonts w:ascii="Cambria Math" w:hAnsi="Cambria Math" w:eastAsia="Times New Roman" w:cs="Times New Roman"/>
                      <w:lang w:val="en-US"/>
                    </w:rPr>
                    <m:t>6</m:t>
                  </m:r>
                  <m:ctrlPr>
                    <w:rPr>
                      <w:rFonts w:ascii="Cambria Math" w:hAnsi="Cambria Math" w:eastAsia="Times New Roman" w:cs="Times New Roman"/>
                      <w:i/>
                      <w:lang w:val="en-US"/>
                    </w:rPr>
                  </m:ctrlPr>
                </m:sub>
              </m:sSub>
              <m:ctrlPr>
                <w:rPr>
                  <w:rFonts w:ascii="Cambria Math" w:hAnsi="Cambria Math" w:eastAsia="Times New Roman" w:cs="Times New Roman"/>
                  <w:i/>
                  <w:lang w:val="en-US"/>
                </w:rPr>
              </m:ctrlPr>
            </m:e>
          </m:nary>
          <m:r>
            <m:rPr/>
            <w:rPr>
              <w:rFonts w:ascii="Cambria Math" w:hAnsi="Cambria Math" w:eastAsia="Times New Roman" w:cs="Times New Roman"/>
              <w:lang w:val="en-US"/>
            </w:rPr>
            <m:t>Δ</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LR</m:t>
              </m:r>
              <m:ctrlPr>
                <w:rPr>
                  <w:rFonts w:ascii="Cambria Math" w:hAnsi="Cambria Math" w:eastAsia="Times New Roman" w:cs="Times New Roman"/>
                  <w:i/>
                  <w:lang w:val="en-US"/>
                </w:rPr>
              </m:ctrlPr>
            </m:e>
            <m:sub>
              <m:r>
                <m:rPr/>
                <w:rPr>
                  <w:rFonts w:ascii="Cambria Math" w:hAnsi="Cambria Math" w:eastAsia="Times New Roman" w:cs="Times New Roman"/>
                  <w:lang w:val="en-US"/>
                </w:rPr>
                <m:t>t−i</m:t>
              </m:r>
              <m:ctrlPr>
                <w:rPr>
                  <w:rFonts w:ascii="Cambria Math" w:hAnsi="Cambria Math" w:eastAsia="Times New Roman" w:cs="Times New Roman"/>
                  <w:i/>
                  <w:lang w:val="en-US"/>
                </w:rPr>
              </m:ctrlPr>
            </m:sub>
          </m:sSub>
          <m:r>
            <m:rPr/>
            <w:rPr>
              <w:rFonts w:ascii="Cambria Math" w:hAnsi="Cambria Math" w:eastAsia="Times New Roman" w:cs="Times New Roman"/>
              <w:lang w:val="en-US"/>
            </w:rPr>
            <m:t>+</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ϕ</m:t>
              </m:r>
              <m:ctrlPr>
                <w:rPr>
                  <w:rFonts w:ascii="Cambria Math" w:hAnsi="Cambria Math" w:eastAsia="Times New Roman" w:cs="Times New Roman"/>
                  <w:i/>
                  <w:lang w:val="en-US"/>
                </w:rPr>
              </m:ctrlPr>
            </m:e>
            <m:sub>
              <m:r>
                <m:rPr/>
                <w:rPr>
                  <w:rFonts w:ascii="Cambria Math" w:hAnsi="Cambria Math" w:eastAsia="Times New Roman" w:cs="Times New Roman"/>
                  <w:lang w:val="en-US"/>
                </w:rPr>
                <m:t>1</m:t>
              </m:r>
              <m:ctrlPr>
                <w:rPr>
                  <w:rFonts w:ascii="Cambria Math" w:hAnsi="Cambria Math" w:eastAsia="Times New Roman" w:cs="Times New Roman"/>
                  <w:i/>
                  <w:lang w:val="en-US"/>
                </w:rPr>
              </m:ctrlPr>
            </m:sub>
          </m:sSub>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IND</m:t>
              </m:r>
              <m:ctrlPr>
                <w:rPr>
                  <w:rFonts w:ascii="Cambria Math" w:hAnsi="Cambria Math" w:eastAsia="Times New Roman" w:cs="Times New Roman"/>
                  <w:i/>
                  <w:lang w:val="en-US"/>
                </w:rPr>
              </m:ctrlPr>
            </m:e>
            <m:sub>
              <m:r>
                <m:rPr/>
                <w:rPr>
                  <w:rFonts w:ascii="Cambria Math" w:hAnsi="Cambria Math" w:eastAsia="Times New Roman" w:cs="Times New Roman"/>
                  <w:lang w:val="en-US"/>
                </w:rPr>
                <m:t>t−i</m:t>
              </m:r>
              <m:ctrlPr>
                <w:rPr>
                  <w:rFonts w:ascii="Cambria Math" w:hAnsi="Cambria Math" w:eastAsia="Times New Roman" w:cs="Times New Roman"/>
                  <w:i/>
                  <w:lang w:val="en-US"/>
                </w:rPr>
              </m:ctrlPr>
            </m:sub>
          </m:sSub>
          <m:r>
            <m:rPr/>
            <w:rPr>
              <w:rFonts w:ascii="Cambria Math" w:hAnsi="Cambria Math" w:eastAsia="Times New Roman" w:cs="Times New Roman"/>
              <w:lang w:val="en-US"/>
            </w:rPr>
            <m:t>+</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ϕ</m:t>
              </m:r>
              <m:ctrlPr>
                <w:rPr>
                  <w:rFonts w:ascii="Cambria Math" w:hAnsi="Cambria Math" w:eastAsia="Times New Roman" w:cs="Times New Roman"/>
                  <w:i/>
                  <w:lang w:val="en-US"/>
                </w:rPr>
              </m:ctrlPr>
            </m:e>
            <m:sub>
              <m:r>
                <m:rPr/>
                <w:rPr>
                  <w:rFonts w:ascii="Cambria Math" w:hAnsi="Cambria Math" w:eastAsia="Times New Roman" w:cs="Times New Roman"/>
                  <w:lang w:val="en-US"/>
                </w:rPr>
                <m:t>2</m:t>
              </m:r>
              <m:ctrlPr>
                <w:rPr>
                  <w:rFonts w:ascii="Cambria Math" w:hAnsi="Cambria Math" w:eastAsia="Times New Roman" w:cs="Times New Roman"/>
                  <w:i/>
                  <w:lang w:val="en-US"/>
                </w:rPr>
              </m:ctrlPr>
            </m:sub>
          </m:sSub>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INF</m:t>
              </m:r>
              <m:ctrlPr>
                <w:rPr>
                  <w:rFonts w:ascii="Cambria Math" w:hAnsi="Cambria Math" w:eastAsia="Times New Roman" w:cs="Times New Roman"/>
                  <w:i/>
                  <w:lang w:val="en-US"/>
                </w:rPr>
              </m:ctrlPr>
            </m:e>
            <m:sub>
              <m:r>
                <m:rPr/>
                <w:rPr>
                  <w:rFonts w:ascii="Cambria Math" w:hAnsi="Cambria Math" w:eastAsia="Times New Roman" w:cs="Times New Roman"/>
                  <w:lang w:val="en-US"/>
                </w:rPr>
                <m:t>t−i</m:t>
              </m:r>
              <m:ctrlPr>
                <w:rPr>
                  <w:rFonts w:ascii="Cambria Math" w:hAnsi="Cambria Math" w:eastAsia="Times New Roman" w:cs="Times New Roman"/>
                  <w:i/>
                  <w:lang w:val="en-US"/>
                </w:rPr>
              </m:ctrlPr>
            </m:sub>
          </m:sSub>
          <m:r>
            <m:rPr/>
            <w:rPr>
              <w:rFonts w:ascii="Cambria Math" w:hAnsi="Cambria Math" w:eastAsia="Times New Roman" w:cs="Times New Roman"/>
              <w:lang w:val="en-US"/>
            </w:rPr>
            <m:t>+</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ϕ</m:t>
              </m:r>
              <m:ctrlPr>
                <w:rPr>
                  <w:rFonts w:ascii="Cambria Math" w:hAnsi="Cambria Math" w:eastAsia="Times New Roman" w:cs="Times New Roman"/>
                  <w:i/>
                  <w:lang w:val="en-US"/>
                </w:rPr>
              </m:ctrlPr>
            </m:e>
            <m:sub>
              <m:r>
                <m:rPr/>
                <w:rPr>
                  <w:rFonts w:ascii="Cambria Math" w:hAnsi="Cambria Math" w:eastAsia="Times New Roman" w:cs="Times New Roman"/>
                  <w:lang w:val="en-US"/>
                </w:rPr>
                <m:t>3</m:t>
              </m:r>
              <m:ctrlPr>
                <w:rPr>
                  <w:rFonts w:ascii="Cambria Math" w:hAnsi="Cambria Math" w:eastAsia="Times New Roman" w:cs="Times New Roman"/>
                  <w:i/>
                  <w:lang w:val="en-US"/>
                </w:rPr>
              </m:ctrlPr>
            </m:sub>
          </m:sSub>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EXR</m:t>
              </m:r>
              <m:ctrlPr>
                <w:rPr>
                  <w:rFonts w:ascii="Cambria Math" w:hAnsi="Cambria Math" w:eastAsia="Times New Roman" w:cs="Times New Roman"/>
                  <w:i/>
                  <w:lang w:val="en-US"/>
                </w:rPr>
              </m:ctrlPr>
            </m:e>
            <m:sub>
              <m:r>
                <m:rPr/>
                <w:rPr>
                  <w:rFonts w:ascii="Cambria Math" w:hAnsi="Cambria Math" w:eastAsia="Times New Roman" w:cs="Times New Roman"/>
                  <w:lang w:val="en-US"/>
                </w:rPr>
                <m:t>t−1</m:t>
              </m:r>
              <m:ctrlPr>
                <w:rPr>
                  <w:rFonts w:ascii="Cambria Math" w:hAnsi="Cambria Math" w:eastAsia="Times New Roman" w:cs="Times New Roman"/>
                  <w:i/>
                  <w:lang w:val="en-US"/>
                </w:rPr>
              </m:ctrlPr>
            </m:sub>
          </m:sSub>
          <m:r>
            <m:rPr/>
            <w:rPr>
              <w:rFonts w:ascii="Cambria Math" w:hAnsi="Cambria Math" w:eastAsia="Times New Roman" w:cs="Times New Roman"/>
              <w:lang w:val="en-US"/>
            </w:rPr>
            <m:t>+</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ϕ</m:t>
              </m:r>
              <m:ctrlPr>
                <w:rPr>
                  <w:rFonts w:ascii="Cambria Math" w:hAnsi="Cambria Math" w:eastAsia="Times New Roman" w:cs="Times New Roman"/>
                  <w:i/>
                  <w:lang w:val="en-US"/>
                </w:rPr>
              </m:ctrlPr>
            </m:e>
            <m:sub>
              <m:r>
                <m:rPr/>
                <w:rPr>
                  <w:rFonts w:ascii="Cambria Math" w:hAnsi="Cambria Math" w:eastAsia="Times New Roman" w:cs="Times New Roman"/>
                  <w:lang w:val="en-US"/>
                </w:rPr>
                <m:t>4</m:t>
              </m:r>
              <m:ctrlPr>
                <w:rPr>
                  <w:rFonts w:ascii="Cambria Math" w:hAnsi="Cambria Math" w:eastAsia="Times New Roman" w:cs="Times New Roman"/>
                  <w:i/>
                  <w:lang w:val="en-US"/>
                </w:rPr>
              </m:ctrlPr>
            </m:sub>
          </m:sSub>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OIL</m:t>
              </m:r>
              <m:ctrlPr>
                <w:rPr>
                  <w:rFonts w:ascii="Cambria Math" w:hAnsi="Cambria Math" w:eastAsia="Times New Roman" w:cs="Times New Roman"/>
                  <w:i/>
                  <w:lang w:val="en-US"/>
                </w:rPr>
              </m:ctrlPr>
            </m:e>
            <m:sub>
              <m:r>
                <m:rPr/>
                <w:rPr>
                  <w:rFonts w:ascii="Cambria Math" w:hAnsi="Cambria Math" w:eastAsia="Times New Roman" w:cs="Times New Roman"/>
                  <w:lang w:val="en-US"/>
                </w:rPr>
                <m:t>t−1</m:t>
              </m:r>
              <m:ctrlPr>
                <w:rPr>
                  <w:rFonts w:ascii="Cambria Math" w:hAnsi="Cambria Math" w:eastAsia="Times New Roman" w:cs="Times New Roman"/>
                  <w:i/>
                  <w:lang w:val="en-US"/>
                </w:rPr>
              </m:ctrlPr>
            </m:sub>
          </m:sSub>
          <m:r>
            <m:rPr/>
            <w:rPr>
              <w:rFonts w:ascii="Cambria Math" w:hAnsi="Cambria Math" w:eastAsia="Times New Roman" w:cs="Times New Roman"/>
              <w:lang w:val="en-US"/>
            </w:rPr>
            <m:t>+</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ϕ</m:t>
              </m:r>
              <m:ctrlPr>
                <w:rPr>
                  <w:rFonts w:ascii="Cambria Math" w:hAnsi="Cambria Math" w:eastAsia="Times New Roman" w:cs="Times New Roman"/>
                  <w:i/>
                  <w:lang w:val="en-US"/>
                </w:rPr>
              </m:ctrlPr>
            </m:e>
            <m:sub>
              <m:r>
                <m:rPr/>
                <w:rPr>
                  <w:rFonts w:ascii="Cambria Math" w:hAnsi="Cambria Math" w:eastAsia="Times New Roman" w:cs="Times New Roman"/>
                  <w:lang w:val="en-US"/>
                </w:rPr>
                <m:t>5</m:t>
              </m:r>
              <m:ctrlPr>
                <w:rPr>
                  <w:rFonts w:ascii="Cambria Math" w:hAnsi="Cambria Math" w:eastAsia="Times New Roman" w:cs="Times New Roman"/>
                  <w:i/>
                  <w:lang w:val="en-US"/>
                </w:rPr>
              </m:ctrlPr>
            </m:sub>
          </m:sSub>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CPS</m:t>
              </m:r>
              <m:ctrlPr>
                <w:rPr>
                  <w:rFonts w:ascii="Cambria Math" w:hAnsi="Cambria Math" w:eastAsia="Times New Roman" w:cs="Times New Roman"/>
                  <w:i/>
                  <w:lang w:val="en-US"/>
                </w:rPr>
              </m:ctrlPr>
            </m:e>
            <m:sub>
              <m:r>
                <m:rPr/>
                <w:rPr>
                  <w:rFonts w:ascii="Cambria Math" w:hAnsi="Cambria Math" w:eastAsia="Times New Roman" w:cs="Times New Roman"/>
                  <w:lang w:val="en-US"/>
                </w:rPr>
                <m:t>t−1</m:t>
              </m:r>
              <m:ctrlPr>
                <w:rPr>
                  <w:rFonts w:ascii="Cambria Math" w:hAnsi="Cambria Math" w:eastAsia="Times New Roman" w:cs="Times New Roman"/>
                  <w:i/>
                  <w:lang w:val="en-US"/>
                </w:rPr>
              </m:ctrlPr>
            </m:sub>
          </m:sSub>
          <m:r>
            <m:rPr/>
            <w:rPr>
              <w:rFonts w:ascii="Cambria Math" w:hAnsi="Cambria Math" w:eastAsia="Times New Roman" w:cs="Times New Roman"/>
              <w:lang w:val="en-US"/>
            </w:rPr>
            <m:t>+</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ϕ</m:t>
              </m:r>
              <m:ctrlPr>
                <w:rPr>
                  <w:rFonts w:ascii="Cambria Math" w:hAnsi="Cambria Math" w:eastAsia="Times New Roman" w:cs="Times New Roman"/>
                  <w:i/>
                  <w:lang w:val="en-US"/>
                </w:rPr>
              </m:ctrlPr>
            </m:e>
            <m:sub>
              <m:r>
                <m:rPr/>
                <w:rPr>
                  <w:rFonts w:ascii="Cambria Math" w:hAnsi="Cambria Math" w:eastAsia="Times New Roman" w:cs="Times New Roman"/>
                  <w:lang w:val="en-US"/>
                </w:rPr>
                <m:t>6</m:t>
              </m:r>
              <m:ctrlPr>
                <w:rPr>
                  <w:rFonts w:ascii="Cambria Math" w:hAnsi="Cambria Math" w:eastAsia="Times New Roman" w:cs="Times New Roman"/>
                  <w:i/>
                  <w:lang w:val="en-US"/>
                </w:rPr>
              </m:ctrlPr>
            </m:sub>
          </m:sSub>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LR</m:t>
              </m:r>
              <m:ctrlPr>
                <w:rPr>
                  <w:rFonts w:ascii="Cambria Math" w:hAnsi="Cambria Math" w:eastAsia="Times New Roman" w:cs="Times New Roman"/>
                  <w:i/>
                  <w:lang w:val="en-US"/>
                </w:rPr>
              </m:ctrlPr>
            </m:e>
            <m:sub>
              <m:r>
                <m:rPr/>
                <w:rPr>
                  <w:rFonts w:ascii="Cambria Math" w:hAnsi="Cambria Math" w:eastAsia="Times New Roman" w:cs="Times New Roman"/>
                  <w:lang w:val="en-US"/>
                </w:rPr>
                <m:t>t−1</m:t>
              </m:r>
              <m:ctrlPr>
                <w:rPr>
                  <w:rFonts w:ascii="Cambria Math" w:hAnsi="Cambria Math" w:eastAsia="Times New Roman" w:cs="Times New Roman"/>
                  <w:i/>
                  <w:lang w:val="en-US"/>
                </w:rPr>
              </m:ctrlPr>
            </m:sub>
          </m:sSub>
          <m:r>
            <m:rPr/>
            <w:rPr>
              <w:rFonts w:ascii="Cambria Math" w:hAnsi="Cambria Math" w:eastAsia="Times New Roman" w:cs="Times New Roman"/>
              <w:lang w:val="en-US"/>
            </w:rPr>
            <m:t>+</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ε</m:t>
              </m:r>
              <m:ctrlPr>
                <w:rPr>
                  <w:rFonts w:ascii="Cambria Math" w:hAnsi="Cambria Math" w:eastAsia="Times New Roman" w:cs="Times New Roman"/>
                  <w:i/>
                  <w:lang w:val="en-US"/>
                </w:rPr>
              </m:ctrlPr>
            </m:e>
            <m:sub>
              <m:r>
                <m:rPr/>
                <w:rPr>
                  <w:rFonts w:ascii="Cambria Math" w:hAnsi="Cambria Math" w:eastAsia="Times New Roman" w:cs="Times New Roman"/>
                  <w:lang w:val="en-US"/>
                </w:rPr>
                <m:t>1t</m:t>
              </m:r>
              <m:ctrlPr>
                <w:rPr>
                  <w:rFonts w:ascii="Cambria Math" w:hAnsi="Cambria Math" w:eastAsia="Times New Roman" w:cs="Times New Roman"/>
                  <w:i/>
                  <w:lang w:val="en-US"/>
                </w:rPr>
              </m:ctrlPr>
            </m:sub>
          </m:sSub>
          <m:r>
            <m:rPr>
              <m:sty m:val="bi"/>
            </m:rPr>
            <w:rPr>
              <w:rFonts w:ascii="Cambria Math" w:hAnsi="Cambria Math" w:eastAsia="Times New Roman" w:cs="Times New Roman"/>
              <w:lang w:val="en-US"/>
            </w:rPr>
            <m:t xml:space="preserve">………………. (eqn. </m:t>
          </m:r>
          <m:r>
            <m:rPr/>
            <w:rPr>
              <w:rFonts w:ascii="Cambria Math" w:hAnsi="Cambria Math" w:eastAsia="Times New Roman" w:cs="Times New Roman"/>
              <w:lang w:val="en-US"/>
            </w:rPr>
            <m:t>3)</m:t>
          </m:r>
        </m:oMath>
      </m:oMathPara>
    </w:p>
    <w:p w14:paraId="08F27989">
      <w:pPr>
        <w:autoSpaceDE w:val="0"/>
        <w:autoSpaceDN w:val="0"/>
        <w:adjustRightInd w:val="0"/>
        <w:spacing w:after="240" w:line="360" w:lineRule="auto"/>
        <w:jc w:val="both"/>
        <w:rPr>
          <w:rFonts w:ascii="Times New Roman" w:hAnsi="Times New Roman" w:eastAsia="TimesNewRoman" w:cs="Times New Roman"/>
          <w:lang w:val="en-US"/>
        </w:rPr>
      </w:pPr>
      <w:r>
        <w:rPr>
          <w:rFonts w:ascii="Times New Roman" w:hAnsi="Times New Roman" w:eastAsia="Times New Roman" w:cs="Times New Roman"/>
          <w:lang w:val="en-US"/>
        </w:rPr>
        <w:t xml:space="preserve">In equation 3 </w:t>
      </w:r>
      <m:oMath>
        <m:sSub>
          <m:sSubPr>
            <m:ctrlPr>
              <w:rPr>
                <w:rFonts w:ascii="Cambria Math" w:hAnsi="Cambria Math" w:eastAsia="Times New Roman" w:cs="Times New Roman"/>
                <w:lang w:val="en-US"/>
              </w:rPr>
            </m:ctrlPr>
          </m:sSubPr>
          <m:e>
            <m:r>
              <m:rPr/>
              <w:rPr>
                <w:rFonts w:ascii="Cambria Math" w:hAnsi="Cambria Math" w:eastAsia="Times New Roman" w:cs="Times New Roman"/>
                <w:lang w:val="en-US"/>
              </w:rPr>
              <m:t>Δ</m:t>
            </m:r>
            <m:r>
              <m:rPr>
                <m:sty m:val="p"/>
              </m:rPr>
              <w:rPr>
                <w:rFonts w:ascii="Cambria Math" w:hAnsi="Cambria Math" w:eastAsia="Times New Roman" w:cs="Times New Roman"/>
                <w:lang w:val="en-US"/>
              </w:rPr>
              <m:t>IND</m:t>
            </m:r>
            <m:ctrlPr>
              <w:rPr>
                <w:rFonts w:ascii="Cambria Math" w:hAnsi="Cambria Math" w:eastAsia="Times New Roman" w:cs="Times New Roman"/>
                <w:lang w:val="en-US"/>
              </w:rPr>
            </m:ctrlPr>
          </m:e>
          <m:sub>
            <m:r>
              <m:rPr>
                <m:sty m:val="p"/>
              </m:rPr>
              <w:rPr>
                <w:rFonts w:ascii="Cambria Math" w:hAnsi="Cambria Math" w:eastAsia="Times New Roman" w:cs="Times New Roman"/>
                <w:lang w:val="en-US"/>
              </w:rPr>
              <m:t>t</m:t>
            </m:r>
            <m:ctrlPr>
              <w:rPr>
                <w:rFonts w:ascii="Cambria Math" w:hAnsi="Cambria Math" w:eastAsia="Times New Roman" w:cs="Times New Roman"/>
                <w:lang w:val="en-US"/>
              </w:rPr>
            </m:ctrlPr>
          </m:sub>
        </m:sSub>
      </m:oMath>
      <w:r>
        <w:rPr>
          <w:rFonts w:ascii="Times New Roman" w:hAnsi="Times New Roman" w:eastAsia="Times New Roman" w:cs="Times New Roman"/>
          <w:lang w:val="en-US"/>
        </w:rPr>
        <w:t xml:space="preserve"> is the difference of </w:t>
      </w:r>
      <w:r>
        <w:rPr>
          <w:rFonts w:ascii="Times New Roman" w:hAnsi="Times New Roman" w:eastAsia="Times New Roman" w:cs="Times New Roman"/>
          <w:color w:val="000000"/>
          <w:lang w:val="en-US"/>
        </w:rPr>
        <w:t xml:space="preserve">Share of Industrial to GDP </w:t>
      </w:r>
      <w:r>
        <w:rPr>
          <w:rFonts w:ascii="Times New Roman" w:hAnsi="Times New Roman" w:eastAsia="Times New Roman" w:cs="Times New Roman"/>
          <w:lang w:val="en-US"/>
        </w:rPr>
        <w:t xml:space="preserve">at time t, </w:t>
      </w:r>
      <w:r>
        <w:rPr>
          <w:rFonts w:ascii="Times New Roman" w:hAnsi="Times New Roman" w:eastAsia="TimesNewRoman" w:cs="Times New Roman"/>
          <w:i/>
          <w:iCs/>
          <w:lang w:val="en-US"/>
        </w:rPr>
        <w:t>β</w:t>
      </w:r>
      <w:r>
        <w:rPr>
          <w:rFonts w:ascii="Times New Roman" w:hAnsi="Times New Roman" w:eastAsia="TimesNewRoman" w:cs="Times New Roman"/>
          <w:i/>
          <w:iCs/>
          <w:vertAlign w:val="subscript"/>
          <w:lang w:val="en-US"/>
        </w:rPr>
        <w:t>o</w:t>
      </w:r>
      <w:r>
        <w:rPr>
          <w:rFonts w:ascii="Times New Roman" w:hAnsi="Times New Roman" w:eastAsia="Times New Roman" w:cs="Times New Roman"/>
          <w:lang w:val="en-US"/>
        </w:rPr>
        <w:t xml:space="preserve"> is a constant term </w:t>
      </w:r>
      <w:r>
        <w:rPr>
          <w:rFonts w:ascii="Times New Roman" w:hAnsi="Times New Roman" w:eastAsia="TimesNewRoman" w:cs="Times New Roman"/>
          <w:i/>
          <w:iCs/>
          <w:lang w:val="en-US"/>
        </w:rPr>
        <w:t>β</w:t>
      </w:r>
      <w:r>
        <w:rPr>
          <w:rFonts w:ascii="Times New Roman" w:hAnsi="Times New Roman" w:eastAsia="TimesNewRoman" w:cs="Times New Roman"/>
          <w:i/>
          <w:iCs/>
          <w:vertAlign w:val="subscript"/>
          <w:lang w:val="en-US"/>
        </w:rPr>
        <w:t xml:space="preserve">1, </w:t>
      </w:r>
      <w:r>
        <w:rPr>
          <w:rFonts w:ascii="Times New Roman" w:hAnsi="Times New Roman" w:eastAsia="TimesNewRoman" w:cs="Times New Roman"/>
          <w:i/>
          <w:iCs/>
          <w:lang w:val="en-US"/>
        </w:rPr>
        <w:t>β</w:t>
      </w:r>
      <w:r>
        <w:rPr>
          <w:rFonts w:ascii="Times New Roman" w:hAnsi="Times New Roman" w:eastAsia="TimesNewRoman" w:cs="Times New Roman"/>
          <w:i/>
          <w:iCs/>
          <w:vertAlign w:val="subscript"/>
          <w:lang w:val="en-US"/>
        </w:rPr>
        <w:t>2,</w:t>
      </w:r>
      <w:r>
        <w:rPr>
          <w:rFonts w:ascii="Times New Roman" w:hAnsi="Times New Roman" w:eastAsia="TimesNewRoman" w:cs="Times New Roman"/>
          <w:vertAlign w:val="subscript"/>
          <w:lang w:val="en-US"/>
        </w:rPr>
        <w:t xml:space="preserve"> </w:t>
      </w:r>
      <w:r>
        <w:rPr>
          <w:rFonts w:ascii="Times New Roman" w:hAnsi="Times New Roman" w:eastAsia="TimesNewRoman" w:cs="Times New Roman"/>
          <w:i/>
          <w:iCs/>
          <w:lang w:val="en-US"/>
        </w:rPr>
        <w:t>β</w:t>
      </w:r>
      <w:r>
        <w:rPr>
          <w:rFonts w:ascii="Times New Roman" w:hAnsi="Times New Roman" w:eastAsia="TimesNewRoman" w:cs="Times New Roman"/>
          <w:i/>
          <w:iCs/>
          <w:vertAlign w:val="subscript"/>
          <w:lang w:val="en-US"/>
        </w:rPr>
        <w:t>3</w:t>
      </w:r>
      <w:r>
        <w:rPr>
          <w:rFonts w:ascii="Times New Roman" w:hAnsi="Times New Roman" w:eastAsia="TimesNewRoman" w:cs="Times New Roman"/>
          <w:lang w:val="en-US"/>
        </w:rPr>
        <w:t xml:space="preserve">, </w:t>
      </w:r>
      <w:r>
        <w:rPr>
          <w:rFonts w:ascii="Times New Roman" w:hAnsi="Times New Roman" w:eastAsia="TimesNewRoman" w:cs="Times New Roman"/>
          <w:i/>
          <w:iCs/>
          <w:lang w:val="en-US"/>
        </w:rPr>
        <w:t>β</w:t>
      </w:r>
      <w:r>
        <w:rPr>
          <w:rFonts w:ascii="Times New Roman" w:hAnsi="Times New Roman" w:eastAsia="TimesNewRoman" w:cs="Times New Roman"/>
          <w:i/>
          <w:iCs/>
          <w:vertAlign w:val="subscript"/>
          <w:lang w:val="en-US"/>
        </w:rPr>
        <w:t>4</w:t>
      </w:r>
      <w:r>
        <w:rPr>
          <w:rFonts w:ascii="Times New Roman" w:hAnsi="Times New Roman" w:eastAsia="TimesNewRoman" w:cs="Times New Roman"/>
          <w:lang w:val="en-US"/>
        </w:rPr>
        <w:t xml:space="preserve">, </w:t>
      </w:r>
      <w:r>
        <w:rPr>
          <w:rFonts w:ascii="Times New Roman" w:hAnsi="Times New Roman" w:eastAsia="TimesNewRoman" w:cs="Times New Roman"/>
          <w:i/>
          <w:iCs/>
          <w:lang w:val="en-US"/>
        </w:rPr>
        <w:t>β</w:t>
      </w:r>
      <w:r>
        <w:rPr>
          <w:rFonts w:ascii="Times New Roman" w:hAnsi="Times New Roman" w:eastAsia="TimesNewRoman" w:cs="Times New Roman"/>
          <w:i/>
          <w:iCs/>
          <w:vertAlign w:val="subscript"/>
          <w:lang w:val="en-US"/>
        </w:rPr>
        <w:t xml:space="preserve">5 </w:t>
      </w:r>
      <w:r>
        <w:rPr>
          <w:rFonts w:ascii="Times New Roman" w:hAnsi="Times New Roman" w:eastAsia="TimesNewRoman" w:cs="Times New Roman"/>
          <w:lang w:val="en-US"/>
        </w:rPr>
        <w:t xml:space="preserve">and </w:t>
      </w:r>
      <w:r>
        <w:rPr>
          <w:rFonts w:ascii="Times New Roman" w:hAnsi="Times New Roman" w:eastAsia="TimesNewRoman" w:cs="Times New Roman"/>
          <w:i/>
          <w:iCs/>
          <w:lang w:val="en-US"/>
        </w:rPr>
        <w:t>β</w:t>
      </w:r>
      <w:r>
        <w:rPr>
          <w:rFonts w:ascii="Times New Roman" w:hAnsi="Times New Roman" w:eastAsia="TimesNewRoman" w:cs="Times New Roman"/>
          <w:i/>
          <w:iCs/>
          <w:vertAlign w:val="subscript"/>
          <w:lang w:val="en-US"/>
        </w:rPr>
        <w:t xml:space="preserve">6 </w:t>
      </w:r>
      <w:r>
        <w:rPr>
          <w:rFonts w:ascii="Times New Roman" w:hAnsi="Times New Roman" w:eastAsia="TimesNewRoman" w:cs="Times New Roman"/>
          <w:lang w:val="en-US"/>
        </w:rPr>
        <w:t xml:space="preserve">are the coefficients of the independent variables estimated. The </w:t>
      </w:r>
      <m:oMath>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ϕ</m:t>
            </m:r>
            <m:ctrlPr>
              <w:rPr>
                <w:rFonts w:ascii="Cambria Math" w:hAnsi="Cambria Math" w:eastAsia="Times New Roman" w:cs="Times New Roman"/>
                <w:i/>
                <w:lang w:val="en-US"/>
              </w:rPr>
            </m:ctrlPr>
          </m:e>
          <m:sub>
            <m:r>
              <m:rPr/>
              <w:rPr>
                <w:rFonts w:ascii="Cambria Math" w:hAnsi="Cambria Math" w:eastAsia="Times New Roman" w:cs="Times New Roman"/>
                <w:lang w:val="en-US"/>
              </w:rPr>
              <m:t>1</m:t>
            </m:r>
            <m:ctrlPr>
              <w:rPr>
                <w:rFonts w:ascii="Cambria Math" w:hAnsi="Cambria Math" w:eastAsia="Times New Roman" w:cs="Times New Roman"/>
                <w:i/>
                <w:lang w:val="en-US"/>
              </w:rPr>
            </m:ctrlPr>
          </m:sub>
        </m:sSub>
        <m:r>
          <m:rPr/>
          <w:rPr>
            <w:rFonts w:ascii="Cambria Math" w:hAnsi="Cambria Math" w:eastAsia="Times New Roman" w:cs="Times New Roman"/>
            <w:lang w:val="en-US"/>
          </w:rPr>
          <m:t xml:space="preserve">, </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ϕ</m:t>
            </m:r>
            <m:ctrlPr>
              <w:rPr>
                <w:rFonts w:ascii="Cambria Math" w:hAnsi="Cambria Math" w:eastAsia="Times New Roman" w:cs="Times New Roman"/>
                <w:i/>
                <w:lang w:val="en-US"/>
              </w:rPr>
            </m:ctrlPr>
          </m:e>
          <m:sub>
            <m:r>
              <m:rPr/>
              <w:rPr>
                <w:rFonts w:ascii="Cambria Math" w:hAnsi="Cambria Math" w:eastAsia="Times New Roman" w:cs="Times New Roman"/>
                <w:lang w:val="en-US"/>
              </w:rPr>
              <m:t>2</m:t>
            </m:r>
            <m:ctrlPr>
              <w:rPr>
                <w:rFonts w:ascii="Cambria Math" w:hAnsi="Cambria Math" w:eastAsia="Times New Roman" w:cs="Times New Roman"/>
                <w:i/>
                <w:lang w:val="en-US"/>
              </w:rPr>
            </m:ctrlPr>
          </m:sub>
        </m:sSub>
        <m:r>
          <m:rPr/>
          <w:rPr>
            <w:rFonts w:ascii="Cambria Math" w:hAnsi="Cambria Math" w:eastAsia="Times New Roman" w:cs="Times New Roman"/>
            <w:lang w:val="en-US"/>
          </w:rPr>
          <m:t xml:space="preserve">, </m:t>
        </m:r>
        <m:sSub>
          <m:sSubPr>
            <m:ctrlPr>
              <w:rPr>
                <w:rFonts w:ascii="Cambria Math" w:hAnsi="Cambria Math" w:eastAsia="Times New Roman" w:cs="Times New Roman"/>
                <w:i/>
                <w:lang w:val="en-US"/>
              </w:rPr>
            </m:ctrlPr>
          </m:sSubPr>
          <m:e>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ϕ</m:t>
                </m:r>
                <m:ctrlPr>
                  <w:rPr>
                    <w:rFonts w:ascii="Cambria Math" w:hAnsi="Cambria Math" w:eastAsia="Times New Roman" w:cs="Times New Roman"/>
                    <w:i/>
                    <w:lang w:val="en-US"/>
                  </w:rPr>
                </m:ctrlPr>
              </m:e>
              <m:sub>
                <m:r>
                  <m:rPr/>
                  <w:rPr>
                    <w:rFonts w:ascii="Cambria Math" w:hAnsi="Cambria Math" w:eastAsia="Times New Roman" w:cs="Times New Roman"/>
                    <w:lang w:val="en-US"/>
                  </w:rPr>
                  <m:t>3</m:t>
                </m:r>
                <m:ctrlPr>
                  <w:rPr>
                    <w:rFonts w:ascii="Cambria Math" w:hAnsi="Cambria Math" w:eastAsia="Times New Roman" w:cs="Times New Roman"/>
                    <w:i/>
                    <w:lang w:val="en-US"/>
                  </w:rPr>
                </m:ctrlPr>
              </m:sub>
            </m:sSub>
            <m:r>
              <m:rPr/>
              <w:rPr>
                <w:rFonts w:ascii="Cambria Math" w:hAnsi="Cambria Math" w:eastAsia="Times New Roman" w:cs="Times New Roman"/>
                <w:lang w:val="en-US"/>
              </w:rPr>
              <m:t>,</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ϕ</m:t>
                </m:r>
                <m:ctrlPr>
                  <w:rPr>
                    <w:rFonts w:ascii="Cambria Math" w:hAnsi="Cambria Math" w:eastAsia="Times New Roman" w:cs="Times New Roman"/>
                    <w:i/>
                    <w:lang w:val="en-US"/>
                  </w:rPr>
                </m:ctrlPr>
              </m:e>
              <m:sub>
                <m:r>
                  <m:rPr/>
                  <w:rPr>
                    <w:rFonts w:ascii="Cambria Math" w:hAnsi="Cambria Math" w:eastAsia="Times New Roman" w:cs="Times New Roman"/>
                    <w:lang w:val="en-US"/>
                  </w:rPr>
                  <m:t>4</m:t>
                </m:r>
                <m:ctrlPr>
                  <w:rPr>
                    <w:rFonts w:ascii="Cambria Math" w:hAnsi="Cambria Math" w:eastAsia="Times New Roman" w:cs="Times New Roman"/>
                    <w:i/>
                    <w:lang w:val="en-US"/>
                  </w:rPr>
                </m:ctrlPr>
              </m:sub>
            </m:sSub>
            <m:r>
              <m:rPr/>
              <w:rPr>
                <w:rFonts w:ascii="Cambria Math" w:hAnsi="Cambria Math" w:eastAsia="Times New Roman" w:cs="Times New Roman"/>
                <w:lang w:val="en-US"/>
              </w:rPr>
              <m:t xml:space="preserve">, </m:t>
            </m:r>
            <m:sSub>
              <m:sSubPr>
                <m:ctrlPr>
                  <w:rPr>
                    <w:rFonts w:ascii="Cambria Math" w:hAnsi="Cambria Math" w:eastAsia="Times New Roman" w:cs="Times New Roman"/>
                    <w:i/>
                    <w:lang w:val="en-US"/>
                  </w:rPr>
                </m:ctrlPr>
              </m:sSubPr>
              <m:e>
                <m:r>
                  <m:rPr/>
                  <w:rPr>
                    <w:rFonts w:ascii="Cambria Math" w:hAnsi="Cambria Math" w:eastAsia="Times New Roman" w:cs="Times New Roman"/>
                    <w:lang w:val="en-US"/>
                  </w:rPr>
                  <m:t>ϕ</m:t>
                </m:r>
                <m:ctrlPr>
                  <w:rPr>
                    <w:rFonts w:ascii="Cambria Math" w:hAnsi="Cambria Math" w:eastAsia="Times New Roman" w:cs="Times New Roman"/>
                    <w:i/>
                    <w:lang w:val="en-US"/>
                  </w:rPr>
                </m:ctrlPr>
              </m:e>
              <m:sub>
                <m:r>
                  <m:rPr/>
                  <w:rPr>
                    <w:rFonts w:ascii="Cambria Math" w:hAnsi="Cambria Math" w:eastAsia="Times New Roman" w:cs="Times New Roman"/>
                    <w:lang w:val="en-US"/>
                  </w:rPr>
                  <m:t>5</m:t>
                </m:r>
                <m:ctrlPr>
                  <w:rPr>
                    <w:rFonts w:ascii="Cambria Math" w:hAnsi="Cambria Math" w:eastAsia="Times New Roman" w:cs="Times New Roman"/>
                    <w:i/>
                    <w:lang w:val="en-US"/>
                  </w:rPr>
                </m:ctrlPr>
              </m:sub>
            </m:sSub>
            <m:r>
              <m:rPr/>
              <w:rPr>
                <w:rFonts w:ascii="Cambria Math" w:hAnsi="Cambria Math" w:eastAsia="Times New Roman" w:cs="Times New Roman"/>
                <w:lang w:val="en-US"/>
              </w:rPr>
              <m:t xml:space="preserve"> and ϕ</m:t>
            </m:r>
            <m:ctrlPr>
              <w:rPr>
                <w:rFonts w:ascii="Cambria Math" w:hAnsi="Cambria Math" w:eastAsia="Times New Roman" w:cs="Times New Roman"/>
                <w:i/>
                <w:lang w:val="en-US"/>
              </w:rPr>
            </m:ctrlPr>
          </m:e>
          <m:sub>
            <m:r>
              <m:rPr/>
              <w:rPr>
                <w:rFonts w:ascii="Cambria Math" w:hAnsi="Cambria Math" w:eastAsia="Times New Roman" w:cs="Times New Roman"/>
                <w:lang w:val="en-US"/>
              </w:rPr>
              <m:t xml:space="preserve">6,  </m:t>
            </m:r>
            <m:ctrlPr>
              <w:rPr>
                <w:rFonts w:ascii="Cambria Math" w:hAnsi="Cambria Math" w:eastAsia="Times New Roman" w:cs="Times New Roman"/>
                <w:i/>
                <w:lang w:val="en-US"/>
              </w:rPr>
            </m:ctrlPr>
          </m:sub>
        </m:sSub>
      </m:oMath>
      <w:r>
        <w:rPr>
          <w:rFonts w:ascii="Times New Roman" w:hAnsi="Times New Roman" w:eastAsia="TimesNewRoman" w:cs="Times New Roman"/>
          <w:lang w:val="en-US"/>
        </w:rPr>
        <w:t xml:space="preserve"> are the lag operators, while </w:t>
      </w:r>
      <m:oMath>
        <m:sSub>
          <m:sSubPr>
            <m:ctrlPr>
              <w:rPr>
                <w:rFonts w:ascii="Cambria Math" w:hAnsi="Cambria Math" w:eastAsia="Times New Roman" w:cs="Times New Roman"/>
                <w:lang w:val="en-US"/>
              </w:rPr>
            </m:ctrlPr>
          </m:sSubPr>
          <m:e>
            <m:r>
              <m:rPr/>
              <w:rPr>
                <w:rFonts w:ascii="Cambria Math" w:hAnsi="Cambria Math" w:eastAsia="Times New Roman" w:cs="Times New Roman"/>
                <w:lang w:val="en-US"/>
              </w:rPr>
              <m:t>ε</m:t>
            </m:r>
            <m:ctrlPr>
              <w:rPr>
                <w:rFonts w:ascii="Cambria Math" w:hAnsi="Cambria Math" w:eastAsia="Times New Roman" w:cs="Times New Roman"/>
                <w:lang w:val="en-US"/>
              </w:rPr>
            </m:ctrlPr>
          </m:e>
          <m:sub>
            <m:r>
              <m:rPr/>
              <w:rPr>
                <w:rFonts w:ascii="Cambria Math" w:hAnsi="Cambria Math" w:eastAsia="Times New Roman" w:cs="Times New Roman"/>
                <w:lang w:val="en-US"/>
              </w:rPr>
              <m:t>t</m:t>
            </m:r>
            <m:ctrlPr>
              <w:rPr>
                <w:rFonts w:ascii="Cambria Math" w:hAnsi="Cambria Math" w:eastAsia="Times New Roman" w:cs="Times New Roman"/>
                <w:lang w:val="en-US"/>
              </w:rPr>
            </m:ctrlPr>
          </m:sub>
        </m:sSub>
      </m:oMath>
      <w:r>
        <w:rPr>
          <w:rFonts w:ascii="Times New Roman" w:hAnsi="Times New Roman" w:eastAsia="Times New Roman" w:cs="Times New Roman"/>
          <w:lang w:val="en-US"/>
        </w:rPr>
        <w:t xml:space="preserve"> is the error term</w:t>
      </w:r>
      <w:r>
        <w:rPr>
          <w:rFonts w:ascii="Times New Roman" w:hAnsi="Times New Roman" w:eastAsia="TimesNewRoman" w:cs="Times New Roman"/>
          <w:lang w:val="en-US"/>
        </w:rPr>
        <w:t>.</w:t>
      </w:r>
    </w:p>
    <w:p w14:paraId="592D3B55">
      <w:pPr>
        <w:autoSpaceDE w:val="0"/>
        <w:autoSpaceDN w:val="0"/>
        <w:adjustRightInd w:val="0"/>
        <w:spacing w:line="360" w:lineRule="auto"/>
        <w:jc w:val="both"/>
        <w:rPr>
          <w:rFonts w:ascii="Times New Roman" w:hAnsi="Times New Roman" w:eastAsia="Aptos" w:cs="Times New Roman"/>
        </w:rPr>
      </w:pPr>
      <w:r>
        <w:rPr>
          <w:rFonts w:ascii="Times New Roman" w:hAnsi="Times New Roman" w:eastAsia="Aptos" w:cs="Times New Roman"/>
        </w:rPr>
        <w:t>The Error Correction Model (ECM) representation of equation 1 is expressed as follows:</w:t>
      </w:r>
    </w:p>
    <w:p w14:paraId="374A1F6B">
      <w:pPr>
        <w:autoSpaceDE w:val="0"/>
        <w:autoSpaceDN w:val="0"/>
        <w:adjustRightInd w:val="0"/>
        <w:spacing w:line="360" w:lineRule="auto"/>
        <w:jc w:val="both"/>
        <w:rPr>
          <w:rFonts w:ascii="Times New Roman" w:hAnsi="Times New Roman" w:eastAsia="Aptos" w:cs="Times New Roman"/>
        </w:rPr>
      </w:pPr>
      <m:oMath>
        <m:sSub>
          <m:sSubPr>
            <m:ctrlPr>
              <w:rPr>
                <w:rFonts w:ascii="Cambria Math" w:hAnsi="Cambria Math" w:eastAsia="Aptos" w:cs="Times New Roman"/>
                <w:i/>
              </w:rPr>
            </m:ctrlPr>
          </m:sSubPr>
          <m:e>
            <m:r>
              <m:rPr/>
              <w:rPr>
                <w:rFonts w:ascii="Cambria Math" w:hAnsi="Cambria Math" w:eastAsia="Aptos" w:cs="Times New Roman"/>
              </w:rPr>
              <m:t>ΔIND</m:t>
            </m:r>
            <m:ctrlPr>
              <w:rPr>
                <w:rFonts w:ascii="Cambria Math" w:hAnsi="Cambria Math" w:eastAsia="Aptos" w:cs="Times New Roman"/>
                <w:i/>
              </w:rPr>
            </m:ctrlPr>
          </m:e>
          <m:sub>
            <m:r>
              <m:rPr/>
              <w:rPr>
                <w:rFonts w:ascii="Cambria Math" w:hAnsi="Cambria Math" w:eastAsia="Aptos" w:cs="Times New Roman"/>
              </w:rPr>
              <m:t>t</m:t>
            </m:r>
            <m:ctrlPr>
              <w:rPr>
                <w:rFonts w:ascii="Cambria Math" w:hAnsi="Cambria Math" w:eastAsia="Aptos" w:cs="Times New Roman"/>
                <w:i/>
              </w:rPr>
            </m:ctrlPr>
          </m:sub>
        </m:sSub>
        <m:r>
          <m:rPr/>
          <w:rPr>
            <w:rFonts w:ascii="Cambria Math" w:hAnsi="Cambria Math" w:eastAsia="Aptos" w:cs="Times New Roman"/>
          </w:rPr>
          <m:t>=</m:t>
        </m:r>
        <m:sSub>
          <m:sSubPr>
            <m:ctrlPr>
              <w:rPr>
                <w:rFonts w:ascii="Cambria Math" w:hAnsi="Cambria Math" w:eastAsia="Aptos" w:cs="Times New Roman"/>
                <w:i/>
              </w:rPr>
            </m:ctrlPr>
          </m:sSubPr>
          <m:e>
            <m:r>
              <m:rPr/>
              <w:rPr>
                <w:rFonts w:ascii="Cambria Math" w:hAnsi="Cambria Math" w:eastAsia="Aptos" w:cs="Times New Roman"/>
                <w:lang w:bidi="en-US"/>
              </w:rPr>
              <m:t>β</m:t>
            </m:r>
            <m:ctrlPr>
              <w:rPr>
                <w:rFonts w:ascii="Cambria Math" w:hAnsi="Cambria Math" w:eastAsia="Aptos" w:cs="Times New Roman"/>
                <w:i/>
              </w:rPr>
            </m:ctrlPr>
          </m:e>
          <m:sub>
            <m:r>
              <m:rPr/>
              <w:rPr>
                <w:rFonts w:ascii="Cambria Math" w:hAnsi="Cambria Math" w:eastAsia="Aptos" w:cs="Times New Roman"/>
              </w:rPr>
              <m:t>0</m:t>
            </m:r>
            <m:ctrlPr>
              <w:rPr>
                <w:rFonts w:ascii="Cambria Math" w:hAnsi="Cambria Math" w:eastAsia="Aptos" w:cs="Times New Roman"/>
                <w:i/>
              </w:rPr>
            </m:ctrlPr>
          </m:sub>
        </m:sSub>
        <m:r>
          <m:rPr/>
          <w:rPr>
            <w:rFonts w:ascii="Cambria Math" w:hAnsi="Cambria Math" w:eastAsia="Aptos" w:cs="Times New Roman"/>
          </w:rPr>
          <m:t>+</m:t>
        </m:r>
        <m:nary>
          <m:naryPr>
            <m:chr m:val="∑"/>
            <m:limLoc m:val="undOvr"/>
            <m:ctrlPr>
              <w:rPr>
                <w:rFonts w:ascii="Cambria Math" w:hAnsi="Cambria Math" w:eastAsia="Aptos" w:cs="Times New Roman"/>
                <w:i/>
              </w:rPr>
            </m:ctrlPr>
          </m:naryPr>
          <m:sub>
            <m:r>
              <m:rPr/>
              <w:rPr>
                <w:rFonts w:ascii="Cambria Math" w:hAnsi="Cambria Math" w:eastAsia="Aptos" w:cs="Times New Roman"/>
              </w:rPr>
              <m:t>i=1</m:t>
            </m:r>
            <m:ctrlPr>
              <w:rPr>
                <w:rFonts w:ascii="Cambria Math" w:hAnsi="Cambria Math" w:eastAsia="Aptos" w:cs="Times New Roman"/>
                <w:i/>
              </w:rPr>
            </m:ctrlPr>
          </m:sub>
          <m:sup>
            <m:r>
              <m:rPr/>
              <w:rPr>
                <w:rFonts w:ascii="Cambria Math" w:hAnsi="Cambria Math" w:eastAsia="Aptos" w:cs="Times New Roman"/>
              </w:rPr>
              <m:t>n</m:t>
            </m:r>
            <m:ctrlPr>
              <w:rPr>
                <w:rFonts w:ascii="Cambria Math" w:hAnsi="Cambria Math" w:eastAsia="Aptos" w:cs="Times New Roman"/>
                <w:i/>
              </w:rPr>
            </m:ctrlPr>
          </m:sup>
          <m:e>
            <m:sSub>
              <m:sSubPr>
                <m:ctrlPr>
                  <w:rPr>
                    <w:rFonts w:ascii="Cambria Math" w:hAnsi="Cambria Math" w:eastAsia="Aptos" w:cs="Times New Roman"/>
                    <w:i/>
                  </w:rPr>
                </m:ctrlPr>
              </m:sSubPr>
              <m:e>
                <m:r>
                  <m:rPr/>
                  <w:rPr>
                    <w:rFonts w:ascii="Cambria Math" w:hAnsi="Cambria Math" w:eastAsia="Aptos" w:cs="Times New Roman"/>
                    <w:lang w:bidi="en-US"/>
                  </w:rPr>
                  <m:t>β</m:t>
                </m:r>
                <m:ctrlPr>
                  <w:rPr>
                    <w:rFonts w:ascii="Cambria Math" w:hAnsi="Cambria Math" w:eastAsia="Aptos" w:cs="Times New Roman"/>
                    <w:i/>
                  </w:rPr>
                </m:ctrlPr>
              </m:e>
              <m:sub>
                <m:r>
                  <m:rPr/>
                  <w:rPr>
                    <w:rFonts w:ascii="Cambria Math" w:hAnsi="Cambria Math" w:eastAsia="Aptos" w:cs="Times New Roman"/>
                  </w:rPr>
                  <m:t>1</m:t>
                </m:r>
                <m:ctrlPr>
                  <w:rPr>
                    <w:rFonts w:ascii="Cambria Math" w:hAnsi="Cambria Math" w:eastAsia="Aptos" w:cs="Times New Roman"/>
                    <w:i/>
                  </w:rPr>
                </m:ctrlPr>
              </m:sub>
            </m:sSub>
            <m:ctrlPr>
              <w:rPr>
                <w:rFonts w:ascii="Cambria Math" w:hAnsi="Cambria Math" w:eastAsia="Aptos" w:cs="Times New Roman"/>
                <w:i/>
              </w:rPr>
            </m:ctrlPr>
          </m:e>
        </m:nary>
        <m:r>
          <m:rPr/>
          <w:rPr>
            <w:rFonts w:ascii="Cambria Math" w:hAnsi="Cambria Math" w:eastAsia="Aptos" w:cs="Times New Roman"/>
          </w:rPr>
          <m:t>Δ</m:t>
        </m:r>
        <m:sSub>
          <m:sSubPr>
            <m:ctrlPr>
              <w:rPr>
                <w:rFonts w:ascii="Cambria Math" w:hAnsi="Cambria Math" w:eastAsia="Aptos" w:cs="Times New Roman"/>
                <w:i/>
              </w:rPr>
            </m:ctrlPr>
          </m:sSubPr>
          <m:e>
            <m:r>
              <m:rPr/>
              <w:rPr>
                <w:rFonts w:ascii="Cambria Math" w:hAnsi="Cambria Math" w:eastAsia="Aptos" w:cs="Times New Roman"/>
              </w:rPr>
              <m:t>RIND</m:t>
            </m:r>
            <m:ctrlPr>
              <w:rPr>
                <w:rFonts w:ascii="Cambria Math" w:hAnsi="Cambria Math" w:eastAsia="Aptos" w:cs="Times New Roman"/>
                <w:i/>
              </w:rPr>
            </m:ctrlPr>
          </m:e>
          <m:sub>
            <m:r>
              <m:rPr/>
              <w:rPr>
                <w:rFonts w:ascii="Cambria Math" w:hAnsi="Cambria Math" w:eastAsia="Aptos" w:cs="Times New Roman"/>
              </w:rPr>
              <m:t>t−i</m:t>
            </m:r>
            <m:ctrlPr>
              <w:rPr>
                <w:rFonts w:ascii="Cambria Math" w:hAnsi="Cambria Math" w:eastAsia="Aptos" w:cs="Times New Roman"/>
                <w:i/>
              </w:rPr>
            </m:ctrlPr>
          </m:sub>
        </m:sSub>
        <m:r>
          <m:rPr/>
          <w:rPr>
            <w:rFonts w:ascii="Cambria Math" w:hAnsi="Cambria Math" w:eastAsia="Aptos" w:cs="Times New Roman"/>
          </w:rPr>
          <m:t>+</m:t>
        </m:r>
        <m:nary>
          <m:naryPr>
            <m:chr m:val="∑"/>
            <m:limLoc m:val="undOvr"/>
            <m:ctrlPr>
              <w:rPr>
                <w:rFonts w:ascii="Cambria Math" w:hAnsi="Cambria Math" w:eastAsia="Aptos" w:cs="Times New Roman"/>
                <w:i/>
              </w:rPr>
            </m:ctrlPr>
          </m:naryPr>
          <m:sub>
            <m:r>
              <m:rPr/>
              <w:rPr>
                <w:rFonts w:ascii="Cambria Math" w:hAnsi="Cambria Math" w:eastAsia="Aptos" w:cs="Times New Roman"/>
              </w:rPr>
              <m:t>i=0</m:t>
            </m:r>
            <m:ctrlPr>
              <w:rPr>
                <w:rFonts w:ascii="Cambria Math" w:hAnsi="Cambria Math" w:eastAsia="Aptos" w:cs="Times New Roman"/>
                <w:i/>
              </w:rPr>
            </m:ctrlPr>
          </m:sub>
          <m:sup>
            <m:r>
              <m:rPr/>
              <w:rPr>
                <w:rFonts w:ascii="Cambria Math" w:hAnsi="Cambria Math" w:eastAsia="Aptos" w:cs="Times New Roman"/>
              </w:rPr>
              <m:t>n</m:t>
            </m:r>
            <m:ctrlPr>
              <w:rPr>
                <w:rFonts w:ascii="Cambria Math" w:hAnsi="Cambria Math" w:eastAsia="Aptos" w:cs="Times New Roman"/>
                <w:i/>
              </w:rPr>
            </m:ctrlPr>
          </m:sup>
          <m:e>
            <m:sSub>
              <m:sSubPr>
                <m:ctrlPr>
                  <w:rPr>
                    <w:rFonts w:ascii="Cambria Math" w:hAnsi="Cambria Math" w:eastAsia="Aptos" w:cs="Times New Roman"/>
                    <w:i/>
                  </w:rPr>
                </m:ctrlPr>
              </m:sSubPr>
              <m:e>
                <m:r>
                  <m:rPr/>
                  <w:rPr>
                    <w:rFonts w:ascii="Cambria Math" w:hAnsi="Cambria Math" w:eastAsia="Aptos" w:cs="Times New Roman"/>
                    <w:lang w:bidi="en-US"/>
                  </w:rPr>
                  <m:t>β</m:t>
                </m:r>
                <m:ctrlPr>
                  <w:rPr>
                    <w:rFonts w:ascii="Cambria Math" w:hAnsi="Cambria Math" w:eastAsia="Aptos" w:cs="Times New Roman"/>
                    <w:i/>
                  </w:rPr>
                </m:ctrlPr>
              </m:e>
              <m:sub>
                <m:r>
                  <m:rPr/>
                  <w:rPr>
                    <w:rFonts w:ascii="Cambria Math" w:hAnsi="Cambria Math" w:eastAsia="Aptos" w:cs="Times New Roman"/>
                  </w:rPr>
                  <m:t>2</m:t>
                </m:r>
                <m:ctrlPr>
                  <w:rPr>
                    <w:rFonts w:ascii="Cambria Math" w:hAnsi="Cambria Math" w:eastAsia="Aptos" w:cs="Times New Roman"/>
                    <w:i/>
                  </w:rPr>
                </m:ctrlPr>
              </m:sub>
            </m:sSub>
            <m:ctrlPr>
              <w:rPr>
                <w:rFonts w:ascii="Cambria Math" w:hAnsi="Cambria Math" w:eastAsia="Aptos" w:cs="Times New Roman"/>
                <w:i/>
              </w:rPr>
            </m:ctrlPr>
          </m:e>
        </m:nary>
        <m:r>
          <m:rPr/>
          <w:rPr>
            <w:rFonts w:ascii="Cambria Math" w:hAnsi="Cambria Math" w:eastAsia="Aptos" w:cs="Times New Roman"/>
          </w:rPr>
          <m:t>Δ</m:t>
        </m:r>
        <m:sSub>
          <m:sSubPr>
            <m:ctrlPr>
              <w:rPr>
                <w:rFonts w:ascii="Cambria Math" w:hAnsi="Cambria Math" w:eastAsia="Aptos" w:cs="Times New Roman"/>
                <w:i/>
              </w:rPr>
            </m:ctrlPr>
          </m:sSubPr>
          <m:e>
            <m:r>
              <m:rPr/>
              <w:rPr>
                <w:rFonts w:ascii="Cambria Math" w:hAnsi="Cambria Math" w:eastAsia="Aptos" w:cs="Times New Roman"/>
              </w:rPr>
              <m:t>INF</m:t>
            </m:r>
            <m:ctrlPr>
              <w:rPr>
                <w:rFonts w:ascii="Cambria Math" w:hAnsi="Cambria Math" w:eastAsia="Aptos" w:cs="Times New Roman"/>
                <w:i/>
              </w:rPr>
            </m:ctrlPr>
          </m:e>
          <m:sub>
            <m:r>
              <m:rPr/>
              <w:rPr>
                <w:rFonts w:ascii="Cambria Math" w:hAnsi="Cambria Math" w:eastAsia="Aptos" w:cs="Times New Roman"/>
              </w:rPr>
              <m:t>t−i</m:t>
            </m:r>
            <m:ctrlPr>
              <w:rPr>
                <w:rFonts w:ascii="Cambria Math" w:hAnsi="Cambria Math" w:eastAsia="Aptos" w:cs="Times New Roman"/>
                <w:i/>
              </w:rPr>
            </m:ctrlPr>
          </m:sub>
        </m:sSub>
        <m:r>
          <m:rPr/>
          <w:rPr>
            <w:rFonts w:ascii="Cambria Math" w:hAnsi="Cambria Math" w:eastAsia="Aptos" w:cs="Times New Roman"/>
          </w:rPr>
          <m:t>+</m:t>
        </m:r>
        <m:nary>
          <m:naryPr>
            <m:chr m:val="∑"/>
            <m:limLoc m:val="undOvr"/>
            <m:ctrlPr>
              <w:rPr>
                <w:rFonts w:ascii="Cambria Math" w:hAnsi="Cambria Math" w:eastAsia="Aptos" w:cs="Times New Roman"/>
                <w:i/>
              </w:rPr>
            </m:ctrlPr>
          </m:naryPr>
          <m:sub>
            <m:r>
              <m:rPr/>
              <w:rPr>
                <w:rFonts w:ascii="Cambria Math" w:hAnsi="Cambria Math" w:eastAsia="Aptos" w:cs="Times New Roman"/>
              </w:rPr>
              <m:t>i=0</m:t>
            </m:r>
            <m:ctrlPr>
              <w:rPr>
                <w:rFonts w:ascii="Cambria Math" w:hAnsi="Cambria Math" w:eastAsia="Aptos" w:cs="Times New Roman"/>
                <w:i/>
              </w:rPr>
            </m:ctrlPr>
          </m:sub>
          <m:sup>
            <m:r>
              <m:rPr/>
              <w:rPr>
                <w:rFonts w:ascii="Cambria Math" w:hAnsi="Cambria Math" w:eastAsia="Aptos" w:cs="Times New Roman"/>
              </w:rPr>
              <m:t>n</m:t>
            </m:r>
            <m:ctrlPr>
              <w:rPr>
                <w:rFonts w:ascii="Cambria Math" w:hAnsi="Cambria Math" w:eastAsia="Aptos" w:cs="Times New Roman"/>
                <w:i/>
              </w:rPr>
            </m:ctrlPr>
          </m:sup>
          <m:e>
            <m:sSub>
              <m:sSubPr>
                <m:ctrlPr>
                  <w:rPr>
                    <w:rFonts w:ascii="Cambria Math" w:hAnsi="Cambria Math" w:eastAsia="Aptos" w:cs="Times New Roman"/>
                    <w:i/>
                  </w:rPr>
                </m:ctrlPr>
              </m:sSubPr>
              <m:e>
                <m:r>
                  <m:rPr/>
                  <w:rPr>
                    <w:rFonts w:ascii="Cambria Math" w:hAnsi="Cambria Math" w:eastAsia="Aptos" w:cs="Times New Roman"/>
                    <w:lang w:bidi="en-US"/>
                  </w:rPr>
                  <m:t>β</m:t>
                </m:r>
                <m:ctrlPr>
                  <w:rPr>
                    <w:rFonts w:ascii="Cambria Math" w:hAnsi="Cambria Math" w:eastAsia="Aptos" w:cs="Times New Roman"/>
                    <w:i/>
                  </w:rPr>
                </m:ctrlPr>
              </m:e>
              <m:sub>
                <m:r>
                  <m:rPr/>
                  <w:rPr>
                    <w:rFonts w:ascii="Cambria Math" w:hAnsi="Cambria Math" w:eastAsia="Aptos" w:cs="Times New Roman"/>
                  </w:rPr>
                  <m:t>3</m:t>
                </m:r>
                <m:ctrlPr>
                  <w:rPr>
                    <w:rFonts w:ascii="Cambria Math" w:hAnsi="Cambria Math" w:eastAsia="Aptos" w:cs="Times New Roman"/>
                    <w:i/>
                  </w:rPr>
                </m:ctrlPr>
              </m:sub>
            </m:sSub>
            <m:ctrlPr>
              <w:rPr>
                <w:rFonts w:ascii="Cambria Math" w:hAnsi="Cambria Math" w:eastAsia="Aptos" w:cs="Times New Roman"/>
                <w:i/>
              </w:rPr>
            </m:ctrlPr>
          </m:e>
        </m:nary>
        <m:r>
          <m:rPr/>
          <w:rPr>
            <w:rFonts w:ascii="Cambria Math" w:hAnsi="Cambria Math" w:eastAsia="Aptos" w:cs="Times New Roman"/>
          </w:rPr>
          <m:t>Δ</m:t>
        </m:r>
        <m:sSub>
          <m:sSubPr>
            <m:ctrlPr>
              <w:rPr>
                <w:rFonts w:ascii="Cambria Math" w:hAnsi="Cambria Math" w:eastAsia="Aptos" w:cs="Times New Roman"/>
                <w:i/>
              </w:rPr>
            </m:ctrlPr>
          </m:sSubPr>
          <m:e>
            <m:r>
              <m:rPr/>
              <w:rPr>
                <w:rFonts w:ascii="Cambria Math" w:hAnsi="Cambria Math" w:eastAsia="Aptos" w:cs="Times New Roman"/>
              </w:rPr>
              <m:t>EXR</m:t>
            </m:r>
            <m:ctrlPr>
              <w:rPr>
                <w:rFonts w:ascii="Cambria Math" w:hAnsi="Cambria Math" w:eastAsia="Aptos" w:cs="Times New Roman"/>
                <w:i/>
              </w:rPr>
            </m:ctrlPr>
          </m:e>
          <m:sub>
            <m:r>
              <m:rPr/>
              <w:rPr>
                <w:rFonts w:ascii="Cambria Math" w:hAnsi="Cambria Math" w:eastAsia="Aptos" w:cs="Times New Roman"/>
              </w:rPr>
              <m:t>t−i</m:t>
            </m:r>
            <m:ctrlPr>
              <w:rPr>
                <w:rFonts w:ascii="Cambria Math" w:hAnsi="Cambria Math" w:eastAsia="Aptos" w:cs="Times New Roman"/>
                <w:i/>
              </w:rPr>
            </m:ctrlPr>
          </m:sub>
        </m:sSub>
        <m:r>
          <m:rPr/>
          <w:rPr>
            <w:rFonts w:ascii="Cambria Math" w:hAnsi="Cambria Math" w:eastAsia="Aptos" w:cs="Times New Roman"/>
          </w:rPr>
          <m:t>+</m:t>
        </m:r>
        <m:nary>
          <m:naryPr>
            <m:chr m:val="∑"/>
            <m:limLoc m:val="undOvr"/>
            <m:ctrlPr>
              <w:rPr>
                <w:rFonts w:ascii="Cambria Math" w:hAnsi="Cambria Math" w:eastAsia="Aptos" w:cs="Times New Roman"/>
                <w:i/>
              </w:rPr>
            </m:ctrlPr>
          </m:naryPr>
          <m:sub>
            <m:r>
              <m:rPr/>
              <w:rPr>
                <w:rFonts w:ascii="Cambria Math" w:hAnsi="Cambria Math" w:eastAsia="Aptos" w:cs="Times New Roman"/>
              </w:rPr>
              <m:t>i=0</m:t>
            </m:r>
            <m:ctrlPr>
              <w:rPr>
                <w:rFonts w:ascii="Cambria Math" w:hAnsi="Cambria Math" w:eastAsia="Aptos" w:cs="Times New Roman"/>
                <w:i/>
              </w:rPr>
            </m:ctrlPr>
          </m:sub>
          <m:sup>
            <m:r>
              <m:rPr/>
              <w:rPr>
                <w:rFonts w:ascii="Cambria Math" w:hAnsi="Cambria Math" w:eastAsia="Aptos" w:cs="Times New Roman"/>
              </w:rPr>
              <m:t>n</m:t>
            </m:r>
            <m:ctrlPr>
              <w:rPr>
                <w:rFonts w:ascii="Cambria Math" w:hAnsi="Cambria Math" w:eastAsia="Aptos" w:cs="Times New Roman"/>
                <w:i/>
              </w:rPr>
            </m:ctrlPr>
          </m:sup>
          <m:e>
            <m:sSub>
              <m:sSubPr>
                <m:ctrlPr>
                  <w:rPr>
                    <w:rFonts w:ascii="Cambria Math" w:hAnsi="Cambria Math" w:eastAsia="Aptos" w:cs="Times New Roman"/>
                    <w:i/>
                  </w:rPr>
                </m:ctrlPr>
              </m:sSubPr>
              <m:e>
                <m:r>
                  <m:rPr/>
                  <w:rPr>
                    <w:rFonts w:ascii="Cambria Math" w:hAnsi="Cambria Math" w:eastAsia="Aptos" w:cs="Times New Roman"/>
                    <w:lang w:bidi="en-US"/>
                  </w:rPr>
                  <m:t>β</m:t>
                </m:r>
                <m:ctrlPr>
                  <w:rPr>
                    <w:rFonts w:ascii="Cambria Math" w:hAnsi="Cambria Math" w:eastAsia="Aptos" w:cs="Times New Roman"/>
                    <w:i/>
                  </w:rPr>
                </m:ctrlPr>
              </m:e>
              <m:sub>
                <m:r>
                  <m:rPr/>
                  <w:rPr>
                    <w:rFonts w:ascii="Cambria Math" w:hAnsi="Cambria Math" w:eastAsia="Aptos" w:cs="Times New Roman"/>
                  </w:rPr>
                  <m:t>4</m:t>
                </m:r>
                <m:ctrlPr>
                  <w:rPr>
                    <w:rFonts w:ascii="Cambria Math" w:hAnsi="Cambria Math" w:eastAsia="Aptos" w:cs="Times New Roman"/>
                    <w:i/>
                  </w:rPr>
                </m:ctrlPr>
              </m:sub>
            </m:sSub>
            <m:ctrlPr>
              <w:rPr>
                <w:rFonts w:ascii="Cambria Math" w:hAnsi="Cambria Math" w:eastAsia="Aptos" w:cs="Times New Roman"/>
                <w:i/>
              </w:rPr>
            </m:ctrlPr>
          </m:e>
        </m:nary>
        <m:r>
          <m:rPr/>
          <w:rPr>
            <w:rFonts w:ascii="Cambria Math" w:hAnsi="Cambria Math" w:eastAsia="Aptos" w:cs="Times New Roman"/>
          </w:rPr>
          <m:t>Δ</m:t>
        </m:r>
        <m:sSub>
          <m:sSubPr>
            <m:ctrlPr>
              <w:rPr>
                <w:rFonts w:ascii="Cambria Math" w:hAnsi="Cambria Math" w:eastAsia="Aptos" w:cs="Times New Roman"/>
                <w:i/>
              </w:rPr>
            </m:ctrlPr>
          </m:sSubPr>
          <m:e>
            <m:r>
              <m:rPr/>
              <w:rPr>
                <w:rFonts w:ascii="Cambria Math" w:hAnsi="Cambria Math" w:eastAsia="Aptos" w:cs="Times New Roman"/>
              </w:rPr>
              <m:t>OIL</m:t>
            </m:r>
            <m:ctrlPr>
              <w:rPr>
                <w:rFonts w:ascii="Cambria Math" w:hAnsi="Cambria Math" w:eastAsia="Aptos" w:cs="Times New Roman"/>
                <w:i/>
              </w:rPr>
            </m:ctrlPr>
          </m:e>
          <m:sub>
            <m:r>
              <m:rPr/>
              <w:rPr>
                <w:rFonts w:ascii="Cambria Math" w:hAnsi="Cambria Math" w:eastAsia="Aptos" w:cs="Times New Roman"/>
              </w:rPr>
              <m:t>t−i</m:t>
            </m:r>
            <m:ctrlPr>
              <w:rPr>
                <w:rFonts w:ascii="Cambria Math" w:hAnsi="Cambria Math" w:eastAsia="Aptos" w:cs="Times New Roman"/>
                <w:i/>
              </w:rPr>
            </m:ctrlPr>
          </m:sub>
        </m:sSub>
        <m:r>
          <m:rPr/>
          <w:rPr>
            <w:rFonts w:ascii="Cambria Math" w:hAnsi="Cambria Math" w:eastAsia="Aptos" w:cs="Times New Roman"/>
          </w:rPr>
          <m:t>+</m:t>
        </m:r>
        <m:nary>
          <m:naryPr>
            <m:chr m:val="∑"/>
            <m:limLoc m:val="undOvr"/>
            <m:ctrlPr>
              <w:rPr>
                <w:rFonts w:ascii="Cambria Math" w:hAnsi="Cambria Math" w:eastAsia="Aptos" w:cs="Times New Roman"/>
                <w:i/>
              </w:rPr>
            </m:ctrlPr>
          </m:naryPr>
          <m:sub>
            <m:r>
              <m:rPr/>
              <w:rPr>
                <w:rFonts w:ascii="Cambria Math" w:hAnsi="Cambria Math" w:eastAsia="Aptos" w:cs="Times New Roman"/>
              </w:rPr>
              <m:t>i=0</m:t>
            </m:r>
            <m:ctrlPr>
              <w:rPr>
                <w:rFonts w:ascii="Cambria Math" w:hAnsi="Cambria Math" w:eastAsia="Aptos" w:cs="Times New Roman"/>
                <w:i/>
              </w:rPr>
            </m:ctrlPr>
          </m:sub>
          <m:sup>
            <m:r>
              <m:rPr/>
              <w:rPr>
                <w:rFonts w:ascii="Cambria Math" w:hAnsi="Cambria Math" w:eastAsia="Aptos" w:cs="Times New Roman"/>
              </w:rPr>
              <m:t>n</m:t>
            </m:r>
            <m:ctrlPr>
              <w:rPr>
                <w:rFonts w:ascii="Cambria Math" w:hAnsi="Cambria Math" w:eastAsia="Aptos" w:cs="Times New Roman"/>
                <w:i/>
              </w:rPr>
            </m:ctrlPr>
          </m:sup>
          <m:e>
            <m:sSub>
              <m:sSubPr>
                <m:ctrlPr>
                  <w:rPr>
                    <w:rFonts w:ascii="Cambria Math" w:hAnsi="Cambria Math" w:eastAsia="Aptos" w:cs="Times New Roman"/>
                    <w:i/>
                  </w:rPr>
                </m:ctrlPr>
              </m:sSubPr>
              <m:e>
                <m:r>
                  <m:rPr/>
                  <w:rPr>
                    <w:rFonts w:ascii="Cambria Math" w:hAnsi="Cambria Math" w:eastAsia="Aptos" w:cs="Times New Roman"/>
                    <w:lang w:bidi="en-US"/>
                  </w:rPr>
                  <m:t>β</m:t>
                </m:r>
                <m:ctrlPr>
                  <w:rPr>
                    <w:rFonts w:ascii="Cambria Math" w:hAnsi="Cambria Math" w:eastAsia="Aptos" w:cs="Times New Roman"/>
                    <w:i/>
                  </w:rPr>
                </m:ctrlPr>
              </m:e>
              <m:sub>
                <m:r>
                  <m:rPr/>
                  <w:rPr>
                    <w:rFonts w:ascii="Cambria Math" w:hAnsi="Cambria Math" w:eastAsia="Aptos" w:cs="Times New Roman"/>
                  </w:rPr>
                  <m:t>5</m:t>
                </m:r>
                <m:ctrlPr>
                  <w:rPr>
                    <w:rFonts w:ascii="Cambria Math" w:hAnsi="Cambria Math" w:eastAsia="Aptos" w:cs="Times New Roman"/>
                    <w:i/>
                  </w:rPr>
                </m:ctrlPr>
              </m:sub>
            </m:sSub>
            <m:ctrlPr>
              <w:rPr>
                <w:rFonts w:ascii="Cambria Math" w:hAnsi="Cambria Math" w:eastAsia="Aptos" w:cs="Times New Roman"/>
                <w:i/>
              </w:rPr>
            </m:ctrlPr>
          </m:e>
        </m:nary>
        <m:r>
          <m:rPr/>
          <w:rPr>
            <w:rFonts w:ascii="Cambria Math" w:hAnsi="Cambria Math" w:eastAsia="Aptos" w:cs="Times New Roman"/>
          </w:rPr>
          <m:t>Δ</m:t>
        </m:r>
        <m:sSub>
          <m:sSubPr>
            <m:ctrlPr>
              <w:rPr>
                <w:rFonts w:ascii="Cambria Math" w:hAnsi="Cambria Math" w:eastAsia="Aptos" w:cs="Times New Roman"/>
                <w:i/>
              </w:rPr>
            </m:ctrlPr>
          </m:sSubPr>
          <m:e>
            <m:r>
              <m:rPr/>
              <w:rPr>
                <w:rFonts w:ascii="Cambria Math" w:hAnsi="Cambria Math" w:eastAsia="Aptos" w:cs="Times New Roman"/>
              </w:rPr>
              <m:t>CPS</m:t>
            </m:r>
            <m:ctrlPr>
              <w:rPr>
                <w:rFonts w:ascii="Cambria Math" w:hAnsi="Cambria Math" w:eastAsia="Aptos" w:cs="Times New Roman"/>
                <w:i/>
              </w:rPr>
            </m:ctrlPr>
          </m:e>
          <m:sub>
            <m:r>
              <m:rPr/>
              <w:rPr>
                <w:rFonts w:ascii="Cambria Math" w:hAnsi="Cambria Math" w:eastAsia="Aptos" w:cs="Times New Roman"/>
              </w:rPr>
              <m:t>t−i</m:t>
            </m:r>
            <m:ctrlPr>
              <w:rPr>
                <w:rFonts w:ascii="Cambria Math" w:hAnsi="Cambria Math" w:eastAsia="Aptos" w:cs="Times New Roman"/>
                <w:i/>
              </w:rPr>
            </m:ctrlPr>
          </m:sub>
        </m:sSub>
        <m:r>
          <m:rPr/>
          <w:rPr>
            <w:rFonts w:ascii="Cambria Math" w:hAnsi="Cambria Math" w:eastAsia="Aptos" w:cs="Times New Roman"/>
          </w:rPr>
          <m:t xml:space="preserve"> +</m:t>
        </m:r>
        <m:nary>
          <m:naryPr>
            <m:chr m:val="∑"/>
            <m:limLoc m:val="undOvr"/>
            <m:ctrlPr>
              <w:rPr>
                <w:rFonts w:ascii="Cambria Math" w:hAnsi="Cambria Math" w:eastAsia="Aptos" w:cs="Times New Roman"/>
                <w:i/>
              </w:rPr>
            </m:ctrlPr>
          </m:naryPr>
          <m:sub>
            <m:r>
              <m:rPr/>
              <w:rPr>
                <w:rFonts w:ascii="Cambria Math" w:hAnsi="Cambria Math" w:eastAsia="Aptos" w:cs="Times New Roman"/>
              </w:rPr>
              <m:t>i=0</m:t>
            </m:r>
            <m:ctrlPr>
              <w:rPr>
                <w:rFonts w:ascii="Cambria Math" w:hAnsi="Cambria Math" w:eastAsia="Aptos" w:cs="Times New Roman"/>
                <w:i/>
              </w:rPr>
            </m:ctrlPr>
          </m:sub>
          <m:sup>
            <m:r>
              <m:rPr/>
              <w:rPr>
                <w:rFonts w:ascii="Cambria Math" w:hAnsi="Cambria Math" w:eastAsia="Aptos" w:cs="Times New Roman"/>
              </w:rPr>
              <m:t>n</m:t>
            </m:r>
            <m:ctrlPr>
              <w:rPr>
                <w:rFonts w:ascii="Cambria Math" w:hAnsi="Cambria Math" w:eastAsia="Aptos" w:cs="Times New Roman"/>
                <w:i/>
              </w:rPr>
            </m:ctrlPr>
          </m:sup>
          <m:e>
            <m:sSub>
              <m:sSubPr>
                <m:ctrlPr>
                  <w:rPr>
                    <w:rFonts w:ascii="Cambria Math" w:hAnsi="Cambria Math" w:eastAsia="Aptos" w:cs="Times New Roman"/>
                    <w:i/>
                  </w:rPr>
                </m:ctrlPr>
              </m:sSubPr>
              <m:e>
                <m:r>
                  <m:rPr/>
                  <w:rPr>
                    <w:rFonts w:ascii="Cambria Math" w:hAnsi="Cambria Math" w:eastAsia="Aptos" w:cs="Times New Roman"/>
                    <w:lang w:bidi="en-US"/>
                  </w:rPr>
                  <m:t>β</m:t>
                </m:r>
                <m:ctrlPr>
                  <w:rPr>
                    <w:rFonts w:ascii="Cambria Math" w:hAnsi="Cambria Math" w:eastAsia="Aptos" w:cs="Times New Roman"/>
                    <w:i/>
                  </w:rPr>
                </m:ctrlPr>
              </m:e>
              <m:sub>
                <m:r>
                  <m:rPr/>
                  <w:rPr>
                    <w:rFonts w:ascii="Cambria Math" w:hAnsi="Cambria Math" w:eastAsia="Aptos" w:cs="Times New Roman"/>
                  </w:rPr>
                  <m:t>6</m:t>
                </m:r>
                <m:ctrlPr>
                  <w:rPr>
                    <w:rFonts w:ascii="Cambria Math" w:hAnsi="Cambria Math" w:eastAsia="Aptos" w:cs="Times New Roman"/>
                    <w:i/>
                  </w:rPr>
                </m:ctrlPr>
              </m:sub>
            </m:sSub>
            <m:ctrlPr>
              <w:rPr>
                <w:rFonts w:ascii="Cambria Math" w:hAnsi="Cambria Math" w:eastAsia="Aptos" w:cs="Times New Roman"/>
                <w:i/>
              </w:rPr>
            </m:ctrlPr>
          </m:e>
        </m:nary>
        <m:r>
          <m:rPr/>
          <w:rPr>
            <w:rFonts w:ascii="Cambria Math" w:hAnsi="Cambria Math" w:eastAsia="Aptos" w:cs="Times New Roman"/>
          </w:rPr>
          <m:t>Δ</m:t>
        </m:r>
        <m:sSub>
          <m:sSubPr>
            <m:ctrlPr>
              <w:rPr>
                <w:rFonts w:ascii="Cambria Math" w:hAnsi="Cambria Math" w:eastAsia="Aptos" w:cs="Times New Roman"/>
                <w:i/>
              </w:rPr>
            </m:ctrlPr>
          </m:sSubPr>
          <m:e>
            <m:r>
              <m:rPr/>
              <w:rPr>
                <w:rFonts w:ascii="Cambria Math" w:hAnsi="Cambria Math" w:eastAsia="Aptos" w:cs="Times New Roman"/>
              </w:rPr>
              <m:t>LR</m:t>
            </m:r>
            <m:ctrlPr>
              <w:rPr>
                <w:rFonts w:ascii="Cambria Math" w:hAnsi="Cambria Math" w:eastAsia="Aptos" w:cs="Times New Roman"/>
                <w:i/>
              </w:rPr>
            </m:ctrlPr>
          </m:e>
          <m:sub>
            <m:r>
              <m:rPr/>
              <w:rPr>
                <w:rFonts w:ascii="Cambria Math" w:hAnsi="Cambria Math" w:eastAsia="Aptos" w:cs="Times New Roman"/>
              </w:rPr>
              <m:t>t−i</m:t>
            </m:r>
            <m:ctrlPr>
              <w:rPr>
                <w:rFonts w:ascii="Cambria Math" w:hAnsi="Cambria Math" w:eastAsia="Aptos" w:cs="Times New Roman"/>
                <w:i/>
              </w:rPr>
            </m:ctrlPr>
          </m:sub>
        </m:sSub>
        <m:r>
          <m:rPr/>
          <w:rPr>
            <w:rFonts w:ascii="Cambria Math" w:hAnsi="Cambria Math" w:eastAsia="Aptos" w:cs="Times New Roman"/>
          </w:rPr>
          <m:t>+</m:t>
        </m:r>
        <m:sSub>
          <m:sSubPr>
            <m:ctrlPr>
              <w:rPr>
                <w:rFonts w:ascii="Cambria Math" w:hAnsi="Cambria Math" w:eastAsia="Aptos" w:cs="Times New Roman"/>
                <w:i/>
              </w:rPr>
            </m:ctrlPr>
          </m:sSubPr>
          <m:e>
            <m:r>
              <m:rPr/>
              <w:rPr>
                <w:rFonts w:ascii="Cambria Math" w:hAnsi="Cambria Math" w:eastAsia="Aptos" w:cs="Times New Roman"/>
                <w:lang w:bidi="en-US"/>
              </w:rPr>
              <m:t>π</m:t>
            </m:r>
            <m:ctrlPr>
              <w:rPr>
                <w:rFonts w:ascii="Cambria Math" w:hAnsi="Cambria Math" w:eastAsia="Aptos" w:cs="Times New Roman"/>
                <w:i/>
              </w:rPr>
            </m:ctrlPr>
          </m:e>
          <m:sub>
            <m:r>
              <m:rPr/>
              <w:rPr>
                <w:rFonts w:ascii="Cambria Math" w:hAnsi="Cambria Math" w:eastAsia="Aptos" w:cs="Times New Roman"/>
              </w:rPr>
              <m:t>1</m:t>
            </m:r>
            <m:ctrlPr>
              <w:rPr>
                <w:rFonts w:ascii="Cambria Math" w:hAnsi="Cambria Math" w:eastAsia="Aptos" w:cs="Times New Roman"/>
                <w:i/>
              </w:rPr>
            </m:ctrlPr>
          </m:sub>
        </m:sSub>
        <m:sSub>
          <m:sSubPr>
            <m:ctrlPr>
              <w:rPr>
                <w:rFonts w:ascii="Cambria Math" w:hAnsi="Cambria Math" w:eastAsia="Aptos" w:cs="Times New Roman"/>
                <w:i/>
              </w:rPr>
            </m:ctrlPr>
          </m:sSubPr>
          <m:e>
            <m:r>
              <m:rPr/>
              <w:rPr>
                <w:rFonts w:ascii="Cambria Math" w:hAnsi="Cambria Math" w:eastAsia="Aptos" w:cs="Times New Roman"/>
              </w:rPr>
              <m:t>ECT</m:t>
            </m:r>
            <m:ctrlPr>
              <w:rPr>
                <w:rFonts w:ascii="Cambria Math" w:hAnsi="Cambria Math" w:eastAsia="Aptos" w:cs="Times New Roman"/>
                <w:i/>
              </w:rPr>
            </m:ctrlPr>
          </m:e>
          <m:sub>
            <m:r>
              <m:rPr/>
              <w:rPr>
                <w:rFonts w:ascii="Cambria Math" w:hAnsi="Cambria Math" w:eastAsia="Aptos" w:cs="Times New Roman"/>
              </w:rPr>
              <m:t>t−1</m:t>
            </m:r>
            <m:ctrlPr>
              <w:rPr>
                <w:rFonts w:ascii="Cambria Math" w:hAnsi="Cambria Math" w:eastAsia="Aptos" w:cs="Times New Roman"/>
                <w:i/>
              </w:rPr>
            </m:ctrlPr>
          </m:sub>
        </m:sSub>
        <m:r>
          <m:rPr/>
          <w:rPr>
            <w:rFonts w:ascii="Cambria Math" w:hAnsi="Cambria Math" w:eastAsia="Aptos" w:cs="Times New Roman"/>
          </w:rPr>
          <m:t>+</m:t>
        </m:r>
        <m:sSub>
          <m:sSubPr>
            <m:ctrlPr>
              <w:rPr>
                <w:rFonts w:ascii="Cambria Math" w:hAnsi="Cambria Math" w:eastAsia="Aptos" w:cs="Times New Roman"/>
                <w:i/>
              </w:rPr>
            </m:ctrlPr>
          </m:sSubPr>
          <m:e>
            <m:r>
              <m:rPr/>
              <w:rPr>
                <w:rFonts w:ascii="Cambria Math" w:hAnsi="Cambria Math" w:eastAsia="Aptos" w:cs="Times New Roman"/>
              </w:rPr>
              <m:t>ε</m:t>
            </m:r>
            <m:ctrlPr>
              <w:rPr>
                <w:rFonts w:ascii="Cambria Math" w:hAnsi="Cambria Math" w:eastAsia="Aptos" w:cs="Times New Roman"/>
                <w:i/>
              </w:rPr>
            </m:ctrlPr>
          </m:e>
          <m:sub>
            <m:r>
              <m:rPr/>
              <w:rPr>
                <w:rFonts w:ascii="Cambria Math" w:hAnsi="Cambria Math" w:eastAsia="Aptos" w:cs="Times New Roman"/>
              </w:rPr>
              <m:t>1t</m:t>
            </m:r>
            <m:ctrlPr>
              <w:rPr>
                <w:rFonts w:ascii="Cambria Math" w:hAnsi="Cambria Math" w:eastAsia="Aptos" w:cs="Times New Roman"/>
                <w:i/>
              </w:rPr>
            </m:ctrlPr>
          </m:sub>
        </m:sSub>
      </m:oMath>
      <w:r>
        <w:rPr>
          <w:rFonts w:ascii="Times New Roman" w:hAnsi="Times New Roman" w:eastAsia="Times New Roman" w:cs="Times New Roman"/>
        </w:rPr>
        <w:t xml:space="preserve"> --------- (</w:t>
      </w:r>
      <w:r>
        <w:rPr>
          <w:rFonts w:ascii="Cambria Math" w:hAnsi="Cambria Math" w:eastAsia="Times New Roman" w:cs="Times New Roman"/>
          <w:b/>
          <w:i/>
          <w:lang w:val="en-US"/>
        </w:rPr>
        <w:t>eqn</w:t>
      </w:r>
      <w:r>
        <w:rPr>
          <w:rFonts w:ascii="Times New Roman" w:hAnsi="Times New Roman" w:eastAsia="Times New Roman" w:cs="Times New Roman"/>
        </w:rPr>
        <w:t>. 4)</w:t>
      </w:r>
    </w:p>
    <w:p w14:paraId="674945B7">
      <w:pPr>
        <w:spacing w:line="360" w:lineRule="auto"/>
        <w:jc w:val="both"/>
        <w:rPr>
          <w:rFonts w:ascii="Times New Roman" w:hAnsi="Times New Roman" w:eastAsia="Aptos" w:cs="Times New Roman"/>
        </w:rPr>
      </w:pPr>
      <w:r>
        <w:rPr>
          <w:rFonts w:ascii="Times New Roman" w:hAnsi="Times New Roman" w:eastAsia="Aptos" w:cs="Times New Roman"/>
          <w:bCs/>
        </w:rPr>
        <w:t xml:space="preserve">The ECM parameters have the same description of the ARDL parameters described in equation 1,  </w:t>
      </w:r>
      <m:oMath>
        <m:sSub>
          <m:sSubPr>
            <m:ctrlPr>
              <w:rPr>
                <w:rFonts w:ascii="Cambria Math" w:hAnsi="Cambria Math" w:eastAsia="Aptos" w:cs="Times New Roman"/>
                <w:i/>
              </w:rPr>
            </m:ctrlPr>
          </m:sSubPr>
          <m:e>
            <m:r>
              <m:rPr/>
              <w:rPr>
                <w:rFonts w:ascii="Cambria Math" w:hAnsi="Cambria Math" w:eastAsia="Aptos" w:cs="Times New Roman"/>
                <w:lang w:bidi="en-US"/>
              </w:rPr>
              <m:t>π</m:t>
            </m:r>
            <m:ctrlPr>
              <w:rPr>
                <w:rFonts w:ascii="Cambria Math" w:hAnsi="Cambria Math" w:eastAsia="Aptos" w:cs="Times New Roman"/>
                <w:i/>
              </w:rPr>
            </m:ctrlPr>
          </m:e>
          <m:sub>
            <m:r>
              <m:rPr/>
              <w:rPr>
                <w:rFonts w:ascii="Cambria Math" w:hAnsi="Cambria Math" w:eastAsia="Aptos" w:cs="Times New Roman"/>
              </w:rPr>
              <m:t>1</m:t>
            </m:r>
            <m:ctrlPr>
              <w:rPr>
                <w:rFonts w:ascii="Cambria Math" w:hAnsi="Cambria Math" w:eastAsia="Aptos" w:cs="Times New Roman"/>
                <w:i/>
              </w:rPr>
            </m:ctrlPr>
          </m:sub>
        </m:sSub>
        <m:sSub>
          <m:sSubPr>
            <m:ctrlPr>
              <w:rPr>
                <w:rFonts w:ascii="Cambria Math" w:hAnsi="Cambria Math" w:eastAsia="Aptos" w:cs="Times New Roman"/>
                <w:i/>
              </w:rPr>
            </m:ctrlPr>
          </m:sSubPr>
          <m:e>
            <m:r>
              <m:rPr/>
              <w:rPr>
                <w:rFonts w:ascii="Cambria Math" w:hAnsi="Cambria Math" w:eastAsia="Aptos" w:cs="Times New Roman"/>
              </w:rPr>
              <m:t>ECT</m:t>
            </m:r>
            <m:ctrlPr>
              <w:rPr>
                <w:rFonts w:ascii="Cambria Math" w:hAnsi="Cambria Math" w:eastAsia="Aptos" w:cs="Times New Roman"/>
                <w:i/>
              </w:rPr>
            </m:ctrlPr>
          </m:e>
          <m:sub>
            <m:r>
              <m:rPr/>
              <w:rPr>
                <w:rFonts w:ascii="Cambria Math" w:hAnsi="Cambria Math" w:eastAsia="Aptos" w:cs="Times New Roman"/>
              </w:rPr>
              <m:t>t−1</m:t>
            </m:r>
            <m:ctrlPr>
              <w:rPr>
                <w:rFonts w:ascii="Cambria Math" w:hAnsi="Cambria Math" w:eastAsia="Aptos" w:cs="Times New Roman"/>
                <w:i/>
              </w:rPr>
            </m:ctrlPr>
          </m:sub>
        </m:sSub>
        <m:r>
          <m:rPr/>
          <w:rPr>
            <w:rFonts w:ascii="Cambria Math" w:hAnsi="Cambria Math" w:eastAsia="Aptos" w:cs="Times New Roman"/>
          </w:rPr>
          <m:t xml:space="preserve"> </m:t>
        </m:r>
      </m:oMath>
      <w:r>
        <w:rPr>
          <w:rFonts w:ascii="Times New Roman" w:hAnsi="Times New Roman" w:eastAsia="Aptos" w:cs="Times New Roman"/>
        </w:rPr>
        <w:t>is the error correction term that measures the speed of adjustment.</w:t>
      </w:r>
    </w:p>
    <w:p w14:paraId="0BF7E905">
      <w:pPr>
        <w:spacing w:line="360" w:lineRule="auto"/>
        <w:jc w:val="center"/>
        <w:rPr>
          <w:rFonts w:ascii="Times New Roman" w:hAnsi="Times New Roman" w:cs="Times New Roman"/>
          <w:b/>
          <w:sz w:val="28"/>
          <w:szCs w:val="28"/>
        </w:rPr>
      </w:pPr>
      <w:bookmarkStart w:id="9" w:name="_Hlk196047856"/>
    </w:p>
    <w:bookmarkEnd w:id="9"/>
    <w:p w14:paraId="003772EF">
      <w:pPr>
        <w:spacing w:line="480" w:lineRule="auto"/>
        <w:rPr>
          <w:rFonts w:ascii="Times New Roman" w:hAnsi="Times New Roman" w:eastAsia="Aptos" w:cs="Times New Roman"/>
          <w:b/>
          <w:bCs/>
        </w:rPr>
      </w:pPr>
    </w:p>
    <w:p w14:paraId="2367DD5F">
      <w:pPr>
        <w:spacing w:line="480" w:lineRule="auto"/>
        <w:rPr>
          <w:rFonts w:ascii="Times New Roman" w:hAnsi="Times New Roman" w:eastAsia="Aptos" w:cs="Times New Roman"/>
          <w:b/>
          <w:bCs/>
        </w:rPr>
      </w:pPr>
      <w:r>
        <w:rPr>
          <w:rFonts w:ascii="Times New Roman" w:hAnsi="Times New Roman" w:eastAsia="Aptos" w:cs="Times New Roman"/>
          <w:b/>
          <w:bCs/>
        </w:rPr>
        <w:t>DATA PRESENTATION AND ANALYSIS</w:t>
      </w:r>
    </w:p>
    <w:p w14:paraId="2D62E319">
      <w:pPr>
        <w:autoSpaceDE w:val="0"/>
        <w:autoSpaceDN w:val="0"/>
        <w:adjustRightInd w:val="0"/>
        <w:spacing w:after="0" w:line="360" w:lineRule="auto"/>
        <w:rPr>
          <w:rFonts w:ascii="Times New Roman" w:hAnsi="Times New Roman" w:eastAsia="Aptos" w:cs="Times New Roman"/>
          <w:b/>
          <w:bCs/>
        </w:rPr>
      </w:pPr>
      <w:r>
        <w:rPr>
          <w:rFonts w:ascii="Times New Roman" w:hAnsi="Times New Roman" w:eastAsia="Aptos" w:cs="Times New Roman"/>
          <w:b/>
          <w:bCs/>
        </w:rPr>
        <w:t>Table 1: Descriptive Statistics with Original/Untransformed Data</w:t>
      </w:r>
    </w:p>
    <w:tbl>
      <w:tblPr>
        <w:tblStyle w:val="12"/>
        <w:tblW w:w="5000" w:type="pct"/>
        <w:tblInd w:w="0" w:type="dxa"/>
        <w:tblLayout w:type="autofit"/>
        <w:tblCellMar>
          <w:top w:w="0" w:type="dxa"/>
          <w:left w:w="108" w:type="dxa"/>
          <w:bottom w:w="0" w:type="dxa"/>
          <w:right w:w="108" w:type="dxa"/>
        </w:tblCellMar>
      </w:tblPr>
      <w:tblGrid>
        <w:gridCol w:w="1607"/>
        <w:gridCol w:w="1606"/>
        <w:gridCol w:w="1108"/>
        <w:gridCol w:w="1123"/>
        <w:gridCol w:w="1095"/>
        <w:gridCol w:w="1618"/>
        <w:gridCol w:w="1109"/>
      </w:tblGrid>
      <w:tr w14:paraId="1AD0A668">
        <w:tblPrEx>
          <w:tblCellMar>
            <w:top w:w="0" w:type="dxa"/>
            <w:left w:w="108" w:type="dxa"/>
            <w:bottom w:w="0" w:type="dxa"/>
            <w:right w:w="108" w:type="dxa"/>
          </w:tblCellMar>
        </w:tblPrEx>
        <w:trPr>
          <w:trHeight w:val="300" w:hRule="atLeast"/>
        </w:trPr>
        <w:tc>
          <w:tcPr>
            <w:tcW w:w="927" w:type="pct"/>
            <w:tcBorders>
              <w:top w:val="single" w:color="auto" w:sz="4" w:space="0"/>
              <w:bottom w:val="single" w:color="auto" w:sz="4" w:space="0"/>
            </w:tcBorders>
            <w:noWrap/>
            <w:vAlign w:val="bottom"/>
          </w:tcPr>
          <w:p w14:paraId="45AF0E33">
            <w:pPr>
              <w:spacing w:after="0" w:line="360" w:lineRule="auto"/>
              <w:jc w:val="right"/>
              <w:rPr>
                <w:rFonts w:ascii="Times New Roman" w:hAnsi="Times New Roman" w:eastAsia="Times New Roman" w:cs="Times New Roman"/>
                <w:color w:val="000000"/>
                <w:sz w:val="20"/>
                <w:szCs w:val="20"/>
                <w:lang w:eastAsia="en-GB"/>
              </w:rPr>
            </w:pPr>
          </w:p>
        </w:tc>
        <w:tc>
          <w:tcPr>
            <w:tcW w:w="658" w:type="pct"/>
            <w:tcBorders>
              <w:top w:val="single" w:color="auto" w:sz="4" w:space="0"/>
              <w:bottom w:val="single" w:color="auto" w:sz="4" w:space="0"/>
            </w:tcBorders>
            <w:noWrap/>
            <w:vAlign w:val="center"/>
          </w:tcPr>
          <w:p w14:paraId="67C08561">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IND (</w:t>
            </w:r>
            <w:r>
              <w:rPr>
                <w:rFonts w:ascii="Times New Roman" w:hAnsi="Times New Roman" w:eastAsia="Times New Roman" w:cs="Times New Roman"/>
                <w:b/>
                <w:bCs/>
                <w:strike/>
                <w:color w:val="000000"/>
                <w:sz w:val="20"/>
                <w:szCs w:val="20"/>
                <w:lang w:eastAsia="en-GB"/>
              </w:rPr>
              <w:t>N</w:t>
            </w:r>
            <w:r>
              <w:rPr>
                <w:rFonts w:ascii="Times New Roman" w:hAnsi="Times New Roman" w:eastAsia="Times New Roman" w:cs="Times New Roman"/>
                <w:b/>
                <w:bCs/>
                <w:color w:val="000000"/>
                <w:sz w:val="20"/>
                <w:szCs w:val="20"/>
                <w:lang w:eastAsia="en-GB"/>
              </w:rPr>
              <w:t xml:space="preserve"> Billions)</w:t>
            </w:r>
          </w:p>
        </w:tc>
        <w:tc>
          <w:tcPr>
            <w:tcW w:w="658" w:type="pct"/>
            <w:tcBorders>
              <w:top w:val="single" w:color="auto" w:sz="4" w:space="0"/>
              <w:bottom w:val="single" w:color="auto" w:sz="4" w:space="0"/>
            </w:tcBorders>
            <w:noWrap/>
            <w:vAlign w:val="center"/>
          </w:tcPr>
          <w:p w14:paraId="5FC9C5AF">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INF (%)</w:t>
            </w:r>
          </w:p>
        </w:tc>
        <w:tc>
          <w:tcPr>
            <w:tcW w:w="658" w:type="pct"/>
            <w:tcBorders>
              <w:top w:val="single" w:color="auto" w:sz="4" w:space="0"/>
              <w:bottom w:val="single" w:color="auto" w:sz="4" w:space="0"/>
            </w:tcBorders>
            <w:noWrap/>
            <w:vAlign w:val="center"/>
          </w:tcPr>
          <w:p w14:paraId="5AB1B68B">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EXR (</w:t>
            </w:r>
            <w:r>
              <w:rPr>
                <w:rFonts w:ascii="Times New Roman" w:hAnsi="Times New Roman" w:eastAsia="Times New Roman" w:cs="Times New Roman"/>
                <w:b/>
                <w:bCs/>
                <w:strike/>
                <w:color w:val="000000"/>
                <w:sz w:val="20"/>
                <w:szCs w:val="20"/>
                <w:lang w:eastAsia="en-GB"/>
              </w:rPr>
              <w:t>N</w:t>
            </w:r>
            <w:r>
              <w:rPr>
                <w:rFonts w:ascii="Times New Roman" w:hAnsi="Times New Roman" w:eastAsia="Times New Roman" w:cs="Times New Roman"/>
                <w:b/>
                <w:bCs/>
                <w:color w:val="000000"/>
                <w:sz w:val="20"/>
                <w:szCs w:val="20"/>
                <w:lang w:eastAsia="en-GB"/>
              </w:rPr>
              <w:t>/$)</w:t>
            </w:r>
          </w:p>
        </w:tc>
        <w:tc>
          <w:tcPr>
            <w:tcW w:w="658" w:type="pct"/>
            <w:tcBorders>
              <w:top w:val="single" w:color="auto" w:sz="4" w:space="0"/>
              <w:bottom w:val="single" w:color="auto" w:sz="4" w:space="0"/>
            </w:tcBorders>
            <w:noWrap/>
            <w:vAlign w:val="bottom"/>
          </w:tcPr>
          <w:p w14:paraId="6EB4E8E1">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Oil (US$)</w:t>
            </w:r>
          </w:p>
        </w:tc>
        <w:tc>
          <w:tcPr>
            <w:tcW w:w="783" w:type="pct"/>
            <w:tcBorders>
              <w:top w:val="single" w:color="auto" w:sz="4" w:space="0"/>
              <w:bottom w:val="single" w:color="auto" w:sz="4" w:space="0"/>
            </w:tcBorders>
            <w:noWrap/>
            <w:vAlign w:val="bottom"/>
          </w:tcPr>
          <w:p w14:paraId="2D56FFA4">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CPS (</w:t>
            </w:r>
            <w:r>
              <w:rPr>
                <w:rFonts w:ascii="Times New Roman" w:hAnsi="Times New Roman" w:eastAsia="Times New Roman" w:cs="Times New Roman"/>
                <w:b/>
                <w:bCs/>
                <w:strike/>
                <w:color w:val="000000"/>
                <w:sz w:val="20"/>
                <w:szCs w:val="20"/>
                <w:lang w:eastAsia="en-GB"/>
              </w:rPr>
              <w:t>N</w:t>
            </w:r>
            <w:r>
              <w:rPr>
                <w:rFonts w:ascii="Times New Roman" w:hAnsi="Times New Roman" w:eastAsia="Times New Roman" w:cs="Times New Roman"/>
                <w:b/>
                <w:bCs/>
                <w:color w:val="000000"/>
                <w:sz w:val="20"/>
                <w:szCs w:val="20"/>
                <w:lang w:eastAsia="en-GB"/>
              </w:rPr>
              <w:t xml:space="preserve"> Billions)</w:t>
            </w:r>
          </w:p>
        </w:tc>
        <w:tc>
          <w:tcPr>
            <w:tcW w:w="658" w:type="pct"/>
            <w:tcBorders>
              <w:top w:val="single" w:color="auto" w:sz="4" w:space="0"/>
              <w:bottom w:val="single" w:color="auto" w:sz="4" w:space="0"/>
            </w:tcBorders>
            <w:noWrap/>
            <w:vAlign w:val="bottom"/>
          </w:tcPr>
          <w:p w14:paraId="7D9A12D0">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LR (%)</w:t>
            </w:r>
          </w:p>
        </w:tc>
      </w:tr>
      <w:tr w14:paraId="6589CA0E">
        <w:tblPrEx>
          <w:tblCellMar>
            <w:top w:w="0" w:type="dxa"/>
            <w:left w:w="108" w:type="dxa"/>
            <w:bottom w:w="0" w:type="dxa"/>
            <w:right w:w="108" w:type="dxa"/>
          </w:tblCellMar>
        </w:tblPrEx>
        <w:trPr>
          <w:trHeight w:val="288" w:hRule="atLeast"/>
        </w:trPr>
        <w:tc>
          <w:tcPr>
            <w:tcW w:w="927" w:type="pct"/>
            <w:tcBorders>
              <w:top w:val="single" w:color="auto" w:sz="4" w:space="0"/>
            </w:tcBorders>
            <w:noWrap/>
            <w:vAlign w:val="bottom"/>
          </w:tcPr>
          <w:p w14:paraId="518CAC89">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 xml:space="preserve"> Mean</w:t>
            </w:r>
          </w:p>
        </w:tc>
        <w:tc>
          <w:tcPr>
            <w:tcW w:w="658" w:type="pct"/>
            <w:tcBorders>
              <w:top w:val="single" w:color="auto" w:sz="4" w:space="0"/>
            </w:tcBorders>
            <w:noWrap/>
            <w:vAlign w:val="bottom"/>
          </w:tcPr>
          <w:p w14:paraId="1CC3EBEC">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16.596</w:t>
            </w:r>
          </w:p>
        </w:tc>
        <w:tc>
          <w:tcPr>
            <w:tcW w:w="658" w:type="pct"/>
            <w:tcBorders>
              <w:top w:val="single" w:color="auto" w:sz="4" w:space="0"/>
            </w:tcBorders>
            <w:noWrap/>
            <w:vAlign w:val="bottom"/>
          </w:tcPr>
          <w:p w14:paraId="233E82A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19.079</w:t>
            </w:r>
          </w:p>
        </w:tc>
        <w:tc>
          <w:tcPr>
            <w:tcW w:w="658" w:type="pct"/>
            <w:tcBorders>
              <w:top w:val="single" w:color="auto" w:sz="4" w:space="0"/>
            </w:tcBorders>
            <w:noWrap/>
            <w:vAlign w:val="bottom"/>
          </w:tcPr>
          <w:p w14:paraId="3026B97A">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127.971</w:t>
            </w:r>
          </w:p>
        </w:tc>
        <w:tc>
          <w:tcPr>
            <w:tcW w:w="658" w:type="pct"/>
            <w:tcBorders>
              <w:top w:val="single" w:color="auto" w:sz="4" w:space="0"/>
            </w:tcBorders>
            <w:noWrap/>
            <w:vAlign w:val="bottom"/>
          </w:tcPr>
          <w:p w14:paraId="58A64660">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47.049</w:t>
            </w:r>
          </w:p>
        </w:tc>
        <w:tc>
          <w:tcPr>
            <w:tcW w:w="783" w:type="pct"/>
            <w:tcBorders>
              <w:top w:val="single" w:color="auto" w:sz="4" w:space="0"/>
            </w:tcBorders>
            <w:noWrap/>
            <w:vAlign w:val="bottom"/>
          </w:tcPr>
          <w:p w14:paraId="7DE6AE88">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6398.733</w:t>
            </w:r>
          </w:p>
        </w:tc>
        <w:tc>
          <w:tcPr>
            <w:tcW w:w="658" w:type="pct"/>
            <w:tcBorders>
              <w:top w:val="single" w:color="auto" w:sz="4" w:space="0"/>
            </w:tcBorders>
            <w:noWrap/>
            <w:vAlign w:val="bottom"/>
          </w:tcPr>
          <w:p w14:paraId="15C2998F">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16.831</w:t>
            </w:r>
          </w:p>
        </w:tc>
      </w:tr>
      <w:tr w14:paraId="403752CE">
        <w:tblPrEx>
          <w:tblCellMar>
            <w:top w:w="0" w:type="dxa"/>
            <w:left w:w="108" w:type="dxa"/>
            <w:bottom w:w="0" w:type="dxa"/>
            <w:right w:w="108" w:type="dxa"/>
          </w:tblCellMar>
        </w:tblPrEx>
        <w:trPr>
          <w:trHeight w:val="288" w:hRule="atLeast"/>
        </w:trPr>
        <w:tc>
          <w:tcPr>
            <w:tcW w:w="927" w:type="pct"/>
            <w:noWrap/>
            <w:vAlign w:val="bottom"/>
          </w:tcPr>
          <w:p w14:paraId="72196362">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 xml:space="preserve"> Median</w:t>
            </w:r>
          </w:p>
        </w:tc>
        <w:tc>
          <w:tcPr>
            <w:tcW w:w="658" w:type="pct"/>
            <w:noWrap/>
            <w:vAlign w:val="bottom"/>
          </w:tcPr>
          <w:p w14:paraId="5306A0CF">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14.624</w:t>
            </w:r>
          </w:p>
        </w:tc>
        <w:tc>
          <w:tcPr>
            <w:tcW w:w="658" w:type="pct"/>
            <w:noWrap/>
            <w:vAlign w:val="bottom"/>
          </w:tcPr>
          <w:p w14:paraId="405408E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13.007</w:t>
            </w:r>
          </w:p>
        </w:tc>
        <w:tc>
          <w:tcPr>
            <w:tcW w:w="658" w:type="pct"/>
            <w:noWrap/>
            <w:vAlign w:val="bottom"/>
          </w:tcPr>
          <w:p w14:paraId="72E7633B">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118.567</w:t>
            </w:r>
          </w:p>
        </w:tc>
        <w:tc>
          <w:tcPr>
            <w:tcW w:w="658" w:type="pct"/>
            <w:noWrap/>
            <w:vAlign w:val="bottom"/>
          </w:tcPr>
          <w:p w14:paraId="31D6C74B">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33.290</w:t>
            </w:r>
          </w:p>
        </w:tc>
        <w:tc>
          <w:tcPr>
            <w:tcW w:w="783" w:type="pct"/>
            <w:noWrap/>
            <w:vAlign w:val="bottom"/>
          </w:tcPr>
          <w:p w14:paraId="17A861A3">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948.464</w:t>
            </w:r>
          </w:p>
        </w:tc>
        <w:tc>
          <w:tcPr>
            <w:tcW w:w="658" w:type="pct"/>
            <w:noWrap/>
            <w:vAlign w:val="bottom"/>
          </w:tcPr>
          <w:p w14:paraId="31B6787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16.940</w:t>
            </w:r>
          </w:p>
        </w:tc>
      </w:tr>
      <w:tr w14:paraId="74F6A206">
        <w:tblPrEx>
          <w:tblCellMar>
            <w:top w:w="0" w:type="dxa"/>
            <w:left w:w="108" w:type="dxa"/>
            <w:bottom w:w="0" w:type="dxa"/>
            <w:right w:w="108" w:type="dxa"/>
          </w:tblCellMar>
        </w:tblPrEx>
        <w:trPr>
          <w:trHeight w:val="288" w:hRule="atLeast"/>
        </w:trPr>
        <w:tc>
          <w:tcPr>
            <w:tcW w:w="927" w:type="pct"/>
            <w:noWrap/>
            <w:vAlign w:val="bottom"/>
          </w:tcPr>
          <w:p w14:paraId="257074D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 xml:space="preserve"> Maximum</w:t>
            </w:r>
          </w:p>
        </w:tc>
        <w:tc>
          <w:tcPr>
            <w:tcW w:w="658" w:type="pct"/>
            <w:noWrap/>
            <w:vAlign w:val="bottom"/>
          </w:tcPr>
          <w:p w14:paraId="663E307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34.661</w:t>
            </w:r>
          </w:p>
        </w:tc>
        <w:tc>
          <w:tcPr>
            <w:tcW w:w="658" w:type="pct"/>
            <w:noWrap/>
            <w:vAlign w:val="bottom"/>
          </w:tcPr>
          <w:p w14:paraId="7AD559E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72.836</w:t>
            </w:r>
          </w:p>
        </w:tc>
        <w:tc>
          <w:tcPr>
            <w:tcW w:w="658" w:type="pct"/>
            <w:noWrap/>
            <w:vAlign w:val="bottom"/>
          </w:tcPr>
          <w:p w14:paraId="65E7FB77">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645.194</w:t>
            </w:r>
          </w:p>
        </w:tc>
        <w:tc>
          <w:tcPr>
            <w:tcW w:w="658" w:type="pct"/>
            <w:noWrap/>
            <w:vAlign w:val="bottom"/>
          </w:tcPr>
          <w:p w14:paraId="0FA6F5C0">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114.210</w:t>
            </w:r>
          </w:p>
        </w:tc>
        <w:tc>
          <w:tcPr>
            <w:tcW w:w="783" w:type="pct"/>
            <w:noWrap/>
            <w:vAlign w:val="bottom"/>
          </w:tcPr>
          <w:p w14:paraId="132E8159">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39293.150</w:t>
            </w:r>
          </w:p>
        </w:tc>
        <w:tc>
          <w:tcPr>
            <w:tcW w:w="658" w:type="pct"/>
            <w:noWrap/>
            <w:vAlign w:val="bottom"/>
          </w:tcPr>
          <w:p w14:paraId="7A24E874">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29.800</w:t>
            </w:r>
          </w:p>
        </w:tc>
      </w:tr>
      <w:tr w14:paraId="6B979290">
        <w:tblPrEx>
          <w:tblCellMar>
            <w:top w:w="0" w:type="dxa"/>
            <w:left w:w="108" w:type="dxa"/>
            <w:bottom w:w="0" w:type="dxa"/>
            <w:right w:w="108" w:type="dxa"/>
          </w:tblCellMar>
        </w:tblPrEx>
        <w:trPr>
          <w:trHeight w:val="288" w:hRule="atLeast"/>
        </w:trPr>
        <w:tc>
          <w:tcPr>
            <w:tcW w:w="927" w:type="pct"/>
            <w:noWrap/>
            <w:vAlign w:val="bottom"/>
          </w:tcPr>
          <w:p w14:paraId="34B2B1FF">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 xml:space="preserve"> Minimum</w:t>
            </w:r>
          </w:p>
        </w:tc>
        <w:tc>
          <w:tcPr>
            <w:tcW w:w="658" w:type="pct"/>
            <w:noWrap/>
            <w:vAlign w:val="bottom"/>
          </w:tcPr>
          <w:p w14:paraId="46635A2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9.931</w:t>
            </w:r>
          </w:p>
        </w:tc>
        <w:tc>
          <w:tcPr>
            <w:tcW w:w="658" w:type="pct"/>
            <w:noWrap/>
            <w:vAlign w:val="bottom"/>
          </w:tcPr>
          <w:p w14:paraId="6C8768A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5.388</w:t>
            </w:r>
          </w:p>
        </w:tc>
        <w:tc>
          <w:tcPr>
            <w:tcW w:w="658" w:type="pct"/>
            <w:noWrap/>
            <w:vAlign w:val="bottom"/>
          </w:tcPr>
          <w:p w14:paraId="21C7D07A">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0.618</w:t>
            </w:r>
          </w:p>
        </w:tc>
        <w:tc>
          <w:tcPr>
            <w:tcW w:w="658" w:type="pct"/>
            <w:noWrap/>
            <w:vAlign w:val="bottom"/>
          </w:tcPr>
          <w:p w14:paraId="09959624">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12.630</w:t>
            </w:r>
          </w:p>
        </w:tc>
        <w:tc>
          <w:tcPr>
            <w:tcW w:w="783" w:type="pct"/>
            <w:noWrap/>
            <w:vAlign w:val="bottom"/>
          </w:tcPr>
          <w:p w14:paraId="4AAD90EF">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75.456</w:t>
            </w:r>
          </w:p>
        </w:tc>
        <w:tc>
          <w:tcPr>
            <w:tcW w:w="658" w:type="pct"/>
            <w:noWrap/>
            <w:vAlign w:val="bottom"/>
          </w:tcPr>
          <w:p w14:paraId="7F9E00F4">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8.900</w:t>
            </w:r>
          </w:p>
        </w:tc>
      </w:tr>
      <w:tr w14:paraId="3F37DB9F">
        <w:tblPrEx>
          <w:tblCellMar>
            <w:top w:w="0" w:type="dxa"/>
            <w:left w:w="108" w:type="dxa"/>
            <w:bottom w:w="0" w:type="dxa"/>
            <w:right w:w="108" w:type="dxa"/>
          </w:tblCellMar>
        </w:tblPrEx>
        <w:trPr>
          <w:trHeight w:val="288" w:hRule="atLeast"/>
        </w:trPr>
        <w:tc>
          <w:tcPr>
            <w:tcW w:w="927" w:type="pct"/>
            <w:noWrap/>
            <w:vAlign w:val="bottom"/>
          </w:tcPr>
          <w:p w14:paraId="30DE9D5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 xml:space="preserve"> Std. Dev.</w:t>
            </w:r>
          </w:p>
        </w:tc>
        <w:tc>
          <w:tcPr>
            <w:tcW w:w="658" w:type="pct"/>
            <w:noWrap/>
            <w:vAlign w:val="bottom"/>
          </w:tcPr>
          <w:p w14:paraId="674601C4">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5.766</w:t>
            </w:r>
          </w:p>
        </w:tc>
        <w:tc>
          <w:tcPr>
            <w:tcW w:w="658" w:type="pct"/>
            <w:noWrap/>
            <w:vAlign w:val="bottom"/>
          </w:tcPr>
          <w:p w14:paraId="03BEB823">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16.281</w:t>
            </w:r>
          </w:p>
        </w:tc>
        <w:tc>
          <w:tcPr>
            <w:tcW w:w="658" w:type="pct"/>
            <w:noWrap/>
            <w:vAlign w:val="bottom"/>
          </w:tcPr>
          <w:p w14:paraId="46AADAD3">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142.785</w:t>
            </w:r>
          </w:p>
        </w:tc>
        <w:tc>
          <w:tcPr>
            <w:tcW w:w="658" w:type="pct"/>
            <w:noWrap/>
            <w:vAlign w:val="bottom"/>
          </w:tcPr>
          <w:p w14:paraId="2399AEC4">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31.875</w:t>
            </w:r>
          </w:p>
        </w:tc>
        <w:tc>
          <w:tcPr>
            <w:tcW w:w="783" w:type="pct"/>
            <w:noWrap/>
            <w:vAlign w:val="bottom"/>
          </w:tcPr>
          <w:p w14:paraId="59D24E13">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8991.024</w:t>
            </w:r>
          </w:p>
        </w:tc>
        <w:tc>
          <w:tcPr>
            <w:tcW w:w="658" w:type="pct"/>
            <w:noWrap/>
            <w:vAlign w:val="bottom"/>
          </w:tcPr>
          <w:p w14:paraId="740A0392">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4.463</w:t>
            </w:r>
          </w:p>
        </w:tc>
      </w:tr>
      <w:tr w14:paraId="29B0F992">
        <w:tblPrEx>
          <w:tblCellMar>
            <w:top w:w="0" w:type="dxa"/>
            <w:left w:w="108" w:type="dxa"/>
            <w:bottom w:w="0" w:type="dxa"/>
            <w:right w:w="108" w:type="dxa"/>
          </w:tblCellMar>
        </w:tblPrEx>
        <w:trPr>
          <w:trHeight w:val="288" w:hRule="atLeast"/>
        </w:trPr>
        <w:tc>
          <w:tcPr>
            <w:tcW w:w="927" w:type="pct"/>
            <w:noWrap/>
            <w:vAlign w:val="bottom"/>
          </w:tcPr>
          <w:p w14:paraId="5CF125AC">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 xml:space="preserve"> Skewness</w:t>
            </w:r>
          </w:p>
        </w:tc>
        <w:tc>
          <w:tcPr>
            <w:tcW w:w="658" w:type="pct"/>
            <w:noWrap/>
            <w:vAlign w:val="bottom"/>
          </w:tcPr>
          <w:p w14:paraId="2A3F193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1.259</w:t>
            </w:r>
          </w:p>
        </w:tc>
        <w:tc>
          <w:tcPr>
            <w:tcW w:w="658" w:type="pct"/>
            <w:noWrap/>
            <w:vAlign w:val="bottom"/>
          </w:tcPr>
          <w:p w14:paraId="51B6413F">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1.867</w:t>
            </w:r>
          </w:p>
        </w:tc>
        <w:tc>
          <w:tcPr>
            <w:tcW w:w="658" w:type="pct"/>
            <w:noWrap/>
            <w:vAlign w:val="bottom"/>
          </w:tcPr>
          <w:p w14:paraId="57F1DC8F">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1.548</w:t>
            </w:r>
          </w:p>
        </w:tc>
        <w:tc>
          <w:tcPr>
            <w:tcW w:w="658" w:type="pct"/>
            <w:noWrap/>
            <w:vAlign w:val="bottom"/>
          </w:tcPr>
          <w:p w14:paraId="74A74F82">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0.816</w:t>
            </w:r>
          </w:p>
        </w:tc>
        <w:tc>
          <w:tcPr>
            <w:tcW w:w="783" w:type="pct"/>
            <w:noWrap/>
            <w:vAlign w:val="bottom"/>
          </w:tcPr>
          <w:p w14:paraId="51A22E34">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1.624</w:t>
            </w:r>
          </w:p>
        </w:tc>
        <w:tc>
          <w:tcPr>
            <w:tcW w:w="658" w:type="pct"/>
            <w:noWrap/>
            <w:vAlign w:val="bottom"/>
          </w:tcPr>
          <w:p w14:paraId="55D3640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0.287</w:t>
            </w:r>
          </w:p>
        </w:tc>
      </w:tr>
      <w:tr w14:paraId="07F0B4F0">
        <w:tblPrEx>
          <w:tblCellMar>
            <w:top w:w="0" w:type="dxa"/>
            <w:left w:w="108" w:type="dxa"/>
            <w:bottom w:w="0" w:type="dxa"/>
            <w:right w:w="108" w:type="dxa"/>
          </w:tblCellMar>
        </w:tblPrEx>
        <w:trPr>
          <w:trHeight w:val="288" w:hRule="atLeast"/>
        </w:trPr>
        <w:tc>
          <w:tcPr>
            <w:tcW w:w="927" w:type="pct"/>
            <w:noWrap/>
            <w:vAlign w:val="bottom"/>
          </w:tcPr>
          <w:p w14:paraId="0563232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 xml:space="preserve"> Kurtosis</w:t>
            </w:r>
          </w:p>
        </w:tc>
        <w:tc>
          <w:tcPr>
            <w:tcW w:w="658" w:type="pct"/>
            <w:noWrap/>
            <w:vAlign w:val="bottom"/>
          </w:tcPr>
          <w:p w14:paraId="4747F26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4.163</w:t>
            </w:r>
          </w:p>
        </w:tc>
        <w:tc>
          <w:tcPr>
            <w:tcW w:w="658" w:type="pct"/>
            <w:noWrap/>
            <w:vAlign w:val="bottom"/>
          </w:tcPr>
          <w:p w14:paraId="2E2AF01F">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5.473</w:t>
            </w:r>
          </w:p>
        </w:tc>
        <w:tc>
          <w:tcPr>
            <w:tcW w:w="658" w:type="pct"/>
            <w:noWrap/>
            <w:vAlign w:val="bottom"/>
          </w:tcPr>
          <w:p w14:paraId="404AB086">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5.555</w:t>
            </w:r>
          </w:p>
        </w:tc>
        <w:tc>
          <w:tcPr>
            <w:tcW w:w="658" w:type="pct"/>
            <w:noWrap/>
            <w:vAlign w:val="bottom"/>
          </w:tcPr>
          <w:p w14:paraId="0C62E7AA">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2.370</w:t>
            </w:r>
          </w:p>
        </w:tc>
        <w:tc>
          <w:tcPr>
            <w:tcW w:w="783" w:type="pct"/>
            <w:noWrap/>
            <w:vAlign w:val="bottom"/>
          </w:tcPr>
          <w:p w14:paraId="495E1636">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5.584</w:t>
            </w:r>
          </w:p>
        </w:tc>
        <w:tc>
          <w:tcPr>
            <w:tcW w:w="658" w:type="pct"/>
            <w:noWrap/>
            <w:vAlign w:val="bottom"/>
          </w:tcPr>
          <w:p w14:paraId="3986EAF6">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3.511</w:t>
            </w:r>
          </w:p>
        </w:tc>
      </w:tr>
      <w:tr w14:paraId="745EF3D9">
        <w:tblPrEx>
          <w:tblCellMar>
            <w:top w:w="0" w:type="dxa"/>
            <w:left w:w="108" w:type="dxa"/>
            <w:bottom w:w="0" w:type="dxa"/>
            <w:right w:w="108" w:type="dxa"/>
          </w:tblCellMar>
        </w:tblPrEx>
        <w:trPr>
          <w:trHeight w:val="288" w:hRule="atLeast"/>
        </w:trPr>
        <w:tc>
          <w:tcPr>
            <w:tcW w:w="927" w:type="pct"/>
            <w:noWrap/>
            <w:vAlign w:val="bottom"/>
          </w:tcPr>
          <w:p w14:paraId="385A1F4C">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 xml:space="preserve"> Jarque-Bera</w:t>
            </w:r>
          </w:p>
        </w:tc>
        <w:tc>
          <w:tcPr>
            <w:tcW w:w="658" w:type="pct"/>
            <w:noWrap/>
            <w:vAlign w:val="bottom"/>
          </w:tcPr>
          <w:p w14:paraId="746F84B7">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13.792</w:t>
            </w:r>
          </w:p>
        </w:tc>
        <w:tc>
          <w:tcPr>
            <w:tcW w:w="658" w:type="pct"/>
            <w:noWrap/>
            <w:vAlign w:val="bottom"/>
          </w:tcPr>
          <w:p w14:paraId="75436613">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35.949</w:t>
            </w:r>
          </w:p>
        </w:tc>
        <w:tc>
          <w:tcPr>
            <w:tcW w:w="658" w:type="pct"/>
            <w:noWrap/>
            <w:vAlign w:val="bottom"/>
          </w:tcPr>
          <w:p w14:paraId="35AFE203">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28.877</w:t>
            </w:r>
          </w:p>
        </w:tc>
        <w:tc>
          <w:tcPr>
            <w:tcW w:w="658" w:type="pct"/>
            <w:noWrap/>
            <w:vAlign w:val="bottom"/>
          </w:tcPr>
          <w:p w14:paraId="377E515A">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5.486</w:t>
            </w:r>
          </w:p>
        </w:tc>
        <w:tc>
          <w:tcPr>
            <w:tcW w:w="783" w:type="pct"/>
            <w:noWrap/>
            <w:vAlign w:val="bottom"/>
          </w:tcPr>
          <w:p w14:paraId="0403AF62">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30.878</w:t>
            </w:r>
          </w:p>
        </w:tc>
        <w:tc>
          <w:tcPr>
            <w:tcW w:w="658" w:type="pct"/>
            <w:noWrap/>
            <w:vAlign w:val="bottom"/>
          </w:tcPr>
          <w:p w14:paraId="1C6BF33C">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1.059</w:t>
            </w:r>
          </w:p>
        </w:tc>
      </w:tr>
      <w:tr w14:paraId="15BEEDC8">
        <w:tblPrEx>
          <w:tblCellMar>
            <w:top w:w="0" w:type="dxa"/>
            <w:left w:w="108" w:type="dxa"/>
            <w:bottom w:w="0" w:type="dxa"/>
            <w:right w:w="108" w:type="dxa"/>
          </w:tblCellMar>
        </w:tblPrEx>
        <w:trPr>
          <w:trHeight w:val="288" w:hRule="atLeast"/>
        </w:trPr>
        <w:tc>
          <w:tcPr>
            <w:tcW w:w="927" w:type="pct"/>
            <w:noWrap/>
            <w:vAlign w:val="bottom"/>
          </w:tcPr>
          <w:p w14:paraId="79BDCEBB">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 xml:space="preserve"> Probability</w:t>
            </w:r>
          </w:p>
        </w:tc>
        <w:tc>
          <w:tcPr>
            <w:tcW w:w="658" w:type="pct"/>
            <w:noWrap/>
            <w:vAlign w:val="bottom"/>
          </w:tcPr>
          <w:p w14:paraId="01B0C25D">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0.001</w:t>
            </w:r>
          </w:p>
        </w:tc>
        <w:tc>
          <w:tcPr>
            <w:tcW w:w="658" w:type="pct"/>
            <w:noWrap/>
            <w:vAlign w:val="bottom"/>
          </w:tcPr>
          <w:p w14:paraId="751D28F2">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0.000</w:t>
            </w:r>
          </w:p>
        </w:tc>
        <w:tc>
          <w:tcPr>
            <w:tcW w:w="658" w:type="pct"/>
            <w:noWrap/>
            <w:vAlign w:val="bottom"/>
          </w:tcPr>
          <w:p w14:paraId="7AB8D0D6">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0.000</w:t>
            </w:r>
          </w:p>
        </w:tc>
        <w:tc>
          <w:tcPr>
            <w:tcW w:w="658" w:type="pct"/>
            <w:noWrap/>
            <w:vAlign w:val="bottom"/>
          </w:tcPr>
          <w:p w14:paraId="1F309B8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0.064</w:t>
            </w:r>
          </w:p>
        </w:tc>
        <w:tc>
          <w:tcPr>
            <w:tcW w:w="783" w:type="pct"/>
            <w:noWrap/>
            <w:vAlign w:val="bottom"/>
          </w:tcPr>
          <w:p w14:paraId="26CA5DC9">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0.000</w:t>
            </w:r>
          </w:p>
        </w:tc>
        <w:tc>
          <w:tcPr>
            <w:tcW w:w="658" w:type="pct"/>
            <w:noWrap/>
            <w:vAlign w:val="bottom"/>
          </w:tcPr>
          <w:p w14:paraId="3C7CAB28">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0.589</w:t>
            </w:r>
          </w:p>
        </w:tc>
      </w:tr>
      <w:tr w14:paraId="0E70990D">
        <w:tblPrEx>
          <w:tblCellMar>
            <w:top w:w="0" w:type="dxa"/>
            <w:left w:w="108" w:type="dxa"/>
            <w:bottom w:w="0" w:type="dxa"/>
            <w:right w:w="108" w:type="dxa"/>
          </w:tblCellMar>
        </w:tblPrEx>
        <w:trPr>
          <w:trHeight w:val="288" w:hRule="atLeast"/>
        </w:trPr>
        <w:tc>
          <w:tcPr>
            <w:tcW w:w="927" w:type="pct"/>
            <w:tcBorders>
              <w:bottom w:val="single" w:color="auto" w:sz="4" w:space="0"/>
            </w:tcBorders>
            <w:noWrap/>
            <w:vAlign w:val="bottom"/>
          </w:tcPr>
          <w:p w14:paraId="58B4D9BC">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 xml:space="preserve"> Observations</w:t>
            </w:r>
          </w:p>
        </w:tc>
        <w:tc>
          <w:tcPr>
            <w:tcW w:w="658" w:type="pct"/>
            <w:tcBorders>
              <w:bottom w:val="single" w:color="auto" w:sz="4" w:space="0"/>
            </w:tcBorders>
            <w:noWrap/>
            <w:vAlign w:val="bottom"/>
          </w:tcPr>
          <w:p w14:paraId="2D11F776">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43</w:t>
            </w:r>
          </w:p>
        </w:tc>
        <w:tc>
          <w:tcPr>
            <w:tcW w:w="658" w:type="pct"/>
            <w:tcBorders>
              <w:bottom w:val="single" w:color="auto" w:sz="4" w:space="0"/>
            </w:tcBorders>
            <w:noWrap/>
            <w:vAlign w:val="bottom"/>
          </w:tcPr>
          <w:p w14:paraId="254F2E8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43</w:t>
            </w:r>
          </w:p>
        </w:tc>
        <w:tc>
          <w:tcPr>
            <w:tcW w:w="658" w:type="pct"/>
            <w:tcBorders>
              <w:bottom w:val="single" w:color="auto" w:sz="4" w:space="0"/>
            </w:tcBorders>
            <w:noWrap/>
            <w:vAlign w:val="bottom"/>
          </w:tcPr>
          <w:p w14:paraId="69B7CD06">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43</w:t>
            </w:r>
          </w:p>
        </w:tc>
        <w:tc>
          <w:tcPr>
            <w:tcW w:w="658" w:type="pct"/>
            <w:tcBorders>
              <w:bottom w:val="single" w:color="auto" w:sz="4" w:space="0"/>
            </w:tcBorders>
            <w:noWrap/>
            <w:vAlign w:val="bottom"/>
          </w:tcPr>
          <w:p w14:paraId="4B4147E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43</w:t>
            </w:r>
          </w:p>
        </w:tc>
        <w:tc>
          <w:tcPr>
            <w:tcW w:w="783" w:type="pct"/>
            <w:tcBorders>
              <w:bottom w:val="single" w:color="auto" w:sz="4" w:space="0"/>
            </w:tcBorders>
            <w:noWrap/>
            <w:vAlign w:val="bottom"/>
          </w:tcPr>
          <w:p w14:paraId="22714CC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43</w:t>
            </w:r>
          </w:p>
        </w:tc>
        <w:tc>
          <w:tcPr>
            <w:tcW w:w="658" w:type="pct"/>
            <w:tcBorders>
              <w:bottom w:val="single" w:color="auto" w:sz="4" w:space="0"/>
            </w:tcBorders>
            <w:noWrap/>
            <w:vAlign w:val="bottom"/>
          </w:tcPr>
          <w:p w14:paraId="6F9A530A">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43</w:t>
            </w:r>
          </w:p>
        </w:tc>
      </w:tr>
    </w:tbl>
    <w:p w14:paraId="10AC494A">
      <w:pPr>
        <w:spacing w:line="360" w:lineRule="auto"/>
        <w:jc w:val="both"/>
        <w:rPr>
          <w:rFonts w:ascii="Times New Roman" w:hAnsi="Times New Roman" w:eastAsia="Aptos" w:cs="Times New Roman"/>
          <w:b/>
          <w:bCs/>
          <w:sz w:val="20"/>
          <w:szCs w:val="20"/>
        </w:rPr>
      </w:pPr>
      <w:r>
        <w:rPr>
          <w:rFonts w:ascii="Times New Roman" w:hAnsi="Times New Roman" w:eastAsia="Aptos" w:cs="Times New Roman"/>
          <w:b/>
          <w:bCs/>
          <w:i/>
          <w:iCs/>
          <w:sz w:val="20"/>
          <w:szCs w:val="20"/>
        </w:rPr>
        <w:t xml:space="preserve">Source: </w:t>
      </w:r>
      <w:r>
        <w:rPr>
          <w:rFonts w:ascii="Times New Roman" w:hAnsi="Times New Roman" w:eastAsia="Aptos" w:cs="Times New Roman"/>
          <w:i/>
          <w:iCs/>
          <w:sz w:val="20"/>
          <w:szCs w:val="20"/>
        </w:rPr>
        <w:t>Researcher’s computation, (2025).</w:t>
      </w:r>
    </w:p>
    <w:p w14:paraId="40B8D861">
      <w:pPr>
        <w:spacing w:line="360" w:lineRule="auto"/>
        <w:jc w:val="both"/>
        <w:rPr>
          <w:rFonts w:ascii="Times New Roman" w:hAnsi="Times New Roman" w:eastAsia="Aptos" w:cs="Times New Roman"/>
        </w:rPr>
      </w:pPr>
      <w:r>
        <w:rPr>
          <w:rFonts w:ascii="Times New Roman" w:hAnsi="Times New Roman" w:eastAsia="Aptos" w:cs="Times New Roman"/>
        </w:rPr>
        <w:t>The statistical distribution of these macroeconomic indicators especially inflation, exchange rate, and credit highlights a macroeconomic environment that is highly volatile, risk-prone, and often unfriendly to industrial development. Non-normality in key variables indicates the presence of frequent economic shocks, policy inconsistencies, and structural weaknesses, all of which contribute to the sustained decline of Nigeria’s industrial sector.</w:t>
      </w:r>
    </w:p>
    <w:p w14:paraId="26868B4F">
      <w:pPr>
        <w:spacing w:line="360" w:lineRule="auto"/>
        <w:jc w:val="both"/>
        <w:rPr>
          <w:rFonts w:ascii="Times New Roman" w:hAnsi="Times New Roman" w:eastAsia="Aptos" w:cs="Times New Roman"/>
          <w:b/>
          <w:bCs/>
        </w:rPr>
      </w:pPr>
      <w:r>
        <w:rPr>
          <w:rFonts w:ascii="Times New Roman" w:hAnsi="Times New Roman" w:eastAsia="Aptos" w:cs="Times New Roman"/>
          <w:b/>
          <w:bCs/>
        </w:rPr>
        <w:t>Table 2: Unit root test</w:t>
      </w:r>
    </w:p>
    <w:tbl>
      <w:tblPr>
        <w:tblStyle w:val="12"/>
        <w:tblW w:w="5000" w:type="pct"/>
        <w:tblInd w:w="0" w:type="dxa"/>
        <w:tblLayout w:type="autofit"/>
        <w:tblCellMar>
          <w:top w:w="0" w:type="dxa"/>
          <w:left w:w="108" w:type="dxa"/>
          <w:bottom w:w="0" w:type="dxa"/>
          <w:right w:w="108" w:type="dxa"/>
        </w:tblCellMar>
      </w:tblPr>
      <w:tblGrid>
        <w:gridCol w:w="2383"/>
        <w:gridCol w:w="1147"/>
        <w:gridCol w:w="1260"/>
        <w:gridCol w:w="1147"/>
        <w:gridCol w:w="1147"/>
        <w:gridCol w:w="1034"/>
        <w:gridCol w:w="1148"/>
      </w:tblGrid>
      <w:tr w14:paraId="1E5C0F7F">
        <w:tblPrEx>
          <w:tblCellMar>
            <w:top w:w="0" w:type="dxa"/>
            <w:left w:w="108" w:type="dxa"/>
            <w:bottom w:w="0" w:type="dxa"/>
            <w:right w:w="108" w:type="dxa"/>
          </w:tblCellMar>
        </w:tblPrEx>
        <w:trPr>
          <w:trHeight w:val="288" w:hRule="atLeast"/>
        </w:trPr>
        <w:tc>
          <w:tcPr>
            <w:tcW w:w="5000" w:type="pct"/>
            <w:gridSpan w:val="7"/>
            <w:tcBorders>
              <w:top w:val="single" w:color="auto" w:sz="4" w:space="0"/>
              <w:bottom w:val="single" w:color="auto" w:sz="4" w:space="0"/>
            </w:tcBorders>
            <w:noWrap/>
            <w:vAlign w:val="bottom"/>
          </w:tcPr>
          <w:p w14:paraId="585A6185">
            <w:pPr>
              <w:spacing w:after="0" w:line="360" w:lineRule="auto"/>
              <w:jc w:val="center"/>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Augmented Dickey Fuller Test (At Level)</w:t>
            </w:r>
          </w:p>
        </w:tc>
      </w:tr>
      <w:tr w14:paraId="6F3FA2AE">
        <w:tblPrEx>
          <w:tblCellMar>
            <w:top w:w="0" w:type="dxa"/>
            <w:left w:w="108" w:type="dxa"/>
            <w:bottom w:w="0" w:type="dxa"/>
            <w:right w:w="108" w:type="dxa"/>
          </w:tblCellMar>
        </w:tblPrEx>
        <w:trPr>
          <w:trHeight w:val="288" w:hRule="atLeast"/>
        </w:trPr>
        <w:tc>
          <w:tcPr>
            <w:tcW w:w="1286" w:type="pct"/>
            <w:tcBorders>
              <w:top w:val="single" w:color="auto" w:sz="4" w:space="0"/>
              <w:bottom w:val="single" w:color="auto" w:sz="4" w:space="0"/>
            </w:tcBorders>
            <w:noWrap/>
            <w:vAlign w:val="bottom"/>
          </w:tcPr>
          <w:p w14:paraId="4CCB4F5B">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 </w:t>
            </w:r>
          </w:p>
        </w:tc>
        <w:tc>
          <w:tcPr>
            <w:tcW w:w="619" w:type="pct"/>
            <w:tcBorders>
              <w:top w:val="single" w:color="auto" w:sz="4" w:space="0"/>
              <w:bottom w:val="single" w:color="auto" w:sz="4" w:space="0"/>
            </w:tcBorders>
            <w:noWrap/>
            <w:vAlign w:val="bottom"/>
          </w:tcPr>
          <w:p w14:paraId="2EB03631">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IND</w:t>
            </w:r>
          </w:p>
        </w:tc>
        <w:tc>
          <w:tcPr>
            <w:tcW w:w="680" w:type="pct"/>
            <w:tcBorders>
              <w:top w:val="single" w:color="auto" w:sz="4" w:space="0"/>
              <w:bottom w:val="single" w:color="auto" w:sz="4" w:space="0"/>
            </w:tcBorders>
            <w:noWrap/>
            <w:vAlign w:val="bottom"/>
          </w:tcPr>
          <w:p w14:paraId="391BD15D">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INF</w:t>
            </w:r>
          </w:p>
        </w:tc>
        <w:tc>
          <w:tcPr>
            <w:tcW w:w="619" w:type="pct"/>
            <w:tcBorders>
              <w:top w:val="single" w:color="auto" w:sz="4" w:space="0"/>
              <w:bottom w:val="single" w:color="auto" w:sz="4" w:space="0"/>
            </w:tcBorders>
            <w:noWrap/>
            <w:vAlign w:val="bottom"/>
          </w:tcPr>
          <w:p w14:paraId="7B3BB546">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EXR</w:t>
            </w:r>
          </w:p>
        </w:tc>
        <w:tc>
          <w:tcPr>
            <w:tcW w:w="619" w:type="pct"/>
            <w:tcBorders>
              <w:top w:val="single" w:color="auto" w:sz="4" w:space="0"/>
              <w:bottom w:val="single" w:color="auto" w:sz="4" w:space="0"/>
            </w:tcBorders>
            <w:noWrap/>
            <w:vAlign w:val="bottom"/>
          </w:tcPr>
          <w:p w14:paraId="3CA62C20">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OIL</w:t>
            </w:r>
          </w:p>
        </w:tc>
        <w:tc>
          <w:tcPr>
            <w:tcW w:w="558" w:type="pct"/>
            <w:tcBorders>
              <w:top w:val="single" w:color="auto" w:sz="4" w:space="0"/>
              <w:bottom w:val="single" w:color="auto" w:sz="4" w:space="0"/>
            </w:tcBorders>
            <w:noWrap/>
            <w:vAlign w:val="bottom"/>
          </w:tcPr>
          <w:p w14:paraId="4DF79E77">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CPS</w:t>
            </w:r>
          </w:p>
        </w:tc>
        <w:tc>
          <w:tcPr>
            <w:tcW w:w="619" w:type="pct"/>
            <w:tcBorders>
              <w:top w:val="single" w:color="auto" w:sz="4" w:space="0"/>
              <w:bottom w:val="single" w:color="auto" w:sz="4" w:space="0"/>
            </w:tcBorders>
            <w:noWrap/>
            <w:vAlign w:val="bottom"/>
          </w:tcPr>
          <w:p w14:paraId="2F872914">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LR</w:t>
            </w:r>
          </w:p>
        </w:tc>
      </w:tr>
      <w:tr w14:paraId="60AE7F74">
        <w:tblPrEx>
          <w:tblCellMar>
            <w:top w:w="0" w:type="dxa"/>
            <w:left w:w="108" w:type="dxa"/>
            <w:bottom w:w="0" w:type="dxa"/>
            <w:right w:w="108" w:type="dxa"/>
          </w:tblCellMar>
        </w:tblPrEx>
        <w:trPr>
          <w:trHeight w:val="288" w:hRule="atLeast"/>
        </w:trPr>
        <w:tc>
          <w:tcPr>
            <w:tcW w:w="1286" w:type="pct"/>
            <w:tcBorders>
              <w:top w:val="single" w:color="auto" w:sz="4" w:space="0"/>
            </w:tcBorders>
            <w:noWrap/>
            <w:vAlign w:val="bottom"/>
          </w:tcPr>
          <w:p w14:paraId="7750D2D0">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t-Statistic</w:t>
            </w:r>
          </w:p>
        </w:tc>
        <w:tc>
          <w:tcPr>
            <w:tcW w:w="619" w:type="pct"/>
            <w:tcBorders>
              <w:top w:val="single" w:color="auto" w:sz="4" w:space="0"/>
            </w:tcBorders>
            <w:noWrap/>
            <w:vAlign w:val="bottom"/>
          </w:tcPr>
          <w:p w14:paraId="72B45B16">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-2.130**</w:t>
            </w:r>
          </w:p>
        </w:tc>
        <w:tc>
          <w:tcPr>
            <w:tcW w:w="680" w:type="pct"/>
            <w:tcBorders>
              <w:top w:val="single" w:color="auto" w:sz="4" w:space="0"/>
            </w:tcBorders>
            <w:noWrap/>
            <w:vAlign w:val="bottom"/>
          </w:tcPr>
          <w:p w14:paraId="0C175FF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-1.871*</w:t>
            </w:r>
          </w:p>
        </w:tc>
        <w:tc>
          <w:tcPr>
            <w:tcW w:w="619" w:type="pct"/>
            <w:tcBorders>
              <w:top w:val="single" w:color="auto" w:sz="4" w:space="0"/>
            </w:tcBorders>
            <w:noWrap/>
            <w:vAlign w:val="bottom"/>
          </w:tcPr>
          <w:p w14:paraId="77CA56A2">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-0.818</w:t>
            </w:r>
          </w:p>
        </w:tc>
        <w:tc>
          <w:tcPr>
            <w:tcW w:w="619" w:type="pct"/>
            <w:tcBorders>
              <w:top w:val="single" w:color="auto" w:sz="4" w:space="0"/>
            </w:tcBorders>
            <w:noWrap/>
            <w:vAlign w:val="bottom"/>
          </w:tcPr>
          <w:p w14:paraId="286A6A02">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-0.393</w:t>
            </w:r>
          </w:p>
        </w:tc>
        <w:tc>
          <w:tcPr>
            <w:tcW w:w="558" w:type="pct"/>
            <w:tcBorders>
              <w:top w:val="single" w:color="auto" w:sz="4" w:space="0"/>
            </w:tcBorders>
            <w:noWrap/>
            <w:vAlign w:val="bottom"/>
          </w:tcPr>
          <w:p w14:paraId="15718A99">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1.591</w:t>
            </w:r>
          </w:p>
        </w:tc>
        <w:tc>
          <w:tcPr>
            <w:tcW w:w="619" w:type="pct"/>
            <w:tcBorders>
              <w:top w:val="single" w:color="auto" w:sz="4" w:space="0"/>
            </w:tcBorders>
            <w:noWrap/>
            <w:vAlign w:val="bottom"/>
          </w:tcPr>
          <w:p w14:paraId="3FDEC814">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-0.227</w:t>
            </w:r>
          </w:p>
        </w:tc>
      </w:tr>
      <w:tr w14:paraId="06F467B0">
        <w:tblPrEx>
          <w:tblCellMar>
            <w:top w:w="0" w:type="dxa"/>
            <w:left w:w="108" w:type="dxa"/>
            <w:bottom w:w="0" w:type="dxa"/>
            <w:right w:w="108" w:type="dxa"/>
          </w:tblCellMar>
        </w:tblPrEx>
        <w:trPr>
          <w:trHeight w:val="288" w:hRule="atLeast"/>
        </w:trPr>
        <w:tc>
          <w:tcPr>
            <w:tcW w:w="1286" w:type="pct"/>
            <w:tcBorders>
              <w:bottom w:val="single" w:color="auto" w:sz="4" w:space="0"/>
            </w:tcBorders>
            <w:noWrap/>
            <w:vAlign w:val="bottom"/>
          </w:tcPr>
          <w:p w14:paraId="215C7D54">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Prob.</w:t>
            </w:r>
          </w:p>
        </w:tc>
        <w:tc>
          <w:tcPr>
            <w:tcW w:w="619" w:type="pct"/>
            <w:tcBorders>
              <w:bottom w:val="single" w:color="auto" w:sz="4" w:space="0"/>
            </w:tcBorders>
            <w:noWrap/>
            <w:vAlign w:val="bottom"/>
          </w:tcPr>
          <w:p w14:paraId="7440C07A">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0.034</w:t>
            </w:r>
          </w:p>
        </w:tc>
        <w:tc>
          <w:tcPr>
            <w:tcW w:w="680" w:type="pct"/>
            <w:tcBorders>
              <w:bottom w:val="single" w:color="auto" w:sz="4" w:space="0"/>
            </w:tcBorders>
            <w:noWrap/>
            <w:vAlign w:val="bottom"/>
          </w:tcPr>
          <w:p w14:paraId="7324F4AA">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0.059</w:t>
            </w:r>
          </w:p>
        </w:tc>
        <w:tc>
          <w:tcPr>
            <w:tcW w:w="619" w:type="pct"/>
            <w:tcBorders>
              <w:bottom w:val="single" w:color="auto" w:sz="4" w:space="0"/>
            </w:tcBorders>
            <w:noWrap/>
            <w:vAlign w:val="bottom"/>
          </w:tcPr>
          <w:p w14:paraId="6BCB10C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0.356</w:t>
            </w:r>
          </w:p>
        </w:tc>
        <w:tc>
          <w:tcPr>
            <w:tcW w:w="619" w:type="pct"/>
            <w:tcBorders>
              <w:bottom w:val="single" w:color="auto" w:sz="4" w:space="0"/>
            </w:tcBorders>
            <w:noWrap/>
            <w:vAlign w:val="bottom"/>
          </w:tcPr>
          <w:p w14:paraId="684F4EE0">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0.536</w:t>
            </w:r>
          </w:p>
        </w:tc>
        <w:tc>
          <w:tcPr>
            <w:tcW w:w="558" w:type="pct"/>
            <w:tcBorders>
              <w:bottom w:val="single" w:color="auto" w:sz="4" w:space="0"/>
            </w:tcBorders>
            <w:noWrap/>
            <w:vAlign w:val="bottom"/>
          </w:tcPr>
          <w:p w14:paraId="4591C436">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0.970</w:t>
            </w:r>
          </w:p>
        </w:tc>
        <w:tc>
          <w:tcPr>
            <w:tcW w:w="619" w:type="pct"/>
            <w:tcBorders>
              <w:bottom w:val="single" w:color="auto" w:sz="4" w:space="0"/>
            </w:tcBorders>
            <w:noWrap/>
            <w:vAlign w:val="bottom"/>
          </w:tcPr>
          <w:p w14:paraId="0421277C">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0.599</w:t>
            </w:r>
          </w:p>
        </w:tc>
      </w:tr>
      <w:tr w14:paraId="0491D45D">
        <w:tblPrEx>
          <w:tblCellMar>
            <w:top w:w="0" w:type="dxa"/>
            <w:left w:w="108" w:type="dxa"/>
            <w:bottom w:w="0" w:type="dxa"/>
            <w:right w:w="108" w:type="dxa"/>
          </w:tblCellMar>
        </w:tblPrEx>
        <w:trPr>
          <w:trHeight w:val="288" w:hRule="atLeast"/>
        </w:trPr>
        <w:tc>
          <w:tcPr>
            <w:tcW w:w="5000" w:type="pct"/>
            <w:gridSpan w:val="7"/>
            <w:tcBorders>
              <w:top w:val="single" w:color="auto" w:sz="4" w:space="0"/>
              <w:bottom w:val="single" w:color="auto" w:sz="4" w:space="0"/>
            </w:tcBorders>
            <w:noWrap/>
            <w:vAlign w:val="bottom"/>
          </w:tcPr>
          <w:p w14:paraId="693A81C8">
            <w:pPr>
              <w:spacing w:after="0" w:line="360" w:lineRule="auto"/>
              <w:jc w:val="center"/>
              <w:rPr>
                <w:rFonts w:ascii="Times New Roman" w:hAnsi="Times New Roman" w:eastAsia="Times New Roman" w:cs="Times New Roman"/>
                <w:color w:val="000000"/>
                <w:sz w:val="20"/>
                <w:szCs w:val="20"/>
                <w:lang w:eastAsia="en-GB"/>
              </w:rPr>
            </w:pPr>
            <w:r>
              <w:rPr>
                <w:rFonts w:ascii="Times New Roman" w:hAnsi="Times New Roman" w:eastAsia="Times New Roman" w:cs="Times New Roman"/>
                <w:b/>
                <w:bCs/>
                <w:color w:val="000000"/>
                <w:sz w:val="20"/>
                <w:szCs w:val="20"/>
                <w:lang w:eastAsia="en-GB"/>
              </w:rPr>
              <w:t>Augmented Dickey Fuller Test (At First Difference)</w:t>
            </w:r>
          </w:p>
        </w:tc>
      </w:tr>
      <w:tr w14:paraId="706DEFD3">
        <w:tblPrEx>
          <w:tblCellMar>
            <w:top w:w="0" w:type="dxa"/>
            <w:left w:w="108" w:type="dxa"/>
            <w:bottom w:w="0" w:type="dxa"/>
            <w:right w:w="108" w:type="dxa"/>
          </w:tblCellMar>
        </w:tblPrEx>
        <w:trPr>
          <w:trHeight w:val="288" w:hRule="atLeast"/>
        </w:trPr>
        <w:tc>
          <w:tcPr>
            <w:tcW w:w="1286" w:type="pct"/>
            <w:tcBorders>
              <w:top w:val="single" w:color="auto" w:sz="4" w:space="0"/>
            </w:tcBorders>
            <w:noWrap/>
            <w:vAlign w:val="bottom"/>
          </w:tcPr>
          <w:p w14:paraId="698CAD2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t-Statistic</w:t>
            </w:r>
          </w:p>
        </w:tc>
        <w:tc>
          <w:tcPr>
            <w:tcW w:w="619" w:type="pct"/>
            <w:tcBorders>
              <w:top w:val="single" w:color="auto" w:sz="4" w:space="0"/>
            </w:tcBorders>
            <w:noWrap/>
            <w:vAlign w:val="bottom"/>
          </w:tcPr>
          <w:p w14:paraId="54DC9CCB">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-4.451***</w:t>
            </w:r>
          </w:p>
        </w:tc>
        <w:tc>
          <w:tcPr>
            <w:tcW w:w="680" w:type="pct"/>
            <w:tcBorders>
              <w:top w:val="single" w:color="auto" w:sz="4" w:space="0"/>
            </w:tcBorders>
            <w:noWrap/>
            <w:vAlign w:val="bottom"/>
          </w:tcPr>
          <w:p w14:paraId="2E7804D8">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-6.773***</w:t>
            </w:r>
          </w:p>
        </w:tc>
        <w:tc>
          <w:tcPr>
            <w:tcW w:w="619" w:type="pct"/>
            <w:tcBorders>
              <w:top w:val="single" w:color="auto" w:sz="4" w:space="0"/>
            </w:tcBorders>
            <w:noWrap/>
            <w:vAlign w:val="bottom"/>
          </w:tcPr>
          <w:p w14:paraId="4D5E97ED">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-5.337***</w:t>
            </w:r>
          </w:p>
        </w:tc>
        <w:tc>
          <w:tcPr>
            <w:tcW w:w="619" w:type="pct"/>
            <w:tcBorders>
              <w:top w:val="single" w:color="auto" w:sz="4" w:space="0"/>
            </w:tcBorders>
            <w:noWrap/>
            <w:vAlign w:val="bottom"/>
          </w:tcPr>
          <w:p w14:paraId="40F7478C">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-5.872***</w:t>
            </w:r>
          </w:p>
        </w:tc>
        <w:tc>
          <w:tcPr>
            <w:tcW w:w="558" w:type="pct"/>
            <w:tcBorders>
              <w:top w:val="single" w:color="auto" w:sz="4" w:space="0"/>
            </w:tcBorders>
            <w:noWrap/>
            <w:vAlign w:val="bottom"/>
          </w:tcPr>
          <w:p w14:paraId="6980A7A3">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-2.510**</w:t>
            </w:r>
          </w:p>
        </w:tc>
        <w:tc>
          <w:tcPr>
            <w:tcW w:w="619" w:type="pct"/>
            <w:tcBorders>
              <w:top w:val="single" w:color="auto" w:sz="4" w:space="0"/>
            </w:tcBorders>
            <w:noWrap/>
            <w:vAlign w:val="bottom"/>
          </w:tcPr>
          <w:p w14:paraId="07AC19FF">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-9.890***</w:t>
            </w:r>
          </w:p>
        </w:tc>
      </w:tr>
      <w:tr w14:paraId="35FC5F6B">
        <w:tblPrEx>
          <w:tblCellMar>
            <w:top w:w="0" w:type="dxa"/>
            <w:left w:w="108" w:type="dxa"/>
            <w:bottom w:w="0" w:type="dxa"/>
            <w:right w:w="108" w:type="dxa"/>
          </w:tblCellMar>
        </w:tblPrEx>
        <w:trPr>
          <w:trHeight w:val="288" w:hRule="atLeast"/>
        </w:trPr>
        <w:tc>
          <w:tcPr>
            <w:tcW w:w="1286" w:type="pct"/>
            <w:tcBorders>
              <w:bottom w:val="single" w:color="auto" w:sz="4" w:space="0"/>
            </w:tcBorders>
            <w:noWrap/>
            <w:vAlign w:val="bottom"/>
          </w:tcPr>
          <w:p w14:paraId="44966797">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Prob.</w:t>
            </w:r>
          </w:p>
        </w:tc>
        <w:tc>
          <w:tcPr>
            <w:tcW w:w="619" w:type="pct"/>
            <w:tcBorders>
              <w:bottom w:val="single" w:color="auto" w:sz="4" w:space="0"/>
            </w:tcBorders>
            <w:noWrap/>
            <w:vAlign w:val="bottom"/>
          </w:tcPr>
          <w:p w14:paraId="5910E219">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0.000</w:t>
            </w:r>
          </w:p>
        </w:tc>
        <w:tc>
          <w:tcPr>
            <w:tcW w:w="680" w:type="pct"/>
            <w:tcBorders>
              <w:bottom w:val="single" w:color="auto" w:sz="4" w:space="0"/>
            </w:tcBorders>
            <w:noWrap/>
            <w:vAlign w:val="bottom"/>
          </w:tcPr>
          <w:p w14:paraId="77BEB58A">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0.000</w:t>
            </w:r>
          </w:p>
        </w:tc>
        <w:tc>
          <w:tcPr>
            <w:tcW w:w="619" w:type="pct"/>
            <w:tcBorders>
              <w:bottom w:val="single" w:color="auto" w:sz="4" w:space="0"/>
            </w:tcBorders>
            <w:noWrap/>
            <w:vAlign w:val="bottom"/>
          </w:tcPr>
          <w:p w14:paraId="6A4774E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0.000</w:t>
            </w:r>
          </w:p>
        </w:tc>
        <w:tc>
          <w:tcPr>
            <w:tcW w:w="619" w:type="pct"/>
            <w:tcBorders>
              <w:bottom w:val="single" w:color="auto" w:sz="4" w:space="0"/>
            </w:tcBorders>
            <w:noWrap/>
            <w:vAlign w:val="bottom"/>
          </w:tcPr>
          <w:p w14:paraId="525BBE6B">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0.000</w:t>
            </w:r>
          </w:p>
        </w:tc>
        <w:tc>
          <w:tcPr>
            <w:tcW w:w="558" w:type="pct"/>
            <w:tcBorders>
              <w:bottom w:val="single" w:color="auto" w:sz="4" w:space="0"/>
            </w:tcBorders>
            <w:noWrap/>
            <w:vAlign w:val="bottom"/>
          </w:tcPr>
          <w:p w14:paraId="24A4F12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0.014</w:t>
            </w:r>
          </w:p>
        </w:tc>
        <w:tc>
          <w:tcPr>
            <w:tcW w:w="619" w:type="pct"/>
            <w:tcBorders>
              <w:bottom w:val="single" w:color="auto" w:sz="4" w:space="0"/>
            </w:tcBorders>
            <w:noWrap/>
            <w:vAlign w:val="bottom"/>
          </w:tcPr>
          <w:p w14:paraId="66C5312C">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0.000</w:t>
            </w:r>
          </w:p>
        </w:tc>
      </w:tr>
      <w:tr w14:paraId="535695FB">
        <w:tblPrEx>
          <w:tblCellMar>
            <w:top w:w="0" w:type="dxa"/>
            <w:left w:w="108" w:type="dxa"/>
            <w:bottom w:w="0" w:type="dxa"/>
            <w:right w:w="108" w:type="dxa"/>
          </w:tblCellMar>
        </w:tblPrEx>
        <w:trPr>
          <w:trHeight w:val="288" w:hRule="atLeast"/>
        </w:trPr>
        <w:tc>
          <w:tcPr>
            <w:tcW w:w="5000" w:type="pct"/>
            <w:gridSpan w:val="7"/>
            <w:tcBorders>
              <w:top w:val="single" w:color="auto" w:sz="4" w:space="0"/>
              <w:bottom w:val="single" w:color="auto" w:sz="4" w:space="0"/>
            </w:tcBorders>
            <w:noWrap/>
            <w:vAlign w:val="bottom"/>
          </w:tcPr>
          <w:p w14:paraId="2DE55E12">
            <w:pPr>
              <w:spacing w:after="0" w:line="360" w:lineRule="auto"/>
              <w:jc w:val="center"/>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Phillips &amp; Perron (At Level)</w:t>
            </w:r>
          </w:p>
        </w:tc>
      </w:tr>
      <w:tr w14:paraId="35E46D92">
        <w:tblPrEx>
          <w:tblCellMar>
            <w:top w:w="0" w:type="dxa"/>
            <w:left w:w="108" w:type="dxa"/>
            <w:bottom w:w="0" w:type="dxa"/>
            <w:right w:w="108" w:type="dxa"/>
          </w:tblCellMar>
        </w:tblPrEx>
        <w:trPr>
          <w:trHeight w:val="288" w:hRule="atLeast"/>
        </w:trPr>
        <w:tc>
          <w:tcPr>
            <w:tcW w:w="1286" w:type="pct"/>
            <w:tcBorders>
              <w:top w:val="single" w:color="auto" w:sz="4" w:space="0"/>
            </w:tcBorders>
            <w:noWrap/>
            <w:vAlign w:val="bottom"/>
          </w:tcPr>
          <w:p w14:paraId="3BC495ED">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t-Statistic</w:t>
            </w:r>
          </w:p>
        </w:tc>
        <w:tc>
          <w:tcPr>
            <w:tcW w:w="619" w:type="pct"/>
            <w:tcBorders>
              <w:top w:val="single" w:color="auto" w:sz="4" w:space="0"/>
            </w:tcBorders>
            <w:noWrap/>
            <w:vAlign w:val="bottom"/>
          </w:tcPr>
          <w:p w14:paraId="7FB87378">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-3.437***</w:t>
            </w:r>
          </w:p>
        </w:tc>
        <w:tc>
          <w:tcPr>
            <w:tcW w:w="680" w:type="pct"/>
            <w:tcBorders>
              <w:top w:val="single" w:color="auto" w:sz="4" w:space="0"/>
            </w:tcBorders>
            <w:noWrap/>
            <w:vAlign w:val="bottom"/>
          </w:tcPr>
          <w:p w14:paraId="6232C2A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-1.727*</w:t>
            </w:r>
          </w:p>
        </w:tc>
        <w:tc>
          <w:tcPr>
            <w:tcW w:w="619" w:type="pct"/>
            <w:tcBorders>
              <w:top w:val="single" w:color="auto" w:sz="4" w:space="0"/>
            </w:tcBorders>
            <w:noWrap/>
            <w:vAlign w:val="bottom"/>
          </w:tcPr>
          <w:p w14:paraId="50621E1D">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0.011</w:t>
            </w:r>
          </w:p>
        </w:tc>
        <w:tc>
          <w:tcPr>
            <w:tcW w:w="619" w:type="pct"/>
            <w:tcBorders>
              <w:top w:val="single" w:color="auto" w:sz="4" w:space="0"/>
            </w:tcBorders>
            <w:noWrap/>
            <w:vAlign w:val="bottom"/>
          </w:tcPr>
          <w:p w14:paraId="5F2A2722">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-0.217</w:t>
            </w:r>
          </w:p>
        </w:tc>
        <w:tc>
          <w:tcPr>
            <w:tcW w:w="558" w:type="pct"/>
            <w:tcBorders>
              <w:top w:val="single" w:color="auto" w:sz="4" w:space="0"/>
            </w:tcBorders>
            <w:noWrap/>
            <w:vAlign w:val="bottom"/>
          </w:tcPr>
          <w:p w14:paraId="6F2C331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2.884</w:t>
            </w:r>
          </w:p>
        </w:tc>
        <w:tc>
          <w:tcPr>
            <w:tcW w:w="619" w:type="pct"/>
            <w:tcBorders>
              <w:top w:val="single" w:color="auto" w:sz="4" w:space="0"/>
            </w:tcBorders>
            <w:noWrap/>
            <w:vAlign w:val="bottom"/>
          </w:tcPr>
          <w:p w14:paraId="0DB00CB6">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-0.293</w:t>
            </w:r>
          </w:p>
        </w:tc>
      </w:tr>
      <w:tr w14:paraId="18D41853">
        <w:tblPrEx>
          <w:tblCellMar>
            <w:top w:w="0" w:type="dxa"/>
            <w:left w:w="108" w:type="dxa"/>
            <w:bottom w:w="0" w:type="dxa"/>
            <w:right w:w="108" w:type="dxa"/>
          </w:tblCellMar>
        </w:tblPrEx>
        <w:trPr>
          <w:trHeight w:val="288" w:hRule="atLeast"/>
        </w:trPr>
        <w:tc>
          <w:tcPr>
            <w:tcW w:w="1286" w:type="pct"/>
            <w:tcBorders>
              <w:bottom w:val="single" w:color="auto" w:sz="4" w:space="0"/>
            </w:tcBorders>
            <w:noWrap/>
            <w:vAlign w:val="bottom"/>
          </w:tcPr>
          <w:p w14:paraId="174C5082">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Prob.</w:t>
            </w:r>
          </w:p>
        </w:tc>
        <w:tc>
          <w:tcPr>
            <w:tcW w:w="619" w:type="pct"/>
            <w:tcBorders>
              <w:bottom w:val="single" w:color="auto" w:sz="4" w:space="0"/>
            </w:tcBorders>
            <w:noWrap/>
            <w:vAlign w:val="bottom"/>
          </w:tcPr>
          <w:p w14:paraId="65B9563A">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0.001</w:t>
            </w:r>
          </w:p>
        </w:tc>
        <w:tc>
          <w:tcPr>
            <w:tcW w:w="680" w:type="pct"/>
            <w:tcBorders>
              <w:bottom w:val="single" w:color="auto" w:sz="4" w:space="0"/>
            </w:tcBorders>
            <w:noWrap/>
            <w:vAlign w:val="bottom"/>
          </w:tcPr>
          <w:p w14:paraId="122DE87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0.080</w:t>
            </w:r>
          </w:p>
        </w:tc>
        <w:tc>
          <w:tcPr>
            <w:tcW w:w="619" w:type="pct"/>
            <w:tcBorders>
              <w:bottom w:val="single" w:color="auto" w:sz="4" w:space="0"/>
            </w:tcBorders>
            <w:noWrap/>
            <w:vAlign w:val="bottom"/>
          </w:tcPr>
          <w:p w14:paraId="063B8DE0">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0.681</w:t>
            </w:r>
          </w:p>
        </w:tc>
        <w:tc>
          <w:tcPr>
            <w:tcW w:w="619" w:type="pct"/>
            <w:tcBorders>
              <w:bottom w:val="single" w:color="auto" w:sz="4" w:space="0"/>
            </w:tcBorders>
            <w:noWrap/>
            <w:vAlign w:val="bottom"/>
          </w:tcPr>
          <w:p w14:paraId="35BE74C9">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0.602</w:t>
            </w:r>
          </w:p>
        </w:tc>
        <w:tc>
          <w:tcPr>
            <w:tcW w:w="558" w:type="pct"/>
            <w:tcBorders>
              <w:bottom w:val="single" w:color="auto" w:sz="4" w:space="0"/>
            </w:tcBorders>
            <w:noWrap/>
            <w:vAlign w:val="bottom"/>
          </w:tcPr>
          <w:p w14:paraId="66931583">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0.998</w:t>
            </w:r>
          </w:p>
        </w:tc>
        <w:tc>
          <w:tcPr>
            <w:tcW w:w="619" w:type="pct"/>
            <w:tcBorders>
              <w:bottom w:val="single" w:color="auto" w:sz="4" w:space="0"/>
            </w:tcBorders>
            <w:noWrap/>
            <w:vAlign w:val="bottom"/>
          </w:tcPr>
          <w:p w14:paraId="33AD424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0.574</w:t>
            </w:r>
          </w:p>
        </w:tc>
      </w:tr>
      <w:tr w14:paraId="2EF8F026">
        <w:tblPrEx>
          <w:tblCellMar>
            <w:top w:w="0" w:type="dxa"/>
            <w:left w:w="108" w:type="dxa"/>
            <w:bottom w:w="0" w:type="dxa"/>
            <w:right w:w="108" w:type="dxa"/>
          </w:tblCellMar>
        </w:tblPrEx>
        <w:trPr>
          <w:trHeight w:val="288" w:hRule="atLeast"/>
        </w:trPr>
        <w:tc>
          <w:tcPr>
            <w:tcW w:w="5000" w:type="pct"/>
            <w:gridSpan w:val="7"/>
            <w:tcBorders>
              <w:top w:val="single" w:color="auto" w:sz="4" w:space="0"/>
              <w:bottom w:val="single" w:color="auto" w:sz="4" w:space="0"/>
            </w:tcBorders>
            <w:noWrap/>
            <w:vAlign w:val="bottom"/>
          </w:tcPr>
          <w:p w14:paraId="1BB5F807">
            <w:pPr>
              <w:spacing w:after="0" w:line="360" w:lineRule="auto"/>
              <w:jc w:val="center"/>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Phillips &amp; Perron (At First Difference)</w:t>
            </w:r>
          </w:p>
        </w:tc>
      </w:tr>
      <w:tr w14:paraId="4864E29F">
        <w:tblPrEx>
          <w:tblCellMar>
            <w:top w:w="0" w:type="dxa"/>
            <w:left w:w="108" w:type="dxa"/>
            <w:bottom w:w="0" w:type="dxa"/>
            <w:right w:w="108" w:type="dxa"/>
          </w:tblCellMar>
        </w:tblPrEx>
        <w:trPr>
          <w:trHeight w:val="288" w:hRule="atLeast"/>
        </w:trPr>
        <w:tc>
          <w:tcPr>
            <w:tcW w:w="1286" w:type="pct"/>
            <w:tcBorders>
              <w:top w:val="single" w:color="auto" w:sz="4" w:space="0"/>
            </w:tcBorders>
            <w:noWrap/>
            <w:vAlign w:val="bottom"/>
          </w:tcPr>
          <w:p w14:paraId="1F219FD9">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t-Statistic</w:t>
            </w:r>
          </w:p>
        </w:tc>
        <w:tc>
          <w:tcPr>
            <w:tcW w:w="619" w:type="pct"/>
            <w:tcBorders>
              <w:top w:val="single" w:color="auto" w:sz="4" w:space="0"/>
            </w:tcBorders>
            <w:noWrap/>
            <w:vAlign w:val="bottom"/>
          </w:tcPr>
          <w:p w14:paraId="67FE0A97">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-4.306***</w:t>
            </w:r>
          </w:p>
        </w:tc>
        <w:tc>
          <w:tcPr>
            <w:tcW w:w="680" w:type="pct"/>
            <w:tcBorders>
              <w:top w:val="single" w:color="auto" w:sz="4" w:space="0"/>
            </w:tcBorders>
            <w:noWrap/>
            <w:vAlign w:val="bottom"/>
          </w:tcPr>
          <w:p w14:paraId="17E93CF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-11.054***</w:t>
            </w:r>
          </w:p>
        </w:tc>
        <w:tc>
          <w:tcPr>
            <w:tcW w:w="619" w:type="pct"/>
            <w:tcBorders>
              <w:top w:val="single" w:color="auto" w:sz="4" w:space="0"/>
            </w:tcBorders>
            <w:noWrap/>
            <w:vAlign w:val="bottom"/>
          </w:tcPr>
          <w:p w14:paraId="69D59298">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-5.133***</w:t>
            </w:r>
          </w:p>
        </w:tc>
        <w:tc>
          <w:tcPr>
            <w:tcW w:w="619" w:type="pct"/>
            <w:tcBorders>
              <w:top w:val="single" w:color="auto" w:sz="4" w:space="0"/>
            </w:tcBorders>
            <w:noWrap/>
            <w:vAlign w:val="bottom"/>
          </w:tcPr>
          <w:p w14:paraId="4165C582">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-6.073***</w:t>
            </w:r>
          </w:p>
        </w:tc>
        <w:tc>
          <w:tcPr>
            <w:tcW w:w="558" w:type="pct"/>
            <w:tcBorders>
              <w:top w:val="single" w:color="auto" w:sz="4" w:space="0"/>
            </w:tcBorders>
            <w:noWrap/>
            <w:vAlign w:val="bottom"/>
          </w:tcPr>
          <w:p w14:paraId="7856E277">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-2.510**</w:t>
            </w:r>
          </w:p>
        </w:tc>
        <w:tc>
          <w:tcPr>
            <w:tcW w:w="619" w:type="pct"/>
            <w:tcBorders>
              <w:top w:val="single" w:color="auto" w:sz="4" w:space="0"/>
            </w:tcBorders>
            <w:noWrap/>
            <w:vAlign w:val="bottom"/>
          </w:tcPr>
          <w:p w14:paraId="383AF20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-9.951***</w:t>
            </w:r>
          </w:p>
        </w:tc>
      </w:tr>
      <w:tr w14:paraId="4CDAE61C">
        <w:tblPrEx>
          <w:tblCellMar>
            <w:top w:w="0" w:type="dxa"/>
            <w:left w:w="108" w:type="dxa"/>
            <w:bottom w:w="0" w:type="dxa"/>
            <w:right w:w="108" w:type="dxa"/>
          </w:tblCellMar>
        </w:tblPrEx>
        <w:trPr>
          <w:trHeight w:val="288" w:hRule="atLeast"/>
        </w:trPr>
        <w:tc>
          <w:tcPr>
            <w:tcW w:w="1286" w:type="pct"/>
            <w:tcBorders>
              <w:bottom w:val="single" w:color="auto" w:sz="4" w:space="0"/>
            </w:tcBorders>
            <w:noWrap/>
            <w:vAlign w:val="bottom"/>
          </w:tcPr>
          <w:p w14:paraId="6156B7F0">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Prob.</w:t>
            </w:r>
          </w:p>
        </w:tc>
        <w:tc>
          <w:tcPr>
            <w:tcW w:w="619" w:type="pct"/>
            <w:tcBorders>
              <w:bottom w:val="single" w:color="auto" w:sz="4" w:space="0"/>
            </w:tcBorders>
            <w:noWrap/>
            <w:vAlign w:val="bottom"/>
          </w:tcPr>
          <w:p w14:paraId="56DB6BA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0.000</w:t>
            </w:r>
          </w:p>
        </w:tc>
        <w:tc>
          <w:tcPr>
            <w:tcW w:w="680" w:type="pct"/>
            <w:tcBorders>
              <w:bottom w:val="single" w:color="auto" w:sz="4" w:space="0"/>
            </w:tcBorders>
            <w:noWrap/>
            <w:vAlign w:val="bottom"/>
          </w:tcPr>
          <w:p w14:paraId="3ABD83A4">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0.000</w:t>
            </w:r>
          </w:p>
        </w:tc>
        <w:tc>
          <w:tcPr>
            <w:tcW w:w="619" w:type="pct"/>
            <w:tcBorders>
              <w:bottom w:val="single" w:color="auto" w:sz="4" w:space="0"/>
            </w:tcBorders>
            <w:noWrap/>
            <w:vAlign w:val="bottom"/>
          </w:tcPr>
          <w:p w14:paraId="136FF73C">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0.000</w:t>
            </w:r>
          </w:p>
        </w:tc>
        <w:tc>
          <w:tcPr>
            <w:tcW w:w="619" w:type="pct"/>
            <w:tcBorders>
              <w:bottom w:val="single" w:color="auto" w:sz="4" w:space="0"/>
            </w:tcBorders>
            <w:noWrap/>
            <w:vAlign w:val="bottom"/>
          </w:tcPr>
          <w:p w14:paraId="496C654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0.000</w:t>
            </w:r>
          </w:p>
        </w:tc>
        <w:tc>
          <w:tcPr>
            <w:tcW w:w="558" w:type="pct"/>
            <w:tcBorders>
              <w:bottom w:val="single" w:color="auto" w:sz="4" w:space="0"/>
            </w:tcBorders>
            <w:noWrap/>
            <w:vAlign w:val="bottom"/>
          </w:tcPr>
          <w:p w14:paraId="5E77372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0.014</w:t>
            </w:r>
          </w:p>
        </w:tc>
        <w:tc>
          <w:tcPr>
            <w:tcW w:w="619" w:type="pct"/>
            <w:tcBorders>
              <w:bottom w:val="single" w:color="auto" w:sz="4" w:space="0"/>
            </w:tcBorders>
            <w:noWrap/>
            <w:vAlign w:val="bottom"/>
          </w:tcPr>
          <w:p w14:paraId="1E8AC60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0.000</w:t>
            </w:r>
          </w:p>
        </w:tc>
      </w:tr>
    </w:tbl>
    <w:p w14:paraId="762E53B0">
      <w:pPr>
        <w:spacing w:line="360" w:lineRule="auto"/>
        <w:jc w:val="both"/>
        <w:rPr>
          <w:rFonts w:ascii="Times New Roman" w:hAnsi="Times New Roman" w:eastAsia="Aptos" w:cs="Times New Roman"/>
          <w:i/>
          <w:iCs/>
          <w:sz w:val="20"/>
          <w:szCs w:val="20"/>
        </w:rPr>
      </w:pPr>
      <w:r>
        <w:rPr>
          <w:rFonts w:ascii="Times New Roman" w:hAnsi="Times New Roman" w:eastAsia="Aptos" w:cs="Times New Roman"/>
          <w:b/>
          <w:bCs/>
          <w:i/>
          <w:iCs/>
          <w:sz w:val="20"/>
          <w:szCs w:val="20"/>
        </w:rPr>
        <w:t xml:space="preserve">Note: </w:t>
      </w:r>
      <w:r>
        <w:rPr>
          <w:rFonts w:ascii="Times New Roman" w:hAnsi="Times New Roman" w:eastAsia="Aptos" w:cs="Times New Roman"/>
          <w:i/>
          <w:iCs/>
          <w:sz w:val="20"/>
          <w:szCs w:val="20"/>
        </w:rPr>
        <w:t>The asterisk ***, ** and * denote statistical significance at 1%, 5%, and 10% levels, respectively. Lag Length based on SIC and Probability based on MacKinnon (1996) one-sided p-values</w:t>
      </w:r>
    </w:p>
    <w:p w14:paraId="06AD4B84">
      <w:pPr>
        <w:spacing w:line="360" w:lineRule="auto"/>
        <w:jc w:val="both"/>
        <w:rPr>
          <w:rFonts w:ascii="Times New Roman" w:hAnsi="Times New Roman" w:eastAsia="Aptos" w:cs="Times New Roman"/>
          <w:i/>
          <w:iCs/>
          <w:sz w:val="20"/>
          <w:szCs w:val="20"/>
        </w:rPr>
      </w:pPr>
      <w:r>
        <w:rPr>
          <w:rFonts w:ascii="Times New Roman" w:hAnsi="Times New Roman" w:eastAsia="Aptos" w:cs="Times New Roman"/>
          <w:b/>
          <w:bCs/>
          <w:i/>
          <w:iCs/>
          <w:sz w:val="20"/>
          <w:szCs w:val="20"/>
        </w:rPr>
        <w:t xml:space="preserve">Source: </w:t>
      </w:r>
      <w:r>
        <w:rPr>
          <w:rFonts w:ascii="Times New Roman" w:hAnsi="Times New Roman" w:eastAsia="Aptos" w:cs="Times New Roman"/>
          <w:i/>
          <w:iCs/>
          <w:sz w:val="20"/>
          <w:szCs w:val="20"/>
        </w:rPr>
        <w:t>Researcher’s computation, (2025).</w:t>
      </w:r>
    </w:p>
    <w:p w14:paraId="33629F0F">
      <w:pPr>
        <w:spacing w:before="240" w:line="360" w:lineRule="auto"/>
        <w:jc w:val="both"/>
        <w:rPr>
          <w:rFonts w:ascii="Times New Roman" w:hAnsi="Times New Roman" w:eastAsia="Aptos" w:cs="Times New Roman"/>
        </w:rPr>
      </w:pPr>
      <w:r>
        <w:rPr>
          <w:rFonts w:ascii="Times New Roman" w:hAnsi="Times New Roman" w:eastAsia="Aptos" w:cs="Times New Roman"/>
        </w:rPr>
        <w:t>The unit root tests using ADF and PP show that only industrial output and inflation were stationary at level, while exchange rate, oil prices, credit to the private sector, and lending rate were non-stationary. However, after first differencing, all variables became stationary at highly significant levels under both tests, indicating that most variables are integrated of order one, I(1). This mixture of I(0) and I(1) variables implies that the ARDL modelling approach is appropriate for the analysis, as it can accommodate different orders of integration without leading to spurious results.</w:t>
      </w:r>
    </w:p>
    <w:p w14:paraId="3B0FBCF0">
      <w:pPr>
        <w:spacing w:before="100" w:beforeAutospacing="1" w:after="100" w:afterAutospacing="1" w:line="240" w:lineRule="auto"/>
        <w:jc w:val="both"/>
        <w:outlineLvl w:val="2"/>
        <w:rPr>
          <w:rFonts w:ascii="Times New Roman" w:hAnsi="Times New Roman" w:eastAsia="Aptos" w:cs="Times New Roman"/>
        </w:rPr>
      </w:pPr>
      <w:r>
        <w:rPr>
          <w:rFonts w:ascii="Times New Roman" w:hAnsi="Times New Roman" w:eastAsia="Aptos" w:cs="Times New Roman"/>
          <w:b/>
          <w:bCs/>
        </w:rPr>
        <w:t>Table 3: Granger Causality Test Results (Toda-Yamamoto Approach)</w:t>
      </w:r>
    </w:p>
    <w:p w14:paraId="65D00AF8">
      <w:pPr>
        <w:spacing w:before="100" w:beforeAutospacing="1" w:after="100" w:afterAutospacing="1" w:line="360" w:lineRule="auto"/>
        <w:jc w:val="both"/>
        <w:rPr>
          <w:rFonts w:ascii="Times New Roman" w:hAnsi="Times New Roman" w:eastAsia="Aptos" w:cs="Times New Roman"/>
        </w:rPr>
      </w:pPr>
      <w:r>
        <w:rPr>
          <w:rFonts w:ascii="Times New Roman" w:hAnsi="Times New Roman" w:eastAsia="Aptos" w:cs="Times New Roman"/>
        </w:rPr>
        <w:t>The Toda-Yamamoto causality test was applied to examine directional relationships among six macroeconomic variables: Industrial GDP (IND), Inflation (INF), Exchange Rate (EXR), Lending Rate (LR), Oil Prices (OIL), and Credit to the Private Sector (CSP). It was selected due to its robustness to mixed integration orders.</w:t>
      </w:r>
    </w:p>
    <w:tbl>
      <w:tblPr>
        <w:tblStyle w:val="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522"/>
        <w:gridCol w:w="1492"/>
        <w:gridCol w:w="1469"/>
        <w:gridCol w:w="1501"/>
        <w:gridCol w:w="1524"/>
      </w:tblGrid>
      <w:tr w14:paraId="65B5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tcPr>
          <w:p w14:paraId="7941A661">
            <w:pPr>
              <w:spacing w:before="100" w:beforeAutospacing="1" w:after="100" w:afterAutospacing="1" w:line="240" w:lineRule="auto"/>
              <w:jc w:val="both"/>
              <w:rPr>
                <w:rFonts w:ascii="Times New Roman" w:hAnsi="Times New Roman" w:eastAsia="Calibri" w:cs="Times New Roman"/>
                <w:sz w:val="22"/>
                <w:szCs w:val="22"/>
                <w:lang w:val="en-US"/>
              </w:rPr>
            </w:pPr>
            <w:r>
              <w:rPr>
                <w:rFonts w:ascii="Times New Roman" w:hAnsi="Times New Roman" w:eastAsia="Times New Roman" w:cs="Times New Roman"/>
                <w:b/>
                <w:bCs/>
                <w:sz w:val="22"/>
                <w:szCs w:val="22"/>
                <w:lang w:val="en-US"/>
              </w:rPr>
              <w:t>Dependent Variable</w:t>
            </w:r>
          </w:p>
        </w:tc>
        <w:tc>
          <w:tcPr>
            <w:tcW w:w="1522" w:type="dxa"/>
            <w:vAlign w:val="center"/>
          </w:tcPr>
          <w:p w14:paraId="6698D2B8">
            <w:pPr>
              <w:spacing w:after="0" w:line="240" w:lineRule="auto"/>
              <w:jc w:val="center"/>
              <w:rPr>
                <w:rFonts w:ascii="Times New Roman" w:hAnsi="Times New Roman" w:eastAsia="Times New Roman" w:cs="Times New Roman"/>
                <w:b/>
                <w:bCs/>
                <w:sz w:val="22"/>
                <w:szCs w:val="22"/>
                <w:lang w:val="en-US"/>
              </w:rPr>
            </w:pPr>
            <w:r>
              <w:rPr>
                <w:rFonts w:ascii="Times New Roman" w:hAnsi="Times New Roman" w:eastAsia="Times New Roman" w:cs="Times New Roman"/>
                <w:b/>
                <w:bCs/>
                <w:sz w:val="22"/>
                <w:szCs w:val="22"/>
                <w:lang w:val="en-US"/>
              </w:rPr>
              <w:t>Granger-Causing Variable</w:t>
            </w:r>
          </w:p>
        </w:tc>
        <w:tc>
          <w:tcPr>
            <w:tcW w:w="1492" w:type="dxa"/>
          </w:tcPr>
          <w:p w14:paraId="0FD8C3E0">
            <w:pPr>
              <w:spacing w:before="100" w:beforeAutospacing="1" w:after="100" w:afterAutospacing="1" w:line="240" w:lineRule="auto"/>
              <w:jc w:val="both"/>
              <w:rPr>
                <w:rFonts w:ascii="Times New Roman" w:hAnsi="Times New Roman" w:eastAsia="Calibri" w:cs="Times New Roman"/>
                <w:sz w:val="22"/>
                <w:szCs w:val="22"/>
                <w:lang w:val="en-US"/>
              </w:rPr>
            </w:pPr>
            <w:r>
              <w:rPr>
                <w:rFonts w:ascii="Times New Roman" w:hAnsi="Times New Roman" w:eastAsia="Times New Roman" w:cs="Times New Roman"/>
                <w:b/>
                <w:bCs/>
                <w:sz w:val="22"/>
                <w:szCs w:val="22"/>
                <w:lang w:val="en-US"/>
              </w:rPr>
              <w:t>Chi-Sq</w:t>
            </w:r>
          </w:p>
        </w:tc>
        <w:tc>
          <w:tcPr>
            <w:tcW w:w="1469" w:type="dxa"/>
          </w:tcPr>
          <w:p w14:paraId="09DF127D">
            <w:pPr>
              <w:spacing w:before="100" w:beforeAutospacing="1" w:after="100" w:afterAutospacing="1" w:line="240" w:lineRule="auto"/>
              <w:jc w:val="both"/>
              <w:rPr>
                <w:rFonts w:ascii="Times New Roman" w:hAnsi="Times New Roman" w:eastAsia="Calibri" w:cs="Times New Roman"/>
                <w:sz w:val="22"/>
                <w:szCs w:val="22"/>
                <w:lang w:val="en-US"/>
              </w:rPr>
            </w:pPr>
            <w:r>
              <w:rPr>
                <w:rFonts w:ascii="Times New Roman" w:hAnsi="Times New Roman" w:eastAsia="Times New Roman" w:cs="Times New Roman"/>
                <w:b/>
                <w:bCs/>
                <w:sz w:val="22"/>
                <w:szCs w:val="22"/>
                <w:lang w:val="en-US"/>
              </w:rPr>
              <w:t>df</w:t>
            </w:r>
          </w:p>
        </w:tc>
        <w:tc>
          <w:tcPr>
            <w:tcW w:w="1501" w:type="dxa"/>
            <w:vAlign w:val="center"/>
          </w:tcPr>
          <w:p w14:paraId="4DD4FC08">
            <w:pPr>
              <w:spacing w:after="0" w:line="240" w:lineRule="auto"/>
              <w:rPr>
                <w:rFonts w:ascii="Times New Roman" w:hAnsi="Times New Roman" w:eastAsia="Times New Roman" w:cs="Times New Roman"/>
                <w:b/>
                <w:bCs/>
                <w:sz w:val="22"/>
                <w:szCs w:val="22"/>
                <w:lang w:val="en-US"/>
              </w:rPr>
            </w:pPr>
            <w:r>
              <w:rPr>
                <w:rFonts w:ascii="Times New Roman" w:hAnsi="Times New Roman" w:eastAsia="Times New Roman" w:cs="Times New Roman"/>
                <w:b/>
                <w:bCs/>
                <w:sz w:val="22"/>
                <w:szCs w:val="22"/>
                <w:lang w:val="en-US"/>
              </w:rPr>
              <w:t>p-value</w:t>
            </w:r>
          </w:p>
        </w:tc>
        <w:tc>
          <w:tcPr>
            <w:tcW w:w="1524" w:type="dxa"/>
          </w:tcPr>
          <w:p w14:paraId="7ED5A8B4">
            <w:pPr>
              <w:spacing w:before="100" w:beforeAutospacing="1" w:after="100" w:afterAutospacing="1" w:line="240" w:lineRule="auto"/>
              <w:jc w:val="both"/>
              <w:rPr>
                <w:rFonts w:ascii="Times New Roman" w:hAnsi="Times New Roman" w:eastAsia="Calibri" w:cs="Times New Roman"/>
                <w:sz w:val="22"/>
                <w:szCs w:val="22"/>
                <w:lang w:val="en-US"/>
              </w:rPr>
            </w:pPr>
            <w:r>
              <w:rPr>
                <w:rFonts w:ascii="Times New Roman" w:hAnsi="Times New Roman" w:eastAsia="Times New Roman" w:cs="Times New Roman"/>
                <w:b/>
                <w:bCs/>
                <w:sz w:val="22"/>
                <w:szCs w:val="22"/>
                <w:lang w:val="en-US"/>
              </w:rPr>
              <w:t>Causality</w:t>
            </w:r>
          </w:p>
        </w:tc>
      </w:tr>
      <w:tr w14:paraId="6707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center"/>
          </w:tcPr>
          <w:p w14:paraId="0F6598A1">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b/>
                <w:bCs/>
                <w:sz w:val="22"/>
                <w:szCs w:val="22"/>
                <w:lang w:val="en-US"/>
              </w:rPr>
              <w:t>CPS</w:t>
            </w:r>
          </w:p>
        </w:tc>
        <w:tc>
          <w:tcPr>
            <w:tcW w:w="1522" w:type="dxa"/>
            <w:vAlign w:val="center"/>
          </w:tcPr>
          <w:p w14:paraId="479D0A64">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OIL</w:t>
            </w:r>
          </w:p>
        </w:tc>
        <w:tc>
          <w:tcPr>
            <w:tcW w:w="1492" w:type="dxa"/>
            <w:vAlign w:val="center"/>
          </w:tcPr>
          <w:p w14:paraId="6EA4771E">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5.762</w:t>
            </w:r>
          </w:p>
        </w:tc>
        <w:tc>
          <w:tcPr>
            <w:tcW w:w="1469" w:type="dxa"/>
            <w:vAlign w:val="center"/>
          </w:tcPr>
          <w:p w14:paraId="367A9D1B">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1</w:t>
            </w:r>
          </w:p>
        </w:tc>
        <w:tc>
          <w:tcPr>
            <w:tcW w:w="1501" w:type="dxa"/>
            <w:vAlign w:val="center"/>
          </w:tcPr>
          <w:p w14:paraId="18E9DB2B">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0.0164</w:t>
            </w:r>
          </w:p>
        </w:tc>
        <w:tc>
          <w:tcPr>
            <w:tcW w:w="1524" w:type="dxa"/>
            <w:vAlign w:val="center"/>
          </w:tcPr>
          <w:p w14:paraId="5E89C99A">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 xml:space="preserve">OIL </w:t>
            </w:r>
            <w:r>
              <w:rPr>
                <w:rFonts w:ascii="Cambria Math" w:hAnsi="Cambria Math" w:eastAsia="Times New Roman" w:cs="Cambria Math"/>
                <w:sz w:val="22"/>
                <w:szCs w:val="22"/>
                <w:lang w:val="en-US"/>
              </w:rPr>
              <w:t>⇒</w:t>
            </w:r>
            <w:r>
              <w:rPr>
                <w:rFonts w:ascii="Times New Roman" w:hAnsi="Times New Roman" w:eastAsia="Times New Roman" w:cs="Times New Roman"/>
                <w:sz w:val="22"/>
                <w:szCs w:val="22"/>
                <w:lang w:val="en-US"/>
              </w:rPr>
              <w:t xml:space="preserve"> CPS</w:t>
            </w:r>
          </w:p>
        </w:tc>
      </w:tr>
      <w:tr w14:paraId="0670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center"/>
          </w:tcPr>
          <w:p w14:paraId="36812020">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b/>
                <w:bCs/>
                <w:sz w:val="22"/>
                <w:szCs w:val="22"/>
                <w:lang w:val="en-US"/>
              </w:rPr>
              <w:t>EXR</w:t>
            </w:r>
          </w:p>
        </w:tc>
        <w:tc>
          <w:tcPr>
            <w:tcW w:w="1522" w:type="dxa"/>
            <w:vAlign w:val="center"/>
          </w:tcPr>
          <w:p w14:paraId="12BA3249">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CPS</w:t>
            </w:r>
          </w:p>
        </w:tc>
        <w:tc>
          <w:tcPr>
            <w:tcW w:w="1492" w:type="dxa"/>
            <w:vAlign w:val="center"/>
          </w:tcPr>
          <w:p w14:paraId="0C27D903">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6.680</w:t>
            </w:r>
          </w:p>
        </w:tc>
        <w:tc>
          <w:tcPr>
            <w:tcW w:w="1469" w:type="dxa"/>
            <w:vAlign w:val="center"/>
          </w:tcPr>
          <w:p w14:paraId="6FBD0E4C">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1</w:t>
            </w:r>
          </w:p>
        </w:tc>
        <w:tc>
          <w:tcPr>
            <w:tcW w:w="1501" w:type="dxa"/>
            <w:vAlign w:val="center"/>
          </w:tcPr>
          <w:p w14:paraId="42DA5B04">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0.0098</w:t>
            </w:r>
          </w:p>
        </w:tc>
        <w:tc>
          <w:tcPr>
            <w:tcW w:w="1524" w:type="dxa"/>
            <w:vAlign w:val="center"/>
          </w:tcPr>
          <w:p w14:paraId="4DE28763">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 xml:space="preserve">CPS </w:t>
            </w:r>
            <w:r>
              <w:rPr>
                <w:rFonts w:ascii="Cambria Math" w:hAnsi="Cambria Math" w:eastAsia="Times New Roman" w:cs="Cambria Math"/>
                <w:sz w:val="22"/>
                <w:szCs w:val="22"/>
                <w:lang w:val="en-US"/>
              </w:rPr>
              <w:t>⇒</w:t>
            </w:r>
            <w:r>
              <w:rPr>
                <w:rFonts w:ascii="Times New Roman" w:hAnsi="Times New Roman" w:eastAsia="Times New Roman" w:cs="Times New Roman"/>
                <w:sz w:val="22"/>
                <w:szCs w:val="22"/>
                <w:lang w:val="en-US"/>
              </w:rPr>
              <w:t xml:space="preserve"> EXR</w:t>
            </w:r>
          </w:p>
        </w:tc>
      </w:tr>
      <w:tr w14:paraId="612E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center"/>
          </w:tcPr>
          <w:p w14:paraId="2E875954">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b/>
                <w:bCs/>
                <w:sz w:val="22"/>
                <w:szCs w:val="22"/>
                <w:lang w:val="en-US"/>
              </w:rPr>
              <w:t>IND</w:t>
            </w:r>
          </w:p>
        </w:tc>
        <w:tc>
          <w:tcPr>
            <w:tcW w:w="1522" w:type="dxa"/>
            <w:vAlign w:val="center"/>
          </w:tcPr>
          <w:p w14:paraId="197AACDB">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INF</w:t>
            </w:r>
          </w:p>
        </w:tc>
        <w:tc>
          <w:tcPr>
            <w:tcW w:w="1492" w:type="dxa"/>
            <w:vAlign w:val="center"/>
          </w:tcPr>
          <w:p w14:paraId="12461006">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4.245</w:t>
            </w:r>
          </w:p>
        </w:tc>
        <w:tc>
          <w:tcPr>
            <w:tcW w:w="1469" w:type="dxa"/>
            <w:vAlign w:val="center"/>
          </w:tcPr>
          <w:p w14:paraId="24E16E14">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1</w:t>
            </w:r>
          </w:p>
        </w:tc>
        <w:tc>
          <w:tcPr>
            <w:tcW w:w="1501" w:type="dxa"/>
            <w:vAlign w:val="center"/>
          </w:tcPr>
          <w:p w14:paraId="7748BC12">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0.0394</w:t>
            </w:r>
          </w:p>
        </w:tc>
        <w:tc>
          <w:tcPr>
            <w:tcW w:w="1524" w:type="dxa"/>
            <w:vAlign w:val="center"/>
          </w:tcPr>
          <w:p w14:paraId="3C63F154">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 xml:space="preserve">INF </w:t>
            </w:r>
            <w:r>
              <w:rPr>
                <w:rFonts w:ascii="Cambria Math" w:hAnsi="Cambria Math" w:eastAsia="Times New Roman" w:cs="Cambria Math"/>
                <w:sz w:val="22"/>
                <w:szCs w:val="22"/>
                <w:lang w:val="en-US"/>
              </w:rPr>
              <w:t>⇒</w:t>
            </w:r>
            <w:r>
              <w:rPr>
                <w:rFonts w:ascii="Times New Roman" w:hAnsi="Times New Roman" w:eastAsia="Times New Roman" w:cs="Times New Roman"/>
                <w:sz w:val="22"/>
                <w:szCs w:val="22"/>
                <w:lang w:val="en-US"/>
              </w:rPr>
              <w:t xml:space="preserve"> IND</w:t>
            </w:r>
          </w:p>
        </w:tc>
      </w:tr>
      <w:tr w14:paraId="50FD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center"/>
          </w:tcPr>
          <w:p w14:paraId="3DEFCBA0">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b/>
                <w:bCs/>
                <w:sz w:val="22"/>
                <w:szCs w:val="22"/>
                <w:lang w:val="en-US"/>
              </w:rPr>
              <w:t>IND</w:t>
            </w:r>
          </w:p>
        </w:tc>
        <w:tc>
          <w:tcPr>
            <w:tcW w:w="1522" w:type="dxa"/>
            <w:vAlign w:val="center"/>
          </w:tcPr>
          <w:p w14:paraId="33639104">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LR</w:t>
            </w:r>
          </w:p>
        </w:tc>
        <w:tc>
          <w:tcPr>
            <w:tcW w:w="1492" w:type="dxa"/>
            <w:vAlign w:val="center"/>
          </w:tcPr>
          <w:p w14:paraId="0DBF22C5">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6.455</w:t>
            </w:r>
          </w:p>
        </w:tc>
        <w:tc>
          <w:tcPr>
            <w:tcW w:w="1469" w:type="dxa"/>
            <w:vAlign w:val="center"/>
          </w:tcPr>
          <w:p w14:paraId="78A58AA6">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1</w:t>
            </w:r>
          </w:p>
        </w:tc>
        <w:tc>
          <w:tcPr>
            <w:tcW w:w="1501" w:type="dxa"/>
            <w:vAlign w:val="center"/>
          </w:tcPr>
          <w:p w14:paraId="01C4ED28">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0.0111</w:t>
            </w:r>
          </w:p>
        </w:tc>
        <w:tc>
          <w:tcPr>
            <w:tcW w:w="1524" w:type="dxa"/>
            <w:vAlign w:val="center"/>
          </w:tcPr>
          <w:p w14:paraId="7ACACBE7">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 xml:space="preserve">LR </w:t>
            </w:r>
            <w:r>
              <w:rPr>
                <w:rFonts w:ascii="Cambria Math" w:hAnsi="Cambria Math" w:eastAsia="Times New Roman" w:cs="Cambria Math"/>
                <w:sz w:val="22"/>
                <w:szCs w:val="22"/>
                <w:lang w:val="en-US"/>
              </w:rPr>
              <w:t>⇒</w:t>
            </w:r>
            <w:r>
              <w:rPr>
                <w:rFonts w:ascii="Times New Roman" w:hAnsi="Times New Roman" w:eastAsia="Times New Roman" w:cs="Times New Roman"/>
                <w:sz w:val="22"/>
                <w:szCs w:val="22"/>
                <w:lang w:val="en-US"/>
              </w:rPr>
              <w:t xml:space="preserve"> IND</w:t>
            </w:r>
          </w:p>
        </w:tc>
      </w:tr>
      <w:tr w14:paraId="4DE2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center"/>
          </w:tcPr>
          <w:p w14:paraId="22B97936">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b/>
                <w:bCs/>
                <w:sz w:val="22"/>
                <w:szCs w:val="22"/>
                <w:lang w:val="en-US"/>
              </w:rPr>
              <w:t>INF</w:t>
            </w:r>
          </w:p>
        </w:tc>
        <w:tc>
          <w:tcPr>
            <w:tcW w:w="1522" w:type="dxa"/>
            <w:vAlign w:val="center"/>
          </w:tcPr>
          <w:p w14:paraId="406BDD3E">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OIL</w:t>
            </w:r>
          </w:p>
        </w:tc>
        <w:tc>
          <w:tcPr>
            <w:tcW w:w="1492" w:type="dxa"/>
            <w:vAlign w:val="center"/>
          </w:tcPr>
          <w:p w14:paraId="05135816">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4.876</w:t>
            </w:r>
          </w:p>
        </w:tc>
        <w:tc>
          <w:tcPr>
            <w:tcW w:w="1469" w:type="dxa"/>
            <w:vAlign w:val="center"/>
          </w:tcPr>
          <w:p w14:paraId="5226FF2F">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1</w:t>
            </w:r>
          </w:p>
        </w:tc>
        <w:tc>
          <w:tcPr>
            <w:tcW w:w="1501" w:type="dxa"/>
            <w:vAlign w:val="center"/>
          </w:tcPr>
          <w:p w14:paraId="3D189AF2">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0.0272</w:t>
            </w:r>
          </w:p>
        </w:tc>
        <w:tc>
          <w:tcPr>
            <w:tcW w:w="1524" w:type="dxa"/>
            <w:vAlign w:val="center"/>
          </w:tcPr>
          <w:p w14:paraId="73FD0CD4">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 xml:space="preserve">OIL </w:t>
            </w:r>
            <w:r>
              <w:rPr>
                <w:rFonts w:ascii="Cambria Math" w:hAnsi="Cambria Math" w:eastAsia="Times New Roman" w:cs="Cambria Math"/>
                <w:sz w:val="22"/>
                <w:szCs w:val="22"/>
                <w:lang w:val="en-US"/>
              </w:rPr>
              <w:t>⇒</w:t>
            </w:r>
            <w:r>
              <w:rPr>
                <w:rFonts w:ascii="Times New Roman" w:hAnsi="Times New Roman" w:eastAsia="Times New Roman" w:cs="Times New Roman"/>
                <w:sz w:val="22"/>
                <w:szCs w:val="22"/>
                <w:lang w:val="en-US"/>
              </w:rPr>
              <w:t xml:space="preserve"> INF</w:t>
            </w:r>
          </w:p>
        </w:tc>
      </w:tr>
      <w:tr w14:paraId="6D51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vAlign w:val="center"/>
          </w:tcPr>
          <w:p w14:paraId="756C46BF">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b/>
                <w:bCs/>
                <w:sz w:val="22"/>
                <w:szCs w:val="22"/>
                <w:lang w:val="en-US"/>
              </w:rPr>
              <w:t>OIL</w:t>
            </w:r>
          </w:p>
        </w:tc>
        <w:tc>
          <w:tcPr>
            <w:tcW w:w="1522" w:type="dxa"/>
            <w:vAlign w:val="center"/>
          </w:tcPr>
          <w:p w14:paraId="55E2FA55">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EXR</w:t>
            </w:r>
          </w:p>
        </w:tc>
        <w:tc>
          <w:tcPr>
            <w:tcW w:w="1492" w:type="dxa"/>
            <w:vAlign w:val="center"/>
          </w:tcPr>
          <w:p w14:paraId="7FAA6CE9">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6.293</w:t>
            </w:r>
          </w:p>
        </w:tc>
        <w:tc>
          <w:tcPr>
            <w:tcW w:w="1469" w:type="dxa"/>
            <w:vAlign w:val="center"/>
          </w:tcPr>
          <w:p w14:paraId="48212546">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1</w:t>
            </w:r>
          </w:p>
        </w:tc>
        <w:tc>
          <w:tcPr>
            <w:tcW w:w="1501" w:type="dxa"/>
            <w:vAlign w:val="center"/>
          </w:tcPr>
          <w:p w14:paraId="3A9FC75F">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0.0121</w:t>
            </w:r>
          </w:p>
        </w:tc>
        <w:tc>
          <w:tcPr>
            <w:tcW w:w="1524" w:type="dxa"/>
            <w:vAlign w:val="center"/>
          </w:tcPr>
          <w:p w14:paraId="1EB0524B">
            <w:pPr>
              <w:spacing w:after="0" w:line="240" w:lineRule="auto"/>
              <w:rPr>
                <w:rFonts w:ascii="Times New Roman" w:hAnsi="Times New Roman" w:eastAsia="Times New Roman" w:cs="Times New Roman"/>
                <w:sz w:val="22"/>
                <w:szCs w:val="22"/>
                <w:lang w:val="en-US"/>
              </w:rPr>
            </w:pPr>
            <w:r>
              <w:rPr>
                <w:rFonts w:ascii="Times New Roman" w:hAnsi="Times New Roman" w:eastAsia="Times New Roman" w:cs="Times New Roman"/>
                <w:sz w:val="22"/>
                <w:szCs w:val="22"/>
                <w:lang w:val="en-US"/>
              </w:rPr>
              <w:t xml:space="preserve">EXR </w:t>
            </w:r>
            <w:r>
              <w:rPr>
                <w:rFonts w:ascii="Cambria Math" w:hAnsi="Cambria Math" w:eastAsia="Times New Roman" w:cs="Cambria Math"/>
                <w:sz w:val="22"/>
                <w:szCs w:val="22"/>
                <w:lang w:val="en-US"/>
              </w:rPr>
              <w:t>⇒</w:t>
            </w:r>
            <w:r>
              <w:rPr>
                <w:rFonts w:ascii="Times New Roman" w:hAnsi="Times New Roman" w:eastAsia="Times New Roman" w:cs="Times New Roman"/>
                <w:sz w:val="22"/>
                <w:szCs w:val="22"/>
                <w:lang w:val="en-US"/>
              </w:rPr>
              <w:t xml:space="preserve"> OIL</w:t>
            </w:r>
          </w:p>
        </w:tc>
      </w:tr>
    </w:tbl>
    <w:p w14:paraId="33A1D208">
      <w:pPr>
        <w:spacing w:before="240" w:line="360" w:lineRule="auto"/>
        <w:jc w:val="both"/>
        <w:rPr>
          <w:rFonts w:ascii="Times New Roman" w:hAnsi="Times New Roman" w:eastAsia="Aptos" w:cs="Times New Roman"/>
        </w:rPr>
      </w:pPr>
      <w:r>
        <w:rPr>
          <w:rFonts w:ascii="Times New Roman" w:hAnsi="Times New Roman" w:eastAsia="Aptos" w:cs="Times New Roman"/>
        </w:rPr>
        <w:t>The Toda-Yamamoto Granger causality results reveal several significant and interconnected relationships among the macroeconomic variables. Oil prices were found to Granger-cause both credit to the private sector and inflation, highlighting the strong influence of oil price movements on domestic liquidity conditions and price stability. Credit to the private sector also Granger-causes the exchange rate, suggesting that credit expansion can exert pressure on the foreign exchange market. In addition, industrial output is Granger-caused by inflation and lending rate, underscoring the sensitivity of industrial performance to macroeconomic stability and financing costs. Exchange rate changes were also found to Granger-cause oil revenues, reflecting valuation effects on oil earnings.</w:t>
      </w:r>
    </w:p>
    <w:p w14:paraId="43C3AD5F">
      <w:pPr>
        <w:spacing w:before="240" w:line="360" w:lineRule="auto"/>
        <w:jc w:val="both"/>
        <w:rPr>
          <w:rFonts w:ascii="Times New Roman" w:hAnsi="Times New Roman" w:eastAsia="Aptos" w:cs="Times New Roman"/>
        </w:rPr>
      </w:pPr>
      <w:r>
        <w:rPr>
          <w:rFonts w:ascii="Times New Roman" w:hAnsi="Times New Roman" w:eastAsia="Aptos" w:cs="Times New Roman"/>
          <w:b/>
          <w:bCs/>
        </w:rPr>
        <w:t>Table 4: Bound Test</w:t>
      </w:r>
    </w:p>
    <w:tbl>
      <w:tblPr>
        <w:tblStyle w:val="12"/>
        <w:tblW w:w="5000" w:type="pct"/>
        <w:tblInd w:w="0" w:type="dxa"/>
        <w:tblLayout w:type="autofit"/>
        <w:tblCellMar>
          <w:top w:w="0" w:type="dxa"/>
          <w:left w:w="108" w:type="dxa"/>
          <w:bottom w:w="0" w:type="dxa"/>
          <w:right w:w="108" w:type="dxa"/>
        </w:tblCellMar>
      </w:tblPr>
      <w:tblGrid>
        <w:gridCol w:w="1868"/>
        <w:gridCol w:w="1696"/>
        <w:gridCol w:w="2166"/>
        <w:gridCol w:w="1774"/>
        <w:gridCol w:w="1762"/>
      </w:tblGrid>
      <w:tr w14:paraId="38EFD197">
        <w:trPr>
          <w:trHeight w:val="288" w:hRule="atLeast"/>
        </w:trPr>
        <w:tc>
          <w:tcPr>
            <w:tcW w:w="5000" w:type="pct"/>
            <w:gridSpan w:val="5"/>
            <w:tcBorders>
              <w:top w:val="single" w:color="auto" w:sz="4" w:space="0"/>
              <w:left w:val="nil"/>
              <w:right w:val="nil"/>
            </w:tcBorders>
            <w:noWrap/>
            <w:vAlign w:val="bottom"/>
          </w:tcPr>
          <w:p w14:paraId="44DEF87E">
            <w:pPr>
              <w:spacing w:after="0" w:line="360" w:lineRule="auto"/>
              <w:jc w:val="center"/>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Null Hypothesis: No levels relationship</w:t>
            </w:r>
          </w:p>
        </w:tc>
      </w:tr>
      <w:tr w14:paraId="16D5684D">
        <w:tblPrEx>
          <w:tblCellMar>
            <w:top w:w="0" w:type="dxa"/>
            <w:left w:w="108" w:type="dxa"/>
            <w:bottom w:w="0" w:type="dxa"/>
            <w:right w:w="108" w:type="dxa"/>
          </w:tblCellMar>
        </w:tblPrEx>
        <w:trPr>
          <w:trHeight w:val="288" w:hRule="atLeast"/>
        </w:trPr>
        <w:tc>
          <w:tcPr>
            <w:tcW w:w="1008" w:type="pct"/>
            <w:tcBorders>
              <w:top w:val="nil"/>
              <w:left w:val="nil"/>
              <w:bottom w:val="single" w:color="auto" w:sz="4" w:space="0"/>
              <w:right w:val="nil"/>
            </w:tcBorders>
            <w:noWrap/>
            <w:vAlign w:val="bottom"/>
          </w:tcPr>
          <w:p w14:paraId="63486332">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Test Statistic</w:t>
            </w:r>
          </w:p>
        </w:tc>
        <w:tc>
          <w:tcPr>
            <w:tcW w:w="915" w:type="pct"/>
            <w:tcBorders>
              <w:top w:val="nil"/>
              <w:left w:val="nil"/>
              <w:bottom w:val="single" w:color="auto" w:sz="4" w:space="0"/>
              <w:right w:val="nil"/>
            </w:tcBorders>
            <w:noWrap/>
            <w:vAlign w:val="bottom"/>
          </w:tcPr>
          <w:p w14:paraId="6B127118">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Value</w:t>
            </w:r>
          </w:p>
        </w:tc>
        <w:tc>
          <w:tcPr>
            <w:tcW w:w="1169" w:type="pct"/>
            <w:tcBorders>
              <w:top w:val="nil"/>
              <w:left w:val="nil"/>
              <w:bottom w:val="single" w:color="auto" w:sz="4" w:space="0"/>
              <w:right w:val="nil"/>
            </w:tcBorders>
            <w:noWrap/>
            <w:vAlign w:val="bottom"/>
          </w:tcPr>
          <w:p w14:paraId="3D899031">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Significance</w:t>
            </w:r>
          </w:p>
        </w:tc>
        <w:tc>
          <w:tcPr>
            <w:tcW w:w="957" w:type="pct"/>
            <w:tcBorders>
              <w:top w:val="nil"/>
              <w:left w:val="nil"/>
              <w:bottom w:val="single" w:color="auto" w:sz="4" w:space="0"/>
              <w:right w:val="nil"/>
            </w:tcBorders>
            <w:noWrap/>
            <w:vAlign w:val="bottom"/>
          </w:tcPr>
          <w:p w14:paraId="616D85FC">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Lower bound I(0)</w:t>
            </w:r>
          </w:p>
        </w:tc>
        <w:tc>
          <w:tcPr>
            <w:tcW w:w="951" w:type="pct"/>
            <w:tcBorders>
              <w:top w:val="nil"/>
              <w:left w:val="nil"/>
              <w:bottom w:val="single" w:color="auto" w:sz="4" w:space="0"/>
              <w:right w:val="nil"/>
            </w:tcBorders>
            <w:noWrap/>
            <w:vAlign w:val="bottom"/>
          </w:tcPr>
          <w:p w14:paraId="41B9FAC0">
            <w:pPr>
              <w:spacing w:after="0" w:line="360" w:lineRule="auto"/>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Upper bound I(1)</w:t>
            </w:r>
          </w:p>
        </w:tc>
      </w:tr>
      <w:tr w14:paraId="0C5BBCD8">
        <w:tblPrEx>
          <w:tblCellMar>
            <w:top w:w="0" w:type="dxa"/>
            <w:left w:w="108" w:type="dxa"/>
            <w:bottom w:w="0" w:type="dxa"/>
            <w:right w:w="108" w:type="dxa"/>
          </w:tblCellMar>
        </w:tblPrEx>
        <w:trPr>
          <w:trHeight w:val="288" w:hRule="atLeast"/>
        </w:trPr>
        <w:tc>
          <w:tcPr>
            <w:tcW w:w="1008" w:type="pct"/>
            <w:tcBorders>
              <w:top w:val="single" w:color="auto" w:sz="4" w:space="0"/>
              <w:left w:val="nil"/>
              <w:bottom w:val="nil"/>
              <w:right w:val="nil"/>
            </w:tcBorders>
            <w:noWrap/>
            <w:vAlign w:val="bottom"/>
          </w:tcPr>
          <w:p w14:paraId="140F0F9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F-statistic</w:t>
            </w:r>
          </w:p>
        </w:tc>
        <w:tc>
          <w:tcPr>
            <w:tcW w:w="915" w:type="pct"/>
            <w:tcBorders>
              <w:top w:val="single" w:color="auto" w:sz="4" w:space="0"/>
              <w:left w:val="nil"/>
              <w:bottom w:val="nil"/>
              <w:right w:val="nil"/>
            </w:tcBorders>
            <w:noWrap/>
            <w:vAlign w:val="bottom"/>
          </w:tcPr>
          <w:p w14:paraId="20D4ECF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4.845***</w:t>
            </w:r>
          </w:p>
        </w:tc>
        <w:tc>
          <w:tcPr>
            <w:tcW w:w="1169" w:type="pct"/>
            <w:tcBorders>
              <w:top w:val="single" w:color="auto" w:sz="4" w:space="0"/>
              <w:left w:val="nil"/>
              <w:bottom w:val="nil"/>
              <w:right w:val="nil"/>
            </w:tcBorders>
            <w:noWrap/>
            <w:vAlign w:val="bottom"/>
          </w:tcPr>
          <w:p w14:paraId="23949269">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10%</w:t>
            </w:r>
          </w:p>
        </w:tc>
        <w:tc>
          <w:tcPr>
            <w:tcW w:w="957" w:type="pct"/>
            <w:tcBorders>
              <w:top w:val="single" w:color="auto" w:sz="4" w:space="0"/>
              <w:left w:val="nil"/>
              <w:bottom w:val="nil"/>
              <w:right w:val="nil"/>
            </w:tcBorders>
            <w:noWrap/>
            <w:vAlign w:val="bottom"/>
          </w:tcPr>
          <w:p w14:paraId="15C17A39">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2.08</w:t>
            </w:r>
          </w:p>
        </w:tc>
        <w:tc>
          <w:tcPr>
            <w:tcW w:w="951" w:type="pct"/>
            <w:tcBorders>
              <w:top w:val="single" w:color="auto" w:sz="4" w:space="0"/>
              <w:left w:val="nil"/>
              <w:bottom w:val="nil"/>
              <w:right w:val="nil"/>
            </w:tcBorders>
            <w:noWrap/>
            <w:vAlign w:val="bottom"/>
          </w:tcPr>
          <w:p w14:paraId="3A7A9966">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w:t>
            </w:r>
          </w:p>
        </w:tc>
      </w:tr>
      <w:tr w14:paraId="278497CE">
        <w:tblPrEx>
          <w:tblCellMar>
            <w:top w:w="0" w:type="dxa"/>
            <w:left w:w="108" w:type="dxa"/>
            <w:bottom w:w="0" w:type="dxa"/>
            <w:right w:w="108" w:type="dxa"/>
          </w:tblCellMar>
        </w:tblPrEx>
        <w:trPr>
          <w:trHeight w:val="288" w:hRule="atLeast"/>
        </w:trPr>
        <w:tc>
          <w:tcPr>
            <w:tcW w:w="1008" w:type="pct"/>
            <w:tcBorders>
              <w:top w:val="nil"/>
              <w:left w:val="nil"/>
              <w:right w:val="nil"/>
            </w:tcBorders>
            <w:noWrap/>
            <w:vAlign w:val="bottom"/>
          </w:tcPr>
          <w:p w14:paraId="36685554">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k</w:t>
            </w:r>
          </w:p>
        </w:tc>
        <w:tc>
          <w:tcPr>
            <w:tcW w:w="915" w:type="pct"/>
            <w:tcBorders>
              <w:top w:val="nil"/>
              <w:left w:val="nil"/>
              <w:right w:val="nil"/>
            </w:tcBorders>
            <w:noWrap/>
            <w:vAlign w:val="bottom"/>
          </w:tcPr>
          <w:p w14:paraId="5B9E4D7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w:t>
            </w:r>
          </w:p>
        </w:tc>
        <w:tc>
          <w:tcPr>
            <w:tcW w:w="1169" w:type="pct"/>
            <w:tcBorders>
              <w:top w:val="nil"/>
              <w:left w:val="nil"/>
              <w:right w:val="nil"/>
            </w:tcBorders>
            <w:noWrap/>
            <w:vAlign w:val="bottom"/>
          </w:tcPr>
          <w:p w14:paraId="630E6874">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5%</w:t>
            </w:r>
          </w:p>
        </w:tc>
        <w:tc>
          <w:tcPr>
            <w:tcW w:w="957" w:type="pct"/>
            <w:tcBorders>
              <w:top w:val="nil"/>
              <w:left w:val="nil"/>
              <w:right w:val="nil"/>
            </w:tcBorders>
            <w:noWrap/>
            <w:vAlign w:val="bottom"/>
          </w:tcPr>
          <w:p w14:paraId="3ACA1A02">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2.39</w:t>
            </w:r>
          </w:p>
        </w:tc>
        <w:tc>
          <w:tcPr>
            <w:tcW w:w="951" w:type="pct"/>
            <w:tcBorders>
              <w:top w:val="nil"/>
              <w:left w:val="nil"/>
              <w:right w:val="nil"/>
            </w:tcBorders>
            <w:noWrap/>
            <w:vAlign w:val="bottom"/>
          </w:tcPr>
          <w:p w14:paraId="76549FD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3.38</w:t>
            </w:r>
          </w:p>
        </w:tc>
      </w:tr>
      <w:tr w14:paraId="64CC38D2">
        <w:tblPrEx>
          <w:tblCellMar>
            <w:top w:w="0" w:type="dxa"/>
            <w:left w:w="108" w:type="dxa"/>
            <w:bottom w:w="0" w:type="dxa"/>
            <w:right w:w="108" w:type="dxa"/>
          </w:tblCellMar>
        </w:tblPrEx>
        <w:trPr>
          <w:trHeight w:val="288" w:hRule="atLeast"/>
        </w:trPr>
        <w:tc>
          <w:tcPr>
            <w:tcW w:w="1008" w:type="pct"/>
            <w:tcBorders>
              <w:top w:val="nil"/>
              <w:left w:val="nil"/>
              <w:bottom w:val="single" w:color="auto" w:sz="4" w:space="0"/>
              <w:right w:val="nil"/>
            </w:tcBorders>
            <w:noWrap/>
            <w:vAlign w:val="bottom"/>
          </w:tcPr>
          <w:p w14:paraId="24C08331">
            <w:pPr>
              <w:spacing w:after="0" w:line="360" w:lineRule="auto"/>
              <w:rPr>
                <w:rFonts w:ascii="Times New Roman" w:hAnsi="Times New Roman" w:eastAsia="Times New Roman" w:cs="Times New Roman"/>
                <w:color w:val="000000"/>
                <w:sz w:val="20"/>
                <w:szCs w:val="20"/>
                <w:lang w:eastAsia="en-GB"/>
              </w:rPr>
            </w:pPr>
          </w:p>
        </w:tc>
        <w:tc>
          <w:tcPr>
            <w:tcW w:w="915" w:type="pct"/>
            <w:tcBorders>
              <w:top w:val="nil"/>
              <w:left w:val="nil"/>
              <w:bottom w:val="single" w:color="auto" w:sz="4" w:space="0"/>
              <w:right w:val="nil"/>
            </w:tcBorders>
            <w:noWrap/>
            <w:vAlign w:val="bottom"/>
          </w:tcPr>
          <w:p w14:paraId="0875C1FA">
            <w:pPr>
              <w:spacing w:after="0" w:line="360" w:lineRule="auto"/>
              <w:rPr>
                <w:rFonts w:ascii="Times New Roman" w:hAnsi="Times New Roman" w:eastAsia="Times New Roman" w:cs="Times New Roman"/>
                <w:sz w:val="20"/>
                <w:szCs w:val="20"/>
                <w:lang w:eastAsia="en-GB"/>
              </w:rPr>
            </w:pPr>
          </w:p>
        </w:tc>
        <w:tc>
          <w:tcPr>
            <w:tcW w:w="1169" w:type="pct"/>
            <w:tcBorders>
              <w:top w:val="nil"/>
              <w:left w:val="nil"/>
              <w:bottom w:val="single" w:color="auto" w:sz="4" w:space="0"/>
              <w:right w:val="nil"/>
            </w:tcBorders>
            <w:noWrap/>
            <w:vAlign w:val="bottom"/>
          </w:tcPr>
          <w:p w14:paraId="289F38C3">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1%</w:t>
            </w:r>
          </w:p>
        </w:tc>
        <w:tc>
          <w:tcPr>
            <w:tcW w:w="957" w:type="pct"/>
            <w:tcBorders>
              <w:top w:val="nil"/>
              <w:left w:val="nil"/>
              <w:bottom w:val="single" w:color="auto" w:sz="4" w:space="0"/>
              <w:right w:val="nil"/>
            </w:tcBorders>
            <w:noWrap/>
            <w:vAlign w:val="bottom"/>
          </w:tcPr>
          <w:p w14:paraId="7F51595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3.06</w:t>
            </w:r>
          </w:p>
        </w:tc>
        <w:tc>
          <w:tcPr>
            <w:tcW w:w="951" w:type="pct"/>
            <w:tcBorders>
              <w:top w:val="nil"/>
              <w:left w:val="nil"/>
              <w:bottom w:val="single" w:color="auto" w:sz="4" w:space="0"/>
              <w:right w:val="nil"/>
            </w:tcBorders>
            <w:noWrap/>
            <w:vAlign w:val="bottom"/>
          </w:tcPr>
          <w:p w14:paraId="6EDE64C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4.15</w:t>
            </w:r>
          </w:p>
        </w:tc>
      </w:tr>
    </w:tbl>
    <w:p w14:paraId="09ACC21C">
      <w:pPr>
        <w:spacing w:before="240" w:line="360" w:lineRule="auto"/>
        <w:rPr>
          <w:rFonts w:ascii="Times New Roman" w:hAnsi="Times New Roman" w:eastAsia="Aptos" w:cs="Times New Roman"/>
          <w:i/>
          <w:iCs/>
          <w:sz w:val="20"/>
          <w:szCs w:val="20"/>
        </w:rPr>
      </w:pPr>
      <w:r>
        <w:rPr>
          <w:rFonts w:ascii="Times New Roman" w:hAnsi="Times New Roman" w:eastAsia="Aptos" w:cs="Times New Roman"/>
          <w:b/>
          <w:bCs/>
          <w:i/>
          <w:iCs/>
          <w:sz w:val="20"/>
          <w:szCs w:val="20"/>
        </w:rPr>
        <w:t xml:space="preserve">Note: </w:t>
      </w:r>
      <w:r>
        <w:rPr>
          <w:rFonts w:ascii="Times New Roman" w:hAnsi="Times New Roman" w:eastAsia="Aptos" w:cs="Times New Roman"/>
          <w:i/>
          <w:iCs/>
          <w:sz w:val="20"/>
          <w:szCs w:val="20"/>
        </w:rPr>
        <w:t>The asterisk *** denote statistical significance at 1%levels, respectively.</w:t>
      </w:r>
    </w:p>
    <w:p w14:paraId="439F5C47">
      <w:pPr>
        <w:spacing w:before="240" w:line="360" w:lineRule="auto"/>
        <w:rPr>
          <w:rFonts w:ascii="Times New Roman" w:hAnsi="Times New Roman" w:eastAsia="Aptos" w:cs="Times New Roman"/>
          <w:i/>
          <w:iCs/>
          <w:sz w:val="20"/>
          <w:szCs w:val="20"/>
        </w:rPr>
      </w:pPr>
      <w:r>
        <w:rPr>
          <w:rFonts w:ascii="Times New Roman" w:hAnsi="Times New Roman" w:eastAsia="Aptos" w:cs="Times New Roman"/>
          <w:b/>
          <w:bCs/>
          <w:i/>
          <w:iCs/>
          <w:sz w:val="20"/>
          <w:szCs w:val="20"/>
        </w:rPr>
        <w:t xml:space="preserve">Source: </w:t>
      </w:r>
      <w:r>
        <w:rPr>
          <w:rFonts w:ascii="Times New Roman" w:hAnsi="Times New Roman" w:eastAsia="Aptos" w:cs="Times New Roman"/>
          <w:i/>
          <w:iCs/>
          <w:sz w:val="20"/>
          <w:szCs w:val="20"/>
        </w:rPr>
        <w:t>Researcher’s computation, (2025).</w:t>
      </w:r>
    </w:p>
    <w:p w14:paraId="382416E7">
      <w:pPr>
        <w:spacing w:before="240" w:line="360" w:lineRule="auto"/>
        <w:jc w:val="both"/>
        <w:rPr>
          <w:rFonts w:ascii="Times New Roman" w:hAnsi="Times New Roman" w:eastAsia="Aptos" w:cs="Times New Roman"/>
        </w:rPr>
      </w:pPr>
      <w:r>
        <w:rPr>
          <w:rFonts w:ascii="Times New Roman" w:hAnsi="Times New Roman" w:eastAsia="Aptos" w:cs="Times New Roman"/>
        </w:rPr>
        <w:t>The Bounds Test results indicate the existence of a long-run equilibrium relationship among industrial output and the selected macroeconomic variables. The computed F-statistic of 4.845 is significant at the 1% level and exceeds the upper bound critical value of 4.15, leading to the rejection of the null hypothesis of no cointegration. This provides strong evidence of a stable long-run relationship among industrial output, inflation, exchange rate, oil prices, credit to the private sector, and lending rate. Consequently, the use of the ARDL long-run framework and the associated Error Correction Model (ECM) is empirically justified for analysing the dynamics of Nigeria’s industrial sector.</w:t>
      </w:r>
    </w:p>
    <w:p w14:paraId="2267539E">
      <w:pPr>
        <w:spacing w:before="240" w:line="360" w:lineRule="auto"/>
        <w:jc w:val="both"/>
        <w:rPr>
          <w:rFonts w:ascii="Times New Roman" w:hAnsi="Times New Roman" w:eastAsia="Aptos" w:cs="Times New Roman"/>
        </w:rPr>
      </w:pPr>
      <w:r>
        <w:rPr>
          <w:rFonts w:ascii="Times New Roman" w:hAnsi="Times New Roman" w:eastAsia="Aptos" w:cs="Times New Roman"/>
          <w:b/>
          <w:bCs/>
        </w:rPr>
        <w:t>Table 5: Long and Short run Impact of selected macroeconomic variables on the share of the industrial sector in Nigeria</w:t>
      </w:r>
    </w:p>
    <w:tbl>
      <w:tblPr>
        <w:tblStyle w:val="12"/>
        <w:tblW w:w="5000" w:type="pct"/>
        <w:tblInd w:w="0" w:type="dxa"/>
        <w:tblLayout w:type="autofit"/>
        <w:tblCellMar>
          <w:top w:w="0" w:type="dxa"/>
          <w:left w:w="108" w:type="dxa"/>
          <w:bottom w:w="0" w:type="dxa"/>
          <w:right w:w="108" w:type="dxa"/>
        </w:tblCellMar>
      </w:tblPr>
      <w:tblGrid>
        <w:gridCol w:w="1861"/>
        <w:gridCol w:w="1173"/>
        <w:gridCol w:w="1032"/>
        <w:gridCol w:w="686"/>
        <w:gridCol w:w="1649"/>
        <w:gridCol w:w="1147"/>
        <w:gridCol w:w="1032"/>
        <w:gridCol w:w="686"/>
      </w:tblGrid>
      <w:tr w14:paraId="4BC5DA7C">
        <w:tblPrEx>
          <w:tblCellMar>
            <w:top w:w="0" w:type="dxa"/>
            <w:left w:w="108" w:type="dxa"/>
            <w:bottom w:w="0" w:type="dxa"/>
            <w:right w:w="108" w:type="dxa"/>
          </w:tblCellMar>
        </w:tblPrEx>
        <w:trPr>
          <w:trHeight w:val="288" w:hRule="atLeast"/>
        </w:trPr>
        <w:tc>
          <w:tcPr>
            <w:tcW w:w="2564" w:type="pct"/>
            <w:gridSpan w:val="4"/>
            <w:tcBorders>
              <w:top w:val="single" w:color="auto" w:sz="4" w:space="0"/>
              <w:bottom w:val="single" w:color="auto" w:sz="4" w:space="0"/>
            </w:tcBorders>
            <w:noWrap/>
            <w:vAlign w:val="bottom"/>
          </w:tcPr>
          <w:p w14:paraId="70FFA6E4">
            <w:pPr>
              <w:spacing w:after="0" w:line="360" w:lineRule="auto"/>
              <w:jc w:val="center"/>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Long Run</w:t>
            </w:r>
          </w:p>
        </w:tc>
        <w:tc>
          <w:tcPr>
            <w:tcW w:w="2436" w:type="pct"/>
            <w:gridSpan w:val="4"/>
            <w:tcBorders>
              <w:top w:val="single" w:color="auto" w:sz="4" w:space="0"/>
              <w:bottom w:val="single" w:color="auto" w:sz="4" w:space="0"/>
            </w:tcBorders>
            <w:noWrap/>
            <w:vAlign w:val="bottom"/>
          </w:tcPr>
          <w:p w14:paraId="1AB27882">
            <w:pPr>
              <w:spacing w:after="0" w:line="360" w:lineRule="auto"/>
              <w:jc w:val="center"/>
              <w:rPr>
                <w:rFonts w:ascii="Times New Roman" w:hAnsi="Times New Roman" w:eastAsia="Times New Roman" w:cs="Times New Roman"/>
                <w:b/>
                <w:bCs/>
                <w:color w:val="000000"/>
                <w:sz w:val="20"/>
                <w:szCs w:val="20"/>
                <w:lang w:eastAsia="en-GB"/>
              </w:rPr>
            </w:pPr>
            <w:r>
              <w:rPr>
                <w:rFonts w:ascii="Times New Roman" w:hAnsi="Times New Roman" w:eastAsia="Times New Roman" w:cs="Times New Roman"/>
                <w:b/>
                <w:bCs/>
                <w:color w:val="000000"/>
                <w:sz w:val="20"/>
                <w:szCs w:val="20"/>
                <w:lang w:eastAsia="en-GB"/>
              </w:rPr>
              <w:t>Short Run</w:t>
            </w:r>
          </w:p>
        </w:tc>
      </w:tr>
      <w:tr w14:paraId="11B16DB0">
        <w:tblPrEx>
          <w:tblCellMar>
            <w:top w:w="0" w:type="dxa"/>
            <w:left w:w="108" w:type="dxa"/>
            <w:bottom w:w="0" w:type="dxa"/>
            <w:right w:w="108" w:type="dxa"/>
          </w:tblCellMar>
        </w:tblPrEx>
        <w:trPr>
          <w:trHeight w:val="288" w:hRule="atLeast"/>
        </w:trPr>
        <w:tc>
          <w:tcPr>
            <w:tcW w:w="1004" w:type="pct"/>
            <w:tcBorders>
              <w:top w:val="single" w:color="auto" w:sz="4" w:space="0"/>
              <w:bottom w:val="single" w:color="auto" w:sz="4" w:space="0"/>
            </w:tcBorders>
            <w:noWrap/>
            <w:vAlign w:val="bottom"/>
          </w:tcPr>
          <w:p w14:paraId="005B96ED">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Variable</w:t>
            </w:r>
          </w:p>
        </w:tc>
        <w:tc>
          <w:tcPr>
            <w:tcW w:w="633" w:type="pct"/>
            <w:tcBorders>
              <w:top w:val="single" w:color="auto" w:sz="4" w:space="0"/>
              <w:bottom w:val="single" w:color="auto" w:sz="4" w:space="0"/>
            </w:tcBorders>
            <w:noWrap/>
            <w:vAlign w:val="bottom"/>
          </w:tcPr>
          <w:p w14:paraId="54B9A756">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Coefficient</w:t>
            </w:r>
          </w:p>
        </w:tc>
        <w:tc>
          <w:tcPr>
            <w:tcW w:w="557" w:type="pct"/>
            <w:tcBorders>
              <w:top w:val="single" w:color="auto" w:sz="4" w:space="0"/>
              <w:bottom w:val="single" w:color="auto" w:sz="4" w:space="0"/>
            </w:tcBorders>
            <w:noWrap/>
            <w:vAlign w:val="bottom"/>
          </w:tcPr>
          <w:p w14:paraId="715572A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Std. Error</w:t>
            </w:r>
          </w:p>
        </w:tc>
        <w:tc>
          <w:tcPr>
            <w:tcW w:w="370" w:type="pct"/>
            <w:tcBorders>
              <w:top w:val="single" w:color="auto" w:sz="4" w:space="0"/>
              <w:bottom w:val="single" w:color="auto" w:sz="4" w:space="0"/>
            </w:tcBorders>
            <w:noWrap/>
            <w:vAlign w:val="bottom"/>
          </w:tcPr>
          <w:p w14:paraId="761C1B73">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 xml:space="preserve">Prob.   </w:t>
            </w:r>
          </w:p>
        </w:tc>
        <w:tc>
          <w:tcPr>
            <w:tcW w:w="890" w:type="pct"/>
            <w:tcBorders>
              <w:top w:val="single" w:color="auto" w:sz="4" w:space="0"/>
              <w:bottom w:val="single" w:color="auto" w:sz="4" w:space="0"/>
            </w:tcBorders>
            <w:noWrap/>
            <w:vAlign w:val="bottom"/>
          </w:tcPr>
          <w:p w14:paraId="2F56003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Variable</w:t>
            </w:r>
          </w:p>
        </w:tc>
        <w:tc>
          <w:tcPr>
            <w:tcW w:w="619" w:type="pct"/>
            <w:tcBorders>
              <w:top w:val="single" w:color="auto" w:sz="4" w:space="0"/>
              <w:bottom w:val="single" w:color="auto" w:sz="4" w:space="0"/>
            </w:tcBorders>
            <w:noWrap/>
            <w:vAlign w:val="bottom"/>
          </w:tcPr>
          <w:p w14:paraId="1152238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Coefficient</w:t>
            </w:r>
          </w:p>
        </w:tc>
        <w:tc>
          <w:tcPr>
            <w:tcW w:w="557" w:type="pct"/>
            <w:tcBorders>
              <w:top w:val="single" w:color="auto" w:sz="4" w:space="0"/>
              <w:bottom w:val="single" w:color="auto" w:sz="4" w:space="0"/>
            </w:tcBorders>
            <w:noWrap/>
            <w:vAlign w:val="bottom"/>
          </w:tcPr>
          <w:p w14:paraId="172ACA9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Std. Error</w:t>
            </w:r>
          </w:p>
        </w:tc>
        <w:tc>
          <w:tcPr>
            <w:tcW w:w="370" w:type="pct"/>
            <w:tcBorders>
              <w:top w:val="single" w:color="auto" w:sz="4" w:space="0"/>
              <w:bottom w:val="single" w:color="auto" w:sz="4" w:space="0"/>
            </w:tcBorders>
            <w:noWrap/>
            <w:vAlign w:val="bottom"/>
          </w:tcPr>
          <w:p w14:paraId="5FA9D73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 xml:space="preserve">Prob.   </w:t>
            </w:r>
          </w:p>
        </w:tc>
      </w:tr>
      <w:tr w14:paraId="6F47A164">
        <w:tblPrEx>
          <w:tblCellMar>
            <w:top w:w="0" w:type="dxa"/>
            <w:left w:w="108" w:type="dxa"/>
            <w:bottom w:w="0" w:type="dxa"/>
            <w:right w:w="108" w:type="dxa"/>
          </w:tblCellMar>
        </w:tblPrEx>
        <w:trPr>
          <w:trHeight w:val="288" w:hRule="atLeast"/>
        </w:trPr>
        <w:tc>
          <w:tcPr>
            <w:tcW w:w="1004" w:type="pct"/>
            <w:tcBorders>
              <w:top w:val="single" w:color="auto" w:sz="4" w:space="0"/>
            </w:tcBorders>
            <w:noWrap/>
            <w:vAlign w:val="bottom"/>
          </w:tcPr>
          <w:p w14:paraId="5EC9A837">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Constant</w:t>
            </w:r>
          </w:p>
        </w:tc>
        <w:tc>
          <w:tcPr>
            <w:tcW w:w="633" w:type="pct"/>
            <w:tcBorders>
              <w:top w:val="single" w:color="auto" w:sz="4" w:space="0"/>
            </w:tcBorders>
            <w:noWrap/>
            <w:vAlign w:val="bottom"/>
          </w:tcPr>
          <w:p w14:paraId="7947376B">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-0.225</w:t>
            </w:r>
          </w:p>
        </w:tc>
        <w:tc>
          <w:tcPr>
            <w:tcW w:w="557" w:type="pct"/>
            <w:tcBorders>
              <w:top w:val="single" w:color="auto" w:sz="4" w:space="0"/>
            </w:tcBorders>
            <w:noWrap/>
            <w:vAlign w:val="bottom"/>
          </w:tcPr>
          <w:p w14:paraId="3C260439">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0.083</w:t>
            </w:r>
          </w:p>
        </w:tc>
        <w:tc>
          <w:tcPr>
            <w:tcW w:w="370" w:type="pct"/>
            <w:tcBorders>
              <w:top w:val="single" w:color="auto" w:sz="4" w:space="0"/>
            </w:tcBorders>
            <w:noWrap/>
            <w:vAlign w:val="bottom"/>
          </w:tcPr>
          <w:p w14:paraId="197CDE6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0.017</w:t>
            </w:r>
          </w:p>
        </w:tc>
        <w:tc>
          <w:tcPr>
            <w:tcW w:w="890" w:type="pct"/>
            <w:tcBorders>
              <w:top w:val="single" w:color="auto" w:sz="4" w:space="0"/>
            </w:tcBorders>
            <w:noWrap/>
            <w:vAlign w:val="bottom"/>
          </w:tcPr>
          <w:p w14:paraId="666C7A7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DLOG(INF,2)</w:t>
            </w:r>
          </w:p>
        </w:tc>
        <w:tc>
          <w:tcPr>
            <w:tcW w:w="619" w:type="pct"/>
            <w:tcBorders>
              <w:top w:val="single" w:color="auto" w:sz="4" w:space="0"/>
            </w:tcBorders>
            <w:noWrap/>
            <w:vAlign w:val="bottom"/>
          </w:tcPr>
          <w:p w14:paraId="6AA23244">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-0.045***</w:t>
            </w:r>
          </w:p>
        </w:tc>
        <w:tc>
          <w:tcPr>
            <w:tcW w:w="557" w:type="pct"/>
            <w:tcBorders>
              <w:top w:val="single" w:color="auto" w:sz="4" w:space="0"/>
            </w:tcBorders>
            <w:noWrap/>
            <w:vAlign w:val="bottom"/>
          </w:tcPr>
          <w:p w14:paraId="6B6F4626">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0.009</w:t>
            </w:r>
          </w:p>
        </w:tc>
        <w:tc>
          <w:tcPr>
            <w:tcW w:w="370" w:type="pct"/>
            <w:tcBorders>
              <w:top w:val="single" w:color="auto" w:sz="4" w:space="0"/>
            </w:tcBorders>
            <w:noWrap/>
            <w:vAlign w:val="bottom"/>
          </w:tcPr>
          <w:p w14:paraId="26E30BC7">
            <w:pPr>
              <w:spacing w:after="0" w:line="36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0.000</w:t>
            </w:r>
          </w:p>
        </w:tc>
      </w:tr>
      <w:tr w14:paraId="397E9BA8">
        <w:tblPrEx>
          <w:tblCellMar>
            <w:top w:w="0" w:type="dxa"/>
            <w:left w:w="108" w:type="dxa"/>
            <w:bottom w:w="0" w:type="dxa"/>
            <w:right w:w="108" w:type="dxa"/>
          </w:tblCellMar>
        </w:tblPrEx>
        <w:trPr>
          <w:trHeight w:val="288" w:hRule="atLeast"/>
        </w:trPr>
        <w:tc>
          <w:tcPr>
            <w:tcW w:w="1004" w:type="pct"/>
            <w:noWrap/>
            <w:vAlign w:val="bottom"/>
          </w:tcPr>
          <w:p w14:paraId="2A0759D6">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DLOG(INF)</w:t>
            </w:r>
          </w:p>
        </w:tc>
        <w:tc>
          <w:tcPr>
            <w:tcW w:w="633" w:type="pct"/>
            <w:noWrap/>
            <w:vAlign w:val="bottom"/>
          </w:tcPr>
          <w:p w14:paraId="770E3EC8">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-0.087*</w:t>
            </w:r>
          </w:p>
        </w:tc>
        <w:tc>
          <w:tcPr>
            <w:tcW w:w="557" w:type="pct"/>
            <w:noWrap/>
            <w:vAlign w:val="bottom"/>
          </w:tcPr>
          <w:p w14:paraId="788B68E7">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0.046</w:t>
            </w:r>
          </w:p>
        </w:tc>
        <w:tc>
          <w:tcPr>
            <w:tcW w:w="370" w:type="pct"/>
            <w:noWrap/>
            <w:vAlign w:val="bottom"/>
          </w:tcPr>
          <w:p w14:paraId="174455A4">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0.079</w:t>
            </w:r>
          </w:p>
        </w:tc>
        <w:tc>
          <w:tcPr>
            <w:tcW w:w="890" w:type="pct"/>
            <w:noWrap/>
            <w:vAlign w:val="bottom"/>
          </w:tcPr>
          <w:p w14:paraId="33962176">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DLOG(EXR(-1))</w:t>
            </w:r>
          </w:p>
        </w:tc>
        <w:tc>
          <w:tcPr>
            <w:tcW w:w="619" w:type="pct"/>
            <w:noWrap/>
            <w:vAlign w:val="bottom"/>
          </w:tcPr>
          <w:p w14:paraId="218E7E24">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-0.003</w:t>
            </w:r>
          </w:p>
        </w:tc>
        <w:tc>
          <w:tcPr>
            <w:tcW w:w="557" w:type="pct"/>
            <w:noWrap/>
            <w:vAlign w:val="bottom"/>
          </w:tcPr>
          <w:p w14:paraId="7289EF7C">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0.019</w:t>
            </w:r>
          </w:p>
        </w:tc>
        <w:tc>
          <w:tcPr>
            <w:tcW w:w="370" w:type="pct"/>
            <w:noWrap/>
            <w:vAlign w:val="bottom"/>
          </w:tcPr>
          <w:p w14:paraId="30B56208">
            <w:pPr>
              <w:spacing w:after="0" w:line="36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0.878</w:t>
            </w:r>
          </w:p>
        </w:tc>
      </w:tr>
      <w:tr w14:paraId="7959F193">
        <w:tblPrEx>
          <w:tblCellMar>
            <w:top w:w="0" w:type="dxa"/>
            <w:left w:w="108" w:type="dxa"/>
            <w:bottom w:w="0" w:type="dxa"/>
            <w:right w:w="108" w:type="dxa"/>
          </w:tblCellMar>
        </w:tblPrEx>
        <w:trPr>
          <w:trHeight w:val="288" w:hRule="atLeast"/>
        </w:trPr>
        <w:tc>
          <w:tcPr>
            <w:tcW w:w="1004" w:type="pct"/>
            <w:noWrap/>
            <w:vAlign w:val="bottom"/>
          </w:tcPr>
          <w:p w14:paraId="49265233">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LOG(EXR(-1))</w:t>
            </w:r>
          </w:p>
        </w:tc>
        <w:tc>
          <w:tcPr>
            <w:tcW w:w="633" w:type="pct"/>
            <w:noWrap/>
            <w:vAlign w:val="bottom"/>
          </w:tcPr>
          <w:p w14:paraId="5E2C440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-0.043**</w:t>
            </w:r>
          </w:p>
        </w:tc>
        <w:tc>
          <w:tcPr>
            <w:tcW w:w="557" w:type="pct"/>
            <w:noWrap/>
            <w:vAlign w:val="bottom"/>
          </w:tcPr>
          <w:p w14:paraId="633A5752">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0.020</w:t>
            </w:r>
          </w:p>
        </w:tc>
        <w:tc>
          <w:tcPr>
            <w:tcW w:w="370" w:type="pct"/>
            <w:noWrap/>
            <w:vAlign w:val="bottom"/>
          </w:tcPr>
          <w:p w14:paraId="5034C70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0.050</w:t>
            </w:r>
          </w:p>
        </w:tc>
        <w:tc>
          <w:tcPr>
            <w:tcW w:w="890" w:type="pct"/>
            <w:noWrap/>
            <w:vAlign w:val="bottom"/>
          </w:tcPr>
          <w:p w14:paraId="13C3E9A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DLOG(OIL)</w:t>
            </w:r>
          </w:p>
        </w:tc>
        <w:tc>
          <w:tcPr>
            <w:tcW w:w="619" w:type="pct"/>
            <w:noWrap/>
            <w:vAlign w:val="bottom"/>
          </w:tcPr>
          <w:p w14:paraId="5DE86A09">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0.090*</w:t>
            </w:r>
          </w:p>
        </w:tc>
        <w:tc>
          <w:tcPr>
            <w:tcW w:w="557" w:type="pct"/>
            <w:noWrap/>
            <w:vAlign w:val="bottom"/>
          </w:tcPr>
          <w:p w14:paraId="3838D37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0.018</w:t>
            </w:r>
          </w:p>
        </w:tc>
        <w:tc>
          <w:tcPr>
            <w:tcW w:w="370" w:type="pct"/>
            <w:noWrap/>
            <w:vAlign w:val="bottom"/>
          </w:tcPr>
          <w:p w14:paraId="7714F077">
            <w:pPr>
              <w:spacing w:after="0" w:line="36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0.000</w:t>
            </w:r>
          </w:p>
        </w:tc>
      </w:tr>
      <w:tr w14:paraId="4594B269">
        <w:tblPrEx>
          <w:tblCellMar>
            <w:top w:w="0" w:type="dxa"/>
            <w:left w:w="108" w:type="dxa"/>
            <w:bottom w:w="0" w:type="dxa"/>
            <w:right w:w="108" w:type="dxa"/>
          </w:tblCellMar>
        </w:tblPrEx>
        <w:trPr>
          <w:trHeight w:val="288" w:hRule="atLeast"/>
        </w:trPr>
        <w:tc>
          <w:tcPr>
            <w:tcW w:w="1004" w:type="pct"/>
            <w:noWrap/>
            <w:vAlign w:val="bottom"/>
          </w:tcPr>
          <w:p w14:paraId="0A95876C">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LOG(OIL)</w:t>
            </w:r>
          </w:p>
        </w:tc>
        <w:tc>
          <w:tcPr>
            <w:tcW w:w="633" w:type="pct"/>
            <w:noWrap/>
            <w:vAlign w:val="bottom"/>
          </w:tcPr>
          <w:p w14:paraId="2578E6D2">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0.111***</w:t>
            </w:r>
          </w:p>
        </w:tc>
        <w:tc>
          <w:tcPr>
            <w:tcW w:w="557" w:type="pct"/>
            <w:noWrap/>
            <w:vAlign w:val="bottom"/>
          </w:tcPr>
          <w:p w14:paraId="2A3BBCB0">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0.025</w:t>
            </w:r>
          </w:p>
        </w:tc>
        <w:tc>
          <w:tcPr>
            <w:tcW w:w="370" w:type="pct"/>
            <w:noWrap/>
            <w:vAlign w:val="bottom"/>
          </w:tcPr>
          <w:p w14:paraId="50C280D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0.001</w:t>
            </w:r>
          </w:p>
        </w:tc>
        <w:tc>
          <w:tcPr>
            <w:tcW w:w="890" w:type="pct"/>
            <w:noWrap/>
            <w:vAlign w:val="bottom"/>
          </w:tcPr>
          <w:p w14:paraId="50D53D80">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DLOG(CPS,2)</w:t>
            </w:r>
          </w:p>
        </w:tc>
        <w:tc>
          <w:tcPr>
            <w:tcW w:w="619" w:type="pct"/>
            <w:noWrap/>
            <w:vAlign w:val="bottom"/>
          </w:tcPr>
          <w:p w14:paraId="1FA53457">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0.032</w:t>
            </w:r>
          </w:p>
        </w:tc>
        <w:tc>
          <w:tcPr>
            <w:tcW w:w="557" w:type="pct"/>
            <w:noWrap/>
            <w:vAlign w:val="bottom"/>
          </w:tcPr>
          <w:p w14:paraId="1FD5A31B">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0.040</w:t>
            </w:r>
          </w:p>
        </w:tc>
        <w:tc>
          <w:tcPr>
            <w:tcW w:w="370" w:type="pct"/>
            <w:noWrap/>
            <w:vAlign w:val="bottom"/>
          </w:tcPr>
          <w:p w14:paraId="61DF10CF">
            <w:pPr>
              <w:spacing w:after="0" w:line="36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0.436</w:t>
            </w:r>
          </w:p>
        </w:tc>
      </w:tr>
      <w:tr w14:paraId="3A602E43">
        <w:tblPrEx>
          <w:tblCellMar>
            <w:top w:w="0" w:type="dxa"/>
            <w:left w:w="108" w:type="dxa"/>
            <w:bottom w:w="0" w:type="dxa"/>
            <w:right w:w="108" w:type="dxa"/>
          </w:tblCellMar>
        </w:tblPrEx>
        <w:trPr>
          <w:trHeight w:val="288" w:hRule="atLeast"/>
        </w:trPr>
        <w:tc>
          <w:tcPr>
            <w:tcW w:w="1004" w:type="pct"/>
            <w:noWrap/>
            <w:vAlign w:val="bottom"/>
          </w:tcPr>
          <w:p w14:paraId="748D3E7B">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DLOG(CPS)</w:t>
            </w:r>
          </w:p>
        </w:tc>
        <w:tc>
          <w:tcPr>
            <w:tcW w:w="633" w:type="pct"/>
            <w:noWrap/>
            <w:vAlign w:val="bottom"/>
          </w:tcPr>
          <w:p w14:paraId="69A2FAC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-0.138*</w:t>
            </w:r>
          </w:p>
        </w:tc>
        <w:tc>
          <w:tcPr>
            <w:tcW w:w="557" w:type="pct"/>
            <w:noWrap/>
            <w:vAlign w:val="bottom"/>
          </w:tcPr>
          <w:p w14:paraId="2C7C9012">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0.073</w:t>
            </w:r>
          </w:p>
        </w:tc>
        <w:tc>
          <w:tcPr>
            <w:tcW w:w="370" w:type="pct"/>
            <w:noWrap/>
            <w:vAlign w:val="bottom"/>
          </w:tcPr>
          <w:p w14:paraId="41AFD73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0.079</w:t>
            </w:r>
          </w:p>
        </w:tc>
        <w:tc>
          <w:tcPr>
            <w:tcW w:w="890" w:type="pct"/>
            <w:noWrap/>
            <w:vAlign w:val="bottom"/>
          </w:tcPr>
          <w:p w14:paraId="11DFEFD6">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D(LR,2)</w:t>
            </w:r>
          </w:p>
        </w:tc>
        <w:tc>
          <w:tcPr>
            <w:tcW w:w="619" w:type="pct"/>
            <w:noWrap/>
            <w:vAlign w:val="bottom"/>
          </w:tcPr>
          <w:p w14:paraId="5700A794">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-0.001</w:t>
            </w:r>
          </w:p>
        </w:tc>
        <w:tc>
          <w:tcPr>
            <w:tcW w:w="557" w:type="pct"/>
            <w:noWrap/>
            <w:vAlign w:val="bottom"/>
          </w:tcPr>
          <w:p w14:paraId="4F29B38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0.001</w:t>
            </w:r>
          </w:p>
        </w:tc>
        <w:tc>
          <w:tcPr>
            <w:tcW w:w="370" w:type="pct"/>
            <w:noWrap/>
            <w:vAlign w:val="bottom"/>
          </w:tcPr>
          <w:p w14:paraId="0DD8346F">
            <w:pPr>
              <w:spacing w:after="0" w:line="36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0.360</w:t>
            </w:r>
          </w:p>
        </w:tc>
      </w:tr>
      <w:tr w14:paraId="3D24AAC1">
        <w:tblPrEx>
          <w:tblCellMar>
            <w:top w:w="0" w:type="dxa"/>
            <w:left w:w="108" w:type="dxa"/>
            <w:bottom w:w="0" w:type="dxa"/>
            <w:right w:w="108" w:type="dxa"/>
          </w:tblCellMar>
        </w:tblPrEx>
        <w:trPr>
          <w:trHeight w:val="288" w:hRule="atLeast"/>
        </w:trPr>
        <w:tc>
          <w:tcPr>
            <w:tcW w:w="1004" w:type="pct"/>
            <w:tcBorders>
              <w:bottom w:val="single" w:color="auto" w:sz="4" w:space="0"/>
            </w:tcBorders>
            <w:noWrap/>
            <w:vAlign w:val="bottom"/>
          </w:tcPr>
          <w:p w14:paraId="16DB9310">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D(LR)</w:t>
            </w:r>
          </w:p>
        </w:tc>
        <w:tc>
          <w:tcPr>
            <w:tcW w:w="633" w:type="pct"/>
            <w:tcBorders>
              <w:bottom w:val="single" w:color="auto" w:sz="4" w:space="0"/>
            </w:tcBorders>
            <w:noWrap/>
            <w:vAlign w:val="bottom"/>
          </w:tcPr>
          <w:p w14:paraId="00A594AC">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-0.005</w:t>
            </w:r>
          </w:p>
        </w:tc>
        <w:tc>
          <w:tcPr>
            <w:tcW w:w="557" w:type="pct"/>
            <w:tcBorders>
              <w:bottom w:val="single" w:color="auto" w:sz="4" w:space="0"/>
            </w:tcBorders>
            <w:noWrap/>
            <w:vAlign w:val="bottom"/>
          </w:tcPr>
          <w:p w14:paraId="6B454560">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0.007</w:t>
            </w:r>
          </w:p>
        </w:tc>
        <w:tc>
          <w:tcPr>
            <w:tcW w:w="370" w:type="pct"/>
            <w:tcBorders>
              <w:bottom w:val="single" w:color="auto" w:sz="4" w:space="0"/>
            </w:tcBorders>
            <w:noWrap/>
            <w:vAlign w:val="bottom"/>
          </w:tcPr>
          <w:p w14:paraId="5B836B3C">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0.430</w:t>
            </w:r>
          </w:p>
        </w:tc>
        <w:tc>
          <w:tcPr>
            <w:tcW w:w="890" w:type="pct"/>
            <w:tcBorders>
              <w:bottom w:val="single" w:color="auto" w:sz="4" w:space="0"/>
            </w:tcBorders>
            <w:noWrap/>
            <w:vAlign w:val="bottom"/>
          </w:tcPr>
          <w:p w14:paraId="5BB5CFCF">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ECT (-1)</w:t>
            </w:r>
          </w:p>
        </w:tc>
        <w:tc>
          <w:tcPr>
            <w:tcW w:w="619" w:type="pct"/>
            <w:tcBorders>
              <w:bottom w:val="single" w:color="auto" w:sz="4" w:space="0"/>
            </w:tcBorders>
            <w:noWrap/>
            <w:vAlign w:val="bottom"/>
          </w:tcPr>
          <w:p w14:paraId="68F2316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-0.773***</w:t>
            </w:r>
          </w:p>
        </w:tc>
        <w:tc>
          <w:tcPr>
            <w:tcW w:w="557" w:type="pct"/>
            <w:tcBorders>
              <w:bottom w:val="single" w:color="auto" w:sz="4" w:space="0"/>
            </w:tcBorders>
            <w:noWrap/>
            <w:vAlign w:val="bottom"/>
          </w:tcPr>
          <w:p w14:paraId="2E5F451E">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0.111</w:t>
            </w:r>
          </w:p>
        </w:tc>
        <w:tc>
          <w:tcPr>
            <w:tcW w:w="370" w:type="pct"/>
            <w:tcBorders>
              <w:bottom w:val="single" w:color="auto" w:sz="4" w:space="0"/>
            </w:tcBorders>
            <w:noWrap/>
            <w:vAlign w:val="bottom"/>
          </w:tcPr>
          <w:p w14:paraId="17EB68EB">
            <w:pPr>
              <w:spacing w:after="0" w:line="360" w:lineRule="auto"/>
              <w:jc w:val="right"/>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0.000</w:t>
            </w:r>
          </w:p>
        </w:tc>
      </w:tr>
      <w:tr w14:paraId="16E18210">
        <w:tblPrEx>
          <w:tblCellMar>
            <w:top w:w="0" w:type="dxa"/>
            <w:left w:w="108" w:type="dxa"/>
            <w:bottom w:w="0" w:type="dxa"/>
            <w:right w:w="108" w:type="dxa"/>
          </w:tblCellMar>
        </w:tblPrEx>
        <w:trPr>
          <w:trHeight w:val="288" w:hRule="atLeast"/>
        </w:trPr>
        <w:tc>
          <w:tcPr>
            <w:tcW w:w="5000" w:type="pct"/>
            <w:gridSpan w:val="8"/>
            <w:tcBorders>
              <w:top w:val="single" w:color="auto" w:sz="4" w:space="0"/>
            </w:tcBorders>
            <w:noWrap/>
            <w:vAlign w:val="bottom"/>
          </w:tcPr>
          <w:p w14:paraId="42B78E79">
            <w:pPr>
              <w:spacing w:after="0" w:line="360" w:lineRule="auto"/>
              <w:jc w:val="center"/>
              <w:rPr>
                <w:rFonts w:ascii="Times New Roman" w:hAnsi="Times New Roman" w:eastAsia="Times New Roman" w:cs="Times New Roman"/>
                <w:b/>
                <w:bCs/>
                <w:sz w:val="20"/>
                <w:szCs w:val="20"/>
                <w:lang w:eastAsia="en-GB"/>
              </w:rPr>
            </w:pPr>
            <w:r>
              <w:rPr>
                <w:rFonts w:ascii="Times New Roman" w:hAnsi="Times New Roman" w:eastAsia="Times New Roman" w:cs="Times New Roman"/>
                <w:b/>
                <w:bCs/>
                <w:color w:val="000000"/>
                <w:sz w:val="20"/>
                <w:szCs w:val="20"/>
                <w:lang w:eastAsia="en-GB"/>
              </w:rPr>
              <w:t>Model Evaluation</w:t>
            </w:r>
          </w:p>
        </w:tc>
      </w:tr>
      <w:tr w14:paraId="6749E972">
        <w:tblPrEx>
          <w:tblCellMar>
            <w:top w:w="0" w:type="dxa"/>
            <w:left w:w="108" w:type="dxa"/>
            <w:bottom w:w="0" w:type="dxa"/>
            <w:right w:w="108" w:type="dxa"/>
          </w:tblCellMar>
        </w:tblPrEx>
        <w:trPr>
          <w:trHeight w:val="288" w:hRule="atLeast"/>
        </w:trPr>
        <w:tc>
          <w:tcPr>
            <w:tcW w:w="1004" w:type="pct"/>
            <w:noWrap/>
            <w:vAlign w:val="bottom"/>
          </w:tcPr>
          <w:p w14:paraId="64476BF0">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R-squared</w:t>
            </w:r>
          </w:p>
        </w:tc>
        <w:tc>
          <w:tcPr>
            <w:tcW w:w="633" w:type="pct"/>
            <w:noWrap/>
            <w:vAlign w:val="bottom"/>
          </w:tcPr>
          <w:p w14:paraId="2304C502">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0.877</w:t>
            </w:r>
          </w:p>
        </w:tc>
        <w:tc>
          <w:tcPr>
            <w:tcW w:w="557" w:type="pct"/>
            <w:noWrap/>
            <w:vAlign w:val="bottom"/>
          </w:tcPr>
          <w:p w14:paraId="0906AA02">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DW- stat</w:t>
            </w:r>
          </w:p>
        </w:tc>
        <w:tc>
          <w:tcPr>
            <w:tcW w:w="370" w:type="pct"/>
            <w:noWrap/>
            <w:vAlign w:val="bottom"/>
          </w:tcPr>
          <w:p w14:paraId="5FB4BEC1">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2.333</w:t>
            </w:r>
          </w:p>
        </w:tc>
        <w:tc>
          <w:tcPr>
            <w:tcW w:w="890" w:type="pct"/>
            <w:noWrap/>
            <w:vAlign w:val="bottom"/>
          </w:tcPr>
          <w:p w14:paraId="3406DC83">
            <w:pPr>
              <w:spacing w:after="0" w:line="360" w:lineRule="auto"/>
              <w:rPr>
                <w:rFonts w:ascii="Times New Roman" w:hAnsi="Times New Roman" w:eastAsia="Times New Roman" w:cs="Times New Roman"/>
                <w:color w:val="000000"/>
                <w:sz w:val="20"/>
                <w:szCs w:val="20"/>
                <w:lang w:eastAsia="en-GB"/>
              </w:rPr>
            </w:pPr>
          </w:p>
        </w:tc>
        <w:tc>
          <w:tcPr>
            <w:tcW w:w="619" w:type="pct"/>
            <w:noWrap/>
            <w:vAlign w:val="bottom"/>
          </w:tcPr>
          <w:p w14:paraId="064664BC">
            <w:pPr>
              <w:spacing w:after="0" w:line="360" w:lineRule="auto"/>
              <w:rPr>
                <w:rFonts w:ascii="Times New Roman" w:hAnsi="Times New Roman" w:eastAsia="Times New Roman" w:cs="Times New Roman"/>
                <w:sz w:val="20"/>
                <w:szCs w:val="20"/>
                <w:lang w:eastAsia="en-GB"/>
              </w:rPr>
            </w:pPr>
          </w:p>
        </w:tc>
        <w:tc>
          <w:tcPr>
            <w:tcW w:w="557" w:type="pct"/>
            <w:noWrap/>
            <w:vAlign w:val="bottom"/>
          </w:tcPr>
          <w:p w14:paraId="55933D4A">
            <w:pPr>
              <w:spacing w:after="0" w:line="360" w:lineRule="auto"/>
              <w:rPr>
                <w:rFonts w:ascii="Times New Roman" w:hAnsi="Times New Roman" w:eastAsia="Times New Roman" w:cs="Times New Roman"/>
                <w:sz w:val="20"/>
                <w:szCs w:val="20"/>
                <w:lang w:eastAsia="en-GB"/>
              </w:rPr>
            </w:pPr>
          </w:p>
        </w:tc>
        <w:tc>
          <w:tcPr>
            <w:tcW w:w="370" w:type="pct"/>
            <w:noWrap/>
            <w:vAlign w:val="bottom"/>
          </w:tcPr>
          <w:p w14:paraId="0CA3142E">
            <w:pPr>
              <w:spacing w:after="0" w:line="360" w:lineRule="auto"/>
              <w:rPr>
                <w:rFonts w:ascii="Times New Roman" w:hAnsi="Times New Roman" w:eastAsia="Times New Roman" w:cs="Times New Roman"/>
                <w:sz w:val="20"/>
                <w:szCs w:val="20"/>
                <w:lang w:eastAsia="en-GB"/>
              </w:rPr>
            </w:pPr>
          </w:p>
        </w:tc>
      </w:tr>
      <w:tr w14:paraId="555FBAE8">
        <w:tblPrEx>
          <w:tblCellMar>
            <w:top w:w="0" w:type="dxa"/>
            <w:left w:w="108" w:type="dxa"/>
            <w:bottom w:w="0" w:type="dxa"/>
            <w:right w:w="108" w:type="dxa"/>
          </w:tblCellMar>
        </w:tblPrEx>
        <w:trPr>
          <w:trHeight w:val="288" w:hRule="atLeast"/>
        </w:trPr>
        <w:tc>
          <w:tcPr>
            <w:tcW w:w="1004" w:type="pct"/>
            <w:tcBorders>
              <w:bottom w:val="single" w:color="auto" w:sz="4" w:space="0"/>
            </w:tcBorders>
            <w:noWrap/>
            <w:vAlign w:val="bottom"/>
          </w:tcPr>
          <w:p w14:paraId="198DB839">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Adjusted R-squared</w:t>
            </w:r>
          </w:p>
        </w:tc>
        <w:tc>
          <w:tcPr>
            <w:tcW w:w="633" w:type="pct"/>
            <w:tcBorders>
              <w:bottom w:val="single" w:color="auto" w:sz="4" w:space="0"/>
            </w:tcBorders>
            <w:noWrap/>
            <w:vAlign w:val="bottom"/>
          </w:tcPr>
          <w:p w14:paraId="6CE11535">
            <w:pPr>
              <w:spacing w:after="0" w:line="360" w:lineRule="auto"/>
              <w:rPr>
                <w:rFonts w:ascii="Times New Roman" w:hAnsi="Times New Roman" w:eastAsia="Times New Roman" w:cs="Times New Roman"/>
                <w:color w:val="000000"/>
                <w:sz w:val="20"/>
                <w:szCs w:val="20"/>
                <w:lang w:eastAsia="en-GB"/>
              </w:rPr>
            </w:pPr>
            <w:r>
              <w:rPr>
                <w:rFonts w:ascii="Times New Roman" w:hAnsi="Times New Roman" w:eastAsia="Times New Roman" w:cs="Times New Roman"/>
                <w:color w:val="000000"/>
                <w:sz w:val="20"/>
                <w:szCs w:val="20"/>
                <w:lang w:eastAsia="en-GB"/>
              </w:rPr>
              <w:t>0.821</w:t>
            </w:r>
          </w:p>
        </w:tc>
        <w:tc>
          <w:tcPr>
            <w:tcW w:w="557" w:type="pct"/>
            <w:tcBorders>
              <w:bottom w:val="single" w:color="auto" w:sz="4" w:space="0"/>
            </w:tcBorders>
            <w:noWrap/>
            <w:vAlign w:val="bottom"/>
          </w:tcPr>
          <w:p w14:paraId="11F77C6E">
            <w:pPr>
              <w:spacing w:after="0" w:line="360" w:lineRule="auto"/>
              <w:rPr>
                <w:rFonts w:ascii="Times New Roman" w:hAnsi="Times New Roman" w:eastAsia="Times New Roman" w:cs="Times New Roman"/>
                <w:color w:val="000000"/>
                <w:sz w:val="20"/>
                <w:szCs w:val="20"/>
                <w:lang w:eastAsia="en-GB"/>
              </w:rPr>
            </w:pPr>
          </w:p>
        </w:tc>
        <w:tc>
          <w:tcPr>
            <w:tcW w:w="370" w:type="pct"/>
            <w:tcBorders>
              <w:bottom w:val="single" w:color="auto" w:sz="4" w:space="0"/>
            </w:tcBorders>
            <w:noWrap/>
            <w:vAlign w:val="bottom"/>
          </w:tcPr>
          <w:p w14:paraId="5E6D4A45">
            <w:pPr>
              <w:spacing w:after="0" w:line="360" w:lineRule="auto"/>
              <w:rPr>
                <w:rFonts w:ascii="Times New Roman" w:hAnsi="Times New Roman" w:eastAsia="Times New Roman" w:cs="Times New Roman"/>
                <w:sz w:val="20"/>
                <w:szCs w:val="20"/>
                <w:lang w:eastAsia="en-GB"/>
              </w:rPr>
            </w:pPr>
          </w:p>
        </w:tc>
        <w:tc>
          <w:tcPr>
            <w:tcW w:w="890" w:type="pct"/>
            <w:tcBorders>
              <w:bottom w:val="single" w:color="auto" w:sz="4" w:space="0"/>
            </w:tcBorders>
            <w:noWrap/>
            <w:vAlign w:val="bottom"/>
          </w:tcPr>
          <w:p w14:paraId="21C72FC1">
            <w:pPr>
              <w:spacing w:after="0" w:line="360" w:lineRule="auto"/>
              <w:rPr>
                <w:rFonts w:ascii="Times New Roman" w:hAnsi="Times New Roman" w:eastAsia="Times New Roman" w:cs="Times New Roman"/>
                <w:sz w:val="20"/>
                <w:szCs w:val="20"/>
                <w:lang w:eastAsia="en-GB"/>
              </w:rPr>
            </w:pPr>
          </w:p>
        </w:tc>
        <w:tc>
          <w:tcPr>
            <w:tcW w:w="619" w:type="pct"/>
            <w:tcBorders>
              <w:bottom w:val="single" w:color="auto" w:sz="4" w:space="0"/>
            </w:tcBorders>
            <w:noWrap/>
            <w:vAlign w:val="bottom"/>
          </w:tcPr>
          <w:p w14:paraId="717FCE29">
            <w:pPr>
              <w:spacing w:after="0" w:line="360" w:lineRule="auto"/>
              <w:rPr>
                <w:rFonts w:ascii="Times New Roman" w:hAnsi="Times New Roman" w:eastAsia="Times New Roman" w:cs="Times New Roman"/>
                <w:sz w:val="20"/>
                <w:szCs w:val="20"/>
                <w:lang w:eastAsia="en-GB"/>
              </w:rPr>
            </w:pPr>
          </w:p>
        </w:tc>
        <w:tc>
          <w:tcPr>
            <w:tcW w:w="557" w:type="pct"/>
            <w:tcBorders>
              <w:bottom w:val="single" w:color="auto" w:sz="4" w:space="0"/>
            </w:tcBorders>
            <w:noWrap/>
            <w:vAlign w:val="bottom"/>
          </w:tcPr>
          <w:p w14:paraId="4F14ECEF">
            <w:pPr>
              <w:spacing w:after="0" w:line="360" w:lineRule="auto"/>
              <w:rPr>
                <w:rFonts w:ascii="Times New Roman" w:hAnsi="Times New Roman" w:eastAsia="Times New Roman" w:cs="Times New Roman"/>
                <w:sz w:val="20"/>
                <w:szCs w:val="20"/>
                <w:lang w:eastAsia="en-GB"/>
              </w:rPr>
            </w:pPr>
          </w:p>
        </w:tc>
        <w:tc>
          <w:tcPr>
            <w:tcW w:w="370" w:type="pct"/>
            <w:tcBorders>
              <w:bottom w:val="single" w:color="auto" w:sz="4" w:space="0"/>
            </w:tcBorders>
            <w:noWrap/>
            <w:vAlign w:val="bottom"/>
          </w:tcPr>
          <w:p w14:paraId="70D27858">
            <w:pPr>
              <w:spacing w:after="0" w:line="360" w:lineRule="auto"/>
              <w:rPr>
                <w:rFonts w:ascii="Times New Roman" w:hAnsi="Times New Roman" w:eastAsia="Times New Roman" w:cs="Times New Roman"/>
                <w:sz w:val="20"/>
                <w:szCs w:val="20"/>
                <w:lang w:eastAsia="en-GB"/>
              </w:rPr>
            </w:pPr>
          </w:p>
        </w:tc>
      </w:tr>
    </w:tbl>
    <w:p w14:paraId="549248B2">
      <w:pPr>
        <w:spacing w:before="240" w:line="360" w:lineRule="auto"/>
        <w:jc w:val="both"/>
        <w:rPr>
          <w:rFonts w:ascii="Times New Roman" w:hAnsi="Times New Roman" w:eastAsia="Aptos" w:cs="Times New Roman"/>
          <w:i/>
          <w:iCs/>
          <w:sz w:val="20"/>
          <w:szCs w:val="20"/>
        </w:rPr>
      </w:pPr>
      <w:r>
        <w:rPr>
          <w:rFonts w:ascii="Times New Roman" w:hAnsi="Times New Roman" w:eastAsia="Aptos" w:cs="Times New Roman"/>
          <w:b/>
          <w:bCs/>
          <w:i/>
          <w:iCs/>
          <w:sz w:val="20"/>
          <w:szCs w:val="20"/>
        </w:rPr>
        <w:t xml:space="preserve">Note: </w:t>
      </w:r>
      <w:r>
        <w:rPr>
          <w:rFonts w:ascii="Times New Roman" w:hAnsi="Times New Roman" w:eastAsia="Aptos" w:cs="Times New Roman"/>
          <w:i/>
          <w:iCs/>
          <w:sz w:val="20"/>
          <w:szCs w:val="20"/>
        </w:rPr>
        <w:t>The asterisk ***, ** and * denote statistical significance at 1%, 5%, and 10% levels, respectively.</w:t>
      </w:r>
    </w:p>
    <w:p w14:paraId="0AFBBC85">
      <w:pPr>
        <w:spacing w:before="240" w:line="360" w:lineRule="auto"/>
        <w:jc w:val="both"/>
        <w:rPr>
          <w:rFonts w:ascii="Times New Roman" w:hAnsi="Times New Roman" w:eastAsia="Aptos" w:cs="Times New Roman"/>
          <w:sz w:val="20"/>
          <w:szCs w:val="20"/>
        </w:rPr>
      </w:pPr>
      <w:r>
        <w:rPr>
          <w:rFonts w:ascii="Times New Roman" w:hAnsi="Times New Roman" w:eastAsia="Aptos" w:cs="Times New Roman"/>
          <w:b/>
          <w:bCs/>
          <w:i/>
          <w:iCs/>
          <w:sz w:val="20"/>
          <w:szCs w:val="20"/>
        </w:rPr>
        <w:t>Source</w:t>
      </w:r>
      <w:r>
        <w:rPr>
          <w:rFonts w:ascii="Times New Roman" w:hAnsi="Times New Roman" w:eastAsia="Aptos" w:cs="Times New Roman"/>
          <w:i/>
          <w:iCs/>
          <w:sz w:val="20"/>
          <w:szCs w:val="20"/>
        </w:rPr>
        <w:t>: Researcher’s computation, (2025).</w:t>
      </w:r>
    </w:p>
    <w:p w14:paraId="492D8119">
      <w:pPr>
        <w:spacing w:before="240" w:line="360" w:lineRule="auto"/>
        <w:jc w:val="both"/>
        <w:rPr>
          <w:rFonts w:ascii="Times New Roman" w:hAnsi="Times New Roman" w:eastAsia="Aptos" w:cs="Times New Roman"/>
          <w:lang w:val="zh-CN"/>
        </w:rPr>
      </w:pPr>
      <w:r>
        <w:rPr>
          <w:rFonts w:ascii="Times New Roman" w:hAnsi="Times New Roman" w:eastAsia="Aptos" w:cs="Times New Roman"/>
          <w:lang w:val="zh-CN"/>
        </w:rPr>
        <w:t>The results show that inflation and exchange rate instability are major constraints on Nigeria’s industrial sector across both the short and long run. Inflation exerts a consistently negative effect, with short-run price volatility having a particularly strong and disruptive impact on industrial planning and investment, while sustained inflation erodes competitiveness over time. Exchange rate depreciation also harms industrial output in the long run, reflecting the sector’s dependence on imported inputs, although its short-run effect is muted. In contrast, oil prices positively influence industrial performance in both periods, largely through revenue and demand channels, but this benefit highlights the sector’s structural dependence on volatile global oil markets.</w:t>
      </w:r>
    </w:p>
    <w:p w14:paraId="0577FFB6">
      <w:pPr>
        <w:spacing w:before="240" w:line="360" w:lineRule="auto"/>
        <w:jc w:val="both"/>
        <w:rPr>
          <w:rFonts w:ascii="Times New Roman" w:hAnsi="Times New Roman" w:eastAsia="Aptos" w:cs="Times New Roman"/>
          <w:lang w:val="zh-CN"/>
        </w:rPr>
      </w:pPr>
      <w:r>
        <w:rPr>
          <w:rFonts w:ascii="Times New Roman" w:hAnsi="Times New Roman" w:eastAsia="Aptos" w:cs="Times New Roman"/>
          <w:lang w:val="zh-CN"/>
        </w:rPr>
        <w:t>Financial variables display mixed outcomes. Credit to the private sector negatively affects industrial output in the long run, suggesting misallocation of funds away from productive industrial activities, while lending rates are insignificant, indicating deeper structural constraints beyond borrowing costs. The significant and large error correction term confirms a stable long-run equilibrium and rapid adjustment to shocks. The findings underscore the need for macroeconomic stability, effective exchange rate management, and targeted financial sector reforms to support sustainable industrial growth, in line with existing empirical evidence in the literature.</w:t>
      </w:r>
    </w:p>
    <w:p w14:paraId="25D624B6">
      <w:pPr>
        <w:spacing w:before="240" w:line="360" w:lineRule="auto"/>
        <w:jc w:val="both"/>
        <w:rPr>
          <w:rFonts w:ascii="Times New Roman" w:hAnsi="Times New Roman" w:eastAsia="Aptos" w:cs="Times New Roman"/>
        </w:rPr>
      </w:pPr>
      <w:r>
        <w:rPr>
          <w:rFonts w:ascii="Times New Roman" w:hAnsi="Times New Roman" w:eastAsia="Aptos" w:cs="Times New Roman"/>
          <w:b/>
          <w:bCs/>
        </w:rPr>
        <w:t>Table 6: Post-estimation residual diagnostics</w:t>
      </w:r>
      <w:r>
        <w:rPr>
          <w:rFonts w:ascii="Times New Roman" w:hAnsi="Times New Roman" w:eastAsia="Aptos" w:cs="Times New Roman"/>
        </w:rPr>
        <w:t xml:space="preserve"> </w:t>
      </w:r>
    </w:p>
    <w:tbl>
      <w:tblPr>
        <w:tblStyle w:val="12"/>
        <w:tblW w:w="5000" w:type="pct"/>
        <w:tblInd w:w="0" w:type="dxa"/>
        <w:tblLayout w:type="autofit"/>
        <w:tblCellMar>
          <w:top w:w="0" w:type="dxa"/>
          <w:left w:w="108" w:type="dxa"/>
          <w:bottom w:w="0" w:type="dxa"/>
          <w:right w:w="108" w:type="dxa"/>
        </w:tblCellMar>
      </w:tblPr>
      <w:tblGrid>
        <w:gridCol w:w="2756"/>
        <w:gridCol w:w="2289"/>
        <w:gridCol w:w="2670"/>
        <w:gridCol w:w="1551"/>
      </w:tblGrid>
      <w:tr w14:paraId="506402B1">
        <w:tblPrEx>
          <w:tblCellMar>
            <w:top w:w="0" w:type="dxa"/>
            <w:left w:w="108" w:type="dxa"/>
            <w:bottom w:w="0" w:type="dxa"/>
            <w:right w:w="108" w:type="dxa"/>
          </w:tblCellMar>
        </w:tblPrEx>
        <w:trPr>
          <w:trHeight w:val="288" w:hRule="atLeast"/>
        </w:trPr>
        <w:tc>
          <w:tcPr>
            <w:tcW w:w="1487" w:type="pct"/>
            <w:tcBorders>
              <w:top w:val="single" w:color="auto" w:sz="4" w:space="0"/>
              <w:left w:val="nil"/>
              <w:bottom w:val="single" w:color="auto" w:sz="4" w:space="0"/>
              <w:right w:val="nil"/>
            </w:tcBorders>
            <w:noWrap/>
            <w:vAlign w:val="bottom"/>
          </w:tcPr>
          <w:p w14:paraId="234B2319">
            <w:pPr>
              <w:spacing w:after="0" w:line="360" w:lineRule="auto"/>
              <w:rPr>
                <w:rFonts w:ascii="Times New Roman" w:hAnsi="Times New Roman" w:eastAsia="Times New Roman" w:cs="Times New Roman"/>
                <w:color w:val="000000"/>
                <w:sz w:val="22"/>
                <w:szCs w:val="22"/>
                <w:lang w:eastAsia="en-GB"/>
              </w:rPr>
            </w:pPr>
            <w:r>
              <w:rPr>
                <w:rFonts w:ascii="Times New Roman" w:hAnsi="Times New Roman" w:eastAsia="Times New Roman" w:cs="Times New Roman"/>
                <w:color w:val="000000"/>
                <w:sz w:val="22"/>
                <w:szCs w:val="22"/>
                <w:lang w:eastAsia="en-GB"/>
              </w:rPr>
              <w:t xml:space="preserve">Technique   </w:t>
            </w:r>
          </w:p>
        </w:tc>
        <w:tc>
          <w:tcPr>
            <w:tcW w:w="1235" w:type="pct"/>
            <w:tcBorders>
              <w:top w:val="single" w:color="auto" w:sz="4" w:space="0"/>
              <w:left w:val="nil"/>
              <w:bottom w:val="single" w:color="auto" w:sz="4" w:space="0"/>
              <w:right w:val="nil"/>
            </w:tcBorders>
            <w:noWrap/>
            <w:vAlign w:val="bottom"/>
          </w:tcPr>
          <w:p w14:paraId="148E4CC7">
            <w:pPr>
              <w:spacing w:after="0" w:line="360" w:lineRule="auto"/>
              <w:jc w:val="both"/>
              <w:rPr>
                <w:rFonts w:ascii="Times New Roman" w:hAnsi="Times New Roman" w:eastAsia="Times New Roman" w:cs="Times New Roman"/>
                <w:color w:val="000000"/>
                <w:sz w:val="22"/>
                <w:szCs w:val="22"/>
                <w:lang w:eastAsia="en-GB"/>
              </w:rPr>
            </w:pPr>
            <w:r>
              <w:rPr>
                <w:rFonts w:ascii="Times New Roman" w:hAnsi="Times New Roman" w:eastAsia="Times New Roman" w:cs="Times New Roman"/>
                <w:color w:val="000000"/>
                <w:sz w:val="22"/>
                <w:szCs w:val="22"/>
                <w:lang w:eastAsia="en-GB"/>
              </w:rPr>
              <w:t>F-Stat &amp; JB/ (Prob)</w:t>
            </w:r>
          </w:p>
        </w:tc>
        <w:tc>
          <w:tcPr>
            <w:tcW w:w="1441" w:type="pct"/>
            <w:tcBorders>
              <w:top w:val="single" w:color="auto" w:sz="4" w:space="0"/>
              <w:left w:val="nil"/>
              <w:bottom w:val="single" w:color="auto" w:sz="4" w:space="0"/>
              <w:right w:val="nil"/>
            </w:tcBorders>
            <w:noWrap/>
            <w:vAlign w:val="bottom"/>
          </w:tcPr>
          <w:p w14:paraId="322427D7">
            <w:pPr>
              <w:spacing w:after="0" w:line="360" w:lineRule="auto"/>
              <w:jc w:val="both"/>
              <w:rPr>
                <w:rFonts w:ascii="Times New Roman" w:hAnsi="Times New Roman" w:eastAsia="Times New Roman" w:cs="Times New Roman"/>
                <w:color w:val="000000"/>
                <w:sz w:val="22"/>
                <w:szCs w:val="22"/>
                <w:lang w:eastAsia="en-GB"/>
              </w:rPr>
            </w:pPr>
            <w:r>
              <w:rPr>
                <w:rFonts w:ascii="Times New Roman" w:hAnsi="Times New Roman" w:eastAsia="Times New Roman" w:cs="Times New Roman"/>
                <w:color w:val="000000"/>
                <w:sz w:val="22"/>
                <w:szCs w:val="22"/>
                <w:lang w:eastAsia="en-GB"/>
              </w:rPr>
              <w:t>Null Hypothesis</w:t>
            </w:r>
          </w:p>
        </w:tc>
        <w:tc>
          <w:tcPr>
            <w:tcW w:w="837" w:type="pct"/>
            <w:tcBorders>
              <w:top w:val="single" w:color="auto" w:sz="4" w:space="0"/>
              <w:left w:val="nil"/>
              <w:bottom w:val="single" w:color="auto" w:sz="4" w:space="0"/>
              <w:right w:val="nil"/>
            </w:tcBorders>
            <w:noWrap/>
            <w:vAlign w:val="bottom"/>
          </w:tcPr>
          <w:p w14:paraId="301929C4">
            <w:pPr>
              <w:spacing w:after="0" w:line="360" w:lineRule="auto"/>
              <w:jc w:val="both"/>
              <w:rPr>
                <w:rFonts w:ascii="Times New Roman" w:hAnsi="Times New Roman" w:eastAsia="Times New Roman" w:cs="Times New Roman"/>
                <w:color w:val="000000"/>
                <w:sz w:val="22"/>
                <w:szCs w:val="22"/>
                <w:lang w:eastAsia="en-GB"/>
              </w:rPr>
            </w:pPr>
            <w:r>
              <w:rPr>
                <w:rFonts w:ascii="Times New Roman" w:hAnsi="Times New Roman" w:eastAsia="Times New Roman" w:cs="Times New Roman"/>
                <w:color w:val="000000"/>
                <w:sz w:val="22"/>
                <w:szCs w:val="22"/>
                <w:lang w:eastAsia="en-GB"/>
              </w:rPr>
              <w:t>Decision</w:t>
            </w:r>
          </w:p>
        </w:tc>
      </w:tr>
      <w:tr w14:paraId="4CC87456">
        <w:tblPrEx>
          <w:tblCellMar>
            <w:top w:w="0" w:type="dxa"/>
            <w:left w:w="108" w:type="dxa"/>
            <w:bottom w:w="0" w:type="dxa"/>
            <w:right w:w="108" w:type="dxa"/>
          </w:tblCellMar>
        </w:tblPrEx>
        <w:trPr>
          <w:trHeight w:val="288" w:hRule="atLeast"/>
        </w:trPr>
        <w:tc>
          <w:tcPr>
            <w:tcW w:w="1487" w:type="pct"/>
            <w:tcBorders>
              <w:top w:val="single" w:color="auto" w:sz="4" w:space="0"/>
              <w:left w:val="nil"/>
              <w:bottom w:val="nil"/>
              <w:right w:val="nil"/>
            </w:tcBorders>
            <w:noWrap/>
            <w:vAlign w:val="bottom"/>
          </w:tcPr>
          <w:p w14:paraId="27C82CE0">
            <w:pPr>
              <w:spacing w:after="0" w:line="360" w:lineRule="auto"/>
              <w:rPr>
                <w:rFonts w:ascii="Times New Roman" w:hAnsi="Times New Roman" w:eastAsia="Times New Roman" w:cs="Times New Roman"/>
                <w:color w:val="000000"/>
                <w:sz w:val="22"/>
                <w:szCs w:val="22"/>
                <w:lang w:eastAsia="en-GB"/>
              </w:rPr>
            </w:pPr>
            <w:r>
              <w:rPr>
                <w:rFonts w:ascii="Times New Roman" w:hAnsi="Times New Roman" w:eastAsia="Times New Roman" w:cs="Times New Roman"/>
                <w:color w:val="000000"/>
                <w:sz w:val="22"/>
                <w:szCs w:val="22"/>
                <w:lang w:eastAsia="en-GB"/>
              </w:rPr>
              <w:t>Serial Correlation</w:t>
            </w:r>
          </w:p>
        </w:tc>
        <w:tc>
          <w:tcPr>
            <w:tcW w:w="1235" w:type="pct"/>
            <w:tcBorders>
              <w:top w:val="single" w:color="auto" w:sz="4" w:space="0"/>
              <w:left w:val="nil"/>
              <w:bottom w:val="nil"/>
              <w:right w:val="nil"/>
            </w:tcBorders>
            <w:noWrap/>
            <w:vAlign w:val="bottom"/>
          </w:tcPr>
          <w:p w14:paraId="456E486B">
            <w:pPr>
              <w:spacing w:after="0" w:line="360" w:lineRule="auto"/>
              <w:jc w:val="both"/>
              <w:rPr>
                <w:rFonts w:ascii="Times New Roman" w:hAnsi="Times New Roman" w:eastAsia="Times New Roman" w:cs="Times New Roman"/>
                <w:color w:val="000000"/>
                <w:sz w:val="22"/>
                <w:szCs w:val="22"/>
                <w:lang w:eastAsia="en-GB"/>
              </w:rPr>
            </w:pPr>
            <w:r>
              <w:rPr>
                <w:rFonts w:ascii="Times New Roman" w:hAnsi="Times New Roman" w:eastAsia="Times New Roman" w:cs="Times New Roman"/>
                <w:color w:val="000000"/>
                <w:sz w:val="22"/>
                <w:szCs w:val="22"/>
                <w:lang w:eastAsia="en-GB"/>
              </w:rPr>
              <w:t>2.64943 (0.111)</w:t>
            </w:r>
          </w:p>
        </w:tc>
        <w:tc>
          <w:tcPr>
            <w:tcW w:w="1441" w:type="pct"/>
            <w:tcBorders>
              <w:top w:val="single" w:color="auto" w:sz="4" w:space="0"/>
              <w:left w:val="nil"/>
              <w:bottom w:val="nil"/>
              <w:right w:val="nil"/>
            </w:tcBorders>
            <w:noWrap/>
            <w:vAlign w:val="bottom"/>
          </w:tcPr>
          <w:p w14:paraId="32DD0FCE">
            <w:pPr>
              <w:spacing w:after="0" w:line="360" w:lineRule="auto"/>
              <w:jc w:val="both"/>
              <w:rPr>
                <w:rFonts w:ascii="Times New Roman" w:hAnsi="Times New Roman" w:eastAsia="Times New Roman" w:cs="Times New Roman"/>
                <w:color w:val="000000"/>
                <w:sz w:val="22"/>
                <w:szCs w:val="22"/>
                <w:lang w:eastAsia="en-GB"/>
              </w:rPr>
            </w:pPr>
            <w:r>
              <w:rPr>
                <w:rFonts w:ascii="Times New Roman" w:hAnsi="Times New Roman" w:eastAsia="Times New Roman" w:cs="Times New Roman"/>
                <w:color w:val="000000"/>
                <w:sz w:val="22"/>
                <w:szCs w:val="22"/>
                <w:lang w:eastAsia="en-GB"/>
              </w:rPr>
              <w:t>No serial correlation</w:t>
            </w:r>
          </w:p>
        </w:tc>
        <w:tc>
          <w:tcPr>
            <w:tcW w:w="837" w:type="pct"/>
            <w:tcBorders>
              <w:top w:val="single" w:color="auto" w:sz="4" w:space="0"/>
              <w:left w:val="nil"/>
              <w:bottom w:val="nil"/>
              <w:right w:val="nil"/>
            </w:tcBorders>
            <w:noWrap/>
            <w:vAlign w:val="bottom"/>
          </w:tcPr>
          <w:p w14:paraId="65B430FE">
            <w:pPr>
              <w:spacing w:after="0" w:line="360" w:lineRule="auto"/>
              <w:jc w:val="both"/>
              <w:rPr>
                <w:rFonts w:ascii="Times New Roman" w:hAnsi="Times New Roman" w:eastAsia="Times New Roman" w:cs="Times New Roman"/>
                <w:color w:val="000000"/>
                <w:sz w:val="22"/>
                <w:szCs w:val="22"/>
                <w:lang w:eastAsia="en-GB"/>
              </w:rPr>
            </w:pPr>
            <w:r>
              <w:rPr>
                <w:rFonts w:ascii="Times New Roman" w:hAnsi="Times New Roman" w:eastAsia="Times New Roman" w:cs="Times New Roman"/>
                <w:color w:val="000000"/>
                <w:sz w:val="22"/>
                <w:szCs w:val="22"/>
                <w:lang w:eastAsia="en-GB"/>
              </w:rPr>
              <w:t>Accepted</w:t>
            </w:r>
          </w:p>
        </w:tc>
      </w:tr>
      <w:tr w14:paraId="2D8A271C">
        <w:tblPrEx>
          <w:tblCellMar>
            <w:top w:w="0" w:type="dxa"/>
            <w:left w:w="108" w:type="dxa"/>
            <w:bottom w:w="0" w:type="dxa"/>
            <w:right w:w="108" w:type="dxa"/>
          </w:tblCellMar>
        </w:tblPrEx>
        <w:trPr>
          <w:trHeight w:val="288" w:hRule="atLeast"/>
        </w:trPr>
        <w:tc>
          <w:tcPr>
            <w:tcW w:w="1487" w:type="pct"/>
            <w:tcBorders>
              <w:top w:val="nil"/>
              <w:left w:val="nil"/>
              <w:right w:val="nil"/>
            </w:tcBorders>
            <w:noWrap/>
            <w:vAlign w:val="bottom"/>
          </w:tcPr>
          <w:p w14:paraId="4123EEF1">
            <w:pPr>
              <w:spacing w:after="0" w:line="360" w:lineRule="auto"/>
              <w:rPr>
                <w:rFonts w:ascii="Times New Roman" w:hAnsi="Times New Roman" w:eastAsia="Times New Roman" w:cs="Times New Roman"/>
                <w:color w:val="000000"/>
                <w:sz w:val="22"/>
                <w:szCs w:val="22"/>
                <w:lang w:eastAsia="en-GB"/>
              </w:rPr>
            </w:pPr>
            <w:r>
              <w:rPr>
                <w:rFonts w:ascii="Times New Roman" w:hAnsi="Times New Roman" w:eastAsia="Times New Roman" w:cs="Times New Roman"/>
                <w:color w:val="000000"/>
                <w:sz w:val="22"/>
                <w:szCs w:val="22"/>
                <w:lang w:eastAsia="en-GB"/>
              </w:rPr>
              <w:t>Heteroskedasticity</w:t>
            </w:r>
          </w:p>
        </w:tc>
        <w:tc>
          <w:tcPr>
            <w:tcW w:w="1235" w:type="pct"/>
            <w:tcBorders>
              <w:top w:val="nil"/>
              <w:left w:val="nil"/>
              <w:right w:val="nil"/>
            </w:tcBorders>
            <w:noWrap/>
            <w:vAlign w:val="bottom"/>
          </w:tcPr>
          <w:p w14:paraId="1A927C61">
            <w:pPr>
              <w:spacing w:after="0" w:line="360" w:lineRule="auto"/>
              <w:jc w:val="both"/>
              <w:rPr>
                <w:rFonts w:ascii="Times New Roman" w:hAnsi="Times New Roman" w:eastAsia="Times New Roman" w:cs="Times New Roman"/>
                <w:color w:val="000000"/>
                <w:sz w:val="22"/>
                <w:szCs w:val="22"/>
                <w:lang w:eastAsia="en-GB"/>
              </w:rPr>
            </w:pPr>
            <w:r>
              <w:rPr>
                <w:rFonts w:ascii="Times New Roman" w:hAnsi="Times New Roman" w:eastAsia="Times New Roman" w:cs="Times New Roman"/>
                <w:color w:val="000000"/>
                <w:sz w:val="22"/>
                <w:szCs w:val="22"/>
                <w:lang w:eastAsia="en-GB"/>
              </w:rPr>
              <w:t>0.560644 (0.861)</w:t>
            </w:r>
          </w:p>
        </w:tc>
        <w:tc>
          <w:tcPr>
            <w:tcW w:w="1441" w:type="pct"/>
            <w:tcBorders>
              <w:top w:val="nil"/>
              <w:left w:val="nil"/>
              <w:right w:val="nil"/>
            </w:tcBorders>
            <w:noWrap/>
            <w:vAlign w:val="bottom"/>
          </w:tcPr>
          <w:p w14:paraId="00BA4D24">
            <w:pPr>
              <w:spacing w:after="0" w:line="360" w:lineRule="auto"/>
              <w:jc w:val="both"/>
              <w:rPr>
                <w:rFonts w:ascii="Times New Roman" w:hAnsi="Times New Roman" w:eastAsia="Times New Roman" w:cs="Times New Roman"/>
                <w:color w:val="000000"/>
                <w:sz w:val="22"/>
                <w:szCs w:val="22"/>
                <w:lang w:eastAsia="en-GB"/>
              </w:rPr>
            </w:pPr>
            <w:r>
              <w:rPr>
                <w:rFonts w:ascii="Times New Roman" w:hAnsi="Times New Roman" w:eastAsia="Times New Roman" w:cs="Times New Roman"/>
                <w:color w:val="000000"/>
                <w:sz w:val="22"/>
                <w:szCs w:val="22"/>
                <w:lang w:eastAsia="en-GB"/>
              </w:rPr>
              <w:t>Homoscedascity</w:t>
            </w:r>
          </w:p>
        </w:tc>
        <w:tc>
          <w:tcPr>
            <w:tcW w:w="837" w:type="pct"/>
            <w:tcBorders>
              <w:top w:val="nil"/>
              <w:left w:val="nil"/>
              <w:right w:val="nil"/>
            </w:tcBorders>
            <w:noWrap/>
            <w:vAlign w:val="bottom"/>
          </w:tcPr>
          <w:p w14:paraId="062DFE87">
            <w:pPr>
              <w:spacing w:after="0" w:line="360" w:lineRule="auto"/>
              <w:jc w:val="both"/>
              <w:rPr>
                <w:rFonts w:ascii="Times New Roman" w:hAnsi="Times New Roman" w:eastAsia="Times New Roman" w:cs="Times New Roman"/>
                <w:color w:val="000000"/>
                <w:sz w:val="22"/>
                <w:szCs w:val="22"/>
                <w:lang w:eastAsia="en-GB"/>
              </w:rPr>
            </w:pPr>
            <w:r>
              <w:rPr>
                <w:rFonts w:ascii="Times New Roman" w:hAnsi="Times New Roman" w:eastAsia="Times New Roman" w:cs="Times New Roman"/>
                <w:color w:val="000000"/>
                <w:sz w:val="22"/>
                <w:szCs w:val="22"/>
                <w:lang w:eastAsia="en-GB"/>
              </w:rPr>
              <w:t>Accepted</w:t>
            </w:r>
          </w:p>
        </w:tc>
      </w:tr>
      <w:tr w14:paraId="6D2FAE75">
        <w:tblPrEx>
          <w:tblCellMar>
            <w:top w:w="0" w:type="dxa"/>
            <w:left w:w="108" w:type="dxa"/>
            <w:bottom w:w="0" w:type="dxa"/>
            <w:right w:w="108" w:type="dxa"/>
          </w:tblCellMar>
        </w:tblPrEx>
        <w:trPr>
          <w:trHeight w:val="288" w:hRule="atLeast"/>
        </w:trPr>
        <w:tc>
          <w:tcPr>
            <w:tcW w:w="1487" w:type="pct"/>
            <w:tcBorders>
              <w:top w:val="nil"/>
              <w:left w:val="nil"/>
              <w:bottom w:val="single" w:color="auto" w:sz="4" w:space="0"/>
              <w:right w:val="nil"/>
            </w:tcBorders>
            <w:noWrap/>
            <w:vAlign w:val="bottom"/>
          </w:tcPr>
          <w:p w14:paraId="280B26A3">
            <w:pPr>
              <w:spacing w:after="0" w:line="360" w:lineRule="auto"/>
              <w:rPr>
                <w:rFonts w:ascii="Times New Roman" w:hAnsi="Times New Roman" w:eastAsia="Times New Roman" w:cs="Times New Roman"/>
                <w:color w:val="000000"/>
                <w:sz w:val="22"/>
                <w:szCs w:val="22"/>
                <w:lang w:eastAsia="en-GB"/>
              </w:rPr>
            </w:pPr>
            <w:r>
              <w:rPr>
                <w:rFonts w:ascii="Times New Roman" w:hAnsi="Times New Roman" w:eastAsia="Times New Roman" w:cs="Times New Roman"/>
                <w:color w:val="000000"/>
                <w:sz w:val="22"/>
                <w:szCs w:val="22"/>
                <w:lang w:eastAsia="en-GB"/>
              </w:rPr>
              <w:t>Normality</w:t>
            </w:r>
          </w:p>
        </w:tc>
        <w:tc>
          <w:tcPr>
            <w:tcW w:w="1235" w:type="pct"/>
            <w:tcBorders>
              <w:top w:val="nil"/>
              <w:left w:val="nil"/>
              <w:bottom w:val="single" w:color="auto" w:sz="4" w:space="0"/>
              <w:right w:val="nil"/>
            </w:tcBorders>
            <w:noWrap/>
            <w:vAlign w:val="bottom"/>
          </w:tcPr>
          <w:p w14:paraId="4ED5FE03">
            <w:pPr>
              <w:spacing w:after="0" w:line="360" w:lineRule="auto"/>
              <w:jc w:val="both"/>
              <w:rPr>
                <w:rFonts w:ascii="Times New Roman" w:hAnsi="Times New Roman" w:eastAsia="Times New Roman" w:cs="Times New Roman"/>
                <w:color w:val="000000"/>
                <w:sz w:val="22"/>
                <w:szCs w:val="22"/>
                <w:lang w:eastAsia="en-GB"/>
              </w:rPr>
            </w:pPr>
            <w:r>
              <w:rPr>
                <w:rFonts w:ascii="Times New Roman" w:hAnsi="Times New Roman" w:eastAsia="Times New Roman" w:cs="Times New Roman"/>
                <w:color w:val="000000"/>
                <w:sz w:val="22"/>
                <w:szCs w:val="22"/>
                <w:lang w:eastAsia="en-GB"/>
              </w:rPr>
              <w:t>0.170 (0.427)</w:t>
            </w:r>
          </w:p>
        </w:tc>
        <w:tc>
          <w:tcPr>
            <w:tcW w:w="1441" w:type="pct"/>
            <w:tcBorders>
              <w:top w:val="nil"/>
              <w:left w:val="nil"/>
              <w:bottom w:val="single" w:color="auto" w:sz="4" w:space="0"/>
              <w:right w:val="nil"/>
            </w:tcBorders>
            <w:noWrap/>
            <w:vAlign w:val="bottom"/>
          </w:tcPr>
          <w:p w14:paraId="027EA388">
            <w:pPr>
              <w:spacing w:after="0" w:line="360" w:lineRule="auto"/>
              <w:jc w:val="both"/>
              <w:rPr>
                <w:rFonts w:ascii="Times New Roman" w:hAnsi="Times New Roman" w:eastAsia="Times New Roman" w:cs="Times New Roman"/>
                <w:color w:val="000000"/>
                <w:sz w:val="22"/>
                <w:szCs w:val="22"/>
                <w:lang w:eastAsia="en-GB"/>
              </w:rPr>
            </w:pPr>
            <w:r>
              <w:rPr>
                <w:rFonts w:ascii="Times New Roman" w:hAnsi="Times New Roman" w:eastAsia="Times New Roman" w:cs="Times New Roman"/>
                <w:color w:val="000000"/>
                <w:sz w:val="22"/>
                <w:szCs w:val="22"/>
                <w:lang w:eastAsia="en-GB"/>
              </w:rPr>
              <w:t>Normal distribution</w:t>
            </w:r>
          </w:p>
        </w:tc>
        <w:tc>
          <w:tcPr>
            <w:tcW w:w="837" w:type="pct"/>
            <w:tcBorders>
              <w:top w:val="nil"/>
              <w:left w:val="nil"/>
              <w:bottom w:val="single" w:color="auto" w:sz="4" w:space="0"/>
              <w:right w:val="nil"/>
            </w:tcBorders>
            <w:noWrap/>
            <w:vAlign w:val="bottom"/>
          </w:tcPr>
          <w:p w14:paraId="4F543986">
            <w:pPr>
              <w:spacing w:after="0" w:line="360" w:lineRule="auto"/>
              <w:jc w:val="both"/>
              <w:rPr>
                <w:rFonts w:ascii="Times New Roman" w:hAnsi="Times New Roman" w:eastAsia="Times New Roman" w:cs="Times New Roman"/>
                <w:color w:val="000000"/>
                <w:sz w:val="22"/>
                <w:szCs w:val="22"/>
                <w:lang w:eastAsia="en-GB"/>
              </w:rPr>
            </w:pPr>
            <w:r>
              <w:rPr>
                <w:rFonts w:ascii="Times New Roman" w:hAnsi="Times New Roman" w:eastAsia="Times New Roman" w:cs="Times New Roman"/>
                <w:color w:val="000000"/>
                <w:sz w:val="22"/>
                <w:szCs w:val="22"/>
                <w:lang w:eastAsia="en-GB"/>
              </w:rPr>
              <w:t>Accepted</w:t>
            </w:r>
          </w:p>
        </w:tc>
      </w:tr>
    </w:tbl>
    <w:p w14:paraId="227FDB21">
      <w:pPr>
        <w:spacing w:before="240" w:line="360" w:lineRule="auto"/>
        <w:jc w:val="both"/>
        <w:rPr>
          <w:rFonts w:ascii="Times New Roman" w:hAnsi="Times New Roman" w:eastAsia="Aptos" w:cs="Times New Roman"/>
          <w:i/>
          <w:iCs/>
          <w:sz w:val="20"/>
          <w:szCs w:val="20"/>
        </w:rPr>
      </w:pPr>
      <w:r>
        <w:rPr>
          <w:rFonts w:ascii="Times New Roman" w:hAnsi="Times New Roman" w:eastAsia="Aptos" w:cs="Times New Roman"/>
          <w:b/>
          <w:bCs/>
          <w:i/>
          <w:iCs/>
          <w:sz w:val="20"/>
          <w:szCs w:val="20"/>
        </w:rPr>
        <w:t xml:space="preserve">Note: </w:t>
      </w:r>
      <w:r>
        <w:rPr>
          <w:rFonts w:ascii="Times New Roman" w:hAnsi="Times New Roman" w:eastAsia="Aptos" w:cs="Times New Roman"/>
          <w:i/>
          <w:iCs/>
          <w:sz w:val="20"/>
          <w:szCs w:val="20"/>
        </w:rPr>
        <w:t>Values in bracket are the probability values of the F-stat and Jarque-Bera tests for residual diagnostics.</w:t>
      </w:r>
    </w:p>
    <w:p w14:paraId="3CCAFDB5">
      <w:pPr>
        <w:spacing w:before="240" w:line="360" w:lineRule="auto"/>
        <w:jc w:val="both"/>
        <w:rPr>
          <w:rFonts w:ascii="Times New Roman" w:hAnsi="Times New Roman" w:eastAsia="Aptos" w:cs="Times New Roman"/>
          <w:i/>
          <w:iCs/>
          <w:sz w:val="20"/>
          <w:szCs w:val="20"/>
        </w:rPr>
      </w:pPr>
      <w:r>
        <w:rPr>
          <w:rFonts w:ascii="Times New Roman" w:hAnsi="Times New Roman" w:eastAsia="Aptos" w:cs="Times New Roman"/>
          <w:b/>
          <w:bCs/>
          <w:i/>
          <w:iCs/>
          <w:sz w:val="20"/>
          <w:szCs w:val="20"/>
        </w:rPr>
        <w:t xml:space="preserve">Source: </w:t>
      </w:r>
      <w:r>
        <w:rPr>
          <w:rFonts w:ascii="Times New Roman" w:hAnsi="Times New Roman" w:eastAsia="Aptos" w:cs="Times New Roman"/>
          <w:i/>
          <w:iCs/>
          <w:sz w:val="20"/>
          <w:szCs w:val="20"/>
        </w:rPr>
        <w:t>Researcher’s computation, (2025).</w:t>
      </w:r>
    </w:p>
    <w:p w14:paraId="296D5AB3">
      <w:pPr>
        <w:spacing w:before="240" w:line="360" w:lineRule="auto"/>
        <w:jc w:val="both"/>
        <w:rPr>
          <w:rFonts w:ascii="Times New Roman" w:hAnsi="Times New Roman" w:eastAsia="Aptos" w:cs="Times New Roman"/>
        </w:rPr>
      </w:pPr>
      <w:r>
        <w:rPr>
          <w:rFonts w:ascii="Times New Roman" w:hAnsi="Times New Roman" w:eastAsia="Aptos" w:cs="Times New Roman"/>
        </w:rPr>
        <w:t>The post-estimation diagnostic tests confirm the adequacy and robustness of the ARDL model. The Breusch-Godfrey LM test indicates no serial correlation in the residuals, the Breusch-Pagan-Godfrey test confirms homoscedasticity, and the Jarque-Bera test shows that the residuals are normally distributed, as all associated p-values exceed the 5% significance level. Together, these results imply that the model satisfies the classical linear regression assumptions, ensuring unbiased and efficient estimates and reliable statistical inference. Consequently, the findings on the macroeconomic determinants of the declining industrial sector’s share in Nigeria’s GDP are empirically sound and credible.</w:t>
      </w:r>
    </w:p>
    <w:p w14:paraId="1D2D761E">
      <w:pPr>
        <w:spacing w:line="360" w:lineRule="auto"/>
        <w:jc w:val="both"/>
        <w:rPr>
          <w:rFonts w:ascii="Times New Roman" w:hAnsi="Times New Roman" w:eastAsia="Aptos" w:cs="Times New Roman"/>
          <w:b/>
          <w:bCs/>
        </w:rPr>
      </w:pPr>
      <w:r>
        <w:rPr>
          <w:rFonts w:ascii="Times New Roman" w:hAnsi="Times New Roman" w:eastAsia="Aptos" w:cs="Times New Roman"/>
          <w:b/>
          <w:bCs/>
        </w:rPr>
        <w:t>Discussion of Findings</w:t>
      </w:r>
    </w:p>
    <w:p w14:paraId="194828E1">
      <w:pPr>
        <w:spacing w:line="360" w:lineRule="auto"/>
        <w:jc w:val="both"/>
        <w:rPr>
          <w:rFonts w:ascii="Times New Roman" w:hAnsi="Times New Roman" w:eastAsia="Aptos" w:cs="Times New Roman"/>
          <w:b/>
          <w:bCs/>
        </w:rPr>
      </w:pPr>
      <w:r>
        <w:rPr>
          <w:rFonts w:ascii="Times New Roman" w:hAnsi="Times New Roman" w:eastAsia="Aptos" w:cs="Times New Roman"/>
        </w:rPr>
        <w:t>The findings confirm a persistent decline in Nigeria’s industrial sector since the 1980s, driven by macroeconomic instability and structural distortions consistent with the Dutch Disease framework. Heavy dependence on oil revenues has diverted policy focus and investment away from industrialization, creating sectoral imbalances and weakening infrastructure and human capital development (Corden &amp; Neary, 1982). High inflation and sustained exchange rate depreciation emerged as major long-run constraints, with inflation eroding purchasing power and investment confidence and exchange rate depreciation raising production costs in Nigeria’s import-dependent industrial structure (Rodrik, 2008; Adedoyin et al., 2022). Although exchange rate adjustments are often expected to enhance competitiveness, Nigeria’s experience shows that, without reducing import dependence, depreciation instead fuels cost-push inflation and undermines industrial viability over time (Chikezie, 2015; Khan et al., 2018).</w:t>
      </w:r>
    </w:p>
    <w:p w14:paraId="49743484">
      <w:pPr>
        <w:spacing w:line="360" w:lineRule="auto"/>
        <w:jc w:val="both"/>
        <w:rPr>
          <w:rFonts w:ascii="Times New Roman" w:hAnsi="Times New Roman" w:eastAsia="Aptos" w:cs="Times New Roman"/>
        </w:rPr>
      </w:pPr>
      <w:r>
        <w:rPr>
          <w:rFonts w:ascii="Times New Roman" w:hAnsi="Times New Roman" w:eastAsia="Aptos" w:cs="Times New Roman"/>
        </w:rPr>
        <w:t>Oil prices exhibit a positive short- and long-run relationship with industrial output, reflecting temporary fiscal expansions and demand effects during oil booms; however, this masks deeper structural weaknesses, as oil revenues often reinforce import dependence and crowd out non-oil productive sectors (Omolola et al., 2023). Financial sector dynamics further highlight systemic inefficiencies, with credit to the private sector exerting a negative long-run effect on industrial output due to misallocation toward low-risk, non-productive activities, in line with credit rationing theory (Stiglitz &amp; Weiss, 1981; Anthony, 2023). The insignificance of lending rates, despite their high levels, supports the investment-climate argument that infrastructure deficits, policy inconsistency, and insecurity outweigh financing costs in shaping industrial investment decisions (World Bank, 2005). Together, these findings underscore the need for macroeconomic stabilization, targeted industrial finance, and policies that transform oil revenues into sustainable industrial linkages.</w:t>
      </w:r>
    </w:p>
    <w:p w14:paraId="597B025E">
      <w:pPr>
        <w:spacing w:line="360" w:lineRule="auto"/>
        <w:jc w:val="both"/>
        <w:rPr>
          <w:rFonts w:ascii="Times New Roman" w:hAnsi="Times New Roman" w:eastAsia="Aptos" w:cs="Times New Roman"/>
        </w:rPr>
      </w:pPr>
    </w:p>
    <w:p w14:paraId="18D2B9C8">
      <w:pPr>
        <w:spacing w:line="360" w:lineRule="auto"/>
        <w:rPr>
          <w:rFonts w:ascii="Times New Roman" w:hAnsi="Times New Roman" w:cs="Times New Roman"/>
          <w:b/>
        </w:rPr>
      </w:pPr>
      <w:r>
        <w:rPr>
          <w:rFonts w:ascii="Times New Roman" w:hAnsi="Times New Roman" w:cs="Times New Roman"/>
          <w:b/>
        </w:rPr>
        <w:t>CONCLUSION AND POLICY RECOMMENDATIONS</w:t>
      </w:r>
    </w:p>
    <w:p w14:paraId="1D52E3AE">
      <w:pPr>
        <w:spacing w:after="200" w:line="360" w:lineRule="auto"/>
        <w:jc w:val="both"/>
        <w:rPr>
          <w:rFonts w:ascii="Times New Roman" w:hAnsi="Times New Roman" w:eastAsia="SimSun" w:cs="Times New Roman"/>
          <w:bCs/>
          <w:lang w:val="en-US"/>
        </w:rPr>
      </w:pPr>
      <w:r>
        <w:rPr>
          <w:rFonts w:ascii="Times New Roman" w:hAnsi="Times New Roman" w:eastAsia="SimSun" w:cs="Times New Roman"/>
          <w:bCs/>
          <w:lang w:val="en-US"/>
        </w:rPr>
        <w:t>This study provides a comprehensive empirical assessment of the macroeconomic determinants influencing the declining share of Nigeria’s industrial sector in GDP, employing the ARDL methodology to analyze 43 years of annual data (1981-2023) both short-run dynamics and long-run equilibrium relationships. The study examines the impact of inflation rate, exchange rate, lending rate (which proxies interest rate), oil prices and credit to private sector on the share of industrial sector to GDP. The findings reveal that macroeconomic instability, particularly inflation and exchange rate volatility, exerts significant adverse effects on industrial performance. In the long run, inflation and exchange rate depreciation negatively impact industrial output, reflecting structural vulnerabilities such as import dependency, rising production costs, and eroded investor confidence. Conversely, oil prices demonstrate a positive relationship with the share of industrial sector, underscoring the dual role of oil revenues in providing fiscal liquidity while simultaneously exposing the economy to Dutch Disease effects, were resource dominance stifles diversification. Notably, credit to the private sector and lending rates show counterintuitive or insignificant effects, suggesting inefficiencies in financial intermediation and limited access to productive financing for industrial firms. The error correction mechanism confirms a robust long-run equilibrium, with a high adjustment speed (77%) restoring deviations annually, validating the model’s stability and reliability.</w:t>
      </w:r>
    </w:p>
    <w:p w14:paraId="07D1C3B2">
      <w:pPr>
        <w:spacing w:line="360" w:lineRule="auto"/>
        <w:jc w:val="both"/>
        <w:rPr>
          <w:rFonts w:ascii="Times New Roman" w:hAnsi="Times New Roman" w:eastAsia="SimSun" w:cs="Times New Roman"/>
          <w:bCs/>
        </w:rPr>
      </w:pPr>
      <w:r>
        <w:rPr>
          <w:rFonts w:ascii="Times New Roman" w:hAnsi="Times New Roman" w:eastAsia="SimSun" w:cs="Times New Roman"/>
          <w:b/>
          <w:lang w:val="en-US"/>
        </w:rPr>
        <w:t>Based on the</w:t>
      </w:r>
      <w:r>
        <w:rPr>
          <w:rFonts w:ascii="Times New Roman" w:hAnsi="Times New Roman" w:eastAsia="SimSun" w:cs="Times New Roman"/>
          <w:bCs/>
          <w:lang w:val="en-US"/>
        </w:rPr>
        <w:t xml:space="preserve"> findings from this study, we suggest:</w:t>
      </w:r>
    </w:p>
    <w:p w14:paraId="4293DBFC">
      <w:pPr>
        <w:pStyle w:val="25"/>
        <w:numPr>
          <w:ilvl w:val="0"/>
          <w:numId w:val="1"/>
        </w:numPr>
        <w:spacing w:line="360" w:lineRule="auto"/>
        <w:jc w:val="both"/>
        <w:rPr>
          <w:rFonts w:ascii="Times New Roman" w:hAnsi="Times New Roman" w:eastAsia="SimSun" w:cs="Times New Roman"/>
          <w:bCs/>
        </w:rPr>
      </w:pPr>
      <w:bookmarkStart w:id="10" w:name="_Hlk197590388"/>
      <w:r>
        <w:rPr>
          <w:rFonts w:ascii="Times New Roman" w:hAnsi="Times New Roman" w:eastAsia="SimSun" w:cs="Times New Roman"/>
          <w:bCs/>
        </w:rPr>
        <w:t xml:space="preserve">The Central Bank of Nigeria should prioritize inflation targeting frameworks to curb persistent inflationary pressures, which erode industrial competitiveness. This requires tightening monetary policy through disciplined open market operations and adjusting the monetary policy rate (MPR) to anchor inflation expectations. Concurrently, a managed exchange rate regime should be adopted to reduce volatility. The CBN could implement a hybrid system combining periodic interventions in forex markets with strategic accumulation of foreign reserves to stabilize the naira. </w:t>
      </w:r>
    </w:p>
    <w:p w14:paraId="4EAE603A">
      <w:pPr>
        <w:pStyle w:val="25"/>
        <w:numPr>
          <w:ilvl w:val="0"/>
          <w:numId w:val="1"/>
        </w:numPr>
        <w:spacing w:line="360" w:lineRule="auto"/>
        <w:jc w:val="both"/>
        <w:rPr>
          <w:rFonts w:ascii="Times New Roman" w:hAnsi="Times New Roman" w:eastAsia="SimSun" w:cs="Times New Roman"/>
          <w:bCs/>
        </w:rPr>
      </w:pPr>
      <w:r>
        <w:rPr>
          <w:rFonts w:ascii="Times New Roman" w:hAnsi="Times New Roman" w:eastAsia="SimSun" w:cs="Times New Roman"/>
          <w:bCs/>
        </w:rPr>
        <w:t>To counteract the "Dutch Disease" effect, Nigeria must institutionalize mechanisms to channel oil windfalls into industrial development. A Sovereign Wealth Fund (SWF) should be expanded to allocate a fixed percentage (e.g., 20%) of oil revenues to critical industrial infrastructure, such as power plants, transportation networks, and industrial parks. Legislation should mandate that a portion of oil earnings be ring-fenced for sector-specific investments, including renewable energy projects to reduce reliance on costly diesel generators. Additionally, an Oil Price Stabilization Fund could be established to cushion the economy during oil price crashes, ensuring steady funding for industrialization even during revenue shortfalls.</w:t>
      </w:r>
    </w:p>
    <w:p w14:paraId="12A4CCE3">
      <w:pPr>
        <w:pStyle w:val="25"/>
        <w:numPr>
          <w:ilvl w:val="0"/>
          <w:numId w:val="1"/>
        </w:numPr>
        <w:spacing w:line="360" w:lineRule="auto"/>
        <w:jc w:val="both"/>
        <w:rPr>
          <w:rFonts w:ascii="Times New Roman" w:hAnsi="Times New Roman" w:eastAsia="SimSun" w:cs="Times New Roman"/>
          <w:bCs/>
        </w:rPr>
      </w:pPr>
      <w:r>
        <w:rPr>
          <w:rFonts w:ascii="Times New Roman" w:hAnsi="Times New Roman" w:eastAsia="SimSun" w:cs="Times New Roman"/>
          <w:bCs/>
        </w:rPr>
        <w:t xml:space="preserve">Although interest rate was observed to have no much impact on the sector, addressing credit misallocation through the establishment of a National Industrial Development Bank (NIDB) to provide long-term, low-interest loans to manufacturing firms could be a game changer. Commercial banks should be incentivized (via tax breaks) to allocate 15-20% of their loan portfolios to industrial projects, particularly SMEs in agro-processing and machinery. </w:t>
      </w:r>
    </w:p>
    <w:p w14:paraId="364DFDCE">
      <w:pPr>
        <w:pStyle w:val="25"/>
        <w:numPr>
          <w:ilvl w:val="0"/>
          <w:numId w:val="1"/>
        </w:numPr>
        <w:spacing w:line="360" w:lineRule="auto"/>
        <w:jc w:val="both"/>
        <w:rPr>
          <w:rFonts w:ascii="Times New Roman" w:hAnsi="Times New Roman" w:eastAsia="SimSun" w:cs="Times New Roman"/>
          <w:bCs/>
        </w:rPr>
      </w:pPr>
      <w:r>
        <w:rPr>
          <w:rFonts w:ascii="Times New Roman" w:hAnsi="Times New Roman" w:eastAsia="SimSun" w:cs="Times New Roman"/>
          <w:bCs/>
        </w:rPr>
        <w:t>Prioritize investments in </w:t>
      </w:r>
      <w:r>
        <w:rPr>
          <w:rFonts w:ascii="Times New Roman" w:hAnsi="Times New Roman" w:eastAsia="SimSun" w:cs="Times New Roman"/>
        </w:rPr>
        <w:t>energy infrastructure to resolve chronic power shortages, which inflate production costs. Fast-track the completion of the National Integrated Power Projects (NIPPs) and incentivize private-sector participation in renewable energy (e.g., solar mini-grids) through tax holidays and feed-in tariffs. Simultaneously, rehabilitate transport corridors (e.g., Lagos-Kano rail lines, Apapa Port) to reduce logistics bottlenecks.</w:t>
      </w:r>
    </w:p>
    <w:bookmarkEnd w:id="10"/>
    <w:p w14:paraId="331FE8A7">
      <w:pPr>
        <w:spacing w:line="360" w:lineRule="auto"/>
        <w:jc w:val="both"/>
        <w:rPr>
          <w:rFonts w:ascii="Times New Roman" w:hAnsi="Times New Roman" w:cs="Times New Roman"/>
          <w:b/>
          <w:bCs/>
        </w:rPr>
      </w:pPr>
      <w:r>
        <w:rPr>
          <w:rFonts w:ascii="Times New Roman" w:hAnsi="Times New Roman" w:eastAsia="SimSun" w:cs="Times New Roman"/>
          <w:bCs/>
          <w:lang w:val="en-US"/>
        </w:rPr>
        <w:t>Future research could expand on this work by integrating geopolitical variables such as insecurity and climate-induced disruptions (e.g., flooding) into the model which perhaps would provide a more holistic understanding of Nigeria’s industrial challenges, particularly as these factors disproportionately affect agricultural input sourcing and rural industrialization. Also, employing alternative methodologies, such as nonlinear ARDL to capture asymmetric effects of oil price shocks or Vector Error Correction Models (VECM) for deeper causality analysis, could refine the findings.</w:t>
      </w:r>
    </w:p>
    <w:p w14:paraId="5C3790AC">
      <w:pPr>
        <w:spacing w:line="360" w:lineRule="auto"/>
        <w:rPr>
          <w:rFonts w:ascii="Times New Roman" w:hAnsi="Times New Roman" w:cs="Times New Roman"/>
          <w:b/>
          <w:bCs/>
        </w:rPr>
      </w:pPr>
    </w:p>
    <w:p w14:paraId="7A7B88A1">
      <w:pPr>
        <w:spacing w:line="360" w:lineRule="auto"/>
        <w:jc w:val="center"/>
        <w:rPr>
          <w:rFonts w:ascii="Times New Roman" w:hAnsi="Times New Roman" w:cs="Times New Roman"/>
          <w:b/>
          <w:bCs/>
        </w:rPr>
      </w:pPr>
      <w:r>
        <w:rPr>
          <w:rFonts w:ascii="Times New Roman" w:hAnsi="Times New Roman" w:cs="Times New Roman"/>
          <w:b/>
          <w:bCs/>
        </w:rPr>
        <w:t>REFERENCES:</w:t>
      </w:r>
    </w:p>
    <w:p w14:paraId="2EE034EC">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Abraham, A. (2023). Interest rate policy and the performance of the manufacturing sector in Nigeria. </w:t>
      </w:r>
      <w:r>
        <w:rPr>
          <w:rFonts w:ascii="Times New Roman" w:hAnsi="Times New Roman" w:eastAsia="SimSun" w:cs="SimSun"/>
          <w:i/>
          <w:iCs/>
        </w:rPr>
        <w:t>Federal University Otuoke Journal of Management Sciences,</w:t>
      </w:r>
      <w:r>
        <w:rPr>
          <w:rFonts w:ascii="Times New Roman" w:hAnsi="Times New Roman" w:eastAsia="SimSun" w:cs="SimSun"/>
        </w:rPr>
        <w:t xml:space="preserve"> 7(2).</w:t>
      </w:r>
    </w:p>
    <w:p w14:paraId="6A5B011F">
      <w:pPr>
        <w:spacing w:after="200" w:line="360" w:lineRule="auto"/>
        <w:ind w:left="720" w:hanging="720"/>
        <w:jc w:val="both"/>
        <w:rPr>
          <w:rFonts w:ascii="Times New Roman" w:hAnsi="Times New Roman" w:eastAsia="SimSun" w:cs="SimSun"/>
        </w:rPr>
      </w:pPr>
      <w:r>
        <w:rPr>
          <w:rFonts w:ascii="Times New Roman" w:hAnsi="Times New Roman" w:eastAsia="SimSun" w:cs="SimSun"/>
        </w:rPr>
        <w:t>Adedoyin, I. L., Eziekel, O., Lawal-Adedoyin, B. B., IseOlorunkanmi, J., Abiola J. A., Henry I., Santanu, M., Dick-Tonye, A., Opeyemi O., &amp; Ogunwole, E. (2022)</w:t>
      </w:r>
      <w:r>
        <w:rPr>
          <w:rFonts w:hint="default" w:ascii="Times New Roman" w:hAnsi="Times New Roman" w:eastAsia="SimSun" w:cs="SimSun"/>
          <w:lang w:val="en-US"/>
        </w:rPr>
        <w:t>.</w:t>
      </w:r>
      <w:r>
        <w:rPr>
          <w:rFonts w:ascii="Times New Roman" w:hAnsi="Times New Roman" w:eastAsia="SimSun" w:cs="SimSun"/>
        </w:rPr>
        <w:t xml:space="preserve"> Impact of macroeconomic variables on the Nigerian manufacturing sector. </w:t>
      </w:r>
      <w:r>
        <w:rPr>
          <w:rFonts w:ascii="Times New Roman" w:hAnsi="Times New Roman" w:eastAsia="SimSun" w:cs="SimSun"/>
          <w:i/>
          <w:iCs/>
        </w:rPr>
        <w:t>Cogent Economics &amp; Finance,</w:t>
      </w:r>
      <w:r>
        <w:rPr>
          <w:rFonts w:ascii="Times New Roman" w:hAnsi="Times New Roman" w:eastAsia="SimSun" w:cs="SimSun"/>
        </w:rPr>
        <w:t xml:space="preserve"> 10(1), Article 2090664, </w:t>
      </w:r>
      <w:r>
        <w:fldChar w:fldCharType="begin"/>
      </w:r>
      <w:r>
        <w:instrText xml:space="preserve"> HYPERLINK "https://doi.org/10.1080/23322039.2022.2090664" </w:instrText>
      </w:r>
      <w:r>
        <w:fldChar w:fldCharType="separate"/>
      </w:r>
      <w:r>
        <w:rPr>
          <w:rStyle w:val="19"/>
          <w:rFonts w:ascii="Times New Roman" w:hAnsi="Times New Roman" w:eastAsia="SimSun" w:cs="SimSun"/>
        </w:rPr>
        <w:t>https://doi.org/10.1080/23322039.2022.2090664</w:t>
      </w:r>
      <w:r>
        <w:rPr>
          <w:rStyle w:val="19"/>
          <w:rFonts w:ascii="Times New Roman" w:hAnsi="Times New Roman" w:eastAsia="SimSun" w:cs="SimSun"/>
        </w:rPr>
        <w:fldChar w:fldCharType="end"/>
      </w:r>
      <w:r>
        <w:rPr>
          <w:rFonts w:ascii="Times New Roman" w:hAnsi="Times New Roman" w:eastAsia="SimSun" w:cs="SimSun"/>
        </w:rPr>
        <w:t xml:space="preserve"> </w:t>
      </w:r>
    </w:p>
    <w:p w14:paraId="4046F5BA">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Adegboyega S. O., Ogunwale S. A., Odumbaku A. L., Mobee T. A., &amp; William A. (2013). Interest Rate, Savings, and Industrial Performance in Nigeria. </w:t>
      </w:r>
      <w:r>
        <w:rPr>
          <w:rFonts w:ascii="Times New Roman" w:hAnsi="Times New Roman" w:eastAsia="SimSun" w:cs="SimSun"/>
          <w:i/>
          <w:iCs/>
        </w:rPr>
        <w:t>East Asian Journal of Multidisciplinary Research</w:t>
      </w:r>
      <w:r>
        <w:rPr>
          <w:rFonts w:ascii="Times New Roman" w:hAnsi="Times New Roman" w:eastAsia="SimSun" w:cs="SimSun"/>
        </w:rPr>
        <w:t xml:space="preserve">. </w:t>
      </w:r>
      <w:r>
        <w:rPr>
          <w:rFonts w:ascii="Times New Roman" w:hAnsi="Times New Roman" w:eastAsia="SimSun" w:cs="SimSun"/>
          <w:i/>
          <w:iCs/>
        </w:rPr>
        <w:t>2(2),</w:t>
      </w:r>
      <w:r>
        <w:rPr>
          <w:rFonts w:ascii="Times New Roman" w:hAnsi="Times New Roman" w:eastAsia="SimSun" w:cs="SimSun"/>
        </w:rPr>
        <w:t xml:space="preserve"> 511–524.</w:t>
      </w:r>
    </w:p>
    <w:p w14:paraId="7D4DB6E2">
      <w:pPr>
        <w:spacing w:after="200" w:line="360" w:lineRule="auto"/>
        <w:ind w:left="720" w:hanging="720"/>
        <w:jc w:val="both"/>
        <w:rPr>
          <w:rFonts w:ascii="Times New Roman" w:hAnsi="Times New Roman" w:eastAsia="SimSun" w:cs="SimSun"/>
        </w:rPr>
      </w:pPr>
      <w:r>
        <w:rPr>
          <w:rFonts w:ascii="Times New Roman" w:hAnsi="Times New Roman" w:eastAsia="SimSun" w:cs="SimSun"/>
        </w:rPr>
        <w:t>Adenikinju, A. F. (2005). </w:t>
      </w:r>
      <w:r>
        <w:rPr>
          <w:rFonts w:ascii="Times New Roman" w:hAnsi="Times New Roman" w:eastAsia="SimSun" w:cs="SimSun"/>
          <w:i/>
          <w:iCs/>
        </w:rPr>
        <w:t>African Economic Development</w:t>
      </w:r>
      <w:r>
        <w:rPr>
          <w:rFonts w:ascii="Times New Roman" w:hAnsi="Times New Roman" w:eastAsia="SimSun" w:cs="SimSun"/>
        </w:rPr>
        <w:t>. In </w:t>
      </w:r>
      <w:r>
        <w:rPr>
          <w:rFonts w:ascii="Times New Roman" w:hAnsi="Times New Roman" w:eastAsia="SimSun" w:cs="SimSun"/>
          <w:i/>
          <w:iCs/>
        </w:rPr>
        <w:t>Explaining the Paradox of African Economic Development: The Role of Productivity and Investment</w:t>
      </w:r>
      <w:r>
        <w:rPr>
          <w:rFonts w:ascii="Times New Roman" w:hAnsi="Times New Roman" w:eastAsia="SimSun" w:cs="SimSun"/>
        </w:rPr>
        <w:t>. ed. P. Collier and C. Pattillo. Cambridge University Press.</w:t>
      </w:r>
    </w:p>
    <w:p w14:paraId="296E05E5">
      <w:pPr>
        <w:spacing w:after="200" w:line="360" w:lineRule="auto"/>
        <w:ind w:left="720" w:hanging="720"/>
        <w:jc w:val="both"/>
        <w:rPr>
          <w:rFonts w:ascii="Times New Roman" w:hAnsi="Times New Roman" w:eastAsia="SimSun" w:cs="SimSun"/>
          <w:i/>
          <w:iCs/>
        </w:rPr>
      </w:pPr>
      <w:r>
        <w:rPr>
          <w:rFonts w:ascii="Times New Roman" w:hAnsi="Times New Roman" w:eastAsia="SimSun" w:cs="SimSun"/>
        </w:rPr>
        <w:t xml:space="preserve">Adigun A. O., Ologunwa O.P., &amp; Ayilara M. A (2022). Interest Rate and Manufacturing Sector Output in Nigeria (1998-2018). </w:t>
      </w:r>
      <w:r>
        <w:rPr>
          <w:rFonts w:ascii="Times New Roman" w:hAnsi="Times New Roman" w:eastAsia="SimSun" w:cs="SimSun"/>
          <w:i/>
          <w:iCs/>
        </w:rPr>
        <w:t>International Journal of Management Studies and Social Science Research.</w:t>
      </w:r>
    </w:p>
    <w:p w14:paraId="7CE4FD87">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Akinmulegun S. &amp; Falana O. (2018). Exchange Rate Fluctuation and Industrial Output Growth in Nigeria. </w:t>
      </w:r>
      <w:r>
        <w:rPr>
          <w:rFonts w:ascii="Times New Roman" w:hAnsi="Times New Roman" w:eastAsia="SimSun" w:cs="SimSun"/>
          <w:i/>
          <w:iCs/>
        </w:rPr>
        <w:t>International Journal of Economics and Financial Research: 4(5),</w:t>
      </w:r>
      <w:r>
        <w:rPr>
          <w:rFonts w:ascii="Times New Roman" w:hAnsi="Times New Roman" w:eastAsia="SimSun" w:cs="SimSun"/>
        </w:rPr>
        <w:t xml:space="preserve"> 145–158. </w:t>
      </w:r>
      <w:r>
        <w:fldChar w:fldCharType="begin"/>
      </w:r>
      <w:r>
        <w:instrText xml:space="preserve"> HYPERLINK "http://arpgweb.com/?ic=journal&amp;journal=5&amp;info=aim" </w:instrText>
      </w:r>
      <w:r>
        <w:fldChar w:fldCharType="separate"/>
      </w:r>
      <w:r>
        <w:rPr>
          <w:rStyle w:val="19"/>
          <w:rFonts w:ascii="Times New Roman" w:hAnsi="Times New Roman" w:eastAsia="SimSun" w:cs="SimSun"/>
        </w:rPr>
        <w:t>http://arpgweb.com/?ic=journal&amp;journal=5&amp;info=aim</w:t>
      </w:r>
      <w:r>
        <w:rPr>
          <w:rStyle w:val="19"/>
          <w:rFonts w:ascii="Times New Roman" w:hAnsi="Times New Roman" w:eastAsia="SimSun" w:cs="SimSun"/>
        </w:rPr>
        <w:fldChar w:fldCharType="end"/>
      </w:r>
      <w:r>
        <w:rPr>
          <w:rFonts w:ascii="Times New Roman" w:hAnsi="Times New Roman" w:eastAsia="SimSun" w:cs="SimSun"/>
        </w:rPr>
        <w:t>.</w:t>
      </w:r>
    </w:p>
    <w:p w14:paraId="77DF0DFD">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Anochie, U., Okereafor G., &amp; Bashir M. O. (2023). Macroeconomic Variables and Productivity of Nigeria’s Manufacturing Sector. </w:t>
      </w:r>
      <w:r>
        <w:rPr>
          <w:rFonts w:ascii="Times New Roman" w:hAnsi="Times New Roman" w:eastAsia="SimSun" w:cs="SimSun"/>
          <w:i/>
          <w:iCs/>
        </w:rPr>
        <w:t>Nigerian Journal of Management Sciences,</w:t>
      </w:r>
      <w:r>
        <w:rPr>
          <w:rFonts w:ascii="Times New Roman" w:hAnsi="Times New Roman" w:eastAsia="SimSun" w:cs="SimSun"/>
        </w:rPr>
        <w:t xml:space="preserve"> 24, (1a).</w:t>
      </w:r>
    </w:p>
    <w:p w14:paraId="43289D1E">
      <w:pPr>
        <w:spacing w:after="200" w:line="360" w:lineRule="auto"/>
        <w:ind w:left="720" w:hanging="720"/>
        <w:jc w:val="both"/>
        <w:rPr>
          <w:rFonts w:ascii="Times New Roman" w:hAnsi="Times New Roman" w:eastAsia="SimSun" w:cs="SimSun"/>
        </w:rPr>
      </w:pPr>
      <w:r>
        <w:rPr>
          <w:rFonts w:ascii="Times New Roman" w:hAnsi="Times New Roman" w:eastAsia="SimSun" w:cs="SimSun"/>
        </w:rPr>
        <w:t>Anthonia, T. O., &amp; Taiwo H. S. (2017</w:t>
      </w:r>
      <w:r>
        <w:rPr>
          <w:rFonts w:ascii="Times New Roman" w:hAnsi="Times New Roman" w:eastAsia="SimSun" w:cs="SimSun"/>
          <w:i/>
          <w:iCs/>
        </w:rPr>
        <w:t>). Interest Rate Volatility and Nigeria’s Manufacturing Sector Performance</w:t>
      </w:r>
      <w:r>
        <w:rPr>
          <w:rFonts w:ascii="Times New Roman" w:hAnsi="Times New Roman" w:eastAsia="SimSun" w:cs="SimSun"/>
        </w:rPr>
        <w:t>. Department of Economics, University of Lagos.</w:t>
      </w:r>
    </w:p>
    <w:p w14:paraId="08206BA2">
      <w:pPr>
        <w:spacing w:after="200" w:line="360" w:lineRule="auto"/>
        <w:ind w:left="720" w:hanging="720"/>
        <w:jc w:val="both"/>
        <w:rPr>
          <w:rFonts w:ascii="Times New Roman" w:hAnsi="Times New Roman" w:eastAsia="SimSun" w:cs="SimSun"/>
        </w:rPr>
      </w:pPr>
      <w:r>
        <w:rPr>
          <w:rFonts w:ascii="Times New Roman" w:hAnsi="Times New Roman" w:eastAsia="SimSun" w:cs="SimSun"/>
        </w:rPr>
        <w:t>Anthony, O. (2023). *Effect of interest rate on the performance of the Nigerian manufacturing sector (1999-2022).* </w:t>
      </w:r>
      <w:r>
        <w:rPr>
          <w:rFonts w:ascii="Times New Roman" w:hAnsi="Times New Roman" w:eastAsia="SimSun" w:cs="SimSun"/>
          <w:i/>
          <w:iCs/>
        </w:rPr>
        <w:t>Journal of Economics and Sustainable Development</w:t>
      </w:r>
      <w:r>
        <w:rPr>
          <w:rFonts w:ascii="Times New Roman" w:hAnsi="Times New Roman" w:eastAsia="SimSun" w:cs="SimSun"/>
        </w:rPr>
        <w:t xml:space="preserve">, 14 (4), 22-34.  </w:t>
      </w:r>
    </w:p>
    <w:p w14:paraId="5ECDD042">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Araujo, E., Araújo, E., Peres, S. C., &amp; Punzo, L. F. (2021). An investigation into shapes and determinants of decline in the industrial sector processes: Theory and evidence for developed and developing countries (1970–2017). </w:t>
      </w:r>
      <w:r>
        <w:rPr>
          <w:rFonts w:ascii="Times New Roman" w:hAnsi="Times New Roman" w:eastAsia="SimSun" w:cs="SimSun"/>
          <w:i/>
          <w:iCs/>
        </w:rPr>
        <w:t>EconomiA</w:t>
      </w:r>
      <w:r>
        <w:rPr>
          <w:rFonts w:ascii="Times New Roman" w:hAnsi="Times New Roman" w:eastAsia="SimSun" w:cs="SimSun"/>
        </w:rPr>
        <w:t>, 22, 129–143. https://doi.org/10.1016/j.econ.2021.02.004</w:t>
      </w:r>
    </w:p>
    <w:p w14:paraId="18BB6CD7">
      <w:pPr>
        <w:spacing w:after="200" w:line="360" w:lineRule="auto"/>
        <w:ind w:left="720" w:hanging="720"/>
        <w:jc w:val="both"/>
        <w:rPr>
          <w:rFonts w:ascii="Times New Roman" w:hAnsi="Times New Roman" w:eastAsia="SimSun" w:cs="SimSun"/>
          <w:i/>
          <w:iCs/>
        </w:rPr>
      </w:pPr>
      <w:r>
        <w:rPr>
          <w:rFonts w:ascii="Times New Roman" w:hAnsi="Times New Roman" w:eastAsia="SimSun" w:cs="SimSun"/>
        </w:rPr>
        <w:t xml:space="preserve">Arinze Nwafor (2024). Multinationals exit costs Nigeria N94tn in five years, retrieved from </w:t>
      </w:r>
      <w:r>
        <w:rPr>
          <w:rFonts w:ascii="Times New Roman" w:hAnsi="Times New Roman" w:eastAsia="SimSun" w:cs="SimSun"/>
          <w:i/>
          <w:iCs/>
        </w:rPr>
        <w:t>https://punchng.com/multinationals-exit-costs-nigeria-n94tn-in-five-years/.</w:t>
      </w:r>
    </w:p>
    <w:p w14:paraId="694B270E">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Audu, N. P., &amp; Amaegberi, M. (2013). Exchange rate fluctuation and inflation targeting in an open economy: Econometric approach. </w:t>
      </w:r>
      <w:r>
        <w:rPr>
          <w:rFonts w:ascii="Times New Roman" w:hAnsi="Times New Roman" w:eastAsia="SimSun" w:cs="SimSun"/>
          <w:i/>
          <w:iCs/>
        </w:rPr>
        <w:t>European Journal of Accounting, Auditing and Finance Research, 1(3),</w:t>
      </w:r>
      <w:r>
        <w:rPr>
          <w:rFonts w:ascii="Times New Roman" w:hAnsi="Times New Roman" w:eastAsia="SimSun" w:cs="SimSun"/>
        </w:rPr>
        <w:t xml:space="preserve"> 24–42.</w:t>
      </w:r>
    </w:p>
    <w:p w14:paraId="032631B6">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Banga, K. (2016). Impact of global value chains on employment in India. </w:t>
      </w:r>
      <w:r>
        <w:rPr>
          <w:rFonts w:ascii="Times New Roman" w:hAnsi="Times New Roman" w:eastAsia="SimSun" w:cs="SimSun"/>
          <w:i/>
          <w:iCs/>
        </w:rPr>
        <w:t>Journal of Economic Integration, 31</w:t>
      </w:r>
      <w:r>
        <w:rPr>
          <w:rFonts w:ascii="Times New Roman" w:hAnsi="Times New Roman" w:eastAsia="SimSun" w:cs="SimSun"/>
        </w:rPr>
        <w:t>(3), 631-673.</w:t>
      </w:r>
    </w:p>
    <w:p w14:paraId="204A3818">
      <w:pPr>
        <w:spacing w:after="200" w:line="360" w:lineRule="auto"/>
        <w:ind w:left="720" w:hanging="720"/>
        <w:jc w:val="both"/>
      </w:pPr>
      <w:r>
        <w:rPr>
          <w:rFonts w:ascii="Times New Roman" w:hAnsi="Times New Roman" w:eastAsia="SimSun" w:cs="SimSun"/>
        </w:rPr>
        <w:t xml:space="preserve">Central Bank of Nigeria. (2022). </w:t>
      </w:r>
      <w:r>
        <w:rPr>
          <w:rFonts w:ascii="Times New Roman" w:hAnsi="Times New Roman" w:eastAsia="SimSun" w:cs="SimSun"/>
          <w:i/>
          <w:iCs/>
        </w:rPr>
        <w:t>Monetary policy committee communique</w:t>
      </w:r>
      <w:r>
        <w:rPr>
          <w:rFonts w:ascii="Times New Roman" w:hAnsi="Times New Roman" w:eastAsia="SimSun" w:cs="SimSun"/>
        </w:rPr>
        <w:t xml:space="preserve">. Retrieved from </w:t>
      </w:r>
      <w:r>
        <w:fldChar w:fldCharType="begin"/>
      </w:r>
      <w:r>
        <w:instrText xml:space="preserve"> HYPERLINK "https://www.cbn.gov.ng" </w:instrText>
      </w:r>
      <w:r>
        <w:fldChar w:fldCharType="separate"/>
      </w:r>
      <w:r>
        <w:rPr>
          <w:rStyle w:val="19"/>
          <w:rFonts w:ascii="Times New Roman" w:hAnsi="Times New Roman" w:eastAsia="SimSun" w:cs="SimSun"/>
        </w:rPr>
        <w:t>https://www.cbn.gov.ng</w:t>
      </w:r>
      <w:r>
        <w:rPr>
          <w:rStyle w:val="19"/>
          <w:rFonts w:ascii="Times New Roman" w:hAnsi="Times New Roman" w:eastAsia="SimSun" w:cs="SimSun"/>
        </w:rPr>
        <w:fldChar w:fldCharType="end"/>
      </w:r>
    </w:p>
    <w:p w14:paraId="5A56C5C3">
      <w:pPr>
        <w:spacing w:after="200" w:line="360" w:lineRule="auto"/>
        <w:ind w:left="720" w:hanging="720"/>
        <w:jc w:val="both"/>
        <w:rPr>
          <w:rFonts w:ascii="Times New Roman" w:hAnsi="Times New Roman" w:eastAsia="SimSun" w:cs="SimSun"/>
        </w:rPr>
      </w:pPr>
      <w:r>
        <w:rPr>
          <w:rFonts w:ascii="Times New Roman" w:hAnsi="Times New Roman" w:eastAsia="SimSun" w:cs="SimSun"/>
        </w:rPr>
        <w:t>Central Bank of Nigeria, (2023). </w:t>
      </w:r>
      <w:r>
        <w:rPr>
          <w:rFonts w:ascii="Times New Roman" w:hAnsi="Times New Roman" w:eastAsia="SimSun" w:cs="SimSun"/>
          <w:i/>
          <w:iCs/>
        </w:rPr>
        <w:t>Monetary Policy Committee communique no. 150</w:t>
      </w:r>
      <w:r>
        <w:rPr>
          <w:rFonts w:ascii="Times New Roman" w:hAnsi="Times New Roman" w:eastAsia="SimSun" w:cs="SimSun"/>
        </w:rPr>
        <w:t>. Abuja: Central Bank of Nigeria.</w:t>
      </w:r>
    </w:p>
    <w:p w14:paraId="4DEDA9E6">
      <w:pPr>
        <w:spacing w:after="200" w:line="360" w:lineRule="auto"/>
        <w:ind w:left="720" w:hanging="720"/>
        <w:jc w:val="both"/>
        <w:rPr>
          <w:rFonts w:ascii="Times New Roman" w:hAnsi="Times New Roman" w:eastAsia="SimSun" w:cs="SimSun"/>
        </w:rPr>
      </w:pPr>
      <w:r>
        <w:rPr>
          <w:rFonts w:ascii="Times New Roman" w:hAnsi="Times New Roman" w:eastAsia="SimSun" w:cs="SimSun"/>
        </w:rPr>
        <w:t>Chikezie, O. T. (2015). Impact of interest rate on industrial output in Nigeria. </w:t>
      </w:r>
      <w:r>
        <w:rPr>
          <w:rFonts w:ascii="Times New Roman" w:hAnsi="Times New Roman" w:eastAsia="SimSun" w:cs="SimSun"/>
          <w:i/>
          <w:iCs/>
        </w:rPr>
        <w:t>International Journal of Research in Humanities and Social Studies</w:t>
      </w:r>
      <w:r>
        <w:rPr>
          <w:rFonts w:ascii="Times New Roman" w:hAnsi="Times New Roman" w:eastAsia="SimSun" w:cs="SimSun"/>
        </w:rPr>
        <w:t>, 2 (11), 1-8.</w:t>
      </w:r>
    </w:p>
    <w:p w14:paraId="319BB126">
      <w:pPr>
        <w:spacing w:after="200" w:line="360" w:lineRule="auto"/>
        <w:ind w:left="720" w:hanging="720"/>
        <w:jc w:val="both"/>
        <w:rPr>
          <w:rFonts w:ascii="Times New Roman" w:hAnsi="Times New Roman" w:eastAsia="SimSun" w:cs="SimSun"/>
        </w:rPr>
      </w:pPr>
      <w:r>
        <w:rPr>
          <w:rFonts w:ascii="Times New Roman" w:hAnsi="Times New Roman" w:eastAsia="SimSun" w:cs="SimSun"/>
        </w:rPr>
        <w:t>Chioma, O. K. (2020). </w:t>
      </w:r>
      <w:r>
        <w:rPr>
          <w:rFonts w:ascii="Times New Roman" w:hAnsi="Times New Roman" w:eastAsia="SimSun" w:cs="SimSun"/>
          <w:i/>
          <w:iCs/>
        </w:rPr>
        <w:t>Effect of interest rate on industrial output in Nigeria</w:t>
      </w:r>
      <w:r>
        <w:rPr>
          <w:rFonts w:ascii="Times New Roman" w:hAnsi="Times New Roman" w:eastAsia="SimSun" w:cs="SimSun"/>
        </w:rPr>
        <w:t>. </w:t>
      </w:r>
      <w:r>
        <w:rPr>
          <w:rFonts w:ascii="Times New Roman" w:hAnsi="Times New Roman" w:eastAsia="SimSun" w:cs="SimSun"/>
          <w:i/>
          <w:iCs/>
        </w:rPr>
        <w:t>Journal of Economics and Finance</w:t>
      </w:r>
      <w:r>
        <w:rPr>
          <w:rFonts w:ascii="Times New Roman" w:hAnsi="Times New Roman" w:eastAsia="SimSun" w:cs="SimSun"/>
        </w:rPr>
        <w:t>, 11 (3), 45-58.</w:t>
      </w:r>
    </w:p>
    <w:p w14:paraId="3CE7DB6B">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Christopher, K. (2009). Explaining decline in the industrial sector: How affluence, productivity growth, and globalization diminish manufacturing employment. </w:t>
      </w:r>
      <w:r>
        <w:rPr>
          <w:rFonts w:ascii="Times New Roman" w:hAnsi="Times New Roman" w:eastAsia="SimSun" w:cs="SimSun"/>
          <w:i/>
          <w:iCs/>
        </w:rPr>
        <w:t>American Journal of Sociology, 114</w:t>
      </w:r>
      <w:r>
        <w:rPr>
          <w:rFonts w:ascii="Times New Roman" w:hAnsi="Times New Roman" w:eastAsia="SimSun" w:cs="SimSun"/>
        </w:rPr>
        <w:t>(6), 1644–1674. The University of Chicago Press.</w:t>
      </w:r>
    </w:p>
    <w:p w14:paraId="25D95ED5">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Christopher, H. J. (2002). De-industrialization and globalization. </w:t>
      </w:r>
      <w:r>
        <w:rPr>
          <w:rFonts w:ascii="Times New Roman" w:hAnsi="Times New Roman" w:eastAsia="SimSun" w:cs="SimSun"/>
          <w:i/>
          <w:iCs/>
        </w:rPr>
        <w:t>International Review of Social History, 47</w:t>
      </w:r>
      <w:r>
        <w:rPr>
          <w:rFonts w:ascii="Times New Roman" w:hAnsi="Times New Roman" w:eastAsia="SimSun" w:cs="SimSun"/>
        </w:rPr>
        <w:t>(Supplement 10), 3–33.</w:t>
      </w:r>
    </w:p>
    <w:p w14:paraId="1F17C562">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Constantin, P. D., Martin, D. L., &amp; Rivera, E. B. (2009). Cobb-Douglas, translog stochastic production function and data envelopment analysis in total factor productivity in Brazilian agribusiness. </w:t>
      </w:r>
      <w:r>
        <w:rPr>
          <w:rFonts w:ascii="Times New Roman" w:hAnsi="Times New Roman" w:eastAsia="SimSun" w:cs="SimSun"/>
          <w:i/>
          <w:iCs/>
        </w:rPr>
        <w:t>The Flagship Research Journal of International Conference of the Production and Operations Management Society, 2</w:t>
      </w:r>
      <w:r>
        <w:rPr>
          <w:rFonts w:ascii="Times New Roman" w:hAnsi="Times New Roman" w:eastAsia="SimSun" w:cs="SimSun"/>
        </w:rPr>
        <w:t>(2), 20–33.</w:t>
      </w:r>
    </w:p>
    <w:p w14:paraId="6DFBF653">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Corden, W. M. (1984). Booming sector and Dutch disease economics: Survey and consolidation. </w:t>
      </w:r>
      <w:r>
        <w:rPr>
          <w:rFonts w:ascii="Times New Roman" w:hAnsi="Times New Roman" w:eastAsia="SimSun" w:cs="SimSun"/>
          <w:i/>
          <w:iCs/>
        </w:rPr>
        <w:t>Oxford Economic Papers, 36</w:t>
      </w:r>
      <w:r>
        <w:rPr>
          <w:rFonts w:ascii="Times New Roman" w:hAnsi="Times New Roman" w:eastAsia="SimSun" w:cs="SimSun"/>
        </w:rPr>
        <w:t xml:space="preserve">(3), 359–380. </w:t>
      </w:r>
      <w:r>
        <w:fldChar w:fldCharType="begin"/>
      </w:r>
      <w:r>
        <w:instrText xml:space="preserve"> HYPERLINK "https://doi.org/10.1093/oxfordjournals.oep.a041752" </w:instrText>
      </w:r>
      <w:r>
        <w:fldChar w:fldCharType="separate"/>
      </w:r>
      <w:r>
        <w:rPr>
          <w:rStyle w:val="19"/>
          <w:rFonts w:ascii="Times New Roman" w:hAnsi="Times New Roman" w:eastAsia="SimSun" w:cs="SimSun"/>
        </w:rPr>
        <w:t>https://doi.org/10.1093/oxfordjournals.oep.a041752</w:t>
      </w:r>
      <w:r>
        <w:rPr>
          <w:rStyle w:val="19"/>
          <w:rFonts w:ascii="Times New Roman" w:hAnsi="Times New Roman" w:eastAsia="SimSun" w:cs="SimSun"/>
        </w:rPr>
        <w:fldChar w:fldCharType="end"/>
      </w:r>
    </w:p>
    <w:p w14:paraId="7625B10E">
      <w:pPr>
        <w:spacing w:after="200" w:line="360" w:lineRule="auto"/>
        <w:ind w:left="720" w:hanging="720"/>
        <w:jc w:val="both"/>
        <w:rPr>
          <w:rFonts w:ascii="Times New Roman" w:hAnsi="Times New Roman" w:eastAsia="SimSun" w:cs="SimSun"/>
        </w:rPr>
      </w:pPr>
      <w:r>
        <w:rPr>
          <w:rFonts w:ascii="Times New Roman" w:hAnsi="Times New Roman" w:eastAsia="SimSun" w:cs="SimSun"/>
        </w:rPr>
        <w:t>Corden, W. M., &amp; Neary, J. P. (1982). Booming sector and de-industrialisation in a small open economy. International Institute for Applied Systems Analysis, CP-82-58, Laxenburg, Austria.</w:t>
      </w:r>
    </w:p>
    <w:p w14:paraId="1F065D4D">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Dan, S., &amp; Yao, Y. (2017). Manufacturing as the key engine of economic growth for middle-income economies. </w:t>
      </w:r>
      <w:r>
        <w:rPr>
          <w:rFonts w:ascii="Times New Roman" w:hAnsi="Times New Roman" w:eastAsia="SimSun" w:cs="SimSun"/>
          <w:i/>
          <w:iCs/>
        </w:rPr>
        <w:t>Journal of the Asia Pacific Economy, 22</w:t>
      </w:r>
      <w:r>
        <w:rPr>
          <w:rFonts w:ascii="Times New Roman" w:hAnsi="Times New Roman" w:eastAsia="SimSun" w:cs="SimSun"/>
        </w:rPr>
        <w:t xml:space="preserve">(1), 78–60. </w:t>
      </w:r>
      <w:r>
        <w:fldChar w:fldCharType="begin"/>
      </w:r>
      <w:r>
        <w:instrText xml:space="preserve"> HYPERLINK "https://doi.org/10.1080/13547860.2016.1261481" </w:instrText>
      </w:r>
      <w:r>
        <w:fldChar w:fldCharType="separate"/>
      </w:r>
      <w:r>
        <w:rPr>
          <w:rStyle w:val="19"/>
          <w:rFonts w:ascii="Times New Roman" w:hAnsi="Times New Roman" w:eastAsia="SimSun" w:cs="SimSun"/>
        </w:rPr>
        <w:t>https://doi.org/10.1080/13547860.2016.1261481</w:t>
      </w:r>
      <w:r>
        <w:rPr>
          <w:rStyle w:val="19"/>
          <w:rFonts w:ascii="Times New Roman" w:hAnsi="Times New Roman" w:eastAsia="SimSun" w:cs="SimSun"/>
        </w:rPr>
        <w:fldChar w:fldCharType="end"/>
      </w:r>
    </w:p>
    <w:p w14:paraId="52360626">
      <w:pPr>
        <w:spacing w:after="200" w:line="360" w:lineRule="auto"/>
        <w:ind w:left="720" w:hanging="720"/>
        <w:jc w:val="both"/>
        <w:rPr>
          <w:rFonts w:ascii="Times New Roman" w:hAnsi="Times New Roman" w:eastAsia="SimSun" w:cs="SimSun"/>
        </w:rPr>
      </w:pPr>
      <w:r>
        <w:rPr>
          <w:rFonts w:ascii="Times New Roman" w:hAnsi="Times New Roman" w:eastAsia="SimSun" w:cs="SimSun"/>
        </w:rPr>
        <w:t>Elisangela, L., Paulo, A., &amp; Joaquim, G. (2021). </w:t>
      </w:r>
      <w:r>
        <w:rPr>
          <w:rFonts w:ascii="Times New Roman" w:hAnsi="Times New Roman" w:eastAsia="SimSun" w:cs="SimSun"/>
          <w:i/>
          <w:iCs/>
        </w:rPr>
        <w:t>Deindustrialization in the developed and least developed countries: An analysis of its determinants</w:t>
      </w:r>
      <w:r>
        <w:rPr>
          <w:rFonts w:ascii="Times New Roman" w:hAnsi="Times New Roman" w:eastAsia="SimSun" w:cs="SimSun"/>
        </w:rPr>
        <w:t>. </w:t>
      </w:r>
      <w:r>
        <w:rPr>
          <w:rFonts w:ascii="Times New Roman" w:hAnsi="Times New Roman" w:eastAsia="SimSun" w:cs="SimSun"/>
          <w:i/>
          <w:iCs/>
        </w:rPr>
        <w:t>Structural Change and Economic Dynamics</w:t>
      </w:r>
      <w:r>
        <w:rPr>
          <w:rFonts w:ascii="Times New Roman" w:hAnsi="Times New Roman" w:eastAsia="SimSun" w:cs="SimSun"/>
        </w:rPr>
        <w:t>, 58, 444-459.</w:t>
      </w:r>
    </w:p>
    <w:p w14:paraId="7D96BBF7">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Emerenini F. M., &amp; Ajudua E. I. (2014). Exchange Rate and Manufacturing Performance in Nigeria. </w:t>
      </w:r>
      <w:r>
        <w:rPr>
          <w:rFonts w:ascii="Times New Roman" w:hAnsi="Times New Roman" w:eastAsia="SimSun" w:cs="SimSun"/>
          <w:i/>
          <w:iCs/>
        </w:rPr>
        <w:t>Journal of Empirical Economics, 3</w:t>
      </w:r>
      <w:r>
        <w:rPr>
          <w:rFonts w:ascii="Times New Roman" w:hAnsi="Times New Roman" w:eastAsia="SimSun" w:cs="SimSun"/>
        </w:rPr>
        <w:t>(6), 352–361.</w:t>
      </w:r>
    </w:p>
    <w:p w14:paraId="1AB5DC9B">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Engle, F. R. (1987). Co-integration and error correction: Representation, estimation, and testing. </w:t>
      </w:r>
      <w:r>
        <w:rPr>
          <w:rFonts w:ascii="Times New Roman" w:hAnsi="Times New Roman" w:eastAsia="SimSun" w:cs="SimSun"/>
          <w:i/>
          <w:iCs/>
        </w:rPr>
        <w:t>Econometrica, 55</w:t>
      </w:r>
      <w:r>
        <w:rPr>
          <w:rFonts w:ascii="Times New Roman" w:hAnsi="Times New Roman" w:eastAsia="SimSun" w:cs="SimSun"/>
        </w:rPr>
        <w:t xml:space="preserve">(2), 251–276. </w:t>
      </w:r>
      <w:r>
        <w:fldChar w:fldCharType="begin"/>
      </w:r>
      <w:r>
        <w:instrText xml:space="preserve"> HYPERLINK "http://www.jstor.org/stable/1913236" </w:instrText>
      </w:r>
      <w:r>
        <w:fldChar w:fldCharType="separate"/>
      </w:r>
      <w:r>
        <w:rPr>
          <w:rStyle w:val="19"/>
          <w:rFonts w:ascii="Times New Roman" w:hAnsi="Times New Roman" w:eastAsia="SimSun" w:cs="SimSun"/>
        </w:rPr>
        <w:t>http://www.jstor.org/stable/1913236</w:t>
      </w:r>
      <w:r>
        <w:rPr>
          <w:rStyle w:val="19"/>
          <w:rFonts w:ascii="Times New Roman" w:hAnsi="Times New Roman" w:eastAsia="SimSun" w:cs="SimSun"/>
        </w:rPr>
        <w:fldChar w:fldCharType="end"/>
      </w:r>
    </w:p>
    <w:p w14:paraId="4DDCF31C">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Erinma, N. (2016). Impact of rising interest rate on the performances of the Nigerian manufacturing sector. </w:t>
      </w:r>
      <w:r>
        <w:rPr>
          <w:rFonts w:ascii="Times New Roman" w:hAnsi="Times New Roman" w:eastAsia="SimSun" w:cs="SimSun"/>
          <w:i/>
          <w:iCs/>
        </w:rPr>
        <w:t>European Journal of Business and Management, 8</w:t>
      </w:r>
      <w:r>
        <w:rPr>
          <w:rFonts w:ascii="Times New Roman" w:hAnsi="Times New Roman" w:eastAsia="SimSun" w:cs="SimSun"/>
        </w:rPr>
        <w:t>(10).</w:t>
      </w:r>
    </w:p>
    <w:p w14:paraId="306759FB">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Ezu, G. K., et al. (2020). Macroeconomic variables and performance of manufacturing sector in Nigeria (1981–2019). </w:t>
      </w:r>
      <w:r>
        <w:rPr>
          <w:rFonts w:ascii="Times New Roman" w:hAnsi="Times New Roman" w:eastAsia="SimSun" w:cs="SimSun"/>
          <w:i/>
          <w:iCs/>
        </w:rPr>
        <w:t>IOSR Journal of Business and Management</w:t>
      </w:r>
      <w:r>
        <w:rPr>
          <w:rFonts w:ascii="Times New Roman" w:hAnsi="Times New Roman" w:eastAsia="SimSun" w:cs="SimSun"/>
        </w:rPr>
        <w:t xml:space="preserve"> </w:t>
      </w:r>
      <w:r>
        <w:rPr>
          <w:rFonts w:ascii="Times New Roman" w:hAnsi="Times New Roman" w:eastAsia="SimSun" w:cs="SimSun"/>
          <w:i/>
          <w:iCs/>
        </w:rPr>
        <w:t>(IOSR-JBM, 22</w:t>
      </w:r>
      <w:r>
        <w:rPr>
          <w:rFonts w:ascii="Times New Roman" w:hAnsi="Times New Roman" w:eastAsia="SimSun" w:cs="SimSun"/>
        </w:rPr>
        <w:t>(11), 52–62.</w:t>
      </w:r>
    </w:p>
    <w:p w14:paraId="07F3BFBD">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Fabrizio, F., Michele M., &amp; Elena S. (2019). Decline in the industrial sector in the world economy: Do countries converge? </w:t>
      </w:r>
      <w:r>
        <w:rPr>
          <w:rFonts w:ascii="Times New Roman" w:hAnsi="Times New Roman" w:eastAsia="SimSun" w:cs="SimSun"/>
          <w:i/>
          <w:iCs/>
        </w:rPr>
        <w:t>School of Social Sciences, University of Modena and Reggio Emilia.</w:t>
      </w:r>
      <w:r>
        <w:rPr>
          <w:rFonts w:ascii="Times New Roman" w:hAnsi="Times New Roman" w:eastAsia="SimSun" w:cs="SimSun"/>
        </w:rPr>
        <w:t xml:space="preserve"> Reggio Emilia, Italy.</w:t>
      </w:r>
    </w:p>
    <w:p w14:paraId="2D0F6910">
      <w:pPr>
        <w:spacing w:after="200" w:line="360" w:lineRule="auto"/>
        <w:ind w:left="720" w:hanging="720"/>
        <w:jc w:val="both"/>
        <w:rPr>
          <w:rFonts w:ascii="Times New Roman" w:hAnsi="Times New Roman" w:eastAsia="SimSun" w:cs="SimSun"/>
          <w:i/>
          <w:iCs/>
        </w:rPr>
      </w:pPr>
      <w:r>
        <w:rPr>
          <w:rFonts w:ascii="Times New Roman" w:hAnsi="Times New Roman" w:eastAsia="SimSun" w:cs="SimSun"/>
        </w:rPr>
        <w:t xml:space="preserve">Felix O. A., Odumbaku A. L., Sunday A. O., Oluwadamilare O. A., &amp; Anu K. T. (2023). Interest Rate, Savings, and Industrial Performance in Nigeria. </w:t>
      </w:r>
      <w:r>
        <w:rPr>
          <w:rFonts w:ascii="Times New Roman" w:hAnsi="Times New Roman" w:eastAsia="SimSun" w:cs="SimSun"/>
          <w:i/>
          <w:iCs/>
        </w:rPr>
        <w:t xml:space="preserve">Journal of Public Administration, Finance and Law. </w:t>
      </w:r>
      <w:r>
        <w:rPr>
          <w:rFonts w:ascii="Times New Roman" w:hAnsi="Times New Roman" w:eastAsia="SimSun" w:cs="SimSun"/>
        </w:rPr>
        <w:t>https://doi.org/10.47743/jopafl-2023-28-03</w:t>
      </w:r>
    </w:p>
    <w:p w14:paraId="433E5584">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Ferreira, L., &amp; de Santana Ribeiro, L. C. (2019). Economic growth and manufacturing: An analysis using panel VAR and intersectoral linkages. </w:t>
      </w:r>
      <w:r>
        <w:rPr>
          <w:rFonts w:ascii="Times New Roman" w:hAnsi="Times New Roman" w:eastAsia="SimSun" w:cs="SimSun"/>
          <w:i/>
          <w:iCs/>
        </w:rPr>
        <w:t>Structural Change and Economic Dynamics, 49,</w:t>
      </w:r>
      <w:r>
        <w:rPr>
          <w:rFonts w:ascii="Times New Roman" w:hAnsi="Times New Roman" w:eastAsia="SimSun" w:cs="SimSun"/>
        </w:rPr>
        <w:t xml:space="preserve"> 43–61. </w:t>
      </w:r>
      <w:r>
        <w:fldChar w:fldCharType="begin"/>
      </w:r>
      <w:r>
        <w:instrText xml:space="preserve"> HYPERLINK "https://doi.org/10.1016/j.strueco.2019.03.008" </w:instrText>
      </w:r>
      <w:r>
        <w:fldChar w:fldCharType="separate"/>
      </w:r>
      <w:r>
        <w:rPr>
          <w:rStyle w:val="19"/>
          <w:rFonts w:ascii="Times New Roman" w:hAnsi="Times New Roman" w:eastAsia="SimSun" w:cs="SimSun"/>
        </w:rPr>
        <w:t>https://doi.org/10.1016/j.strueco.2019.03.008</w:t>
      </w:r>
      <w:r>
        <w:rPr>
          <w:rStyle w:val="19"/>
          <w:rFonts w:ascii="Times New Roman" w:hAnsi="Times New Roman" w:eastAsia="SimSun" w:cs="SimSun"/>
        </w:rPr>
        <w:fldChar w:fldCharType="end"/>
      </w:r>
    </w:p>
    <w:p w14:paraId="49638677">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Ghulam Y. K., Salik M., &amp; Lydia B. L. (2018). Decline in the industrial sector and Economic Growth: Empirical Evidence from Pakistan. </w:t>
      </w:r>
      <w:r>
        <w:rPr>
          <w:rFonts w:ascii="Times New Roman" w:hAnsi="Times New Roman" w:eastAsia="SimSun" w:cs="SimSun"/>
          <w:i/>
          <w:iCs/>
        </w:rPr>
        <w:t>Journal of Education in Black Sea Region, 3</w:t>
      </w:r>
      <w:r>
        <w:rPr>
          <w:rFonts w:ascii="Times New Roman" w:hAnsi="Times New Roman" w:eastAsia="SimSun" w:cs="SimSun"/>
        </w:rPr>
        <w:t>(1), 106–115.</w:t>
      </w:r>
    </w:p>
    <w:p w14:paraId="0A2A5116">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Guilherme K. M., &amp; Peter S. (2020). </w:t>
      </w:r>
      <w:r>
        <w:rPr>
          <w:rFonts w:ascii="Times New Roman" w:hAnsi="Times New Roman" w:eastAsia="SimSun" w:cs="SimSun"/>
          <w:i/>
          <w:iCs/>
        </w:rPr>
        <w:t>Macroeconomic policy, inflation and decline in the industrial sector in a dual economy</w:t>
      </w:r>
      <w:r>
        <w:rPr>
          <w:rFonts w:ascii="Times New Roman" w:hAnsi="Times New Roman" w:eastAsia="SimSun" w:cs="SimSun"/>
        </w:rPr>
        <w:t>. University of Massachusetts Amherst.</w:t>
      </w:r>
    </w:p>
    <w:p w14:paraId="147561E8">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Hacker, I. S., Kim, H., &amp; Månsson, K. (2009). </w:t>
      </w:r>
      <w:r>
        <w:rPr>
          <w:rFonts w:ascii="Times New Roman" w:hAnsi="Times New Roman" w:eastAsia="SimSun" w:cs="SimSun"/>
          <w:i/>
          <w:iCs/>
        </w:rPr>
        <w:t>The relationship between exchange rates and interest rate differentials: A wavelet approach.</w:t>
      </w:r>
      <w:r>
        <w:rPr>
          <w:rFonts w:ascii="Times New Roman" w:hAnsi="Times New Roman" w:eastAsia="SimSun" w:cs="SimSun"/>
        </w:rPr>
        <w:t xml:space="preserve"> The Royal Institute of Technology Centre of Excellence for Science and Innovation Studies (CESIS).</w:t>
      </w:r>
    </w:p>
    <w:p w14:paraId="7639BB7F">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Halkos, G., de Alba, J. M., &amp; Todorov, V. (2021). Analyzing manufacturing sector and selected development challenges: A panel data analysis. </w:t>
      </w:r>
      <w:r>
        <w:rPr>
          <w:rFonts w:ascii="Times New Roman" w:hAnsi="Times New Roman" w:eastAsia="SimSun" w:cs="SimSun"/>
          <w:i/>
          <w:iCs/>
        </w:rPr>
        <w:t>Energy, 235,</w:t>
      </w:r>
      <w:r>
        <w:rPr>
          <w:rFonts w:ascii="Times New Roman" w:hAnsi="Times New Roman" w:eastAsia="SimSun" w:cs="SimSun"/>
        </w:rPr>
        <w:t xml:space="preserve"> 121253. </w:t>
      </w:r>
      <w:r>
        <w:fldChar w:fldCharType="begin"/>
      </w:r>
      <w:r>
        <w:instrText xml:space="preserve"> HYPERLINK "https://doi.org/10.1016/j.energy.2021.121253" </w:instrText>
      </w:r>
      <w:r>
        <w:fldChar w:fldCharType="separate"/>
      </w:r>
      <w:r>
        <w:rPr>
          <w:rStyle w:val="19"/>
          <w:rFonts w:ascii="Times New Roman" w:hAnsi="Times New Roman" w:eastAsia="SimSun" w:cs="SimSun"/>
        </w:rPr>
        <w:t>https://doi.org/10.1016/j.energy.2021.121253</w:t>
      </w:r>
      <w:r>
        <w:rPr>
          <w:rStyle w:val="19"/>
          <w:rFonts w:ascii="Times New Roman" w:hAnsi="Times New Roman" w:eastAsia="SimSun" w:cs="SimSun"/>
        </w:rPr>
        <w:fldChar w:fldCharType="end"/>
      </w:r>
    </w:p>
    <w:p w14:paraId="1FDAFC83">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International Monetary Fund. (2023). </w:t>
      </w:r>
      <w:r>
        <w:rPr>
          <w:rFonts w:ascii="Times New Roman" w:hAnsi="Times New Roman" w:eastAsia="SimSun" w:cs="SimSun"/>
          <w:i/>
          <w:iCs/>
        </w:rPr>
        <w:t>Nigeria: Economic outlook report</w:t>
      </w:r>
      <w:r>
        <w:rPr>
          <w:rFonts w:ascii="Times New Roman" w:hAnsi="Times New Roman" w:eastAsia="SimSun" w:cs="SimSun"/>
        </w:rPr>
        <w:t xml:space="preserve">. Retrieved from </w:t>
      </w:r>
      <w:r>
        <w:fldChar w:fldCharType="begin"/>
      </w:r>
      <w:r>
        <w:instrText xml:space="preserve"> HYPERLINK "https://www.imf.org" </w:instrText>
      </w:r>
      <w:r>
        <w:fldChar w:fldCharType="separate"/>
      </w:r>
      <w:r>
        <w:rPr>
          <w:rStyle w:val="19"/>
          <w:rFonts w:ascii="Times New Roman" w:hAnsi="Times New Roman" w:eastAsia="SimSun" w:cs="SimSun"/>
        </w:rPr>
        <w:t>https://www.imf.org</w:t>
      </w:r>
      <w:r>
        <w:rPr>
          <w:rStyle w:val="19"/>
          <w:rFonts w:ascii="Times New Roman" w:hAnsi="Times New Roman" w:eastAsia="SimSun" w:cs="SimSun"/>
        </w:rPr>
        <w:fldChar w:fldCharType="end"/>
      </w:r>
    </w:p>
    <w:p w14:paraId="2F15ED5B">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Johansen, S., &amp; Juselius, K. (1992). Testing structural hypotheses in a multivariate cointegration analysis of the PPP and UIP for the UK. </w:t>
      </w:r>
      <w:r>
        <w:rPr>
          <w:rFonts w:ascii="Times New Roman" w:hAnsi="Times New Roman" w:eastAsia="SimSun" w:cs="SimSun"/>
          <w:i/>
          <w:iCs/>
        </w:rPr>
        <w:t>Journal of Econometrics, 53</w:t>
      </w:r>
      <w:r>
        <w:rPr>
          <w:rFonts w:ascii="Times New Roman" w:hAnsi="Times New Roman" w:eastAsia="SimSun" w:cs="SimSun"/>
        </w:rPr>
        <w:t xml:space="preserve">(2), 211–244. </w:t>
      </w:r>
      <w:r>
        <w:fldChar w:fldCharType="begin"/>
      </w:r>
      <w:r>
        <w:instrText xml:space="preserve"> HYPERLINK "https://doi.org/10.1016/0304-4076(92)90104-W" </w:instrText>
      </w:r>
      <w:r>
        <w:fldChar w:fldCharType="separate"/>
      </w:r>
      <w:r>
        <w:rPr>
          <w:rStyle w:val="19"/>
          <w:rFonts w:ascii="Times New Roman" w:hAnsi="Times New Roman" w:eastAsia="SimSun" w:cs="SimSun"/>
        </w:rPr>
        <w:t>https://doi.org/10.1016/0304-4076(92)90104-W</w:t>
      </w:r>
      <w:r>
        <w:rPr>
          <w:rStyle w:val="19"/>
          <w:rFonts w:ascii="Times New Roman" w:hAnsi="Times New Roman" w:eastAsia="SimSun" w:cs="SimSun"/>
        </w:rPr>
        <w:fldChar w:fldCharType="end"/>
      </w:r>
    </w:p>
    <w:p w14:paraId="773F85A3">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Kayode, M. O. (1989). </w:t>
      </w:r>
      <w:r>
        <w:rPr>
          <w:rFonts w:ascii="Times New Roman" w:hAnsi="Times New Roman" w:eastAsia="SimSun" w:cs="SimSun"/>
          <w:i/>
          <w:iCs/>
        </w:rPr>
        <w:t>Nigeria since independence: The first 25 years</w:t>
      </w:r>
      <w:r>
        <w:rPr>
          <w:rFonts w:ascii="Times New Roman" w:hAnsi="Times New Roman" w:eastAsia="SimSun" w:cs="SimSun"/>
        </w:rPr>
        <w:t>. Heinemann Books Ltd.</w:t>
      </w:r>
    </w:p>
    <w:p w14:paraId="5AF6A64A">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Khan, G. Y., Mehboob, S., &amp; Lopez, L. B. (2018). Decline in the industrial sector and economic growth: Empirical evidence from Pakistan. </w:t>
      </w:r>
      <w:r>
        <w:rPr>
          <w:rFonts w:ascii="Times New Roman" w:hAnsi="Times New Roman" w:eastAsia="SimSun" w:cs="SimSun"/>
          <w:i/>
          <w:iCs/>
        </w:rPr>
        <w:t>Asian Journal of Economic Modelling, 6</w:t>
      </w:r>
      <w:r>
        <w:rPr>
          <w:rFonts w:ascii="Times New Roman" w:hAnsi="Times New Roman" w:eastAsia="SimSun" w:cs="SimSun"/>
        </w:rPr>
        <w:t xml:space="preserve">(4), 462–475. </w:t>
      </w:r>
      <w:r>
        <w:fldChar w:fldCharType="begin"/>
      </w:r>
      <w:r>
        <w:instrText xml:space="preserve"> HYPERLINK "https://doi.org/10.18488/journal.8.2018.64.462.475" </w:instrText>
      </w:r>
      <w:r>
        <w:fldChar w:fldCharType="separate"/>
      </w:r>
      <w:r>
        <w:rPr>
          <w:rStyle w:val="19"/>
          <w:rFonts w:ascii="Times New Roman" w:hAnsi="Times New Roman" w:eastAsia="SimSun" w:cs="SimSun"/>
        </w:rPr>
        <w:t>https://doi.org/10.18488/journal.8.2018.64.462.475</w:t>
      </w:r>
      <w:r>
        <w:rPr>
          <w:rStyle w:val="19"/>
          <w:rFonts w:ascii="Times New Roman" w:hAnsi="Times New Roman" w:eastAsia="SimSun" w:cs="SimSun"/>
        </w:rPr>
        <w:fldChar w:fldCharType="end"/>
      </w:r>
    </w:p>
    <w:p w14:paraId="43564A43">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Lawal, E. O. (2016). Effect of exchange rate fluctuations on manufacturing sector output in Nigeria. </w:t>
      </w:r>
      <w:r>
        <w:rPr>
          <w:rFonts w:ascii="Times New Roman" w:hAnsi="Times New Roman" w:eastAsia="SimSun" w:cs="SimSun"/>
          <w:i/>
          <w:iCs/>
        </w:rPr>
        <w:t>Quest Journals Journal of Research in Business and Management, 4</w:t>
      </w:r>
      <w:r>
        <w:rPr>
          <w:rFonts w:ascii="Times New Roman" w:hAnsi="Times New Roman" w:eastAsia="SimSun" w:cs="SimSun"/>
        </w:rPr>
        <w:t>(10), 32–39.</w:t>
      </w:r>
    </w:p>
    <w:p w14:paraId="606BBCF6">
      <w:pPr>
        <w:spacing w:after="200" w:line="360" w:lineRule="auto"/>
        <w:ind w:left="720" w:hanging="720"/>
        <w:jc w:val="both"/>
        <w:rPr>
          <w:rFonts w:ascii="Times New Roman" w:hAnsi="Times New Roman" w:eastAsia="SimSun" w:cs="SimSun"/>
        </w:rPr>
      </w:pPr>
      <w:r>
        <w:rPr>
          <w:rFonts w:ascii="Times New Roman" w:hAnsi="Times New Roman" w:eastAsia="SimSun" w:cs="SimSun"/>
        </w:rPr>
        <w:t>Manufacturers Association of Nigeria (MAN). (2023). </w:t>
      </w:r>
      <w:r>
        <w:rPr>
          <w:rFonts w:ascii="Times New Roman" w:hAnsi="Times New Roman" w:eastAsia="SimSun" w:cs="SimSun"/>
          <w:i/>
          <w:iCs/>
        </w:rPr>
        <w:t>Manufacturing Sector Performance in 2022: A Review</w:t>
      </w:r>
      <w:r>
        <w:rPr>
          <w:rFonts w:ascii="Times New Roman" w:hAnsi="Times New Roman" w:eastAsia="SimSun" w:cs="SimSun"/>
        </w:rPr>
        <w:t>. MAN Headquarters, Lagos.</w:t>
      </w:r>
    </w:p>
    <w:p w14:paraId="203D144B">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Manoj, A., Prakash L., Milton M., &amp; Chris P. (2018). Rethinking development policy: Decline in the industrial sector, servicification and structural transformation. </w:t>
      </w:r>
      <w:r>
        <w:rPr>
          <w:rFonts w:ascii="Times New Roman" w:hAnsi="Times New Roman" w:eastAsia="SimSun" w:cs="SimSun"/>
          <w:i/>
          <w:iCs/>
        </w:rPr>
        <w:t>IMF Working Papers, WP/18</w:t>
      </w:r>
      <w:r>
        <w:rPr>
          <w:rFonts w:ascii="Times New Roman" w:hAnsi="Times New Roman" w:eastAsia="SimSun" w:cs="SimSun"/>
        </w:rPr>
        <w:t xml:space="preserve">/223. Retrieved from </w:t>
      </w:r>
      <w:r>
        <w:fldChar w:fldCharType="begin"/>
      </w:r>
      <w:r>
        <w:instrText xml:space="preserve"> HYPERLINK "https://www.imf.org/en/Publications/WP/Issues/2018/12/01/" </w:instrText>
      </w:r>
      <w:r>
        <w:fldChar w:fldCharType="separate"/>
      </w:r>
      <w:r>
        <w:rPr>
          <w:rStyle w:val="19"/>
          <w:rFonts w:ascii="Times New Roman" w:hAnsi="Times New Roman" w:eastAsia="SimSun" w:cs="SimSun"/>
        </w:rPr>
        <w:t>https://www.imf.org/en/Publications/WP/Issues/2018/12/01/</w:t>
      </w:r>
      <w:r>
        <w:rPr>
          <w:rStyle w:val="19"/>
          <w:rFonts w:ascii="Times New Roman" w:hAnsi="Times New Roman" w:eastAsia="SimSun" w:cs="SimSun"/>
        </w:rPr>
        <w:fldChar w:fldCharType="end"/>
      </w:r>
    </w:p>
    <w:p w14:paraId="62403C70">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Martin C. O., &amp; Ezeanyaeji C. I. (2022). Exchange rate and manufacturing sector performance in Nigeria. </w:t>
      </w:r>
      <w:r>
        <w:rPr>
          <w:rFonts w:ascii="Times New Roman" w:hAnsi="Times New Roman" w:eastAsia="SimSun" w:cs="SimSun"/>
          <w:i/>
          <w:iCs/>
        </w:rPr>
        <w:t>Lapai Journal of Economics, 6</w:t>
      </w:r>
      <w:r>
        <w:rPr>
          <w:rFonts w:ascii="Times New Roman" w:hAnsi="Times New Roman" w:eastAsia="SimSun" w:cs="SimSun"/>
        </w:rPr>
        <w:t>(2).</w:t>
      </w:r>
    </w:p>
    <w:p w14:paraId="555B818F">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National Bureau of Statistics (NBS). (2023). </w:t>
      </w:r>
      <w:r>
        <w:rPr>
          <w:rFonts w:ascii="Times New Roman" w:hAnsi="Times New Roman" w:eastAsia="SimSun" w:cs="SimSun"/>
          <w:i/>
          <w:iCs/>
        </w:rPr>
        <w:t>Consumer price index report.</w:t>
      </w:r>
      <w:r>
        <w:rPr>
          <w:rFonts w:ascii="Times New Roman" w:hAnsi="Times New Roman" w:eastAsia="SimSun" w:cs="SimSun"/>
        </w:rPr>
        <w:t xml:space="preserve"> Retrieved from </w:t>
      </w:r>
      <w:r>
        <w:fldChar w:fldCharType="begin"/>
      </w:r>
      <w:r>
        <w:instrText xml:space="preserve"> HYPERLINK "https://www.nigerianstat.gov.ng/" </w:instrText>
      </w:r>
      <w:r>
        <w:fldChar w:fldCharType="separate"/>
      </w:r>
      <w:r>
        <w:rPr>
          <w:rStyle w:val="19"/>
          <w:rFonts w:ascii="Times New Roman" w:hAnsi="Times New Roman" w:eastAsia="SimSun" w:cs="SimSun"/>
        </w:rPr>
        <w:t>https://www.nigerianstat.gov.ng/#</w:t>
      </w:r>
      <w:r>
        <w:rPr>
          <w:rStyle w:val="19"/>
          <w:rFonts w:ascii="Times New Roman" w:hAnsi="Times New Roman" w:eastAsia="SimSun" w:cs="SimSun"/>
        </w:rPr>
        <w:fldChar w:fldCharType="end"/>
      </w:r>
      <w:r>
        <w:rPr>
          <w:rFonts w:ascii="Times New Roman" w:hAnsi="Times New Roman" w:eastAsia="SimSun" w:cs="SimSun"/>
        </w:rPr>
        <w:t>.</w:t>
      </w:r>
    </w:p>
    <w:p w14:paraId="328621DE">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National Bureau of Statistics (NBS). (2024). </w:t>
      </w:r>
      <w:r>
        <w:rPr>
          <w:rFonts w:ascii="Times New Roman" w:hAnsi="Times New Roman" w:eastAsia="SimSun" w:cs="SimSun"/>
          <w:i/>
          <w:iCs/>
        </w:rPr>
        <w:t>Gross domestic product report.</w:t>
      </w:r>
      <w:r>
        <w:rPr>
          <w:rFonts w:ascii="Times New Roman" w:hAnsi="Times New Roman" w:eastAsia="SimSun" w:cs="SimSun"/>
        </w:rPr>
        <w:t xml:space="preserve"> Retrieved from </w:t>
      </w:r>
      <w:r>
        <w:fldChar w:fldCharType="begin"/>
      </w:r>
      <w:r>
        <w:instrText xml:space="preserve"> HYPERLINK "https://www.nigerianstat.gov.ng/" </w:instrText>
      </w:r>
      <w:r>
        <w:fldChar w:fldCharType="separate"/>
      </w:r>
      <w:r>
        <w:rPr>
          <w:rStyle w:val="19"/>
          <w:rFonts w:ascii="Times New Roman" w:hAnsi="Times New Roman" w:eastAsia="SimSun" w:cs="SimSun"/>
        </w:rPr>
        <w:t>https://www.nigerianstat.gov.ng/#</w:t>
      </w:r>
      <w:r>
        <w:rPr>
          <w:rStyle w:val="19"/>
          <w:rFonts w:ascii="Times New Roman" w:hAnsi="Times New Roman" w:eastAsia="SimSun" w:cs="SimSun"/>
        </w:rPr>
        <w:fldChar w:fldCharType="end"/>
      </w:r>
      <w:r>
        <w:rPr>
          <w:rFonts w:ascii="Times New Roman" w:hAnsi="Times New Roman" w:eastAsia="SimSun" w:cs="SimSun"/>
        </w:rPr>
        <w:t>.</w:t>
      </w:r>
    </w:p>
    <w:p w14:paraId="5ECE1019">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Ndife, C. F. (2020). Impact of interest rates on the growth of industrial sector of Nigerian economy. </w:t>
      </w:r>
      <w:r>
        <w:rPr>
          <w:rFonts w:ascii="Times New Roman" w:hAnsi="Times New Roman" w:eastAsia="SimSun" w:cs="SimSun"/>
          <w:i/>
          <w:iCs/>
        </w:rPr>
        <w:t>International Journal of Management Science and Entrepreneurship, 19</w:t>
      </w:r>
      <w:r>
        <w:rPr>
          <w:rFonts w:ascii="Times New Roman" w:hAnsi="Times New Roman" w:eastAsia="SimSun" w:cs="SimSun"/>
        </w:rPr>
        <w:t>(7), 1-16. Published by Cambridge Research and Publications.</w:t>
      </w:r>
    </w:p>
    <w:p w14:paraId="224C6FBE">
      <w:pPr>
        <w:spacing w:after="200" w:line="360" w:lineRule="auto"/>
        <w:ind w:left="720" w:hanging="720"/>
        <w:jc w:val="both"/>
        <w:rPr>
          <w:rFonts w:ascii="Times New Roman" w:hAnsi="Times New Roman" w:eastAsia="SimSun" w:cs="SimSun"/>
        </w:rPr>
      </w:pPr>
      <w:r>
        <w:rPr>
          <w:rFonts w:ascii="Times New Roman" w:hAnsi="Times New Roman" w:eastAsia="SimSun" w:cs="SimSun"/>
        </w:rPr>
        <w:t>Nnanna, O. J. (2017). </w:t>
      </w:r>
      <w:r>
        <w:rPr>
          <w:rFonts w:ascii="Times New Roman" w:hAnsi="Times New Roman" w:eastAsia="SimSun" w:cs="SimSun"/>
          <w:i/>
          <w:iCs/>
        </w:rPr>
        <w:t>Monetary policy in a period of economic recession: The Nigerian experience</w:t>
      </w:r>
      <w:r>
        <w:rPr>
          <w:rFonts w:ascii="Times New Roman" w:hAnsi="Times New Roman" w:eastAsia="SimSun" w:cs="SimSun"/>
        </w:rPr>
        <w:t>. Central Bank of Nigeria Economic and Financial Review, 55(4), 1-15.</w:t>
      </w:r>
    </w:p>
    <w:p w14:paraId="69678BA3">
      <w:pPr>
        <w:spacing w:after="200" w:line="360" w:lineRule="auto"/>
        <w:ind w:left="720" w:hanging="720"/>
        <w:jc w:val="both"/>
        <w:rPr>
          <w:rFonts w:ascii="Times New Roman" w:hAnsi="Times New Roman" w:eastAsia="SimSun" w:cs="SimSun"/>
        </w:rPr>
      </w:pPr>
      <w:r>
        <w:rPr>
          <w:rFonts w:ascii="Times New Roman" w:hAnsi="Times New Roman" w:eastAsia="SimSun" w:cs="SimSun"/>
        </w:rPr>
        <w:t>Nwole, A. A. (2013). </w:t>
      </w:r>
      <w:r>
        <w:rPr>
          <w:rFonts w:ascii="Times New Roman" w:hAnsi="Times New Roman" w:eastAsia="SimSun" w:cs="SimSun"/>
          <w:i/>
          <w:iCs/>
        </w:rPr>
        <w:t>The impact of inflation on the manufacturing sector of the Nigerian economy (1981–2011)</w:t>
      </w:r>
      <w:r>
        <w:rPr>
          <w:rFonts w:ascii="Times New Roman" w:hAnsi="Times New Roman" w:eastAsia="SimSun" w:cs="SimSun"/>
        </w:rPr>
        <w:t> [Unpublished manuscript]. Department of Economics, Caritas University.</w:t>
      </w:r>
    </w:p>
    <w:p w14:paraId="4464CE39">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Odey, P. O., &amp; Agunobi, C. C. (2023). Effect of exchange rate on the performance of the manufacturing sector in Nigeria. </w:t>
      </w:r>
      <w:r>
        <w:rPr>
          <w:rFonts w:ascii="Times New Roman" w:hAnsi="Times New Roman" w:eastAsia="SimSun" w:cs="SimSun"/>
          <w:i/>
          <w:iCs/>
        </w:rPr>
        <w:t>AFIT Journal of Marketing Research, 3</w:t>
      </w:r>
      <w:r>
        <w:rPr>
          <w:rFonts w:ascii="Times New Roman" w:hAnsi="Times New Roman" w:eastAsia="SimSun" w:cs="SimSun"/>
        </w:rPr>
        <w:t xml:space="preserve">, 1-10. </w:t>
      </w:r>
      <w:r>
        <w:fldChar w:fldCharType="begin"/>
      </w:r>
      <w:r>
        <w:instrText xml:space="preserve"> HYPERLINK "https://doi.org/10.2756/jmr.2023" </w:instrText>
      </w:r>
      <w:r>
        <w:fldChar w:fldCharType="separate"/>
      </w:r>
      <w:r>
        <w:rPr>
          <w:rStyle w:val="19"/>
          <w:rFonts w:ascii="Times New Roman" w:hAnsi="Times New Roman" w:eastAsia="SimSun" w:cs="SimSun"/>
        </w:rPr>
        <w:t>https://doi.org/10.2756/jmr.2023</w:t>
      </w:r>
      <w:r>
        <w:rPr>
          <w:rStyle w:val="19"/>
          <w:rFonts w:ascii="Times New Roman" w:hAnsi="Times New Roman" w:eastAsia="SimSun" w:cs="SimSun"/>
        </w:rPr>
        <w:fldChar w:fldCharType="end"/>
      </w:r>
      <w:r>
        <w:rPr>
          <w:rFonts w:ascii="Times New Roman" w:hAnsi="Times New Roman" w:eastAsia="SimSun" w:cs="SimSun"/>
        </w:rPr>
        <w:t>.</w:t>
      </w:r>
    </w:p>
    <w:p w14:paraId="6A482AA9">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Ogbu, E. G. (2018). Relative impact of interest and exchange rate fluctuations on the output of manufacturing sector in Nigeria from 1986-2016. </w:t>
      </w:r>
      <w:r>
        <w:rPr>
          <w:rFonts w:ascii="Times New Roman" w:hAnsi="Times New Roman" w:eastAsia="SimSun" w:cs="SimSun"/>
          <w:i/>
          <w:iCs/>
        </w:rPr>
        <w:t>IDOSR Journal of Banking, Economics and Social Sciences, 3</w:t>
      </w:r>
      <w:r>
        <w:rPr>
          <w:rFonts w:ascii="Times New Roman" w:hAnsi="Times New Roman" w:eastAsia="SimSun" w:cs="SimSun"/>
        </w:rPr>
        <w:t>(1), 63-73.</w:t>
      </w:r>
    </w:p>
    <w:p w14:paraId="6D9979F2">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Okafor, T., Adegbite, E., &amp; Abiola, Busari. (2018). Exchange rate fluctuations, inflation, and industrial output growth in Nigeria. </w:t>
      </w:r>
      <w:r>
        <w:rPr>
          <w:rFonts w:ascii="Times New Roman" w:hAnsi="Times New Roman" w:eastAsia="SimSun" w:cs="SimSun"/>
          <w:i/>
          <w:iCs/>
        </w:rPr>
        <w:t>International Journal of Supply Chain Management, 7,</w:t>
      </w:r>
      <w:r>
        <w:rPr>
          <w:rFonts w:ascii="Times New Roman" w:hAnsi="Times New Roman" w:eastAsia="SimSun" w:cs="SimSun"/>
        </w:rPr>
        <w:t xml:space="preserve"> 118-128.</w:t>
      </w:r>
    </w:p>
    <w:p w14:paraId="33E82FFA">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Okonkwo, N. O., &amp; Egbulonu, K. G. (2016). Does interest rate impact industrial growth in Nigeria? </w:t>
      </w:r>
      <w:r>
        <w:rPr>
          <w:rFonts w:ascii="Times New Roman" w:hAnsi="Times New Roman" w:eastAsia="SimSun" w:cs="SimSun"/>
          <w:i/>
          <w:iCs/>
        </w:rPr>
        <w:t>International Conference, Society for Research and Academic Excellence,</w:t>
      </w:r>
      <w:r>
        <w:rPr>
          <w:rFonts w:ascii="Times New Roman" w:hAnsi="Times New Roman" w:eastAsia="SimSun" w:cs="SimSun"/>
        </w:rPr>
        <w:t xml:space="preserve"> University of Nigeria, Nsukka.</w:t>
      </w:r>
    </w:p>
    <w:p w14:paraId="6D85556C">
      <w:pPr>
        <w:spacing w:after="200" w:line="360" w:lineRule="auto"/>
        <w:ind w:left="720" w:hanging="720"/>
        <w:jc w:val="both"/>
        <w:rPr>
          <w:rFonts w:ascii="Times New Roman" w:hAnsi="Times New Roman" w:eastAsia="SimSun" w:cs="SimSun"/>
          <w:i/>
          <w:iCs/>
        </w:rPr>
      </w:pPr>
      <w:r>
        <w:rPr>
          <w:rFonts w:ascii="Times New Roman" w:hAnsi="Times New Roman" w:eastAsia="SimSun" w:cs="SimSun"/>
        </w:rPr>
        <w:t xml:space="preserve">Olabode, E. A. (2018). Impact of foreign exchange rate on performance of manufacturing sector in Nigeria. </w:t>
      </w:r>
      <w:r>
        <w:rPr>
          <w:rFonts w:ascii="Times New Roman" w:hAnsi="Times New Roman" w:eastAsia="SimSun" w:cs="SimSun"/>
          <w:i/>
          <w:iCs/>
        </w:rPr>
        <w:t>The Post Graduate School, Delta State University, Abraka.</w:t>
      </w:r>
    </w:p>
    <w:p w14:paraId="2F2AF4A4">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Olamade, O. O., Oyebisi, T. O., &amp; Olabode, S. O. (2014). Strategic ICT-use intensity of manufacturing companies in Nigeria. </w:t>
      </w:r>
      <w:r>
        <w:rPr>
          <w:rFonts w:ascii="Times New Roman" w:hAnsi="Times New Roman" w:eastAsia="SimSun" w:cs="SimSun"/>
          <w:i/>
          <w:iCs/>
        </w:rPr>
        <w:t>Journal of Asian Business Strategy, 4</w:t>
      </w:r>
      <w:r>
        <w:rPr>
          <w:rFonts w:ascii="Times New Roman" w:hAnsi="Times New Roman" w:eastAsia="SimSun" w:cs="SimSun"/>
        </w:rPr>
        <w:t>(1), 1-17.</w:t>
      </w:r>
    </w:p>
    <w:p w14:paraId="1DF7FA57">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Omolola, O. E., Rasaki, G. M., &amp; Addo, G. O. (2023). The effect of exchange rate fluctuation on the performance of the manufacturing sector in Nigeria (1990-2020). </w:t>
      </w:r>
      <w:r>
        <w:rPr>
          <w:rFonts w:ascii="Times New Roman" w:hAnsi="Times New Roman" w:eastAsia="SimSun" w:cs="SimSun"/>
          <w:i/>
          <w:iCs/>
        </w:rPr>
        <w:t>Journal of Stock &amp; Forex, 10</w:t>
      </w:r>
      <w:r>
        <w:rPr>
          <w:rFonts w:ascii="Times New Roman" w:hAnsi="Times New Roman" w:eastAsia="SimSun" w:cs="SimSun"/>
        </w:rPr>
        <w:t>, 235.</w:t>
      </w:r>
    </w:p>
    <w:p w14:paraId="4D4BAF60">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Opaluwa, D., Umeh, J. C., &amp; Ameh, A. A. (2010). The effect of exchange rate fluctuations on the Nigerian manufacturing sector. </w:t>
      </w:r>
      <w:r>
        <w:rPr>
          <w:rFonts w:ascii="Times New Roman" w:hAnsi="Times New Roman" w:eastAsia="SimSun" w:cs="SimSun"/>
          <w:i/>
          <w:iCs/>
        </w:rPr>
        <w:t>African Journal of Business Management, 4</w:t>
      </w:r>
      <w:r>
        <w:rPr>
          <w:rFonts w:ascii="Times New Roman" w:hAnsi="Times New Roman" w:eastAsia="SimSun" w:cs="SimSun"/>
        </w:rPr>
        <w:t xml:space="preserve">(14), 2994-2998. </w:t>
      </w:r>
      <w:r>
        <w:fldChar w:fldCharType="begin"/>
      </w:r>
      <w:r>
        <w:instrText xml:space="preserve"> HYPERLINK "https://doi.org/10.5897/AJBM" </w:instrText>
      </w:r>
      <w:r>
        <w:fldChar w:fldCharType="separate"/>
      </w:r>
      <w:r>
        <w:rPr>
          <w:rStyle w:val="19"/>
          <w:rFonts w:ascii="Times New Roman" w:hAnsi="Times New Roman" w:eastAsia="SimSun" w:cs="SimSun"/>
        </w:rPr>
        <w:t>https://doi.org/10.5897/AJBM</w:t>
      </w:r>
      <w:r>
        <w:rPr>
          <w:rStyle w:val="19"/>
          <w:rFonts w:ascii="Times New Roman" w:hAnsi="Times New Roman" w:eastAsia="SimSun" w:cs="SimSun"/>
        </w:rPr>
        <w:fldChar w:fldCharType="end"/>
      </w:r>
    </w:p>
    <w:p w14:paraId="6B93D28F">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Pam C., Pam Y. G., Chinedu O. M., &amp; Udoh F. S. (2021). Effects of interest rates on performance of the manufacturing sector in Nigeria. </w:t>
      </w:r>
      <w:r>
        <w:rPr>
          <w:rFonts w:ascii="Times New Roman" w:hAnsi="Times New Roman" w:eastAsia="SimSun" w:cs="SimSun"/>
          <w:i/>
          <w:iCs/>
        </w:rPr>
        <w:t>International Journal of Advanced Research in Statistics, Management and Finance,</w:t>
      </w:r>
      <w:r>
        <w:rPr>
          <w:rFonts w:ascii="Times New Roman" w:hAnsi="Times New Roman" w:eastAsia="SimSun" w:cs="SimSun"/>
        </w:rPr>
        <w:t xml:space="preserve"> 1(1), 1-xx. p-ISSN: 2315-8409 | e-ISSN: 2354-1644.</w:t>
      </w:r>
    </w:p>
    <w:p w14:paraId="2101AC3D">
      <w:pPr>
        <w:spacing w:after="200" w:line="360" w:lineRule="auto"/>
        <w:ind w:left="720" w:hanging="720"/>
        <w:jc w:val="both"/>
        <w:rPr>
          <w:rFonts w:ascii="Times New Roman" w:hAnsi="Times New Roman" w:eastAsia="SimSun" w:cs="SimSun"/>
        </w:rPr>
      </w:pPr>
      <w:r>
        <w:rPr>
          <w:rFonts w:ascii="Times New Roman" w:hAnsi="Times New Roman" w:eastAsia="SimSun" w:cs="SimSun"/>
        </w:rPr>
        <w:t>Paulo, A., &amp; Joaquim, G. (2023). </w:t>
      </w:r>
      <w:r>
        <w:rPr>
          <w:rFonts w:ascii="Times New Roman" w:hAnsi="Times New Roman" w:eastAsia="SimSun" w:cs="SimSun"/>
          <w:i/>
          <w:iCs/>
        </w:rPr>
        <w:t>Deindustrialisation in Brazil: A sub-sectoral approach</w:t>
      </w:r>
      <w:r>
        <w:rPr>
          <w:rFonts w:ascii="Times New Roman" w:hAnsi="Times New Roman" w:eastAsia="SimSun" w:cs="SimSun"/>
        </w:rPr>
        <w:t>. </w:t>
      </w:r>
      <w:r>
        <w:rPr>
          <w:rFonts w:ascii="Times New Roman" w:hAnsi="Times New Roman" w:eastAsia="SimSun" w:cs="SimSun"/>
          <w:i/>
          <w:iCs/>
        </w:rPr>
        <w:t>Structural Change and Economic Dynamics</w:t>
      </w:r>
      <w:r>
        <w:rPr>
          <w:rFonts w:ascii="Times New Roman" w:hAnsi="Times New Roman" w:eastAsia="SimSun" w:cs="SimSun"/>
        </w:rPr>
        <w:t>, 65, 366-381. </w:t>
      </w:r>
      <w:r>
        <w:fldChar w:fldCharType="begin"/>
      </w:r>
      <w:r>
        <w:instrText xml:space="preserve"> HYPERLINK "https://doi.org/10.1016/j.strueco.2023.03.005" \t "_blank" </w:instrText>
      </w:r>
      <w:r>
        <w:fldChar w:fldCharType="separate"/>
      </w:r>
      <w:r>
        <w:rPr>
          <w:rStyle w:val="19"/>
          <w:rFonts w:ascii="Times New Roman" w:hAnsi="Times New Roman" w:eastAsia="SimSun" w:cs="SimSun"/>
        </w:rPr>
        <w:t>https://doi.org/10.1016/j.strueco.2023.03.005</w:t>
      </w:r>
      <w:r>
        <w:rPr>
          <w:rStyle w:val="19"/>
          <w:rFonts w:ascii="Times New Roman" w:hAnsi="Times New Roman" w:eastAsia="SimSun" w:cs="SimSun"/>
        </w:rPr>
        <w:fldChar w:fldCharType="end"/>
      </w:r>
    </w:p>
    <w:p w14:paraId="58397667">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Pesaran, H. M., &amp; Shin, Y. (1995). </w:t>
      </w:r>
      <w:r>
        <w:rPr>
          <w:rFonts w:ascii="Times New Roman" w:hAnsi="Times New Roman" w:eastAsia="SimSun" w:cs="SimSun"/>
          <w:i/>
          <w:iCs/>
        </w:rPr>
        <w:t>Autoregressive distributed lag modeling approach to cointegration analysis</w:t>
      </w:r>
      <w:r>
        <w:rPr>
          <w:rFonts w:ascii="Times New Roman" w:hAnsi="Times New Roman" w:eastAsia="SimSun" w:cs="SimSun"/>
        </w:rPr>
        <w:t xml:space="preserve"> (Working Paper No. 9514). Department of Economics, University of Cambridge, DAE.</w:t>
      </w:r>
    </w:p>
    <w:p w14:paraId="2F8029E1">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Pesaran, M., Shin, Y., &amp; Smith, R. (2001). Bounds testing approaches to the analysis of level relationships. </w:t>
      </w:r>
      <w:r>
        <w:rPr>
          <w:rFonts w:ascii="Times New Roman" w:hAnsi="Times New Roman" w:eastAsia="SimSun" w:cs="SimSun"/>
          <w:i/>
          <w:iCs/>
        </w:rPr>
        <w:t>Journal of Applied Econometrics, 16</w:t>
      </w:r>
      <w:r>
        <w:rPr>
          <w:rFonts w:ascii="Times New Roman" w:hAnsi="Times New Roman" w:eastAsia="SimSun" w:cs="SimSun"/>
        </w:rPr>
        <w:t xml:space="preserve">(3), 289–326. </w:t>
      </w:r>
      <w:r>
        <w:fldChar w:fldCharType="begin"/>
      </w:r>
      <w:r>
        <w:instrText xml:space="preserve"> HYPERLINK "https://doi.org/10.1002/jae.616" </w:instrText>
      </w:r>
      <w:r>
        <w:fldChar w:fldCharType="separate"/>
      </w:r>
      <w:r>
        <w:rPr>
          <w:rStyle w:val="19"/>
          <w:rFonts w:ascii="Times New Roman" w:hAnsi="Times New Roman" w:eastAsia="SimSun" w:cs="SimSun"/>
        </w:rPr>
        <w:t>https://doi.org/10.1002/jae.616</w:t>
      </w:r>
      <w:r>
        <w:rPr>
          <w:rStyle w:val="19"/>
          <w:rFonts w:ascii="Times New Roman" w:hAnsi="Times New Roman" w:eastAsia="SimSun" w:cs="SimSun"/>
        </w:rPr>
        <w:fldChar w:fldCharType="end"/>
      </w:r>
      <w:r>
        <w:rPr>
          <w:rFonts w:ascii="Times New Roman" w:hAnsi="Times New Roman" w:eastAsia="SimSun" w:cs="SimSun"/>
        </w:rPr>
        <w:t xml:space="preserve">. </w:t>
      </w:r>
    </w:p>
    <w:p w14:paraId="62D37C1F">
      <w:pPr>
        <w:spacing w:after="200" w:line="360" w:lineRule="auto"/>
        <w:ind w:left="720" w:hanging="720"/>
        <w:jc w:val="both"/>
        <w:rPr>
          <w:rFonts w:ascii="Times New Roman" w:hAnsi="Times New Roman" w:eastAsia="SimSun" w:cs="SimSun"/>
        </w:rPr>
      </w:pPr>
      <w:r>
        <w:rPr>
          <w:rFonts w:ascii="Times New Roman" w:hAnsi="Times New Roman" w:eastAsia="SimSun" w:cs="SimSun"/>
        </w:rPr>
        <w:t>Phillips, A. W. (1958). The relation between unemployment and the rate of change of money wage rates in the United Kingdom, 1861-1957. </w:t>
      </w:r>
      <w:r>
        <w:rPr>
          <w:rFonts w:ascii="Times New Roman" w:hAnsi="Times New Roman" w:eastAsia="SimSun" w:cs="SimSun"/>
          <w:i/>
          <w:iCs/>
        </w:rPr>
        <w:t>Economica</w:t>
      </w:r>
      <w:r>
        <w:rPr>
          <w:rFonts w:ascii="Times New Roman" w:hAnsi="Times New Roman" w:eastAsia="SimSun" w:cs="SimSun"/>
        </w:rPr>
        <w:t>, 25(100), 283–299.</w:t>
      </w:r>
    </w:p>
    <w:p w14:paraId="664D93DE">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Robert R., &amp; Ramana R. (1997). </w:t>
      </w:r>
      <w:r>
        <w:rPr>
          <w:rFonts w:ascii="Times New Roman" w:hAnsi="Times New Roman" w:eastAsia="SimSun" w:cs="SimSun"/>
          <w:i/>
          <w:iCs/>
        </w:rPr>
        <w:t>Decline in the industrial sector: Its causes and implications.</w:t>
      </w:r>
      <w:r>
        <w:rPr>
          <w:rFonts w:ascii="Times New Roman" w:hAnsi="Times New Roman" w:eastAsia="SimSun" w:cs="SimSun"/>
        </w:rPr>
        <w:t xml:space="preserve"> International Monetary Fund, Publication Services. Washington, D.C.: International Monetary Fund.</w:t>
      </w:r>
    </w:p>
    <w:p w14:paraId="492E86FC">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Romanus O. A., Ihemeje, J., &amp; Yimi E. B. (2024). Effect of macro-economic variables on the financial performance of quoted consumer goods manufacturing firms in Nigeria. </w:t>
      </w:r>
      <w:r>
        <w:rPr>
          <w:rFonts w:ascii="Times New Roman" w:hAnsi="Times New Roman" w:eastAsia="SimSun" w:cs="SimSun"/>
          <w:i/>
          <w:iCs/>
        </w:rPr>
        <w:t>International Journal of Accounting, Business, and Entrepreneurship (IJABE), 3</w:t>
      </w:r>
      <w:r>
        <w:rPr>
          <w:rFonts w:ascii="Times New Roman" w:hAnsi="Times New Roman" w:eastAsia="SimSun" w:cs="SimSun"/>
        </w:rPr>
        <w:t>(1). ISSN 2795-3483.</w:t>
      </w:r>
    </w:p>
    <w:p w14:paraId="18FD5B80">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Stiglitz, J. E., &amp; Weiss, A. (1981). Credit rationing in markets with imperfect information. </w:t>
      </w:r>
      <w:r>
        <w:rPr>
          <w:rFonts w:ascii="Times New Roman" w:hAnsi="Times New Roman" w:eastAsia="SimSun" w:cs="SimSun"/>
          <w:i/>
          <w:iCs/>
        </w:rPr>
        <w:t>The American Economic Review</w:t>
      </w:r>
      <w:r>
        <w:rPr>
          <w:rFonts w:ascii="Times New Roman" w:hAnsi="Times New Roman" w:eastAsia="SimSun" w:cs="SimSun"/>
        </w:rPr>
        <w:t xml:space="preserve">, 71(3), 393–410. </w:t>
      </w:r>
      <w:r>
        <w:fldChar w:fldCharType="begin"/>
      </w:r>
      <w:r>
        <w:instrText xml:space="preserve"> HYPERLINK "https://doi.org/10.2307/1802787" </w:instrText>
      </w:r>
      <w:r>
        <w:fldChar w:fldCharType="separate"/>
      </w:r>
      <w:r>
        <w:rPr>
          <w:rStyle w:val="19"/>
          <w:rFonts w:ascii="Times New Roman" w:hAnsi="Times New Roman" w:eastAsia="SimSun" w:cs="SimSun"/>
        </w:rPr>
        <w:t>https://doi.org/10.2307/1802787</w:t>
      </w:r>
      <w:r>
        <w:rPr>
          <w:rStyle w:val="19"/>
          <w:rFonts w:ascii="Times New Roman" w:hAnsi="Times New Roman" w:eastAsia="SimSun" w:cs="SimSun"/>
        </w:rPr>
        <w:fldChar w:fldCharType="end"/>
      </w:r>
      <w:r>
        <w:rPr>
          <w:rFonts w:ascii="Times New Roman" w:hAnsi="Times New Roman" w:eastAsia="SimSun" w:cs="SimSun"/>
        </w:rPr>
        <w:t>.</w:t>
      </w:r>
    </w:p>
    <w:p w14:paraId="4AABEAD5">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Thankgod, T., &amp; Nwikina, C. G. (2023). Effects of exchange and interest rates on manufacturing sector performance in Nigeria: ARCH and GARCH approach. </w:t>
      </w:r>
      <w:r>
        <w:rPr>
          <w:rFonts w:ascii="Times New Roman" w:hAnsi="Times New Roman" w:eastAsia="SimSun" w:cs="SimSun"/>
          <w:i/>
          <w:iCs/>
        </w:rPr>
        <w:t>Gusau Journal of Economics and Development Studies (GUJEDS), 4</w:t>
      </w:r>
      <w:r>
        <w:rPr>
          <w:rFonts w:ascii="Times New Roman" w:hAnsi="Times New Roman" w:eastAsia="SimSun" w:cs="SimSun"/>
        </w:rPr>
        <w:t>(1), December 2023. ISSN: 3027-1126 (Online); 2786-9695.</w:t>
      </w:r>
    </w:p>
    <w:p w14:paraId="405CC319">
      <w:pPr>
        <w:spacing w:after="200" w:line="360" w:lineRule="auto"/>
        <w:ind w:left="720" w:hanging="720"/>
        <w:jc w:val="both"/>
        <w:rPr>
          <w:rFonts w:ascii="Times New Roman" w:hAnsi="Times New Roman" w:eastAsia="SimSun" w:cs="SimSun"/>
        </w:rPr>
      </w:pPr>
      <w:r>
        <w:rPr>
          <w:rFonts w:ascii="Times New Roman" w:hAnsi="Times New Roman" w:eastAsia="SimSun" w:cs="SimSun"/>
        </w:rPr>
        <w:t>World Bank. (2022). </w:t>
      </w:r>
      <w:r>
        <w:rPr>
          <w:rFonts w:ascii="Times New Roman" w:hAnsi="Times New Roman" w:eastAsia="SimSun" w:cs="SimSun"/>
          <w:i/>
          <w:iCs/>
        </w:rPr>
        <w:t>Nigeria Development Update: The Continuing Urgency of Business Unusual</w:t>
      </w:r>
      <w:r>
        <w:rPr>
          <w:rFonts w:ascii="Times New Roman" w:hAnsi="Times New Roman" w:eastAsia="SimSun" w:cs="SimSun"/>
        </w:rPr>
        <w:t>. The World Bank.</w:t>
      </w:r>
    </w:p>
    <w:p w14:paraId="41B56821">
      <w:pPr>
        <w:spacing w:after="200" w:line="360" w:lineRule="auto"/>
        <w:ind w:left="720" w:hanging="720"/>
        <w:jc w:val="both"/>
        <w:rPr>
          <w:rFonts w:ascii="Times New Roman" w:hAnsi="Times New Roman" w:eastAsia="SimSun" w:cs="SimSun"/>
        </w:rPr>
      </w:pPr>
      <w:r>
        <w:rPr>
          <w:rFonts w:ascii="Times New Roman" w:hAnsi="Times New Roman" w:eastAsia="SimSun" w:cs="SimSun"/>
        </w:rPr>
        <w:t xml:space="preserve">Yakubu M., &amp; Jibrin A. S. (2013). Industrial output response to inflation and exchange rate in Nigeria: An empirical analysis. </w:t>
      </w:r>
      <w:r>
        <w:rPr>
          <w:rFonts w:ascii="Times New Roman" w:hAnsi="Times New Roman" w:eastAsia="SimSun" w:cs="SimSun"/>
          <w:i/>
          <w:iCs/>
        </w:rPr>
        <w:t>Journal of Economics and Sustainable Development, 4</w:t>
      </w:r>
      <w:r>
        <w:rPr>
          <w:rFonts w:ascii="Times New Roman" w:hAnsi="Times New Roman" w:eastAsia="SimSun" w:cs="SimSun"/>
        </w:rPr>
        <w:t xml:space="preserve">(20), 73-85. </w:t>
      </w:r>
      <w:r>
        <w:fldChar w:fldCharType="begin"/>
      </w:r>
      <w:r>
        <w:instrText xml:space="preserve"> HYPERLINK "https://www.iiste.org/Journals/index.php/JESD/article/view/7457" </w:instrText>
      </w:r>
      <w:r>
        <w:fldChar w:fldCharType="separate"/>
      </w:r>
      <w:r>
        <w:rPr>
          <w:rStyle w:val="19"/>
          <w:rFonts w:ascii="Times New Roman" w:hAnsi="Times New Roman" w:eastAsia="SimSun" w:cs="SimSun"/>
        </w:rPr>
        <w:t>https://www.iiste.org/Journals/index.php/JESD/article/view/7457</w:t>
      </w:r>
      <w:r>
        <w:rPr>
          <w:rStyle w:val="19"/>
          <w:rFonts w:ascii="Times New Roman" w:hAnsi="Times New Roman" w:eastAsia="SimSun" w:cs="SimSun"/>
        </w:rPr>
        <w:fldChar w:fldCharType="end"/>
      </w:r>
    </w:p>
    <w:p w14:paraId="354134BC">
      <w:pPr>
        <w:spacing w:line="360" w:lineRule="auto"/>
        <w:ind w:left="709" w:hanging="709"/>
        <w:jc w:val="both"/>
        <w:rPr>
          <w:rFonts w:ascii="Times New Roman" w:hAnsi="Times New Roman" w:eastAsia="SimSun" w:cs="SimSun"/>
        </w:rPr>
      </w:pPr>
      <w:r>
        <w:rPr>
          <w:rFonts w:ascii="Times New Roman" w:hAnsi="Times New Roman" w:eastAsia="SimSun" w:cs="SimSun"/>
        </w:rPr>
        <w:t xml:space="preserve">Zhang, Y., Chen, X., Wu, Y., Shuai, C., &amp; Shen, L. (2019). The environmental Kuznets curve of CO2 emissions in the manufacturing and construction industries: A global empirical analysis. </w:t>
      </w:r>
      <w:r>
        <w:rPr>
          <w:rFonts w:ascii="Times New Roman" w:hAnsi="Times New Roman" w:eastAsia="SimSun" w:cs="SimSun"/>
          <w:i/>
          <w:iCs/>
        </w:rPr>
        <w:t>Environmental Impact Assessment Review, 79,</w:t>
      </w:r>
      <w:r>
        <w:rPr>
          <w:rFonts w:ascii="Times New Roman" w:hAnsi="Times New Roman" w:eastAsia="SimSun" w:cs="SimSun"/>
        </w:rPr>
        <w:t xml:space="preserve"> 106303. </w:t>
      </w:r>
      <w:r>
        <w:fldChar w:fldCharType="begin"/>
      </w:r>
      <w:r>
        <w:instrText xml:space="preserve"> HYPERLINK "https://doi.org/10.1016/j.eiar.2019.106303" </w:instrText>
      </w:r>
      <w:r>
        <w:fldChar w:fldCharType="separate"/>
      </w:r>
      <w:r>
        <w:rPr>
          <w:rStyle w:val="19"/>
          <w:rFonts w:ascii="Times New Roman" w:hAnsi="Times New Roman" w:eastAsia="SimSun" w:cs="SimSun"/>
        </w:rPr>
        <w:t>https://doi.org/10.1016/j.eiar.2019.106303</w:t>
      </w:r>
      <w:r>
        <w:rPr>
          <w:rStyle w:val="19"/>
          <w:rFonts w:ascii="Times New Roman" w:hAnsi="Times New Roman" w:eastAsia="SimSun" w:cs="SimSun"/>
        </w:rPr>
        <w:fldChar w:fldCharType="end"/>
      </w:r>
    </w:p>
    <w:sectPr>
      <w:footerReference r:id="rId5" w:type="default"/>
      <w:pgSz w:w="11906" w:h="16838"/>
      <w:pgMar w:top="993" w:right="1416" w:bottom="1276"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Myriad Pro Light">
    <w:altName w:val="Segoe UI Light"/>
    <w:panose1 w:val="00000000000000000000"/>
    <w:charset w:val="00"/>
    <w:family w:val="swiss"/>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Aptos">
    <w:altName w:val="Segoe Print"/>
    <w:panose1 w:val="00000000000000000000"/>
    <w:charset w:val="00"/>
    <w:family w:val="swiss"/>
    <w:pitch w:val="default"/>
    <w:sig w:usb0="00000000" w:usb1="00000000" w:usb2="00000000" w:usb3="00000000" w:csb0="0000019F" w:csb1="00000000"/>
  </w:font>
  <w:font w:name="TimesNewRoman">
    <w:altName w:val="Segoe Print"/>
    <w:panose1 w:val="00000000000000000000"/>
    <w:charset w:val="00"/>
    <w:family w:val="roman"/>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Segoe UI Light">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01463"/>
      <w:docPartObj>
        <w:docPartGallery w:val="autotext"/>
      </w:docPartObj>
    </w:sdtPr>
    <w:sdtContent>
      <w:p w14:paraId="51CD4457">
        <w:pPr>
          <w:pStyle w:val="17"/>
          <w:jc w:val="center"/>
        </w:pPr>
        <w:r>
          <w:fldChar w:fldCharType="begin"/>
        </w:r>
        <w:r>
          <w:instrText xml:space="preserve"> PAGE   \* MERGEFORMAT </w:instrText>
        </w:r>
        <w:r>
          <w:fldChar w:fldCharType="separate"/>
        </w:r>
        <w:r>
          <w:t>74</w:t>
        </w:r>
        <w:r>
          <w:fldChar w:fldCharType="end"/>
        </w:r>
      </w:p>
    </w:sdtContent>
  </w:sdt>
  <w:p w14:paraId="736A318C">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F6FE8"/>
    <w:multiLevelType w:val="multilevel"/>
    <w:tmpl w:val="1F8F6F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20F"/>
    <w:rsid w:val="0000007A"/>
    <w:rsid w:val="00000E43"/>
    <w:rsid w:val="0000182B"/>
    <w:rsid w:val="0000190B"/>
    <w:rsid w:val="00002BEE"/>
    <w:rsid w:val="00002E5B"/>
    <w:rsid w:val="00003A69"/>
    <w:rsid w:val="00003DA7"/>
    <w:rsid w:val="000055E9"/>
    <w:rsid w:val="00005AEF"/>
    <w:rsid w:val="00006F4A"/>
    <w:rsid w:val="00007CFF"/>
    <w:rsid w:val="00007ED8"/>
    <w:rsid w:val="000112A2"/>
    <w:rsid w:val="00011C2E"/>
    <w:rsid w:val="00011F0D"/>
    <w:rsid w:val="0001209A"/>
    <w:rsid w:val="0001364F"/>
    <w:rsid w:val="0001381B"/>
    <w:rsid w:val="0001408F"/>
    <w:rsid w:val="000144EC"/>
    <w:rsid w:val="00016FEB"/>
    <w:rsid w:val="000178E2"/>
    <w:rsid w:val="00017E33"/>
    <w:rsid w:val="00017F0C"/>
    <w:rsid w:val="0002056E"/>
    <w:rsid w:val="000206C4"/>
    <w:rsid w:val="00021BEC"/>
    <w:rsid w:val="00022720"/>
    <w:rsid w:val="00022C16"/>
    <w:rsid w:val="00022D1B"/>
    <w:rsid w:val="00023000"/>
    <w:rsid w:val="00023BE9"/>
    <w:rsid w:val="00023ECD"/>
    <w:rsid w:val="00024552"/>
    <w:rsid w:val="00025983"/>
    <w:rsid w:val="00026313"/>
    <w:rsid w:val="00026FCD"/>
    <w:rsid w:val="00027320"/>
    <w:rsid w:val="0002772B"/>
    <w:rsid w:val="00027CE4"/>
    <w:rsid w:val="00030032"/>
    <w:rsid w:val="00030A93"/>
    <w:rsid w:val="00030ED0"/>
    <w:rsid w:val="00031174"/>
    <w:rsid w:val="00034440"/>
    <w:rsid w:val="00034567"/>
    <w:rsid w:val="0003587C"/>
    <w:rsid w:val="00035D35"/>
    <w:rsid w:val="000366ED"/>
    <w:rsid w:val="000369AF"/>
    <w:rsid w:val="000405F6"/>
    <w:rsid w:val="0004173B"/>
    <w:rsid w:val="00041840"/>
    <w:rsid w:val="00041B78"/>
    <w:rsid w:val="00041CA3"/>
    <w:rsid w:val="00041E3E"/>
    <w:rsid w:val="00041ECF"/>
    <w:rsid w:val="00042679"/>
    <w:rsid w:val="00043152"/>
    <w:rsid w:val="00044210"/>
    <w:rsid w:val="000442AE"/>
    <w:rsid w:val="00044809"/>
    <w:rsid w:val="00044BDE"/>
    <w:rsid w:val="00044F7E"/>
    <w:rsid w:val="00045F7E"/>
    <w:rsid w:val="000464B3"/>
    <w:rsid w:val="0004786F"/>
    <w:rsid w:val="000524C6"/>
    <w:rsid w:val="00054CA8"/>
    <w:rsid w:val="000554F3"/>
    <w:rsid w:val="00055A58"/>
    <w:rsid w:val="00055D63"/>
    <w:rsid w:val="00057B6B"/>
    <w:rsid w:val="00057CE3"/>
    <w:rsid w:val="00057F05"/>
    <w:rsid w:val="00060322"/>
    <w:rsid w:val="00060CA1"/>
    <w:rsid w:val="0006216A"/>
    <w:rsid w:val="00062FD1"/>
    <w:rsid w:val="00064B0F"/>
    <w:rsid w:val="00064BA2"/>
    <w:rsid w:val="00064D7A"/>
    <w:rsid w:val="0006568D"/>
    <w:rsid w:val="00067368"/>
    <w:rsid w:val="00067F30"/>
    <w:rsid w:val="00070415"/>
    <w:rsid w:val="0007057D"/>
    <w:rsid w:val="00071361"/>
    <w:rsid w:val="000716EE"/>
    <w:rsid w:val="00071801"/>
    <w:rsid w:val="00071F8A"/>
    <w:rsid w:val="00072625"/>
    <w:rsid w:val="00073E9F"/>
    <w:rsid w:val="000741D6"/>
    <w:rsid w:val="00074693"/>
    <w:rsid w:val="000747A7"/>
    <w:rsid w:val="00075C66"/>
    <w:rsid w:val="00076236"/>
    <w:rsid w:val="00077CAD"/>
    <w:rsid w:val="00080769"/>
    <w:rsid w:val="000808E5"/>
    <w:rsid w:val="00082418"/>
    <w:rsid w:val="00083189"/>
    <w:rsid w:val="00084BB5"/>
    <w:rsid w:val="00084F00"/>
    <w:rsid w:val="0008502F"/>
    <w:rsid w:val="00085A40"/>
    <w:rsid w:val="00085E61"/>
    <w:rsid w:val="00085EBB"/>
    <w:rsid w:val="0008603B"/>
    <w:rsid w:val="00086442"/>
    <w:rsid w:val="00086586"/>
    <w:rsid w:val="0008785B"/>
    <w:rsid w:val="00087BB4"/>
    <w:rsid w:val="00091449"/>
    <w:rsid w:val="0009179F"/>
    <w:rsid w:val="00092278"/>
    <w:rsid w:val="000923FA"/>
    <w:rsid w:val="000932AC"/>
    <w:rsid w:val="00093671"/>
    <w:rsid w:val="000941B2"/>
    <w:rsid w:val="00094462"/>
    <w:rsid w:val="00094A33"/>
    <w:rsid w:val="00094FBE"/>
    <w:rsid w:val="00095553"/>
    <w:rsid w:val="00095928"/>
    <w:rsid w:val="000959F2"/>
    <w:rsid w:val="00095DA9"/>
    <w:rsid w:val="00096337"/>
    <w:rsid w:val="000965C3"/>
    <w:rsid w:val="000A00E0"/>
    <w:rsid w:val="000A0719"/>
    <w:rsid w:val="000A07E7"/>
    <w:rsid w:val="000A140A"/>
    <w:rsid w:val="000A1530"/>
    <w:rsid w:val="000A24BA"/>
    <w:rsid w:val="000A34BA"/>
    <w:rsid w:val="000A3585"/>
    <w:rsid w:val="000A37BD"/>
    <w:rsid w:val="000A3B06"/>
    <w:rsid w:val="000A3B25"/>
    <w:rsid w:val="000A412A"/>
    <w:rsid w:val="000A44B2"/>
    <w:rsid w:val="000A45A6"/>
    <w:rsid w:val="000A635F"/>
    <w:rsid w:val="000A6681"/>
    <w:rsid w:val="000A7205"/>
    <w:rsid w:val="000A74E3"/>
    <w:rsid w:val="000A7A6A"/>
    <w:rsid w:val="000A7EBD"/>
    <w:rsid w:val="000B0700"/>
    <w:rsid w:val="000B1A2E"/>
    <w:rsid w:val="000B1EB3"/>
    <w:rsid w:val="000B24DF"/>
    <w:rsid w:val="000B2CF5"/>
    <w:rsid w:val="000B35C8"/>
    <w:rsid w:val="000B3EA4"/>
    <w:rsid w:val="000B4BDA"/>
    <w:rsid w:val="000B51A3"/>
    <w:rsid w:val="000B5CA5"/>
    <w:rsid w:val="000B6705"/>
    <w:rsid w:val="000B6CDD"/>
    <w:rsid w:val="000B743C"/>
    <w:rsid w:val="000B7A2C"/>
    <w:rsid w:val="000B7F18"/>
    <w:rsid w:val="000C009E"/>
    <w:rsid w:val="000C0495"/>
    <w:rsid w:val="000C0C5B"/>
    <w:rsid w:val="000C3EFC"/>
    <w:rsid w:val="000C409B"/>
    <w:rsid w:val="000C45BF"/>
    <w:rsid w:val="000C46B2"/>
    <w:rsid w:val="000C49E6"/>
    <w:rsid w:val="000C4E52"/>
    <w:rsid w:val="000C5873"/>
    <w:rsid w:val="000C6C57"/>
    <w:rsid w:val="000C6EA2"/>
    <w:rsid w:val="000C7CD7"/>
    <w:rsid w:val="000D131E"/>
    <w:rsid w:val="000D1933"/>
    <w:rsid w:val="000D1952"/>
    <w:rsid w:val="000D1CCC"/>
    <w:rsid w:val="000D2397"/>
    <w:rsid w:val="000D30C0"/>
    <w:rsid w:val="000D4571"/>
    <w:rsid w:val="000D561E"/>
    <w:rsid w:val="000D571F"/>
    <w:rsid w:val="000D62E6"/>
    <w:rsid w:val="000D640B"/>
    <w:rsid w:val="000D6412"/>
    <w:rsid w:val="000D664C"/>
    <w:rsid w:val="000D6A0E"/>
    <w:rsid w:val="000D6C9D"/>
    <w:rsid w:val="000D798D"/>
    <w:rsid w:val="000D7E39"/>
    <w:rsid w:val="000E0057"/>
    <w:rsid w:val="000E089E"/>
    <w:rsid w:val="000E226B"/>
    <w:rsid w:val="000E277A"/>
    <w:rsid w:val="000E2933"/>
    <w:rsid w:val="000E2BB6"/>
    <w:rsid w:val="000E320A"/>
    <w:rsid w:val="000E37DD"/>
    <w:rsid w:val="000E3D0A"/>
    <w:rsid w:val="000E5AC9"/>
    <w:rsid w:val="000E61F9"/>
    <w:rsid w:val="000E6254"/>
    <w:rsid w:val="000E65ED"/>
    <w:rsid w:val="000E70FC"/>
    <w:rsid w:val="000E7297"/>
    <w:rsid w:val="000E7D9C"/>
    <w:rsid w:val="000F013E"/>
    <w:rsid w:val="000F0610"/>
    <w:rsid w:val="000F081B"/>
    <w:rsid w:val="000F21FE"/>
    <w:rsid w:val="000F2D8B"/>
    <w:rsid w:val="000F304B"/>
    <w:rsid w:val="000F3386"/>
    <w:rsid w:val="000F3D5B"/>
    <w:rsid w:val="000F3F36"/>
    <w:rsid w:val="000F4317"/>
    <w:rsid w:val="000F4A45"/>
    <w:rsid w:val="000F4E24"/>
    <w:rsid w:val="000F5D33"/>
    <w:rsid w:val="000F5DFC"/>
    <w:rsid w:val="000F6161"/>
    <w:rsid w:val="000F66DB"/>
    <w:rsid w:val="000F746D"/>
    <w:rsid w:val="001005D7"/>
    <w:rsid w:val="00100A8A"/>
    <w:rsid w:val="00100EC5"/>
    <w:rsid w:val="001015EE"/>
    <w:rsid w:val="001016CE"/>
    <w:rsid w:val="00101D78"/>
    <w:rsid w:val="00102B3A"/>
    <w:rsid w:val="00102D7B"/>
    <w:rsid w:val="001038B1"/>
    <w:rsid w:val="00104590"/>
    <w:rsid w:val="001047C0"/>
    <w:rsid w:val="0010491B"/>
    <w:rsid w:val="00104AF5"/>
    <w:rsid w:val="00104EA5"/>
    <w:rsid w:val="001053CB"/>
    <w:rsid w:val="00105D66"/>
    <w:rsid w:val="00105E0C"/>
    <w:rsid w:val="0010694D"/>
    <w:rsid w:val="00106D61"/>
    <w:rsid w:val="00106F3C"/>
    <w:rsid w:val="0010770F"/>
    <w:rsid w:val="00110924"/>
    <w:rsid w:val="00110C2D"/>
    <w:rsid w:val="00111131"/>
    <w:rsid w:val="00111BB3"/>
    <w:rsid w:val="00111CA7"/>
    <w:rsid w:val="00111E53"/>
    <w:rsid w:val="00111FCF"/>
    <w:rsid w:val="00113DB1"/>
    <w:rsid w:val="00114F23"/>
    <w:rsid w:val="00120306"/>
    <w:rsid w:val="00120800"/>
    <w:rsid w:val="0012084C"/>
    <w:rsid w:val="00120AC1"/>
    <w:rsid w:val="00120C9B"/>
    <w:rsid w:val="00121B87"/>
    <w:rsid w:val="001227FB"/>
    <w:rsid w:val="001232B1"/>
    <w:rsid w:val="00123565"/>
    <w:rsid w:val="00123A6E"/>
    <w:rsid w:val="0012411B"/>
    <w:rsid w:val="001249C5"/>
    <w:rsid w:val="00124FA0"/>
    <w:rsid w:val="00125393"/>
    <w:rsid w:val="001259D4"/>
    <w:rsid w:val="00126325"/>
    <w:rsid w:val="00126CEE"/>
    <w:rsid w:val="0013098A"/>
    <w:rsid w:val="0013184A"/>
    <w:rsid w:val="0013226A"/>
    <w:rsid w:val="00133A32"/>
    <w:rsid w:val="001349F3"/>
    <w:rsid w:val="00134FB2"/>
    <w:rsid w:val="00134FD7"/>
    <w:rsid w:val="001362E3"/>
    <w:rsid w:val="001362FA"/>
    <w:rsid w:val="001364FC"/>
    <w:rsid w:val="0013692A"/>
    <w:rsid w:val="00137AED"/>
    <w:rsid w:val="00140D03"/>
    <w:rsid w:val="00141218"/>
    <w:rsid w:val="0014173A"/>
    <w:rsid w:val="001417F7"/>
    <w:rsid w:val="00141C62"/>
    <w:rsid w:val="001428F6"/>
    <w:rsid w:val="00142F8F"/>
    <w:rsid w:val="00143135"/>
    <w:rsid w:val="001432CE"/>
    <w:rsid w:val="00143BED"/>
    <w:rsid w:val="00143F1F"/>
    <w:rsid w:val="001443B8"/>
    <w:rsid w:val="001446D5"/>
    <w:rsid w:val="00144AF0"/>
    <w:rsid w:val="00144EE2"/>
    <w:rsid w:val="001454DB"/>
    <w:rsid w:val="0014677D"/>
    <w:rsid w:val="001470E8"/>
    <w:rsid w:val="00147942"/>
    <w:rsid w:val="0014797E"/>
    <w:rsid w:val="00147DDE"/>
    <w:rsid w:val="001504B8"/>
    <w:rsid w:val="00151AA3"/>
    <w:rsid w:val="00151D50"/>
    <w:rsid w:val="00151DBE"/>
    <w:rsid w:val="001525A6"/>
    <w:rsid w:val="0015397D"/>
    <w:rsid w:val="00153999"/>
    <w:rsid w:val="0015465B"/>
    <w:rsid w:val="0015502E"/>
    <w:rsid w:val="001560C9"/>
    <w:rsid w:val="0015675B"/>
    <w:rsid w:val="001567CB"/>
    <w:rsid w:val="00160FB4"/>
    <w:rsid w:val="0016138B"/>
    <w:rsid w:val="00162B68"/>
    <w:rsid w:val="001635C2"/>
    <w:rsid w:val="001635F6"/>
    <w:rsid w:val="00163834"/>
    <w:rsid w:val="00163840"/>
    <w:rsid w:val="001651C9"/>
    <w:rsid w:val="001658E9"/>
    <w:rsid w:val="0016633D"/>
    <w:rsid w:val="00166A93"/>
    <w:rsid w:val="00166CF3"/>
    <w:rsid w:val="00166E7D"/>
    <w:rsid w:val="00167441"/>
    <w:rsid w:val="001674AA"/>
    <w:rsid w:val="00167C57"/>
    <w:rsid w:val="00167D4A"/>
    <w:rsid w:val="00170BF6"/>
    <w:rsid w:val="00170CCF"/>
    <w:rsid w:val="00171167"/>
    <w:rsid w:val="00171ABB"/>
    <w:rsid w:val="00171DA6"/>
    <w:rsid w:val="00171FDE"/>
    <w:rsid w:val="00172DCB"/>
    <w:rsid w:val="0017310F"/>
    <w:rsid w:val="00173310"/>
    <w:rsid w:val="00174305"/>
    <w:rsid w:val="001749D8"/>
    <w:rsid w:val="00176253"/>
    <w:rsid w:val="00176E7E"/>
    <w:rsid w:val="00176FCD"/>
    <w:rsid w:val="00180084"/>
    <w:rsid w:val="00180A94"/>
    <w:rsid w:val="00181944"/>
    <w:rsid w:val="001821BF"/>
    <w:rsid w:val="00182716"/>
    <w:rsid w:val="00183C50"/>
    <w:rsid w:val="0018471B"/>
    <w:rsid w:val="001849DA"/>
    <w:rsid w:val="001860B4"/>
    <w:rsid w:val="00186331"/>
    <w:rsid w:val="00186706"/>
    <w:rsid w:val="0018697B"/>
    <w:rsid w:val="00186C4D"/>
    <w:rsid w:val="00190024"/>
    <w:rsid w:val="0019049C"/>
    <w:rsid w:val="00191A6E"/>
    <w:rsid w:val="00191F37"/>
    <w:rsid w:val="00192181"/>
    <w:rsid w:val="00192346"/>
    <w:rsid w:val="0019283A"/>
    <w:rsid w:val="00192D7F"/>
    <w:rsid w:val="0019315F"/>
    <w:rsid w:val="001938A4"/>
    <w:rsid w:val="001939A3"/>
    <w:rsid w:val="00193E59"/>
    <w:rsid w:val="00194860"/>
    <w:rsid w:val="00194898"/>
    <w:rsid w:val="00196701"/>
    <w:rsid w:val="00196B3B"/>
    <w:rsid w:val="00196C4A"/>
    <w:rsid w:val="0019720B"/>
    <w:rsid w:val="00197761"/>
    <w:rsid w:val="001978D8"/>
    <w:rsid w:val="00197F1A"/>
    <w:rsid w:val="001A03CA"/>
    <w:rsid w:val="001A0981"/>
    <w:rsid w:val="001A19EB"/>
    <w:rsid w:val="001A1B36"/>
    <w:rsid w:val="001A1F7A"/>
    <w:rsid w:val="001A283B"/>
    <w:rsid w:val="001A296F"/>
    <w:rsid w:val="001A307C"/>
    <w:rsid w:val="001A3D6A"/>
    <w:rsid w:val="001A4784"/>
    <w:rsid w:val="001A486C"/>
    <w:rsid w:val="001A5206"/>
    <w:rsid w:val="001A58A5"/>
    <w:rsid w:val="001A6389"/>
    <w:rsid w:val="001A7939"/>
    <w:rsid w:val="001A7F5D"/>
    <w:rsid w:val="001B1A3A"/>
    <w:rsid w:val="001B1B4E"/>
    <w:rsid w:val="001B1B64"/>
    <w:rsid w:val="001B2BEF"/>
    <w:rsid w:val="001B2C5E"/>
    <w:rsid w:val="001B37B9"/>
    <w:rsid w:val="001B38BF"/>
    <w:rsid w:val="001B3DEF"/>
    <w:rsid w:val="001B48F5"/>
    <w:rsid w:val="001B4ECD"/>
    <w:rsid w:val="001B5111"/>
    <w:rsid w:val="001B5866"/>
    <w:rsid w:val="001B70F9"/>
    <w:rsid w:val="001B776C"/>
    <w:rsid w:val="001B7CFE"/>
    <w:rsid w:val="001B7D68"/>
    <w:rsid w:val="001B7FC9"/>
    <w:rsid w:val="001C03D1"/>
    <w:rsid w:val="001C0FBD"/>
    <w:rsid w:val="001C1B43"/>
    <w:rsid w:val="001C35E4"/>
    <w:rsid w:val="001C3CE9"/>
    <w:rsid w:val="001C40BF"/>
    <w:rsid w:val="001C4A3C"/>
    <w:rsid w:val="001C4E0A"/>
    <w:rsid w:val="001C50B1"/>
    <w:rsid w:val="001C5924"/>
    <w:rsid w:val="001C680F"/>
    <w:rsid w:val="001C6DD3"/>
    <w:rsid w:val="001C6F63"/>
    <w:rsid w:val="001D0E03"/>
    <w:rsid w:val="001D21FE"/>
    <w:rsid w:val="001D2708"/>
    <w:rsid w:val="001D2BDC"/>
    <w:rsid w:val="001D35BF"/>
    <w:rsid w:val="001D3B52"/>
    <w:rsid w:val="001D4B73"/>
    <w:rsid w:val="001D5859"/>
    <w:rsid w:val="001D5B3D"/>
    <w:rsid w:val="001D5D93"/>
    <w:rsid w:val="001D690C"/>
    <w:rsid w:val="001D699F"/>
    <w:rsid w:val="001E033B"/>
    <w:rsid w:val="001E0582"/>
    <w:rsid w:val="001E0BB2"/>
    <w:rsid w:val="001E11B0"/>
    <w:rsid w:val="001E1B6F"/>
    <w:rsid w:val="001E2284"/>
    <w:rsid w:val="001E2850"/>
    <w:rsid w:val="001E36CC"/>
    <w:rsid w:val="001E3C1A"/>
    <w:rsid w:val="001E4303"/>
    <w:rsid w:val="001E4422"/>
    <w:rsid w:val="001E4605"/>
    <w:rsid w:val="001E4A40"/>
    <w:rsid w:val="001E50A2"/>
    <w:rsid w:val="001E56E8"/>
    <w:rsid w:val="001E571B"/>
    <w:rsid w:val="001E5938"/>
    <w:rsid w:val="001E63D1"/>
    <w:rsid w:val="001E6642"/>
    <w:rsid w:val="001E6D93"/>
    <w:rsid w:val="001E73E0"/>
    <w:rsid w:val="001F0294"/>
    <w:rsid w:val="001F02E0"/>
    <w:rsid w:val="001F0591"/>
    <w:rsid w:val="001F115E"/>
    <w:rsid w:val="001F3446"/>
    <w:rsid w:val="001F3804"/>
    <w:rsid w:val="001F3FBE"/>
    <w:rsid w:val="001F4854"/>
    <w:rsid w:val="001F5B39"/>
    <w:rsid w:val="001F6174"/>
    <w:rsid w:val="001F6482"/>
    <w:rsid w:val="00200166"/>
    <w:rsid w:val="00200DF9"/>
    <w:rsid w:val="00200F7E"/>
    <w:rsid w:val="00201139"/>
    <w:rsid w:val="00202847"/>
    <w:rsid w:val="00202C8D"/>
    <w:rsid w:val="00203D47"/>
    <w:rsid w:val="00204E04"/>
    <w:rsid w:val="0020511F"/>
    <w:rsid w:val="002067D1"/>
    <w:rsid w:val="00206911"/>
    <w:rsid w:val="00206B91"/>
    <w:rsid w:val="002073D9"/>
    <w:rsid w:val="0021049E"/>
    <w:rsid w:val="00210CF0"/>
    <w:rsid w:val="002112F9"/>
    <w:rsid w:val="002124D2"/>
    <w:rsid w:val="00212516"/>
    <w:rsid w:val="00212C23"/>
    <w:rsid w:val="00212E09"/>
    <w:rsid w:val="00214EE6"/>
    <w:rsid w:val="0021603C"/>
    <w:rsid w:val="002179CE"/>
    <w:rsid w:val="00217BB7"/>
    <w:rsid w:val="00217C4B"/>
    <w:rsid w:val="00220E0F"/>
    <w:rsid w:val="00221309"/>
    <w:rsid w:val="002219BE"/>
    <w:rsid w:val="00222259"/>
    <w:rsid w:val="00222C6B"/>
    <w:rsid w:val="00222CC1"/>
    <w:rsid w:val="00223DF1"/>
    <w:rsid w:val="0022454F"/>
    <w:rsid w:val="002245CC"/>
    <w:rsid w:val="00225616"/>
    <w:rsid w:val="002261D1"/>
    <w:rsid w:val="0023016D"/>
    <w:rsid w:val="00230454"/>
    <w:rsid w:val="00230AB6"/>
    <w:rsid w:val="00230D45"/>
    <w:rsid w:val="00231A5E"/>
    <w:rsid w:val="00231CD6"/>
    <w:rsid w:val="00232706"/>
    <w:rsid w:val="0023285A"/>
    <w:rsid w:val="0023394F"/>
    <w:rsid w:val="002343DB"/>
    <w:rsid w:val="00235269"/>
    <w:rsid w:val="00235420"/>
    <w:rsid w:val="002354DC"/>
    <w:rsid w:val="00235B95"/>
    <w:rsid w:val="00235C1C"/>
    <w:rsid w:val="00236629"/>
    <w:rsid w:val="00236FEE"/>
    <w:rsid w:val="002370E1"/>
    <w:rsid w:val="00237349"/>
    <w:rsid w:val="002378A3"/>
    <w:rsid w:val="00237A03"/>
    <w:rsid w:val="00240462"/>
    <w:rsid w:val="0024086E"/>
    <w:rsid w:val="00240D3D"/>
    <w:rsid w:val="00240E1E"/>
    <w:rsid w:val="00240F4C"/>
    <w:rsid w:val="002423CF"/>
    <w:rsid w:val="00242449"/>
    <w:rsid w:val="002425EE"/>
    <w:rsid w:val="00243428"/>
    <w:rsid w:val="00243D4B"/>
    <w:rsid w:val="00244016"/>
    <w:rsid w:val="00244AF8"/>
    <w:rsid w:val="00245917"/>
    <w:rsid w:val="00246479"/>
    <w:rsid w:val="00250CD8"/>
    <w:rsid w:val="00250D2D"/>
    <w:rsid w:val="00250ED2"/>
    <w:rsid w:val="002527DA"/>
    <w:rsid w:val="00253464"/>
    <w:rsid w:val="00253BB2"/>
    <w:rsid w:val="00253D15"/>
    <w:rsid w:val="0025635F"/>
    <w:rsid w:val="0025685D"/>
    <w:rsid w:val="00257C0D"/>
    <w:rsid w:val="00260111"/>
    <w:rsid w:val="00260F00"/>
    <w:rsid w:val="00261010"/>
    <w:rsid w:val="002619BA"/>
    <w:rsid w:val="00261F79"/>
    <w:rsid w:val="00262177"/>
    <w:rsid w:val="002623B3"/>
    <w:rsid w:val="00262546"/>
    <w:rsid w:val="0026259C"/>
    <w:rsid w:val="00263A72"/>
    <w:rsid w:val="00264399"/>
    <w:rsid w:val="0026484E"/>
    <w:rsid w:val="00265B77"/>
    <w:rsid w:val="00265D9B"/>
    <w:rsid w:val="00266484"/>
    <w:rsid w:val="002664F1"/>
    <w:rsid w:val="0026705E"/>
    <w:rsid w:val="0027053D"/>
    <w:rsid w:val="00271011"/>
    <w:rsid w:val="002711B1"/>
    <w:rsid w:val="00271445"/>
    <w:rsid w:val="00271887"/>
    <w:rsid w:val="002722AA"/>
    <w:rsid w:val="00273068"/>
    <w:rsid w:val="002744FA"/>
    <w:rsid w:val="0027467E"/>
    <w:rsid w:val="00274B2C"/>
    <w:rsid w:val="00274BD4"/>
    <w:rsid w:val="002753DD"/>
    <w:rsid w:val="00275BF2"/>
    <w:rsid w:val="00277863"/>
    <w:rsid w:val="0028059F"/>
    <w:rsid w:val="0028063D"/>
    <w:rsid w:val="00280E7D"/>
    <w:rsid w:val="0028110B"/>
    <w:rsid w:val="002812EC"/>
    <w:rsid w:val="00282225"/>
    <w:rsid w:val="0028252B"/>
    <w:rsid w:val="00282984"/>
    <w:rsid w:val="002830BF"/>
    <w:rsid w:val="002831A8"/>
    <w:rsid w:val="0028399E"/>
    <w:rsid w:val="00283F95"/>
    <w:rsid w:val="0028449D"/>
    <w:rsid w:val="0028543A"/>
    <w:rsid w:val="0028634E"/>
    <w:rsid w:val="00286CEB"/>
    <w:rsid w:val="00287038"/>
    <w:rsid w:val="002875D8"/>
    <w:rsid w:val="002917F5"/>
    <w:rsid w:val="00292427"/>
    <w:rsid w:val="00292CE0"/>
    <w:rsid w:val="002938F8"/>
    <w:rsid w:val="00294077"/>
    <w:rsid w:val="0029446C"/>
    <w:rsid w:val="002945D4"/>
    <w:rsid w:val="002948DC"/>
    <w:rsid w:val="0029511E"/>
    <w:rsid w:val="002964E6"/>
    <w:rsid w:val="002A022C"/>
    <w:rsid w:val="002A0937"/>
    <w:rsid w:val="002A0A2D"/>
    <w:rsid w:val="002A236A"/>
    <w:rsid w:val="002A32B5"/>
    <w:rsid w:val="002A37A1"/>
    <w:rsid w:val="002A3B5B"/>
    <w:rsid w:val="002A4121"/>
    <w:rsid w:val="002A428A"/>
    <w:rsid w:val="002A4B41"/>
    <w:rsid w:val="002A4B48"/>
    <w:rsid w:val="002A56DF"/>
    <w:rsid w:val="002A59DD"/>
    <w:rsid w:val="002A5C38"/>
    <w:rsid w:val="002A67B6"/>
    <w:rsid w:val="002A6A39"/>
    <w:rsid w:val="002A7A1E"/>
    <w:rsid w:val="002A7FC6"/>
    <w:rsid w:val="002B0448"/>
    <w:rsid w:val="002B1116"/>
    <w:rsid w:val="002B296E"/>
    <w:rsid w:val="002B2C93"/>
    <w:rsid w:val="002B4533"/>
    <w:rsid w:val="002B5166"/>
    <w:rsid w:val="002B74F6"/>
    <w:rsid w:val="002B751F"/>
    <w:rsid w:val="002C032F"/>
    <w:rsid w:val="002C05E7"/>
    <w:rsid w:val="002C0B23"/>
    <w:rsid w:val="002C0DFF"/>
    <w:rsid w:val="002C12F3"/>
    <w:rsid w:val="002C1329"/>
    <w:rsid w:val="002C1433"/>
    <w:rsid w:val="002C1A30"/>
    <w:rsid w:val="002C1A4E"/>
    <w:rsid w:val="002C2CB7"/>
    <w:rsid w:val="002C2D2C"/>
    <w:rsid w:val="002C395C"/>
    <w:rsid w:val="002C3965"/>
    <w:rsid w:val="002C3F36"/>
    <w:rsid w:val="002C43FE"/>
    <w:rsid w:val="002C516C"/>
    <w:rsid w:val="002C5175"/>
    <w:rsid w:val="002C5D19"/>
    <w:rsid w:val="002C5E8D"/>
    <w:rsid w:val="002C61CC"/>
    <w:rsid w:val="002C69B3"/>
    <w:rsid w:val="002C6E02"/>
    <w:rsid w:val="002C7591"/>
    <w:rsid w:val="002C78A5"/>
    <w:rsid w:val="002C7FDE"/>
    <w:rsid w:val="002D0A1E"/>
    <w:rsid w:val="002D0A53"/>
    <w:rsid w:val="002D0B21"/>
    <w:rsid w:val="002D0E88"/>
    <w:rsid w:val="002D1327"/>
    <w:rsid w:val="002D1F74"/>
    <w:rsid w:val="002D3598"/>
    <w:rsid w:val="002D373F"/>
    <w:rsid w:val="002D3D0E"/>
    <w:rsid w:val="002D4158"/>
    <w:rsid w:val="002D5D68"/>
    <w:rsid w:val="002D6486"/>
    <w:rsid w:val="002D653B"/>
    <w:rsid w:val="002D6C0B"/>
    <w:rsid w:val="002D6D83"/>
    <w:rsid w:val="002D7F94"/>
    <w:rsid w:val="002E0B76"/>
    <w:rsid w:val="002E236B"/>
    <w:rsid w:val="002E239B"/>
    <w:rsid w:val="002E2E66"/>
    <w:rsid w:val="002E35A2"/>
    <w:rsid w:val="002E3B6A"/>
    <w:rsid w:val="002E509C"/>
    <w:rsid w:val="002E5720"/>
    <w:rsid w:val="002E6315"/>
    <w:rsid w:val="002F0858"/>
    <w:rsid w:val="002F1972"/>
    <w:rsid w:val="002F1998"/>
    <w:rsid w:val="002F20E9"/>
    <w:rsid w:val="002F2A8D"/>
    <w:rsid w:val="002F2D29"/>
    <w:rsid w:val="002F3443"/>
    <w:rsid w:val="002F3D95"/>
    <w:rsid w:val="002F4A17"/>
    <w:rsid w:val="002F4DEC"/>
    <w:rsid w:val="002F7309"/>
    <w:rsid w:val="003001E6"/>
    <w:rsid w:val="00300324"/>
    <w:rsid w:val="00300FF5"/>
    <w:rsid w:val="0030172D"/>
    <w:rsid w:val="00302AAA"/>
    <w:rsid w:val="00302BEE"/>
    <w:rsid w:val="00303A9D"/>
    <w:rsid w:val="003040F0"/>
    <w:rsid w:val="0030415C"/>
    <w:rsid w:val="00304AEC"/>
    <w:rsid w:val="00305468"/>
    <w:rsid w:val="00305E06"/>
    <w:rsid w:val="003101E0"/>
    <w:rsid w:val="003105E5"/>
    <w:rsid w:val="003107D4"/>
    <w:rsid w:val="003117BB"/>
    <w:rsid w:val="003119B3"/>
    <w:rsid w:val="003124C8"/>
    <w:rsid w:val="0031291E"/>
    <w:rsid w:val="003131F7"/>
    <w:rsid w:val="003133F7"/>
    <w:rsid w:val="00314DB9"/>
    <w:rsid w:val="00315A3F"/>
    <w:rsid w:val="00315F6C"/>
    <w:rsid w:val="003165C3"/>
    <w:rsid w:val="00316D52"/>
    <w:rsid w:val="0031786E"/>
    <w:rsid w:val="00317AFE"/>
    <w:rsid w:val="00317EBA"/>
    <w:rsid w:val="0032042A"/>
    <w:rsid w:val="00320528"/>
    <w:rsid w:val="00321228"/>
    <w:rsid w:val="00322035"/>
    <w:rsid w:val="0032231B"/>
    <w:rsid w:val="0032336E"/>
    <w:rsid w:val="00323674"/>
    <w:rsid w:val="003247CF"/>
    <w:rsid w:val="00325164"/>
    <w:rsid w:val="00326C99"/>
    <w:rsid w:val="00326ECA"/>
    <w:rsid w:val="0032715E"/>
    <w:rsid w:val="003274E1"/>
    <w:rsid w:val="0032791E"/>
    <w:rsid w:val="0033137D"/>
    <w:rsid w:val="00331AA4"/>
    <w:rsid w:val="00332554"/>
    <w:rsid w:val="003336D4"/>
    <w:rsid w:val="003338FC"/>
    <w:rsid w:val="00333F05"/>
    <w:rsid w:val="00334152"/>
    <w:rsid w:val="00334FAA"/>
    <w:rsid w:val="00335B1B"/>
    <w:rsid w:val="00336B1B"/>
    <w:rsid w:val="00340E57"/>
    <w:rsid w:val="003410F2"/>
    <w:rsid w:val="003415A5"/>
    <w:rsid w:val="00341FA1"/>
    <w:rsid w:val="003438F3"/>
    <w:rsid w:val="00343969"/>
    <w:rsid w:val="0034408D"/>
    <w:rsid w:val="00344BC9"/>
    <w:rsid w:val="00344BDE"/>
    <w:rsid w:val="00344CD8"/>
    <w:rsid w:val="00345088"/>
    <w:rsid w:val="00346157"/>
    <w:rsid w:val="003461E7"/>
    <w:rsid w:val="0034651F"/>
    <w:rsid w:val="00347B78"/>
    <w:rsid w:val="003509E3"/>
    <w:rsid w:val="00351339"/>
    <w:rsid w:val="00351B6A"/>
    <w:rsid w:val="00352746"/>
    <w:rsid w:val="003557BD"/>
    <w:rsid w:val="00355B3A"/>
    <w:rsid w:val="00356200"/>
    <w:rsid w:val="00357867"/>
    <w:rsid w:val="00357CE3"/>
    <w:rsid w:val="00360010"/>
    <w:rsid w:val="00360335"/>
    <w:rsid w:val="003605EC"/>
    <w:rsid w:val="00360AE9"/>
    <w:rsid w:val="00361181"/>
    <w:rsid w:val="00362CD6"/>
    <w:rsid w:val="0036342F"/>
    <w:rsid w:val="00363AAA"/>
    <w:rsid w:val="00364562"/>
    <w:rsid w:val="003647A3"/>
    <w:rsid w:val="00364DF4"/>
    <w:rsid w:val="00365605"/>
    <w:rsid w:val="00367E5A"/>
    <w:rsid w:val="00370D49"/>
    <w:rsid w:val="00370D5D"/>
    <w:rsid w:val="00371153"/>
    <w:rsid w:val="00371804"/>
    <w:rsid w:val="00371A96"/>
    <w:rsid w:val="00371E8A"/>
    <w:rsid w:val="00371F09"/>
    <w:rsid w:val="00373287"/>
    <w:rsid w:val="003732D4"/>
    <w:rsid w:val="00373316"/>
    <w:rsid w:val="00374DBC"/>
    <w:rsid w:val="00375325"/>
    <w:rsid w:val="00375CE6"/>
    <w:rsid w:val="00376325"/>
    <w:rsid w:val="0037732B"/>
    <w:rsid w:val="003813BF"/>
    <w:rsid w:val="003815C0"/>
    <w:rsid w:val="00382670"/>
    <w:rsid w:val="0038369B"/>
    <w:rsid w:val="00383DB9"/>
    <w:rsid w:val="00383FAA"/>
    <w:rsid w:val="00384080"/>
    <w:rsid w:val="00384137"/>
    <w:rsid w:val="00384A7D"/>
    <w:rsid w:val="00384F20"/>
    <w:rsid w:val="00385BDA"/>
    <w:rsid w:val="00385C9C"/>
    <w:rsid w:val="0039092F"/>
    <w:rsid w:val="00390B0C"/>
    <w:rsid w:val="003912D4"/>
    <w:rsid w:val="00391ED6"/>
    <w:rsid w:val="003921E1"/>
    <w:rsid w:val="003928B8"/>
    <w:rsid w:val="00392BB6"/>
    <w:rsid w:val="00393308"/>
    <w:rsid w:val="00393FB7"/>
    <w:rsid w:val="00394051"/>
    <w:rsid w:val="00394521"/>
    <w:rsid w:val="00395BFD"/>
    <w:rsid w:val="00395D05"/>
    <w:rsid w:val="0039744C"/>
    <w:rsid w:val="00397D1B"/>
    <w:rsid w:val="00397EE1"/>
    <w:rsid w:val="003A208A"/>
    <w:rsid w:val="003A2234"/>
    <w:rsid w:val="003A3491"/>
    <w:rsid w:val="003A363A"/>
    <w:rsid w:val="003A39EA"/>
    <w:rsid w:val="003A4D9B"/>
    <w:rsid w:val="003A5D38"/>
    <w:rsid w:val="003A5E1D"/>
    <w:rsid w:val="003A677F"/>
    <w:rsid w:val="003A6B75"/>
    <w:rsid w:val="003A7102"/>
    <w:rsid w:val="003A75ED"/>
    <w:rsid w:val="003A7789"/>
    <w:rsid w:val="003A7DC3"/>
    <w:rsid w:val="003B2805"/>
    <w:rsid w:val="003B2E8D"/>
    <w:rsid w:val="003B35A0"/>
    <w:rsid w:val="003B4311"/>
    <w:rsid w:val="003B44E9"/>
    <w:rsid w:val="003B4B9F"/>
    <w:rsid w:val="003B4F49"/>
    <w:rsid w:val="003B5239"/>
    <w:rsid w:val="003B55C0"/>
    <w:rsid w:val="003B563E"/>
    <w:rsid w:val="003B5645"/>
    <w:rsid w:val="003B57F4"/>
    <w:rsid w:val="003B5AC6"/>
    <w:rsid w:val="003B5C8D"/>
    <w:rsid w:val="003B757F"/>
    <w:rsid w:val="003C019A"/>
    <w:rsid w:val="003C218A"/>
    <w:rsid w:val="003C3167"/>
    <w:rsid w:val="003C319B"/>
    <w:rsid w:val="003C3C63"/>
    <w:rsid w:val="003C3ECA"/>
    <w:rsid w:val="003C3F6A"/>
    <w:rsid w:val="003C44E4"/>
    <w:rsid w:val="003C4EE3"/>
    <w:rsid w:val="003C5311"/>
    <w:rsid w:val="003C56E3"/>
    <w:rsid w:val="003C578B"/>
    <w:rsid w:val="003C5F56"/>
    <w:rsid w:val="003C5F86"/>
    <w:rsid w:val="003C6074"/>
    <w:rsid w:val="003C6599"/>
    <w:rsid w:val="003C6945"/>
    <w:rsid w:val="003D0250"/>
    <w:rsid w:val="003D2F51"/>
    <w:rsid w:val="003D375F"/>
    <w:rsid w:val="003D37AD"/>
    <w:rsid w:val="003D3F05"/>
    <w:rsid w:val="003D40EB"/>
    <w:rsid w:val="003D4D21"/>
    <w:rsid w:val="003D577C"/>
    <w:rsid w:val="003D632A"/>
    <w:rsid w:val="003D6F1E"/>
    <w:rsid w:val="003D6F44"/>
    <w:rsid w:val="003D745E"/>
    <w:rsid w:val="003E176A"/>
    <w:rsid w:val="003E1E52"/>
    <w:rsid w:val="003E257B"/>
    <w:rsid w:val="003E296D"/>
    <w:rsid w:val="003E2BAE"/>
    <w:rsid w:val="003E2DE0"/>
    <w:rsid w:val="003E455B"/>
    <w:rsid w:val="003E4840"/>
    <w:rsid w:val="003E4843"/>
    <w:rsid w:val="003E6098"/>
    <w:rsid w:val="003E62C3"/>
    <w:rsid w:val="003E6A23"/>
    <w:rsid w:val="003E7249"/>
    <w:rsid w:val="003E7BBD"/>
    <w:rsid w:val="003E7C0B"/>
    <w:rsid w:val="003F04AF"/>
    <w:rsid w:val="003F208E"/>
    <w:rsid w:val="003F2AD6"/>
    <w:rsid w:val="003F2BBC"/>
    <w:rsid w:val="003F4AA0"/>
    <w:rsid w:val="003F4E23"/>
    <w:rsid w:val="003F5B45"/>
    <w:rsid w:val="003F6142"/>
    <w:rsid w:val="003F67EB"/>
    <w:rsid w:val="003F69B5"/>
    <w:rsid w:val="003F69BA"/>
    <w:rsid w:val="003F6AFE"/>
    <w:rsid w:val="003F6FE4"/>
    <w:rsid w:val="003F7A21"/>
    <w:rsid w:val="004000FA"/>
    <w:rsid w:val="00400142"/>
    <w:rsid w:val="00401095"/>
    <w:rsid w:val="00402326"/>
    <w:rsid w:val="00402346"/>
    <w:rsid w:val="00402936"/>
    <w:rsid w:val="004037D2"/>
    <w:rsid w:val="004045FA"/>
    <w:rsid w:val="00404B20"/>
    <w:rsid w:val="00404FD5"/>
    <w:rsid w:val="0040500E"/>
    <w:rsid w:val="00405669"/>
    <w:rsid w:val="00405A42"/>
    <w:rsid w:val="00406268"/>
    <w:rsid w:val="004065A2"/>
    <w:rsid w:val="00406A7C"/>
    <w:rsid w:val="00406E1C"/>
    <w:rsid w:val="00410125"/>
    <w:rsid w:val="004101EC"/>
    <w:rsid w:val="0041096A"/>
    <w:rsid w:val="00410D72"/>
    <w:rsid w:val="00410F38"/>
    <w:rsid w:val="00411434"/>
    <w:rsid w:val="0041166B"/>
    <w:rsid w:val="004118AC"/>
    <w:rsid w:val="00411EE5"/>
    <w:rsid w:val="00412F76"/>
    <w:rsid w:val="00413A7C"/>
    <w:rsid w:val="00413D91"/>
    <w:rsid w:val="00413DB5"/>
    <w:rsid w:val="004144C9"/>
    <w:rsid w:val="004144D0"/>
    <w:rsid w:val="00414F7F"/>
    <w:rsid w:val="00415579"/>
    <w:rsid w:val="00415AE7"/>
    <w:rsid w:val="00415F9E"/>
    <w:rsid w:val="00417590"/>
    <w:rsid w:val="00417716"/>
    <w:rsid w:val="004208E1"/>
    <w:rsid w:val="0042157E"/>
    <w:rsid w:val="0042221E"/>
    <w:rsid w:val="004228B6"/>
    <w:rsid w:val="00423B70"/>
    <w:rsid w:val="00423E70"/>
    <w:rsid w:val="0042401B"/>
    <w:rsid w:val="00425977"/>
    <w:rsid w:val="00426460"/>
    <w:rsid w:val="00426732"/>
    <w:rsid w:val="004300AC"/>
    <w:rsid w:val="00430330"/>
    <w:rsid w:val="00431163"/>
    <w:rsid w:val="00431ADA"/>
    <w:rsid w:val="00431D41"/>
    <w:rsid w:val="004322BD"/>
    <w:rsid w:val="0043236F"/>
    <w:rsid w:val="00432C30"/>
    <w:rsid w:val="00433393"/>
    <w:rsid w:val="004337D7"/>
    <w:rsid w:val="004356B9"/>
    <w:rsid w:val="00435F0E"/>
    <w:rsid w:val="0043666E"/>
    <w:rsid w:val="004369C9"/>
    <w:rsid w:val="00437195"/>
    <w:rsid w:val="00437B58"/>
    <w:rsid w:val="00437D61"/>
    <w:rsid w:val="0044080E"/>
    <w:rsid w:val="00441D10"/>
    <w:rsid w:val="0044213F"/>
    <w:rsid w:val="004423B6"/>
    <w:rsid w:val="00442FEA"/>
    <w:rsid w:val="004432ED"/>
    <w:rsid w:val="00443B24"/>
    <w:rsid w:val="00444592"/>
    <w:rsid w:val="00444BAA"/>
    <w:rsid w:val="00444EF4"/>
    <w:rsid w:val="004451EB"/>
    <w:rsid w:val="0044638E"/>
    <w:rsid w:val="00446551"/>
    <w:rsid w:val="00446675"/>
    <w:rsid w:val="00447877"/>
    <w:rsid w:val="00447A9F"/>
    <w:rsid w:val="0045007C"/>
    <w:rsid w:val="00451BE0"/>
    <w:rsid w:val="00451C08"/>
    <w:rsid w:val="004539B0"/>
    <w:rsid w:val="00454F01"/>
    <w:rsid w:val="00454FB2"/>
    <w:rsid w:val="0045636C"/>
    <w:rsid w:val="0045642E"/>
    <w:rsid w:val="00456E56"/>
    <w:rsid w:val="004573DD"/>
    <w:rsid w:val="004579DC"/>
    <w:rsid w:val="004601DA"/>
    <w:rsid w:val="00461715"/>
    <w:rsid w:val="0046238B"/>
    <w:rsid w:val="00462881"/>
    <w:rsid w:val="004636B5"/>
    <w:rsid w:val="00464408"/>
    <w:rsid w:val="0046549A"/>
    <w:rsid w:val="00465CD3"/>
    <w:rsid w:val="00465DB6"/>
    <w:rsid w:val="00466D8F"/>
    <w:rsid w:val="00466EAB"/>
    <w:rsid w:val="00467591"/>
    <w:rsid w:val="00467E42"/>
    <w:rsid w:val="00470593"/>
    <w:rsid w:val="0047074D"/>
    <w:rsid w:val="004709A1"/>
    <w:rsid w:val="0047242E"/>
    <w:rsid w:val="004734BC"/>
    <w:rsid w:val="004739A1"/>
    <w:rsid w:val="004759AF"/>
    <w:rsid w:val="0047625E"/>
    <w:rsid w:val="00476CE6"/>
    <w:rsid w:val="00476D35"/>
    <w:rsid w:val="0047733C"/>
    <w:rsid w:val="00480355"/>
    <w:rsid w:val="004804EC"/>
    <w:rsid w:val="00480CCE"/>
    <w:rsid w:val="004817B1"/>
    <w:rsid w:val="004817E9"/>
    <w:rsid w:val="00482BCA"/>
    <w:rsid w:val="00483469"/>
    <w:rsid w:val="0048384E"/>
    <w:rsid w:val="004844E9"/>
    <w:rsid w:val="00484E3B"/>
    <w:rsid w:val="004853B7"/>
    <w:rsid w:val="0048593B"/>
    <w:rsid w:val="004859CF"/>
    <w:rsid w:val="004861F4"/>
    <w:rsid w:val="0048653B"/>
    <w:rsid w:val="00486854"/>
    <w:rsid w:val="00486966"/>
    <w:rsid w:val="00487295"/>
    <w:rsid w:val="004877D8"/>
    <w:rsid w:val="00487809"/>
    <w:rsid w:val="00487C09"/>
    <w:rsid w:val="00487FB9"/>
    <w:rsid w:val="00490C92"/>
    <w:rsid w:val="004917C1"/>
    <w:rsid w:val="00491AFC"/>
    <w:rsid w:val="00491D16"/>
    <w:rsid w:val="00492406"/>
    <w:rsid w:val="00493763"/>
    <w:rsid w:val="00493A8F"/>
    <w:rsid w:val="00494B00"/>
    <w:rsid w:val="00494E65"/>
    <w:rsid w:val="00495248"/>
    <w:rsid w:val="004957FA"/>
    <w:rsid w:val="00495C09"/>
    <w:rsid w:val="004960AB"/>
    <w:rsid w:val="00496606"/>
    <w:rsid w:val="004A0CB6"/>
    <w:rsid w:val="004A3037"/>
    <w:rsid w:val="004A35FB"/>
    <w:rsid w:val="004A38D6"/>
    <w:rsid w:val="004A3C1E"/>
    <w:rsid w:val="004A5401"/>
    <w:rsid w:val="004A5C57"/>
    <w:rsid w:val="004A60FC"/>
    <w:rsid w:val="004A672E"/>
    <w:rsid w:val="004A6FCB"/>
    <w:rsid w:val="004A7DB5"/>
    <w:rsid w:val="004B0AB5"/>
    <w:rsid w:val="004B0C2C"/>
    <w:rsid w:val="004B0CA5"/>
    <w:rsid w:val="004B1EB4"/>
    <w:rsid w:val="004B2DA8"/>
    <w:rsid w:val="004B2EBB"/>
    <w:rsid w:val="004B44B9"/>
    <w:rsid w:val="004B46AA"/>
    <w:rsid w:val="004B5000"/>
    <w:rsid w:val="004B51FC"/>
    <w:rsid w:val="004B5467"/>
    <w:rsid w:val="004B5A57"/>
    <w:rsid w:val="004B6B6B"/>
    <w:rsid w:val="004B6F6E"/>
    <w:rsid w:val="004B70D9"/>
    <w:rsid w:val="004B779A"/>
    <w:rsid w:val="004B7A30"/>
    <w:rsid w:val="004C07CC"/>
    <w:rsid w:val="004C0AD7"/>
    <w:rsid w:val="004C13F5"/>
    <w:rsid w:val="004C1BFC"/>
    <w:rsid w:val="004C1EF6"/>
    <w:rsid w:val="004C415A"/>
    <w:rsid w:val="004C4DF5"/>
    <w:rsid w:val="004C56D0"/>
    <w:rsid w:val="004C5B5C"/>
    <w:rsid w:val="004C5C05"/>
    <w:rsid w:val="004C621A"/>
    <w:rsid w:val="004C6792"/>
    <w:rsid w:val="004C6BF2"/>
    <w:rsid w:val="004D11AB"/>
    <w:rsid w:val="004D196D"/>
    <w:rsid w:val="004D2348"/>
    <w:rsid w:val="004D268B"/>
    <w:rsid w:val="004D28C3"/>
    <w:rsid w:val="004D29E8"/>
    <w:rsid w:val="004D32BD"/>
    <w:rsid w:val="004D34DC"/>
    <w:rsid w:val="004D3CB6"/>
    <w:rsid w:val="004D4655"/>
    <w:rsid w:val="004D46BD"/>
    <w:rsid w:val="004D47BB"/>
    <w:rsid w:val="004D5C49"/>
    <w:rsid w:val="004D6761"/>
    <w:rsid w:val="004D7AC2"/>
    <w:rsid w:val="004E08DB"/>
    <w:rsid w:val="004E0F96"/>
    <w:rsid w:val="004E2C78"/>
    <w:rsid w:val="004E41CF"/>
    <w:rsid w:val="004E4881"/>
    <w:rsid w:val="004E5EBA"/>
    <w:rsid w:val="004E6992"/>
    <w:rsid w:val="004F1021"/>
    <w:rsid w:val="004F256B"/>
    <w:rsid w:val="004F2909"/>
    <w:rsid w:val="004F2A1F"/>
    <w:rsid w:val="004F2FD4"/>
    <w:rsid w:val="004F335D"/>
    <w:rsid w:val="004F3A4A"/>
    <w:rsid w:val="004F44B2"/>
    <w:rsid w:val="004F4737"/>
    <w:rsid w:val="004F5D61"/>
    <w:rsid w:val="004F6474"/>
    <w:rsid w:val="004F787B"/>
    <w:rsid w:val="004F7CAD"/>
    <w:rsid w:val="004F7EAB"/>
    <w:rsid w:val="005000CC"/>
    <w:rsid w:val="005014E6"/>
    <w:rsid w:val="0050172E"/>
    <w:rsid w:val="005021F9"/>
    <w:rsid w:val="005030AB"/>
    <w:rsid w:val="0050323F"/>
    <w:rsid w:val="00503436"/>
    <w:rsid w:val="00504E46"/>
    <w:rsid w:val="00504F3C"/>
    <w:rsid w:val="00505586"/>
    <w:rsid w:val="00505A8F"/>
    <w:rsid w:val="00505B29"/>
    <w:rsid w:val="00505BF9"/>
    <w:rsid w:val="00505E72"/>
    <w:rsid w:val="0050613E"/>
    <w:rsid w:val="0050627D"/>
    <w:rsid w:val="00506D70"/>
    <w:rsid w:val="0051092A"/>
    <w:rsid w:val="00510C95"/>
    <w:rsid w:val="005114D5"/>
    <w:rsid w:val="005114E2"/>
    <w:rsid w:val="00511610"/>
    <w:rsid w:val="005117E3"/>
    <w:rsid w:val="005120BF"/>
    <w:rsid w:val="00512125"/>
    <w:rsid w:val="00514530"/>
    <w:rsid w:val="00515129"/>
    <w:rsid w:val="00515373"/>
    <w:rsid w:val="005163BE"/>
    <w:rsid w:val="00516F07"/>
    <w:rsid w:val="00520E22"/>
    <w:rsid w:val="0052117F"/>
    <w:rsid w:val="00521566"/>
    <w:rsid w:val="0052176D"/>
    <w:rsid w:val="00522A01"/>
    <w:rsid w:val="00522DD8"/>
    <w:rsid w:val="00523242"/>
    <w:rsid w:val="005234D7"/>
    <w:rsid w:val="00523CC1"/>
    <w:rsid w:val="00523D07"/>
    <w:rsid w:val="005250F6"/>
    <w:rsid w:val="00525349"/>
    <w:rsid w:val="00525604"/>
    <w:rsid w:val="0052561F"/>
    <w:rsid w:val="00526984"/>
    <w:rsid w:val="00526FB4"/>
    <w:rsid w:val="00530BB3"/>
    <w:rsid w:val="00530F80"/>
    <w:rsid w:val="005310E1"/>
    <w:rsid w:val="005319F5"/>
    <w:rsid w:val="00531AB9"/>
    <w:rsid w:val="00532B32"/>
    <w:rsid w:val="00533004"/>
    <w:rsid w:val="00535961"/>
    <w:rsid w:val="0053629B"/>
    <w:rsid w:val="00536B85"/>
    <w:rsid w:val="00536CF5"/>
    <w:rsid w:val="00537484"/>
    <w:rsid w:val="00537BDD"/>
    <w:rsid w:val="00540F41"/>
    <w:rsid w:val="00540F45"/>
    <w:rsid w:val="00541951"/>
    <w:rsid w:val="00542FF1"/>
    <w:rsid w:val="00543601"/>
    <w:rsid w:val="00543DF2"/>
    <w:rsid w:val="00543F37"/>
    <w:rsid w:val="0054411D"/>
    <w:rsid w:val="005448CE"/>
    <w:rsid w:val="00544B3A"/>
    <w:rsid w:val="00544B7A"/>
    <w:rsid w:val="0054596D"/>
    <w:rsid w:val="00546603"/>
    <w:rsid w:val="005505BF"/>
    <w:rsid w:val="005512F9"/>
    <w:rsid w:val="00551353"/>
    <w:rsid w:val="00551AAD"/>
    <w:rsid w:val="00552219"/>
    <w:rsid w:val="00552367"/>
    <w:rsid w:val="00553118"/>
    <w:rsid w:val="00553A14"/>
    <w:rsid w:val="00553C54"/>
    <w:rsid w:val="00553F09"/>
    <w:rsid w:val="00554B66"/>
    <w:rsid w:val="0055564C"/>
    <w:rsid w:val="005557B5"/>
    <w:rsid w:val="00555A58"/>
    <w:rsid w:val="00555BAD"/>
    <w:rsid w:val="00555C18"/>
    <w:rsid w:val="00555EA4"/>
    <w:rsid w:val="00556679"/>
    <w:rsid w:val="00556937"/>
    <w:rsid w:val="005569BB"/>
    <w:rsid w:val="00556D64"/>
    <w:rsid w:val="0055724A"/>
    <w:rsid w:val="005610FD"/>
    <w:rsid w:val="00561800"/>
    <w:rsid w:val="00561831"/>
    <w:rsid w:val="005620AC"/>
    <w:rsid w:val="00563AB6"/>
    <w:rsid w:val="00564468"/>
    <w:rsid w:val="00565165"/>
    <w:rsid w:val="0056571D"/>
    <w:rsid w:val="00566635"/>
    <w:rsid w:val="00567E2E"/>
    <w:rsid w:val="005700CE"/>
    <w:rsid w:val="005713C9"/>
    <w:rsid w:val="005722D5"/>
    <w:rsid w:val="0057241D"/>
    <w:rsid w:val="00572B39"/>
    <w:rsid w:val="00573402"/>
    <w:rsid w:val="0057372C"/>
    <w:rsid w:val="005742A2"/>
    <w:rsid w:val="00575FE4"/>
    <w:rsid w:val="00576321"/>
    <w:rsid w:val="00576834"/>
    <w:rsid w:val="00576B21"/>
    <w:rsid w:val="00576C40"/>
    <w:rsid w:val="005774C3"/>
    <w:rsid w:val="00581534"/>
    <w:rsid w:val="005820A4"/>
    <w:rsid w:val="00583266"/>
    <w:rsid w:val="00583BB5"/>
    <w:rsid w:val="00583C6D"/>
    <w:rsid w:val="00584582"/>
    <w:rsid w:val="00584788"/>
    <w:rsid w:val="00585A58"/>
    <w:rsid w:val="0058613D"/>
    <w:rsid w:val="00586CD5"/>
    <w:rsid w:val="00592EE4"/>
    <w:rsid w:val="00593711"/>
    <w:rsid w:val="00594592"/>
    <w:rsid w:val="00595E52"/>
    <w:rsid w:val="00596C76"/>
    <w:rsid w:val="00596D21"/>
    <w:rsid w:val="005975EE"/>
    <w:rsid w:val="00597FCA"/>
    <w:rsid w:val="005A0A58"/>
    <w:rsid w:val="005A13A6"/>
    <w:rsid w:val="005A1499"/>
    <w:rsid w:val="005A1A34"/>
    <w:rsid w:val="005A1FAA"/>
    <w:rsid w:val="005A20F9"/>
    <w:rsid w:val="005A21FF"/>
    <w:rsid w:val="005A2676"/>
    <w:rsid w:val="005A28D7"/>
    <w:rsid w:val="005A2A13"/>
    <w:rsid w:val="005A3020"/>
    <w:rsid w:val="005A36D0"/>
    <w:rsid w:val="005A3B67"/>
    <w:rsid w:val="005A4784"/>
    <w:rsid w:val="005A6384"/>
    <w:rsid w:val="005A671D"/>
    <w:rsid w:val="005A688E"/>
    <w:rsid w:val="005A7327"/>
    <w:rsid w:val="005B020E"/>
    <w:rsid w:val="005B047C"/>
    <w:rsid w:val="005B0724"/>
    <w:rsid w:val="005B1057"/>
    <w:rsid w:val="005B186A"/>
    <w:rsid w:val="005B192B"/>
    <w:rsid w:val="005B1B2B"/>
    <w:rsid w:val="005B26C3"/>
    <w:rsid w:val="005B27C0"/>
    <w:rsid w:val="005B3B5D"/>
    <w:rsid w:val="005B3C84"/>
    <w:rsid w:val="005B4CB8"/>
    <w:rsid w:val="005B6D81"/>
    <w:rsid w:val="005B6EC4"/>
    <w:rsid w:val="005B784F"/>
    <w:rsid w:val="005B7CCA"/>
    <w:rsid w:val="005B7D14"/>
    <w:rsid w:val="005B7FE1"/>
    <w:rsid w:val="005C0C64"/>
    <w:rsid w:val="005C0D31"/>
    <w:rsid w:val="005C0E7B"/>
    <w:rsid w:val="005C251C"/>
    <w:rsid w:val="005C39B4"/>
    <w:rsid w:val="005C40ED"/>
    <w:rsid w:val="005C4225"/>
    <w:rsid w:val="005C4370"/>
    <w:rsid w:val="005C48E2"/>
    <w:rsid w:val="005C5930"/>
    <w:rsid w:val="005C5E17"/>
    <w:rsid w:val="005C7074"/>
    <w:rsid w:val="005C7C86"/>
    <w:rsid w:val="005D01D5"/>
    <w:rsid w:val="005D0F26"/>
    <w:rsid w:val="005D1C1C"/>
    <w:rsid w:val="005D2074"/>
    <w:rsid w:val="005D2575"/>
    <w:rsid w:val="005D40CC"/>
    <w:rsid w:val="005D4A1C"/>
    <w:rsid w:val="005D5066"/>
    <w:rsid w:val="005D5200"/>
    <w:rsid w:val="005D53D1"/>
    <w:rsid w:val="005D69C7"/>
    <w:rsid w:val="005D6B5A"/>
    <w:rsid w:val="005D76BB"/>
    <w:rsid w:val="005D7769"/>
    <w:rsid w:val="005D7ADE"/>
    <w:rsid w:val="005E0CE8"/>
    <w:rsid w:val="005E15F5"/>
    <w:rsid w:val="005E2543"/>
    <w:rsid w:val="005E3317"/>
    <w:rsid w:val="005E4586"/>
    <w:rsid w:val="005E47B1"/>
    <w:rsid w:val="005E5147"/>
    <w:rsid w:val="005E5B6C"/>
    <w:rsid w:val="005E5C69"/>
    <w:rsid w:val="005E6122"/>
    <w:rsid w:val="005E61F9"/>
    <w:rsid w:val="005E62C3"/>
    <w:rsid w:val="005E7ECC"/>
    <w:rsid w:val="005F0CEB"/>
    <w:rsid w:val="005F0F1F"/>
    <w:rsid w:val="005F173D"/>
    <w:rsid w:val="005F210C"/>
    <w:rsid w:val="005F2B35"/>
    <w:rsid w:val="005F4601"/>
    <w:rsid w:val="005F604A"/>
    <w:rsid w:val="005F66A8"/>
    <w:rsid w:val="005F71B0"/>
    <w:rsid w:val="005F75AD"/>
    <w:rsid w:val="005F776E"/>
    <w:rsid w:val="0060059B"/>
    <w:rsid w:val="0060112D"/>
    <w:rsid w:val="006014B2"/>
    <w:rsid w:val="00602C3C"/>
    <w:rsid w:val="00603010"/>
    <w:rsid w:val="006033CF"/>
    <w:rsid w:val="00603A65"/>
    <w:rsid w:val="0060409E"/>
    <w:rsid w:val="00605BA6"/>
    <w:rsid w:val="006063EE"/>
    <w:rsid w:val="00606B10"/>
    <w:rsid w:val="006074DF"/>
    <w:rsid w:val="00607C60"/>
    <w:rsid w:val="00607F21"/>
    <w:rsid w:val="00610274"/>
    <w:rsid w:val="00610B00"/>
    <w:rsid w:val="00611216"/>
    <w:rsid w:val="00611A19"/>
    <w:rsid w:val="006131FF"/>
    <w:rsid w:val="0061323E"/>
    <w:rsid w:val="00613D21"/>
    <w:rsid w:val="00614FC5"/>
    <w:rsid w:val="00615AA1"/>
    <w:rsid w:val="00615B36"/>
    <w:rsid w:val="0061659A"/>
    <w:rsid w:val="00622101"/>
    <w:rsid w:val="0062234E"/>
    <w:rsid w:val="00622802"/>
    <w:rsid w:val="00623E17"/>
    <w:rsid w:val="0062476F"/>
    <w:rsid w:val="00625D20"/>
    <w:rsid w:val="00625E82"/>
    <w:rsid w:val="00625FF0"/>
    <w:rsid w:val="00626579"/>
    <w:rsid w:val="00626BF2"/>
    <w:rsid w:val="006305FE"/>
    <w:rsid w:val="00630702"/>
    <w:rsid w:val="00630C68"/>
    <w:rsid w:val="00631B22"/>
    <w:rsid w:val="00632F65"/>
    <w:rsid w:val="00633294"/>
    <w:rsid w:val="00633713"/>
    <w:rsid w:val="00633727"/>
    <w:rsid w:val="00633BA9"/>
    <w:rsid w:val="00635C46"/>
    <w:rsid w:val="00635DD2"/>
    <w:rsid w:val="00635EDC"/>
    <w:rsid w:val="00635F49"/>
    <w:rsid w:val="006368DD"/>
    <w:rsid w:val="0063691F"/>
    <w:rsid w:val="00637163"/>
    <w:rsid w:val="00640F53"/>
    <w:rsid w:val="00641027"/>
    <w:rsid w:val="006416C6"/>
    <w:rsid w:val="00641974"/>
    <w:rsid w:val="006430D2"/>
    <w:rsid w:val="0064351A"/>
    <w:rsid w:val="00644EA5"/>
    <w:rsid w:val="00644F82"/>
    <w:rsid w:val="0064584B"/>
    <w:rsid w:val="00645A7C"/>
    <w:rsid w:val="00645E21"/>
    <w:rsid w:val="00647E2F"/>
    <w:rsid w:val="00650309"/>
    <w:rsid w:val="00650783"/>
    <w:rsid w:val="00651E3F"/>
    <w:rsid w:val="00652014"/>
    <w:rsid w:val="00652D20"/>
    <w:rsid w:val="00653E24"/>
    <w:rsid w:val="006540C3"/>
    <w:rsid w:val="0065418C"/>
    <w:rsid w:val="00654366"/>
    <w:rsid w:val="006554E1"/>
    <w:rsid w:val="006556D0"/>
    <w:rsid w:val="00656050"/>
    <w:rsid w:val="006562CD"/>
    <w:rsid w:val="00656C69"/>
    <w:rsid w:val="00657D37"/>
    <w:rsid w:val="006610DE"/>
    <w:rsid w:val="006611BF"/>
    <w:rsid w:val="006611F8"/>
    <w:rsid w:val="006613EB"/>
    <w:rsid w:val="00661BAD"/>
    <w:rsid w:val="006629E6"/>
    <w:rsid w:val="00662CC4"/>
    <w:rsid w:val="00663A1F"/>
    <w:rsid w:val="00663F44"/>
    <w:rsid w:val="00664ECB"/>
    <w:rsid w:val="006655B9"/>
    <w:rsid w:val="00665A19"/>
    <w:rsid w:val="00666346"/>
    <w:rsid w:val="006663ED"/>
    <w:rsid w:val="00666693"/>
    <w:rsid w:val="00667831"/>
    <w:rsid w:val="006701AD"/>
    <w:rsid w:val="0067044B"/>
    <w:rsid w:val="0067075F"/>
    <w:rsid w:val="00672DB3"/>
    <w:rsid w:val="00675006"/>
    <w:rsid w:val="00675C7E"/>
    <w:rsid w:val="00677193"/>
    <w:rsid w:val="0067769F"/>
    <w:rsid w:val="00677808"/>
    <w:rsid w:val="00680396"/>
    <w:rsid w:val="00680399"/>
    <w:rsid w:val="0068079F"/>
    <w:rsid w:val="00680F12"/>
    <w:rsid w:val="0068110D"/>
    <w:rsid w:val="0068143B"/>
    <w:rsid w:val="006828D2"/>
    <w:rsid w:val="00682D62"/>
    <w:rsid w:val="0068386B"/>
    <w:rsid w:val="00683C4D"/>
    <w:rsid w:val="00684E34"/>
    <w:rsid w:val="00686B3E"/>
    <w:rsid w:val="00687711"/>
    <w:rsid w:val="006911F4"/>
    <w:rsid w:val="00691236"/>
    <w:rsid w:val="006933A2"/>
    <w:rsid w:val="006941AE"/>
    <w:rsid w:val="00695BCD"/>
    <w:rsid w:val="006A08B9"/>
    <w:rsid w:val="006A09E7"/>
    <w:rsid w:val="006A175C"/>
    <w:rsid w:val="006A1A60"/>
    <w:rsid w:val="006A208F"/>
    <w:rsid w:val="006A277C"/>
    <w:rsid w:val="006A3BA1"/>
    <w:rsid w:val="006A3E5F"/>
    <w:rsid w:val="006A3EA6"/>
    <w:rsid w:val="006A4B34"/>
    <w:rsid w:val="006A500B"/>
    <w:rsid w:val="006A5B5F"/>
    <w:rsid w:val="006A5EA6"/>
    <w:rsid w:val="006A5F2A"/>
    <w:rsid w:val="006A6496"/>
    <w:rsid w:val="006A6829"/>
    <w:rsid w:val="006B02BF"/>
    <w:rsid w:val="006B0EB7"/>
    <w:rsid w:val="006B1317"/>
    <w:rsid w:val="006B1639"/>
    <w:rsid w:val="006B1A28"/>
    <w:rsid w:val="006B1A83"/>
    <w:rsid w:val="006B2DEE"/>
    <w:rsid w:val="006B2FF4"/>
    <w:rsid w:val="006B32F7"/>
    <w:rsid w:val="006B3B93"/>
    <w:rsid w:val="006B41F1"/>
    <w:rsid w:val="006B487F"/>
    <w:rsid w:val="006B577C"/>
    <w:rsid w:val="006B7184"/>
    <w:rsid w:val="006C036D"/>
    <w:rsid w:val="006C1F66"/>
    <w:rsid w:val="006C2676"/>
    <w:rsid w:val="006C2C39"/>
    <w:rsid w:val="006C36ED"/>
    <w:rsid w:val="006C3915"/>
    <w:rsid w:val="006C394C"/>
    <w:rsid w:val="006C470C"/>
    <w:rsid w:val="006C4CB4"/>
    <w:rsid w:val="006C53C2"/>
    <w:rsid w:val="006C56C3"/>
    <w:rsid w:val="006C5A63"/>
    <w:rsid w:val="006C73AF"/>
    <w:rsid w:val="006C7BB9"/>
    <w:rsid w:val="006D00FE"/>
    <w:rsid w:val="006D038A"/>
    <w:rsid w:val="006D0EC9"/>
    <w:rsid w:val="006D128D"/>
    <w:rsid w:val="006D16C4"/>
    <w:rsid w:val="006D16D5"/>
    <w:rsid w:val="006D1867"/>
    <w:rsid w:val="006D2488"/>
    <w:rsid w:val="006D2613"/>
    <w:rsid w:val="006D4622"/>
    <w:rsid w:val="006D53C4"/>
    <w:rsid w:val="006D5C8D"/>
    <w:rsid w:val="006D60DA"/>
    <w:rsid w:val="006D6708"/>
    <w:rsid w:val="006D7E9D"/>
    <w:rsid w:val="006E0E93"/>
    <w:rsid w:val="006E157D"/>
    <w:rsid w:val="006E1898"/>
    <w:rsid w:val="006E1C50"/>
    <w:rsid w:val="006E206E"/>
    <w:rsid w:val="006E2171"/>
    <w:rsid w:val="006E3156"/>
    <w:rsid w:val="006E3D33"/>
    <w:rsid w:val="006E3E00"/>
    <w:rsid w:val="006E4C9A"/>
    <w:rsid w:val="006E50B2"/>
    <w:rsid w:val="006E5F96"/>
    <w:rsid w:val="006E60BD"/>
    <w:rsid w:val="006E6754"/>
    <w:rsid w:val="006E6C41"/>
    <w:rsid w:val="006E6FF7"/>
    <w:rsid w:val="006E752B"/>
    <w:rsid w:val="006F11D3"/>
    <w:rsid w:val="006F248C"/>
    <w:rsid w:val="006F26DA"/>
    <w:rsid w:val="006F2DCA"/>
    <w:rsid w:val="006F3DFB"/>
    <w:rsid w:val="006F4FC6"/>
    <w:rsid w:val="006F51DF"/>
    <w:rsid w:val="006F5CE5"/>
    <w:rsid w:val="006F5F40"/>
    <w:rsid w:val="006F5F66"/>
    <w:rsid w:val="006F629C"/>
    <w:rsid w:val="006F6D10"/>
    <w:rsid w:val="00700DB1"/>
    <w:rsid w:val="007013D4"/>
    <w:rsid w:val="00701FB6"/>
    <w:rsid w:val="00702273"/>
    <w:rsid w:val="007034AB"/>
    <w:rsid w:val="0070362B"/>
    <w:rsid w:val="0070387D"/>
    <w:rsid w:val="007044E8"/>
    <w:rsid w:val="00704F33"/>
    <w:rsid w:val="00706064"/>
    <w:rsid w:val="00706210"/>
    <w:rsid w:val="0070663F"/>
    <w:rsid w:val="00706C7E"/>
    <w:rsid w:val="007070E9"/>
    <w:rsid w:val="00707E7A"/>
    <w:rsid w:val="00710615"/>
    <w:rsid w:val="00711E6D"/>
    <w:rsid w:val="00713ECB"/>
    <w:rsid w:val="00714383"/>
    <w:rsid w:val="00714C65"/>
    <w:rsid w:val="0071556A"/>
    <w:rsid w:val="00715A3A"/>
    <w:rsid w:val="00716768"/>
    <w:rsid w:val="00716A5C"/>
    <w:rsid w:val="00716B12"/>
    <w:rsid w:val="00716BE6"/>
    <w:rsid w:val="00717F66"/>
    <w:rsid w:val="00721391"/>
    <w:rsid w:val="007214F5"/>
    <w:rsid w:val="00721BD3"/>
    <w:rsid w:val="0072454E"/>
    <w:rsid w:val="007271B0"/>
    <w:rsid w:val="0072774E"/>
    <w:rsid w:val="00727937"/>
    <w:rsid w:val="00730358"/>
    <w:rsid w:val="00731826"/>
    <w:rsid w:val="007330A7"/>
    <w:rsid w:val="007332DA"/>
    <w:rsid w:val="00733424"/>
    <w:rsid w:val="00733458"/>
    <w:rsid w:val="00733C82"/>
    <w:rsid w:val="00736F7D"/>
    <w:rsid w:val="00737B3A"/>
    <w:rsid w:val="007403A9"/>
    <w:rsid w:val="00740777"/>
    <w:rsid w:val="00742A8D"/>
    <w:rsid w:val="00743132"/>
    <w:rsid w:val="007437F6"/>
    <w:rsid w:val="007439A4"/>
    <w:rsid w:val="00744C1F"/>
    <w:rsid w:val="00745037"/>
    <w:rsid w:val="00745766"/>
    <w:rsid w:val="00745880"/>
    <w:rsid w:val="00745BD6"/>
    <w:rsid w:val="00745C19"/>
    <w:rsid w:val="0074646A"/>
    <w:rsid w:val="0074653B"/>
    <w:rsid w:val="007466D3"/>
    <w:rsid w:val="00746D48"/>
    <w:rsid w:val="00746DBE"/>
    <w:rsid w:val="00746E4C"/>
    <w:rsid w:val="0074780D"/>
    <w:rsid w:val="0075135F"/>
    <w:rsid w:val="007513C8"/>
    <w:rsid w:val="007514E5"/>
    <w:rsid w:val="00751F96"/>
    <w:rsid w:val="0075212E"/>
    <w:rsid w:val="00752824"/>
    <w:rsid w:val="00753500"/>
    <w:rsid w:val="007537EC"/>
    <w:rsid w:val="007542E1"/>
    <w:rsid w:val="0075554D"/>
    <w:rsid w:val="007558E9"/>
    <w:rsid w:val="00755BF2"/>
    <w:rsid w:val="0075652F"/>
    <w:rsid w:val="0076072E"/>
    <w:rsid w:val="007611E6"/>
    <w:rsid w:val="007616B3"/>
    <w:rsid w:val="00761CB7"/>
    <w:rsid w:val="007621D5"/>
    <w:rsid w:val="00762539"/>
    <w:rsid w:val="0076299F"/>
    <w:rsid w:val="00762A91"/>
    <w:rsid w:val="00764558"/>
    <w:rsid w:val="00764649"/>
    <w:rsid w:val="0076469A"/>
    <w:rsid w:val="00764BD6"/>
    <w:rsid w:val="007667A5"/>
    <w:rsid w:val="00766A79"/>
    <w:rsid w:val="00766F47"/>
    <w:rsid w:val="00767F89"/>
    <w:rsid w:val="00767FCB"/>
    <w:rsid w:val="00770A7A"/>
    <w:rsid w:val="00771CF5"/>
    <w:rsid w:val="00772833"/>
    <w:rsid w:val="00772A4A"/>
    <w:rsid w:val="0077427C"/>
    <w:rsid w:val="00775502"/>
    <w:rsid w:val="00775EE6"/>
    <w:rsid w:val="007766AD"/>
    <w:rsid w:val="00776BA7"/>
    <w:rsid w:val="00776C0A"/>
    <w:rsid w:val="00776FD3"/>
    <w:rsid w:val="00777064"/>
    <w:rsid w:val="007773F7"/>
    <w:rsid w:val="007775D1"/>
    <w:rsid w:val="007777E8"/>
    <w:rsid w:val="00780BC4"/>
    <w:rsid w:val="00781A00"/>
    <w:rsid w:val="00782B4F"/>
    <w:rsid w:val="00782C59"/>
    <w:rsid w:val="00782C9D"/>
    <w:rsid w:val="00782E28"/>
    <w:rsid w:val="00783857"/>
    <w:rsid w:val="007838F7"/>
    <w:rsid w:val="00783942"/>
    <w:rsid w:val="00785845"/>
    <w:rsid w:val="00786F90"/>
    <w:rsid w:val="007872BA"/>
    <w:rsid w:val="00790B8E"/>
    <w:rsid w:val="007923E4"/>
    <w:rsid w:val="00792454"/>
    <w:rsid w:val="0079252A"/>
    <w:rsid w:val="007935F0"/>
    <w:rsid w:val="00793975"/>
    <w:rsid w:val="00793E0F"/>
    <w:rsid w:val="00794F35"/>
    <w:rsid w:val="007952FA"/>
    <w:rsid w:val="00795AFA"/>
    <w:rsid w:val="00795E38"/>
    <w:rsid w:val="00796018"/>
    <w:rsid w:val="007962DA"/>
    <w:rsid w:val="00796645"/>
    <w:rsid w:val="007969A8"/>
    <w:rsid w:val="007973DD"/>
    <w:rsid w:val="00797950"/>
    <w:rsid w:val="00797C50"/>
    <w:rsid w:val="007A05E1"/>
    <w:rsid w:val="007A0BEA"/>
    <w:rsid w:val="007A2D86"/>
    <w:rsid w:val="007A3668"/>
    <w:rsid w:val="007A3A12"/>
    <w:rsid w:val="007A3B59"/>
    <w:rsid w:val="007A451E"/>
    <w:rsid w:val="007A45A5"/>
    <w:rsid w:val="007A45D7"/>
    <w:rsid w:val="007A4903"/>
    <w:rsid w:val="007A4CF0"/>
    <w:rsid w:val="007A4EF3"/>
    <w:rsid w:val="007A525A"/>
    <w:rsid w:val="007A5995"/>
    <w:rsid w:val="007A6601"/>
    <w:rsid w:val="007A6C17"/>
    <w:rsid w:val="007A6FF6"/>
    <w:rsid w:val="007B07E5"/>
    <w:rsid w:val="007B0AE3"/>
    <w:rsid w:val="007B1271"/>
    <w:rsid w:val="007B15E9"/>
    <w:rsid w:val="007B1976"/>
    <w:rsid w:val="007B2326"/>
    <w:rsid w:val="007B2468"/>
    <w:rsid w:val="007B317F"/>
    <w:rsid w:val="007B4C5E"/>
    <w:rsid w:val="007B5D9A"/>
    <w:rsid w:val="007B5F35"/>
    <w:rsid w:val="007B6951"/>
    <w:rsid w:val="007B6F1F"/>
    <w:rsid w:val="007B7330"/>
    <w:rsid w:val="007C10EB"/>
    <w:rsid w:val="007C1837"/>
    <w:rsid w:val="007C1BCF"/>
    <w:rsid w:val="007C1DF3"/>
    <w:rsid w:val="007C1F76"/>
    <w:rsid w:val="007C29D3"/>
    <w:rsid w:val="007C3F8C"/>
    <w:rsid w:val="007C6C03"/>
    <w:rsid w:val="007C720C"/>
    <w:rsid w:val="007C7A30"/>
    <w:rsid w:val="007C7BB7"/>
    <w:rsid w:val="007D0545"/>
    <w:rsid w:val="007D1358"/>
    <w:rsid w:val="007D1435"/>
    <w:rsid w:val="007D16BA"/>
    <w:rsid w:val="007D2930"/>
    <w:rsid w:val="007D2C69"/>
    <w:rsid w:val="007D2F63"/>
    <w:rsid w:val="007D30A3"/>
    <w:rsid w:val="007D3C02"/>
    <w:rsid w:val="007D423D"/>
    <w:rsid w:val="007D4E00"/>
    <w:rsid w:val="007D6340"/>
    <w:rsid w:val="007D64B9"/>
    <w:rsid w:val="007D7168"/>
    <w:rsid w:val="007D7746"/>
    <w:rsid w:val="007E00F0"/>
    <w:rsid w:val="007E01A7"/>
    <w:rsid w:val="007E0BD9"/>
    <w:rsid w:val="007E1DFE"/>
    <w:rsid w:val="007E2766"/>
    <w:rsid w:val="007E2D22"/>
    <w:rsid w:val="007E3EBE"/>
    <w:rsid w:val="007E47D3"/>
    <w:rsid w:val="007E4E50"/>
    <w:rsid w:val="007E4E8F"/>
    <w:rsid w:val="007E5507"/>
    <w:rsid w:val="007E60E3"/>
    <w:rsid w:val="007E64BE"/>
    <w:rsid w:val="007E655F"/>
    <w:rsid w:val="007F02BC"/>
    <w:rsid w:val="007F06C4"/>
    <w:rsid w:val="007F10DA"/>
    <w:rsid w:val="007F1B62"/>
    <w:rsid w:val="007F21BB"/>
    <w:rsid w:val="007F2417"/>
    <w:rsid w:val="007F32D9"/>
    <w:rsid w:val="007F3BFC"/>
    <w:rsid w:val="007F434C"/>
    <w:rsid w:val="007F454A"/>
    <w:rsid w:val="007F5083"/>
    <w:rsid w:val="007F5B09"/>
    <w:rsid w:val="007F5F74"/>
    <w:rsid w:val="007F6465"/>
    <w:rsid w:val="007F6891"/>
    <w:rsid w:val="007F6B0F"/>
    <w:rsid w:val="007F6CFC"/>
    <w:rsid w:val="007F6E0A"/>
    <w:rsid w:val="007F7109"/>
    <w:rsid w:val="007F73C5"/>
    <w:rsid w:val="007F7A38"/>
    <w:rsid w:val="007F7B91"/>
    <w:rsid w:val="007F7B99"/>
    <w:rsid w:val="008008A7"/>
    <w:rsid w:val="00800985"/>
    <w:rsid w:val="00800C92"/>
    <w:rsid w:val="008020B2"/>
    <w:rsid w:val="008030EF"/>
    <w:rsid w:val="008034A9"/>
    <w:rsid w:val="00803C93"/>
    <w:rsid w:val="008040AF"/>
    <w:rsid w:val="008041F9"/>
    <w:rsid w:val="008042A0"/>
    <w:rsid w:val="00805A5C"/>
    <w:rsid w:val="00807E47"/>
    <w:rsid w:val="008103B3"/>
    <w:rsid w:val="008107A7"/>
    <w:rsid w:val="00810F1E"/>
    <w:rsid w:val="008116D7"/>
    <w:rsid w:val="00812714"/>
    <w:rsid w:val="0081295D"/>
    <w:rsid w:val="008137E6"/>
    <w:rsid w:val="0081385E"/>
    <w:rsid w:val="00813D4A"/>
    <w:rsid w:val="00814276"/>
    <w:rsid w:val="008142DB"/>
    <w:rsid w:val="00814A19"/>
    <w:rsid w:val="0081530E"/>
    <w:rsid w:val="008155D0"/>
    <w:rsid w:val="008159BB"/>
    <w:rsid w:val="00816179"/>
    <w:rsid w:val="00816C01"/>
    <w:rsid w:val="00816D6F"/>
    <w:rsid w:val="00816DD8"/>
    <w:rsid w:val="008170A0"/>
    <w:rsid w:val="00817679"/>
    <w:rsid w:val="00817EA5"/>
    <w:rsid w:val="0082000E"/>
    <w:rsid w:val="00821062"/>
    <w:rsid w:val="008216EA"/>
    <w:rsid w:val="00821B24"/>
    <w:rsid w:val="00822309"/>
    <w:rsid w:val="008225FE"/>
    <w:rsid w:val="00822BB7"/>
    <w:rsid w:val="008239EA"/>
    <w:rsid w:val="00823B9D"/>
    <w:rsid w:val="00823BB0"/>
    <w:rsid w:val="00824041"/>
    <w:rsid w:val="0082432D"/>
    <w:rsid w:val="0082484A"/>
    <w:rsid w:val="00824A56"/>
    <w:rsid w:val="00825224"/>
    <w:rsid w:val="00825945"/>
    <w:rsid w:val="008261EF"/>
    <w:rsid w:val="00826479"/>
    <w:rsid w:val="008273FB"/>
    <w:rsid w:val="00827B93"/>
    <w:rsid w:val="00830220"/>
    <w:rsid w:val="0083098F"/>
    <w:rsid w:val="00831830"/>
    <w:rsid w:val="00831D9B"/>
    <w:rsid w:val="008327FB"/>
    <w:rsid w:val="00832B24"/>
    <w:rsid w:val="00833A94"/>
    <w:rsid w:val="00834E50"/>
    <w:rsid w:val="00835811"/>
    <w:rsid w:val="0083596B"/>
    <w:rsid w:val="0083735F"/>
    <w:rsid w:val="00837735"/>
    <w:rsid w:val="00837F4E"/>
    <w:rsid w:val="00840903"/>
    <w:rsid w:val="008414D1"/>
    <w:rsid w:val="008416F3"/>
    <w:rsid w:val="00841E17"/>
    <w:rsid w:val="0084200E"/>
    <w:rsid w:val="0084204D"/>
    <w:rsid w:val="00842241"/>
    <w:rsid w:val="00842271"/>
    <w:rsid w:val="00842C95"/>
    <w:rsid w:val="00843564"/>
    <w:rsid w:val="008436A0"/>
    <w:rsid w:val="00843EE9"/>
    <w:rsid w:val="008444DF"/>
    <w:rsid w:val="00844CB5"/>
    <w:rsid w:val="008458A2"/>
    <w:rsid w:val="00845B9C"/>
    <w:rsid w:val="00845F78"/>
    <w:rsid w:val="008460F1"/>
    <w:rsid w:val="00846D98"/>
    <w:rsid w:val="0084717F"/>
    <w:rsid w:val="00847BCC"/>
    <w:rsid w:val="00847C93"/>
    <w:rsid w:val="00851C10"/>
    <w:rsid w:val="00851C1E"/>
    <w:rsid w:val="00852A8D"/>
    <w:rsid w:val="00854473"/>
    <w:rsid w:val="008547A5"/>
    <w:rsid w:val="00855BD7"/>
    <w:rsid w:val="00856D1F"/>
    <w:rsid w:val="00856DF0"/>
    <w:rsid w:val="00857ED5"/>
    <w:rsid w:val="0086015E"/>
    <w:rsid w:val="00860E3A"/>
    <w:rsid w:val="0086254B"/>
    <w:rsid w:val="00862A8C"/>
    <w:rsid w:val="00864252"/>
    <w:rsid w:val="00864263"/>
    <w:rsid w:val="008647BE"/>
    <w:rsid w:val="00864A11"/>
    <w:rsid w:val="00864BCF"/>
    <w:rsid w:val="00864C37"/>
    <w:rsid w:val="00865192"/>
    <w:rsid w:val="008667E3"/>
    <w:rsid w:val="008706CD"/>
    <w:rsid w:val="00870E70"/>
    <w:rsid w:val="008710F2"/>
    <w:rsid w:val="0087163B"/>
    <w:rsid w:val="00872672"/>
    <w:rsid w:val="008731B8"/>
    <w:rsid w:val="00873785"/>
    <w:rsid w:val="00873AFE"/>
    <w:rsid w:val="00873EC0"/>
    <w:rsid w:val="00873EC6"/>
    <w:rsid w:val="00874C43"/>
    <w:rsid w:val="00875A01"/>
    <w:rsid w:val="00875B1B"/>
    <w:rsid w:val="00876000"/>
    <w:rsid w:val="008764D7"/>
    <w:rsid w:val="00877C78"/>
    <w:rsid w:val="00877F1E"/>
    <w:rsid w:val="008805D8"/>
    <w:rsid w:val="00880664"/>
    <w:rsid w:val="00880B3B"/>
    <w:rsid w:val="008818A4"/>
    <w:rsid w:val="00881C60"/>
    <w:rsid w:val="00881CE3"/>
    <w:rsid w:val="00881D5B"/>
    <w:rsid w:val="00882B29"/>
    <w:rsid w:val="008831B0"/>
    <w:rsid w:val="008833E1"/>
    <w:rsid w:val="00883668"/>
    <w:rsid w:val="00883706"/>
    <w:rsid w:val="00883A89"/>
    <w:rsid w:val="00884FA9"/>
    <w:rsid w:val="008851EF"/>
    <w:rsid w:val="008853A1"/>
    <w:rsid w:val="00885DA3"/>
    <w:rsid w:val="00886B7C"/>
    <w:rsid w:val="008878B1"/>
    <w:rsid w:val="00891F7C"/>
    <w:rsid w:val="008927A9"/>
    <w:rsid w:val="008928E9"/>
    <w:rsid w:val="00892E52"/>
    <w:rsid w:val="008931D6"/>
    <w:rsid w:val="00893EE7"/>
    <w:rsid w:val="00894FD6"/>
    <w:rsid w:val="00895CE1"/>
    <w:rsid w:val="00895E4D"/>
    <w:rsid w:val="00896BA5"/>
    <w:rsid w:val="00897F18"/>
    <w:rsid w:val="008A106B"/>
    <w:rsid w:val="008A136D"/>
    <w:rsid w:val="008A161D"/>
    <w:rsid w:val="008A1779"/>
    <w:rsid w:val="008A1A94"/>
    <w:rsid w:val="008A1A9B"/>
    <w:rsid w:val="008A1DC1"/>
    <w:rsid w:val="008A2C93"/>
    <w:rsid w:val="008A3368"/>
    <w:rsid w:val="008A4054"/>
    <w:rsid w:val="008A41B0"/>
    <w:rsid w:val="008A4296"/>
    <w:rsid w:val="008A4BE7"/>
    <w:rsid w:val="008A4C2D"/>
    <w:rsid w:val="008A52D2"/>
    <w:rsid w:val="008A5AEE"/>
    <w:rsid w:val="008B031E"/>
    <w:rsid w:val="008B074C"/>
    <w:rsid w:val="008B1291"/>
    <w:rsid w:val="008B1660"/>
    <w:rsid w:val="008B344C"/>
    <w:rsid w:val="008B46FC"/>
    <w:rsid w:val="008C02AE"/>
    <w:rsid w:val="008C0644"/>
    <w:rsid w:val="008C0D90"/>
    <w:rsid w:val="008C1251"/>
    <w:rsid w:val="008C135B"/>
    <w:rsid w:val="008C14B5"/>
    <w:rsid w:val="008C2770"/>
    <w:rsid w:val="008C4469"/>
    <w:rsid w:val="008C4BA3"/>
    <w:rsid w:val="008C56A7"/>
    <w:rsid w:val="008C594F"/>
    <w:rsid w:val="008C67AA"/>
    <w:rsid w:val="008C6A7C"/>
    <w:rsid w:val="008C7366"/>
    <w:rsid w:val="008C744D"/>
    <w:rsid w:val="008C782A"/>
    <w:rsid w:val="008C78F5"/>
    <w:rsid w:val="008C7C28"/>
    <w:rsid w:val="008D198F"/>
    <w:rsid w:val="008D276B"/>
    <w:rsid w:val="008D2E08"/>
    <w:rsid w:val="008D31C7"/>
    <w:rsid w:val="008D7C74"/>
    <w:rsid w:val="008E0C86"/>
    <w:rsid w:val="008E0E26"/>
    <w:rsid w:val="008E1506"/>
    <w:rsid w:val="008E1532"/>
    <w:rsid w:val="008E17BE"/>
    <w:rsid w:val="008E1922"/>
    <w:rsid w:val="008E1D13"/>
    <w:rsid w:val="008E2807"/>
    <w:rsid w:val="008E3084"/>
    <w:rsid w:val="008E308C"/>
    <w:rsid w:val="008E30F7"/>
    <w:rsid w:val="008E3417"/>
    <w:rsid w:val="008E42E1"/>
    <w:rsid w:val="008E43DE"/>
    <w:rsid w:val="008E4495"/>
    <w:rsid w:val="008E4DF8"/>
    <w:rsid w:val="008E4E2C"/>
    <w:rsid w:val="008E515E"/>
    <w:rsid w:val="008E52CA"/>
    <w:rsid w:val="008E53A2"/>
    <w:rsid w:val="008E5E4A"/>
    <w:rsid w:val="008E5F78"/>
    <w:rsid w:val="008E676A"/>
    <w:rsid w:val="008E7350"/>
    <w:rsid w:val="008E7B23"/>
    <w:rsid w:val="008F096E"/>
    <w:rsid w:val="008F0DCD"/>
    <w:rsid w:val="008F148E"/>
    <w:rsid w:val="008F1B5C"/>
    <w:rsid w:val="008F2438"/>
    <w:rsid w:val="008F2440"/>
    <w:rsid w:val="008F3C6A"/>
    <w:rsid w:val="008F3F95"/>
    <w:rsid w:val="008F455D"/>
    <w:rsid w:val="008F54B4"/>
    <w:rsid w:val="008F5775"/>
    <w:rsid w:val="008F73BD"/>
    <w:rsid w:val="008F7F25"/>
    <w:rsid w:val="0090027C"/>
    <w:rsid w:val="00900B2A"/>
    <w:rsid w:val="009019AB"/>
    <w:rsid w:val="00901F6D"/>
    <w:rsid w:val="009029C3"/>
    <w:rsid w:val="00902C5D"/>
    <w:rsid w:val="009034FD"/>
    <w:rsid w:val="0090351F"/>
    <w:rsid w:val="00903684"/>
    <w:rsid w:val="009036CF"/>
    <w:rsid w:val="00904341"/>
    <w:rsid w:val="009043B1"/>
    <w:rsid w:val="0090458D"/>
    <w:rsid w:val="00904A49"/>
    <w:rsid w:val="00912FF5"/>
    <w:rsid w:val="009139DB"/>
    <w:rsid w:val="0091417A"/>
    <w:rsid w:val="0091467F"/>
    <w:rsid w:val="00914D6D"/>
    <w:rsid w:val="0091521A"/>
    <w:rsid w:val="00915256"/>
    <w:rsid w:val="009152F3"/>
    <w:rsid w:val="00915413"/>
    <w:rsid w:val="009155A1"/>
    <w:rsid w:val="00915AD6"/>
    <w:rsid w:val="0091681F"/>
    <w:rsid w:val="00917031"/>
    <w:rsid w:val="00917495"/>
    <w:rsid w:val="009178F4"/>
    <w:rsid w:val="00920CAE"/>
    <w:rsid w:val="00921094"/>
    <w:rsid w:val="00921466"/>
    <w:rsid w:val="009229A5"/>
    <w:rsid w:val="00922C51"/>
    <w:rsid w:val="009232DD"/>
    <w:rsid w:val="00923B09"/>
    <w:rsid w:val="00923D18"/>
    <w:rsid w:val="00924028"/>
    <w:rsid w:val="0092480D"/>
    <w:rsid w:val="00924A4B"/>
    <w:rsid w:val="00925E5D"/>
    <w:rsid w:val="00926CF8"/>
    <w:rsid w:val="00927229"/>
    <w:rsid w:val="009319B0"/>
    <w:rsid w:val="00932180"/>
    <w:rsid w:val="0093348C"/>
    <w:rsid w:val="00933A62"/>
    <w:rsid w:val="00933B84"/>
    <w:rsid w:val="00933D43"/>
    <w:rsid w:val="00934389"/>
    <w:rsid w:val="00934D9A"/>
    <w:rsid w:val="009355BD"/>
    <w:rsid w:val="009363AC"/>
    <w:rsid w:val="009366C8"/>
    <w:rsid w:val="00936938"/>
    <w:rsid w:val="00936F45"/>
    <w:rsid w:val="0093719D"/>
    <w:rsid w:val="009377A9"/>
    <w:rsid w:val="00937F7A"/>
    <w:rsid w:val="00940FE7"/>
    <w:rsid w:val="009429BE"/>
    <w:rsid w:val="00943A87"/>
    <w:rsid w:val="009449B1"/>
    <w:rsid w:val="00945207"/>
    <w:rsid w:val="00945D93"/>
    <w:rsid w:val="00947F30"/>
    <w:rsid w:val="009510B8"/>
    <w:rsid w:val="00951E70"/>
    <w:rsid w:val="00952018"/>
    <w:rsid w:val="009528B5"/>
    <w:rsid w:val="009535D7"/>
    <w:rsid w:val="00953793"/>
    <w:rsid w:val="00953D36"/>
    <w:rsid w:val="009554E3"/>
    <w:rsid w:val="009558C7"/>
    <w:rsid w:val="00955996"/>
    <w:rsid w:val="00955C3B"/>
    <w:rsid w:val="009560E6"/>
    <w:rsid w:val="00956984"/>
    <w:rsid w:val="00957204"/>
    <w:rsid w:val="009579C7"/>
    <w:rsid w:val="0096069C"/>
    <w:rsid w:val="009608F3"/>
    <w:rsid w:val="00960FA7"/>
    <w:rsid w:val="00961454"/>
    <w:rsid w:val="00961ABA"/>
    <w:rsid w:val="009623E1"/>
    <w:rsid w:val="0096273C"/>
    <w:rsid w:val="0096389C"/>
    <w:rsid w:val="00963BF5"/>
    <w:rsid w:val="00964408"/>
    <w:rsid w:val="0096488C"/>
    <w:rsid w:val="00965556"/>
    <w:rsid w:val="00965C70"/>
    <w:rsid w:val="00967EEA"/>
    <w:rsid w:val="00970529"/>
    <w:rsid w:val="00971A1B"/>
    <w:rsid w:val="009727E5"/>
    <w:rsid w:val="00973562"/>
    <w:rsid w:val="009735CB"/>
    <w:rsid w:val="00973A0B"/>
    <w:rsid w:val="00973BFB"/>
    <w:rsid w:val="00974221"/>
    <w:rsid w:val="00974FF0"/>
    <w:rsid w:val="00975C1B"/>
    <w:rsid w:val="0097765E"/>
    <w:rsid w:val="00977881"/>
    <w:rsid w:val="00977D3F"/>
    <w:rsid w:val="00977FBA"/>
    <w:rsid w:val="0098071F"/>
    <w:rsid w:val="00980B17"/>
    <w:rsid w:val="00982320"/>
    <w:rsid w:val="009826DD"/>
    <w:rsid w:val="0098276F"/>
    <w:rsid w:val="00982B51"/>
    <w:rsid w:val="00982B91"/>
    <w:rsid w:val="00982C19"/>
    <w:rsid w:val="00982C5C"/>
    <w:rsid w:val="00983159"/>
    <w:rsid w:val="0098342B"/>
    <w:rsid w:val="009835AC"/>
    <w:rsid w:val="00984428"/>
    <w:rsid w:val="0098463E"/>
    <w:rsid w:val="009847B4"/>
    <w:rsid w:val="009848C8"/>
    <w:rsid w:val="00985272"/>
    <w:rsid w:val="00985377"/>
    <w:rsid w:val="00985AB3"/>
    <w:rsid w:val="00985C8E"/>
    <w:rsid w:val="0098670E"/>
    <w:rsid w:val="00992352"/>
    <w:rsid w:val="00992EAD"/>
    <w:rsid w:val="0099367B"/>
    <w:rsid w:val="0099391D"/>
    <w:rsid w:val="00993D7D"/>
    <w:rsid w:val="00994887"/>
    <w:rsid w:val="00994AF4"/>
    <w:rsid w:val="0099586D"/>
    <w:rsid w:val="0099619C"/>
    <w:rsid w:val="009968A6"/>
    <w:rsid w:val="00996CE0"/>
    <w:rsid w:val="00996DC2"/>
    <w:rsid w:val="009972D3"/>
    <w:rsid w:val="009A0346"/>
    <w:rsid w:val="009A0B8B"/>
    <w:rsid w:val="009A129B"/>
    <w:rsid w:val="009A1F9F"/>
    <w:rsid w:val="009A2033"/>
    <w:rsid w:val="009A2238"/>
    <w:rsid w:val="009A2985"/>
    <w:rsid w:val="009A2D87"/>
    <w:rsid w:val="009A321D"/>
    <w:rsid w:val="009A3360"/>
    <w:rsid w:val="009A45E2"/>
    <w:rsid w:val="009A5CA9"/>
    <w:rsid w:val="009A6AC0"/>
    <w:rsid w:val="009A6B87"/>
    <w:rsid w:val="009B014F"/>
    <w:rsid w:val="009B070F"/>
    <w:rsid w:val="009B084C"/>
    <w:rsid w:val="009B08C7"/>
    <w:rsid w:val="009B1E1C"/>
    <w:rsid w:val="009B2591"/>
    <w:rsid w:val="009B26DA"/>
    <w:rsid w:val="009B2872"/>
    <w:rsid w:val="009B303B"/>
    <w:rsid w:val="009B3AA8"/>
    <w:rsid w:val="009B3BD9"/>
    <w:rsid w:val="009B3CDE"/>
    <w:rsid w:val="009B40EE"/>
    <w:rsid w:val="009B429F"/>
    <w:rsid w:val="009B48DD"/>
    <w:rsid w:val="009B4B2F"/>
    <w:rsid w:val="009B507A"/>
    <w:rsid w:val="009B5ABD"/>
    <w:rsid w:val="009B617D"/>
    <w:rsid w:val="009B6228"/>
    <w:rsid w:val="009B6554"/>
    <w:rsid w:val="009B65BF"/>
    <w:rsid w:val="009B6D80"/>
    <w:rsid w:val="009C0F22"/>
    <w:rsid w:val="009C1AC8"/>
    <w:rsid w:val="009C2F84"/>
    <w:rsid w:val="009C3125"/>
    <w:rsid w:val="009C3C9E"/>
    <w:rsid w:val="009C4127"/>
    <w:rsid w:val="009C453F"/>
    <w:rsid w:val="009C545B"/>
    <w:rsid w:val="009C5624"/>
    <w:rsid w:val="009C60EE"/>
    <w:rsid w:val="009C686E"/>
    <w:rsid w:val="009C7870"/>
    <w:rsid w:val="009D0C2E"/>
    <w:rsid w:val="009D0F38"/>
    <w:rsid w:val="009D1B13"/>
    <w:rsid w:val="009D1B66"/>
    <w:rsid w:val="009D2CAA"/>
    <w:rsid w:val="009D31E8"/>
    <w:rsid w:val="009D441F"/>
    <w:rsid w:val="009D4462"/>
    <w:rsid w:val="009D4F73"/>
    <w:rsid w:val="009D4FB3"/>
    <w:rsid w:val="009D511D"/>
    <w:rsid w:val="009D53DC"/>
    <w:rsid w:val="009D5625"/>
    <w:rsid w:val="009D59FC"/>
    <w:rsid w:val="009D68DC"/>
    <w:rsid w:val="009D6A95"/>
    <w:rsid w:val="009D6DF8"/>
    <w:rsid w:val="009D7103"/>
    <w:rsid w:val="009D72BD"/>
    <w:rsid w:val="009D73F0"/>
    <w:rsid w:val="009D755D"/>
    <w:rsid w:val="009E02C8"/>
    <w:rsid w:val="009E0B4B"/>
    <w:rsid w:val="009E21D6"/>
    <w:rsid w:val="009E2731"/>
    <w:rsid w:val="009E27DE"/>
    <w:rsid w:val="009E27E6"/>
    <w:rsid w:val="009E5604"/>
    <w:rsid w:val="009E6440"/>
    <w:rsid w:val="009E66A0"/>
    <w:rsid w:val="009E7679"/>
    <w:rsid w:val="009E7C1B"/>
    <w:rsid w:val="009F15F6"/>
    <w:rsid w:val="009F1676"/>
    <w:rsid w:val="009F1DBC"/>
    <w:rsid w:val="009F2073"/>
    <w:rsid w:val="009F454D"/>
    <w:rsid w:val="009F5068"/>
    <w:rsid w:val="009F5159"/>
    <w:rsid w:val="009F6761"/>
    <w:rsid w:val="009F69D9"/>
    <w:rsid w:val="009F6A68"/>
    <w:rsid w:val="009F6B79"/>
    <w:rsid w:val="009F757C"/>
    <w:rsid w:val="009F7785"/>
    <w:rsid w:val="009F79B1"/>
    <w:rsid w:val="009F7E3F"/>
    <w:rsid w:val="00A00066"/>
    <w:rsid w:val="00A00965"/>
    <w:rsid w:val="00A009AE"/>
    <w:rsid w:val="00A02A4D"/>
    <w:rsid w:val="00A0426A"/>
    <w:rsid w:val="00A04924"/>
    <w:rsid w:val="00A0659A"/>
    <w:rsid w:val="00A075B3"/>
    <w:rsid w:val="00A12F7C"/>
    <w:rsid w:val="00A135BD"/>
    <w:rsid w:val="00A139EA"/>
    <w:rsid w:val="00A14177"/>
    <w:rsid w:val="00A1449E"/>
    <w:rsid w:val="00A15445"/>
    <w:rsid w:val="00A16377"/>
    <w:rsid w:val="00A1694A"/>
    <w:rsid w:val="00A16AF6"/>
    <w:rsid w:val="00A20506"/>
    <w:rsid w:val="00A21DA5"/>
    <w:rsid w:val="00A22005"/>
    <w:rsid w:val="00A22015"/>
    <w:rsid w:val="00A2386C"/>
    <w:rsid w:val="00A24296"/>
    <w:rsid w:val="00A24449"/>
    <w:rsid w:val="00A26059"/>
    <w:rsid w:val="00A26246"/>
    <w:rsid w:val="00A26410"/>
    <w:rsid w:val="00A270B5"/>
    <w:rsid w:val="00A27208"/>
    <w:rsid w:val="00A2783F"/>
    <w:rsid w:val="00A27C4A"/>
    <w:rsid w:val="00A30035"/>
    <w:rsid w:val="00A30341"/>
    <w:rsid w:val="00A30A2D"/>
    <w:rsid w:val="00A3132A"/>
    <w:rsid w:val="00A31ADA"/>
    <w:rsid w:val="00A31FB3"/>
    <w:rsid w:val="00A323E5"/>
    <w:rsid w:val="00A326E6"/>
    <w:rsid w:val="00A3279D"/>
    <w:rsid w:val="00A32DBF"/>
    <w:rsid w:val="00A32F48"/>
    <w:rsid w:val="00A33254"/>
    <w:rsid w:val="00A332AA"/>
    <w:rsid w:val="00A34844"/>
    <w:rsid w:val="00A3496C"/>
    <w:rsid w:val="00A352B0"/>
    <w:rsid w:val="00A36422"/>
    <w:rsid w:val="00A36424"/>
    <w:rsid w:val="00A36F7E"/>
    <w:rsid w:val="00A378EB"/>
    <w:rsid w:val="00A40D0F"/>
    <w:rsid w:val="00A41469"/>
    <w:rsid w:val="00A42674"/>
    <w:rsid w:val="00A4277D"/>
    <w:rsid w:val="00A42DF7"/>
    <w:rsid w:val="00A42EAC"/>
    <w:rsid w:val="00A4316E"/>
    <w:rsid w:val="00A4327F"/>
    <w:rsid w:val="00A432CF"/>
    <w:rsid w:val="00A433CF"/>
    <w:rsid w:val="00A442C6"/>
    <w:rsid w:val="00A443B8"/>
    <w:rsid w:val="00A4470B"/>
    <w:rsid w:val="00A44B01"/>
    <w:rsid w:val="00A44BA9"/>
    <w:rsid w:val="00A45811"/>
    <w:rsid w:val="00A45EB7"/>
    <w:rsid w:val="00A4691A"/>
    <w:rsid w:val="00A47105"/>
    <w:rsid w:val="00A47995"/>
    <w:rsid w:val="00A479A6"/>
    <w:rsid w:val="00A47CC5"/>
    <w:rsid w:val="00A509D8"/>
    <w:rsid w:val="00A50DE9"/>
    <w:rsid w:val="00A50E05"/>
    <w:rsid w:val="00A51CD9"/>
    <w:rsid w:val="00A51E2D"/>
    <w:rsid w:val="00A51E82"/>
    <w:rsid w:val="00A52407"/>
    <w:rsid w:val="00A528B8"/>
    <w:rsid w:val="00A52A74"/>
    <w:rsid w:val="00A533A7"/>
    <w:rsid w:val="00A536DB"/>
    <w:rsid w:val="00A539E1"/>
    <w:rsid w:val="00A53F84"/>
    <w:rsid w:val="00A55BEA"/>
    <w:rsid w:val="00A55F83"/>
    <w:rsid w:val="00A56021"/>
    <w:rsid w:val="00A605C0"/>
    <w:rsid w:val="00A6184E"/>
    <w:rsid w:val="00A61AFB"/>
    <w:rsid w:val="00A62C3A"/>
    <w:rsid w:val="00A6321A"/>
    <w:rsid w:val="00A63F85"/>
    <w:rsid w:val="00A649A2"/>
    <w:rsid w:val="00A6549A"/>
    <w:rsid w:val="00A655E7"/>
    <w:rsid w:val="00A657C6"/>
    <w:rsid w:val="00A65843"/>
    <w:rsid w:val="00A65AC3"/>
    <w:rsid w:val="00A67A7F"/>
    <w:rsid w:val="00A704FC"/>
    <w:rsid w:val="00A70CD6"/>
    <w:rsid w:val="00A71804"/>
    <w:rsid w:val="00A72C7F"/>
    <w:rsid w:val="00A72F26"/>
    <w:rsid w:val="00A734AC"/>
    <w:rsid w:val="00A73F14"/>
    <w:rsid w:val="00A73FCE"/>
    <w:rsid w:val="00A74A74"/>
    <w:rsid w:val="00A752DB"/>
    <w:rsid w:val="00A76FB3"/>
    <w:rsid w:val="00A77E53"/>
    <w:rsid w:val="00A80918"/>
    <w:rsid w:val="00A80995"/>
    <w:rsid w:val="00A81DCB"/>
    <w:rsid w:val="00A82203"/>
    <w:rsid w:val="00A83099"/>
    <w:rsid w:val="00A84084"/>
    <w:rsid w:val="00A8419D"/>
    <w:rsid w:val="00A847A9"/>
    <w:rsid w:val="00A84CEC"/>
    <w:rsid w:val="00A84EE1"/>
    <w:rsid w:val="00A850E9"/>
    <w:rsid w:val="00A857CA"/>
    <w:rsid w:val="00A85C62"/>
    <w:rsid w:val="00A85CE0"/>
    <w:rsid w:val="00A8611A"/>
    <w:rsid w:val="00A86DAF"/>
    <w:rsid w:val="00A870C8"/>
    <w:rsid w:val="00A904C2"/>
    <w:rsid w:val="00A90C46"/>
    <w:rsid w:val="00A9185C"/>
    <w:rsid w:val="00A92687"/>
    <w:rsid w:val="00A9550C"/>
    <w:rsid w:val="00A9623C"/>
    <w:rsid w:val="00AA00A4"/>
    <w:rsid w:val="00AA0383"/>
    <w:rsid w:val="00AA089A"/>
    <w:rsid w:val="00AA20FC"/>
    <w:rsid w:val="00AA2574"/>
    <w:rsid w:val="00AA2745"/>
    <w:rsid w:val="00AA2C46"/>
    <w:rsid w:val="00AA2E99"/>
    <w:rsid w:val="00AA4542"/>
    <w:rsid w:val="00AA4D50"/>
    <w:rsid w:val="00AA5996"/>
    <w:rsid w:val="00AA59F3"/>
    <w:rsid w:val="00AA7D73"/>
    <w:rsid w:val="00AB058B"/>
    <w:rsid w:val="00AB0BD8"/>
    <w:rsid w:val="00AB1584"/>
    <w:rsid w:val="00AB2D66"/>
    <w:rsid w:val="00AB32D2"/>
    <w:rsid w:val="00AB3E96"/>
    <w:rsid w:val="00AB4324"/>
    <w:rsid w:val="00AB4EC1"/>
    <w:rsid w:val="00AB553D"/>
    <w:rsid w:val="00AB7282"/>
    <w:rsid w:val="00AC0521"/>
    <w:rsid w:val="00AC19C7"/>
    <w:rsid w:val="00AC2019"/>
    <w:rsid w:val="00AC2444"/>
    <w:rsid w:val="00AC2759"/>
    <w:rsid w:val="00AC32DF"/>
    <w:rsid w:val="00AC4416"/>
    <w:rsid w:val="00AC5CB4"/>
    <w:rsid w:val="00AC5DBE"/>
    <w:rsid w:val="00AC6400"/>
    <w:rsid w:val="00AC65B5"/>
    <w:rsid w:val="00AD0043"/>
    <w:rsid w:val="00AD0258"/>
    <w:rsid w:val="00AD0334"/>
    <w:rsid w:val="00AD0EE0"/>
    <w:rsid w:val="00AD184D"/>
    <w:rsid w:val="00AD1EC8"/>
    <w:rsid w:val="00AD36A7"/>
    <w:rsid w:val="00AD394F"/>
    <w:rsid w:val="00AD3C07"/>
    <w:rsid w:val="00AD3E85"/>
    <w:rsid w:val="00AD47ED"/>
    <w:rsid w:val="00AD4B88"/>
    <w:rsid w:val="00AD4C42"/>
    <w:rsid w:val="00AD4C82"/>
    <w:rsid w:val="00AD504A"/>
    <w:rsid w:val="00AD5580"/>
    <w:rsid w:val="00AD5865"/>
    <w:rsid w:val="00AD60D6"/>
    <w:rsid w:val="00AD6E42"/>
    <w:rsid w:val="00AD6E57"/>
    <w:rsid w:val="00AD7BA5"/>
    <w:rsid w:val="00AD7FD6"/>
    <w:rsid w:val="00AE021B"/>
    <w:rsid w:val="00AE071F"/>
    <w:rsid w:val="00AE0E9C"/>
    <w:rsid w:val="00AE16F3"/>
    <w:rsid w:val="00AE1C86"/>
    <w:rsid w:val="00AE3D1B"/>
    <w:rsid w:val="00AE49FA"/>
    <w:rsid w:val="00AE4DEA"/>
    <w:rsid w:val="00AE4E53"/>
    <w:rsid w:val="00AE5389"/>
    <w:rsid w:val="00AE53F9"/>
    <w:rsid w:val="00AE65CE"/>
    <w:rsid w:val="00AE69BD"/>
    <w:rsid w:val="00AE6CB6"/>
    <w:rsid w:val="00AE770F"/>
    <w:rsid w:val="00AE77C2"/>
    <w:rsid w:val="00AE7E21"/>
    <w:rsid w:val="00AF0271"/>
    <w:rsid w:val="00AF047E"/>
    <w:rsid w:val="00AF09D7"/>
    <w:rsid w:val="00AF1A63"/>
    <w:rsid w:val="00AF43D3"/>
    <w:rsid w:val="00AF47FD"/>
    <w:rsid w:val="00AF4AFE"/>
    <w:rsid w:val="00AF4C45"/>
    <w:rsid w:val="00AF4F19"/>
    <w:rsid w:val="00AF5851"/>
    <w:rsid w:val="00AF5C59"/>
    <w:rsid w:val="00AF68EF"/>
    <w:rsid w:val="00AF6AA8"/>
    <w:rsid w:val="00AF6B6E"/>
    <w:rsid w:val="00AF7B2B"/>
    <w:rsid w:val="00AF7E1D"/>
    <w:rsid w:val="00B003AD"/>
    <w:rsid w:val="00B004C0"/>
    <w:rsid w:val="00B004DF"/>
    <w:rsid w:val="00B005B2"/>
    <w:rsid w:val="00B00A90"/>
    <w:rsid w:val="00B01391"/>
    <w:rsid w:val="00B01EEB"/>
    <w:rsid w:val="00B02120"/>
    <w:rsid w:val="00B02CBD"/>
    <w:rsid w:val="00B03CDA"/>
    <w:rsid w:val="00B03DEC"/>
    <w:rsid w:val="00B03E52"/>
    <w:rsid w:val="00B04560"/>
    <w:rsid w:val="00B045D6"/>
    <w:rsid w:val="00B04E4D"/>
    <w:rsid w:val="00B054E0"/>
    <w:rsid w:val="00B055A1"/>
    <w:rsid w:val="00B05A14"/>
    <w:rsid w:val="00B05AA6"/>
    <w:rsid w:val="00B05B0D"/>
    <w:rsid w:val="00B06207"/>
    <w:rsid w:val="00B06AB3"/>
    <w:rsid w:val="00B06AE6"/>
    <w:rsid w:val="00B07B26"/>
    <w:rsid w:val="00B1027C"/>
    <w:rsid w:val="00B1098C"/>
    <w:rsid w:val="00B12D25"/>
    <w:rsid w:val="00B13273"/>
    <w:rsid w:val="00B137D1"/>
    <w:rsid w:val="00B13892"/>
    <w:rsid w:val="00B142D3"/>
    <w:rsid w:val="00B149EC"/>
    <w:rsid w:val="00B1597B"/>
    <w:rsid w:val="00B15E72"/>
    <w:rsid w:val="00B15FEA"/>
    <w:rsid w:val="00B177F9"/>
    <w:rsid w:val="00B202B6"/>
    <w:rsid w:val="00B20DA8"/>
    <w:rsid w:val="00B20EA3"/>
    <w:rsid w:val="00B20F26"/>
    <w:rsid w:val="00B21172"/>
    <w:rsid w:val="00B21D59"/>
    <w:rsid w:val="00B229AF"/>
    <w:rsid w:val="00B242F6"/>
    <w:rsid w:val="00B2467A"/>
    <w:rsid w:val="00B25315"/>
    <w:rsid w:val="00B25E1D"/>
    <w:rsid w:val="00B26119"/>
    <w:rsid w:val="00B26A01"/>
    <w:rsid w:val="00B26C41"/>
    <w:rsid w:val="00B274E9"/>
    <w:rsid w:val="00B30846"/>
    <w:rsid w:val="00B308EF"/>
    <w:rsid w:val="00B3141C"/>
    <w:rsid w:val="00B32507"/>
    <w:rsid w:val="00B325E0"/>
    <w:rsid w:val="00B327F7"/>
    <w:rsid w:val="00B32DFD"/>
    <w:rsid w:val="00B33792"/>
    <w:rsid w:val="00B34046"/>
    <w:rsid w:val="00B3455D"/>
    <w:rsid w:val="00B34A5C"/>
    <w:rsid w:val="00B34D24"/>
    <w:rsid w:val="00B352E3"/>
    <w:rsid w:val="00B3599A"/>
    <w:rsid w:val="00B35E2E"/>
    <w:rsid w:val="00B366CB"/>
    <w:rsid w:val="00B37220"/>
    <w:rsid w:val="00B37B5C"/>
    <w:rsid w:val="00B42C8D"/>
    <w:rsid w:val="00B4348F"/>
    <w:rsid w:val="00B43CA8"/>
    <w:rsid w:val="00B43FC8"/>
    <w:rsid w:val="00B45F00"/>
    <w:rsid w:val="00B45F69"/>
    <w:rsid w:val="00B466BF"/>
    <w:rsid w:val="00B46D47"/>
    <w:rsid w:val="00B47148"/>
    <w:rsid w:val="00B479D6"/>
    <w:rsid w:val="00B47F22"/>
    <w:rsid w:val="00B508BF"/>
    <w:rsid w:val="00B51B22"/>
    <w:rsid w:val="00B531AB"/>
    <w:rsid w:val="00B532AA"/>
    <w:rsid w:val="00B53D7B"/>
    <w:rsid w:val="00B5477A"/>
    <w:rsid w:val="00B5478E"/>
    <w:rsid w:val="00B5494B"/>
    <w:rsid w:val="00B5499A"/>
    <w:rsid w:val="00B54E7A"/>
    <w:rsid w:val="00B557BB"/>
    <w:rsid w:val="00B5635D"/>
    <w:rsid w:val="00B5650A"/>
    <w:rsid w:val="00B61053"/>
    <w:rsid w:val="00B6135A"/>
    <w:rsid w:val="00B62062"/>
    <w:rsid w:val="00B621C3"/>
    <w:rsid w:val="00B63131"/>
    <w:rsid w:val="00B631CB"/>
    <w:rsid w:val="00B633E3"/>
    <w:rsid w:val="00B63DAA"/>
    <w:rsid w:val="00B63E2F"/>
    <w:rsid w:val="00B6419B"/>
    <w:rsid w:val="00B648ED"/>
    <w:rsid w:val="00B64925"/>
    <w:rsid w:val="00B652AD"/>
    <w:rsid w:val="00B658A9"/>
    <w:rsid w:val="00B663B2"/>
    <w:rsid w:val="00B70589"/>
    <w:rsid w:val="00B72E57"/>
    <w:rsid w:val="00B733ED"/>
    <w:rsid w:val="00B73743"/>
    <w:rsid w:val="00B73ED8"/>
    <w:rsid w:val="00B7477E"/>
    <w:rsid w:val="00B74D87"/>
    <w:rsid w:val="00B75A01"/>
    <w:rsid w:val="00B75DE6"/>
    <w:rsid w:val="00B76421"/>
    <w:rsid w:val="00B7670F"/>
    <w:rsid w:val="00B76757"/>
    <w:rsid w:val="00B80AC7"/>
    <w:rsid w:val="00B817E1"/>
    <w:rsid w:val="00B82629"/>
    <w:rsid w:val="00B82DF5"/>
    <w:rsid w:val="00B82F43"/>
    <w:rsid w:val="00B8345D"/>
    <w:rsid w:val="00B83D55"/>
    <w:rsid w:val="00B841BF"/>
    <w:rsid w:val="00B84209"/>
    <w:rsid w:val="00B842FD"/>
    <w:rsid w:val="00B848A7"/>
    <w:rsid w:val="00B85229"/>
    <w:rsid w:val="00B85B33"/>
    <w:rsid w:val="00B8620F"/>
    <w:rsid w:val="00B90052"/>
    <w:rsid w:val="00B90563"/>
    <w:rsid w:val="00B90776"/>
    <w:rsid w:val="00B9140B"/>
    <w:rsid w:val="00B91788"/>
    <w:rsid w:val="00B91FDC"/>
    <w:rsid w:val="00B9323A"/>
    <w:rsid w:val="00B939D2"/>
    <w:rsid w:val="00B93D7B"/>
    <w:rsid w:val="00B94BB2"/>
    <w:rsid w:val="00B95590"/>
    <w:rsid w:val="00B95C32"/>
    <w:rsid w:val="00B95F11"/>
    <w:rsid w:val="00B96279"/>
    <w:rsid w:val="00B9699D"/>
    <w:rsid w:val="00B96B81"/>
    <w:rsid w:val="00B970B6"/>
    <w:rsid w:val="00BA1C15"/>
    <w:rsid w:val="00BA1CC8"/>
    <w:rsid w:val="00BA1E25"/>
    <w:rsid w:val="00BA21A2"/>
    <w:rsid w:val="00BA24ED"/>
    <w:rsid w:val="00BA27E9"/>
    <w:rsid w:val="00BA2C4D"/>
    <w:rsid w:val="00BA2CC1"/>
    <w:rsid w:val="00BA2CCE"/>
    <w:rsid w:val="00BA394E"/>
    <w:rsid w:val="00BA56FA"/>
    <w:rsid w:val="00BA5A6F"/>
    <w:rsid w:val="00BA5C14"/>
    <w:rsid w:val="00BA5CBF"/>
    <w:rsid w:val="00BA682B"/>
    <w:rsid w:val="00BA70F6"/>
    <w:rsid w:val="00BA77C2"/>
    <w:rsid w:val="00BA787A"/>
    <w:rsid w:val="00BB0257"/>
    <w:rsid w:val="00BB0391"/>
    <w:rsid w:val="00BB0986"/>
    <w:rsid w:val="00BB0CF2"/>
    <w:rsid w:val="00BB0F2C"/>
    <w:rsid w:val="00BB1181"/>
    <w:rsid w:val="00BB13FC"/>
    <w:rsid w:val="00BB15D6"/>
    <w:rsid w:val="00BB1B89"/>
    <w:rsid w:val="00BB21DC"/>
    <w:rsid w:val="00BB339C"/>
    <w:rsid w:val="00BB3BF2"/>
    <w:rsid w:val="00BB435E"/>
    <w:rsid w:val="00BB45B9"/>
    <w:rsid w:val="00BB46F1"/>
    <w:rsid w:val="00BB4D90"/>
    <w:rsid w:val="00BB4F6A"/>
    <w:rsid w:val="00BB649F"/>
    <w:rsid w:val="00BB656A"/>
    <w:rsid w:val="00BB7534"/>
    <w:rsid w:val="00BB7553"/>
    <w:rsid w:val="00BC0E6F"/>
    <w:rsid w:val="00BC1807"/>
    <w:rsid w:val="00BC180B"/>
    <w:rsid w:val="00BC5339"/>
    <w:rsid w:val="00BC55F2"/>
    <w:rsid w:val="00BC640F"/>
    <w:rsid w:val="00BC76CC"/>
    <w:rsid w:val="00BC7869"/>
    <w:rsid w:val="00BD0116"/>
    <w:rsid w:val="00BD0925"/>
    <w:rsid w:val="00BD1549"/>
    <w:rsid w:val="00BD327A"/>
    <w:rsid w:val="00BD36EC"/>
    <w:rsid w:val="00BD40A8"/>
    <w:rsid w:val="00BD42D8"/>
    <w:rsid w:val="00BD4F60"/>
    <w:rsid w:val="00BD59DE"/>
    <w:rsid w:val="00BD5EBA"/>
    <w:rsid w:val="00BD5F60"/>
    <w:rsid w:val="00BD6184"/>
    <w:rsid w:val="00BD64EC"/>
    <w:rsid w:val="00BD6EA7"/>
    <w:rsid w:val="00BD6F08"/>
    <w:rsid w:val="00BD6F51"/>
    <w:rsid w:val="00BD7076"/>
    <w:rsid w:val="00BD76A8"/>
    <w:rsid w:val="00BD76B8"/>
    <w:rsid w:val="00BE135F"/>
    <w:rsid w:val="00BE30DD"/>
    <w:rsid w:val="00BE33A0"/>
    <w:rsid w:val="00BE34E8"/>
    <w:rsid w:val="00BE5045"/>
    <w:rsid w:val="00BE5C41"/>
    <w:rsid w:val="00BE5F1A"/>
    <w:rsid w:val="00BE6AAE"/>
    <w:rsid w:val="00BE6B15"/>
    <w:rsid w:val="00BE6C2B"/>
    <w:rsid w:val="00BF0858"/>
    <w:rsid w:val="00BF093B"/>
    <w:rsid w:val="00BF0A88"/>
    <w:rsid w:val="00BF0BA3"/>
    <w:rsid w:val="00BF144E"/>
    <w:rsid w:val="00BF19E4"/>
    <w:rsid w:val="00BF1CF9"/>
    <w:rsid w:val="00BF3704"/>
    <w:rsid w:val="00BF3A97"/>
    <w:rsid w:val="00BF490F"/>
    <w:rsid w:val="00BF524B"/>
    <w:rsid w:val="00BF5A18"/>
    <w:rsid w:val="00BF6C5C"/>
    <w:rsid w:val="00BF71FF"/>
    <w:rsid w:val="00BF75A0"/>
    <w:rsid w:val="00BF7B45"/>
    <w:rsid w:val="00BF7EE0"/>
    <w:rsid w:val="00BF7FFC"/>
    <w:rsid w:val="00C00174"/>
    <w:rsid w:val="00C006F0"/>
    <w:rsid w:val="00C00842"/>
    <w:rsid w:val="00C018D1"/>
    <w:rsid w:val="00C01BB2"/>
    <w:rsid w:val="00C033C7"/>
    <w:rsid w:val="00C03575"/>
    <w:rsid w:val="00C03790"/>
    <w:rsid w:val="00C03FFF"/>
    <w:rsid w:val="00C04384"/>
    <w:rsid w:val="00C04AEF"/>
    <w:rsid w:val="00C04E6B"/>
    <w:rsid w:val="00C057C9"/>
    <w:rsid w:val="00C06058"/>
    <w:rsid w:val="00C064D2"/>
    <w:rsid w:val="00C0671F"/>
    <w:rsid w:val="00C0714B"/>
    <w:rsid w:val="00C07272"/>
    <w:rsid w:val="00C07485"/>
    <w:rsid w:val="00C07D21"/>
    <w:rsid w:val="00C07D30"/>
    <w:rsid w:val="00C1050E"/>
    <w:rsid w:val="00C122B1"/>
    <w:rsid w:val="00C128D0"/>
    <w:rsid w:val="00C129F7"/>
    <w:rsid w:val="00C13110"/>
    <w:rsid w:val="00C1318D"/>
    <w:rsid w:val="00C133F4"/>
    <w:rsid w:val="00C1344A"/>
    <w:rsid w:val="00C13558"/>
    <w:rsid w:val="00C13B4E"/>
    <w:rsid w:val="00C150DF"/>
    <w:rsid w:val="00C153D6"/>
    <w:rsid w:val="00C1543A"/>
    <w:rsid w:val="00C159CD"/>
    <w:rsid w:val="00C1615D"/>
    <w:rsid w:val="00C169F5"/>
    <w:rsid w:val="00C16B63"/>
    <w:rsid w:val="00C176DF"/>
    <w:rsid w:val="00C17B2A"/>
    <w:rsid w:val="00C17ED2"/>
    <w:rsid w:val="00C17F7F"/>
    <w:rsid w:val="00C208FA"/>
    <w:rsid w:val="00C20DDC"/>
    <w:rsid w:val="00C21053"/>
    <w:rsid w:val="00C223BF"/>
    <w:rsid w:val="00C2245D"/>
    <w:rsid w:val="00C22E1A"/>
    <w:rsid w:val="00C2319C"/>
    <w:rsid w:val="00C240CB"/>
    <w:rsid w:val="00C2570F"/>
    <w:rsid w:val="00C26F56"/>
    <w:rsid w:val="00C2789A"/>
    <w:rsid w:val="00C278F6"/>
    <w:rsid w:val="00C27F02"/>
    <w:rsid w:val="00C302F0"/>
    <w:rsid w:val="00C3057E"/>
    <w:rsid w:val="00C30E48"/>
    <w:rsid w:val="00C32330"/>
    <w:rsid w:val="00C338CD"/>
    <w:rsid w:val="00C3429A"/>
    <w:rsid w:val="00C345E6"/>
    <w:rsid w:val="00C34E70"/>
    <w:rsid w:val="00C35393"/>
    <w:rsid w:val="00C368BF"/>
    <w:rsid w:val="00C36B2B"/>
    <w:rsid w:val="00C378B5"/>
    <w:rsid w:val="00C37B04"/>
    <w:rsid w:val="00C408B7"/>
    <w:rsid w:val="00C41181"/>
    <w:rsid w:val="00C42A1B"/>
    <w:rsid w:val="00C4482D"/>
    <w:rsid w:val="00C45362"/>
    <w:rsid w:val="00C455FC"/>
    <w:rsid w:val="00C45882"/>
    <w:rsid w:val="00C46D52"/>
    <w:rsid w:val="00C47101"/>
    <w:rsid w:val="00C477BA"/>
    <w:rsid w:val="00C47C2B"/>
    <w:rsid w:val="00C50006"/>
    <w:rsid w:val="00C503ED"/>
    <w:rsid w:val="00C50509"/>
    <w:rsid w:val="00C50914"/>
    <w:rsid w:val="00C51B1A"/>
    <w:rsid w:val="00C520E1"/>
    <w:rsid w:val="00C5229E"/>
    <w:rsid w:val="00C52396"/>
    <w:rsid w:val="00C52956"/>
    <w:rsid w:val="00C52BD4"/>
    <w:rsid w:val="00C53DAC"/>
    <w:rsid w:val="00C53FB0"/>
    <w:rsid w:val="00C54337"/>
    <w:rsid w:val="00C54FE9"/>
    <w:rsid w:val="00C56804"/>
    <w:rsid w:val="00C56A9F"/>
    <w:rsid w:val="00C56C43"/>
    <w:rsid w:val="00C60F30"/>
    <w:rsid w:val="00C669F4"/>
    <w:rsid w:val="00C66BDA"/>
    <w:rsid w:val="00C66DDC"/>
    <w:rsid w:val="00C67321"/>
    <w:rsid w:val="00C67D28"/>
    <w:rsid w:val="00C70A23"/>
    <w:rsid w:val="00C70A8C"/>
    <w:rsid w:val="00C70BA8"/>
    <w:rsid w:val="00C72400"/>
    <w:rsid w:val="00C72BAF"/>
    <w:rsid w:val="00C7310B"/>
    <w:rsid w:val="00C7344D"/>
    <w:rsid w:val="00C741C6"/>
    <w:rsid w:val="00C746B3"/>
    <w:rsid w:val="00C7583A"/>
    <w:rsid w:val="00C75D32"/>
    <w:rsid w:val="00C75DF2"/>
    <w:rsid w:val="00C7623E"/>
    <w:rsid w:val="00C7671E"/>
    <w:rsid w:val="00C76C62"/>
    <w:rsid w:val="00C77588"/>
    <w:rsid w:val="00C80DD4"/>
    <w:rsid w:val="00C80DDB"/>
    <w:rsid w:val="00C8137A"/>
    <w:rsid w:val="00C8296D"/>
    <w:rsid w:val="00C82B5C"/>
    <w:rsid w:val="00C83A10"/>
    <w:rsid w:val="00C8405C"/>
    <w:rsid w:val="00C850F3"/>
    <w:rsid w:val="00C8523D"/>
    <w:rsid w:val="00C855C2"/>
    <w:rsid w:val="00C85917"/>
    <w:rsid w:val="00C859B4"/>
    <w:rsid w:val="00C86357"/>
    <w:rsid w:val="00C869C8"/>
    <w:rsid w:val="00C909B8"/>
    <w:rsid w:val="00C9137E"/>
    <w:rsid w:val="00C9192F"/>
    <w:rsid w:val="00C9355B"/>
    <w:rsid w:val="00C93E16"/>
    <w:rsid w:val="00C94043"/>
    <w:rsid w:val="00C94A16"/>
    <w:rsid w:val="00C94CF8"/>
    <w:rsid w:val="00C952F1"/>
    <w:rsid w:val="00C965A3"/>
    <w:rsid w:val="00CA0234"/>
    <w:rsid w:val="00CA07FB"/>
    <w:rsid w:val="00CA0E0B"/>
    <w:rsid w:val="00CA1EA9"/>
    <w:rsid w:val="00CA3922"/>
    <w:rsid w:val="00CA4189"/>
    <w:rsid w:val="00CA4D3E"/>
    <w:rsid w:val="00CA4DCF"/>
    <w:rsid w:val="00CA5144"/>
    <w:rsid w:val="00CA5395"/>
    <w:rsid w:val="00CA54A5"/>
    <w:rsid w:val="00CA5D83"/>
    <w:rsid w:val="00CA6403"/>
    <w:rsid w:val="00CA7063"/>
    <w:rsid w:val="00CA73EE"/>
    <w:rsid w:val="00CA76DB"/>
    <w:rsid w:val="00CA7AC6"/>
    <w:rsid w:val="00CB0E1C"/>
    <w:rsid w:val="00CB1161"/>
    <w:rsid w:val="00CB19A6"/>
    <w:rsid w:val="00CB1E22"/>
    <w:rsid w:val="00CB2203"/>
    <w:rsid w:val="00CB251A"/>
    <w:rsid w:val="00CB2DAA"/>
    <w:rsid w:val="00CB341A"/>
    <w:rsid w:val="00CB382C"/>
    <w:rsid w:val="00CB42B0"/>
    <w:rsid w:val="00CB4476"/>
    <w:rsid w:val="00CB5136"/>
    <w:rsid w:val="00CB537E"/>
    <w:rsid w:val="00CB58BE"/>
    <w:rsid w:val="00CB5D4C"/>
    <w:rsid w:val="00CB69FB"/>
    <w:rsid w:val="00CB6CA3"/>
    <w:rsid w:val="00CC3BBC"/>
    <w:rsid w:val="00CC3FEE"/>
    <w:rsid w:val="00CC427E"/>
    <w:rsid w:val="00CC42C5"/>
    <w:rsid w:val="00CC4452"/>
    <w:rsid w:val="00CC4F60"/>
    <w:rsid w:val="00CC507E"/>
    <w:rsid w:val="00CC5904"/>
    <w:rsid w:val="00CC6803"/>
    <w:rsid w:val="00CC6F8E"/>
    <w:rsid w:val="00CC7353"/>
    <w:rsid w:val="00CC7869"/>
    <w:rsid w:val="00CD0D2C"/>
    <w:rsid w:val="00CD1387"/>
    <w:rsid w:val="00CD13A3"/>
    <w:rsid w:val="00CD1782"/>
    <w:rsid w:val="00CD2445"/>
    <w:rsid w:val="00CD277A"/>
    <w:rsid w:val="00CD405E"/>
    <w:rsid w:val="00CD4353"/>
    <w:rsid w:val="00CD4606"/>
    <w:rsid w:val="00CD4C2E"/>
    <w:rsid w:val="00CD4CAD"/>
    <w:rsid w:val="00CD5230"/>
    <w:rsid w:val="00CD52F2"/>
    <w:rsid w:val="00CD549A"/>
    <w:rsid w:val="00CD622D"/>
    <w:rsid w:val="00CD63BA"/>
    <w:rsid w:val="00CD7834"/>
    <w:rsid w:val="00CE05EA"/>
    <w:rsid w:val="00CE076B"/>
    <w:rsid w:val="00CE0DF3"/>
    <w:rsid w:val="00CE2EE5"/>
    <w:rsid w:val="00CE36BC"/>
    <w:rsid w:val="00CE4BA6"/>
    <w:rsid w:val="00CE5577"/>
    <w:rsid w:val="00CE62F4"/>
    <w:rsid w:val="00CE72E2"/>
    <w:rsid w:val="00CE7685"/>
    <w:rsid w:val="00CF0112"/>
    <w:rsid w:val="00CF05FF"/>
    <w:rsid w:val="00CF06CD"/>
    <w:rsid w:val="00CF185E"/>
    <w:rsid w:val="00CF193C"/>
    <w:rsid w:val="00CF1C1A"/>
    <w:rsid w:val="00CF2BD0"/>
    <w:rsid w:val="00CF2D48"/>
    <w:rsid w:val="00CF318B"/>
    <w:rsid w:val="00CF32E0"/>
    <w:rsid w:val="00CF36FF"/>
    <w:rsid w:val="00CF37F7"/>
    <w:rsid w:val="00CF3BE4"/>
    <w:rsid w:val="00CF3DF2"/>
    <w:rsid w:val="00CF4173"/>
    <w:rsid w:val="00CF497F"/>
    <w:rsid w:val="00CF49A6"/>
    <w:rsid w:val="00CF4C4D"/>
    <w:rsid w:val="00CF4E80"/>
    <w:rsid w:val="00CF53DD"/>
    <w:rsid w:val="00CF6AD9"/>
    <w:rsid w:val="00CF6DA4"/>
    <w:rsid w:val="00CF723B"/>
    <w:rsid w:val="00CF73BC"/>
    <w:rsid w:val="00D000C9"/>
    <w:rsid w:val="00D002E0"/>
    <w:rsid w:val="00D00C56"/>
    <w:rsid w:val="00D02550"/>
    <w:rsid w:val="00D0326D"/>
    <w:rsid w:val="00D042ED"/>
    <w:rsid w:val="00D05991"/>
    <w:rsid w:val="00D06D67"/>
    <w:rsid w:val="00D072EB"/>
    <w:rsid w:val="00D075E3"/>
    <w:rsid w:val="00D07A9F"/>
    <w:rsid w:val="00D07E60"/>
    <w:rsid w:val="00D10341"/>
    <w:rsid w:val="00D10873"/>
    <w:rsid w:val="00D110F8"/>
    <w:rsid w:val="00D115DD"/>
    <w:rsid w:val="00D11BFC"/>
    <w:rsid w:val="00D125D6"/>
    <w:rsid w:val="00D13765"/>
    <w:rsid w:val="00D164B8"/>
    <w:rsid w:val="00D16AFE"/>
    <w:rsid w:val="00D16D2E"/>
    <w:rsid w:val="00D16FD2"/>
    <w:rsid w:val="00D2096F"/>
    <w:rsid w:val="00D20D90"/>
    <w:rsid w:val="00D212BF"/>
    <w:rsid w:val="00D21B34"/>
    <w:rsid w:val="00D2219D"/>
    <w:rsid w:val="00D22280"/>
    <w:rsid w:val="00D2296E"/>
    <w:rsid w:val="00D23101"/>
    <w:rsid w:val="00D2363B"/>
    <w:rsid w:val="00D251AD"/>
    <w:rsid w:val="00D25223"/>
    <w:rsid w:val="00D2522B"/>
    <w:rsid w:val="00D25FE4"/>
    <w:rsid w:val="00D27033"/>
    <w:rsid w:val="00D27B1C"/>
    <w:rsid w:val="00D30535"/>
    <w:rsid w:val="00D32610"/>
    <w:rsid w:val="00D331CE"/>
    <w:rsid w:val="00D34216"/>
    <w:rsid w:val="00D346F8"/>
    <w:rsid w:val="00D34D49"/>
    <w:rsid w:val="00D352CC"/>
    <w:rsid w:val="00D35A4F"/>
    <w:rsid w:val="00D35CA6"/>
    <w:rsid w:val="00D35DED"/>
    <w:rsid w:val="00D37034"/>
    <w:rsid w:val="00D37471"/>
    <w:rsid w:val="00D378E2"/>
    <w:rsid w:val="00D40257"/>
    <w:rsid w:val="00D40686"/>
    <w:rsid w:val="00D416D8"/>
    <w:rsid w:val="00D416E0"/>
    <w:rsid w:val="00D417BE"/>
    <w:rsid w:val="00D41A5B"/>
    <w:rsid w:val="00D41AE8"/>
    <w:rsid w:val="00D42F3B"/>
    <w:rsid w:val="00D43E80"/>
    <w:rsid w:val="00D44056"/>
    <w:rsid w:val="00D45F5B"/>
    <w:rsid w:val="00D4613F"/>
    <w:rsid w:val="00D46F79"/>
    <w:rsid w:val="00D470DE"/>
    <w:rsid w:val="00D50B65"/>
    <w:rsid w:val="00D50C41"/>
    <w:rsid w:val="00D512E1"/>
    <w:rsid w:val="00D52337"/>
    <w:rsid w:val="00D529A7"/>
    <w:rsid w:val="00D52AD0"/>
    <w:rsid w:val="00D52BC2"/>
    <w:rsid w:val="00D52F56"/>
    <w:rsid w:val="00D53182"/>
    <w:rsid w:val="00D53FC4"/>
    <w:rsid w:val="00D55149"/>
    <w:rsid w:val="00D5570E"/>
    <w:rsid w:val="00D558C0"/>
    <w:rsid w:val="00D5601B"/>
    <w:rsid w:val="00D56126"/>
    <w:rsid w:val="00D56F4B"/>
    <w:rsid w:val="00D57892"/>
    <w:rsid w:val="00D57AD4"/>
    <w:rsid w:val="00D601B8"/>
    <w:rsid w:val="00D606B7"/>
    <w:rsid w:val="00D6085F"/>
    <w:rsid w:val="00D60F0B"/>
    <w:rsid w:val="00D61188"/>
    <w:rsid w:val="00D61331"/>
    <w:rsid w:val="00D62833"/>
    <w:rsid w:val="00D62AF7"/>
    <w:rsid w:val="00D63928"/>
    <w:rsid w:val="00D64B9E"/>
    <w:rsid w:val="00D65024"/>
    <w:rsid w:val="00D665C2"/>
    <w:rsid w:val="00D67E87"/>
    <w:rsid w:val="00D67EBB"/>
    <w:rsid w:val="00D707AE"/>
    <w:rsid w:val="00D708F4"/>
    <w:rsid w:val="00D70B25"/>
    <w:rsid w:val="00D71874"/>
    <w:rsid w:val="00D71AD4"/>
    <w:rsid w:val="00D723A2"/>
    <w:rsid w:val="00D72516"/>
    <w:rsid w:val="00D726D1"/>
    <w:rsid w:val="00D729C7"/>
    <w:rsid w:val="00D736B9"/>
    <w:rsid w:val="00D73EEC"/>
    <w:rsid w:val="00D746DE"/>
    <w:rsid w:val="00D760A6"/>
    <w:rsid w:val="00D77525"/>
    <w:rsid w:val="00D7766C"/>
    <w:rsid w:val="00D81F44"/>
    <w:rsid w:val="00D82401"/>
    <w:rsid w:val="00D827F1"/>
    <w:rsid w:val="00D82D90"/>
    <w:rsid w:val="00D836B5"/>
    <w:rsid w:val="00D83C41"/>
    <w:rsid w:val="00D860A7"/>
    <w:rsid w:val="00D873AA"/>
    <w:rsid w:val="00D876A4"/>
    <w:rsid w:val="00D91649"/>
    <w:rsid w:val="00D920F2"/>
    <w:rsid w:val="00D92BFA"/>
    <w:rsid w:val="00D932F0"/>
    <w:rsid w:val="00D935B3"/>
    <w:rsid w:val="00D93637"/>
    <w:rsid w:val="00D93CB2"/>
    <w:rsid w:val="00D93FBD"/>
    <w:rsid w:val="00D956FB"/>
    <w:rsid w:val="00D96338"/>
    <w:rsid w:val="00D964E7"/>
    <w:rsid w:val="00DA1338"/>
    <w:rsid w:val="00DA1829"/>
    <w:rsid w:val="00DA2919"/>
    <w:rsid w:val="00DA3055"/>
    <w:rsid w:val="00DA34DE"/>
    <w:rsid w:val="00DA3A63"/>
    <w:rsid w:val="00DA3CBB"/>
    <w:rsid w:val="00DA41AE"/>
    <w:rsid w:val="00DA669D"/>
    <w:rsid w:val="00DA70B2"/>
    <w:rsid w:val="00DA70EE"/>
    <w:rsid w:val="00DA7183"/>
    <w:rsid w:val="00DB1F0C"/>
    <w:rsid w:val="00DB32F6"/>
    <w:rsid w:val="00DB388C"/>
    <w:rsid w:val="00DB3EB5"/>
    <w:rsid w:val="00DB3FBA"/>
    <w:rsid w:val="00DB4A13"/>
    <w:rsid w:val="00DB56A9"/>
    <w:rsid w:val="00DB6D66"/>
    <w:rsid w:val="00DB7468"/>
    <w:rsid w:val="00DC044A"/>
    <w:rsid w:val="00DC0DBA"/>
    <w:rsid w:val="00DC143B"/>
    <w:rsid w:val="00DC158B"/>
    <w:rsid w:val="00DC1898"/>
    <w:rsid w:val="00DC1C02"/>
    <w:rsid w:val="00DC1DA9"/>
    <w:rsid w:val="00DC2082"/>
    <w:rsid w:val="00DC3756"/>
    <w:rsid w:val="00DC4498"/>
    <w:rsid w:val="00DC458C"/>
    <w:rsid w:val="00DC5E06"/>
    <w:rsid w:val="00DC68DD"/>
    <w:rsid w:val="00DC6B4E"/>
    <w:rsid w:val="00DD055C"/>
    <w:rsid w:val="00DD0D4E"/>
    <w:rsid w:val="00DD11AA"/>
    <w:rsid w:val="00DD1BD6"/>
    <w:rsid w:val="00DD2567"/>
    <w:rsid w:val="00DD3767"/>
    <w:rsid w:val="00DD3792"/>
    <w:rsid w:val="00DD3965"/>
    <w:rsid w:val="00DD4295"/>
    <w:rsid w:val="00DD46A7"/>
    <w:rsid w:val="00DD4926"/>
    <w:rsid w:val="00DD4A17"/>
    <w:rsid w:val="00DD4B9E"/>
    <w:rsid w:val="00DD52F9"/>
    <w:rsid w:val="00DD6B0E"/>
    <w:rsid w:val="00DD70C5"/>
    <w:rsid w:val="00DD73E5"/>
    <w:rsid w:val="00DE011C"/>
    <w:rsid w:val="00DE1D4E"/>
    <w:rsid w:val="00DE37C1"/>
    <w:rsid w:val="00DE3F2E"/>
    <w:rsid w:val="00DE468E"/>
    <w:rsid w:val="00DE4769"/>
    <w:rsid w:val="00DF0703"/>
    <w:rsid w:val="00DF0965"/>
    <w:rsid w:val="00DF0F5B"/>
    <w:rsid w:val="00DF0F98"/>
    <w:rsid w:val="00DF15FF"/>
    <w:rsid w:val="00DF188F"/>
    <w:rsid w:val="00DF19AA"/>
    <w:rsid w:val="00DF19F5"/>
    <w:rsid w:val="00DF230F"/>
    <w:rsid w:val="00DF4531"/>
    <w:rsid w:val="00DF5024"/>
    <w:rsid w:val="00DF539B"/>
    <w:rsid w:val="00DF6145"/>
    <w:rsid w:val="00DF6B58"/>
    <w:rsid w:val="00DF6EF9"/>
    <w:rsid w:val="00DF7286"/>
    <w:rsid w:val="00E0048A"/>
    <w:rsid w:val="00E0058E"/>
    <w:rsid w:val="00E00D6E"/>
    <w:rsid w:val="00E00F19"/>
    <w:rsid w:val="00E0101C"/>
    <w:rsid w:val="00E024BD"/>
    <w:rsid w:val="00E02813"/>
    <w:rsid w:val="00E0304A"/>
    <w:rsid w:val="00E04117"/>
    <w:rsid w:val="00E0411F"/>
    <w:rsid w:val="00E04A54"/>
    <w:rsid w:val="00E04C32"/>
    <w:rsid w:val="00E04FED"/>
    <w:rsid w:val="00E058A4"/>
    <w:rsid w:val="00E0708C"/>
    <w:rsid w:val="00E10C1F"/>
    <w:rsid w:val="00E11E30"/>
    <w:rsid w:val="00E124F2"/>
    <w:rsid w:val="00E125F0"/>
    <w:rsid w:val="00E12D9E"/>
    <w:rsid w:val="00E139A2"/>
    <w:rsid w:val="00E13D5D"/>
    <w:rsid w:val="00E13E94"/>
    <w:rsid w:val="00E15F5D"/>
    <w:rsid w:val="00E16181"/>
    <w:rsid w:val="00E16250"/>
    <w:rsid w:val="00E16DBE"/>
    <w:rsid w:val="00E16E68"/>
    <w:rsid w:val="00E17ADE"/>
    <w:rsid w:val="00E17FB8"/>
    <w:rsid w:val="00E20117"/>
    <w:rsid w:val="00E21541"/>
    <w:rsid w:val="00E21CFF"/>
    <w:rsid w:val="00E21DAD"/>
    <w:rsid w:val="00E22094"/>
    <w:rsid w:val="00E22F9A"/>
    <w:rsid w:val="00E234F9"/>
    <w:rsid w:val="00E2411E"/>
    <w:rsid w:val="00E2441D"/>
    <w:rsid w:val="00E24BE7"/>
    <w:rsid w:val="00E252CC"/>
    <w:rsid w:val="00E2706D"/>
    <w:rsid w:val="00E27185"/>
    <w:rsid w:val="00E271EC"/>
    <w:rsid w:val="00E273EE"/>
    <w:rsid w:val="00E304AB"/>
    <w:rsid w:val="00E3065C"/>
    <w:rsid w:val="00E30BE7"/>
    <w:rsid w:val="00E3173A"/>
    <w:rsid w:val="00E3179A"/>
    <w:rsid w:val="00E31C1F"/>
    <w:rsid w:val="00E31D5B"/>
    <w:rsid w:val="00E31DAD"/>
    <w:rsid w:val="00E324CE"/>
    <w:rsid w:val="00E337E6"/>
    <w:rsid w:val="00E33DA0"/>
    <w:rsid w:val="00E33F4C"/>
    <w:rsid w:val="00E34201"/>
    <w:rsid w:val="00E34F0E"/>
    <w:rsid w:val="00E358D8"/>
    <w:rsid w:val="00E35A70"/>
    <w:rsid w:val="00E3603E"/>
    <w:rsid w:val="00E361B3"/>
    <w:rsid w:val="00E37B12"/>
    <w:rsid w:val="00E37E73"/>
    <w:rsid w:val="00E37FE1"/>
    <w:rsid w:val="00E407C9"/>
    <w:rsid w:val="00E419CE"/>
    <w:rsid w:val="00E41E82"/>
    <w:rsid w:val="00E43DD5"/>
    <w:rsid w:val="00E442A5"/>
    <w:rsid w:val="00E45063"/>
    <w:rsid w:val="00E45F80"/>
    <w:rsid w:val="00E472F5"/>
    <w:rsid w:val="00E50A41"/>
    <w:rsid w:val="00E510D5"/>
    <w:rsid w:val="00E527B3"/>
    <w:rsid w:val="00E5306D"/>
    <w:rsid w:val="00E54043"/>
    <w:rsid w:val="00E54D45"/>
    <w:rsid w:val="00E56051"/>
    <w:rsid w:val="00E56912"/>
    <w:rsid w:val="00E56961"/>
    <w:rsid w:val="00E57338"/>
    <w:rsid w:val="00E575F7"/>
    <w:rsid w:val="00E57FE0"/>
    <w:rsid w:val="00E60A8F"/>
    <w:rsid w:val="00E60E45"/>
    <w:rsid w:val="00E61121"/>
    <w:rsid w:val="00E644B3"/>
    <w:rsid w:val="00E64A73"/>
    <w:rsid w:val="00E64C2E"/>
    <w:rsid w:val="00E676EF"/>
    <w:rsid w:val="00E67B31"/>
    <w:rsid w:val="00E67F00"/>
    <w:rsid w:val="00E703A9"/>
    <w:rsid w:val="00E71D98"/>
    <w:rsid w:val="00E74AD2"/>
    <w:rsid w:val="00E7509B"/>
    <w:rsid w:val="00E751E2"/>
    <w:rsid w:val="00E75C0F"/>
    <w:rsid w:val="00E80217"/>
    <w:rsid w:val="00E8256D"/>
    <w:rsid w:val="00E82F9F"/>
    <w:rsid w:val="00E83033"/>
    <w:rsid w:val="00E832E7"/>
    <w:rsid w:val="00E83C40"/>
    <w:rsid w:val="00E83EE2"/>
    <w:rsid w:val="00E84DE5"/>
    <w:rsid w:val="00E85036"/>
    <w:rsid w:val="00E85152"/>
    <w:rsid w:val="00E857B2"/>
    <w:rsid w:val="00E85D8B"/>
    <w:rsid w:val="00E8604D"/>
    <w:rsid w:val="00E867FE"/>
    <w:rsid w:val="00E86BFE"/>
    <w:rsid w:val="00E87571"/>
    <w:rsid w:val="00E877FD"/>
    <w:rsid w:val="00E879B6"/>
    <w:rsid w:val="00E87EDF"/>
    <w:rsid w:val="00E90733"/>
    <w:rsid w:val="00E90E9C"/>
    <w:rsid w:val="00E90F64"/>
    <w:rsid w:val="00E92FAB"/>
    <w:rsid w:val="00E95CB9"/>
    <w:rsid w:val="00E96B89"/>
    <w:rsid w:val="00E96F23"/>
    <w:rsid w:val="00E9717A"/>
    <w:rsid w:val="00E974DB"/>
    <w:rsid w:val="00E97730"/>
    <w:rsid w:val="00E97925"/>
    <w:rsid w:val="00E97ED3"/>
    <w:rsid w:val="00EA02BC"/>
    <w:rsid w:val="00EA04F8"/>
    <w:rsid w:val="00EA0568"/>
    <w:rsid w:val="00EA19F3"/>
    <w:rsid w:val="00EA1A96"/>
    <w:rsid w:val="00EA2002"/>
    <w:rsid w:val="00EA23CC"/>
    <w:rsid w:val="00EA3395"/>
    <w:rsid w:val="00EA43E2"/>
    <w:rsid w:val="00EA4413"/>
    <w:rsid w:val="00EA5030"/>
    <w:rsid w:val="00EA59F9"/>
    <w:rsid w:val="00EA5E02"/>
    <w:rsid w:val="00EA63BD"/>
    <w:rsid w:val="00EA660D"/>
    <w:rsid w:val="00EA67F0"/>
    <w:rsid w:val="00EA68B4"/>
    <w:rsid w:val="00EA7A33"/>
    <w:rsid w:val="00EB0FE4"/>
    <w:rsid w:val="00EB1245"/>
    <w:rsid w:val="00EB1601"/>
    <w:rsid w:val="00EB16C8"/>
    <w:rsid w:val="00EB23F4"/>
    <w:rsid w:val="00EB2E33"/>
    <w:rsid w:val="00EB2FFB"/>
    <w:rsid w:val="00EB3097"/>
    <w:rsid w:val="00EB36DF"/>
    <w:rsid w:val="00EB3FDE"/>
    <w:rsid w:val="00EB43C9"/>
    <w:rsid w:val="00EB46B4"/>
    <w:rsid w:val="00EB5AC6"/>
    <w:rsid w:val="00EB69E1"/>
    <w:rsid w:val="00EB7E00"/>
    <w:rsid w:val="00EC094C"/>
    <w:rsid w:val="00EC0A12"/>
    <w:rsid w:val="00EC16E4"/>
    <w:rsid w:val="00EC1812"/>
    <w:rsid w:val="00EC26F6"/>
    <w:rsid w:val="00EC3C17"/>
    <w:rsid w:val="00EC3E7E"/>
    <w:rsid w:val="00EC40EC"/>
    <w:rsid w:val="00EC4363"/>
    <w:rsid w:val="00EC4830"/>
    <w:rsid w:val="00EC53AD"/>
    <w:rsid w:val="00EC5523"/>
    <w:rsid w:val="00EC62AC"/>
    <w:rsid w:val="00EC666A"/>
    <w:rsid w:val="00EC71A2"/>
    <w:rsid w:val="00EC7ED3"/>
    <w:rsid w:val="00ED03C3"/>
    <w:rsid w:val="00ED0ED3"/>
    <w:rsid w:val="00ED1250"/>
    <w:rsid w:val="00ED17E2"/>
    <w:rsid w:val="00ED182F"/>
    <w:rsid w:val="00ED1D9C"/>
    <w:rsid w:val="00ED223A"/>
    <w:rsid w:val="00ED2886"/>
    <w:rsid w:val="00ED2D53"/>
    <w:rsid w:val="00ED2FD6"/>
    <w:rsid w:val="00ED355C"/>
    <w:rsid w:val="00ED3891"/>
    <w:rsid w:val="00ED40E3"/>
    <w:rsid w:val="00ED4509"/>
    <w:rsid w:val="00ED46BD"/>
    <w:rsid w:val="00ED4BA8"/>
    <w:rsid w:val="00ED5695"/>
    <w:rsid w:val="00ED575E"/>
    <w:rsid w:val="00ED6458"/>
    <w:rsid w:val="00ED7C0B"/>
    <w:rsid w:val="00EE058A"/>
    <w:rsid w:val="00EE0C0C"/>
    <w:rsid w:val="00EE0C20"/>
    <w:rsid w:val="00EE0E52"/>
    <w:rsid w:val="00EE1102"/>
    <w:rsid w:val="00EE14D6"/>
    <w:rsid w:val="00EE1F86"/>
    <w:rsid w:val="00EE2FA8"/>
    <w:rsid w:val="00EE3195"/>
    <w:rsid w:val="00EE3571"/>
    <w:rsid w:val="00EE4A90"/>
    <w:rsid w:val="00EE5364"/>
    <w:rsid w:val="00EE584A"/>
    <w:rsid w:val="00EE65F2"/>
    <w:rsid w:val="00EE79A5"/>
    <w:rsid w:val="00EE7A30"/>
    <w:rsid w:val="00EE7BD3"/>
    <w:rsid w:val="00EE7D12"/>
    <w:rsid w:val="00EF0ACF"/>
    <w:rsid w:val="00EF11D2"/>
    <w:rsid w:val="00EF13C5"/>
    <w:rsid w:val="00EF2CFE"/>
    <w:rsid w:val="00EF4DD4"/>
    <w:rsid w:val="00EF644B"/>
    <w:rsid w:val="00EF78B5"/>
    <w:rsid w:val="00F004CF"/>
    <w:rsid w:val="00F031CB"/>
    <w:rsid w:val="00F035BC"/>
    <w:rsid w:val="00F0388E"/>
    <w:rsid w:val="00F03896"/>
    <w:rsid w:val="00F038AD"/>
    <w:rsid w:val="00F03BE1"/>
    <w:rsid w:val="00F03FD1"/>
    <w:rsid w:val="00F0534A"/>
    <w:rsid w:val="00F053E1"/>
    <w:rsid w:val="00F057B9"/>
    <w:rsid w:val="00F05CD7"/>
    <w:rsid w:val="00F066D9"/>
    <w:rsid w:val="00F06F9D"/>
    <w:rsid w:val="00F074F8"/>
    <w:rsid w:val="00F1023E"/>
    <w:rsid w:val="00F102AF"/>
    <w:rsid w:val="00F103D0"/>
    <w:rsid w:val="00F112BF"/>
    <w:rsid w:val="00F112C4"/>
    <w:rsid w:val="00F119E0"/>
    <w:rsid w:val="00F11A58"/>
    <w:rsid w:val="00F11C2B"/>
    <w:rsid w:val="00F11CB4"/>
    <w:rsid w:val="00F11FB0"/>
    <w:rsid w:val="00F1324B"/>
    <w:rsid w:val="00F134D6"/>
    <w:rsid w:val="00F13530"/>
    <w:rsid w:val="00F13A5F"/>
    <w:rsid w:val="00F13E2D"/>
    <w:rsid w:val="00F13F66"/>
    <w:rsid w:val="00F1458B"/>
    <w:rsid w:val="00F14B82"/>
    <w:rsid w:val="00F1535E"/>
    <w:rsid w:val="00F154F3"/>
    <w:rsid w:val="00F15559"/>
    <w:rsid w:val="00F16D53"/>
    <w:rsid w:val="00F1729C"/>
    <w:rsid w:val="00F176F3"/>
    <w:rsid w:val="00F17DCF"/>
    <w:rsid w:val="00F23323"/>
    <w:rsid w:val="00F238CD"/>
    <w:rsid w:val="00F2392E"/>
    <w:rsid w:val="00F23DA5"/>
    <w:rsid w:val="00F24703"/>
    <w:rsid w:val="00F24C5B"/>
    <w:rsid w:val="00F24D5A"/>
    <w:rsid w:val="00F24D6D"/>
    <w:rsid w:val="00F250CF"/>
    <w:rsid w:val="00F2696B"/>
    <w:rsid w:val="00F277FF"/>
    <w:rsid w:val="00F301F0"/>
    <w:rsid w:val="00F315FE"/>
    <w:rsid w:val="00F31706"/>
    <w:rsid w:val="00F333C7"/>
    <w:rsid w:val="00F33E65"/>
    <w:rsid w:val="00F345DC"/>
    <w:rsid w:val="00F34994"/>
    <w:rsid w:val="00F360BD"/>
    <w:rsid w:val="00F36574"/>
    <w:rsid w:val="00F3695F"/>
    <w:rsid w:val="00F36ABF"/>
    <w:rsid w:val="00F379A3"/>
    <w:rsid w:val="00F37E83"/>
    <w:rsid w:val="00F401A4"/>
    <w:rsid w:val="00F4021C"/>
    <w:rsid w:val="00F40750"/>
    <w:rsid w:val="00F42095"/>
    <w:rsid w:val="00F42355"/>
    <w:rsid w:val="00F4288D"/>
    <w:rsid w:val="00F43BF9"/>
    <w:rsid w:val="00F44F28"/>
    <w:rsid w:val="00F4760F"/>
    <w:rsid w:val="00F47C24"/>
    <w:rsid w:val="00F47F77"/>
    <w:rsid w:val="00F511C8"/>
    <w:rsid w:val="00F51CAE"/>
    <w:rsid w:val="00F522BB"/>
    <w:rsid w:val="00F52ABF"/>
    <w:rsid w:val="00F53D52"/>
    <w:rsid w:val="00F56800"/>
    <w:rsid w:val="00F5709C"/>
    <w:rsid w:val="00F57308"/>
    <w:rsid w:val="00F57427"/>
    <w:rsid w:val="00F579EE"/>
    <w:rsid w:val="00F625FF"/>
    <w:rsid w:val="00F62E96"/>
    <w:rsid w:val="00F63FB7"/>
    <w:rsid w:val="00F6419A"/>
    <w:rsid w:val="00F6431B"/>
    <w:rsid w:val="00F64A9A"/>
    <w:rsid w:val="00F66339"/>
    <w:rsid w:val="00F66FCA"/>
    <w:rsid w:val="00F67E90"/>
    <w:rsid w:val="00F704D1"/>
    <w:rsid w:val="00F70AE0"/>
    <w:rsid w:val="00F70B65"/>
    <w:rsid w:val="00F70C19"/>
    <w:rsid w:val="00F71374"/>
    <w:rsid w:val="00F71E04"/>
    <w:rsid w:val="00F72D9D"/>
    <w:rsid w:val="00F73CB6"/>
    <w:rsid w:val="00F73CD7"/>
    <w:rsid w:val="00F7476F"/>
    <w:rsid w:val="00F74907"/>
    <w:rsid w:val="00F74B64"/>
    <w:rsid w:val="00F75ABA"/>
    <w:rsid w:val="00F77630"/>
    <w:rsid w:val="00F80BAA"/>
    <w:rsid w:val="00F818E7"/>
    <w:rsid w:val="00F82BC0"/>
    <w:rsid w:val="00F84E8D"/>
    <w:rsid w:val="00F85AA3"/>
    <w:rsid w:val="00F85D00"/>
    <w:rsid w:val="00F86DFF"/>
    <w:rsid w:val="00F87100"/>
    <w:rsid w:val="00F902E6"/>
    <w:rsid w:val="00F90D12"/>
    <w:rsid w:val="00F90DA6"/>
    <w:rsid w:val="00F91722"/>
    <w:rsid w:val="00F92E68"/>
    <w:rsid w:val="00F93BA3"/>
    <w:rsid w:val="00F9617E"/>
    <w:rsid w:val="00F96582"/>
    <w:rsid w:val="00F96895"/>
    <w:rsid w:val="00F96FD2"/>
    <w:rsid w:val="00F9786F"/>
    <w:rsid w:val="00FA040B"/>
    <w:rsid w:val="00FA118E"/>
    <w:rsid w:val="00FA181E"/>
    <w:rsid w:val="00FA1C72"/>
    <w:rsid w:val="00FA1C8E"/>
    <w:rsid w:val="00FA2324"/>
    <w:rsid w:val="00FA5EEB"/>
    <w:rsid w:val="00FA5F82"/>
    <w:rsid w:val="00FA7421"/>
    <w:rsid w:val="00FA7C86"/>
    <w:rsid w:val="00FB03ED"/>
    <w:rsid w:val="00FB31E0"/>
    <w:rsid w:val="00FB3585"/>
    <w:rsid w:val="00FB461E"/>
    <w:rsid w:val="00FB4850"/>
    <w:rsid w:val="00FB5F5E"/>
    <w:rsid w:val="00FB674C"/>
    <w:rsid w:val="00FB6C28"/>
    <w:rsid w:val="00FB76EA"/>
    <w:rsid w:val="00FB7C50"/>
    <w:rsid w:val="00FC02D5"/>
    <w:rsid w:val="00FC0491"/>
    <w:rsid w:val="00FC1512"/>
    <w:rsid w:val="00FC1C22"/>
    <w:rsid w:val="00FC1EFE"/>
    <w:rsid w:val="00FC3BB5"/>
    <w:rsid w:val="00FC3D41"/>
    <w:rsid w:val="00FC4811"/>
    <w:rsid w:val="00FC49F2"/>
    <w:rsid w:val="00FC4F9D"/>
    <w:rsid w:val="00FC5A83"/>
    <w:rsid w:val="00FC5B84"/>
    <w:rsid w:val="00FC63B7"/>
    <w:rsid w:val="00FC6D7F"/>
    <w:rsid w:val="00FC76B7"/>
    <w:rsid w:val="00FC77C6"/>
    <w:rsid w:val="00FC78A9"/>
    <w:rsid w:val="00FC79FF"/>
    <w:rsid w:val="00FC7BBF"/>
    <w:rsid w:val="00FD0536"/>
    <w:rsid w:val="00FD134A"/>
    <w:rsid w:val="00FD176D"/>
    <w:rsid w:val="00FD17DB"/>
    <w:rsid w:val="00FD375A"/>
    <w:rsid w:val="00FD44AD"/>
    <w:rsid w:val="00FD5292"/>
    <w:rsid w:val="00FD5501"/>
    <w:rsid w:val="00FD5B21"/>
    <w:rsid w:val="00FD5C75"/>
    <w:rsid w:val="00FD5D9D"/>
    <w:rsid w:val="00FD7912"/>
    <w:rsid w:val="00FE0EED"/>
    <w:rsid w:val="00FE2C5E"/>
    <w:rsid w:val="00FE3425"/>
    <w:rsid w:val="00FE3D34"/>
    <w:rsid w:val="00FE3E2F"/>
    <w:rsid w:val="00FE5373"/>
    <w:rsid w:val="00FE61CE"/>
    <w:rsid w:val="00FF0A2A"/>
    <w:rsid w:val="00FF0A74"/>
    <w:rsid w:val="00FF0D33"/>
    <w:rsid w:val="00FF165F"/>
    <w:rsid w:val="00FF1775"/>
    <w:rsid w:val="00FF1C04"/>
    <w:rsid w:val="00FF2607"/>
    <w:rsid w:val="00FF28D6"/>
    <w:rsid w:val="00FF3014"/>
    <w:rsid w:val="00FF45BA"/>
    <w:rsid w:val="00FF4A6D"/>
    <w:rsid w:val="00FF4CA6"/>
    <w:rsid w:val="00FF4EEB"/>
    <w:rsid w:val="00FF593F"/>
    <w:rsid w:val="00FF6091"/>
    <w:rsid w:val="00FF60AB"/>
    <w:rsid w:val="00FF6D97"/>
    <w:rsid w:val="00FF7728"/>
    <w:rsid w:val="00FF7B0D"/>
    <w:rsid w:val="00FF7FB5"/>
    <w:rsid w:val="01D656F1"/>
    <w:rsid w:val="07F42776"/>
    <w:rsid w:val="0EF9387E"/>
    <w:rsid w:val="2DE05209"/>
    <w:rsid w:val="2FC17A65"/>
    <w:rsid w:val="4BD81B39"/>
    <w:rsid w:val="4C715783"/>
    <w:rsid w:val="57751D0C"/>
    <w:rsid w:val="57DB3954"/>
    <w:rsid w:val="58293BBB"/>
    <w:rsid w:val="67904F07"/>
    <w:rsid w:val="7ABB1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HAns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cs="Arial" w:eastAsiaTheme="minorHAnsi"/>
      <w:sz w:val="24"/>
      <w:szCs w:val="24"/>
      <w:lang w:val="en-GB" w:eastAsia="en-US" w:bidi="ar-SA"/>
    </w:rPr>
  </w:style>
  <w:style w:type="paragraph" w:styleId="2">
    <w:name w:val="heading 1"/>
    <w:basedOn w:val="1"/>
    <w:next w:val="1"/>
    <w:link w:val="3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43"/>
    <w:semiHidden/>
    <w:unhideWhenUsed/>
    <w:qFormat/>
    <w:uiPriority w:val="9"/>
    <w:pPr>
      <w:keepNext/>
      <w:keepLines/>
      <w:spacing w:before="40" w:after="0"/>
      <w:outlineLvl w:val="1"/>
    </w:pPr>
    <w:rPr>
      <w:rFonts w:ascii="Aptos Display" w:hAnsi="Aptos Display" w:eastAsia="Times New Roman" w:cs="Times New Roman"/>
      <w:color w:val="0F4761"/>
      <w:sz w:val="32"/>
      <w:szCs w:val="32"/>
      <w:lang w:val="en-US"/>
    </w:rPr>
  </w:style>
  <w:style w:type="paragraph" w:styleId="4">
    <w:name w:val="heading 3"/>
    <w:basedOn w:val="1"/>
    <w:next w:val="1"/>
    <w:link w:val="33"/>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rPr>
  </w:style>
  <w:style w:type="paragraph" w:styleId="5">
    <w:name w:val="heading 4"/>
    <w:basedOn w:val="1"/>
    <w:next w:val="1"/>
    <w:link w:val="44"/>
    <w:semiHidden/>
    <w:unhideWhenUsed/>
    <w:qFormat/>
    <w:uiPriority w:val="9"/>
    <w:pPr>
      <w:keepNext/>
      <w:keepLines/>
      <w:spacing w:before="40" w:after="0"/>
      <w:outlineLvl w:val="3"/>
    </w:pPr>
    <w:rPr>
      <w:rFonts w:eastAsia="Times New Roman" w:cs="Times New Roman"/>
      <w:i/>
      <w:iCs/>
      <w:color w:val="0F4761"/>
      <w:lang w:val="en-US"/>
    </w:rPr>
  </w:style>
  <w:style w:type="paragraph" w:styleId="6">
    <w:name w:val="heading 5"/>
    <w:basedOn w:val="1"/>
    <w:next w:val="1"/>
    <w:link w:val="45"/>
    <w:semiHidden/>
    <w:unhideWhenUsed/>
    <w:qFormat/>
    <w:uiPriority w:val="9"/>
    <w:pPr>
      <w:keepNext/>
      <w:keepLines/>
      <w:spacing w:before="40" w:after="0"/>
      <w:outlineLvl w:val="4"/>
    </w:pPr>
    <w:rPr>
      <w:rFonts w:eastAsia="Times New Roman" w:cs="Times New Roman"/>
      <w:color w:val="0F4761"/>
      <w:lang w:val="en-US"/>
    </w:rPr>
  </w:style>
  <w:style w:type="paragraph" w:styleId="7">
    <w:name w:val="heading 6"/>
    <w:basedOn w:val="1"/>
    <w:next w:val="1"/>
    <w:link w:val="46"/>
    <w:semiHidden/>
    <w:unhideWhenUsed/>
    <w:qFormat/>
    <w:uiPriority w:val="9"/>
    <w:pPr>
      <w:keepNext/>
      <w:keepLines/>
      <w:spacing w:before="40" w:after="0"/>
      <w:outlineLvl w:val="5"/>
    </w:pPr>
    <w:rPr>
      <w:rFonts w:eastAsia="Times New Roman" w:cs="Times New Roman"/>
      <w:i/>
      <w:iCs/>
      <w:color w:val="595959"/>
      <w:lang w:val="en-US"/>
    </w:rPr>
  </w:style>
  <w:style w:type="paragraph" w:styleId="8">
    <w:name w:val="heading 7"/>
    <w:basedOn w:val="1"/>
    <w:next w:val="1"/>
    <w:link w:val="47"/>
    <w:semiHidden/>
    <w:unhideWhenUsed/>
    <w:qFormat/>
    <w:uiPriority w:val="9"/>
    <w:pPr>
      <w:keepNext/>
      <w:keepLines/>
      <w:spacing w:before="40" w:after="0"/>
      <w:outlineLvl w:val="6"/>
    </w:pPr>
    <w:rPr>
      <w:rFonts w:eastAsia="Times New Roman" w:cs="Times New Roman"/>
      <w:color w:val="595959"/>
      <w:lang w:val="en-US"/>
    </w:rPr>
  </w:style>
  <w:style w:type="paragraph" w:styleId="9">
    <w:name w:val="heading 8"/>
    <w:basedOn w:val="1"/>
    <w:next w:val="1"/>
    <w:link w:val="48"/>
    <w:semiHidden/>
    <w:unhideWhenUsed/>
    <w:qFormat/>
    <w:uiPriority w:val="9"/>
    <w:pPr>
      <w:keepNext/>
      <w:keepLines/>
      <w:spacing w:before="40" w:after="0"/>
      <w:outlineLvl w:val="7"/>
    </w:pPr>
    <w:rPr>
      <w:rFonts w:eastAsia="Times New Roman" w:cs="Times New Roman"/>
      <w:i/>
      <w:iCs/>
      <w:color w:val="272727"/>
      <w:lang w:val="en-US"/>
    </w:rPr>
  </w:style>
  <w:style w:type="paragraph" w:styleId="10">
    <w:name w:val="heading 9"/>
    <w:basedOn w:val="1"/>
    <w:next w:val="1"/>
    <w:link w:val="49"/>
    <w:semiHidden/>
    <w:unhideWhenUsed/>
    <w:qFormat/>
    <w:uiPriority w:val="9"/>
    <w:pPr>
      <w:keepNext/>
      <w:keepLines/>
      <w:spacing w:before="40" w:after="0"/>
      <w:outlineLvl w:val="8"/>
    </w:pPr>
    <w:rPr>
      <w:rFonts w:eastAsia="Times New Roman" w:cs="Times New Roman"/>
      <w:color w:val="272727"/>
      <w:lang w:val="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paragraph" w:styleId="14">
    <w:name w:val="annotation text"/>
    <w:basedOn w:val="1"/>
    <w:link w:val="78"/>
    <w:semiHidden/>
    <w:unhideWhenUsed/>
    <w:qFormat/>
    <w:uiPriority w:val="99"/>
    <w:pPr>
      <w:spacing w:line="240" w:lineRule="auto"/>
    </w:pPr>
    <w:rPr>
      <w:sz w:val="20"/>
      <w:szCs w:val="20"/>
    </w:rPr>
  </w:style>
  <w:style w:type="paragraph" w:styleId="15">
    <w:name w:val="annotation subject"/>
    <w:basedOn w:val="14"/>
    <w:next w:val="14"/>
    <w:link w:val="79"/>
    <w:semiHidden/>
    <w:unhideWhenUsed/>
    <w:qFormat/>
    <w:uiPriority w:val="99"/>
    <w:rPr>
      <w:b/>
      <w:bCs/>
    </w:rPr>
  </w:style>
  <w:style w:type="character" w:styleId="16">
    <w:name w:val="Emphasis"/>
    <w:basedOn w:val="11"/>
    <w:qFormat/>
    <w:uiPriority w:val="20"/>
    <w:rPr>
      <w:i/>
      <w:iCs/>
    </w:rPr>
  </w:style>
  <w:style w:type="paragraph" w:styleId="17">
    <w:name w:val="footer"/>
    <w:basedOn w:val="1"/>
    <w:link w:val="28"/>
    <w:unhideWhenUsed/>
    <w:qFormat/>
    <w:uiPriority w:val="99"/>
    <w:pPr>
      <w:tabs>
        <w:tab w:val="center" w:pos="4513"/>
        <w:tab w:val="right" w:pos="9026"/>
      </w:tabs>
      <w:spacing w:after="0" w:line="240" w:lineRule="auto"/>
    </w:pPr>
  </w:style>
  <w:style w:type="paragraph" w:styleId="18">
    <w:name w:val="header"/>
    <w:basedOn w:val="1"/>
    <w:link w:val="27"/>
    <w:unhideWhenUsed/>
    <w:qFormat/>
    <w:uiPriority w:val="99"/>
    <w:pPr>
      <w:tabs>
        <w:tab w:val="center" w:pos="4513"/>
        <w:tab w:val="right" w:pos="9026"/>
      </w:tabs>
      <w:spacing w:after="0" w:line="240" w:lineRule="auto"/>
    </w:pPr>
  </w:style>
  <w:style w:type="character" w:styleId="19">
    <w:name w:val="Hyperlink"/>
    <w:basedOn w:val="11"/>
    <w:unhideWhenUsed/>
    <w:uiPriority w:val="99"/>
    <w:rPr>
      <w:color w:val="0563C1" w:themeColor="hyperlink"/>
      <w:u w:val="single"/>
      <w14:textFill>
        <w14:solidFill>
          <w14:schemeClr w14:val="hlink"/>
        </w14:solidFill>
      </w14:textFill>
    </w:rPr>
  </w:style>
  <w:style w:type="paragraph" w:styleId="2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rPr>
  </w:style>
  <w:style w:type="character" w:styleId="21">
    <w:name w:val="Strong"/>
    <w:basedOn w:val="11"/>
    <w:qFormat/>
    <w:uiPriority w:val="22"/>
    <w:rPr>
      <w:b/>
      <w:bCs/>
    </w:rPr>
  </w:style>
  <w:style w:type="paragraph" w:styleId="22">
    <w:name w:val="Subtitle"/>
    <w:basedOn w:val="1"/>
    <w:next w:val="1"/>
    <w:link w:val="53"/>
    <w:qFormat/>
    <w:uiPriority w:val="11"/>
    <w:rPr>
      <w:rFonts w:eastAsia="Times New Roman" w:cs="Times New Roman"/>
      <w:color w:val="595959"/>
      <w:spacing w:val="15"/>
      <w:sz w:val="28"/>
      <w:szCs w:val="28"/>
      <w:lang w:val="en-US"/>
    </w:rPr>
  </w:style>
  <w:style w:type="table" w:styleId="23">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itle"/>
    <w:basedOn w:val="1"/>
    <w:next w:val="1"/>
    <w:link w:val="51"/>
    <w:qFormat/>
    <w:uiPriority w:val="10"/>
    <w:pPr>
      <w:spacing w:after="0" w:line="240" w:lineRule="auto"/>
      <w:contextualSpacing/>
    </w:pPr>
    <w:rPr>
      <w:rFonts w:ascii="Aptos Display" w:hAnsi="Aptos Display" w:eastAsia="Times New Roman" w:cs="Times New Roman"/>
      <w:spacing w:val="-10"/>
      <w:kern w:val="28"/>
      <w:sz w:val="56"/>
      <w:szCs w:val="56"/>
      <w:lang w:val="en-US"/>
    </w:rPr>
  </w:style>
  <w:style w:type="paragraph" w:styleId="25">
    <w:name w:val="List Paragraph"/>
    <w:basedOn w:val="1"/>
    <w:qFormat/>
    <w:uiPriority w:val="34"/>
    <w:pPr>
      <w:ind w:left="720"/>
      <w:contextualSpacing/>
    </w:pPr>
  </w:style>
  <w:style w:type="character" w:customStyle="1" w:styleId="26">
    <w:name w:val="Unresolved Mention1"/>
    <w:basedOn w:val="11"/>
    <w:semiHidden/>
    <w:unhideWhenUsed/>
    <w:qFormat/>
    <w:uiPriority w:val="99"/>
    <w:rPr>
      <w:color w:val="605E5C"/>
      <w:shd w:val="clear" w:color="auto" w:fill="E1DFDD"/>
    </w:rPr>
  </w:style>
  <w:style w:type="character" w:customStyle="1" w:styleId="27">
    <w:name w:val="Header Char"/>
    <w:basedOn w:val="11"/>
    <w:link w:val="18"/>
    <w:qFormat/>
    <w:uiPriority w:val="99"/>
  </w:style>
  <w:style w:type="character" w:customStyle="1" w:styleId="28">
    <w:name w:val="Footer Char"/>
    <w:basedOn w:val="11"/>
    <w:link w:val="17"/>
    <w:qFormat/>
    <w:uiPriority w:val="99"/>
  </w:style>
  <w:style w:type="character" w:styleId="29">
    <w:name w:val="Placeholder Text"/>
    <w:basedOn w:val="11"/>
    <w:semiHidden/>
    <w:qFormat/>
    <w:uiPriority w:val="99"/>
    <w:rPr>
      <w:color w:val="666666"/>
    </w:rPr>
  </w:style>
  <w:style w:type="table" w:customStyle="1" w:styleId="30">
    <w:name w:val="Table Grid1"/>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Heading 1 Char"/>
    <w:basedOn w:val="11"/>
    <w:link w:val="2"/>
    <w:qFormat/>
    <w:uiPriority w:val="9"/>
    <w:rPr>
      <w:rFonts w:asciiTheme="majorHAnsi" w:hAnsiTheme="majorHAnsi" w:eastAsiaTheme="majorEastAsia" w:cstheme="majorBidi"/>
      <w:color w:val="2F5597" w:themeColor="accent1" w:themeShade="BF"/>
      <w:sz w:val="32"/>
      <w:szCs w:val="32"/>
      <w:lang w:val="en-US"/>
    </w:rPr>
  </w:style>
  <w:style w:type="paragraph" w:customStyle="1" w:styleId="32">
    <w:name w:val="Bibliography"/>
    <w:basedOn w:val="1"/>
    <w:next w:val="1"/>
    <w:unhideWhenUsed/>
    <w:qFormat/>
    <w:uiPriority w:val="37"/>
  </w:style>
  <w:style w:type="character" w:customStyle="1" w:styleId="33">
    <w:name w:val="Heading 3 Char"/>
    <w:basedOn w:val="11"/>
    <w:link w:val="4"/>
    <w:semiHidden/>
    <w:qFormat/>
    <w:uiPriority w:val="9"/>
    <w:rPr>
      <w:rFonts w:asciiTheme="majorHAnsi" w:hAnsiTheme="majorHAnsi" w:eastAsiaTheme="majorEastAsia" w:cstheme="majorBidi"/>
      <w:color w:val="203864" w:themeColor="accent1" w:themeShade="80"/>
    </w:rPr>
  </w:style>
  <w:style w:type="table" w:customStyle="1" w:styleId="34">
    <w:name w:val="Plain Table 21"/>
    <w:basedOn w:val="12"/>
    <w:qFormat/>
    <w:uiPriority w:val="42"/>
    <w:pPr>
      <w:spacing w:after="0" w:line="240" w:lineRule="auto"/>
    </w:pPr>
    <w:rPr>
      <w:rFonts w:ascii="Calibri" w:hAnsi="Calibri" w:eastAsia="Times New Roman" w:cs="Times New Roman"/>
      <w:sz w:val="22"/>
      <w:szCs w:val="22"/>
    </w:rPr>
    <w:tblPr>
      <w:tblBorders>
        <w:top w:val="single" w:color="7F7F7F" w:sz="4" w:space="0"/>
        <w:bottom w:val="single" w:color="7F7F7F" w:sz="4" w:space="0"/>
      </w:tblBorders>
    </w:tblPr>
    <w:tblStylePr w:type="firstRow">
      <w:rPr>
        <w:rFonts w:cs="Times New Roman"/>
        <w:b/>
        <w:bCs/>
      </w:rPr>
      <w:tcPr>
        <w:tcBorders>
          <w:bottom w:val="single" w:color="7F7F7F" w:sz="4" w:space="0"/>
        </w:tcBorders>
      </w:tcPr>
    </w:tblStylePr>
    <w:tblStylePr w:type="lastRow">
      <w:rPr>
        <w:rFonts w:cs="Times New Roman"/>
        <w:b/>
        <w:bCs/>
      </w:rPr>
      <w:tcPr>
        <w:tcBorders>
          <w:top w:val="single" w:color="7F7F7F" w:sz="4" w:space="0"/>
        </w:tcBorders>
      </w:tcPr>
    </w:tblStylePr>
    <w:tblStylePr w:type="firstCol">
      <w:rPr>
        <w:rFonts w:cs="Times New Roman"/>
        <w:b/>
        <w:bCs/>
      </w:rPr>
    </w:tblStylePr>
    <w:tblStylePr w:type="lastCol">
      <w:rPr>
        <w:rFonts w:cs="Times New Roman"/>
        <w:b/>
        <w:bCs/>
      </w:rPr>
    </w:tblStylePr>
    <w:tblStylePr w:type="band1Vert">
      <w:rPr>
        <w:rFonts w:cs="Times New Roman"/>
      </w:rPr>
      <w:tcPr>
        <w:tcBorders>
          <w:left w:val="single" w:color="7F7F7F" w:sz="4" w:space="0"/>
          <w:right w:val="single" w:color="7F7F7F" w:sz="4" w:space="0"/>
        </w:tcBorders>
      </w:tcPr>
    </w:tblStylePr>
    <w:tblStylePr w:type="band2Vert">
      <w:rPr>
        <w:rFonts w:cs="Times New Roman"/>
      </w:rPr>
      <w:tcPr>
        <w:tcBorders>
          <w:left w:val="single" w:color="7F7F7F" w:sz="4" w:space="0"/>
          <w:right w:val="single" w:color="7F7F7F" w:sz="4" w:space="0"/>
        </w:tcBorders>
      </w:tcPr>
    </w:tblStylePr>
    <w:tblStylePr w:type="band1Horz">
      <w:rPr>
        <w:rFonts w:cs="Times New Roman"/>
      </w:rPr>
      <w:tcPr>
        <w:tcBorders>
          <w:top w:val="single" w:color="7F7F7F" w:sz="4" w:space="0"/>
          <w:bottom w:val="single" w:color="7F7F7F" w:sz="4" w:space="0"/>
        </w:tcBorders>
      </w:tcPr>
    </w:tblStylePr>
  </w:style>
  <w:style w:type="table" w:customStyle="1" w:styleId="35">
    <w:name w:val="Plain Table 2"/>
    <w:basedOn w:val="12"/>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36">
    <w:name w:val="Heading 21"/>
    <w:basedOn w:val="1"/>
    <w:next w:val="1"/>
    <w:semiHidden/>
    <w:unhideWhenUsed/>
    <w:qFormat/>
    <w:uiPriority w:val="9"/>
    <w:pPr>
      <w:keepNext/>
      <w:keepLines/>
      <w:spacing w:before="160" w:after="80"/>
      <w:outlineLvl w:val="1"/>
    </w:pPr>
    <w:rPr>
      <w:rFonts w:ascii="Aptos Display" w:hAnsi="Aptos Display" w:eastAsia="Times New Roman" w:cs="Times New Roman"/>
      <w:color w:val="0F4761"/>
      <w:sz w:val="32"/>
      <w:szCs w:val="32"/>
    </w:rPr>
  </w:style>
  <w:style w:type="paragraph" w:customStyle="1" w:styleId="37">
    <w:name w:val="Heading 41"/>
    <w:basedOn w:val="1"/>
    <w:next w:val="1"/>
    <w:semiHidden/>
    <w:unhideWhenUsed/>
    <w:qFormat/>
    <w:uiPriority w:val="9"/>
    <w:pPr>
      <w:keepNext/>
      <w:keepLines/>
      <w:spacing w:before="80" w:after="40"/>
      <w:outlineLvl w:val="3"/>
    </w:pPr>
    <w:rPr>
      <w:rFonts w:eastAsia="Times New Roman" w:cs="Times New Roman"/>
      <w:i/>
      <w:iCs/>
      <w:color w:val="0F4761"/>
    </w:rPr>
  </w:style>
  <w:style w:type="paragraph" w:customStyle="1" w:styleId="38">
    <w:name w:val="Heading 51"/>
    <w:basedOn w:val="1"/>
    <w:next w:val="1"/>
    <w:semiHidden/>
    <w:unhideWhenUsed/>
    <w:qFormat/>
    <w:uiPriority w:val="9"/>
    <w:pPr>
      <w:keepNext/>
      <w:keepLines/>
      <w:spacing w:before="80" w:after="40"/>
      <w:outlineLvl w:val="4"/>
    </w:pPr>
    <w:rPr>
      <w:rFonts w:eastAsia="Times New Roman" w:cs="Times New Roman"/>
      <w:color w:val="0F4761"/>
    </w:rPr>
  </w:style>
  <w:style w:type="paragraph" w:customStyle="1" w:styleId="39">
    <w:name w:val="Heading 61"/>
    <w:basedOn w:val="1"/>
    <w:next w:val="1"/>
    <w:semiHidden/>
    <w:unhideWhenUsed/>
    <w:qFormat/>
    <w:uiPriority w:val="9"/>
    <w:pPr>
      <w:keepNext/>
      <w:keepLines/>
      <w:spacing w:before="40" w:after="0"/>
      <w:outlineLvl w:val="5"/>
    </w:pPr>
    <w:rPr>
      <w:rFonts w:eastAsia="Times New Roman" w:cs="Times New Roman"/>
      <w:i/>
      <w:iCs/>
      <w:color w:val="595959"/>
    </w:rPr>
  </w:style>
  <w:style w:type="paragraph" w:customStyle="1" w:styleId="40">
    <w:name w:val="Heading 71"/>
    <w:basedOn w:val="1"/>
    <w:next w:val="1"/>
    <w:semiHidden/>
    <w:unhideWhenUsed/>
    <w:qFormat/>
    <w:uiPriority w:val="9"/>
    <w:pPr>
      <w:keepNext/>
      <w:keepLines/>
      <w:spacing w:before="40" w:after="0"/>
      <w:outlineLvl w:val="6"/>
    </w:pPr>
    <w:rPr>
      <w:rFonts w:eastAsia="Times New Roman" w:cs="Times New Roman"/>
      <w:color w:val="595959"/>
    </w:rPr>
  </w:style>
  <w:style w:type="paragraph" w:customStyle="1" w:styleId="41">
    <w:name w:val="Heading 81"/>
    <w:basedOn w:val="1"/>
    <w:next w:val="1"/>
    <w:semiHidden/>
    <w:unhideWhenUsed/>
    <w:qFormat/>
    <w:uiPriority w:val="9"/>
    <w:pPr>
      <w:keepNext/>
      <w:keepLines/>
      <w:spacing w:after="0"/>
      <w:outlineLvl w:val="7"/>
    </w:pPr>
    <w:rPr>
      <w:rFonts w:eastAsia="Times New Roman" w:cs="Times New Roman"/>
      <w:i/>
      <w:iCs/>
      <w:color w:val="272727"/>
    </w:rPr>
  </w:style>
  <w:style w:type="paragraph" w:customStyle="1" w:styleId="42">
    <w:name w:val="Heading 91"/>
    <w:basedOn w:val="1"/>
    <w:next w:val="1"/>
    <w:semiHidden/>
    <w:unhideWhenUsed/>
    <w:qFormat/>
    <w:uiPriority w:val="9"/>
    <w:pPr>
      <w:keepNext/>
      <w:keepLines/>
      <w:spacing w:after="0"/>
      <w:outlineLvl w:val="8"/>
    </w:pPr>
    <w:rPr>
      <w:rFonts w:eastAsia="Times New Roman" w:cs="Times New Roman"/>
      <w:color w:val="272727"/>
    </w:rPr>
  </w:style>
  <w:style w:type="character" w:customStyle="1" w:styleId="43">
    <w:name w:val="Heading 2 Char"/>
    <w:basedOn w:val="11"/>
    <w:link w:val="3"/>
    <w:semiHidden/>
    <w:qFormat/>
    <w:uiPriority w:val="9"/>
    <w:rPr>
      <w:rFonts w:ascii="Aptos Display" w:hAnsi="Aptos Display" w:eastAsia="Times New Roman" w:cs="Times New Roman"/>
      <w:color w:val="0F4761"/>
      <w:sz w:val="32"/>
      <w:szCs w:val="32"/>
    </w:rPr>
  </w:style>
  <w:style w:type="character" w:customStyle="1" w:styleId="44">
    <w:name w:val="Heading 4 Char"/>
    <w:basedOn w:val="11"/>
    <w:link w:val="5"/>
    <w:semiHidden/>
    <w:qFormat/>
    <w:uiPriority w:val="9"/>
    <w:rPr>
      <w:rFonts w:eastAsia="Times New Roman" w:cs="Times New Roman"/>
      <w:i/>
      <w:iCs/>
      <w:color w:val="0F4761"/>
    </w:rPr>
  </w:style>
  <w:style w:type="character" w:customStyle="1" w:styleId="45">
    <w:name w:val="Heading 5 Char"/>
    <w:basedOn w:val="11"/>
    <w:link w:val="6"/>
    <w:semiHidden/>
    <w:qFormat/>
    <w:uiPriority w:val="9"/>
    <w:rPr>
      <w:rFonts w:eastAsia="Times New Roman" w:cs="Times New Roman"/>
      <w:color w:val="0F4761"/>
    </w:rPr>
  </w:style>
  <w:style w:type="character" w:customStyle="1" w:styleId="46">
    <w:name w:val="Heading 6 Char"/>
    <w:basedOn w:val="11"/>
    <w:link w:val="7"/>
    <w:semiHidden/>
    <w:qFormat/>
    <w:uiPriority w:val="9"/>
    <w:rPr>
      <w:rFonts w:eastAsia="Times New Roman" w:cs="Times New Roman"/>
      <w:i/>
      <w:iCs/>
      <w:color w:val="595959"/>
    </w:rPr>
  </w:style>
  <w:style w:type="character" w:customStyle="1" w:styleId="47">
    <w:name w:val="Heading 7 Char"/>
    <w:basedOn w:val="11"/>
    <w:link w:val="8"/>
    <w:semiHidden/>
    <w:qFormat/>
    <w:uiPriority w:val="9"/>
    <w:rPr>
      <w:rFonts w:eastAsia="Times New Roman" w:cs="Times New Roman"/>
      <w:color w:val="595959"/>
    </w:rPr>
  </w:style>
  <w:style w:type="character" w:customStyle="1" w:styleId="48">
    <w:name w:val="Heading 8 Char"/>
    <w:basedOn w:val="11"/>
    <w:link w:val="9"/>
    <w:semiHidden/>
    <w:qFormat/>
    <w:uiPriority w:val="9"/>
    <w:rPr>
      <w:rFonts w:eastAsia="Times New Roman" w:cs="Times New Roman"/>
      <w:i/>
      <w:iCs/>
      <w:color w:val="272727"/>
    </w:rPr>
  </w:style>
  <w:style w:type="character" w:customStyle="1" w:styleId="49">
    <w:name w:val="Heading 9 Char"/>
    <w:basedOn w:val="11"/>
    <w:link w:val="10"/>
    <w:semiHidden/>
    <w:qFormat/>
    <w:uiPriority w:val="9"/>
    <w:rPr>
      <w:rFonts w:eastAsia="Times New Roman" w:cs="Times New Roman"/>
      <w:color w:val="272727"/>
    </w:rPr>
  </w:style>
  <w:style w:type="paragraph" w:customStyle="1" w:styleId="50">
    <w:name w:val="Title1"/>
    <w:basedOn w:val="1"/>
    <w:next w:val="1"/>
    <w:qFormat/>
    <w:uiPriority w:val="10"/>
    <w:pPr>
      <w:spacing w:after="80" w:line="240" w:lineRule="auto"/>
      <w:contextualSpacing/>
    </w:pPr>
    <w:rPr>
      <w:rFonts w:ascii="Aptos Display" w:hAnsi="Aptos Display" w:eastAsia="Times New Roman" w:cs="Times New Roman"/>
      <w:spacing w:val="-10"/>
      <w:kern w:val="28"/>
      <w:sz w:val="56"/>
      <w:szCs w:val="56"/>
    </w:rPr>
  </w:style>
  <w:style w:type="character" w:customStyle="1" w:styleId="51">
    <w:name w:val="Title Char"/>
    <w:basedOn w:val="11"/>
    <w:link w:val="24"/>
    <w:qFormat/>
    <w:uiPriority w:val="10"/>
    <w:rPr>
      <w:rFonts w:ascii="Aptos Display" w:hAnsi="Aptos Display" w:eastAsia="Times New Roman" w:cs="Times New Roman"/>
      <w:spacing w:val="-10"/>
      <w:kern w:val="28"/>
      <w:sz w:val="56"/>
      <w:szCs w:val="56"/>
    </w:rPr>
  </w:style>
  <w:style w:type="paragraph" w:customStyle="1" w:styleId="52">
    <w:name w:val="Subtitle1"/>
    <w:basedOn w:val="1"/>
    <w:next w:val="1"/>
    <w:qFormat/>
    <w:uiPriority w:val="11"/>
    <w:rPr>
      <w:rFonts w:eastAsia="Times New Roman" w:cs="Times New Roman"/>
      <w:color w:val="595959"/>
      <w:spacing w:val="15"/>
      <w:sz w:val="28"/>
      <w:szCs w:val="28"/>
    </w:rPr>
  </w:style>
  <w:style w:type="character" w:customStyle="1" w:styleId="53">
    <w:name w:val="Subtitle Char"/>
    <w:basedOn w:val="11"/>
    <w:link w:val="22"/>
    <w:qFormat/>
    <w:uiPriority w:val="11"/>
    <w:rPr>
      <w:rFonts w:eastAsia="Times New Roman" w:cs="Times New Roman"/>
      <w:color w:val="595959"/>
      <w:spacing w:val="15"/>
      <w:sz w:val="28"/>
      <w:szCs w:val="28"/>
    </w:rPr>
  </w:style>
  <w:style w:type="paragraph" w:customStyle="1" w:styleId="54">
    <w:name w:val="Quote1"/>
    <w:basedOn w:val="1"/>
    <w:next w:val="1"/>
    <w:qFormat/>
    <w:uiPriority w:val="29"/>
    <w:pPr>
      <w:spacing w:before="160"/>
      <w:jc w:val="center"/>
    </w:pPr>
    <w:rPr>
      <w:i/>
      <w:iCs/>
      <w:color w:val="404040"/>
    </w:rPr>
  </w:style>
  <w:style w:type="character" w:customStyle="1" w:styleId="55">
    <w:name w:val="Quote Char"/>
    <w:basedOn w:val="11"/>
    <w:link w:val="56"/>
    <w:qFormat/>
    <w:uiPriority w:val="29"/>
    <w:rPr>
      <w:i/>
      <w:iCs/>
      <w:color w:val="404040"/>
    </w:rPr>
  </w:style>
  <w:style w:type="paragraph" w:styleId="56">
    <w:name w:val="Quote"/>
    <w:basedOn w:val="1"/>
    <w:next w:val="1"/>
    <w:link w:val="55"/>
    <w:qFormat/>
    <w:uiPriority w:val="29"/>
    <w:pPr>
      <w:spacing w:before="200"/>
      <w:ind w:left="864" w:right="864"/>
      <w:jc w:val="center"/>
    </w:pPr>
    <w:rPr>
      <w:i/>
      <w:iCs/>
      <w:color w:val="404040"/>
      <w:lang w:val="en-US"/>
    </w:rPr>
  </w:style>
  <w:style w:type="character" w:customStyle="1" w:styleId="57">
    <w:name w:val="Intense Emphasis1"/>
    <w:basedOn w:val="11"/>
    <w:qFormat/>
    <w:uiPriority w:val="21"/>
    <w:rPr>
      <w:i/>
      <w:iCs/>
      <w:color w:val="0F4761"/>
    </w:rPr>
  </w:style>
  <w:style w:type="paragraph" w:customStyle="1" w:styleId="58">
    <w:name w:val="Intense Quote1"/>
    <w:basedOn w:val="1"/>
    <w:next w:val="1"/>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59">
    <w:name w:val="Intense Quote Char"/>
    <w:basedOn w:val="11"/>
    <w:link w:val="60"/>
    <w:qFormat/>
    <w:uiPriority w:val="30"/>
    <w:rPr>
      <w:i/>
      <w:iCs/>
      <w:color w:val="0F4761"/>
    </w:rPr>
  </w:style>
  <w:style w:type="paragraph" w:styleId="60">
    <w:name w:val="Intense Quote"/>
    <w:basedOn w:val="1"/>
    <w:next w:val="1"/>
    <w:link w:val="59"/>
    <w:qFormat/>
    <w:uiPriority w:val="30"/>
    <w:pPr>
      <w:pBdr>
        <w:top w:val="single" w:color="4472C4" w:themeColor="accent1" w:sz="4" w:space="10"/>
        <w:bottom w:val="single" w:color="4472C4" w:themeColor="accent1" w:sz="4" w:space="10"/>
      </w:pBdr>
      <w:spacing w:before="360" w:after="360"/>
      <w:ind w:left="864" w:right="864"/>
      <w:jc w:val="center"/>
    </w:pPr>
    <w:rPr>
      <w:i/>
      <w:iCs/>
      <w:color w:val="0F4761"/>
      <w:lang w:val="en-US"/>
    </w:rPr>
  </w:style>
  <w:style w:type="character" w:customStyle="1" w:styleId="61">
    <w:name w:val="Intense Reference1"/>
    <w:basedOn w:val="11"/>
    <w:qFormat/>
    <w:uiPriority w:val="32"/>
    <w:rPr>
      <w:b/>
      <w:bCs/>
      <w:smallCaps/>
      <w:color w:val="0F4761"/>
      <w:spacing w:val="5"/>
    </w:rPr>
  </w:style>
  <w:style w:type="paragraph" w:customStyle="1" w:styleId="62">
    <w:name w:val="Default"/>
    <w:qFormat/>
    <w:uiPriority w:val="0"/>
    <w:pPr>
      <w:autoSpaceDE w:val="0"/>
      <w:autoSpaceDN w:val="0"/>
      <w:adjustRightInd w:val="0"/>
      <w:spacing w:after="0" w:line="240" w:lineRule="auto"/>
    </w:pPr>
    <w:rPr>
      <w:rFonts w:ascii="Myriad Pro Light" w:hAnsi="Myriad Pro Light" w:eastAsia="Times New Roman" w:cs="Myriad Pro Light"/>
      <w:color w:val="000000"/>
      <w:sz w:val="24"/>
      <w:szCs w:val="24"/>
      <w:lang w:val="en-US" w:eastAsia="en-US" w:bidi="ar-SA"/>
    </w:rPr>
  </w:style>
  <w:style w:type="character" w:customStyle="1" w:styleId="63">
    <w:name w:val="Heading 2 Char1"/>
    <w:basedOn w:val="11"/>
    <w:semiHidden/>
    <w:qFormat/>
    <w:uiPriority w:val="9"/>
    <w:rPr>
      <w:rFonts w:asciiTheme="majorHAnsi" w:hAnsiTheme="majorHAnsi" w:eastAsiaTheme="majorEastAsia" w:cstheme="majorBidi"/>
      <w:color w:val="2F5597" w:themeColor="accent1" w:themeShade="BF"/>
      <w:sz w:val="26"/>
      <w:szCs w:val="26"/>
      <w:lang w:val="en-GB"/>
    </w:rPr>
  </w:style>
  <w:style w:type="character" w:customStyle="1" w:styleId="64">
    <w:name w:val="Heading 4 Char1"/>
    <w:basedOn w:val="11"/>
    <w:semiHidden/>
    <w:qFormat/>
    <w:uiPriority w:val="9"/>
    <w:rPr>
      <w:rFonts w:asciiTheme="majorHAnsi" w:hAnsiTheme="majorHAnsi" w:eastAsiaTheme="majorEastAsia" w:cstheme="majorBidi"/>
      <w:i/>
      <w:iCs/>
      <w:color w:val="2F5597" w:themeColor="accent1" w:themeShade="BF"/>
      <w:lang w:val="en-GB"/>
    </w:rPr>
  </w:style>
  <w:style w:type="character" w:customStyle="1" w:styleId="65">
    <w:name w:val="Heading 5 Char1"/>
    <w:basedOn w:val="11"/>
    <w:semiHidden/>
    <w:qFormat/>
    <w:uiPriority w:val="9"/>
    <w:rPr>
      <w:rFonts w:asciiTheme="majorHAnsi" w:hAnsiTheme="majorHAnsi" w:eastAsiaTheme="majorEastAsia" w:cstheme="majorBidi"/>
      <w:color w:val="2F5597" w:themeColor="accent1" w:themeShade="BF"/>
      <w:lang w:val="en-GB"/>
    </w:rPr>
  </w:style>
  <w:style w:type="character" w:customStyle="1" w:styleId="66">
    <w:name w:val="Heading 6 Char1"/>
    <w:basedOn w:val="11"/>
    <w:semiHidden/>
    <w:qFormat/>
    <w:uiPriority w:val="9"/>
    <w:rPr>
      <w:rFonts w:asciiTheme="majorHAnsi" w:hAnsiTheme="majorHAnsi" w:eastAsiaTheme="majorEastAsia" w:cstheme="majorBidi"/>
      <w:color w:val="203864" w:themeColor="accent1" w:themeShade="80"/>
      <w:lang w:val="en-GB"/>
    </w:rPr>
  </w:style>
  <w:style w:type="character" w:customStyle="1" w:styleId="67">
    <w:name w:val="Heading 7 Char1"/>
    <w:basedOn w:val="11"/>
    <w:semiHidden/>
    <w:qFormat/>
    <w:uiPriority w:val="9"/>
    <w:rPr>
      <w:rFonts w:asciiTheme="majorHAnsi" w:hAnsiTheme="majorHAnsi" w:eastAsiaTheme="majorEastAsia" w:cstheme="majorBidi"/>
      <w:i/>
      <w:iCs/>
      <w:color w:val="203864" w:themeColor="accent1" w:themeShade="80"/>
      <w:lang w:val="en-GB"/>
    </w:rPr>
  </w:style>
  <w:style w:type="character" w:customStyle="1" w:styleId="68">
    <w:name w:val="Heading 8 Char1"/>
    <w:basedOn w:val="11"/>
    <w:semiHidden/>
    <w:qFormat/>
    <w:uiPriority w:val="9"/>
    <w:rPr>
      <w:rFonts w:asciiTheme="majorHAnsi" w:hAnsiTheme="majorHAnsi" w:eastAsiaTheme="majorEastAsia" w:cstheme="majorBidi"/>
      <w:color w:val="262626" w:themeColor="text1" w:themeTint="D9"/>
      <w:sz w:val="21"/>
      <w:szCs w:val="21"/>
      <w:lang w:val="en-GB"/>
      <w14:textFill>
        <w14:solidFill>
          <w14:schemeClr w14:val="tx1">
            <w14:lumMod w14:val="85000"/>
            <w14:lumOff w14:val="15000"/>
          </w14:schemeClr>
        </w14:solidFill>
      </w14:textFill>
    </w:rPr>
  </w:style>
  <w:style w:type="character" w:customStyle="1" w:styleId="69">
    <w:name w:val="Heading 9 Char1"/>
    <w:basedOn w:val="11"/>
    <w:semiHidden/>
    <w:qFormat/>
    <w:uiPriority w:val="9"/>
    <w:rPr>
      <w:rFonts w:asciiTheme="majorHAnsi" w:hAnsiTheme="majorHAnsi" w:eastAsiaTheme="majorEastAsia" w:cstheme="majorBidi"/>
      <w:i/>
      <w:iCs/>
      <w:color w:val="262626" w:themeColor="text1" w:themeTint="D9"/>
      <w:sz w:val="21"/>
      <w:szCs w:val="21"/>
      <w:lang w:val="en-GB"/>
      <w14:textFill>
        <w14:solidFill>
          <w14:schemeClr w14:val="tx1">
            <w14:lumMod w14:val="85000"/>
            <w14:lumOff w14:val="15000"/>
          </w14:schemeClr>
        </w14:solidFill>
      </w14:textFill>
    </w:rPr>
  </w:style>
  <w:style w:type="character" w:customStyle="1" w:styleId="70">
    <w:name w:val="Title Char1"/>
    <w:basedOn w:val="11"/>
    <w:qFormat/>
    <w:uiPriority w:val="10"/>
    <w:rPr>
      <w:rFonts w:asciiTheme="majorHAnsi" w:hAnsiTheme="majorHAnsi" w:eastAsiaTheme="majorEastAsia" w:cstheme="majorBidi"/>
      <w:spacing w:val="-10"/>
      <w:kern w:val="28"/>
      <w:sz w:val="56"/>
      <w:szCs w:val="56"/>
      <w:lang w:val="en-GB"/>
    </w:rPr>
  </w:style>
  <w:style w:type="character" w:customStyle="1" w:styleId="71">
    <w:name w:val="Subtitle Char1"/>
    <w:basedOn w:val="11"/>
    <w:qFormat/>
    <w:uiPriority w:val="11"/>
    <w:rPr>
      <w:rFonts w:asciiTheme="minorHAnsi" w:hAnsiTheme="minorHAnsi" w:eastAsiaTheme="minorEastAsia" w:cstheme="minorBidi"/>
      <w:color w:val="595959" w:themeColor="text1" w:themeTint="A6"/>
      <w:spacing w:val="15"/>
      <w:sz w:val="22"/>
      <w:szCs w:val="22"/>
      <w:lang w:val="en-GB"/>
      <w14:textFill>
        <w14:solidFill>
          <w14:schemeClr w14:val="tx1">
            <w14:lumMod w14:val="65000"/>
            <w14:lumOff w14:val="35000"/>
          </w14:schemeClr>
        </w14:solidFill>
      </w14:textFill>
    </w:rPr>
  </w:style>
  <w:style w:type="character" w:customStyle="1" w:styleId="72">
    <w:name w:val="Quote Char1"/>
    <w:basedOn w:val="11"/>
    <w:qFormat/>
    <w:uiPriority w:val="29"/>
    <w:rPr>
      <w:i/>
      <w:iCs/>
      <w:color w:val="404040" w:themeColor="text1" w:themeTint="BF"/>
      <w:lang w:val="en-GB"/>
      <w14:textFill>
        <w14:solidFill>
          <w14:schemeClr w14:val="tx1">
            <w14:lumMod w14:val="75000"/>
            <w14:lumOff w14:val="25000"/>
          </w14:schemeClr>
        </w14:solidFill>
      </w14:textFill>
    </w:rPr>
  </w:style>
  <w:style w:type="character" w:customStyle="1" w:styleId="73">
    <w:name w:val="Intense Emphasis"/>
    <w:basedOn w:val="11"/>
    <w:qFormat/>
    <w:uiPriority w:val="21"/>
    <w:rPr>
      <w:i/>
      <w:iCs/>
      <w:color w:val="4472C4" w:themeColor="accent1"/>
      <w14:textFill>
        <w14:solidFill>
          <w14:schemeClr w14:val="accent1"/>
        </w14:solidFill>
      </w14:textFill>
    </w:rPr>
  </w:style>
  <w:style w:type="character" w:customStyle="1" w:styleId="74">
    <w:name w:val="Intense Quote Char1"/>
    <w:basedOn w:val="11"/>
    <w:qFormat/>
    <w:uiPriority w:val="30"/>
    <w:rPr>
      <w:i/>
      <w:iCs/>
      <w:color w:val="4472C4" w:themeColor="accent1"/>
      <w:lang w:val="en-GB"/>
      <w14:textFill>
        <w14:solidFill>
          <w14:schemeClr w14:val="accent1"/>
        </w14:solidFill>
      </w14:textFill>
    </w:rPr>
  </w:style>
  <w:style w:type="character" w:customStyle="1" w:styleId="75">
    <w:name w:val="Intense Reference"/>
    <w:basedOn w:val="11"/>
    <w:qFormat/>
    <w:uiPriority w:val="32"/>
    <w:rPr>
      <w:b/>
      <w:bCs/>
      <w:smallCaps/>
      <w:color w:val="4472C4" w:themeColor="accent1"/>
      <w:spacing w:val="5"/>
      <w14:textFill>
        <w14:solidFill>
          <w14:schemeClr w14:val="accent1"/>
        </w14:solidFill>
      </w14:textFill>
    </w:rPr>
  </w:style>
  <w:style w:type="table" w:customStyle="1" w:styleId="76">
    <w:name w:val="Table Grid2"/>
    <w:basedOn w:val="12"/>
    <w:qFormat/>
    <w:uiPriority w:val="39"/>
    <w:pPr>
      <w:spacing w:after="0" w:line="240" w:lineRule="auto"/>
    </w:pPr>
    <w:rPr>
      <w:rFonts w:ascii="Calibri" w:hAnsi="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7">
    <w:name w:val="Unresolved Mention"/>
    <w:basedOn w:val="11"/>
    <w:semiHidden/>
    <w:unhideWhenUsed/>
    <w:qFormat/>
    <w:uiPriority w:val="99"/>
    <w:rPr>
      <w:color w:val="605E5C"/>
      <w:shd w:val="clear" w:color="auto" w:fill="E1DFDD"/>
    </w:rPr>
  </w:style>
  <w:style w:type="character" w:customStyle="1" w:styleId="78">
    <w:name w:val="Comment Text Char"/>
    <w:basedOn w:val="11"/>
    <w:link w:val="14"/>
    <w:semiHidden/>
    <w:qFormat/>
    <w:uiPriority w:val="99"/>
    <w:rPr>
      <w:sz w:val="20"/>
      <w:szCs w:val="20"/>
      <w:lang w:val="en-GB"/>
    </w:rPr>
  </w:style>
  <w:style w:type="character" w:customStyle="1" w:styleId="79">
    <w:name w:val="Comment Subject Char"/>
    <w:basedOn w:val="78"/>
    <w:link w:val="15"/>
    <w:semiHidden/>
    <w:qFormat/>
    <w:uiPriority w:val="99"/>
    <w:rPr>
      <w:b/>
      <w:bCs/>
      <w:sz w:val="20"/>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Grö23</b:Tag>
    <b:SourceType>JournalArticle</b:SourceType>
    <b:Guid>{4982A5B8-2CE9-4D3C-957F-AB056FBE7C88}</b:Guid>
    <b:Author>
      <b:Author>
        <b:NameList>
          <b:Person>
            <b:Last>Grömling</b:Last>
            <b:First>Michael</b:First>
          </b:Person>
          <b:Person>
            <b:Last>Koenen</b:Last>
            <b:First>Michelle</b:First>
          </b:Person>
          <b:Person>
            <b:Last>Kunath</b:Last>
            <b:First>Gero</b:First>
          </b:Person>
          <b:Person>
            <b:Last>Obst</b:Last>
            <b:First>Thomas</b:First>
          </b:Person>
          <b:Person>
            <b:Last>Parthie</b:Last>
            <b:First>Sandra</b:First>
          </b:Person>
        </b:NameList>
      </b:Author>
    </b:Author>
    <b:Title>Deindustrialisation – A European Assessment</b:Title>
    <b:JournalName>Review of European Economic Policy</b:JournalName>
    <b:Year>2023</b:Year>
    <b:Pages>209–214</b:Pages>
    <b:RefOrder>1</b:RefOrder>
  </b:Source>
</b:Sources>
</file>

<file path=customXml/itemProps1.xml><?xml version="1.0" encoding="utf-8"?>
<ds:datastoreItem xmlns:ds="http://schemas.openxmlformats.org/officeDocument/2006/customXml" ds:itemID="{EBF1E21E-DD96-4550-B6F1-BA7310ADAEFE}">
  <ds:schemaRefs/>
</ds:datastoreItem>
</file>

<file path=docProps/app.xml><?xml version="1.0" encoding="utf-8"?>
<Properties xmlns="http://schemas.openxmlformats.org/officeDocument/2006/extended-properties" xmlns:vt="http://schemas.openxmlformats.org/officeDocument/2006/docPropsVTypes">
  <Template>Normal</Template>
  <Pages>19</Pages>
  <Words>6232</Words>
  <Characters>38764</Characters>
  <Lines>901</Lines>
  <Paragraphs>542</Paragraphs>
  <TotalTime>2</TotalTime>
  <ScaleCrop>false</ScaleCrop>
  <LinksUpToDate>false</LinksUpToDate>
  <CharactersWithSpaces>44454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2025-05-06T09:50:00Z</dcterms:created>
  <dc:creator>JOHN, ELIJAH ADAYILO</dc:creator>
  <cp:lastModifiedBy>John Elijah</cp:lastModifiedBy>
  <cp:lastPrinted>2025-12-29T12:59:00Z</cp:lastPrinted>
  <dcterms:modified xsi:type="dcterms:W3CDTF">2026-04-16T11:55:17Z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3CE46F79636D4E7DB9178D30287BFED2_12</vt:lpwstr>
  </property>
</Properties>
</file>