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D0D69" w14:textId="77777777" w:rsidR="003C11B1"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ETHICAL CLIMATE AS A MODERATOR IN THE INFLUENCE OF INTERNAL CONTROL EFFECTIVENESS ON TREASURY PERFORMANCE AMONG LOCAL GOVERNMENT UNITS</w:t>
      </w:r>
    </w:p>
    <w:p w14:paraId="03E83DAE" w14:textId="77777777" w:rsidR="003C11B1"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Apgrant F. Cagoco</w:t>
      </w:r>
    </w:p>
    <w:p w14:paraId="7F92E917" w14:textId="77777777" w:rsidR="003C11B1"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Acting Municipal Treasurer</w:t>
      </w:r>
    </w:p>
    <w:p w14:paraId="42050FFD" w14:textId="77777777" w:rsidR="003C11B1"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Local Government Unit of Kinoguitan</w:t>
      </w:r>
    </w:p>
    <w:p w14:paraId="574347D5" w14:textId="77777777" w:rsidR="003C11B1" w:rsidRDefault="00000000">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Misamis Oriental</w:t>
      </w:r>
    </w:p>
    <w:p w14:paraId="4B2797EF" w14:textId="77777777" w:rsidR="003C11B1" w:rsidRDefault="00000000">
      <w:pPr>
        <w:pStyle w:val="Heading1"/>
      </w:pPr>
      <w:bookmarkStart w:id="0" w:name="_ph40i7o3s4os" w:colFirst="0" w:colLast="0"/>
      <w:bookmarkEnd w:id="0"/>
      <w:r>
        <w:t>ABSTRACT</w:t>
      </w:r>
    </w:p>
    <w:p w14:paraId="48FC98B2"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 government units (LGUs) are entrusted with managing public funds and resources efficiently, transparently, and in accordance with regulations. Effective treasury operations depend on strong internal control systems, which are formally mandated in public institutions to enhance financial discipline, cash management, and organizational performance, but variations in implementation and ethical context may influence how these controls translate into actual performance outcomes. Supported by Agency Theory, Stewardship Theory, and Ethical Climate Theory, this study investigated the influence of internal control effectiveness on local treasury performance among LGUs in Misamis Oriental. It also determined whether the ethical climate has a significant moderating effect on the relationship between these variables. A quantitative design with moderation analysis was employed with 120 respondents across the selected 24 LGUs. Quantitative data were gathered using structured surveys, while key informant interviews (KII) were conducted to gather qualitative information. Descriptive statistics, non-parametric tests, and both simple linear and multiple regression were employed to analyze the data. The findings showed that the internal control effectiveness has a significant influence on local treasury performance. Furthermore, among the dimensions of internal control effectiveness, the control environment and monitoring strongly predict performance, highlighting the importance of leadership tone, integrity, and accountability, as well as continuous oversight of treasury operations. Moreover, no significant differences in internal control effectiveness or local treasury performance were observed when respondents were grouped by age, sex, or years of service, since public service requires integrity and adherence to standardized governance systems rather than demographic attributes. Finally, ethical climate did not significantly moderate the influence of internal control effectiveness on local treasury performance, but it did show a significant positive direct effect on such performance since a positive ethical environment independently reinforces responsible behavior and performance, even when formal control systems are already in place in the LGUs. Qualitative findings identified implementation challenges, including resource constraints, weak ethical leadership &amp; political influence, insufficient training, and resistance to change. The study further implies that treasury performance may be strengthened by institutionalizing ethical oversight structures, feedback mechanisms, embedding ethics in evaluation systems, investing in continuous training, and adopting digitalization and periodic internal audit review.</w:t>
      </w:r>
    </w:p>
    <w:p w14:paraId="1D7ABB95" w14:textId="77777777" w:rsidR="003C11B1" w:rsidRDefault="003C11B1">
      <w:pPr>
        <w:spacing w:line="240" w:lineRule="auto"/>
        <w:jc w:val="both"/>
        <w:rPr>
          <w:rFonts w:ascii="Times New Roman" w:eastAsia="Times New Roman" w:hAnsi="Times New Roman" w:cs="Times New Roman"/>
          <w:sz w:val="24"/>
          <w:szCs w:val="24"/>
        </w:rPr>
      </w:pPr>
    </w:p>
    <w:p w14:paraId="087B1195" w14:textId="590587D6" w:rsidR="003C11B1" w:rsidRDefault="00000000">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i/>
          <w:iCs/>
          <w:sz w:val="24"/>
          <w:szCs w:val="24"/>
        </w:rPr>
        <w:t xml:space="preserve"> Ethical Culture, Financial Stewardship, Public Financial Management, Public Sector Accountability</w:t>
      </w:r>
      <w:r w:rsidR="00747364">
        <w:rPr>
          <w:rFonts w:ascii="Times New Roman" w:eastAsia="Times New Roman" w:hAnsi="Times New Roman" w:cs="Times New Roman"/>
          <w:i/>
          <w:iCs/>
          <w:sz w:val="24"/>
          <w:szCs w:val="24"/>
        </w:rPr>
        <w:t xml:space="preserve">, </w:t>
      </w:r>
      <w:r w:rsidR="00747364" w:rsidRPr="00747364">
        <w:rPr>
          <w:rFonts w:ascii="Times New Roman" w:eastAsia="Times New Roman" w:hAnsi="Times New Roman" w:cs="Times New Roman"/>
          <w:i/>
          <w:iCs/>
          <w:sz w:val="24"/>
          <w:szCs w:val="24"/>
        </w:rPr>
        <w:t>Internal Control System, Public Governance, Financial Transparency</w:t>
      </w:r>
    </w:p>
    <w:p w14:paraId="745E3B6C" w14:textId="77777777" w:rsidR="003C11B1" w:rsidRDefault="003C11B1">
      <w:pPr>
        <w:spacing w:line="240" w:lineRule="auto"/>
        <w:jc w:val="both"/>
        <w:rPr>
          <w:rFonts w:ascii="Times New Roman" w:eastAsia="Times New Roman" w:hAnsi="Times New Roman" w:cs="Times New Roman"/>
          <w:i/>
          <w:iCs/>
          <w:sz w:val="24"/>
          <w:szCs w:val="24"/>
        </w:rPr>
      </w:pPr>
    </w:p>
    <w:p w14:paraId="5E1A8436" w14:textId="77777777" w:rsidR="003C11B1" w:rsidRDefault="003C11B1">
      <w:pPr>
        <w:spacing w:line="240" w:lineRule="auto"/>
        <w:jc w:val="both"/>
        <w:rPr>
          <w:rFonts w:ascii="Times New Roman" w:eastAsia="Times New Roman" w:hAnsi="Times New Roman" w:cs="Times New Roman"/>
          <w:i/>
          <w:iCs/>
          <w:sz w:val="24"/>
          <w:szCs w:val="24"/>
        </w:rPr>
      </w:pPr>
    </w:p>
    <w:p w14:paraId="3A4EEDB3" w14:textId="77777777" w:rsidR="003C11B1" w:rsidRDefault="003C11B1">
      <w:pPr>
        <w:spacing w:line="240" w:lineRule="auto"/>
        <w:jc w:val="both"/>
        <w:rPr>
          <w:rFonts w:ascii="Times New Roman" w:eastAsia="Times New Roman" w:hAnsi="Times New Roman" w:cs="Times New Roman"/>
          <w:i/>
          <w:iCs/>
          <w:sz w:val="24"/>
          <w:szCs w:val="24"/>
        </w:rPr>
      </w:pPr>
    </w:p>
    <w:p w14:paraId="0101BCF4" w14:textId="77777777" w:rsidR="003C11B1" w:rsidRDefault="003C11B1">
      <w:pPr>
        <w:spacing w:line="240" w:lineRule="auto"/>
        <w:jc w:val="both"/>
        <w:rPr>
          <w:rFonts w:ascii="Times New Roman" w:eastAsia="Times New Roman" w:hAnsi="Times New Roman" w:cs="Times New Roman"/>
          <w:i/>
          <w:iCs/>
          <w:sz w:val="24"/>
          <w:szCs w:val="24"/>
        </w:rPr>
      </w:pPr>
    </w:p>
    <w:p w14:paraId="3ABA96B6" w14:textId="77777777" w:rsidR="003C11B1" w:rsidRDefault="003C11B1">
      <w:pPr>
        <w:spacing w:line="240" w:lineRule="auto"/>
        <w:jc w:val="both"/>
        <w:rPr>
          <w:rFonts w:ascii="Times New Roman" w:eastAsia="Times New Roman" w:hAnsi="Times New Roman" w:cs="Times New Roman"/>
          <w:i/>
          <w:iCs/>
          <w:sz w:val="24"/>
          <w:szCs w:val="24"/>
        </w:rPr>
      </w:pPr>
    </w:p>
    <w:p w14:paraId="23349531" w14:textId="77777777" w:rsidR="003C11B1" w:rsidRDefault="00000000">
      <w:pPr>
        <w:pStyle w:val="Heading1"/>
      </w:pPr>
      <w:bookmarkStart w:id="1" w:name="_mmsofd2fnbqt" w:colFirst="0" w:colLast="0"/>
      <w:bookmarkEnd w:id="1"/>
      <w:r>
        <w:lastRenderedPageBreak/>
        <w:t>INTRODUCTION</w:t>
      </w:r>
    </w:p>
    <w:p w14:paraId="334C4C46"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Public service begins with a simple but powerful idea: public office is a public trust. Local government units (LGUs) demonstrate this trust by gathering, safeguarding, and allocating public funds to community needs. The local treasury office is in charge of collecting taxes, fees, and other revenue and ensuring that the money is deposited, documented, and reported legally (Bureau of Local Government Finance [BLGF], 2019). When treasury operations are effective, citizens see roads repaired, water systems maintained, and public services sustained.  Thus, sound financial management promotes local development and public trust (Ansa, 2013, as cited in </w:t>
      </w:r>
      <w:proofErr w:type="spellStart"/>
      <w:r>
        <w:rPr>
          <w:rFonts w:ascii="Times New Roman" w:eastAsia="Times New Roman" w:hAnsi="Times New Roman" w:cs="Times New Roman"/>
          <w:sz w:val="24"/>
          <w:szCs w:val="24"/>
        </w:rPr>
        <w:t>Erricoa</w:t>
      </w:r>
      <w:proofErr w:type="spellEnd"/>
      <w:r>
        <w:rPr>
          <w:rFonts w:ascii="Times New Roman" w:eastAsia="Times New Roman" w:hAnsi="Times New Roman" w:cs="Times New Roman"/>
          <w:sz w:val="24"/>
          <w:szCs w:val="24"/>
        </w:rPr>
        <w:t xml:space="preserve"> et al., 2023).</w:t>
      </w:r>
    </w:p>
    <w:p w14:paraId="1116DA3F"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Governments everywhere acknowledge that ethical behavior, accountability, and transparency are critical to providing high-quality public services. The World Bank (2023) says that managing public money responsibly prevents its misuse and improves services. Similarly, integrity is emphasized as a cornerstone of public financial management by the Chartered Institute of Public Finance and Accountancy (CIPFA, 2022). According to </w:t>
      </w:r>
      <w:proofErr w:type="spellStart"/>
      <w:r>
        <w:rPr>
          <w:rFonts w:ascii="Times New Roman" w:eastAsia="Times New Roman" w:hAnsi="Times New Roman" w:cs="Times New Roman"/>
          <w:sz w:val="24"/>
          <w:szCs w:val="24"/>
        </w:rPr>
        <w:t>Farazmand</w:t>
      </w:r>
      <w:proofErr w:type="spellEnd"/>
      <w:r>
        <w:rPr>
          <w:rFonts w:ascii="Times New Roman" w:eastAsia="Times New Roman" w:hAnsi="Times New Roman" w:cs="Times New Roman"/>
          <w:sz w:val="24"/>
          <w:szCs w:val="24"/>
        </w:rPr>
        <w:t xml:space="preserve"> et al. (2022), the likelihood of corruption and poor management rises when oversight is inadequate and transparency decreases. These global insights are very important for the Philippines, where LGUs work within detailed legal and audit frameworks.</w:t>
      </w:r>
    </w:p>
    <w:p w14:paraId="34BF5AEF"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Local Government Code of 1991 (Republic Act 7160), Commission on Audit (COA) circulars, and public sector internal control standards necessitate accurate, reliable financial reporting, timely deposits, proper documentation, and accountability for unauthorized spending. The Anti-Graft and Corrupt Practices Act (Republic Act 3019) and the Code of Conduct and Ethical Standards for Public Officials (Republic Act 6713) both serve to further strengthen ethical standards. At first glance, the system seems both thorough and rigorous.</w:t>
      </w:r>
    </w:p>
    <w:p w14:paraId="2C105792"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Nonetheless, persistent COA findings, such as unreconciled accounts, unliquidated cash advances, missing records, and delayed deposits, indicate that there may still be compliance gaps. Court cases involving finance and treasury officials demonstrate that control failures can result in administrative sanctions, including civil and criminal liability.</w:t>
      </w:r>
    </w:p>
    <w:p w14:paraId="09FC403A"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Internal control systems do provide formal safeguards (COSO, 2013, as cited in </w:t>
      </w:r>
      <w:proofErr w:type="spellStart"/>
      <w:r>
        <w:rPr>
          <w:rFonts w:ascii="Times New Roman" w:eastAsia="Times New Roman" w:hAnsi="Times New Roman" w:cs="Times New Roman"/>
          <w:sz w:val="24"/>
          <w:szCs w:val="24"/>
        </w:rPr>
        <w:t>Pkatey</w:t>
      </w:r>
      <w:proofErr w:type="spellEnd"/>
      <w:r>
        <w:rPr>
          <w:rFonts w:ascii="Times New Roman" w:eastAsia="Times New Roman" w:hAnsi="Times New Roman" w:cs="Times New Roman"/>
          <w:sz w:val="24"/>
          <w:szCs w:val="24"/>
        </w:rPr>
        <w:t>, 2024), but they don't work alone. Research on organizational behavior indicates that employees' conduct is shaped by the ethical climate of their workplace, defined as their collective perception of what is right or wrong (Victor &amp; Cullen, 1987, 1988, as cited in Newman et al., 2020). Over time, small lapses may become normalized if they are accepted (Mendoza et al., 2025). People use Bandura's idea of moral disengagement to explain how they make excuses for bad behavior, especially when there doesn't seem to be much oversight (Bandura, 1999, as cited in Newman et al., 2020).</w:t>
      </w:r>
    </w:p>
    <w:p w14:paraId="2D38AFC9"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international studies link internal controls and ethical climate to organizational performance (Abdou et al., 2024; </w:t>
      </w:r>
      <w:proofErr w:type="spellStart"/>
      <w:r>
        <w:rPr>
          <w:rFonts w:ascii="Times New Roman" w:eastAsia="Times New Roman" w:hAnsi="Times New Roman" w:cs="Times New Roman"/>
          <w:sz w:val="24"/>
          <w:szCs w:val="24"/>
        </w:rPr>
        <w:t>Bashaija</w:t>
      </w:r>
      <w:proofErr w:type="spellEnd"/>
      <w:r>
        <w:rPr>
          <w:rFonts w:ascii="Times New Roman" w:eastAsia="Times New Roman" w:hAnsi="Times New Roman" w:cs="Times New Roman"/>
          <w:sz w:val="24"/>
          <w:szCs w:val="24"/>
        </w:rPr>
        <w:t xml:space="preserve">, 2022; </w:t>
      </w:r>
      <w:proofErr w:type="spellStart"/>
      <w:r>
        <w:rPr>
          <w:rFonts w:ascii="Times New Roman" w:eastAsia="Times New Roman" w:hAnsi="Times New Roman" w:cs="Times New Roman"/>
          <w:sz w:val="24"/>
          <w:szCs w:val="24"/>
        </w:rPr>
        <w:t>Mahadeen</w:t>
      </w:r>
      <w:proofErr w:type="spellEnd"/>
      <w:r>
        <w:rPr>
          <w:rFonts w:ascii="Times New Roman" w:eastAsia="Times New Roman" w:hAnsi="Times New Roman" w:cs="Times New Roman"/>
          <w:sz w:val="24"/>
          <w:szCs w:val="24"/>
        </w:rPr>
        <w:t xml:space="preserve"> et al., 2016), limited empirical research examines how these factors interact within Philippine LGU treasury offices. This gap is particularly relevant in provinces like Misamis Oriental, where LGUs operate under the same laws yet differ in fiscal capacity and governance performance (National Competitiveness Council, 2023).</w:t>
      </w:r>
    </w:p>
    <w:p w14:paraId="72BC8D21"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Thus, this study seeks to examine how local treasury performance is influenced by the internal control effectiveness and how this relationship is moderated by the ethical climate. By concentrating on city and municipal treasury offices in Misamis Oriental, the study seeks to examine how workplace ethics and structural systems interact to influence accountability and financial governance in local governments.</w:t>
      </w:r>
    </w:p>
    <w:p w14:paraId="467F2665" w14:textId="77777777" w:rsidR="003C11B1" w:rsidRDefault="003C11B1">
      <w:pPr>
        <w:spacing w:line="240" w:lineRule="auto"/>
        <w:ind w:firstLine="720"/>
        <w:jc w:val="both"/>
        <w:rPr>
          <w:rFonts w:ascii="Times New Roman" w:eastAsia="Times New Roman" w:hAnsi="Times New Roman" w:cs="Times New Roman"/>
          <w:sz w:val="24"/>
          <w:szCs w:val="24"/>
        </w:rPr>
      </w:pPr>
    </w:p>
    <w:p w14:paraId="16F0D0D4" w14:textId="77777777" w:rsidR="003C11B1" w:rsidRDefault="00000000">
      <w:pPr>
        <w:pStyle w:val="Heading1"/>
      </w:pPr>
      <w:bookmarkStart w:id="2" w:name="_wuskvdh3nzan" w:colFirst="0" w:colLast="0"/>
      <w:bookmarkEnd w:id="2"/>
      <w:r>
        <w:t>METHODOLOGY</w:t>
      </w:r>
    </w:p>
    <w:p w14:paraId="2F880A37" w14:textId="77777777" w:rsidR="003C11B1"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This study employed a quantitative research design with moderation analysis to examine the relationships among internal control effectiveness, ethical climate, and local treasury performance in selected local government units (LGUs) of Misamis Oriental. The study aimed to measure perceptions quantitatively, test hypothesized relationships, and determine whether internal control effectiveness significantly influences local treasury performance. Moderation analysis was utilized to assess whether ethical climate alters or conditions the strength of this relationship.</w:t>
      </w:r>
    </w:p>
    <w:p w14:paraId="10FCB879"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conducted in the 22 municipalities and 2 component cities of Misamis Oriental, excluding Cagayan de Oro City due to its political and fiscal independence as a highly urbanized city. Although these LGUs operate under uniform national laws and audit regulations, they vary in income classification and fiscal capacity, making the province an appropriate setting for examining differences in treasury performance within the same regulatory environment.</w:t>
      </w:r>
    </w:p>
    <w:p w14:paraId="4A3DC14A"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respondents consisted of 120 treasury-involved personnel, with five (5) respondents selected from each of the twenty-four (24) LGUs requested. These individuals hold key financial positions or designations directly engaged in fiscal management. Their responsibilities include revenue collection, fund custody, disbursement processing, obligation control, financial recording, and compliance with audit requirements. Random selection within identified treasury-related positions ensured appropriate representation of finance personnel and enhanced data reliability, consistent with the principle that sampling strategies must align with the study’s purpose (</w:t>
      </w:r>
      <w:proofErr w:type="spellStart"/>
      <w:r>
        <w:rPr>
          <w:rFonts w:ascii="Times New Roman" w:eastAsia="Times New Roman" w:hAnsi="Times New Roman" w:cs="Times New Roman"/>
          <w:sz w:val="24"/>
          <w:szCs w:val="24"/>
        </w:rPr>
        <w:t>Etikan</w:t>
      </w:r>
      <w:proofErr w:type="spellEnd"/>
      <w:r>
        <w:rPr>
          <w:rFonts w:ascii="Times New Roman" w:eastAsia="Times New Roman" w:hAnsi="Times New Roman" w:cs="Times New Roman"/>
          <w:sz w:val="24"/>
          <w:szCs w:val="24"/>
        </w:rPr>
        <w:t xml:space="preserve"> &amp; Bala, 2017).</w:t>
      </w:r>
    </w:p>
    <w:p w14:paraId="3E2D0ABA"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were gathered using a structured questionnaire composed of four sections: respondent profile, internal control effectiveness, ethical climate, and local treasury performance. The instrument for internal control effectiveness was adapted from the Office of the Comptroller of the Currency (OCC) Internal Control Questionnaire (ICQ), which is based on the Committee of Sponsoring Organizations of the Treadway Commission (COSO) Framework. Local treasury performance was measured using a contextualized adaptation of the Individual Work Performance Questionnaire (IWPQ) developed by Koopmans et al. (2012), tailored to reflect treasury-related functions within LGUs. Ethical climate was assessed using an adapted version of the Ethical Climate Index (ECI) developed by Arnaud (2010, as cited in Loke, 2019), aligned with public sector governance settings. All items were measured using a four-point Likert scale. The instrument underwent expert validation by three experts in public financial management and was pilot-tested with 30 LGU personnel apart from the study’s respondents. Reliability testing yielded strong internal consistency (Cronbach’s alpha ranging from .92 to .95).</w:t>
      </w:r>
    </w:p>
    <w:p w14:paraId="6101490D"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data collection, necessary approvals were secured from the concerned authorities. Participation was voluntary, and confidentiality was strictly maintained. Data were analyzed using SPSS. Descriptive statistics summarized respondent profiles and variable levels. Multiple regression analysis determined the influence of internal control effectiveness on local treasury performance, while moderation analysis tested the interaction effect between internal control effectiveness and ethical climate.</w:t>
      </w:r>
    </w:p>
    <w:p w14:paraId="095C5C81"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methodological approach provided a systematic and statistically grounded basis for explaining how structural internal controls and ethical climate jointly influence treasury performance in LGUs.</w:t>
      </w:r>
    </w:p>
    <w:p w14:paraId="3755801B" w14:textId="77777777" w:rsidR="003C11B1" w:rsidRDefault="003C11B1">
      <w:pPr>
        <w:spacing w:line="240" w:lineRule="auto"/>
        <w:ind w:firstLine="720"/>
        <w:jc w:val="both"/>
        <w:rPr>
          <w:rFonts w:ascii="Times New Roman" w:eastAsia="Times New Roman" w:hAnsi="Times New Roman" w:cs="Times New Roman"/>
          <w:sz w:val="24"/>
          <w:szCs w:val="24"/>
        </w:rPr>
      </w:pPr>
    </w:p>
    <w:p w14:paraId="66204AF9" w14:textId="77777777" w:rsidR="003C11B1" w:rsidRDefault="00000000">
      <w:pPr>
        <w:pStyle w:val="Heading1"/>
      </w:pPr>
      <w:bookmarkStart w:id="3" w:name="_a1xbkjjw0qdb" w:colFirst="0" w:colLast="0"/>
      <w:bookmarkEnd w:id="3"/>
      <w:r>
        <w:lastRenderedPageBreak/>
        <w:t>RESULTS AND DISCUSSION</w:t>
      </w:r>
    </w:p>
    <w:p w14:paraId="7FE91103"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presents the findings of the study on the influence of internal control effectiveness on local treasury performance and the moderating role of ethical climate in selected local government units (LGUs) of Misamis Oriental. The research questions reflected in Chapter 1 are restated for presentation purposes.</w:t>
      </w:r>
    </w:p>
    <w:p w14:paraId="2B3EA923" w14:textId="77777777" w:rsidR="003C11B1" w:rsidRDefault="003C11B1">
      <w:pPr>
        <w:spacing w:line="240" w:lineRule="auto"/>
        <w:ind w:firstLine="720"/>
        <w:jc w:val="both"/>
        <w:rPr>
          <w:rFonts w:ascii="Times New Roman" w:eastAsia="Times New Roman" w:hAnsi="Times New Roman" w:cs="Times New Roman"/>
          <w:sz w:val="24"/>
          <w:szCs w:val="24"/>
        </w:rPr>
      </w:pPr>
    </w:p>
    <w:p w14:paraId="1DEB5FBC" w14:textId="77777777" w:rsidR="003C11B1" w:rsidRDefault="00000000" w:rsidP="004F0A22">
      <w:pPr>
        <w:pStyle w:val="Heading3"/>
        <w:spacing w:before="240"/>
      </w:pPr>
      <w:bookmarkStart w:id="4" w:name="_6om0uj31o2b4" w:colFirst="0" w:colLast="0"/>
      <w:bookmarkEnd w:id="4"/>
      <w:r>
        <w:t>Profile of the Treasury-involved Personnel</w:t>
      </w:r>
    </w:p>
    <w:p w14:paraId="69C475BA" w14:textId="77777777" w:rsidR="003C11B1" w:rsidRDefault="00000000" w:rsidP="004F0A22">
      <w:p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The respondents who answered the survey are professionals who work in treasury and hold key financial positions in their LGUs. The majority are in middle adulthood, meaning many are in the developed stage of their professional tenure and may have broad organizational exposure, which can help them build deeper institutional knowledge, professional competence, and work experience. Erikson's Psychosocial Theory (1963, as cited in Cherry, 2023) posits that individuals in this stage of life exhibit generativity and are driven to make significant contributions to society and to responsibly lead institutions. Stewardship Theory (Davis et al., 1997, as cited in Ceschi et al., 2017; </w:t>
      </w:r>
      <w:proofErr w:type="spellStart"/>
      <w:r>
        <w:rPr>
          <w:rFonts w:ascii="Times New Roman" w:eastAsia="Times New Roman" w:hAnsi="Times New Roman" w:cs="Times New Roman"/>
          <w:sz w:val="24"/>
          <w:szCs w:val="24"/>
        </w:rPr>
        <w:t>Schillemans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Bjurstrøm</w:t>
      </w:r>
      <w:proofErr w:type="spellEnd"/>
      <w:r>
        <w:rPr>
          <w:rFonts w:ascii="Times New Roman" w:eastAsia="Times New Roman" w:hAnsi="Times New Roman" w:cs="Times New Roman"/>
          <w:sz w:val="24"/>
          <w:szCs w:val="24"/>
        </w:rPr>
        <w:t>, 2019) says that public officials are naturally motivated to do what is best for the organization and the people they serve. This developmental orientation is especially important for people who are in charge of public funds. Additionally, the group is predominantly female, which is indicative of their strong involvement in administrative and financial management tasks, and they play a major role in upholding financial accountability and governance in governmental organizations. Furthermore, their years in service span from early-career to veteran stages, with many falling into the developing stage of their careers, where workers are still honing their institutional knowledge and skills while already having hands-on experience with government financial procedures. Overall, the profile shows experienced public finance professionals tasked with protecting public funds, implementing internal controls, and maintaining accountability, which enhances the validity and comprehensiveness of the study's findings.</w:t>
      </w:r>
    </w:p>
    <w:p w14:paraId="30E556E2" w14:textId="77777777" w:rsidR="003C11B1" w:rsidRDefault="003C11B1">
      <w:pPr>
        <w:spacing w:line="240" w:lineRule="auto"/>
        <w:jc w:val="both"/>
        <w:rPr>
          <w:rFonts w:ascii="Times New Roman" w:eastAsia="Times New Roman" w:hAnsi="Times New Roman" w:cs="Times New Roman"/>
          <w:sz w:val="24"/>
          <w:szCs w:val="24"/>
        </w:rPr>
      </w:pPr>
    </w:p>
    <w:p w14:paraId="6942EEAC" w14:textId="77777777" w:rsidR="003C11B1" w:rsidRDefault="00000000">
      <w:pPr>
        <w:pStyle w:val="Heading3"/>
      </w:pPr>
      <w:bookmarkStart w:id="5" w:name="_w2toiz3rmsgk" w:colFirst="0" w:colLast="0"/>
      <w:bookmarkEnd w:id="5"/>
      <w:r>
        <w:t>Perception of Internal Control Effectiveness</w:t>
      </w:r>
    </w:p>
    <w:p w14:paraId="47CB1CC4" w14:textId="77777777" w:rsidR="003C11B1" w:rsidRDefault="003C11B1">
      <w:pPr>
        <w:spacing w:line="240" w:lineRule="auto"/>
        <w:jc w:val="both"/>
        <w:rPr>
          <w:rFonts w:ascii="Times New Roman" w:eastAsia="Times New Roman" w:hAnsi="Times New Roman" w:cs="Times New Roman"/>
          <w:b/>
          <w:bCs/>
          <w:sz w:val="24"/>
          <w:szCs w:val="24"/>
        </w:rPr>
      </w:pPr>
    </w:p>
    <w:p w14:paraId="561B74B3" w14:textId="77777777" w:rsidR="003C11B1"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w:t>
      </w:r>
    </w:p>
    <w:p w14:paraId="7658EDA3" w14:textId="77777777" w:rsidR="003C11B1" w:rsidRDefault="00000000">
      <w:pPr>
        <w:spacing w:line="360" w:lineRule="auto"/>
        <w:rPr>
          <w:rFonts w:ascii="Times New Roman" w:eastAsia="Times New Roman" w:hAnsi="Times New Roman" w:cs="Times New Roman"/>
          <w:i/>
          <w:iCs/>
          <w:sz w:val="20"/>
          <w:szCs w:val="20"/>
        </w:rPr>
      </w:pPr>
      <w:r>
        <w:rPr>
          <w:rFonts w:ascii="Times New Roman" w:eastAsia="Times New Roman" w:hAnsi="Times New Roman" w:cs="Times New Roman"/>
          <w:i/>
          <w:iCs/>
        </w:rPr>
        <w:t>Summary Result of Internal Control Effectivenes</w:t>
      </w:r>
      <w:r>
        <w:rPr>
          <w:rFonts w:ascii="Times New Roman" w:eastAsia="Times New Roman" w:hAnsi="Times New Roman" w:cs="Times New Roman"/>
          <w:i/>
          <w:iCs/>
          <w:sz w:val="20"/>
          <w:szCs w:val="20"/>
        </w:rPr>
        <w:t>s</w:t>
      </w:r>
    </w:p>
    <w:tbl>
      <w:tblPr>
        <w:tblStyle w:val="a"/>
        <w:tblW w:w="86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1"/>
        <w:gridCol w:w="1142"/>
        <w:gridCol w:w="981"/>
        <w:gridCol w:w="2226"/>
      </w:tblGrid>
      <w:tr w:rsidR="003C11B1" w14:paraId="1BD95702" w14:textId="77777777">
        <w:trPr>
          <w:trHeight w:val="266"/>
        </w:trPr>
        <w:tc>
          <w:tcPr>
            <w:tcW w:w="4290" w:type="dxa"/>
            <w:tcBorders>
              <w:top w:val="single" w:sz="8" w:space="0" w:color="000000"/>
              <w:left w:val="nil"/>
              <w:bottom w:val="single" w:sz="8" w:space="0" w:color="000000"/>
              <w:right w:val="nil"/>
            </w:tcBorders>
            <w:tcMar>
              <w:top w:w="0" w:type="dxa"/>
              <w:left w:w="100" w:type="dxa"/>
              <w:bottom w:w="0" w:type="dxa"/>
              <w:right w:w="100" w:type="dxa"/>
            </w:tcMar>
          </w:tcPr>
          <w:p w14:paraId="4CA174A9"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Dimension</w:t>
            </w:r>
          </w:p>
        </w:tc>
        <w:tc>
          <w:tcPr>
            <w:tcW w:w="1142" w:type="dxa"/>
            <w:tcBorders>
              <w:top w:val="single" w:sz="8" w:space="0" w:color="000000"/>
              <w:left w:val="nil"/>
              <w:bottom w:val="single" w:sz="8" w:space="0" w:color="000000"/>
              <w:right w:val="nil"/>
            </w:tcBorders>
            <w:tcMar>
              <w:top w:w="0" w:type="dxa"/>
              <w:left w:w="100" w:type="dxa"/>
              <w:bottom w:w="0" w:type="dxa"/>
              <w:right w:w="100" w:type="dxa"/>
            </w:tcMar>
          </w:tcPr>
          <w:p w14:paraId="69054757"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w:t>
            </w:r>
          </w:p>
        </w:tc>
        <w:tc>
          <w:tcPr>
            <w:tcW w:w="981" w:type="dxa"/>
            <w:tcBorders>
              <w:top w:val="single" w:sz="8" w:space="0" w:color="000000"/>
              <w:left w:val="nil"/>
              <w:bottom w:val="single" w:sz="8" w:space="0" w:color="000000"/>
              <w:right w:val="nil"/>
            </w:tcBorders>
            <w:tcMar>
              <w:top w:w="0" w:type="dxa"/>
              <w:left w:w="100" w:type="dxa"/>
              <w:bottom w:w="0" w:type="dxa"/>
              <w:right w:w="100" w:type="dxa"/>
            </w:tcMar>
          </w:tcPr>
          <w:p w14:paraId="0A8ECD8B"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SD</w:t>
            </w:r>
          </w:p>
        </w:tc>
        <w:tc>
          <w:tcPr>
            <w:tcW w:w="2225" w:type="dxa"/>
            <w:tcBorders>
              <w:top w:val="single" w:sz="8" w:space="0" w:color="000000"/>
              <w:left w:val="nil"/>
              <w:bottom w:val="single" w:sz="8" w:space="0" w:color="000000"/>
              <w:right w:val="nil"/>
            </w:tcBorders>
            <w:tcMar>
              <w:top w:w="0" w:type="dxa"/>
              <w:left w:w="100" w:type="dxa"/>
              <w:bottom w:w="0" w:type="dxa"/>
              <w:right w:w="100" w:type="dxa"/>
            </w:tcMar>
          </w:tcPr>
          <w:p w14:paraId="2370076B"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Description</w:t>
            </w:r>
          </w:p>
        </w:tc>
      </w:tr>
      <w:tr w:rsidR="003C11B1" w14:paraId="456FD1A0" w14:textId="77777777">
        <w:trPr>
          <w:trHeight w:val="266"/>
        </w:trPr>
        <w:tc>
          <w:tcPr>
            <w:tcW w:w="4290" w:type="dxa"/>
            <w:tcBorders>
              <w:top w:val="nil"/>
              <w:left w:val="nil"/>
              <w:bottom w:val="nil"/>
              <w:right w:val="nil"/>
            </w:tcBorders>
            <w:tcMar>
              <w:top w:w="0" w:type="dxa"/>
              <w:left w:w="100" w:type="dxa"/>
              <w:bottom w:w="0" w:type="dxa"/>
              <w:right w:w="100" w:type="dxa"/>
            </w:tcMar>
          </w:tcPr>
          <w:p w14:paraId="7BEBB7F9"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 Control Environment</w:t>
            </w:r>
          </w:p>
        </w:tc>
        <w:tc>
          <w:tcPr>
            <w:tcW w:w="1142" w:type="dxa"/>
            <w:tcBorders>
              <w:top w:val="nil"/>
              <w:left w:val="nil"/>
              <w:bottom w:val="nil"/>
              <w:right w:val="nil"/>
            </w:tcBorders>
            <w:tcMar>
              <w:top w:w="0" w:type="dxa"/>
              <w:left w:w="100" w:type="dxa"/>
              <w:bottom w:w="0" w:type="dxa"/>
              <w:right w:w="100" w:type="dxa"/>
            </w:tcMar>
          </w:tcPr>
          <w:p w14:paraId="1CFDB9E7"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3.59</w:t>
            </w:r>
          </w:p>
        </w:tc>
        <w:tc>
          <w:tcPr>
            <w:tcW w:w="981" w:type="dxa"/>
            <w:tcBorders>
              <w:top w:val="nil"/>
              <w:left w:val="nil"/>
              <w:bottom w:val="nil"/>
              <w:right w:val="nil"/>
            </w:tcBorders>
            <w:tcMar>
              <w:top w:w="0" w:type="dxa"/>
              <w:left w:w="100" w:type="dxa"/>
              <w:bottom w:w="0" w:type="dxa"/>
              <w:right w:w="100" w:type="dxa"/>
            </w:tcMar>
          </w:tcPr>
          <w:p w14:paraId="4CD1A2DE"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0.55</w:t>
            </w:r>
          </w:p>
        </w:tc>
        <w:tc>
          <w:tcPr>
            <w:tcW w:w="2225" w:type="dxa"/>
            <w:tcBorders>
              <w:top w:val="nil"/>
              <w:left w:val="nil"/>
              <w:bottom w:val="nil"/>
              <w:right w:val="nil"/>
            </w:tcBorders>
            <w:tcMar>
              <w:top w:w="0" w:type="dxa"/>
              <w:left w:w="100" w:type="dxa"/>
              <w:bottom w:w="0" w:type="dxa"/>
              <w:right w:w="100" w:type="dxa"/>
            </w:tcMar>
          </w:tcPr>
          <w:p w14:paraId="2161F139"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High</w:t>
            </w:r>
          </w:p>
        </w:tc>
      </w:tr>
      <w:tr w:rsidR="003C11B1" w14:paraId="08A7573C" w14:textId="77777777">
        <w:trPr>
          <w:trHeight w:val="266"/>
        </w:trPr>
        <w:tc>
          <w:tcPr>
            <w:tcW w:w="4290" w:type="dxa"/>
            <w:tcBorders>
              <w:top w:val="nil"/>
              <w:left w:val="nil"/>
              <w:bottom w:val="nil"/>
              <w:right w:val="nil"/>
            </w:tcBorders>
            <w:tcMar>
              <w:top w:w="0" w:type="dxa"/>
              <w:left w:w="100" w:type="dxa"/>
              <w:bottom w:w="0" w:type="dxa"/>
              <w:right w:w="100" w:type="dxa"/>
            </w:tcMar>
          </w:tcPr>
          <w:p w14:paraId="6DC9D09F"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 Risk Assessment</w:t>
            </w:r>
          </w:p>
        </w:tc>
        <w:tc>
          <w:tcPr>
            <w:tcW w:w="1142" w:type="dxa"/>
            <w:tcBorders>
              <w:top w:val="nil"/>
              <w:left w:val="nil"/>
              <w:bottom w:val="nil"/>
              <w:right w:val="nil"/>
            </w:tcBorders>
            <w:tcMar>
              <w:top w:w="0" w:type="dxa"/>
              <w:left w:w="100" w:type="dxa"/>
              <w:bottom w:w="0" w:type="dxa"/>
              <w:right w:w="100" w:type="dxa"/>
            </w:tcMar>
          </w:tcPr>
          <w:p w14:paraId="72555A5F"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w:t>
            </w:r>
          </w:p>
        </w:tc>
        <w:tc>
          <w:tcPr>
            <w:tcW w:w="981" w:type="dxa"/>
            <w:tcBorders>
              <w:top w:val="nil"/>
              <w:left w:val="nil"/>
              <w:bottom w:val="nil"/>
              <w:right w:val="nil"/>
            </w:tcBorders>
            <w:tcMar>
              <w:top w:w="0" w:type="dxa"/>
              <w:left w:w="100" w:type="dxa"/>
              <w:bottom w:w="0" w:type="dxa"/>
              <w:right w:w="100" w:type="dxa"/>
            </w:tcMar>
          </w:tcPr>
          <w:p w14:paraId="4F78DD08"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0.59</w:t>
            </w:r>
          </w:p>
        </w:tc>
        <w:tc>
          <w:tcPr>
            <w:tcW w:w="2225" w:type="dxa"/>
            <w:tcBorders>
              <w:top w:val="nil"/>
              <w:left w:val="nil"/>
              <w:bottom w:val="nil"/>
              <w:right w:val="nil"/>
            </w:tcBorders>
            <w:tcMar>
              <w:top w:w="0" w:type="dxa"/>
              <w:left w:w="100" w:type="dxa"/>
              <w:bottom w:w="0" w:type="dxa"/>
              <w:right w:w="100" w:type="dxa"/>
            </w:tcMar>
          </w:tcPr>
          <w:p w14:paraId="6AC452BF"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High</w:t>
            </w:r>
          </w:p>
        </w:tc>
      </w:tr>
      <w:tr w:rsidR="003C11B1" w14:paraId="23AA7198" w14:textId="77777777">
        <w:trPr>
          <w:trHeight w:val="266"/>
        </w:trPr>
        <w:tc>
          <w:tcPr>
            <w:tcW w:w="4290" w:type="dxa"/>
            <w:tcBorders>
              <w:top w:val="nil"/>
              <w:left w:val="nil"/>
              <w:bottom w:val="nil"/>
              <w:right w:val="nil"/>
            </w:tcBorders>
            <w:tcMar>
              <w:top w:w="0" w:type="dxa"/>
              <w:left w:w="100" w:type="dxa"/>
              <w:bottom w:w="0" w:type="dxa"/>
              <w:right w:w="100" w:type="dxa"/>
            </w:tcMar>
          </w:tcPr>
          <w:p w14:paraId="16CA5737"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 Control Activities</w:t>
            </w:r>
          </w:p>
        </w:tc>
        <w:tc>
          <w:tcPr>
            <w:tcW w:w="1142" w:type="dxa"/>
            <w:tcBorders>
              <w:top w:val="nil"/>
              <w:left w:val="nil"/>
              <w:bottom w:val="nil"/>
              <w:right w:val="nil"/>
            </w:tcBorders>
            <w:tcMar>
              <w:top w:w="0" w:type="dxa"/>
              <w:left w:w="100" w:type="dxa"/>
              <w:bottom w:w="0" w:type="dxa"/>
              <w:right w:w="100" w:type="dxa"/>
            </w:tcMar>
          </w:tcPr>
          <w:p w14:paraId="6B809838"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w:t>
            </w:r>
          </w:p>
        </w:tc>
        <w:tc>
          <w:tcPr>
            <w:tcW w:w="981" w:type="dxa"/>
            <w:tcBorders>
              <w:top w:val="nil"/>
              <w:left w:val="nil"/>
              <w:bottom w:val="nil"/>
              <w:right w:val="nil"/>
            </w:tcBorders>
            <w:tcMar>
              <w:top w:w="0" w:type="dxa"/>
              <w:left w:w="100" w:type="dxa"/>
              <w:bottom w:w="0" w:type="dxa"/>
              <w:right w:w="100" w:type="dxa"/>
            </w:tcMar>
          </w:tcPr>
          <w:p w14:paraId="3F5C81DF"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0.56</w:t>
            </w:r>
          </w:p>
        </w:tc>
        <w:tc>
          <w:tcPr>
            <w:tcW w:w="2225" w:type="dxa"/>
            <w:tcBorders>
              <w:top w:val="nil"/>
              <w:left w:val="nil"/>
              <w:bottom w:val="nil"/>
              <w:right w:val="nil"/>
            </w:tcBorders>
            <w:tcMar>
              <w:top w:w="0" w:type="dxa"/>
              <w:left w:w="100" w:type="dxa"/>
              <w:bottom w:w="0" w:type="dxa"/>
              <w:right w:w="100" w:type="dxa"/>
            </w:tcMar>
          </w:tcPr>
          <w:p w14:paraId="5AEF26A5"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High</w:t>
            </w:r>
          </w:p>
        </w:tc>
      </w:tr>
      <w:tr w:rsidR="003C11B1" w14:paraId="6C20806B" w14:textId="77777777">
        <w:trPr>
          <w:trHeight w:val="216"/>
        </w:trPr>
        <w:tc>
          <w:tcPr>
            <w:tcW w:w="4290" w:type="dxa"/>
            <w:tcBorders>
              <w:top w:val="nil"/>
              <w:left w:val="nil"/>
              <w:bottom w:val="nil"/>
              <w:right w:val="nil"/>
            </w:tcBorders>
            <w:tcMar>
              <w:top w:w="0" w:type="dxa"/>
              <w:left w:w="100" w:type="dxa"/>
              <w:bottom w:w="0" w:type="dxa"/>
              <w:right w:w="100" w:type="dxa"/>
            </w:tcMar>
          </w:tcPr>
          <w:p w14:paraId="5CD48C0A"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 Information and Communication Systems</w:t>
            </w:r>
          </w:p>
        </w:tc>
        <w:tc>
          <w:tcPr>
            <w:tcW w:w="1142" w:type="dxa"/>
            <w:tcBorders>
              <w:top w:val="nil"/>
              <w:left w:val="nil"/>
              <w:bottom w:val="nil"/>
              <w:right w:val="nil"/>
            </w:tcBorders>
            <w:tcMar>
              <w:top w:w="0" w:type="dxa"/>
              <w:left w:w="100" w:type="dxa"/>
              <w:bottom w:w="0" w:type="dxa"/>
              <w:right w:w="100" w:type="dxa"/>
            </w:tcMar>
          </w:tcPr>
          <w:p w14:paraId="610D41D5"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3.45</w:t>
            </w:r>
          </w:p>
        </w:tc>
        <w:tc>
          <w:tcPr>
            <w:tcW w:w="981" w:type="dxa"/>
            <w:tcBorders>
              <w:top w:val="nil"/>
              <w:left w:val="nil"/>
              <w:bottom w:val="nil"/>
              <w:right w:val="nil"/>
            </w:tcBorders>
            <w:tcMar>
              <w:top w:w="0" w:type="dxa"/>
              <w:left w:w="100" w:type="dxa"/>
              <w:bottom w:w="0" w:type="dxa"/>
              <w:right w:w="100" w:type="dxa"/>
            </w:tcMar>
          </w:tcPr>
          <w:p w14:paraId="54A37F4A"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0.62</w:t>
            </w:r>
          </w:p>
        </w:tc>
        <w:tc>
          <w:tcPr>
            <w:tcW w:w="2225" w:type="dxa"/>
            <w:tcBorders>
              <w:top w:val="nil"/>
              <w:left w:val="nil"/>
              <w:bottom w:val="nil"/>
              <w:right w:val="nil"/>
            </w:tcBorders>
            <w:tcMar>
              <w:top w:w="0" w:type="dxa"/>
              <w:left w:w="100" w:type="dxa"/>
              <w:bottom w:w="0" w:type="dxa"/>
              <w:right w:w="100" w:type="dxa"/>
            </w:tcMar>
          </w:tcPr>
          <w:p w14:paraId="1F571DD7"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High</w:t>
            </w:r>
          </w:p>
        </w:tc>
      </w:tr>
      <w:tr w:rsidR="003C11B1" w14:paraId="0E689A2B" w14:textId="77777777">
        <w:trPr>
          <w:trHeight w:val="266"/>
        </w:trPr>
        <w:tc>
          <w:tcPr>
            <w:tcW w:w="4290" w:type="dxa"/>
            <w:tcBorders>
              <w:top w:val="nil"/>
              <w:left w:val="nil"/>
              <w:bottom w:val="single" w:sz="8" w:space="0" w:color="000000"/>
              <w:right w:val="nil"/>
            </w:tcBorders>
            <w:tcMar>
              <w:top w:w="0" w:type="dxa"/>
              <w:left w:w="100" w:type="dxa"/>
              <w:bottom w:w="0" w:type="dxa"/>
              <w:right w:w="100" w:type="dxa"/>
            </w:tcMar>
          </w:tcPr>
          <w:p w14:paraId="35EB755E"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 Monitoring</w:t>
            </w:r>
          </w:p>
        </w:tc>
        <w:tc>
          <w:tcPr>
            <w:tcW w:w="1142" w:type="dxa"/>
            <w:tcBorders>
              <w:top w:val="nil"/>
              <w:left w:val="nil"/>
              <w:bottom w:val="single" w:sz="8" w:space="0" w:color="000000"/>
              <w:right w:val="nil"/>
            </w:tcBorders>
            <w:tcMar>
              <w:top w:w="0" w:type="dxa"/>
              <w:left w:w="100" w:type="dxa"/>
              <w:bottom w:w="0" w:type="dxa"/>
              <w:right w:w="100" w:type="dxa"/>
            </w:tcMar>
          </w:tcPr>
          <w:p w14:paraId="25027197"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3.49</w:t>
            </w:r>
          </w:p>
        </w:tc>
        <w:tc>
          <w:tcPr>
            <w:tcW w:w="981" w:type="dxa"/>
            <w:tcBorders>
              <w:top w:val="nil"/>
              <w:left w:val="nil"/>
              <w:bottom w:val="single" w:sz="8" w:space="0" w:color="000000"/>
              <w:right w:val="nil"/>
            </w:tcBorders>
            <w:tcMar>
              <w:top w:w="0" w:type="dxa"/>
              <w:left w:w="100" w:type="dxa"/>
              <w:bottom w:w="0" w:type="dxa"/>
              <w:right w:w="100" w:type="dxa"/>
            </w:tcMar>
          </w:tcPr>
          <w:p w14:paraId="69CC6A8C"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0.58</w:t>
            </w:r>
          </w:p>
        </w:tc>
        <w:tc>
          <w:tcPr>
            <w:tcW w:w="2225" w:type="dxa"/>
            <w:tcBorders>
              <w:top w:val="nil"/>
              <w:left w:val="nil"/>
              <w:bottom w:val="single" w:sz="8" w:space="0" w:color="000000"/>
              <w:right w:val="nil"/>
            </w:tcBorders>
            <w:tcMar>
              <w:top w:w="0" w:type="dxa"/>
              <w:left w:w="100" w:type="dxa"/>
              <w:bottom w:w="0" w:type="dxa"/>
              <w:right w:w="100" w:type="dxa"/>
            </w:tcMar>
          </w:tcPr>
          <w:p w14:paraId="62205BA4"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High</w:t>
            </w:r>
          </w:p>
        </w:tc>
      </w:tr>
      <w:tr w:rsidR="003C11B1" w14:paraId="71C579EB" w14:textId="77777777">
        <w:trPr>
          <w:trHeight w:val="266"/>
        </w:trPr>
        <w:tc>
          <w:tcPr>
            <w:tcW w:w="4290" w:type="dxa"/>
            <w:tcBorders>
              <w:top w:val="nil"/>
              <w:left w:val="nil"/>
              <w:bottom w:val="single" w:sz="8" w:space="0" w:color="000000"/>
              <w:right w:val="nil"/>
            </w:tcBorders>
            <w:tcMar>
              <w:top w:w="0" w:type="dxa"/>
              <w:left w:w="100" w:type="dxa"/>
              <w:bottom w:w="0" w:type="dxa"/>
              <w:right w:w="100" w:type="dxa"/>
            </w:tcMar>
          </w:tcPr>
          <w:p w14:paraId="5DEF1333"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Overall</w:t>
            </w:r>
          </w:p>
        </w:tc>
        <w:tc>
          <w:tcPr>
            <w:tcW w:w="1142" w:type="dxa"/>
            <w:tcBorders>
              <w:top w:val="nil"/>
              <w:left w:val="nil"/>
              <w:bottom w:val="single" w:sz="8" w:space="0" w:color="000000"/>
              <w:right w:val="nil"/>
            </w:tcBorders>
            <w:tcMar>
              <w:top w:w="0" w:type="dxa"/>
              <w:left w:w="100" w:type="dxa"/>
              <w:bottom w:w="0" w:type="dxa"/>
              <w:right w:w="100" w:type="dxa"/>
            </w:tcMar>
          </w:tcPr>
          <w:p w14:paraId="37C0727B"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3.51</w:t>
            </w:r>
          </w:p>
        </w:tc>
        <w:tc>
          <w:tcPr>
            <w:tcW w:w="981" w:type="dxa"/>
            <w:tcBorders>
              <w:top w:val="nil"/>
              <w:left w:val="nil"/>
              <w:bottom w:val="single" w:sz="8" w:space="0" w:color="000000"/>
              <w:right w:val="nil"/>
            </w:tcBorders>
            <w:tcMar>
              <w:top w:w="0" w:type="dxa"/>
              <w:left w:w="100" w:type="dxa"/>
              <w:bottom w:w="0" w:type="dxa"/>
              <w:right w:w="100" w:type="dxa"/>
            </w:tcMar>
          </w:tcPr>
          <w:p w14:paraId="6CF4A230"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0.58</w:t>
            </w:r>
          </w:p>
        </w:tc>
        <w:tc>
          <w:tcPr>
            <w:tcW w:w="2225" w:type="dxa"/>
            <w:tcBorders>
              <w:top w:val="nil"/>
              <w:left w:val="nil"/>
              <w:bottom w:val="single" w:sz="8" w:space="0" w:color="000000"/>
              <w:right w:val="nil"/>
            </w:tcBorders>
            <w:tcMar>
              <w:top w:w="0" w:type="dxa"/>
              <w:left w:w="100" w:type="dxa"/>
              <w:bottom w:w="0" w:type="dxa"/>
              <w:right w:w="100" w:type="dxa"/>
            </w:tcMar>
          </w:tcPr>
          <w:p w14:paraId="7FFEEC8A" w14:textId="77777777" w:rsidR="003C11B1"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Very High</w:t>
            </w:r>
          </w:p>
        </w:tc>
      </w:tr>
    </w:tbl>
    <w:p w14:paraId="3FE31C17" w14:textId="77777777" w:rsidR="003C11B1" w:rsidRDefault="00000000">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shows that internal control effectiveness is rated Very High (M = 3.51). The control environment is the strongest dimension, showing that treasury operations are guided by strong leadership integrity, accountability frameworks, duty awareness, feedback mechanisms, and audit responsiveness. Monitoring, although still very high, had the lowest mean, which means that oversight and timely corrective actions need to be improved all the time. These findings are consistent with Agency Theory (Jensen &amp; Meckling, 1976, as cited in </w:t>
      </w:r>
      <w:proofErr w:type="spellStart"/>
      <w:r>
        <w:rPr>
          <w:rFonts w:ascii="Times New Roman" w:eastAsia="Times New Roman" w:hAnsi="Times New Roman" w:cs="Times New Roman"/>
          <w:sz w:val="24"/>
          <w:szCs w:val="24"/>
        </w:rPr>
        <w:t>Zogning</w:t>
      </w:r>
      <w:proofErr w:type="spellEnd"/>
      <w:r>
        <w:rPr>
          <w:rFonts w:ascii="Times New Roman" w:eastAsia="Times New Roman" w:hAnsi="Times New Roman" w:cs="Times New Roman"/>
          <w:sz w:val="24"/>
          <w:szCs w:val="24"/>
        </w:rPr>
        <w:t xml:space="preserve">, 2017), which emphasizes formal controls to ensure accountability, and Stewardship Theory (Davis et al., 1997, </w:t>
      </w:r>
      <w:r>
        <w:rPr>
          <w:rFonts w:ascii="Times New Roman" w:eastAsia="Times New Roman" w:hAnsi="Times New Roman" w:cs="Times New Roman"/>
          <w:sz w:val="24"/>
          <w:szCs w:val="24"/>
        </w:rPr>
        <w:lastRenderedPageBreak/>
        <w:t>as cited in Madison et al., 2016), which proposes that public officials act in the best interests of the organization and community. The results show that internal controls in LGUs are not just tools for compliance; they are also part of a culture of accountability that helps the treasury work well.</w:t>
      </w:r>
    </w:p>
    <w:p w14:paraId="06B9719B" w14:textId="77777777" w:rsidR="003C11B1" w:rsidRDefault="003C11B1">
      <w:pPr>
        <w:spacing w:line="240" w:lineRule="auto"/>
        <w:jc w:val="both"/>
        <w:rPr>
          <w:rFonts w:ascii="Times New Roman" w:eastAsia="Times New Roman" w:hAnsi="Times New Roman" w:cs="Times New Roman"/>
          <w:sz w:val="24"/>
          <w:szCs w:val="24"/>
        </w:rPr>
      </w:pPr>
    </w:p>
    <w:p w14:paraId="1347F338" w14:textId="77777777" w:rsidR="003C11B1" w:rsidRDefault="00000000">
      <w:pPr>
        <w:pStyle w:val="Heading3"/>
      </w:pPr>
      <w:bookmarkStart w:id="6" w:name="_pwksrysfwccf" w:colFirst="0" w:colLast="0"/>
      <w:bookmarkEnd w:id="6"/>
      <w:r>
        <w:t>Perception of Local Treasury Performance</w:t>
      </w:r>
    </w:p>
    <w:p w14:paraId="4A4A6FC1" w14:textId="77777777" w:rsidR="003C11B1"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p>
    <w:p w14:paraId="24AE12BC" w14:textId="77777777" w:rsidR="003C11B1"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Table 2</w:t>
      </w:r>
    </w:p>
    <w:p w14:paraId="4511850C" w14:textId="77777777" w:rsidR="003C11B1" w:rsidRDefault="00000000">
      <w:pPr>
        <w:spacing w:line="240" w:lineRule="auto"/>
        <w:rPr>
          <w:rFonts w:ascii="Times New Roman" w:eastAsia="Times New Roman" w:hAnsi="Times New Roman" w:cs="Times New Roman"/>
          <w:i/>
          <w:iCs/>
        </w:rPr>
      </w:pPr>
      <w:r>
        <w:rPr>
          <w:rFonts w:ascii="Times New Roman" w:eastAsia="Times New Roman" w:hAnsi="Times New Roman" w:cs="Times New Roman"/>
          <w:i/>
          <w:iCs/>
        </w:rPr>
        <w:t>Summary Result of Local Treasury Performance</w:t>
      </w:r>
    </w:p>
    <w:tbl>
      <w:tblPr>
        <w:tblStyle w:val="a0"/>
        <w:tblW w:w="86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84"/>
        <w:gridCol w:w="1144"/>
        <w:gridCol w:w="982"/>
        <w:gridCol w:w="2230"/>
      </w:tblGrid>
      <w:tr w:rsidR="003C11B1" w14:paraId="342376DE" w14:textId="77777777">
        <w:trPr>
          <w:trHeight w:val="216"/>
        </w:trPr>
        <w:tc>
          <w:tcPr>
            <w:tcW w:w="4283" w:type="dxa"/>
            <w:tcBorders>
              <w:top w:val="single" w:sz="8" w:space="0" w:color="000000"/>
              <w:left w:val="nil"/>
              <w:bottom w:val="single" w:sz="8" w:space="0" w:color="000000"/>
              <w:right w:val="nil"/>
            </w:tcBorders>
            <w:tcMar>
              <w:top w:w="0" w:type="dxa"/>
              <w:left w:w="100" w:type="dxa"/>
              <w:bottom w:w="0" w:type="dxa"/>
              <w:right w:w="100" w:type="dxa"/>
            </w:tcMar>
          </w:tcPr>
          <w:p w14:paraId="4C29F387"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Dimension</w:t>
            </w:r>
          </w:p>
        </w:tc>
        <w:tc>
          <w:tcPr>
            <w:tcW w:w="1144" w:type="dxa"/>
            <w:tcBorders>
              <w:top w:val="single" w:sz="8" w:space="0" w:color="000000"/>
              <w:left w:val="nil"/>
              <w:bottom w:val="single" w:sz="8" w:space="0" w:color="000000"/>
              <w:right w:val="nil"/>
            </w:tcBorders>
            <w:tcMar>
              <w:top w:w="0" w:type="dxa"/>
              <w:left w:w="100" w:type="dxa"/>
              <w:bottom w:w="0" w:type="dxa"/>
              <w:right w:w="100" w:type="dxa"/>
            </w:tcMar>
          </w:tcPr>
          <w:p w14:paraId="0070578A"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w:t>
            </w:r>
          </w:p>
        </w:tc>
        <w:tc>
          <w:tcPr>
            <w:tcW w:w="982" w:type="dxa"/>
            <w:tcBorders>
              <w:top w:val="single" w:sz="8" w:space="0" w:color="000000"/>
              <w:left w:val="nil"/>
              <w:bottom w:val="single" w:sz="8" w:space="0" w:color="000000"/>
              <w:right w:val="nil"/>
            </w:tcBorders>
            <w:tcMar>
              <w:top w:w="0" w:type="dxa"/>
              <w:left w:w="100" w:type="dxa"/>
              <w:bottom w:w="0" w:type="dxa"/>
              <w:right w:w="100" w:type="dxa"/>
            </w:tcMar>
          </w:tcPr>
          <w:p w14:paraId="70DB0646"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SD</w:t>
            </w:r>
          </w:p>
        </w:tc>
        <w:tc>
          <w:tcPr>
            <w:tcW w:w="2229" w:type="dxa"/>
            <w:tcBorders>
              <w:top w:val="single" w:sz="8" w:space="0" w:color="000000"/>
              <w:left w:val="nil"/>
              <w:bottom w:val="single" w:sz="8" w:space="0" w:color="000000"/>
              <w:right w:val="nil"/>
            </w:tcBorders>
            <w:tcMar>
              <w:top w:w="0" w:type="dxa"/>
              <w:left w:w="100" w:type="dxa"/>
              <w:bottom w:w="0" w:type="dxa"/>
              <w:right w:w="100" w:type="dxa"/>
            </w:tcMar>
          </w:tcPr>
          <w:p w14:paraId="1D8C8DAA"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Description</w:t>
            </w:r>
          </w:p>
        </w:tc>
      </w:tr>
      <w:tr w:rsidR="003C11B1" w14:paraId="22B16F9A" w14:textId="77777777">
        <w:trPr>
          <w:trHeight w:val="245"/>
        </w:trPr>
        <w:tc>
          <w:tcPr>
            <w:tcW w:w="4283" w:type="dxa"/>
            <w:tcBorders>
              <w:top w:val="nil"/>
              <w:left w:val="nil"/>
              <w:bottom w:val="nil"/>
              <w:right w:val="nil"/>
            </w:tcBorders>
            <w:tcMar>
              <w:top w:w="0" w:type="dxa"/>
              <w:left w:w="100" w:type="dxa"/>
              <w:bottom w:w="0" w:type="dxa"/>
              <w:right w:w="100" w:type="dxa"/>
            </w:tcMar>
          </w:tcPr>
          <w:p w14:paraId="4F9400C2"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Revenue Generation and Collection Efficiency</w:t>
            </w:r>
          </w:p>
        </w:tc>
        <w:tc>
          <w:tcPr>
            <w:tcW w:w="1144" w:type="dxa"/>
            <w:tcBorders>
              <w:top w:val="nil"/>
              <w:left w:val="nil"/>
              <w:bottom w:val="nil"/>
              <w:right w:val="nil"/>
            </w:tcBorders>
            <w:tcMar>
              <w:top w:w="0" w:type="dxa"/>
              <w:left w:w="100" w:type="dxa"/>
              <w:bottom w:w="0" w:type="dxa"/>
              <w:right w:w="100" w:type="dxa"/>
            </w:tcMar>
          </w:tcPr>
          <w:p w14:paraId="7BEDF1B5"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3.51</w:t>
            </w:r>
          </w:p>
        </w:tc>
        <w:tc>
          <w:tcPr>
            <w:tcW w:w="982" w:type="dxa"/>
            <w:tcBorders>
              <w:top w:val="nil"/>
              <w:left w:val="nil"/>
              <w:bottom w:val="nil"/>
              <w:right w:val="nil"/>
            </w:tcBorders>
            <w:tcMar>
              <w:top w:w="0" w:type="dxa"/>
              <w:left w:w="100" w:type="dxa"/>
              <w:bottom w:w="0" w:type="dxa"/>
              <w:right w:w="100" w:type="dxa"/>
            </w:tcMar>
          </w:tcPr>
          <w:p w14:paraId="725EA7C9"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0.56</w:t>
            </w:r>
          </w:p>
        </w:tc>
        <w:tc>
          <w:tcPr>
            <w:tcW w:w="2229" w:type="dxa"/>
            <w:tcBorders>
              <w:top w:val="nil"/>
              <w:left w:val="nil"/>
              <w:bottom w:val="nil"/>
              <w:right w:val="nil"/>
            </w:tcBorders>
            <w:tcMar>
              <w:top w:w="0" w:type="dxa"/>
              <w:left w:w="100" w:type="dxa"/>
              <w:bottom w:w="0" w:type="dxa"/>
              <w:right w:w="100" w:type="dxa"/>
            </w:tcMar>
          </w:tcPr>
          <w:p w14:paraId="3457ADC0"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Good</w:t>
            </w:r>
          </w:p>
        </w:tc>
      </w:tr>
      <w:tr w:rsidR="003C11B1" w14:paraId="2DEA2007" w14:textId="77777777">
        <w:trPr>
          <w:trHeight w:val="245"/>
        </w:trPr>
        <w:tc>
          <w:tcPr>
            <w:tcW w:w="4283" w:type="dxa"/>
            <w:tcBorders>
              <w:top w:val="nil"/>
              <w:left w:val="nil"/>
              <w:bottom w:val="nil"/>
              <w:right w:val="nil"/>
            </w:tcBorders>
            <w:tcMar>
              <w:top w:w="0" w:type="dxa"/>
              <w:left w:w="100" w:type="dxa"/>
              <w:bottom w:w="0" w:type="dxa"/>
              <w:right w:w="100" w:type="dxa"/>
            </w:tcMar>
          </w:tcPr>
          <w:p w14:paraId="0C131A0D"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Disbursement Timeliness and Fund Management</w:t>
            </w:r>
          </w:p>
        </w:tc>
        <w:tc>
          <w:tcPr>
            <w:tcW w:w="1144" w:type="dxa"/>
            <w:tcBorders>
              <w:top w:val="nil"/>
              <w:left w:val="nil"/>
              <w:bottom w:val="nil"/>
              <w:right w:val="nil"/>
            </w:tcBorders>
            <w:tcMar>
              <w:top w:w="0" w:type="dxa"/>
              <w:left w:w="100" w:type="dxa"/>
              <w:bottom w:w="0" w:type="dxa"/>
              <w:right w:w="100" w:type="dxa"/>
            </w:tcMar>
          </w:tcPr>
          <w:p w14:paraId="53DB138D"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3.56</w:t>
            </w:r>
          </w:p>
        </w:tc>
        <w:tc>
          <w:tcPr>
            <w:tcW w:w="982" w:type="dxa"/>
            <w:tcBorders>
              <w:top w:val="nil"/>
              <w:left w:val="nil"/>
              <w:bottom w:val="nil"/>
              <w:right w:val="nil"/>
            </w:tcBorders>
            <w:tcMar>
              <w:top w:w="0" w:type="dxa"/>
              <w:left w:w="100" w:type="dxa"/>
              <w:bottom w:w="0" w:type="dxa"/>
              <w:right w:w="100" w:type="dxa"/>
            </w:tcMar>
          </w:tcPr>
          <w:p w14:paraId="1689F638"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0.55</w:t>
            </w:r>
          </w:p>
        </w:tc>
        <w:tc>
          <w:tcPr>
            <w:tcW w:w="2229" w:type="dxa"/>
            <w:tcBorders>
              <w:top w:val="nil"/>
              <w:left w:val="nil"/>
              <w:bottom w:val="nil"/>
              <w:right w:val="nil"/>
            </w:tcBorders>
            <w:tcMar>
              <w:top w:w="0" w:type="dxa"/>
              <w:left w:w="100" w:type="dxa"/>
              <w:bottom w:w="0" w:type="dxa"/>
              <w:right w:w="100" w:type="dxa"/>
            </w:tcMar>
          </w:tcPr>
          <w:p w14:paraId="45B78EB2"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Good</w:t>
            </w:r>
          </w:p>
        </w:tc>
      </w:tr>
      <w:tr w:rsidR="003C11B1" w14:paraId="377B5D09" w14:textId="77777777">
        <w:trPr>
          <w:trHeight w:val="195"/>
        </w:trPr>
        <w:tc>
          <w:tcPr>
            <w:tcW w:w="4283" w:type="dxa"/>
            <w:tcBorders>
              <w:top w:val="nil"/>
              <w:left w:val="nil"/>
              <w:bottom w:val="nil"/>
              <w:right w:val="nil"/>
            </w:tcBorders>
            <w:tcMar>
              <w:top w:w="0" w:type="dxa"/>
              <w:left w:w="100" w:type="dxa"/>
              <w:bottom w:w="0" w:type="dxa"/>
              <w:right w:w="100" w:type="dxa"/>
            </w:tcMar>
          </w:tcPr>
          <w:p w14:paraId="09DB6C76"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Compliance and Reporting</w:t>
            </w:r>
          </w:p>
        </w:tc>
        <w:tc>
          <w:tcPr>
            <w:tcW w:w="1144" w:type="dxa"/>
            <w:tcBorders>
              <w:top w:val="nil"/>
              <w:left w:val="nil"/>
              <w:bottom w:val="nil"/>
              <w:right w:val="nil"/>
            </w:tcBorders>
            <w:tcMar>
              <w:top w:w="0" w:type="dxa"/>
              <w:left w:w="100" w:type="dxa"/>
              <w:bottom w:w="0" w:type="dxa"/>
              <w:right w:w="100" w:type="dxa"/>
            </w:tcMar>
          </w:tcPr>
          <w:p w14:paraId="41DC9C05"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w:t>
            </w:r>
          </w:p>
        </w:tc>
        <w:tc>
          <w:tcPr>
            <w:tcW w:w="982" w:type="dxa"/>
            <w:tcBorders>
              <w:top w:val="nil"/>
              <w:left w:val="nil"/>
              <w:bottom w:val="nil"/>
              <w:right w:val="nil"/>
            </w:tcBorders>
            <w:tcMar>
              <w:top w:w="0" w:type="dxa"/>
              <w:left w:w="100" w:type="dxa"/>
              <w:bottom w:w="0" w:type="dxa"/>
              <w:right w:w="100" w:type="dxa"/>
            </w:tcMar>
          </w:tcPr>
          <w:p w14:paraId="475A4BA6"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0.48</w:t>
            </w:r>
          </w:p>
        </w:tc>
        <w:tc>
          <w:tcPr>
            <w:tcW w:w="2229" w:type="dxa"/>
            <w:tcBorders>
              <w:top w:val="nil"/>
              <w:left w:val="nil"/>
              <w:bottom w:val="nil"/>
              <w:right w:val="nil"/>
            </w:tcBorders>
            <w:tcMar>
              <w:top w:w="0" w:type="dxa"/>
              <w:left w:w="100" w:type="dxa"/>
              <w:bottom w:w="0" w:type="dxa"/>
              <w:right w:w="100" w:type="dxa"/>
            </w:tcMar>
          </w:tcPr>
          <w:p w14:paraId="6E15055B"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Good</w:t>
            </w:r>
          </w:p>
        </w:tc>
      </w:tr>
      <w:tr w:rsidR="003C11B1" w14:paraId="475D9D67" w14:textId="77777777">
        <w:trPr>
          <w:trHeight w:val="195"/>
        </w:trPr>
        <w:tc>
          <w:tcPr>
            <w:tcW w:w="4283" w:type="dxa"/>
            <w:tcBorders>
              <w:top w:val="nil"/>
              <w:left w:val="nil"/>
              <w:bottom w:val="nil"/>
              <w:right w:val="nil"/>
            </w:tcBorders>
            <w:tcMar>
              <w:top w:w="0" w:type="dxa"/>
              <w:left w:w="100" w:type="dxa"/>
              <w:bottom w:w="0" w:type="dxa"/>
              <w:right w:w="100" w:type="dxa"/>
            </w:tcMar>
          </w:tcPr>
          <w:p w14:paraId="12ACE82E"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Service Delivery to Stakeholders</w:t>
            </w:r>
          </w:p>
        </w:tc>
        <w:tc>
          <w:tcPr>
            <w:tcW w:w="1144" w:type="dxa"/>
            <w:tcBorders>
              <w:top w:val="nil"/>
              <w:left w:val="nil"/>
              <w:bottom w:val="nil"/>
              <w:right w:val="nil"/>
            </w:tcBorders>
            <w:tcMar>
              <w:top w:w="0" w:type="dxa"/>
              <w:left w:w="100" w:type="dxa"/>
              <w:bottom w:w="0" w:type="dxa"/>
              <w:right w:w="100" w:type="dxa"/>
            </w:tcMar>
          </w:tcPr>
          <w:p w14:paraId="0E53F23F"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3.57</w:t>
            </w:r>
          </w:p>
        </w:tc>
        <w:tc>
          <w:tcPr>
            <w:tcW w:w="982" w:type="dxa"/>
            <w:tcBorders>
              <w:top w:val="nil"/>
              <w:left w:val="nil"/>
              <w:bottom w:val="nil"/>
              <w:right w:val="nil"/>
            </w:tcBorders>
            <w:tcMar>
              <w:top w:w="0" w:type="dxa"/>
              <w:left w:w="100" w:type="dxa"/>
              <w:bottom w:w="0" w:type="dxa"/>
              <w:right w:w="100" w:type="dxa"/>
            </w:tcMar>
          </w:tcPr>
          <w:p w14:paraId="458123F1"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c>
          <w:tcPr>
            <w:tcW w:w="2229" w:type="dxa"/>
            <w:tcBorders>
              <w:top w:val="nil"/>
              <w:left w:val="nil"/>
              <w:bottom w:val="nil"/>
              <w:right w:val="nil"/>
            </w:tcBorders>
            <w:tcMar>
              <w:top w:w="0" w:type="dxa"/>
              <w:left w:w="100" w:type="dxa"/>
              <w:bottom w:w="0" w:type="dxa"/>
              <w:right w:w="100" w:type="dxa"/>
            </w:tcMar>
          </w:tcPr>
          <w:p w14:paraId="064CB237"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Good</w:t>
            </w:r>
          </w:p>
        </w:tc>
      </w:tr>
      <w:tr w:rsidR="003C11B1" w14:paraId="5460E1A6" w14:textId="77777777">
        <w:trPr>
          <w:trHeight w:val="203"/>
        </w:trPr>
        <w:tc>
          <w:tcPr>
            <w:tcW w:w="4283" w:type="dxa"/>
            <w:tcBorders>
              <w:top w:val="nil"/>
              <w:left w:val="nil"/>
              <w:bottom w:val="single" w:sz="8" w:space="0" w:color="000000"/>
              <w:right w:val="nil"/>
            </w:tcBorders>
            <w:tcMar>
              <w:top w:w="0" w:type="dxa"/>
              <w:left w:w="100" w:type="dxa"/>
              <w:bottom w:w="0" w:type="dxa"/>
              <w:right w:w="100" w:type="dxa"/>
            </w:tcMar>
          </w:tcPr>
          <w:p w14:paraId="6D6C65D0"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Internal Operational Efficiency</w:t>
            </w:r>
          </w:p>
        </w:tc>
        <w:tc>
          <w:tcPr>
            <w:tcW w:w="1144" w:type="dxa"/>
            <w:tcBorders>
              <w:top w:val="nil"/>
              <w:left w:val="nil"/>
              <w:bottom w:val="single" w:sz="8" w:space="0" w:color="000000"/>
              <w:right w:val="nil"/>
            </w:tcBorders>
            <w:tcMar>
              <w:top w:w="0" w:type="dxa"/>
              <w:left w:w="100" w:type="dxa"/>
              <w:bottom w:w="0" w:type="dxa"/>
              <w:right w:w="100" w:type="dxa"/>
            </w:tcMar>
          </w:tcPr>
          <w:p w14:paraId="728ABDE4"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w:t>
            </w:r>
          </w:p>
        </w:tc>
        <w:tc>
          <w:tcPr>
            <w:tcW w:w="982" w:type="dxa"/>
            <w:tcBorders>
              <w:top w:val="nil"/>
              <w:left w:val="nil"/>
              <w:bottom w:val="single" w:sz="8" w:space="0" w:color="000000"/>
              <w:right w:val="nil"/>
            </w:tcBorders>
            <w:tcMar>
              <w:top w:w="0" w:type="dxa"/>
              <w:left w:w="100" w:type="dxa"/>
              <w:bottom w:w="0" w:type="dxa"/>
              <w:right w:w="100" w:type="dxa"/>
            </w:tcMar>
          </w:tcPr>
          <w:p w14:paraId="4FA3D23B"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0.50</w:t>
            </w:r>
          </w:p>
        </w:tc>
        <w:tc>
          <w:tcPr>
            <w:tcW w:w="2229" w:type="dxa"/>
            <w:tcBorders>
              <w:top w:val="nil"/>
              <w:left w:val="nil"/>
              <w:bottom w:val="single" w:sz="8" w:space="0" w:color="000000"/>
              <w:right w:val="nil"/>
            </w:tcBorders>
            <w:tcMar>
              <w:top w:w="0" w:type="dxa"/>
              <w:left w:w="100" w:type="dxa"/>
              <w:bottom w:w="0" w:type="dxa"/>
              <w:right w:w="100" w:type="dxa"/>
            </w:tcMar>
          </w:tcPr>
          <w:p w14:paraId="5AC50BC1"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Good</w:t>
            </w:r>
          </w:p>
        </w:tc>
      </w:tr>
      <w:tr w:rsidR="003C11B1" w14:paraId="2E6B9410" w14:textId="77777777">
        <w:trPr>
          <w:trHeight w:val="216"/>
        </w:trPr>
        <w:tc>
          <w:tcPr>
            <w:tcW w:w="4283" w:type="dxa"/>
            <w:tcBorders>
              <w:top w:val="nil"/>
              <w:left w:val="nil"/>
              <w:bottom w:val="single" w:sz="8" w:space="0" w:color="000000"/>
              <w:right w:val="nil"/>
            </w:tcBorders>
            <w:tcMar>
              <w:top w:w="0" w:type="dxa"/>
              <w:left w:w="100" w:type="dxa"/>
              <w:bottom w:w="0" w:type="dxa"/>
              <w:right w:w="100" w:type="dxa"/>
            </w:tcMar>
          </w:tcPr>
          <w:p w14:paraId="23BD84C8"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Overall</w:t>
            </w:r>
          </w:p>
        </w:tc>
        <w:tc>
          <w:tcPr>
            <w:tcW w:w="1144" w:type="dxa"/>
            <w:tcBorders>
              <w:top w:val="nil"/>
              <w:left w:val="nil"/>
              <w:bottom w:val="single" w:sz="8" w:space="0" w:color="000000"/>
              <w:right w:val="nil"/>
            </w:tcBorders>
            <w:tcMar>
              <w:top w:w="0" w:type="dxa"/>
              <w:left w:w="100" w:type="dxa"/>
              <w:bottom w:w="0" w:type="dxa"/>
              <w:right w:w="100" w:type="dxa"/>
            </w:tcMar>
          </w:tcPr>
          <w:p w14:paraId="389BC094"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3.58</w:t>
            </w:r>
          </w:p>
        </w:tc>
        <w:tc>
          <w:tcPr>
            <w:tcW w:w="982" w:type="dxa"/>
            <w:tcBorders>
              <w:top w:val="nil"/>
              <w:left w:val="nil"/>
              <w:bottom w:val="single" w:sz="8" w:space="0" w:color="000000"/>
              <w:right w:val="nil"/>
            </w:tcBorders>
            <w:tcMar>
              <w:top w:w="0" w:type="dxa"/>
              <w:left w:w="100" w:type="dxa"/>
              <w:bottom w:w="0" w:type="dxa"/>
              <w:right w:w="100" w:type="dxa"/>
            </w:tcMar>
          </w:tcPr>
          <w:p w14:paraId="4A37B206"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0.52</w:t>
            </w:r>
          </w:p>
        </w:tc>
        <w:tc>
          <w:tcPr>
            <w:tcW w:w="2229" w:type="dxa"/>
            <w:tcBorders>
              <w:top w:val="nil"/>
              <w:left w:val="nil"/>
              <w:bottom w:val="single" w:sz="8" w:space="0" w:color="000000"/>
              <w:right w:val="nil"/>
            </w:tcBorders>
            <w:tcMar>
              <w:top w:w="0" w:type="dxa"/>
              <w:left w:w="100" w:type="dxa"/>
              <w:bottom w:w="0" w:type="dxa"/>
              <w:right w:w="100" w:type="dxa"/>
            </w:tcMar>
          </w:tcPr>
          <w:p w14:paraId="55B57C3A"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Very Good</w:t>
            </w:r>
          </w:p>
        </w:tc>
      </w:tr>
    </w:tbl>
    <w:p w14:paraId="701BFF3A" w14:textId="77777777" w:rsidR="003C11B1" w:rsidRDefault="00000000">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treasury performance is rated Very Good (M = 3.58) in Table 2, which suggests that it is effectively implemented in key areas such as operational efficiency, revenue management, compliance, disbursement procedures, and service delivery. Compliance and Reporting had the highest mean, reflecting strict adherence to regulations, timely reporting, and responsiveness to audit requirements, whereas Revenue Generation and Collection Efficiency, while still very good, had the lowest mean, indicating room for improvement in optimizing local revenue strategies. These results are in line with Agency Theory (Jensen &amp; Meckling, 1976, as cited in </w:t>
      </w:r>
      <w:proofErr w:type="spellStart"/>
      <w:r>
        <w:rPr>
          <w:rFonts w:ascii="Times New Roman" w:eastAsia="Times New Roman" w:hAnsi="Times New Roman" w:cs="Times New Roman"/>
          <w:sz w:val="24"/>
          <w:szCs w:val="24"/>
        </w:rPr>
        <w:t>Zogning</w:t>
      </w:r>
      <w:proofErr w:type="spellEnd"/>
      <w:r>
        <w:rPr>
          <w:rFonts w:ascii="Times New Roman" w:eastAsia="Times New Roman" w:hAnsi="Times New Roman" w:cs="Times New Roman"/>
          <w:sz w:val="24"/>
          <w:szCs w:val="24"/>
        </w:rPr>
        <w:t>, 2017), which stresses transparency and accountability, and Stewardship Theory (Davis et al., 1997, as cited in Madison et al., 2016), which says that treasury-involved personnel help the organization and the community by having strong governance structures and a strong sense of ethics.</w:t>
      </w:r>
    </w:p>
    <w:p w14:paraId="7D1B56F7" w14:textId="77777777" w:rsidR="003C11B1" w:rsidRDefault="003C11B1">
      <w:pPr>
        <w:spacing w:line="240" w:lineRule="auto"/>
        <w:jc w:val="both"/>
        <w:rPr>
          <w:rFonts w:ascii="Times New Roman" w:eastAsia="Times New Roman" w:hAnsi="Times New Roman" w:cs="Times New Roman"/>
          <w:sz w:val="24"/>
          <w:szCs w:val="24"/>
        </w:rPr>
      </w:pPr>
    </w:p>
    <w:p w14:paraId="1CE44E86" w14:textId="77777777" w:rsidR="003C11B1" w:rsidRDefault="00000000">
      <w:pPr>
        <w:pStyle w:val="Heading3"/>
      </w:pPr>
      <w:bookmarkStart w:id="7" w:name="_fhp7ks76go4h" w:colFirst="0" w:colLast="0"/>
      <w:bookmarkEnd w:id="7"/>
      <w:r>
        <w:t>Perception of Ethical Climate</w:t>
      </w:r>
    </w:p>
    <w:p w14:paraId="7DA529D7" w14:textId="77777777" w:rsidR="003C11B1" w:rsidRDefault="003C11B1">
      <w:pPr>
        <w:spacing w:line="240" w:lineRule="auto"/>
        <w:jc w:val="both"/>
        <w:rPr>
          <w:rFonts w:ascii="Times New Roman" w:eastAsia="Times New Roman" w:hAnsi="Times New Roman" w:cs="Times New Roman"/>
          <w:b/>
          <w:bCs/>
          <w:sz w:val="24"/>
          <w:szCs w:val="24"/>
        </w:rPr>
      </w:pPr>
    </w:p>
    <w:p w14:paraId="44432207" w14:textId="77777777" w:rsidR="003C11B1" w:rsidRDefault="00000000">
      <w:pPr>
        <w:pBdr>
          <w:top w:val="nil"/>
          <w:left w:val="nil"/>
          <w:bottom w:val="nil"/>
          <w:right w:val="nil"/>
          <w:between w:val="nil"/>
        </w:pBdr>
        <w:spacing w:line="240" w:lineRule="auto"/>
        <w:rPr>
          <w:rFonts w:ascii="Times New Roman" w:eastAsia="Times New Roman" w:hAnsi="Times New Roman" w:cs="Times New Roman"/>
          <w:b/>
          <w:bCs/>
        </w:rPr>
      </w:pPr>
      <w:r>
        <w:rPr>
          <w:rFonts w:ascii="Times New Roman" w:eastAsia="Times New Roman" w:hAnsi="Times New Roman" w:cs="Times New Roman"/>
          <w:b/>
          <w:bCs/>
        </w:rPr>
        <w:t>Table 3</w:t>
      </w:r>
    </w:p>
    <w:p w14:paraId="5E7D495F" w14:textId="77777777" w:rsidR="003C11B1" w:rsidRDefault="00000000">
      <w:pPr>
        <w:pBdr>
          <w:top w:val="nil"/>
          <w:left w:val="nil"/>
          <w:bottom w:val="nil"/>
          <w:right w:val="nil"/>
          <w:between w:val="nil"/>
        </w:pBdr>
        <w:spacing w:line="240" w:lineRule="auto"/>
        <w:rPr>
          <w:rFonts w:ascii="Times New Roman" w:eastAsia="Times New Roman" w:hAnsi="Times New Roman" w:cs="Times New Roman"/>
          <w:i/>
          <w:iCs/>
        </w:rPr>
      </w:pPr>
      <w:r>
        <w:rPr>
          <w:rFonts w:ascii="Times New Roman" w:eastAsia="Times New Roman" w:hAnsi="Times New Roman" w:cs="Times New Roman"/>
          <w:i/>
          <w:iCs/>
        </w:rPr>
        <w:t>Summary Result of Ethical Climate</w:t>
      </w:r>
    </w:p>
    <w:tbl>
      <w:tblPr>
        <w:tblStyle w:val="a1"/>
        <w:tblW w:w="86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62"/>
        <w:gridCol w:w="1142"/>
        <w:gridCol w:w="995"/>
        <w:gridCol w:w="2241"/>
      </w:tblGrid>
      <w:tr w:rsidR="003C11B1" w14:paraId="6723E481" w14:textId="77777777">
        <w:trPr>
          <w:trHeight w:val="255"/>
        </w:trPr>
        <w:tc>
          <w:tcPr>
            <w:tcW w:w="4261" w:type="dxa"/>
            <w:tcBorders>
              <w:top w:val="single" w:sz="8" w:space="0" w:color="000000"/>
              <w:left w:val="nil"/>
              <w:bottom w:val="single" w:sz="8" w:space="0" w:color="000000"/>
              <w:right w:val="nil"/>
            </w:tcBorders>
            <w:tcMar>
              <w:top w:w="0" w:type="dxa"/>
              <w:left w:w="100" w:type="dxa"/>
              <w:bottom w:w="0" w:type="dxa"/>
              <w:right w:w="100" w:type="dxa"/>
            </w:tcMar>
          </w:tcPr>
          <w:p w14:paraId="0774B1C2"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Dimension</w:t>
            </w:r>
          </w:p>
        </w:tc>
        <w:tc>
          <w:tcPr>
            <w:tcW w:w="1142" w:type="dxa"/>
            <w:tcBorders>
              <w:top w:val="single" w:sz="8" w:space="0" w:color="000000"/>
              <w:left w:val="nil"/>
              <w:bottom w:val="single" w:sz="8" w:space="0" w:color="000000"/>
              <w:right w:val="nil"/>
            </w:tcBorders>
            <w:tcMar>
              <w:top w:w="0" w:type="dxa"/>
              <w:left w:w="100" w:type="dxa"/>
              <w:bottom w:w="0" w:type="dxa"/>
              <w:right w:w="100" w:type="dxa"/>
            </w:tcMar>
          </w:tcPr>
          <w:p w14:paraId="22D416B3"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w:t>
            </w:r>
          </w:p>
        </w:tc>
        <w:tc>
          <w:tcPr>
            <w:tcW w:w="995" w:type="dxa"/>
            <w:tcBorders>
              <w:top w:val="single" w:sz="8" w:space="0" w:color="000000"/>
              <w:left w:val="nil"/>
              <w:bottom w:val="single" w:sz="8" w:space="0" w:color="000000"/>
              <w:right w:val="nil"/>
            </w:tcBorders>
            <w:tcMar>
              <w:top w:w="0" w:type="dxa"/>
              <w:left w:w="100" w:type="dxa"/>
              <w:bottom w:w="0" w:type="dxa"/>
              <w:right w:w="100" w:type="dxa"/>
            </w:tcMar>
          </w:tcPr>
          <w:p w14:paraId="3D77A5D9"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SD</w:t>
            </w:r>
          </w:p>
        </w:tc>
        <w:tc>
          <w:tcPr>
            <w:tcW w:w="2240" w:type="dxa"/>
            <w:tcBorders>
              <w:top w:val="single" w:sz="8" w:space="0" w:color="000000"/>
              <w:left w:val="nil"/>
              <w:bottom w:val="single" w:sz="8" w:space="0" w:color="000000"/>
              <w:right w:val="nil"/>
            </w:tcBorders>
            <w:tcMar>
              <w:top w:w="0" w:type="dxa"/>
              <w:left w:w="100" w:type="dxa"/>
              <w:bottom w:w="0" w:type="dxa"/>
              <w:right w:w="100" w:type="dxa"/>
            </w:tcMar>
          </w:tcPr>
          <w:p w14:paraId="322240FC"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Description</w:t>
            </w:r>
          </w:p>
        </w:tc>
      </w:tr>
      <w:tr w:rsidR="003C11B1" w14:paraId="2A6171C5" w14:textId="77777777">
        <w:trPr>
          <w:trHeight w:val="240"/>
        </w:trPr>
        <w:tc>
          <w:tcPr>
            <w:tcW w:w="4261" w:type="dxa"/>
            <w:tcBorders>
              <w:top w:val="nil"/>
              <w:left w:val="nil"/>
              <w:bottom w:val="nil"/>
              <w:right w:val="nil"/>
            </w:tcBorders>
            <w:tcMar>
              <w:top w:w="0" w:type="dxa"/>
              <w:left w:w="100" w:type="dxa"/>
              <w:bottom w:w="0" w:type="dxa"/>
              <w:right w:w="100" w:type="dxa"/>
            </w:tcMar>
          </w:tcPr>
          <w:p w14:paraId="67020459"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Collective Moral Sensitivity</w:t>
            </w:r>
          </w:p>
        </w:tc>
        <w:tc>
          <w:tcPr>
            <w:tcW w:w="1142" w:type="dxa"/>
            <w:tcBorders>
              <w:top w:val="nil"/>
              <w:left w:val="nil"/>
              <w:bottom w:val="nil"/>
              <w:right w:val="nil"/>
            </w:tcBorders>
            <w:tcMar>
              <w:top w:w="0" w:type="dxa"/>
              <w:left w:w="100" w:type="dxa"/>
              <w:bottom w:w="0" w:type="dxa"/>
              <w:right w:w="100" w:type="dxa"/>
            </w:tcMar>
          </w:tcPr>
          <w:p w14:paraId="536DC237"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3.29</w:t>
            </w:r>
          </w:p>
        </w:tc>
        <w:tc>
          <w:tcPr>
            <w:tcW w:w="995" w:type="dxa"/>
            <w:tcBorders>
              <w:top w:val="nil"/>
              <w:left w:val="nil"/>
              <w:bottom w:val="nil"/>
              <w:right w:val="nil"/>
            </w:tcBorders>
            <w:tcMar>
              <w:top w:w="0" w:type="dxa"/>
              <w:left w:w="100" w:type="dxa"/>
              <w:bottom w:w="0" w:type="dxa"/>
              <w:right w:w="100" w:type="dxa"/>
            </w:tcMar>
          </w:tcPr>
          <w:p w14:paraId="34C0A9CC"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0.68</w:t>
            </w:r>
          </w:p>
        </w:tc>
        <w:tc>
          <w:tcPr>
            <w:tcW w:w="2240" w:type="dxa"/>
            <w:tcBorders>
              <w:top w:val="nil"/>
              <w:left w:val="nil"/>
              <w:bottom w:val="nil"/>
              <w:right w:val="nil"/>
            </w:tcBorders>
            <w:tcMar>
              <w:top w:w="0" w:type="dxa"/>
              <w:left w:w="100" w:type="dxa"/>
              <w:bottom w:w="0" w:type="dxa"/>
              <w:right w:w="100" w:type="dxa"/>
            </w:tcMar>
          </w:tcPr>
          <w:p w14:paraId="5E3ECD93"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Positive</w:t>
            </w:r>
          </w:p>
        </w:tc>
      </w:tr>
      <w:tr w:rsidR="003C11B1" w14:paraId="679A82EA" w14:textId="77777777">
        <w:trPr>
          <w:trHeight w:val="225"/>
        </w:trPr>
        <w:tc>
          <w:tcPr>
            <w:tcW w:w="4261" w:type="dxa"/>
            <w:tcBorders>
              <w:top w:val="nil"/>
              <w:left w:val="nil"/>
              <w:bottom w:val="nil"/>
              <w:right w:val="nil"/>
            </w:tcBorders>
            <w:tcMar>
              <w:top w:w="0" w:type="dxa"/>
              <w:left w:w="100" w:type="dxa"/>
              <w:bottom w:w="0" w:type="dxa"/>
              <w:right w:w="100" w:type="dxa"/>
            </w:tcMar>
          </w:tcPr>
          <w:p w14:paraId="77566595"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Collective Moral Judgment</w:t>
            </w:r>
          </w:p>
        </w:tc>
        <w:tc>
          <w:tcPr>
            <w:tcW w:w="1142" w:type="dxa"/>
            <w:tcBorders>
              <w:top w:val="nil"/>
              <w:left w:val="nil"/>
              <w:bottom w:val="nil"/>
              <w:right w:val="nil"/>
            </w:tcBorders>
            <w:tcMar>
              <w:top w:w="0" w:type="dxa"/>
              <w:left w:w="100" w:type="dxa"/>
              <w:bottom w:w="0" w:type="dxa"/>
              <w:right w:w="100" w:type="dxa"/>
            </w:tcMar>
          </w:tcPr>
          <w:p w14:paraId="48840F39"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w:t>
            </w:r>
          </w:p>
        </w:tc>
        <w:tc>
          <w:tcPr>
            <w:tcW w:w="995" w:type="dxa"/>
            <w:tcBorders>
              <w:top w:val="nil"/>
              <w:left w:val="nil"/>
              <w:bottom w:val="nil"/>
              <w:right w:val="nil"/>
            </w:tcBorders>
            <w:tcMar>
              <w:top w:w="0" w:type="dxa"/>
              <w:left w:w="100" w:type="dxa"/>
              <w:bottom w:w="0" w:type="dxa"/>
              <w:right w:w="100" w:type="dxa"/>
            </w:tcMar>
          </w:tcPr>
          <w:p w14:paraId="0D48CE8F"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0.56</w:t>
            </w:r>
          </w:p>
        </w:tc>
        <w:tc>
          <w:tcPr>
            <w:tcW w:w="2240" w:type="dxa"/>
            <w:tcBorders>
              <w:top w:val="nil"/>
              <w:left w:val="nil"/>
              <w:bottom w:val="nil"/>
              <w:right w:val="nil"/>
            </w:tcBorders>
            <w:tcMar>
              <w:top w:w="0" w:type="dxa"/>
              <w:left w:w="100" w:type="dxa"/>
              <w:bottom w:w="0" w:type="dxa"/>
              <w:right w:w="100" w:type="dxa"/>
            </w:tcMar>
          </w:tcPr>
          <w:p w14:paraId="3D28F70D"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Positive</w:t>
            </w:r>
          </w:p>
        </w:tc>
      </w:tr>
      <w:tr w:rsidR="003C11B1" w14:paraId="6E15011E" w14:textId="77777777">
        <w:trPr>
          <w:trHeight w:val="225"/>
        </w:trPr>
        <w:tc>
          <w:tcPr>
            <w:tcW w:w="4261" w:type="dxa"/>
            <w:tcBorders>
              <w:top w:val="nil"/>
              <w:left w:val="nil"/>
              <w:bottom w:val="nil"/>
              <w:right w:val="nil"/>
            </w:tcBorders>
            <w:tcMar>
              <w:top w:w="0" w:type="dxa"/>
              <w:left w:w="100" w:type="dxa"/>
              <w:bottom w:w="0" w:type="dxa"/>
              <w:right w:w="100" w:type="dxa"/>
            </w:tcMar>
          </w:tcPr>
          <w:p w14:paraId="2D9D3901"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Collective Moral Motivation</w:t>
            </w:r>
          </w:p>
        </w:tc>
        <w:tc>
          <w:tcPr>
            <w:tcW w:w="1142" w:type="dxa"/>
            <w:tcBorders>
              <w:top w:val="nil"/>
              <w:left w:val="nil"/>
              <w:bottom w:val="nil"/>
              <w:right w:val="nil"/>
            </w:tcBorders>
            <w:tcMar>
              <w:top w:w="0" w:type="dxa"/>
              <w:left w:w="100" w:type="dxa"/>
              <w:bottom w:w="0" w:type="dxa"/>
              <w:right w:w="100" w:type="dxa"/>
            </w:tcMar>
          </w:tcPr>
          <w:p w14:paraId="03A0A7B8"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w:t>
            </w:r>
          </w:p>
        </w:tc>
        <w:tc>
          <w:tcPr>
            <w:tcW w:w="995" w:type="dxa"/>
            <w:tcBorders>
              <w:top w:val="nil"/>
              <w:left w:val="nil"/>
              <w:bottom w:val="nil"/>
              <w:right w:val="nil"/>
            </w:tcBorders>
            <w:tcMar>
              <w:top w:w="0" w:type="dxa"/>
              <w:left w:w="100" w:type="dxa"/>
              <w:bottom w:w="0" w:type="dxa"/>
              <w:right w:w="100" w:type="dxa"/>
            </w:tcMar>
          </w:tcPr>
          <w:p w14:paraId="454EF4D7"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0.56</w:t>
            </w:r>
          </w:p>
        </w:tc>
        <w:tc>
          <w:tcPr>
            <w:tcW w:w="2240" w:type="dxa"/>
            <w:tcBorders>
              <w:top w:val="nil"/>
              <w:left w:val="nil"/>
              <w:bottom w:val="nil"/>
              <w:right w:val="nil"/>
            </w:tcBorders>
            <w:tcMar>
              <w:top w:w="0" w:type="dxa"/>
              <w:left w:w="100" w:type="dxa"/>
              <w:bottom w:w="0" w:type="dxa"/>
              <w:right w:w="100" w:type="dxa"/>
            </w:tcMar>
          </w:tcPr>
          <w:p w14:paraId="0113C263"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Positive</w:t>
            </w:r>
          </w:p>
        </w:tc>
      </w:tr>
      <w:tr w:rsidR="003C11B1" w14:paraId="77F795F2" w14:textId="77777777">
        <w:trPr>
          <w:trHeight w:val="240"/>
        </w:trPr>
        <w:tc>
          <w:tcPr>
            <w:tcW w:w="4261" w:type="dxa"/>
            <w:tcBorders>
              <w:top w:val="nil"/>
              <w:left w:val="nil"/>
              <w:bottom w:val="nil"/>
              <w:right w:val="nil"/>
            </w:tcBorders>
            <w:tcMar>
              <w:top w:w="0" w:type="dxa"/>
              <w:left w:w="100" w:type="dxa"/>
              <w:bottom w:w="0" w:type="dxa"/>
              <w:right w:w="100" w:type="dxa"/>
            </w:tcMar>
          </w:tcPr>
          <w:p w14:paraId="36D8BBBC" w14:textId="77777777" w:rsidR="003C11B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Collective Moral Character</w:t>
            </w:r>
          </w:p>
        </w:tc>
        <w:tc>
          <w:tcPr>
            <w:tcW w:w="1142" w:type="dxa"/>
            <w:tcBorders>
              <w:top w:val="nil"/>
              <w:left w:val="nil"/>
              <w:bottom w:val="nil"/>
              <w:right w:val="nil"/>
            </w:tcBorders>
            <w:tcMar>
              <w:top w:w="0" w:type="dxa"/>
              <w:left w:w="100" w:type="dxa"/>
              <w:bottom w:w="0" w:type="dxa"/>
              <w:right w:w="100" w:type="dxa"/>
            </w:tcMar>
          </w:tcPr>
          <w:p w14:paraId="33A6E69A"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3.55</w:t>
            </w:r>
          </w:p>
        </w:tc>
        <w:tc>
          <w:tcPr>
            <w:tcW w:w="995" w:type="dxa"/>
            <w:tcBorders>
              <w:top w:val="nil"/>
              <w:left w:val="nil"/>
              <w:bottom w:val="nil"/>
              <w:right w:val="nil"/>
            </w:tcBorders>
            <w:tcMar>
              <w:top w:w="0" w:type="dxa"/>
              <w:left w:w="100" w:type="dxa"/>
              <w:bottom w:w="0" w:type="dxa"/>
              <w:right w:w="100" w:type="dxa"/>
            </w:tcMar>
          </w:tcPr>
          <w:p w14:paraId="24E96A7A"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0.52</w:t>
            </w:r>
          </w:p>
        </w:tc>
        <w:tc>
          <w:tcPr>
            <w:tcW w:w="2240" w:type="dxa"/>
            <w:tcBorders>
              <w:top w:val="nil"/>
              <w:left w:val="nil"/>
              <w:bottom w:val="nil"/>
              <w:right w:val="nil"/>
            </w:tcBorders>
            <w:tcMar>
              <w:top w:w="0" w:type="dxa"/>
              <w:left w:w="100" w:type="dxa"/>
              <w:bottom w:w="0" w:type="dxa"/>
              <w:right w:w="100" w:type="dxa"/>
            </w:tcMar>
          </w:tcPr>
          <w:p w14:paraId="29A69D91" w14:textId="77777777" w:rsidR="003C11B1" w:rsidRDefault="00000000">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Positive</w:t>
            </w:r>
          </w:p>
        </w:tc>
      </w:tr>
      <w:tr w:rsidR="003C11B1" w14:paraId="3A3AEC9F" w14:textId="77777777">
        <w:trPr>
          <w:trHeight w:val="255"/>
        </w:trPr>
        <w:tc>
          <w:tcPr>
            <w:tcW w:w="4261" w:type="dxa"/>
            <w:tcBorders>
              <w:top w:val="single" w:sz="8" w:space="0" w:color="000000"/>
              <w:left w:val="nil"/>
              <w:bottom w:val="single" w:sz="8" w:space="0" w:color="000000"/>
              <w:right w:val="nil"/>
            </w:tcBorders>
            <w:tcMar>
              <w:top w:w="0" w:type="dxa"/>
              <w:left w:w="100" w:type="dxa"/>
              <w:bottom w:w="0" w:type="dxa"/>
              <w:right w:w="100" w:type="dxa"/>
            </w:tcMar>
          </w:tcPr>
          <w:p w14:paraId="70404FAF"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Overall</w:t>
            </w:r>
          </w:p>
        </w:tc>
        <w:tc>
          <w:tcPr>
            <w:tcW w:w="1142" w:type="dxa"/>
            <w:tcBorders>
              <w:top w:val="single" w:sz="8" w:space="0" w:color="000000"/>
              <w:left w:val="nil"/>
              <w:bottom w:val="single" w:sz="8" w:space="0" w:color="000000"/>
              <w:right w:val="nil"/>
            </w:tcBorders>
            <w:tcMar>
              <w:top w:w="0" w:type="dxa"/>
              <w:left w:w="100" w:type="dxa"/>
              <w:bottom w:w="0" w:type="dxa"/>
              <w:right w:w="100" w:type="dxa"/>
            </w:tcMar>
          </w:tcPr>
          <w:p w14:paraId="6E3DE6A1"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3.44</w:t>
            </w:r>
          </w:p>
        </w:tc>
        <w:tc>
          <w:tcPr>
            <w:tcW w:w="995" w:type="dxa"/>
            <w:tcBorders>
              <w:top w:val="single" w:sz="8" w:space="0" w:color="000000"/>
              <w:left w:val="nil"/>
              <w:bottom w:val="single" w:sz="8" w:space="0" w:color="000000"/>
              <w:right w:val="nil"/>
            </w:tcBorders>
            <w:tcMar>
              <w:top w:w="0" w:type="dxa"/>
              <w:left w:w="100" w:type="dxa"/>
              <w:bottom w:w="0" w:type="dxa"/>
              <w:right w:w="100" w:type="dxa"/>
            </w:tcMar>
          </w:tcPr>
          <w:p w14:paraId="57C5AAA5"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0.59</w:t>
            </w:r>
          </w:p>
        </w:tc>
        <w:tc>
          <w:tcPr>
            <w:tcW w:w="2240" w:type="dxa"/>
            <w:tcBorders>
              <w:top w:val="single" w:sz="8" w:space="0" w:color="000000"/>
              <w:left w:val="nil"/>
              <w:bottom w:val="single" w:sz="8" w:space="0" w:color="000000"/>
              <w:right w:val="nil"/>
            </w:tcBorders>
            <w:tcMar>
              <w:top w:w="0" w:type="dxa"/>
              <w:left w:w="100" w:type="dxa"/>
              <w:bottom w:w="0" w:type="dxa"/>
              <w:right w:w="100" w:type="dxa"/>
            </w:tcMar>
          </w:tcPr>
          <w:p w14:paraId="55305508" w14:textId="77777777" w:rsidR="003C11B1" w:rsidRDefault="00000000">
            <w:pPr>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Very Positive</w:t>
            </w:r>
          </w:p>
        </w:tc>
      </w:tr>
    </w:tbl>
    <w:p w14:paraId="01946C01" w14:textId="77777777" w:rsidR="003C11B1" w:rsidRDefault="00000000">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3 shows that the overall ethical climate is Very Positive (M = 3.44), implying that ethical values are deeply embedded in treasury operations. Collective Moral Character had the highest mean, indicating strong integrity, fairness, and commitment to public trust, whereas Collective Moral Sensitivity, while still very positive, had the lowest mean, indicating the need for improved early detection of ethical issues. These findings are consistent with the Four-Component Model of Ethical Climate of Arnaud (2010, as cited in Loke, 2019), as the presence of strong moral character and motivation indicates that employees recognize ethical standards and apply them consistently. They also support Agency Theory (Jensen &amp; Meckling, 1976, as cited in </w:t>
      </w:r>
      <w:proofErr w:type="spellStart"/>
      <w:r>
        <w:rPr>
          <w:rFonts w:ascii="Times New Roman" w:eastAsia="Times New Roman" w:hAnsi="Times New Roman" w:cs="Times New Roman"/>
          <w:sz w:val="24"/>
          <w:szCs w:val="24"/>
        </w:rPr>
        <w:t>Zogning</w:t>
      </w:r>
      <w:proofErr w:type="spellEnd"/>
      <w:r>
        <w:rPr>
          <w:rFonts w:ascii="Times New Roman" w:eastAsia="Times New Roman" w:hAnsi="Times New Roman" w:cs="Times New Roman"/>
          <w:sz w:val="24"/>
          <w:szCs w:val="24"/>
        </w:rPr>
        <w:t xml:space="preserve">, 2017), which says that a strong ethical climate stops people from being opportunistic by making them more accountable, and Stewardship Theory (Davis et al., 1997, as cited in Madison et al., </w:t>
      </w:r>
      <w:r>
        <w:rPr>
          <w:rFonts w:ascii="Times New Roman" w:eastAsia="Times New Roman" w:hAnsi="Times New Roman" w:cs="Times New Roman"/>
          <w:sz w:val="24"/>
          <w:szCs w:val="24"/>
        </w:rPr>
        <w:lastRenderedPageBreak/>
        <w:t>2016), which says that when people internalize ethical values, they act in the best interest of the organization and the public. Overall, the results show that a good ethical climate makes the treasury work better when people are responsible and accountable.</w:t>
      </w:r>
    </w:p>
    <w:p w14:paraId="3600067B" w14:textId="77777777" w:rsidR="003C11B1" w:rsidRDefault="003C11B1">
      <w:pPr>
        <w:spacing w:line="240" w:lineRule="auto"/>
        <w:jc w:val="both"/>
        <w:rPr>
          <w:rFonts w:ascii="Times New Roman" w:eastAsia="Times New Roman" w:hAnsi="Times New Roman" w:cs="Times New Roman"/>
          <w:sz w:val="24"/>
          <w:szCs w:val="24"/>
        </w:rPr>
      </w:pPr>
    </w:p>
    <w:p w14:paraId="3A05654A" w14:textId="77777777" w:rsidR="003C11B1" w:rsidRDefault="00000000">
      <w:pPr>
        <w:pStyle w:val="Heading3"/>
      </w:pPr>
      <w:bookmarkStart w:id="8" w:name="_aldhnbbd2c3n" w:colFirst="0" w:colLast="0"/>
      <w:bookmarkEnd w:id="8"/>
      <w:r>
        <w:t>Significant Difference in Internal Control Effectiveness as influenced by Profile</w:t>
      </w:r>
    </w:p>
    <w:p w14:paraId="7C0BAD8F" w14:textId="77777777" w:rsidR="003C11B1" w:rsidRDefault="003C11B1">
      <w:pPr>
        <w:spacing w:line="240" w:lineRule="auto"/>
        <w:jc w:val="both"/>
        <w:rPr>
          <w:rFonts w:ascii="Times New Roman" w:eastAsia="Times New Roman" w:hAnsi="Times New Roman" w:cs="Times New Roman"/>
          <w:sz w:val="24"/>
          <w:szCs w:val="24"/>
        </w:rPr>
      </w:pPr>
    </w:p>
    <w:p w14:paraId="670E3371" w14:textId="77777777" w:rsidR="003C11B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Table 4</w:t>
      </w:r>
    </w:p>
    <w:p w14:paraId="26D876DB" w14:textId="77777777" w:rsidR="003C11B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Test of significant difference in internal control effectiveness when grouped based on profile</w:t>
      </w:r>
    </w:p>
    <w:tbl>
      <w:tblPr>
        <w:tblStyle w:val="a2"/>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2115"/>
        <w:gridCol w:w="930"/>
        <w:gridCol w:w="1080"/>
        <w:gridCol w:w="975"/>
        <w:gridCol w:w="1050"/>
        <w:gridCol w:w="1635"/>
      </w:tblGrid>
      <w:tr w:rsidR="003C11B1" w14:paraId="3E7709A2" w14:textId="77777777">
        <w:trPr>
          <w:trHeight w:val="435"/>
        </w:trPr>
        <w:tc>
          <w:tcPr>
            <w:tcW w:w="975" w:type="dxa"/>
            <w:tcBorders>
              <w:top w:val="single" w:sz="8" w:space="0" w:color="000000"/>
              <w:left w:val="nil"/>
              <w:bottom w:val="single" w:sz="8" w:space="0" w:color="000000"/>
              <w:right w:val="nil"/>
            </w:tcBorders>
            <w:tcMar>
              <w:top w:w="0" w:type="dxa"/>
              <w:left w:w="100" w:type="dxa"/>
              <w:bottom w:w="0" w:type="dxa"/>
              <w:right w:w="100" w:type="dxa"/>
            </w:tcMar>
          </w:tcPr>
          <w:p w14:paraId="59546C40"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Profile</w:t>
            </w:r>
          </w:p>
        </w:tc>
        <w:tc>
          <w:tcPr>
            <w:tcW w:w="2115" w:type="dxa"/>
            <w:tcBorders>
              <w:top w:val="single" w:sz="8" w:space="0" w:color="000000"/>
              <w:left w:val="nil"/>
              <w:bottom w:val="single" w:sz="8" w:space="0" w:color="000000"/>
              <w:right w:val="nil"/>
            </w:tcBorders>
            <w:tcMar>
              <w:top w:w="0" w:type="dxa"/>
              <w:left w:w="100" w:type="dxa"/>
              <w:bottom w:w="0" w:type="dxa"/>
              <w:right w:w="100" w:type="dxa"/>
            </w:tcMar>
          </w:tcPr>
          <w:p w14:paraId="16C9B20A"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Category</w:t>
            </w:r>
          </w:p>
        </w:tc>
        <w:tc>
          <w:tcPr>
            <w:tcW w:w="930" w:type="dxa"/>
            <w:tcBorders>
              <w:top w:val="single" w:sz="8" w:space="0" w:color="000000"/>
              <w:left w:val="nil"/>
              <w:bottom w:val="single" w:sz="8" w:space="0" w:color="000000"/>
              <w:right w:val="nil"/>
            </w:tcBorders>
            <w:tcMar>
              <w:top w:w="0" w:type="dxa"/>
              <w:left w:w="100" w:type="dxa"/>
              <w:bottom w:w="0" w:type="dxa"/>
              <w:right w:w="100" w:type="dxa"/>
            </w:tcMar>
          </w:tcPr>
          <w:p w14:paraId="52BFD47E"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Mean Rank</w:t>
            </w:r>
          </w:p>
        </w:tc>
        <w:tc>
          <w:tcPr>
            <w:tcW w:w="1080" w:type="dxa"/>
            <w:tcBorders>
              <w:top w:val="single" w:sz="8" w:space="0" w:color="000000"/>
              <w:left w:val="nil"/>
              <w:bottom w:val="single" w:sz="8" w:space="0" w:color="000000"/>
              <w:right w:val="nil"/>
            </w:tcBorders>
            <w:tcMar>
              <w:top w:w="0" w:type="dxa"/>
              <w:left w:w="100" w:type="dxa"/>
              <w:bottom w:w="0" w:type="dxa"/>
              <w:right w:w="100" w:type="dxa"/>
            </w:tcMar>
          </w:tcPr>
          <w:p w14:paraId="2447BBB8"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Test Statistic</w:t>
            </w:r>
          </w:p>
        </w:tc>
        <w:tc>
          <w:tcPr>
            <w:tcW w:w="975" w:type="dxa"/>
            <w:tcBorders>
              <w:top w:val="single" w:sz="8" w:space="0" w:color="000000"/>
              <w:left w:val="nil"/>
              <w:bottom w:val="single" w:sz="8" w:space="0" w:color="000000"/>
              <w:right w:val="nil"/>
            </w:tcBorders>
            <w:tcMar>
              <w:top w:w="0" w:type="dxa"/>
              <w:left w:w="100" w:type="dxa"/>
              <w:bottom w:w="0" w:type="dxa"/>
              <w:right w:w="100" w:type="dxa"/>
            </w:tcMar>
          </w:tcPr>
          <w:p w14:paraId="6EF9426E"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p-value</w:t>
            </w:r>
          </w:p>
        </w:tc>
        <w:tc>
          <w:tcPr>
            <w:tcW w:w="1050" w:type="dxa"/>
            <w:tcBorders>
              <w:top w:val="single" w:sz="8" w:space="0" w:color="000000"/>
              <w:left w:val="nil"/>
              <w:bottom w:val="single" w:sz="8" w:space="0" w:color="000000"/>
              <w:right w:val="nil"/>
            </w:tcBorders>
            <w:tcMar>
              <w:top w:w="0" w:type="dxa"/>
              <w:left w:w="100" w:type="dxa"/>
              <w:bottom w:w="0" w:type="dxa"/>
              <w:right w:w="100" w:type="dxa"/>
            </w:tcMar>
          </w:tcPr>
          <w:p w14:paraId="6B7665D4"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Decision</w:t>
            </w:r>
          </w:p>
        </w:tc>
        <w:tc>
          <w:tcPr>
            <w:tcW w:w="1635" w:type="dxa"/>
            <w:tcBorders>
              <w:top w:val="single" w:sz="8" w:space="0" w:color="000000"/>
              <w:left w:val="nil"/>
              <w:bottom w:val="single" w:sz="8" w:space="0" w:color="000000"/>
              <w:right w:val="nil"/>
            </w:tcBorders>
            <w:tcMar>
              <w:top w:w="0" w:type="dxa"/>
              <w:left w:w="100" w:type="dxa"/>
              <w:bottom w:w="0" w:type="dxa"/>
              <w:right w:w="100" w:type="dxa"/>
            </w:tcMar>
          </w:tcPr>
          <w:p w14:paraId="382D5733"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Interpretation</w:t>
            </w:r>
          </w:p>
        </w:tc>
      </w:tr>
      <w:tr w:rsidR="003C11B1" w14:paraId="6D5755C3" w14:textId="77777777">
        <w:trPr>
          <w:trHeight w:val="367"/>
        </w:trPr>
        <w:tc>
          <w:tcPr>
            <w:tcW w:w="975" w:type="dxa"/>
            <w:tcBorders>
              <w:top w:val="nil"/>
              <w:left w:val="nil"/>
              <w:bottom w:val="single" w:sz="8" w:space="0" w:color="000000"/>
              <w:right w:val="nil"/>
            </w:tcBorders>
            <w:tcMar>
              <w:top w:w="0" w:type="dxa"/>
              <w:left w:w="100" w:type="dxa"/>
              <w:bottom w:w="0" w:type="dxa"/>
              <w:right w:w="100" w:type="dxa"/>
            </w:tcMar>
          </w:tcPr>
          <w:p w14:paraId="77B957FA"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Age</w:t>
            </w:r>
          </w:p>
        </w:tc>
        <w:tc>
          <w:tcPr>
            <w:tcW w:w="2115" w:type="dxa"/>
            <w:tcBorders>
              <w:top w:val="nil"/>
              <w:left w:val="nil"/>
              <w:bottom w:val="single" w:sz="8" w:space="0" w:color="000000"/>
              <w:right w:val="nil"/>
            </w:tcBorders>
            <w:tcMar>
              <w:top w:w="0" w:type="dxa"/>
              <w:left w:w="100" w:type="dxa"/>
              <w:bottom w:w="0" w:type="dxa"/>
              <w:right w:w="100" w:type="dxa"/>
            </w:tcMar>
          </w:tcPr>
          <w:p w14:paraId="1C7100A4"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18-40 years old</w:t>
            </w:r>
          </w:p>
          <w:p w14:paraId="36325FEE"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41-65 years old</w:t>
            </w:r>
          </w:p>
        </w:tc>
        <w:tc>
          <w:tcPr>
            <w:tcW w:w="930" w:type="dxa"/>
            <w:tcBorders>
              <w:top w:val="nil"/>
              <w:left w:val="nil"/>
              <w:bottom w:val="single" w:sz="8" w:space="0" w:color="000000"/>
              <w:right w:val="nil"/>
            </w:tcBorders>
            <w:tcMar>
              <w:top w:w="0" w:type="dxa"/>
              <w:left w:w="100" w:type="dxa"/>
              <w:bottom w:w="0" w:type="dxa"/>
              <w:right w:w="100" w:type="dxa"/>
            </w:tcMar>
          </w:tcPr>
          <w:p w14:paraId="45970AD2"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57.18</w:t>
            </w:r>
          </w:p>
          <w:p w14:paraId="4E870091"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63.50</w:t>
            </w:r>
          </w:p>
        </w:tc>
        <w:tc>
          <w:tcPr>
            <w:tcW w:w="1080" w:type="dxa"/>
            <w:tcBorders>
              <w:top w:val="nil"/>
              <w:left w:val="nil"/>
              <w:bottom w:val="single" w:sz="8" w:space="0" w:color="000000"/>
              <w:right w:val="nil"/>
            </w:tcBorders>
            <w:tcMar>
              <w:top w:w="0" w:type="dxa"/>
              <w:left w:w="100" w:type="dxa"/>
              <w:bottom w:w="0" w:type="dxa"/>
              <w:right w:w="100" w:type="dxa"/>
            </w:tcMar>
          </w:tcPr>
          <w:p w14:paraId="2C2D9232"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-1.128</w:t>
            </w:r>
          </w:p>
        </w:tc>
        <w:tc>
          <w:tcPr>
            <w:tcW w:w="975" w:type="dxa"/>
            <w:tcBorders>
              <w:top w:val="nil"/>
              <w:left w:val="nil"/>
              <w:bottom w:val="single" w:sz="8" w:space="0" w:color="000000"/>
              <w:right w:val="nil"/>
            </w:tcBorders>
            <w:tcMar>
              <w:top w:w="0" w:type="dxa"/>
              <w:left w:w="100" w:type="dxa"/>
              <w:bottom w:w="0" w:type="dxa"/>
              <w:right w:w="100" w:type="dxa"/>
            </w:tcMar>
          </w:tcPr>
          <w:p w14:paraId="6B4E41A2"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0.260</w:t>
            </w:r>
          </w:p>
        </w:tc>
        <w:tc>
          <w:tcPr>
            <w:tcW w:w="1050" w:type="dxa"/>
            <w:tcBorders>
              <w:top w:val="nil"/>
              <w:left w:val="nil"/>
              <w:bottom w:val="single" w:sz="8" w:space="0" w:color="000000"/>
              <w:right w:val="nil"/>
            </w:tcBorders>
            <w:tcMar>
              <w:top w:w="0" w:type="dxa"/>
              <w:left w:w="100" w:type="dxa"/>
              <w:bottom w:w="0" w:type="dxa"/>
              <w:right w:w="100" w:type="dxa"/>
            </w:tcMar>
          </w:tcPr>
          <w:p w14:paraId="3438C9E8"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 not reject H01a</w:t>
            </w:r>
          </w:p>
        </w:tc>
        <w:tc>
          <w:tcPr>
            <w:tcW w:w="1635" w:type="dxa"/>
            <w:tcBorders>
              <w:top w:val="nil"/>
              <w:left w:val="nil"/>
              <w:bottom w:val="single" w:sz="8" w:space="0" w:color="000000"/>
              <w:right w:val="nil"/>
            </w:tcBorders>
            <w:tcMar>
              <w:top w:w="0" w:type="dxa"/>
              <w:left w:w="100" w:type="dxa"/>
              <w:bottom w:w="0" w:type="dxa"/>
              <w:right w:w="100" w:type="dxa"/>
            </w:tcMar>
          </w:tcPr>
          <w:p w14:paraId="01A68C0C"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 Significant</w:t>
            </w:r>
          </w:p>
        </w:tc>
      </w:tr>
      <w:tr w:rsidR="003C11B1" w14:paraId="7396CD3B" w14:textId="77777777">
        <w:trPr>
          <w:trHeight w:val="367"/>
        </w:trPr>
        <w:tc>
          <w:tcPr>
            <w:tcW w:w="975" w:type="dxa"/>
            <w:tcBorders>
              <w:top w:val="nil"/>
              <w:left w:val="nil"/>
              <w:bottom w:val="single" w:sz="8" w:space="0" w:color="000000"/>
              <w:right w:val="nil"/>
            </w:tcBorders>
            <w:tcMar>
              <w:top w:w="0" w:type="dxa"/>
              <w:left w:w="100" w:type="dxa"/>
              <w:bottom w:w="0" w:type="dxa"/>
              <w:right w:w="100" w:type="dxa"/>
            </w:tcMar>
          </w:tcPr>
          <w:p w14:paraId="4A821CE4"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Sex</w:t>
            </w:r>
          </w:p>
        </w:tc>
        <w:tc>
          <w:tcPr>
            <w:tcW w:w="2115" w:type="dxa"/>
            <w:tcBorders>
              <w:top w:val="nil"/>
              <w:left w:val="nil"/>
              <w:bottom w:val="single" w:sz="8" w:space="0" w:color="000000"/>
              <w:right w:val="nil"/>
            </w:tcBorders>
            <w:tcMar>
              <w:top w:w="0" w:type="dxa"/>
              <w:left w:w="100" w:type="dxa"/>
              <w:bottom w:w="0" w:type="dxa"/>
              <w:right w:w="100" w:type="dxa"/>
            </w:tcMar>
          </w:tcPr>
          <w:p w14:paraId="7C9B305D"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Male</w:t>
            </w:r>
          </w:p>
          <w:p w14:paraId="689B624F"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Female</w:t>
            </w:r>
          </w:p>
        </w:tc>
        <w:tc>
          <w:tcPr>
            <w:tcW w:w="930" w:type="dxa"/>
            <w:tcBorders>
              <w:top w:val="nil"/>
              <w:left w:val="nil"/>
              <w:bottom w:val="single" w:sz="8" w:space="0" w:color="000000"/>
              <w:right w:val="nil"/>
            </w:tcBorders>
            <w:tcMar>
              <w:top w:w="0" w:type="dxa"/>
              <w:left w:w="100" w:type="dxa"/>
              <w:bottom w:w="0" w:type="dxa"/>
              <w:right w:w="100" w:type="dxa"/>
            </w:tcMar>
          </w:tcPr>
          <w:p w14:paraId="2C175AB9"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59.25</w:t>
            </w:r>
          </w:p>
          <w:p w14:paraId="170045E0"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61.08</w:t>
            </w:r>
          </w:p>
        </w:tc>
        <w:tc>
          <w:tcPr>
            <w:tcW w:w="1080" w:type="dxa"/>
            <w:tcBorders>
              <w:top w:val="nil"/>
              <w:left w:val="nil"/>
              <w:bottom w:val="single" w:sz="8" w:space="0" w:color="000000"/>
              <w:right w:val="nil"/>
            </w:tcBorders>
            <w:tcMar>
              <w:top w:w="0" w:type="dxa"/>
              <w:left w:w="100" w:type="dxa"/>
              <w:bottom w:w="0" w:type="dxa"/>
              <w:right w:w="100" w:type="dxa"/>
            </w:tcMar>
          </w:tcPr>
          <w:p w14:paraId="00854D9D"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-0.304</w:t>
            </w:r>
          </w:p>
        </w:tc>
        <w:tc>
          <w:tcPr>
            <w:tcW w:w="975" w:type="dxa"/>
            <w:tcBorders>
              <w:top w:val="nil"/>
              <w:left w:val="nil"/>
              <w:bottom w:val="single" w:sz="8" w:space="0" w:color="000000"/>
              <w:right w:val="nil"/>
            </w:tcBorders>
            <w:tcMar>
              <w:top w:w="0" w:type="dxa"/>
              <w:left w:w="100" w:type="dxa"/>
              <w:bottom w:w="0" w:type="dxa"/>
              <w:right w:w="100" w:type="dxa"/>
            </w:tcMar>
          </w:tcPr>
          <w:p w14:paraId="14FF2C19"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0.761</w:t>
            </w:r>
          </w:p>
        </w:tc>
        <w:tc>
          <w:tcPr>
            <w:tcW w:w="1050" w:type="dxa"/>
            <w:tcBorders>
              <w:top w:val="nil"/>
              <w:left w:val="nil"/>
              <w:bottom w:val="single" w:sz="8" w:space="0" w:color="000000"/>
              <w:right w:val="nil"/>
            </w:tcBorders>
            <w:tcMar>
              <w:top w:w="0" w:type="dxa"/>
              <w:left w:w="100" w:type="dxa"/>
              <w:bottom w:w="0" w:type="dxa"/>
              <w:right w:w="100" w:type="dxa"/>
            </w:tcMar>
          </w:tcPr>
          <w:p w14:paraId="1C4B6712"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 not reject H01b</w:t>
            </w:r>
          </w:p>
        </w:tc>
        <w:tc>
          <w:tcPr>
            <w:tcW w:w="1635" w:type="dxa"/>
            <w:tcBorders>
              <w:top w:val="nil"/>
              <w:left w:val="nil"/>
              <w:bottom w:val="single" w:sz="8" w:space="0" w:color="000000"/>
              <w:right w:val="nil"/>
            </w:tcBorders>
            <w:tcMar>
              <w:top w:w="0" w:type="dxa"/>
              <w:left w:w="100" w:type="dxa"/>
              <w:bottom w:w="0" w:type="dxa"/>
              <w:right w:w="100" w:type="dxa"/>
            </w:tcMar>
          </w:tcPr>
          <w:p w14:paraId="13BDCE0F"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 Significant</w:t>
            </w:r>
          </w:p>
        </w:tc>
      </w:tr>
      <w:tr w:rsidR="003C11B1" w14:paraId="00741EE5" w14:textId="77777777">
        <w:trPr>
          <w:trHeight w:val="1114"/>
        </w:trPr>
        <w:tc>
          <w:tcPr>
            <w:tcW w:w="975" w:type="dxa"/>
            <w:tcBorders>
              <w:top w:val="nil"/>
              <w:left w:val="nil"/>
              <w:bottom w:val="single" w:sz="8" w:space="0" w:color="000000"/>
              <w:right w:val="nil"/>
            </w:tcBorders>
            <w:tcMar>
              <w:top w:w="0" w:type="dxa"/>
              <w:left w:w="100" w:type="dxa"/>
              <w:bottom w:w="0" w:type="dxa"/>
              <w:right w:w="100" w:type="dxa"/>
            </w:tcMar>
          </w:tcPr>
          <w:p w14:paraId="7B4C4654"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Years in Service</w:t>
            </w:r>
          </w:p>
        </w:tc>
        <w:tc>
          <w:tcPr>
            <w:tcW w:w="2115" w:type="dxa"/>
            <w:tcBorders>
              <w:top w:val="nil"/>
              <w:left w:val="nil"/>
              <w:bottom w:val="single" w:sz="8" w:space="0" w:color="000000"/>
              <w:right w:val="nil"/>
            </w:tcBorders>
            <w:tcMar>
              <w:top w:w="0" w:type="dxa"/>
              <w:left w:w="100" w:type="dxa"/>
              <w:bottom w:w="0" w:type="dxa"/>
              <w:right w:w="100" w:type="dxa"/>
            </w:tcMar>
          </w:tcPr>
          <w:p w14:paraId="383310B5"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 years</w:t>
            </w:r>
          </w:p>
          <w:p w14:paraId="1A14C3E7"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 years</w:t>
            </w:r>
          </w:p>
          <w:p w14:paraId="29AC27B9"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10-19 years</w:t>
            </w:r>
          </w:p>
          <w:p w14:paraId="4C7C9D87"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20-29 years</w:t>
            </w:r>
          </w:p>
          <w:p w14:paraId="63B41C28"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 years and above</w:t>
            </w:r>
          </w:p>
        </w:tc>
        <w:tc>
          <w:tcPr>
            <w:tcW w:w="930" w:type="dxa"/>
            <w:tcBorders>
              <w:top w:val="nil"/>
              <w:left w:val="nil"/>
              <w:bottom w:val="single" w:sz="8" w:space="0" w:color="000000"/>
              <w:right w:val="nil"/>
            </w:tcBorders>
            <w:tcMar>
              <w:top w:w="0" w:type="dxa"/>
              <w:left w:w="100" w:type="dxa"/>
              <w:bottom w:w="0" w:type="dxa"/>
              <w:right w:w="100" w:type="dxa"/>
            </w:tcMar>
          </w:tcPr>
          <w:p w14:paraId="0FA91BC0"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62.68</w:t>
            </w:r>
          </w:p>
          <w:p w14:paraId="659A59D5"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55.66</w:t>
            </w:r>
          </w:p>
          <w:p w14:paraId="6D752C59"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67.89</w:t>
            </w:r>
          </w:p>
          <w:p w14:paraId="433348B8"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63.03</w:t>
            </w:r>
          </w:p>
          <w:p w14:paraId="21799463"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67.17</w:t>
            </w:r>
          </w:p>
        </w:tc>
        <w:tc>
          <w:tcPr>
            <w:tcW w:w="1080" w:type="dxa"/>
            <w:tcBorders>
              <w:top w:val="nil"/>
              <w:left w:val="nil"/>
              <w:bottom w:val="single" w:sz="8" w:space="0" w:color="000000"/>
              <w:right w:val="nil"/>
            </w:tcBorders>
            <w:tcMar>
              <w:top w:w="0" w:type="dxa"/>
              <w:left w:w="100" w:type="dxa"/>
              <w:bottom w:w="0" w:type="dxa"/>
              <w:right w:w="100" w:type="dxa"/>
            </w:tcMar>
          </w:tcPr>
          <w:p w14:paraId="503E4FC3"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3.170</w:t>
            </w:r>
          </w:p>
        </w:tc>
        <w:tc>
          <w:tcPr>
            <w:tcW w:w="975" w:type="dxa"/>
            <w:tcBorders>
              <w:top w:val="nil"/>
              <w:left w:val="nil"/>
              <w:bottom w:val="single" w:sz="8" w:space="0" w:color="000000"/>
              <w:right w:val="nil"/>
            </w:tcBorders>
            <w:tcMar>
              <w:top w:w="0" w:type="dxa"/>
              <w:left w:w="100" w:type="dxa"/>
              <w:bottom w:w="0" w:type="dxa"/>
              <w:right w:w="100" w:type="dxa"/>
            </w:tcMar>
          </w:tcPr>
          <w:p w14:paraId="0186D5B8"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0.530</w:t>
            </w:r>
          </w:p>
        </w:tc>
        <w:tc>
          <w:tcPr>
            <w:tcW w:w="1050" w:type="dxa"/>
            <w:tcBorders>
              <w:top w:val="nil"/>
              <w:left w:val="nil"/>
              <w:bottom w:val="single" w:sz="8" w:space="0" w:color="000000"/>
              <w:right w:val="nil"/>
            </w:tcBorders>
            <w:tcMar>
              <w:top w:w="0" w:type="dxa"/>
              <w:left w:w="100" w:type="dxa"/>
              <w:bottom w:w="0" w:type="dxa"/>
              <w:right w:w="100" w:type="dxa"/>
            </w:tcMar>
          </w:tcPr>
          <w:p w14:paraId="2CC19A35"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 not reject H01d</w:t>
            </w:r>
          </w:p>
        </w:tc>
        <w:tc>
          <w:tcPr>
            <w:tcW w:w="1635" w:type="dxa"/>
            <w:tcBorders>
              <w:top w:val="nil"/>
              <w:left w:val="nil"/>
              <w:bottom w:val="single" w:sz="8" w:space="0" w:color="000000"/>
              <w:right w:val="nil"/>
            </w:tcBorders>
            <w:tcMar>
              <w:top w:w="0" w:type="dxa"/>
              <w:left w:w="100" w:type="dxa"/>
              <w:bottom w:w="0" w:type="dxa"/>
              <w:right w:w="100" w:type="dxa"/>
            </w:tcMar>
          </w:tcPr>
          <w:p w14:paraId="1A45BD19" w14:textId="77777777" w:rsidR="003C11B1" w:rsidRDefault="00000000">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 Significant</w:t>
            </w:r>
          </w:p>
        </w:tc>
      </w:tr>
    </w:tbl>
    <w:p w14:paraId="01D1F8DF" w14:textId="77777777" w:rsidR="003C11B1" w:rsidRDefault="00000000">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in Table 4 indicate no significant differences in internal control effectiveness when categorized by age, sex, or years of service (p &gt; 0.05), suggesting that the implementation and perception of controls are consistent among respondents. This indicates that internal control systems in LGUs are standardized and institutionalized, influenced by uniform policies, procedures, and compliance mechanisms rather than personal attributes. Backed by earlier research (Ashbaugh-Skaife et al., 2007, as cited in Hua et al., 2022; Schneid et al., 2016; </w:t>
      </w:r>
      <w:proofErr w:type="spellStart"/>
      <w:r>
        <w:rPr>
          <w:rFonts w:ascii="Times New Roman" w:eastAsia="Times New Roman" w:hAnsi="Times New Roman" w:cs="Times New Roman"/>
          <w:sz w:val="24"/>
          <w:szCs w:val="24"/>
        </w:rPr>
        <w:t>Quinal</w:t>
      </w:r>
      <w:proofErr w:type="spellEnd"/>
      <w:r>
        <w:rPr>
          <w:rFonts w:ascii="Times New Roman" w:eastAsia="Times New Roman" w:hAnsi="Times New Roman" w:cs="Times New Roman"/>
          <w:sz w:val="24"/>
          <w:szCs w:val="24"/>
        </w:rPr>
        <w:t xml:space="preserve"> &amp; Dupa, 2024; Gregorio, 2025), the findings emphasize that formal governance frameworks and adherence to regulations are essential for maintaining the reliability, stability, and integrity of treasury operations.</w:t>
      </w:r>
    </w:p>
    <w:p w14:paraId="6F452B49" w14:textId="77777777" w:rsidR="003C11B1" w:rsidRDefault="003C11B1">
      <w:pPr>
        <w:spacing w:line="240" w:lineRule="auto"/>
        <w:ind w:firstLine="720"/>
        <w:jc w:val="both"/>
        <w:rPr>
          <w:rFonts w:ascii="Times New Roman" w:eastAsia="Times New Roman" w:hAnsi="Times New Roman" w:cs="Times New Roman"/>
          <w:sz w:val="24"/>
          <w:szCs w:val="24"/>
        </w:rPr>
      </w:pPr>
    </w:p>
    <w:p w14:paraId="4B9A79EA" w14:textId="77777777" w:rsidR="003C11B1" w:rsidRDefault="00000000">
      <w:pPr>
        <w:pStyle w:val="Heading3"/>
      </w:pPr>
      <w:bookmarkStart w:id="9" w:name="_vjppe1fo81d9" w:colFirst="0" w:colLast="0"/>
      <w:bookmarkEnd w:id="9"/>
      <w:r>
        <w:t>Significant Difference in Local Treasury Performance as influenced by Profile</w:t>
      </w:r>
    </w:p>
    <w:p w14:paraId="0043EC97" w14:textId="77777777" w:rsidR="003C11B1"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p>
    <w:p w14:paraId="48D80385" w14:textId="77777777" w:rsidR="003C11B1" w:rsidRDefault="00000000">
      <w:pPr>
        <w:pBdr>
          <w:top w:val="nil"/>
          <w:left w:val="nil"/>
          <w:bottom w:val="nil"/>
          <w:right w:val="nil"/>
          <w:between w:val="nil"/>
        </w:pBd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Table 5</w:t>
      </w:r>
    </w:p>
    <w:p w14:paraId="220BD4AB" w14:textId="77777777" w:rsidR="003C11B1" w:rsidRDefault="00000000">
      <w:pPr>
        <w:pBdr>
          <w:top w:val="nil"/>
          <w:left w:val="nil"/>
          <w:bottom w:val="nil"/>
          <w:right w:val="nil"/>
          <w:between w:val="nil"/>
        </w:pBd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Test of significant difference in local treasury performance when grouped based on profile</w:t>
      </w:r>
    </w:p>
    <w:tbl>
      <w:tblPr>
        <w:tblStyle w:val="a3"/>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75"/>
        <w:gridCol w:w="2115"/>
        <w:gridCol w:w="930"/>
        <w:gridCol w:w="1095"/>
        <w:gridCol w:w="1035"/>
        <w:gridCol w:w="1140"/>
        <w:gridCol w:w="1665"/>
      </w:tblGrid>
      <w:tr w:rsidR="003C11B1" w14:paraId="44F43266" w14:textId="77777777">
        <w:trPr>
          <w:trHeight w:val="372"/>
        </w:trPr>
        <w:tc>
          <w:tcPr>
            <w:tcW w:w="975" w:type="dxa"/>
            <w:tcBorders>
              <w:top w:val="single" w:sz="8" w:space="0" w:color="000000"/>
              <w:left w:val="nil"/>
              <w:bottom w:val="single" w:sz="8" w:space="0" w:color="000000"/>
              <w:right w:val="nil"/>
            </w:tcBorders>
            <w:tcMar>
              <w:top w:w="0" w:type="dxa"/>
              <w:left w:w="100" w:type="dxa"/>
              <w:bottom w:w="0" w:type="dxa"/>
              <w:right w:w="100" w:type="dxa"/>
            </w:tcMar>
          </w:tcPr>
          <w:p w14:paraId="3AEA73B2"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Profile</w:t>
            </w:r>
          </w:p>
        </w:tc>
        <w:tc>
          <w:tcPr>
            <w:tcW w:w="2115" w:type="dxa"/>
            <w:tcBorders>
              <w:top w:val="single" w:sz="8" w:space="0" w:color="000000"/>
              <w:left w:val="nil"/>
              <w:bottom w:val="single" w:sz="8" w:space="0" w:color="000000"/>
              <w:right w:val="nil"/>
            </w:tcBorders>
            <w:tcMar>
              <w:top w:w="0" w:type="dxa"/>
              <w:left w:w="100" w:type="dxa"/>
              <w:bottom w:w="0" w:type="dxa"/>
              <w:right w:w="100" w:type="dxa"/>
            </w:tcMar>
          </w:tcPr>
          <w:p w14:paraId="4F6549C2"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Category</w:t>
            </w:r>
          </w:p>
        </w:tc>
        <w:tc>
          <w:tcPr>
            <w:tcW w:w="930" w:type="dxa"/>
            <w:tcBorders>
              <w:top w:val="single" w:sz="8" w:space="0" w:color="000000"/>
              <w:left w:val="nil"/>
              <w:bottom w:val="single" w:sz="8" w:space="0" w:color="000000"/>
              <w:right w:val="nil"/>
            </w:tcBorders>
            <w:tcMar>
              <w:top w:w="0" w:type="dxa"/>
              <w:left w:w="100" w:type="dxa"/>
              <w:bottom w:w="0" w:type="dxa"/>
              <w:right w:w="100" w:type="dxa"/>
            </w:tcMar>
          </w:tcPr>
          <w:p w14:paraId="7BCB6600"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Mean Rank</w:t>
            </w:r>
          </w:p>
        </w:tc>
        <w:tc>
          <w:tcPr>
            <w:tcW w:w="1095" w:type="dxa"/>
            <w:tcBorders>
              <w:top w:val="single" w:sz="8" w:space="0" w:color="000000"/>
              <w:left w:val="nil"/>
              <w:bottom w:val="single" w:sz="8" w:space="0" w:color="000000"/>
              <w:right w:val="nil"/>
            </w:tcBorders>
            <w:tcMar>
              <w:top w:w="0" w:type="dxa"/>
              <w:left w:w="100" w:type="dxa"/>
              <w:bottom w:w="0" w:type="dxa"/>
              <w:right w:w="100" w:type="dxa"/>
            </w:tcMar>
          </w:tcPr>
          <w:p w14:paraId="4514F5A0"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Test Statistic</w:t>
            </w:r>
          </w:p>
        </w:tc>
        <w:tc>
          <w:tcPr>
            <w:tcW w:w="1035" w:type="dxa"/>
            <w:tcBorders>
              <w:top w:val="single" w:sz="8" w:space="0" w:color="000000"/>
              <w:left w:val="nil"/>
              <w:bottom w:val="single" w:sz="8" w:space="0" w:color="000000"/>
              <w:right w:val="nil"/>
            </w:tcBorders>
            <w:tcMar>
              <w:top w:w="0" w:type="dxa"/>
              <w:left w:w="100" w:type="dxa"/>
              <w:bottom w:w="0" w:type="dxa"/>
              <w:right w:w="100" w:type="dxa"/>
            </w:tcMar>
          </w:tcPr>
          <w:p w14:paraId="501FDD0E"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p-value</w:t>
            </w:r>
          </w:p>
        </w:tc>
        <w:tc>
          <w:tcPr>
            <w:tcW w:w="1140" w:type="dxa"/>
            <w:tcBorders>
              <w:top w:val="single" w:sz="8" w:space="0" w:color="000000"/>
              <w:left w:val="nil"/>
              <w:bottom w:val="single" w:sz="8" w:space="0" w:color="000000"/>
              <w:right w:val="nil"/>
            </w:tcBorders>
            <w:tcMar>
              <w:top w:w="0" w:type="dxa"/>
              <w:left w:w="100" w:type="dxa"/>
              <w:bottom w:w="0" w:type="dxa"/>
              <w:right w:w="100" w:type="dxa"/>
            </w:tcMar>
          </w:tcPr>
          <w:p w14:paraId="71704B6F"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Decision</w:t>
            </w:r>
          </w:p>
        </w:tc>
        <w:tc>
          <w:tcPr>
            <w:tcW w:w="1665" w:type="dxa"/>
            <w:tcBorders>
              <w:top w:val="single" w:sz="8" w:space="0" w:color="000000"/>
              <w:left w:val="nil"/>
              <w:bottom w:val="single" w:sz="8" w:space="0" w:color="000000"/>
              <w:right w:val="nil"/>
            </w:tcBorders>
            <w:tcMar>
              <w:top w:w="0" w:type="dxa"/>
              <w:left w:w="100" w:type="dxa"/>
              <w:bottom w:w="0" w:type="dxa"/>
              <w:right w:w="100" w:type="dxa"/>
            </w:tcMar>
          </w:tcPr>
          <w:p w14:paraId="7C0AC9FF" w14:textId="77777777" w:rsidR="003C11B1" w:rsidRDefault="00000000">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Interpretation</w:t>
            </w:r>
          </w:p>
        </w:tc>
      </w:tr>
      <w:tr w:rsidR="003C11B1" w14:paraId="117BC03E" w14:textId="77777777">
        <w:trPr>
          <w:trHeight w:val="482"/>
        </w:trPr>
        <w:tc>
          <w:tcPr>
            <w:tcW w:w="975" w:type="dxa"/>
            <w:tcBorders>
              <w:top w:val="nil"/>
              <w:left w:val="nil"/>
              <w:bottom w:val="single" w:sz="8" w:space="0" w:color="000000"/>
              <w:right w:val="nil"/>
            </w:tcBorders>
            <w:tcMar>
              <w:top w:w="0" w:type="dxa"/>
              <w:left w:w="100" w:type="dxa"/>
              <w:bottom w:w="0" w:type="dxa"/>
              <w:right w:w="100" w:type="dxa"/>
            </w:tcMar>
          </w:tcPr>
          <w:p w14:paraId="673E4925"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Age</w:t>
            </w:r>
          </w:p>
        </w:tc>
        <w:tc>
          <w:tcPr>
            <w:tcW w:w="2115" w:type="dxa"/>
            <w:tcBorders>
              <w:top w:val="nil"/>
              <w:left w:val="nil"/>
              <w:bottom w:val="single" w:sz="8" w:space="0" w:color="000000"/>
              <w:right w:val="nil"/>
            </w:tcBorders>
            <w:tcMar>
              <w:top w:w="0" w:type="dxa"/>
              <w:left w:w="100" w:type="dxa"/>
              <w:bottom w:w="0" w:type="dxa"/>
              <w:right w:w="100" w:type="dxa"/>
            </w:tcMar>
          </w:tcPr>
          <w:p w14:paraId="5B890554"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18-40 years old</w:t>
            </w:r>
          </w:p>
          <w:p w14:paraId="329E4F25"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41-65 years old</w:t>
            </w:r>
          </w:p>
        </w:tc>
        <w:tc>
          <w:tcPr>
            <w:tcW w:w="930" w:type="dxa"/>
            <w:tcBorders>
              <w:top w:val="nil"/>
              <w:left w:val="nil"/>
              <w:bottom w:val="single" w:sz="8" w:space="0" w:color="000000"/>
              <w:right w:val="nil"/>
            </w:tcBorders>
            <w:tcMar>
              <w:top w:w="0" w:type="dxa"/>
              <w:left w:w="100" w:type="dxa"/>
              <w:bottom w:w="0" w:type="dxa"/>
              <w:right w:w="100" w:type="dxa"/>
            </w:tcMar>
          </w:tcPr>
          <w:p w14:paraId="7E4EF9EE"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60.57</w:t>
            </w:r>
          </w:p>
          <w:p w14:paraId="36D72835"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60.44</w:t>
            </w:r>
          </w:p>
        </w:tc>
        <w:tc>
          <w:tcPr>
            <w:tcW w:w="1095" w:type="dxa"/>
            <w:tcBorders>
              <w:top w:val="nil"/>
              <w:left w:val="nil"/>
              <w:bottom w:val="single" w:sz="8" w:space="0" w:color="000000"/>
              <w:right w:val="nil"/>
            </w:tcBorders>
            <w:tcMar>
              <w:top w:w="0" w:type="dxa"/>
              <w:left w:w="100" w:type="dxa"/>
              <w:bottom w:w="0" w:type="dxa"/>
              <w:right w:w="100" w:type="dxa"/>
            </w:tcMar>
          </w:tcPr>
          <w:p w14:paraId="772E3FC2"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-0.025</w:t>
            </w:r>
          </w:p>
        </w:tc>
        <w:tc>
          <w:tcPr>
            <w:tcW w:w="1035" w:type="dxa"/>
            <w:tcBorders>
              <w:top w:val="nil"/>
              <w:left w:val="nil"/>
              <w:bottom w:val="single" w:sz="8" w:space="0" w:color="000000"/>
              <w:right w:val="nil"/>
            </w:tcBorders>
            <w:tcMar>
              <w:top w:w="0" w:type="dxa"/>
              <w:left w:w="100" w:type="dxa"/>
              <w:bottom w:w="0" w:type="dxa"/>
              <w:right w:w="100" w:type="dxa"/>
            </w:tcMar>
          </w:tcPr>
          <w:p w14:paraId="4450F2C2"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0.980</w:t>
            </w:r>
          </w:p>
        </w:tc>
        <w:tc>
          <w:tcPr>
            <w:tcW w:w="1140" w:type="dxa"/>
            <w:tcBorders>
              <w:top w:val="nil"/>
              <w:left w:val="nil"/>
              <w:bottom w:val="single" w:sz="8" w:space="0" w:color="000000"/>
              <w:right w:val="nil"/>
            </w:tcBorders>
            <w:tcMar>
              <w:top w:w="0" w:type="dxa"/>
              <w:left w:w="100" w:type="dxa"/>
              <w:bottom w:w="0" w:type="dxa"/>
              <w:right w:w="100" w:type="dxa"/>
            </w:tcMar>
          </w:tcPr>
          <w:p w14:paraId="707DCAED"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 not reject H02a</w:t>
            </w:r>
          </w:p>
        </w:tc>
        <w:tc>
          <w:tcPr>
            <w:tcW w:w="1665" w:type="dxa"/>
            <w:tcBorders>
              <w:top w:val="nil"/>
              <w:left w:val="nil"/>
              <w:bottom w:val="single" w:sz="8" w:space="0" w:color="000000"/>
              <w:right w:val="nil"/>
            </w:tcBorders>
            <w:tcMar>
              <w:top w:w="0" w:type="dxa"/>
              <w:left w:w="100" w:type="dxa"/>
              <w:bottom w:w="0" w:type="dxa"/>
              <w:right w:w="100" w:type="dxa"/>
            </w:tcMar>
          </w:tcPr>
          <w:p w14:paraId="24DEC6C2"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 Significant</w:t>
            </w:r>
          </w:p>
        </w:tc>
      </w:tr>
      <w:tr w:rsidR="003C11B1" w14:paraId="55F5BAEC" w14:textId="77777777">
        <w:trPr>
          <w:trHeight w:val="482"/>
        </w:trPr>
        <w:tc>
          <w:tcPr>
            <w:tcW w:w="975" w:type="dxa"/>
            <w:tcBorders>
              <w:top w:val="nil"/>
              <w:left w:val="nil"/>
              <w:bottom w:val="single" w:sz="8" w:space="0" w:color="000000"/>
              <w:right w:val="nil"/>
            </w:tcBorders>
            <w:tcMar>
              <w:top w:w="0" w:type="dxa"/>
              <w:left w:w="100" w:type="dxa"/>
              <w:bottom w:w="0" w:type="dxa"/>
              <w:right w:w="100" w:type="dxa"/>
            </w:tcMar>
          </w:tcPr>
          <w:p w14:paraId="538AD41A"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Sex</w:t>
            </w:r>
          </w:p>
        </w:tc>
        <w:tc>
          <w:tcPr>
            <w:tcW w:w="2115" w:type="dxa"/>
            <w:tcBorders>
              <w:top w:val="nil"/>
              <w:left w:val="nil"/>
              <w:bottom w:val="single" w:sz="8" w:space="0" w:color="000000"/>
              <w:right w:val="nil"/>
            </w:tcBorders>
            <w:tcMar>
              <w:top w:w="0" w:type="dxa"/>
              <w:left w:w="100" w:type="dxa"/>
              <w:bottom w:w="0" w:type="dxa"/>
              <w:right w:w="100" w:type="dxa"/>
            </w:tcMar>
          </w:tcPr>
          <w:p w14:paraId="0FF7D186"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Male</w:t>
            </w:r>
          </w:p>
          <w:p w14:paraId="312DC09F"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Female</w:t>
            </w:r>
          </w:p>
        </w:tc>
        <w:tc>
          <w:tcPr>
            <w:tcW w:w="930" w:type="dxa"/>
            <w:tcBorders>
              <w:top w:val="nil"/>
              <w:left w:val="nil"/>
              <w:bottom w:val="single" w:sz="8" w:space="0" w:color="000000"/>
              <w:right w:val="nil"/>
            </w:tcBorders>
            <w:tcMar>
              <w:top w:w="0" w:type="dxa"/>
              <w:left w:w="100" w:type="dxa"/>
              <w:bottom w:w="0" w:type="dxa"/>
              <w:right w:w="100" w:type="dxa"/>
            </w:tcMar>
          </w:tcPr>
          <w:p w14:paraId="43435D6B"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55.99</w:t>
            </w:r>
          </w:p>
          <w:p w14:paraId="0A639A8E"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62.59</w:t>
            </w:r>
          </w:p>
        </w:tc>
        <w:tc>
          <w:tcPr>
            <w:tcW w:w="1095" w:type="dxa"/>
            <w:tcBorders>
              <w:top w:val="nil"/>
              <w:left w:val="nil"/>
              <w:bottom w:val="single" w:sz="8" w:space="0" w:color="000000"/>
              <w:right w:val="nil"/>
            </w:tcBorders>
            <w:tcMar>
              <w:top w:w="0" w:type="dxa"/>
              <w:left w:w="100" w:type="dxa"/>
              <w:bottom w:w="0" w:type="dxa"/>
              <w:right w:w="100" w:type="dxa"/>
            </w:tcMar>
          </w:tcPr>
          <w:p w14:paraId="2A2CF468"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-1.141</w:t>
            </w:r>
          </w:p>
        </w:tc>
        <w:tc>
          <w:tcPr>
            <w:tcW w:w="1035" w:type="dxa"/>
            <w:tcBorders>
              <w:top w:val="nil"/>
              <w:left w:val="nil"/>
              <w:bottom w:val="single" w:sz="8" w:space="0" w:color="000000"/>
              <w:right w:val="nil"/>
            </w:tcBorders>
            <w:tcMar>
              <w:top w:w="0" w:type="dxa"/>
              <w:left w:w="100" w:type="dxa"/>
              <w:bottom w:w="0" w:type="dxa"/>
              <w:right w:w="100" w:type="dxa"/>
            </w:tcMar>
          </w:tcPr>
          <w:p w14:paraId="19A903D0"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0.254</w:t>
            </w:r>
          </w:p>
        </w:tc>
        <w:tc>
          <w:tcPr>
            <w:tcW w:w="1140" w:type="dxa"/>
            <w:tcBorders>
              <w:top w:val="nil"/>
              <w:left w:val="nil"/>
              <w:bottom w:val="single" w:sz="8" w:space="0" w:color="000000"/>
              <w:right w:val="nil"/>
            </w:tcBorders>
            <w:tcMar>
              <w:top w:w="0" w:type="dxa"/>
              <w:left w:w="100" w:type="dxa"/>
              <w:bottom w:w="0" w:type="dxa"/>
              <w:right w:w="100" w:type="dxa"/>
            </w:tcMar>
          </w:tcPr>
          <w:p w14:paraId="040407BA"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 not reject H02b</w:t>
            </w:r>
          </w:p>
        </w:tc>
        <w:tc>
          <w:tcPr>
            <w:tcW w:w="1665" w:type="dxa"/>
            <w:tcBorders>
              <w:top w:val="nil"/>
              <w:left w:val="nil"/>
              <w:bottom w:val="single" w:sz="8" w:space="0" w:color="000000"/>
              <w:right w:val="nil"/>
            </w:tcBorders>
            <w:tcMar>
              <w:top w:w="0" w:type="dxa"/>
              <w:left w:w="100" w:type="dxa"/>
              <w:bottom w:w="0" w:type="dxa"/>
              <w:right w:w="100" w:type="dxa"/>
            </w:tcMar>
          </w:tcPr>
          <w:p w14:paraId="29A910C9"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 Significant</w:t>
            </w:r>
          </w:p>
        </w:tc>
      </w:tr>
      <w:tr w:rsidR="003C11B1" w14:paraId="761F968C" w14:textId="77777777">
        <w:trPr>
          <w:trHeight w:val="939"/>
        </w:trPr>
        <w:tc>
          <w:tcPr>
            <w:tcW w:w="975" w:type="dxa"/>
            <w:tcBorders>
              <w:top w:val="nil"/>
              <w:left w:val="nil"/>
              <w:bottom w:val="single" w:sz="8" w:space="0" w:color="000000"/>
              <w:right w:val="nil"/>
            </w:tcBorders>
            <w:tcMar>
              <w:top w:w="0" w:type="dxa"/>
              <w:left w:w="100" w:type="dxa"/>
              <w:bottom w:w="0" w:type="dxa"/>
              <w:right w:w="100" w:type="dxa"/>
            </w:tcMar>
          </w:tcPr>
          <w:p w14:paraId="4F10C9A6"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Years in Service</w:t>
            </w:r>
          </w:p>
        </w:tc>
        <w:tc>
          <w:tcPr>
            <w:tcW w:w="2115" w:type="dxa"/>
            <w:tcBorders>
              <w:top w:val="nil"/>
              <w:left w:val="nil"/>
              <w:bottom w:val="single" w:sz="8" w:space="0" w:color="000000"/>
              <w:right w:val="nil"/>
            </w:tcBorders>
            <w:tcMar>
              <w:top w:w="0" w:type="dxa"/>
              <w:left w:w="100" w:type="dxa"/>
              <w:bottom w:w="0" w:type="dxa"/>
              <w:right w:w="100" w:type="dxa"/>
            </w:tcMar>
          </w:tcPr>
          <w:p w14:paraId="5214BDF2"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 years</w:t>
            </w:r>
          </w:p>
          <w:p w14:paraId="00C7C230"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 years</w:t>
            </w:r>
          </w:p>
          <w:p w14:paraId="0A7153AD"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10-19 years</w:t>
            </w:r>
          </w:p>
          <w:p w14:paraId="38A3DC15"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20-29 years</w:t>
            </w:r>
          </w:p>
          <w:p w14:paraId="013ED482"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 years and above</w:t>
            </w:r>
          </w:p>
        </w:tc>
        <w:tc>
          <w:tcPr>
            <w:tcW w:w="930" w:type="dxa"/>
            <w:tcBorders>
              <w:top w:val="nil"/>
              <w:left w:val="nil"/>
              <w:bottom w:val="single" w:sz="8" w:space="0" w:color="000000"/>
              <w:right w:val="nil"/>
            </w:tcBorders>
            <w:tcMar>
              <w:top w:w="0" w:type="dxa"/>
              <w:left w:w="100" w:type="dxa"/>
              <w:bottom w:w="0" w:type="dxa"/>
              <w:right w:w="100" w:type="dxa"/>
            </w:tcMar>
          </w:tcPr>
          <w:p w14:paraId="626B23F1"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65.41</w:t>
            </w:r>
          </w:p>
          <w:p w14:paraId="434EAE8A"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56.72</w:t>
            </w:r>
          </w:p>
          <w:p w14:paraId="3C8ACF35"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70.32</w:t>
            </w:r>
          </w:p>
          <w:p w14:paraId="343BED63"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60.44</w:t>
            </w:r>
          </w:p>
          <w:p w14:paraId="7A0EAD3A"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60.43</w:t>
            </w:r>
          </w:p>
        </w:tc>
        <w:tc>
          <w:tcPr>
            <w:tcW w:w="1095" w:type="dxa"/>
            <w:tcBorders>
              <w:top w:val="nil"/>
              <w:left w:val="nil"/>
              <w:bottom w:val="single" w:sz="8" w:space="0" w:color="000000"/>
              <w:right w:val="nil"/>
            </w:tcBorders>
            <w:tcMar>
              <w:top w:w="0" w:type="dxa"/>
              <w:left w:w="100" w:type="dxa"/>
              <w:bottom w:w="0" w:type="dxa"/>
              <w:right w:w="100" w:type="dxa"/>
            </w:tcMar>
          </w:tcPr>
          <w:p w14:paraId="2018881A"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2.972</w:t>
            </w:r>
          </w:p>
        </w:tc>
        <w:tc>
          <w:tcPr>
            <w:tcW w:w="1035" w:type="dxa"/>
            <w:tcBorders>
              <w:top w:val="nil"/>
              <w:left w:val="nil"/>
              <w:bottom w:val="single" w:sz="8" w:space="0" w:color="000000"/>
              <w:right w:val="nil"/>
            </w:tcBorders>
            <w:tcMar>
              <w:top w:w="0" w:type="dxa"/>
              <w:left w:w="100" w:type="dxa"/>
              <w:bottom w:w="0" w:type="dxa"/>
              <w:right w:w="100" w:type="dxa"/>
            </w:tcMar>
          </w:tcPr>
          <w:p w14:paraId="682A1500"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0.562</w:t>
            </w:r>
          </w:p>
        </w:tc>
        <w:tc>
          <w:tcPr>
            <w:tcW w:w="1140" w:type="dxa"/>
            <w:tcBorders>
              <w:top w:val="nil"/>
              <w:left w:val="nil"/>
              <w:bottom w:val="single" w:sz="8" w:space="0" w:color="000000"/>
              <w:right w:val="nil"/>
            </w:tcBorders>
            <w:tcMar>
              <w:top w:w="0" w:type="dxa"/>
              <w:left w:w="100" w:type="dxa"/>
              <w:bottom w:w="0" w:type="dxa"/>
              <w:right w:w="100" w:type="dxa"/>
            </w:tcMar>
          </w:tcPr>
          <w:p w14:paraId="31748CC0"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 not reject H02d</w:t>
            </w:r>
          </w:p>
        </w:tc>
        <w:tc>
          <w:tcPr>
            <w:tcW w:w="1665" w:type="dxa"/>
            <w:tcBorders>
              <w:top w:val="nil"/>
              <w:left w:val="nil"/>
              <w:bottom w:val="single" w:sz="8" w:space="0" w:color="000000"/>
              <w:right w:val="nil"/>
            </w:tcBorders>
            <w:tcMar>
              <w:top w:w="0" w:type="dxa"/>
              <w:left w:w="100" w:type="dxa"/>
              <w:bottom w:w="0" w:type="dxa"/>
              <w:right w:w="100" w:type="dxa"/>
            </w:tcMar>
          </w:tcPr>
          <w:p w14:paraId="5F485CDE" w14:textId="77777777" w:rsidR="003C11B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Not Significant</w:t>
            </w:r>
          </w:p>
        </w:tc>
      </w:tr>
    </w:tbl>
    <w:p w14:paraId="34DF7A43" w14:textId="77777777" w:rsidR="003C11B1" w:rsidRDefault="00000000">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in Table 5 show that there are no big differences in how well local treasuries do when they are grouped by age, sex, or years of service (p &gt; 0.05). This means that performance is the same for all demographic groups. This implies that standardized systems, institutional controls, and accountability mechanisms, not individual traits, are what lead to results in revenue collection, timely payments, compliance, and fund management. In line with previous research </w:t>
      </w:r>
      <w:r>
        <w:rPr>
          <w:rFonts w:ascii="Times New Roman" w:eastAsia="Times New Roman" w:hAnsi="Times New Roman" w:cs="Times New Roman"/>
          <w:sz w:val="24"/>
          <w:szCs w:val="24"/>
        </w:rPr>
        <w:lastRenderedPageBreak/>
        <w:t>(</w:t>
      </w:r>
      <w:proofErr w:type="spellStart"/>
      <w:r>
        <w:rPr>
          <w:rFonts w:ascii="Times New Roman" w:eastAsia="Times New Roman" w:hAnsi="Times New Roman" w:cs="Times New Roman"/>
          <w:sz w:val="24"/>
          <w:szCs w:val="24"/>
        </w:rPr>
        <w:t>Cotingjo</w:t>
      </w:r>
      <w:proofErr w:type="spellEnd"/>
      <w:r>
        <w:rPr>
          <w:rFonts w:ascii="Times New Roman" w:eastAsia="Times New Roman" w:hAnsi="Times New Roman" w:cs="Times New Roman"/>
          <w:sz w:val="24"/>
          <w:szCs w:val="24"/>
        </w:rPr>
        <w:t xml:space="preserve"> et al., 2025; </w:t>
      </w:r>
      <w:proofErr w:type="spellStart"/>
      <w:r>
        <w:rPr>
          <w:rFonts w:ascii="Times New Roman" w:eastAsia="Times New Roman" w:hAnsi="Times New Roman" w:cs="Times New Roman"/>
          <w:sz w:val="24"/>
          <w:szCs w:val="24"/>
        </w:rPr>
        <w:t>Enero</w:t>
      </w:r>
      <w:proofErr w:type="spellEnd"/>
      <w:r>
        <w:rPr>
          <w:rFonts w:ascii="Times New Roman" w:eastAsia="Times New Roman" w:hAnsi="Times New Roman" w:cs="Times New Roman"/>
          <w:sz w:val="24"/>
          <w:szCs w:val="24"/>
        </w:rPr>
        <w:t xml:space="preserve"> et al., 2024; Ng &amp; Feldman, 2013, as cited in Castaño et al., 2024), the results underscore that structured governance frameworks and regulatory compliance are more significant determinants of local treasury performance than demographic factors.</w:t>
      </w:r>
    </w:p>
    <w:p w14:paraId="7C622A7D" w14:textId="77777777" w:rsidR="003C11B1" w:rsidRDefault="003C11B1">
      <w:pPr>
        <w:spacing w:line="240" w:lineRule="auto"/>
        <w:jc w:val="both"/>
        <w:rPr>
          <w:rFonts w:ascii="Times New Roman" w:eastAsia="Times New Roman" w:hAnsi="Times New Roman" w:cs="Times New Roman"/>
          <w:sz w:val="24"/>
          <w:szCs w:val="24"/>
        </w:rPr>
      </w:pPr>
    </w:p>
    <w:p w14:paraId="5D04E88E" w14:textId="77777777" w:rsidR="003C11B1" w:rsidRDefault="00000000">
      <w:pPr>
        <w:pStyle w:val="Heading3"/>
      </w:pPr>
      <w:bookmarkStart w:id="10" w:name="_tziupnmuup0p" w:colFirst="0" w:colLast="0"/>
      <w:bookmarkEnd w:id="10"/>
      <w:r>
        <w:t>Significant Influence of Internal Control Effectiveness on Local Treasury Performance</w:t>
      </w:r>
    </w:p>
    <w:p w14:paraId="205A8633" w14:textId="77777777" w:rsidR="003C11B1" w:rsidRDefault="00000000">
      <w:pPr>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simple linear regression results reveal that internal control effectiveness significantly influences local treasury performance, explaining approximately 63.7% of its variance (R² = 0.637), with a statistically significant model (F = 206.832, p &lt; 0.001), as shown in Table 6.</w:t>
      </w:r>
    </w:p>
    <w:p w14:paraId="4BDB1A9C" w14:textId="77777777" w:rsidR="003C11B1" w:rsidRDefault="003C11B1">
      <w:pPr>
        <w:spacing w:line="240" w:lineRule="auto"/>
        <w:jc w:val="both"/>
        <w:rPr>
          <w:rFonts w:ascii="Times New Roman" w:eastAsia="Times New Roman" w:hAnsi="Times New Roman" w:cs="Times New Roman"/>
          <w:b/>
          <w:bCs/>
          <w:sz w:val="24"/>
          <w:szCs w:val="24"/>
        </w:rPr>
      </w:pPr>
    </w:p>
    <w:p w14:paraId="2F98A279" w14:textId="77777777" w:rsidR="003C11B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Table 6</w:t>
      </w:r>
    </w:p>
    <w:p w14:paraId="0D9DC098" w14:textId="77777777" w:rsidR="003C11B1" w:rsidRDefault="00000000">
      <w:pPr>
        <w:pBdr>
          <w:top w:val="nil"/>
          <w:left w:val="nil"/>
          <w:bottom w:val="nil"/>
          <w:right w:val="nil"/>
          <w:between w:val="nil"/>
        </w:pBd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Model 1 Test on the Significant Influence of Internal Control Effectiveness on Local Treasury Performance</w:t>
      </w:r>
    </w:p>
    <w:tbl>
      <w:tblPr>
        <w:tblStyle w:val="a4"/>
        <w:tblW w:w="873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10"/>
        <w:gridCol w:w="1665"/>
        <w:gridCol w:w="1380"/>
        <w:gridCol w:w="870"/>
        <w:gridCol w:w="870"/>
        <w:gridCol w:w="990"/>
        <w:gridCol w:w="1551"/>
      </w:tblGrid>
      <w:tr w:rsidR="003C11B1" w14:paraId="54B8D6BF" w14:textId="77777777">
        <w:trPr>
          <w:trHeight w:val="520"/>
        </w:trPr>
        <w:tc>
          <w:tcPr>
            <w:tcW w:w="1410" w:type="dxa"/>
            <w:tcBorders>
              <w:top w:val="single" w:sz="8" w:space="0" w:color="000000"/>
              <w:left w:val="nil"/>
              <w:bottom w:val="single" w:sz="8" w:space="0" w:color="000000"/>
              <w:right w:val="nil"/>
            </w:tcBorders>
            <w:tcMar>
              <w:top w:w="0" w:type="dxa"/>
              <w:left w:w="100" w:type="dxa"/>
              <w:bottom w:w="0" w:type="dxa"/>
              <w:right w:w="100" w:type="dxa"/>
            </w:tcMar>
          </w:tcPr>
          <w:p w14:paraId="77F24961" w14:textId="77777777" w:rsidR="003C11B1" w:rsidRDefault="00000000">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Predictor</w:t>
            </w:r>
          </w:p>
        </w:tc>
        <w:tc>
          <w:tcPr>
            <w:tcW w:w="1665" w:type="dxa"/>
            <w:tcBorders>
              <w:top w:val="single" w:sz="8" w:space="0" w:color="000000"/>
              <w:left w:val="nil"/>
              <w:bottom w:val="single" w:sz="8" w:space="0" w:color="000000"/>
              <w:right w:val="nil"/>
            </w:tcBorders>
            <w:tcMar>
              <w:top w:w="0" w:type="dxa"/>
              <w:left w:w="100" w:type="dxa"/>
              <w:bottom w:w="0" w:type="dxa"/>
              <w:right w:w="100" w:type="dxa"/>
            </w:tcMar>
          </w:tcPr>
          <w:p w14:paraId="24F5F6FD" w14:textId="77777777" w:rsidR="003C11B1" w:rsidRDefault="00000000">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Unstandardized Coefficients (B)</w:t>
            </w:r>
          </w:p>
        </w:tc>
        <w:tc>
          <w:tcPr>
            <w:tcW w:w="1380" w:type="dxa"/>
            <w:tcBorders>
              <w:top w:val="single" w:sz="8" w:space="0" w:color="000000"/>
              <w:left w:val="nil"/>
              <w:bottom w:val="single" w:sz="8" w:space="0" w:color="000000"/>
              <w:right w:val="nil"/>
            </w:tcBorders>
            <w:tcMar>
              <w:top w:w="0" w:type="dxa"/>
              <w:left w:w="100" w:type="dxa"/>
              <w:bottom w:w="0" w:type="dxa"/>
              <w:right w:w="100" w:type="dxa"/>
            </w:tcMar>
          </w:tcPr>
          <w:p w14:paraId="0B111F5B" w14:textId="77777777" w:rsidR="003C11B1" w:rsidRDefault="00000000">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Standardized Coefficients (</w:t>
            </w:r>
            <w:r>
              <w:rPr>
                <w:rFonts w:ascii="Times New Roman" w:eastAsia="Times New Roman" w:hAnsi="Times New Roman" w:cs="Times New Roman"/>
                <w:sz w:val="17"/>
                <w:szCs w:val="17"/>
              </w:rPr>
              <w:t>𝜷</w:t>
            </w:r>
            <w:r>
              <w:rPr>
                <w:rFonts w:ascii="Times New Roman" w:eastAsia="Times New Roman" w:hAnsi="Times New Roman" w:cs="Times New Roman"/>
                <w:b/>
                <w:bCs/>
                <w:sz w:val="17"/>
                <w:szCs w:val="17"/>
              </w:rPr>
              <w:t>)</w:t>
            </w:r>
          </w:p>
        </w:tc>
        <w:tc>
          <w:tcPr>
            <w:tcW w:w="870" w:type="dxa"/>
            <w:tcBorders>
              <w:top w:val="single" w:sz="8" w:space="0" w:color="000000"/>
              <w:left w:val="nil"/>
              <w:bottom w:val="single" w:sz="8" w:space="0" w:color="000000"/>
              <w:right w:val="nil"/>
            </w:tcBorders>
            <w:tcMar>
              <w:top w:w="0" w:type="dxa"/>
              <w:left w:w="100" w:type="dxa"/>
              <w:bottom w:w="0" w:type="dxa"/>
              <w:right w:w="100" w:type="dxa"/>
            </w:tcMar>
          </w:tcPr>
          <w:p w14:paraId="2AEC9890" w14:textId="77777777" w:rsidR="003C11B1" w:rsidRDefault="00000000">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t-value</w:t>
            </w:r>
          </w:p>
        </w:tc>
        <w:tc>
          <w:tcPr>
            <w:tcW w:w="870" w:type="dxa"/>
            <w:tcBorders>
              <w:top w:val="single" w:sz="8" w:space="0" w:color="000000"/>
              <w:left w:val="nil"/>
              <w:bottom w:val="single" w:sz="8" w:space="0" w:color="000000"/>
              <w:right w:val="nil"/>
            </w:tcBorders>
            <w:tcMar>
              <w:top w:w="0" w:type="dxa"/>
              <w:left w:w="100" w:type="dxa"/>
              <w:bottom w:w="0" w:type="dxa"/>
              <w:right w:w="100" w:type="dxa"/>
            </w:tcMar>
          </w:tcPr>
          <w:p w14:paraId="51A5901F" w14:textId="77777777" w:rsidR="003C11B1" w:rsidRDefault="00000000">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p-value</w:t>
            </w:r>
          </w:p>
        </w:tc>
        <w:tc>
          <w:tcPr>
            <w:tcW w:w="990" w:type="dxa"/>
            <w:tcBorders>
              <w:top w:val="single" w:sz="8" w:space="0" w:color="000000"/>
              <w:left w:val="nil"/>
              <w:bottom w:val="single" w:sz="8" w:space="0" w:color="000000"/>
              <w:right w:val="nil"/>
            </w:tcBorders>
            <w:tcMar>
              <w:top w:w="0" w:type="dxa"/>
              <w:left w:w="100" w:type="dxa"/>
              <w:bottom w:w="0" w:type="dxa"/>
              <w:right w:w="100" w:type="dxa"/>
            </w:tcMar>
          </w:tcPr>
          <w:p w14:paraId="5796DDDC" w14:textId="77777777" w:rsidR="003C11B1" w:rsidRDefault="00000000">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Decision</w:t>
            </w:r>
          </w:p>
        </w:tc>
        <w:tc>
          <w:tcPr>
            <w:tcW w:w="1551" w:type="dxa"/>
            <w:tcBorders>
              <w:top w:val="single" w:sz="8" w:space="0" w:color="000000"/>
              <w:left w:val="nil"/>
              <w:bottom w:val="single" w:sz="8" w:space="0" w:color="000000"/>
              <w:right w:val="nil"/>
            </w:tcBorders>
            <w:tcMar>
              <w:top w:w="0" w:type="dxa"/>
              <w:left w:w="100" w:type="dxa"/>
              <w:bottom w:w="0" w:type="dxa"/>
              <w:right w:w="100" w:type="dxa"/>
            </w:tcMar>
          </w:tcPr>
          <w:p w14:paraId="51CA30A4" w14:textId="77777777" w:rsidR="003C11B1" w:rsidRDefault="00000000">
            <w:pPr>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Interpretation</w:t>
            </w:r>
          </w:p>
        </w:tc>
      </w:tr>
      <w:tr w:rsidR="003C11B1" w14:paraId="280768B6" w14:textId="77777777">
        <w:trPr>
          <w:trHeight w:val="210"/>
        </w:trPr>
        <w:tc>
          <w:tcPr>
            <w:tcW w:w="1410" w:type="dxa"/>
            <w:tcBorders>
              <w:top w:val="nil"/>
              <w:left w:val="nil"/>
              <w:bottom w:val="nil"/>
              <w:right w:val="nil"/>
            </w:tcBorders>
            <w:tcMar>
              <w:top w:w="0" w:type="dxa"/>
              <w:left w:w="100" w:type="dxa"/>
              <w:bottom w:w="0" w:type="dxa"/>
              <w:right w:w="100" w:type="dxa"/>
            </w:tcMar>
          </w:tcPr>
          <w:p w14:paraId="52134F0D"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(Constant)</w:t>
            </w:r>
          </w:p>
        </w:tc>
        <w:tc>
          <w:tcPr>
            <w:tcW w:w="1665" w:type="dxa"/>
            <w:tcBorders>
              <w:top w:val="nil"/>
              <w:left w:val="nil"/>
              <w:bottom w:val="nil"/>
              <w:right w:val="nil"/>
            </w:tcBorders>
            <w:tcMar>
              <w:top w:w="0" w:type="dxa"/>
              <w:left w:w="100" w:type="dxa"/>
              <w:bottom w:w="0" w:type="dxa"/>
              <w:right w:w="100" w:type="dxa"/>
            </w:tcMar>
          </w:tcPr>
          <w:p w14:paraId="49CC949E"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1.006</w:t>
            </w:r>
          </w:p>
        </w:tc>
        <w:tc>
          <w:tcPr>
            <w:tcW w:w="1380" w:type="dxa"/>
            <w:tcBorders>
              <w:top w:val="nil"/>
              <w:left w:val="nil"/>
              <w:bottom w:val="nil"/>
              <w:right w:val="nil"/>
            </w:tcBorders>
            <w:tcMar>
              <w:top w:w="0" w:type="dxa"/>
              <w:left w:w="100" w:type="dxa"/>
              <w:bottom w:w="0" w:type="dxa"/>
              <w:right w:w="100" w:type="dxa"/>
            </w:tcMar>
          </w:tcPr>
          <w:p w14:paraId="486E44A5"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870" w:type="dxa"/>
            <w:tcBorders>
              <w:top w:val="nil"/>
              <w:left w:val="nil"/>
              <w:bottom w:val="nil"/>
              <w:right w:val="nil"/>
            </w:tcBorders>
            <w:tcMar>
              <w:top w:w="0" w:type="dxa"/>
              <w:left w:w="100" w:type="dxa"/>
              <w:bottom w:w="0" w:type="dxa"/>
              <w:right w:w="100" w:type="dxa"/>
            </w:tcMar>
          </w:tcPr>
          <w:p w14:paraId="494C4036"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5.579</w:t>
            </w:r>
          </w:p>
        </w:tc>
        <w:tc>
          <w:tcPr>
            <w:tcW w:w="870" w:type="dxa"/>
            <w:tcBorders>
              <w:top w:val="nil"/>
              <w:left w:val="nil"/>
              <w:bottom w:val="nil"/>
              <w:right w:val="nil"/>
            </w:tcBorders>
            <w:tcMar>
              <w:top w:w="0" w:type="dxa"/>
              <w:left w:w="100" w:type="dxa"/>
              <w:bottom w:w="0" w:type="dxa"/>
              <w:right w:w="100" w:type="dxa"/>
            </w:tcMar>
          </w:tcPr>
          <w:p w14:paraId="0D484265"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c>
          <w:tcPr>
            <w:tcW w:w="990" w:type="dxa"/>
            <w:tcBorders>
              <w:top w:val="nil"/>
              <w:left w:val="nil"/>
              <w:bottom w:val="nil"/>
              <w:right w:val="nil"/>
            </w:tcBorders>
            <w:tcMar>
              <w:top w:w="0" w:type="dxa"/>
              <w:left w:w="100" w:type="dxa"/>
              <w:bottom w:w="0" w:type="dxa"/>
              <w:right w:w="100" w:type="dxa"/>
            </w:tcMar>
          </w:tcPr>
          <w:p w14:paraId="2827C9F3"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551" w:type="dxa"/>
            <w:tcBorders>
              <w:top w:val="nil"/>
              <w:left w:val="nil"/>
              <w:bottom w:val="nil"/>
              <w:right w:val="nil"/>
            </w:tcBorders>
            <w:tcMar>
              <w:top w:w="0" w:type="dxa"/>
              <w:left w:w="100" w:type="dxa"/>
              <w:bottom w:w="0" w:type="dxa"/>
              <w:right w:w="100" w:type="dxa"/>
            </w:tcMar>
          </w:tcPr>
          <w:p w14:paraId="197B3E08"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3C11B1" w14:paraId="2EB90BDB" w14:textId="77777777">
        <w:trPr>
          <w:trHeight w:val="630"/>
        </w:trPr>
        <w:tc>
          <w:tcPr>
            <w:tcW w:w="1410" w:type="dxa"/>
            <w:tcBorders>
              <w:top w:val="nil"/>
              <w:left w:val="nil"/>
              <w:bottom w:val="single" w:sz="8" w:space="0" w:color="000000"/>
              <w:right w:val="nil"/>
            </w:tcBorders>
            <w:tcMar>
              <w:top w:w="0" w:type="dxa"/>
              <w:left w:w="100" w:type="dxa"/>
              <w:bottom w:w="0" w:type="dxa"/>
              <w:right w:w="100" w:type="dxa"/>
            </w:tcMar>
          </w:tcPr>
          <w:p w14:paraId="3F48E39C"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Internal Control Effectiveness</w:t>
            </w:r>
          </w:p>
        </w:tc>
        <w:tc>
          <w:tcPr>
            <w:tcW w:w="1665" w:type="dxa"/>
            <w:tcBorders>
              <w:top w:val="nil"/>
              <w:left w:val="nil"/>
              <w:bottom w:val="single" w:sz="8" w:space="0" w:color="000000"/>
              <w:right w:val="nil"/>
            </w:tcBorders>
            <w:tcMar>
              <w:top w:w="0" w:type="dxa"/>
              <w:left w:w="100" w:type="dxa"/>
              <w:bottom w:w="0" w:type="dxa"/>
              <w:right w:w="100" w:type="dxa"/>
            </w:tcMar>
          </w:tcPr>
          <w:p w14:paraId="6A50BB2D"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0.735</w:t>
            </w:r>
          </w:p>
        </w:tc>
        <w:tc>
          <w:tcPr>
            <w:tcW w:w="1380" w:type="dxa"/>
            <w:tcBorders>
              <w:top w:val="nil"/>
              <w:left w:val="nil"/>
              <w:bottom w:val="single" w:sz="8" w:space="0" w:color="000000"/>
              <w:right w:val="nil"/>
            </w:tcBorders>
            <w:tcMar>
              <w:top w:w="0" w:type="dxa"/>
              <w:left w:w="100" w:type="dxa"/>
              <w:bottom w:w="0" w:type="dxa"/>
              <w:right w:w="100" w:type="dxa"/>
            </w:tcMar>
          </w:tcPr>
          <w:p w14:paraId="36298F94"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0.798</w:t>
            </w:r>
          </w:p>
        </w:tc>
        <w:tc>
          <w:tcPr>
            <w:tcW w:w="870" w:type="dxa"/>
            <w:tcBorders>
              <w:top w:val="nil"/>
              <w:left w:val="nil"/>
              <w:bottom w:val="single" w:sz="8" w:space="0" w:color="000000"/>
              <w:right w:val="nil"/>
            </w:tcBorders>
            <w:tcMar>
              <w:top w:w="0" w:type="dxa"/>
              <w:left w:w="100" w:type="dxa"/>
              <w:bottom w:w="0" w:type="dxa"/>
              <w:right w:w="100" w:type="dxa"/>
            </w:tcMar>
          </w:tcPr>
          <w:p w14:paraId="7375FF9F"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14.382</w:t>
            </w:r>
          </w:p>
        </w:tc>
        <w:tc>
          <w:tcPr>
            <w:tcW w:w="870" w:type="dxa"/>
            <w:tcBorders>
              <w:top w:val="nil"/>
              <w:left w:val="nil"/>
              <w:bottom w:val="single" w:sz="8" w:space="0" w:color="000000"/>
              <w:right w:val="nil"/>
            </w:tcBorders>
            <w:tcMar>
              <w:top w:w="0" w:type="dxa"/>
              <w:left w:w="100" w:type="dxa"/>
              <w:bottom w:w="0" w:type="dxa"/>
              <w:right w:w="100" w:type="dxa"/>
            </w:tcMar>
          </w:tcPr>
          <w:p w14:paraId="10DC7552"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&lt;0.001</w:t>
            </w:r>
          </w:p>
        </w:tc>
        <w:tc>
          <w:tcPr>
            <w:tcW w:w="990" w:type="dxa"/>
            <w:tcBorders>
              <w:top w:val="nil"/>
              <w:left w:val="nil"/>
              <w:bottom w:val="single" w:sz="8" w:space="0" w:color="000000"/>
              <w:right w:val="nil"/>
            </w:tcBorders>
            <w:tcMar>
              <w:top w:w="0" w:type="dxa"/>
              <w:left w:w="100" w:type="dxa"/>
              <w:bottom w:w="0" w:type="dxa"/>
              <w:right w:w="100" w:type="dxa"/>
            </w:tcMar>
          </w:tcPr>
          <w:p w14:paraId="748D7652" w14:textId="77777777" w:rsidR="003C11B1" w:rsidRDefault="00000000">
            <w:pPr>
              <w:jc w:val="center"/>
              <w:rPr>
                <w:rFonts w:ascii="Times New Roman" w:eastAsia="Times New Roman" w:hAnsi="Times New Roman" w:cs="Times New Roman"/>
                <w:sz w:val="18"/>
                <w:szCs w:val="18"/>
                <w:vertAlign w:val="subscript"/>
              </w:rPr>
            </w:pPr>
            <w:r>
              <w:rPr>
                <w:rFonts w:ascii="Times New Roman" w:eastAsia="Times New Roman" w:hAnsi="Times New Roman" w:cs="Times New Roman"/>
                <w:sz w:val="18"/>
                <w:szCs w:val="18"/>
              </w:rPr>
              <w:t>Reject H</w:t>
            </w:r>
            <w:r>
              <w:rPr>
                <w:rFonts w:ascii="Times New Roman" w:eastAsia="Times New Roman" w:hAnsi="Times New Roman" w:cs="Times New Roman"/>
                <w:sz w:val="18"/>
                <w:szCs w:val="18"/>
                <w:vertAlign w:val="subscript"/>
              </w:rPr>
              <w:t>03</w:t>
            </w:r>
          </w:p>
        </w:tc>
        <w:tc>
          <w:tcPr>
            <w:tcW w:w="1551" w:type="dxa"/>
            <w:tcBorders>
              <w:top w:val="nil"/>
              <w:left w:val="nil"/>
              <w:bottom w:val="single" w:sz="8" w:space="0" w:color="000000"/>
              <w:right w:val="nil"/>
            </w:tcBorders>
            <w:tcMar>
              <w:top w:w="0" w:type="dxa"/>
              <w:left w:w="100" w:type="dxa"/>
              <w:bottom w:w="0" w:type="dxa"/>
              <w:right w:w="100" w:type="dxa"/>
            </w:tcMar>
          </w:tcPr>
          <w:p w14:paraId="72011615" w14:textId="77777777" w:rsidR="003C11B1"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Significant</w:t>
            </w:r>
          </w:p>
        </w:tc>
      </w:tr>
      <w:tr w:rsidR="003C11B1" w14:paraId="373A7FC4" w14:textId="77777777">
        <w:trPr>
          <w:trHeight w:val="315"/>
        </w:trPr>
        <w:tc>
          <w:tcPr>
            <w:tcW w:w="8736" w:type="dxa"/>
            <w:gridSpan w:val="7"/>
            <w:tcBorders>
              <w:top w:val="nil"/>
              <w:left w:val="nil"/>
              <w:bottom w:val="single" w:sz="8" w:space="0" w:color="000000"/>
              <w:right w:val="nil"/>
            </w:tcBorders>
            <w:tcMar>
              <w:top w:w="0" w:type="dxa"/>
              <w:left w:w="100" w:type="dxa"/>
              <w:bottom w:w="0" w:type="dxa"/>
              <w:right w:w="100" w:type="dxa"/>
            </w:tcMar>
          </w:tcPr>
          <w:p w14:paraId="0C089D83" w14:textId="77777777" w:rsidR="003C11B1" w:rsidRDefault="00000000">
            <w:pP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Model Summary:</w:t>
            </w:r>
          </w:p>
          <w:p w14:paraId="418F72F9" w14:textId="77777777" w:rsidR="003C11B1" w:rsidRDefault="00000000">
            <w:pPr>
              <w:rPr>
                <w:rFonts w:ascii="Times New Roman" w:eastAsia="Times New Roman" w:hAnsi="Times New Roman" w:cs="Times New Roman"/>
                <w:sz w:val="18"/>
                <w:szCs w:val="18"/>
              </w:rPr>
            </w:pPr>
            <w:r>
              <w:rPr>
                <w:rFonts w:ascii="Times New Roman" w:eastAsia="Times New Roman" w:hAnsi="Times New Roman" w:cs="Times New Roman"/>
                <w:i/>
                <w:iCs/>
                <w:sz w:val="18"/>
                <w:szCs w:val="18"/>
              </w:rPr>
              <w:t>R</w:t>
            </w:r>
            <w:r>
              <w:rPr>
                <w:rFonts w:ascii="Times New Roman" w:eastAsia="Times New Roman" w:hAnsi="Times New Roman" w:cs="Times New Roman"/>
                <w:i/>
                <w:iCs/>
                <w:sz w:val="18"/>
                <w:szCs w:val="18"/>
                <w:vertAlign w:val="superscript"/>
              </w:rPr>
              <w:t>2</w:t>
            </w:r>
            <w:r>
              <w:rPr>
                <w:rFonts w:ascii="Times New Roman" w:eastAsia="Times New Roman" w:hAnsi="Times New Roman" w:cs="Times New Roman"/>
                <w:i/>
                <w:iCs/>
                <w:sz w:val="18"/>
                <w:szCs w:val="18"/>
              </w:rPr>
              <w:t>=0.637; Adjusted R</w:t>
            </w:r>
            <w:r>
              <w:rPr>
                <w:rFonts w:ascii="Times New Roman" w:eastAsia="Times New Roman" w:hAnsi="Times New Roman" w:cs="Times New Roman"/>
                <w:i/>
                <w:iCs/>
                <w:sz w:val="18"/>
                <w:szCs w:val="18"/>
                <w:vertAlign w:val="superscript"/>
              </w:rPr>
              <w:t>2</w:t>
            </w:r>
            <w:r>
              <w:rPr>
                <w:rFonts w:ascii="Times New Roman" w:eastAsia="Times New Roman" w:hAnsi="Times New Roman" w:cs="Times New Roman"/>
                <w:i/>
                <w:iCs/>
                <w:sz w:val="18"/>
                <w:szCs w:val="18"/>
              </w:rPr>
              <w:t xml:space="preserve">=0.634; F-value=206.832; p-value &lt;0.001; Interpretation = </w:t>
            </w:r>
            <w:r>
              <w:rPr>
                <w:rFonts w:ascii="Times New Roman" w:eastAsia="Times New Roman" w:hAnsi="Times New Roman" w:cs="Times New Roman"/>
                <w:sz w:val="18"/>
                <w:szCs w:val="18"/>
              </w:rPr>
              <w:t>Significant</w:t>
            </w:r>
          </w:p>
        </w:tc>
      </w:tr>
    </w:tbl>
    <w:p w14:paraId="5A445CB7" w14:textId="77777777" w:rsidR="003C11B1" w:rsidRDefault="00000000">
      <w:pPr>
        <w:spacing w:before="200" w:line="240" w:lineRule="auto"/>
        <w:ind w:firstLine="720"/>
        <w:jc w:val="both"/>
        <w:rPr>
          <w:rFonts w:ascii="Times New Roman" w:eastAsia="Times New Roman" w:hAnsi="Times New Roman" w:cs="Times New Roman"/>
          <w:b/>
          <w:bCs/>
        </w:rPr>
      </w:pPr>
      <w:r>
        <w:rPr>
          <w:rFonts w:ascii="Times New Roman" w:eastAsia="Times New Roman" w:hAnsi="Times New Roman" w:cs="Times New Roman"/>
          <w:sz w:val="24"/>
          <w:szCs w:val="24"/>
        </w:rPr>
        <w:t>Improvements in internal control systems significantly enhance local treasury outcomes according to the strong positive standardized coefficient (β = 0.798, p &lt; 0.001). This result is consistent with global evidence that strong internal controls enhance transparency and accountability (</w:t>
      </w:r>
      <w:proofErr w:type="spellStart"/>
      <w:r>
        <w:rPr>
          <w:rFonts w:ascii="Times New Roman" w:eastAsia="Times New Roman" w:hAnsi="Times New Roman" w:cs="Times New Roman"/>
          <w:sz w:val="24"/>
          <w:szCs w:val="24"/>
        </w:rPr>
        <w:t>Raudhatinur</w:t>
      </w:r>
      <w:proofErr w:type="spellEnd"/>
      <w:r>
        <w:rPr>
          <w:rFonts w:ascii="Times New Roman" w:eastAsia="Times New Roman" w:hAnsi="Times New Roman" w:cs="Times New Roman"/>
          <w:sz w:val="24"/>
          <w:szCs w:val="24"/>
        </w:rPr>
        <w:t xml:space="preserve"> et al., 2023; </w:t>
      </w:r>
      <w:proofErr w:type="spellStart"/>
      <w:r>
        <w:rPr>
          <w:rFonts w:ascii="Times New Roman" w:eastAsia="Times New Roman" w:hAnsi="Times New Roman" w:cs="Times New Roman"/>
          <w:sz w:val="24"/>
          <w:szCs w:val="24"/>
        </w:rPr>
        <w:t>Ongonge</w:t>
      </w:r>
      <w:proofErr w:type="spellEnd"/>
      <w:r>
        <w:rPr>
          <w:rFonts w:ascii="Times New Roman" w:eastAsia="Times New Roman" w:hAnsi="Times New Roman" w:cs="Times New Roman"/>
          <w:sz w:val="24"/>
          <w:szCs w:val="24"/>
        </w:rPr>
        <w:t>, 2024), as well as organizational performance and financial discipline in public institutions (</w:t>
      </w:r>
      <w:proofErr w:type="spellStart"/>
      <w:r>
        <w:rPr>
          <w:rFonts w:ascii="Times New Roman" w:eastAsia="Times New Roman" w:hAnsi="Times New Roman" w:cs="Times New Roman"/>
          <w:sz w:val="24"/>
          <w:szCs w:val="24"/>
        </w:rPr>
        <w:t>Priantono</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Vidiyastutik</w:t>
      </w:r>
      <w:proofErr w:type="spellEnd"/>
      <w:r>
        <w:rPr>
          <w:rFonts w:ascii="Times New Roman" w:eastAsia="Times New Roman" w:hAnsi="Times New Roman" w:cs="Times New Roman"/>
          <w:sz w:val="24"/>
          <w:szCs w:val="24"/>
        </w:rPr>
        <w:t xml:space="preserve">, 2022; Gyimah et al., 2024; </w:t>
      </w:r>
      <w:proofErr w:type="spellStart"/>
      <w:r>
        <w:rPr>
          <w:rFonts w:ascii="Times New Roman" w:eastAsia="Times New Roman" w:hAnsi="Times New Roman" w:cs="Times New Roman"/>
          <w:sz w:val="24"/>
          <w:szCs w:val="24"/>
        </w:rPr>
        <w:t>Razzouki</w:t>
      </w:r>
      <w:proofErr w:type="spellEnd"/>
      <w:r>
        <w:rPr>
          <w:rFonts w:ascii="Times New Roman" w:eastAsia="Times New Roman" w:hAnsi="Times New Roman" w:cs="Times New Roman"/>
          <w:sz w:val="24"/>
          <w:szCs w:val="24"/>
        </w:rPr>
        <w:t>, 2024). Given that audit observations in the Philippines are frequently the result of control failures, the findings highlight how crucial structured control mechanisms are to maintaining credible and efficient local treasury operations.</w:t>
      </w:r>
    </w:p>
    <w:p w14:paraId="0BA5C282" w14:textId="77777777" w:rsidR="003C11B1" w:rsidRDefault="003C11B1">
      <w:pPr>
        <w:spacing w:line="240" w:lineRule="auto"/>
        <w:jc w:val="both"/>
        <w:rPr>
          <w:rFonts w:ascii="Times New Roman" w:eastAsia="Times New Roman" w:hAnsi="Times New Roman" w:cs="Times New Roman"/>
          <w:sz w:val="24"/>
          <w:szCs w:val="24"/>
        </w:rPr>
      </w:pPr>
    </w:p>
    <w:p w14:paraId="7123A986" w14:textId="77777777" w:rsidR="003C11B1"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Table 7</w:t>
      </w:r>
    </w:p>
    <w:p w14:paraId="002B71A5" w14:textId="77777777" w:rsidR="003C11B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Model 2 Test on the Significant Influence of the Dimensions of Internal Control Effectiveness on Local Treasury Performance</w:t>
      </w:r>
    </w:p>
    <w:tbl>
      <w:tblPr>
        <w:tblStyle w:val="a5"/>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6"/>
        <w:gridCol w:w="1764"/>
        <w:gridCol w:w="1460"/>
        <w:gridCol w:w="1020"/>
        <w:gridCol w:w="990"/>
        <w:gridCol w:w="1485"/>
        <w:gridCol w:w="555"/>
      </w:tblGrid>
      <w:tr w:rsidR="003C11B1" w14:paraId="15A238C2" w14:textId="77777777">
        <w:trPr>
          <w:trHeight w:val="465"/>
        </w:trPr>
        <w:tc>
          <w:tcPr>
            <w:tcW w:w="1575" w:type="dxa"/>
            <w:tcBorders>
              <w:top w:val="single" w:sz="8" w:space="0" w:color="000000"/>
              <w:left w:val="nil"/>
              <w:bottom w:val="single" w:sz="8" w:space="0" w:color="000000"/>
              <w:right w:val="nil"/>
            </w:tcBorders>
            <w:tcMar>
              <w:top w:w="0" w:type="dxa"/>
              <w:left w:w="100" w:type="dxa"/>
              <w:bottom w:w="0" w:type="dxa"/>
              <w:right w:w="100" w:type="dxa"/>
            </w:tcMar>
          </w:tcPr>
          <w:p w14:paraId="1DB37314" w14:textId="77777777" w:rsidR="003C11B1" w:rsidRDefault="00000000">
            <w:pPr>
              <w:spacing w:line="240" w:lineRule="auto"/>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Predictors</w:t>
            </w:r>
          </w:p>
        </w:tc>
        <w:tc>
          <w:tcPr>
            <w:tcW w:w="1764" w:type="dxa"/>
            <w:tcBorders>
              <w:top w:val="single" w:sz="8" w:space="0" w:color="000000"/>
              <w:left w:val="nil"/>
              <w:bottom w:val="single" w:sz="8" w:space="0" w:color="000000"/>
              <w:right w:val="nil"/>
            </w:tcBorders>
            <w:tcMar>
              <w:top w:w="0" w:type="dxa"/>
              <w:left w:w="100" w:type="dxa"/>
              <w:bottom w:w="0" w:type="dxa"/>
              <w:right w:w="100" w:type="dxa"/>
            </w:tcMar>
          </w:tcPr>
          <w:p w14:paraId="08527939" w14:textId="77777777" w:rsidR="003C11B1" w:rsidRDefault="00000000">
            <w:pPr>
              <w:spacing w:line="240" w:lineRule="auto"/>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Unstandardized Coefficients (B)</w:t>
            </w:r>
          </w:p>
        </w:tc>
        <w:tc>
          <w:tcPr>
            <w:tcW w:w="1460" w:type="dxa"/>
            <w:tcBorders>
              <w:top w:val="single" w:sz="8" w:space="0" w:color="000000"/>
              <w:left w:val="nil"/>
              <w:bottom w:val="single" w:sz="8" w:space="0" w:color="000000"/>
              <w:right w:val="nil"/>
            </w:tcBorders>
            <w:tcMar>
              <w:top w:w="0" w:type="dxa"/>
              <w:left w:w="100" w:type="dxa"/>
              <w:bottom w:w="0" w:type="dxa"/>
              <w:right w:w="100" w:type="dxa"/>
            </w:tcMar>
          </w:tcPr>
          <w:p w14:paraId="5F012EFC" w14:textId="77777777" w:rsidR="003C11B1" w:rsidRDefault="00000000">
            <w:pPr>
              <w:spacing w:line="240" w:lineRule="auto"/>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Standardized Coefficients (</w:t>
            </w:r>
            <w:r>
              <w:rPr>
                <w:rFonts w:ascii="Times New Roman" w:eastAsia="Times New Roman" w:hAnsi="Times New Roman" w:cs="Times New Roman"/>
                <w:sz w:val="17"/>
                <w:szCs w:val="17"/>
              </w:rPr>
              <w:t>𝜷</w:t>
            </w:r>
            <w:r>
              <w:rPr>
                <w:rFonts w:ascii="Times New Roman" w:eastAsia="Times New Roman" w:hAnsi="Times New Roman" w:cs="Times New Roman"/>
                <w:b/>
                <w:bCs/>
                <w:sz w:val="17"/>
                <w:szCs w:val="17"/>
              </w:rPr>
              <w:t>)</w:t>
            </w:r>
          </w:p>
        </w:tc>
        <w:tc>
          <w:tcPr>
            <w:tcW w:w="1020" w:type="dxa"/>
            <w:tcBorders>
              <w:top w:val="single" w:sz="8" w:space="0" w:color="000000"/>
              <w:left w:val="nil"/>
              <w:bottom w:val="single" w:sz="8" w:space="0" w:color="000000"/>
              <w:right w:val="nil"/>
            </w:tcBorders>
            <w:tcMar>
              <w:top w:w="0" w:type="dxa"/>
              <w:left w:w="100" w:type="dxa"/>
              <w:bottom w:w="0" w:type="dxa"/>
              <w:right w:w="100" w:type="dxa"/>
            </w:tcMar>
          </w:tcPr>
          <w:p w14:paraId="4B746AFD" w14:textId="77777777" w:rsidR="003C11B1" w:rsidRDefault="00000000">
            <w:pPr>
              <w:spacing w:line="240" w:lineRule="auto"/>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t-value</w:t>
            </w:r>
          </w:p>
        </w:tc>
        <w:tc>
          <w:tcPr>
            <w:tcW w:w="990" w:type="dxa"/>
            <w:tcBorders>
              <w:top w:val="single" w:sz="8" w:space="0" w:color="000000"/>
              <w:left w:val="nil"/>
              <w:bottom w:val="single" w:sz="8" w:space="0" w:color="000000"/>
              <w:right w:val="nil"/>
            </w:tcBorders>
            <w:tcMar>
              <w:top w:w="0" w:type="dxa"/>
              <w:left w:w="100" w:type="dxa"/>
              <w:bottom w:w="0" w:type="dxa"/>
              <w:right w:w="100" w:type="dxa"/>
            </w:tcMar>
          </w:tcPr>
          <w:p w14:paraId="4C3945E6" w14:textId="77777777" w:rsidR="003C11B1" w:rsidRDefault="00000000">
            <w:pPr>
              <w:spacing w:line="240" w:lineRule="auto"/>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p-value</w:t>
            </w:r>
          </w:p>
        </w:tc>
        <w:tc>
          <w:tcPr>
            <w:tcW w:w="1485" w:type="dxa"/>
            <w:tcBorders>
              <w:top w:val="single" w:sz="8" w:space="0" w:color="000000"/>
              <w:left w:val="nil"/>
              <w:bottom w:val="single" w:sz="8" w:space="0" w:color="000000"/>
              <w:right w:val="nil"/>
            </w:tcBorders>
            <w:tcMar>
              <w:top w:w="0" w:type="dxa"/>
              <w:left w:w="100" w:type="dxa"/>
              <w:bottom w:w="0" w:type="dxa"/>
              <w:right w:w="100" w:type="dxa"/>
            </w:tcMar>
          </w:tcPr>
          <w:p w14:paraId="4C3B682A" w14:textId="77777777" w:rsidR="003C11B1" w:rsidRDefault="00000000">
            <w:pPr>
              <w:spacing w:line="240" w:lineRule="auto"/>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Interpretation</w:t>
            </w:r>
          </w:p>
        </w:tc>
        <w:tc>
          <w:tcPr>
            <w:tcW w:w="555" w:type="dxa"/>
            <w:tcBorders>
              <w:top w:val="single" w:sz="8" w:space="0" w:color="000000"/>
              <w:left w:val="nil"/>
              <w:bottom w:val="single" w:sz="8" w:space="0" w:color="000000"/>
              <w:right w:val="nil"/>
            </w:tcBorders>
            <w:tcMar>
              <w:top w:w="0" w:type="dxa"/>
              <w:left w:w="100" w:type="dxa"/>
              <w:bottom w:w="0" w:type="dxa"/>
              <w:right w:w="100" w:type="dxa"/>
            </w:tcMar>
          </w:tcPr>
          <w:p w14:paraId="1E17E468" w14:textId="77777777" w:rsidR="003C11B1" w:rsidRDefault="00000000">
            <w:pPr>
              <w:spacing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p>
        </w:tc>
      </w:tr>
      <w:tr w:rsidR="003C11B1" w14:paraId="5714B4A0" w14:textId="77777777">
        <w:trPr>
          <w:trHeight w:val="278"/>
        </w:trPr>
        <w:tc>
          <w:tcPr>
            <w:tcW w:w="1575" w:type="dxa"/>
            <w:tcBorders>
              <w:top w:val="nil"/>
              <w:left w:val="nil"/>
              <w:bottom w:val="nil"/>
              <w:right w:val="nil"/>
            </w:tcBorders>
            <w:tcMar>
              <w:top w:w="0" w:type="dxa"/>
              <w:left w:w="100" w:type="dxa"/>
              <w:bottom w:w="0" w:type="dxa"/>
              <w:right w:w="100" w:type="dxa"/>
            </w:tcMar>
          </w:tcPr>
          <w:p w14:paraId="0B682F30"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(Constant)</w:t>
            </w:r>
          </w:p>
        </w:tc>
        <w:tc>
          <w:tcPr>
            <w:tcW w:w="1764" w:type="dxa"/>
            <w:tcBorders>
              <w:top w:val="nil"/>
              <w:left w:val="nil"/>
              <w:bottom w:val="nil"/>
              <w:right w:val="nil"/>
            </w:tcBorders>
            <w:tcMar>
              <w:top w:w="0" w:type="dxa"/>
              <w:left w:w="100" w:type="dxa"/>
              <w:bottom w:w="0" w:type="dxa"/>
              <w:right w:w="100" w:type="dxa"/>
            </w:tcMar>
          </w:tcPr>
          <w:p w14:paraId="36E70D92"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0.810</w:t>
            </w:r>
          </w:p>
        </w:tc>
        <w:tc>
          <w:tcPr>
            <w:tcW w:w="1460" w:type="dxa"/>
            <w:tcBorders>
              <w:top w:val="nil"/>
              <w:left w:val="nil"/>
              <w:bottom w:val="nil"/>
              <w:right w:val="nil"/>
            </w:tcBorders>
            <w:tcMar>
              <w:top w:w="0" w:type="dxa"/>
              <w:left w:w="100" w:type="dxa"/>
              <w:bottom w:w="0" w:type="dxa"/>
              <w:right w:w="100" w:type="dxa"/>
            </w:tcMar>
          </w:tcPr>
          <w:p w14:paraId="5900584E"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w:t>
            </w:r>
          </w:p>
        </w:tc>
        <w:tc>
          <w:tcPr>
            <w:tcW w:w="1020" w:type="dxa"/>
            <w:tcBorders>
              <w:top w:val="nil"/>
              <w:left w:val="nil"/>
              <w:bottom w:val="nil"/>
              <w:right w:val="nil"/>
            </w:tcBorders>
            <w:tcMar>
              <w:top w:w="0" w:type="dxa"/>
              <w:left w:w="100" w:type="dxa"/>
              <w:bottom w:w="0" w:type="dxa"/>
              <w:right w:w="100" w:type="dxa"/>
            </w:tcMar>
          </w:tcPr>
          <w:p w14:paraId="7D488000"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4.627</w:t>
            </w:r>
          </w:p>
        </w:tc>
        <w:tc>
          <w:tcPr>
            <w:tcW w:w="990" w:type="dxa"/>
            <w:tcBorders>
              <w:top w:val="nil"/>
              <w:left w:val="nil"/>
              <w:bottom w:val="nil"/>
              <w:right w:val="nil"/>
            </w:tcBorders>
            <w:tcMar>
              <w:top w:w="0" w:type="dxa"/>
              <w:left w:w="100" w:type="dxa"/>
              <w:bottom w:w="0" w:type="dxa"/>
              <w:right w:w="100" w:type="dxa"/>
            </w:tcMar>
          </w:tcPr>
          <w:p w14:paraId="61636DC5"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&lt;0.001</w:t>
            </w:r>
          </w:p>
        </w:tc>
        <w:tc>
          <w:tcPr>
            <w:tcW w:w="1485" w:type="dxa"/>
            <w:tcBorders>
              <w:top w:val="nil"/>
              <w:left w:val="nil"/>
              <w:bottom w:val="nil"/>
              <w:right w:val="nil"/>
            </w:tcBorders>
            <w:tcMar>
              <w:top w:w="0" w:type="dxa"/>
              <w:left w:w="100" w:type="dxa"/>
              <w:bottom w:w="0" w:type="dxa"/>
              <w:right w:w="100" w:type="dxa"/>
            </w:tcMar>
          </w:tcPr>
          <w:p w14:paraId="3E76FC7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w:t>
            </w:r>
          </w:p>
        </w:tc>
        <w:tc>
          <w:tcPr>
            <w:tcW w:w="555" w:type="dxa"/>
            <w:tcBorders>
              <w:top w:val="nil"/>
              <w:left w:val="nil"/>
              <w:bottom w:val="nil"/>
              <w:right w:val="nil"/>
            </w:tcBorders>
            <w:tcMar>
              <w:top w:w="0" w:type="dxa"/>
              <w:left w:w="100" w:type="dxa"/>
              <w:bottom w:w="0" w:type="dxa"/>
              <w:right w:w="100" w:type="dxa"/>
            </w:tcMar>
          </w:tcPr>
          <w:p w14:paraId="75BFB877"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C11B1" w14:paraId="0D4F552F" w14:textId="77777777">
        <w:trPr>
          <w:trHeight w:val="420"/>
        </w:trPr>
        <w:tc>
          <w:tcPr>
            <w:tcW w:w="1575" w:type="dxa"/>
            <w:tcBorders>
              <w:top w:val="nil"/>
              <w:left w:val="nil"/>
              <w:bottom w:val="nil"/>
              <w:right w:val="nil"/>
            </w:tcBorders>
            <w:tcMar>
              <w:top w:w="0" w:type="dxa"/>
              <w:left w:w="100" w:type="dxa"/>
              <w:bottom w:w="0" w:type="dxa"/>
              <w:right w:w="100" w:type="dxa"/>
            </w:tcMar>
          </w:tcPr>
          <w:p w14:paraId="506240A8"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Control Environment</w:t>
            </w:r>
          </w:p>
        </w:tc>
        <w:tc>
          <w:tcPr>
            <w:tcW w:w="1764" w:type="dxa"/>
            <w:tcBorders>
              <w:top w:val="nil"/>
              <w:left w:val="nil"/>
              <w:bottom w:val="nil"/>
              <w:right w:val="nil"/>
            </w:tcBorders>
            <w:tcMar>
              <w:top w:w="0" w:type="dxa"/>
              <w:left w:w="100" w:type="dxa"/>
              <w:bottom w:w="0" w:type="dxa"/>
              <w:right w:w="100" w:type="dxa"/>
            </w:tcMar>
          </w:tcPr>
          <w:p w14:paraId="64574166"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0.377</w:t>
            </w:r>
          </w:p>
        </w:tc>
        <w:tc>
          <w:tcPr>
            <w:tcW w:w="1460" w:type="dxa"/>
            <w:tcBorders>
              <w:top w:val="nil"/>
              <w:left w:val="nil"/>
              <w:bottom w:val="nil"/>
              <w:right w:val="nil"/>
            </w:tcBorders>
            <w:tcMar>
              <w:top w:w="0" w:type="dxa"/>
              <w:left w:w="100" w:type="dxa"/>
              <w:bottom w:w="0" w:type="dxa"/>
              <w:right w:w="100" w:type="dxa"/>
            </w:tcMar>
          </w:tcPr>
          <w:p w14:paraId="0274D421"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0.437</w:t>
            </w:r>
          </w:p>
        </w:tc>
        <w:tc>
          <w:tcPr>
            <w:tcW w:w="1020" w:type="dxa"/>
            <w:tcBorders>
              <w:top w:val="nil"/>
              <w:left w:val="nil"/>
              <w:bottom w:val="nil"/>
              <w:right w:val="nil"/>
            </w:tcBorders>
            <w:tcMar>
              <w:top w:w="0" w:type="dxa"/>
              <w:left w:w="100" w:type="dxa"/>
              <w:bottom w:w="0" w:type="dxa"/>
              <w:right w:w="100" w:type="dxa"/>
            </w:tcMar>
          </w:tcPr>
          <w:p w14:paraId="56FAA2F2"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5.405</w:t>
            </w:r>
          </w:p>
        </w:tc>
        <w:tc>
          <w:tcPr>
            <w:tcW w:w="990" w:type="dxa"/>
            <w:tcBorders>
              <w:top w:val="nil"/>
              <w:left w:val="nil"/>
              <w:bottom w:val="nil"/>
              <w:right w:val="nil"/>
            </w:tcBorders>
            <w:tcMar>
              <w:top w:w="0" w:type="dxa"/>
              <w:left w:w="100" w:type="dxa"/>
              <w:bottom w:w="0" w:type="dxa"/>
              <w:right w:w="100" w:type="dxa"/>
            </w:tcMar>
          </w:tcPr>
          <w:p w14:paraId="6849F727"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&lt;0.001</w:t>
            </w:r>
          </w:p>
        </w:tc>
        <w:tc>
          <w:tcPr>
            <w:tcW w:w="1485" w:type="dxa"/>
            <w:tcBorders>
              <w:top w:val="nil"/>
              <w:left w:val="nil"/>
              <w:bottom w:val="nil"/>
              <w:right w:val="nil"/>
            </w:tcBorders>
            <w:tcMar>
              <w:top w:w="0" w:type="dxa"/>
              <w:left w:w="100" w:type="dxa"/>
              <w:bottom w:w="0" w:type="dxa"/>
              <w:right w:w="100" w:type="dxa"/>
            </w:tcMar>
          </w:tcPr>
          <w:p w14:paraId="789B90D2"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Significant</w:t>
            </w:r>
          </w:p>
        </w:tc>
        <w:tc>
          <w:tcPr>
            <w:tcW w:w="555" w:type="dxa"/>
            <w:tcBorders>
              <w:top w:val="nil"/>
              <w:left w:val="nil"/>
              <w:bottom w:val="nil"/>
              <w:right w:val="nil"/>
            </w:tcBorders>
            <w:tcMar>
              <w:top w:w="0" w:type="dxa"/>
              <w:left w:w="100" w:type="dxa"/>
              <w:bottom w:w="0" w:type="dxa"/>
              <w:right w:w="100" w:type="dxa"/>
            </w:tcMar>
          </w:tcPr>
          <w:p w14:paraId="030FB996"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C11B1" w14:paraId="7A24A032" w14:textId="77777777">
        <w:trPr>
          <w:trHeight w:val="60"/>
        </w:trPr>
        <w:tc>
          <w:tcPr>
            <w:tcW w:w="1575" w:type="dxa"/>
            <w:tcBorders>
              <w:top w:val="nil"/>
              <w:left w:val="nil"/>
              <w:bottom w:val="nil"/>
              <w:right w:val="nil"/>
            </w:tcBorders>
            <w:tcMar>
              <w:top w:w="0" w:type="dxa"/>
              <w:left w:w="100" w:type="dxa"/>
              <w:bottom w:w="0" w:type="dxa"/>
              <w:right w:w="100" w:type="dxa"/>
            </w:tcMar>
          </w:tcPr>
          <w:p w14:paraId="3783AD91"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Risk Assessment</w:t>
            </w:r>
          </w:p>
        </w:tc>
        <w:tc>
          <w:tcPr>
            <w:tcW w:w="1764" w:type="dxa"/>
            <w:tcBorders>
              <w:top w:val="nil"/>
              <w:left w:val="nil"/>
              <w:bottom w:val="nil"/>
              <w:right w:val="nil"/>
            </w:tcBorders>
            <w:tcMar>
              <w:top w:w="0" w:type="dxa"/>
              <w:left w:w="100" w:type="dxa"/>
              <w:bottom w:w="0" w:type="dxa"/>
              <w:right w:w="100" w:type="dxa"/>
            </w:tcMar>
          </w:tcPr>
          <w:p w14:paraId="51A654B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0.106</w:t>
            </w:r>
          </w:p>
        </w:tc>
        <w:tc>
          <w:tcPr>
            <w:tcW w:w="1460" w:type="dxa"/>
            <w:tcBorders>
              <w:top w:val="nil"/>
              <w:left w:val="nil"/>
              <w:bottom w:val="nil"/>
              <w:right w:val="nil"/>
            </w:tcBorders>
            <w:tcMar>
              <w:top w:w="0" w:type="dxa"/>
              <w:left w:w="100" w:type="dxa"/>
              <w:bottom w:w="0" w:type="dxa"/>
              <w:right w:w="100" w:type="dxa"/>
            </w:tcMar>
          </w:tcPr>
          <w:p w14:paraId="750C616B"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0.134</w:t>
            </w:r>
          </w:p>
        </w:tc>
        <w:tc>
          <w:tcPr>
            <w:tcW w:w="1020" w:type="dxa"/>
            <w:tcBorders>
              <w:top w:val="nil"/>
              <w:left w:val="nil"/>
              <w:bottom w:val="nil"/>
              <w:right w:val="nil"/>
            </w:tcBorders>
            <w:tcMar>
              <w:top w:w="0" w:type="dxa"/>
              <w:left w:w="100" w:type="dxa"/>
              <w:bottom w:w="0" w:type="dxa"/>
              <w:right w:w="100" w:type="dxa"/>
            </w:tcMar>
          </w:tcPr>
          <w:p w14:paraId="7702328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1.560</w:t>
            </w:r>
          </w:p>
        </w:tc>
        <w:tc>
          <w:tcPr>
            <w:tcW w:w="990" w:type="dxa"/>
            <w:tcBorders>
              <w:top w:val="nil"/>
              <w:left w:val="nil"/>
              <w:bottom w:val="nil"/>
              <w:right w:val="nil"/>
            </w:tcBorders>
            <w:tcMar>
              <w:top w:w="0" w:type="dxa"/>
              <w:left w:w="100" w:type="dxa"/>
              <w:bottom w:w="0" w:type="dxa"/>
              <w:right w:w="100" w:type="dxa"/>
            </w:tcMar>
          </w:tcPr>
          <w:p w14:paraId="2A58DA7B"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0.122</w:t>
            </w:r>
          </w:p>
        </w:tc>
        <w:tc>
          <w:tcPr>
            <w:tcW w:w="1485" w:type="dxa"/>
            <w:tcBorders>
              <w:top w:val="nil"/>
              <w:left w:val="nil"/>
              <w:bottom w:val="nil"/>
              <w:right w:val="nil"/>
            </w:tcBorders>
            <w:tcMar>
              <w:top w:w="0" w:type="dxa"/>
              <w:left w:w="100" w:type="dxa"/>
              <w:bottom w:w="0" w:type="dxa"/>
              <w:right w:w="100" w:type="dxa"/>
            </w:tcMar>
          </w:tcPr>
          <w:p w14:paraId="2DC26325"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Not Significant</w:t>
            </w:r>
          </w:p>
        </w:tc>
        <w:tc>
          <w:tcPr>
            <w:tcW w:w="555" w:type="dxa"/>
            <w:tcBorders>
              <w:top w:val="nil"/>
              <w:left w:val="nil"/>
              <w:bottom w:val="nil"/>
              <w:right w:val="nil"/>
            </w:tcBorders>
            <w:tcMar>
              <w:top w:w="0" w:type="dxa"/>
              <w:left w:w="100" w:type="dxa"/>
              <w:bottom w:w="0" w:type="dxa"/>
              <w:right w:w="100" w:type="dxa"/>
            </w:tcMar>
          </w:tcPr>
          <w:p w14:paraId="156260B4"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C11B1" w14:paraId="7EB04407" w14:textId="77777777">
        <w:trPr>
          <w:trHeight w:val="204"/>
        </w:trPr>
        <w:tc>
          <w:tcPr>
            <w:tcW w:w="1575" w:type="dxa"/>
            <w:tcBorders>
              <w:top w:val="nil"/>
              <w:left w:val="nil"/>
              <w:bottom w:val="nil"/>
              <w:right w:val="nil"/>
            </w:tcBorders>
            <w:tcMar>
              <w:top w:w="0" w:type="dxa"/>
              <w:left w:w="100" w:type="dxa"/>
              <w:bottom w:w="0" w:type="dxa"/>
              <w:right w:w="100" w:type="dxa"/>
            </w:tcMar>
          </w:tcPr>
          <w:p w14:paraId="6A2290F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Control Activities</w:t>
            </w:r>
          </w:p>
        </w:tc>
        <w:tc>
          <w:tcPr>
            <w:tcW w:w="1764" w:type="dxa"/>
            <w:tcBorders>
              <w:top w:val="nil"/>
              <w:left w:val="nil"/>
              <w:bottom w:val="nil"/>
              <w:right w:val="nil"/>
            </w:tcBorders>
            <w:tcMar>
              <w:top w:w="0" w:type="dxa"/>
              <w:left w:w="100" w:type="dxa"/>
              <w:bottom w:w="0" w:type="dxa"/>
              <w:right w:w="100" w:type="dxa"/>
            </w:tcMar>
          </w:tcPr>
          <w:p w14:paraId="4B1FC4F8"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0.151</w:t>
            </w:r>
          </w:p>
        </w:tc>
        <w:tc>
          <w:tcPr>
            <w:tcW w:w="1460" w:type="dxa"/>
            <w:tcBorders>
              <w:top w:val="nil"/>
              <w:left w:val="nil"/>
              <w:bottom w:val="nil"/>
              <w:right w:val="nil"/>
            </w:tcBorders>
            <w:tcMar>
              <w:top w:w="0" w:type="dxa"/>
              <w:left w:w="100" w:type="dxa"/>
              <w:bottom w:w="0" w:type="dxa"/>
              <w:right w:w="100" w:type="dxa"/>
            </w:tcMar>
          </w:tcPr>
          <w:p w14:paraId="1CD44041"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0.180</w:t>
            </w:r>
          </w:p>
        </w:tc>
        <w:tc>
          <w:tcPr>
            <w:tcW w:w="1020" w:type="dxa"/>
            <w:tcBorders>
              <w:top w:val="nil"/>
              <w:left w:val="nil"/>
              <w:bottom w:val="nil"/>
              <w:right w:val="nil"/>
            </w:tcBorders>
            <w:tcMar>
              <w:top w:w="0" w:type="dxa"/>
              <w:left w:w="100" w:type="dxa"/>
              <w:bottom w:w="0" w:type="dxa"/>
              <w:right w:w="100" w:type="dxa"/>
            </w:tcMar>
          </w:tcPr>
          <w:p w14:paraId="15B1AF25"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1.811</w:t>
            </w:r>
          </w:p>
        </w:tc>
        <w:tc>
          <w:tcPr>
            <w:tcW w:w="990" w:type="dxa"/>
            <w:tcBorders>
              <w:top w:val="nil"/>
              <w:left w:val="nil"/>
              <w:bottom w:val="nil"/>
              <w:right w:val="nil"/>
            </w:tcBorders>
            <w:tcMar>
              <w:top w:w="0" w:type="dxa"/>
              <w:left w:w="100" w:type="dxa"/>
              <w:bottom w:w="0" w:type="dxa"/>
              <w:right w:w="100" w:type="dxa"/>
            </w:tcMar>
          </w:tcPr>
          <w:p w14:paraId="5C98D463"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0.073</w:t>
            </w:r>
          </w:p>
        </w:tc>
        <w:tc>
          <w:tcPr>
            <w:tcW w:w="1485" w:type="dxa"/>
            <w:tcBorders>
              <w:top w:val="nil"/>
              <w:left w:val="nil"/>
              <w:bottom w:val="nil"/>
              <w:right w:val="nil"/>
            </w:tcBorders>
            <w:tcMar>
              <w:top w:w="0" w:type="dxa"/>
              <w:left w:w="100" w:type="dxa"/>
              <w:bottom w:w="0" w:type="dxa"/>
              <w:right w:w="100" w:type="dxa"/>
            </w:tcMar>
          </w:tcPr>
          <w:p w14:paraId="6E18D1C6"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Not Significant</w:t>
            </w:r>
          </w:p>
        </w:tc>
        <w:tc>
          <w:tcPr>
            <w:tcW w:w="555" w:type="dxa"/>
            <w:tcBorders>
              <w:top w:val="nil"/>
              <w:left w:val="nil"/>
              <w:bottom w:val="nil"/>
              <w:right w:val="nil"/>
            </w:tcBorders>
            <w:tcMar>
              <w:top w:w="0" w:type="dxa"/>
              <w:left w:w="100" w:type="dxa"/>
              <w:bottom w:w="0" w:type="dxa"/>
              <w:right w:w="100" w:type="dxa"/>
            </w:tcMar>
          </w:tcPr>
          <w:p w14:paraId="493483C7"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C11B1" w14:paraId="62DFF2B0" w14:textId="77777777">
        <w:trPr>
          <w:trHeight w:val="615"/>
        </w:trPr>
        <w:tc>
          <w:tcPr>
            <w:tcW w:w="1575" w:type="dxa"/>
            <w:tcBorders>
              <w:top w:val="nil"/>
              <w:left w:val="nil"/>
              <w:bottom w:val="nil"/>
              <w:right w:val="nil"/>
            </w:tcBorders>
            <w:tcMar>
              <w:top w:w="0" w:type="dxa"/>
              <w:left w:w="100" w:type="dxa"/>
              <w:bottom w:w="0" w:type="dxa"/>
              <w:right w:w="100" w:type="dxa"/>
            </w:tcMar>
          </w:tcPr>
          <w:p w14:paraId="4B2EBF79"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Information and Communication Systems</w:t>
            </w:r>
          </w:p>
        </w:tc>
        <w:tc>
          <w:tcPr>
            <w:tcW w:w="1764" w:type="dxa"/>
            <w:tcBorders>
              <w:top w:val="nil"/>
              <w:left w:val="nil"/>
              <w:bottom w:val="nil"/>
              <w:right w:val="nil"/>
            </w:tcBorders>
            <w:tcMar>
              <w:top w:w="0" w:type="dxa"/>
              <w:left w:w="100" w:type="dxa"/>
              <w:bottom w:w="0" w:type="dxa"/>
              <w:right w:w="100" w:type="dxa"/>
            </w:tcMar>
          </w:tcPr>
          <w:p w14:paraId="5B745368"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-0.139</w:t>
            </w:r>
          </w:p>
        </w:tc>
        <w:tc>
          <w:tcPr>
            <w:tcW w:w="1460" w:type="dxa"/>
            <w:tcBorders>
              <w:top w:val="nil"/>
              <w:left w:val="nil"/>
              <w:bottom w:val="nil"/>
              <w:right w:val="nil"/>
            </w:tcBorders>
            <w:tcMar>
              <w:top w:w="0" w:type="dxa"/>
              <w:left w:w="100" w:type="dxa"/>
              <w:bottom w:w="0" w:type="dxa"/>
              <w:right w:w="100" w:type="dxa"/>
            </w:tcMar>
          </w:tcPr>
          <w:p w14:paraId="18B09D71"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-0.181</w:t>
            </w:r>
          </w:p>
        </w:tc>
        <w:tc>
          <w:tcPr>
            <w:tcW w:w="1020" w:type="dxa"/>
            <w:tcBorders>
              <w:top w:val="nil"/>
              <w:left w:val="nil"/>
              <w:bottom w:val="nil"/>
              <w:right w:val="nil"/>
            </w:tcBorders>
            <w:tcMar>
              <w:top w:w="0" w:type="dxa"/>
              <w:left w:w="100" w:type="dxa"/>
              <w:bottom w:w="0" w:type="dxa"/>
              <w:right w:w="100" w:type="dxa"/>
            </w:tcMar>
          </w:tcPr>
          <w:p w14:paraId="4A94B7AA"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-1.813</w:t>
            </w:r>
          </w:p>
        </w:tc>
        <w:tc>
          <w:tcPr>
            <w:tcW w:w="990" w:type="dxa"/>
            <w:tcBorders>
              <w:top w:val="nil"/>
              <w:left w:val="nil"/>
              <w:bottom w:val="nil"/>
              <w:right w:val="nil"/>
            </w:tcBorders>
            <w:tcMar>
              <w:top w:w="0" w:type="dxa"/>
              <w:left w:w="100" w:type="dxa"/>
              <w:bottom w:w="0" w:type="dxa"/>
              <w:right w:w="100" w:type="dxa"/>
            </w:tcMar>
          </w:tcPr>
          <w:p w14:paraId="4656D6C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0.073</w:t>
            </w:r>
          </w:p>
        </w:tc>
        <w:tc>
          <w:tcPr>
            <w:tcW w:w="1485" w:type="dxa"/>
            <w:tcBorders>
              <w:top w:val="nil"/>
              <w:left w:val="nil"/>
              <w:bottom w:val="nil"/>
              <w:right w:val="nil"/>
            </w:tcBorders>
            <w:tcMar>
              <w:top w:w="0" w:type="dxa"/>
              <w:left w:w="100" w:type="dxa"/>
              <w:bottom w:w="0" w:type="dxa"/>
              <w:right w:w="100" w:type="dxa"/>
            </w:tcMar>
          </w:tcPr>
          <w:p w14:paraId="0C79E729"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Not Significant</w:t>
            </w:r>
          </w:p>
        </w:tc>
        <w:tc>
          <w:tcPr>
            <w:tcW w:w="555" w:type="dxa"/>
            <w:tcBorders>
              <w:top w:val="nil"/>
              <w:left w:val="nil"/>
              <w:bottom w:val="nil"/>
              <w:right w:val="nil"/>
            </w:tcBorders>
            <w:tcMar>
              <w:top w:w="0" w:type="dxa"/>
              <w:left w:w="100" w:type="dxa"/>
              <w:bottom w:w="0" w:type="dxa"/>
              <w:right w:w="100" w:type="dxa"/>
            </w:tcMar>
          </w:tcPr>
          <w:p w14:paraId="3BA5CE16"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C11B1" w14:paraId="552B5A0C" w14:textId="77777777">
        <w:trPr>
          <w:trHeight w:val="210"/>
        </w:trPr>
        <w:tc>
          <w:tcPr>
            <w:tcW w:w="1575" w:type="dxa"/>
            <w:tcBorders>
              <w:top w:val="nil"/>
              <w:left w:val="nil"/>
              <w:bottom w:val="single" w:sz="8" w:space="0" w:color="000000"/>
              <w:right w:val="nil"/>
            </w:tcBorders>
            <w:tcMar>
              <w:top w:w="0" w:type="dxa"/>
              <w:left w:w="100" w:type="dxa"/>
              <w:bottom w:w="0" w:type="dxa"/>
              <w:right w:w="100" w:type="dxa"/>
            </w:tcMar>
          </w:tcPr>
          <w:p w14:paraId="446E3BD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Monitoring</w:t>
            </w:r>
          </w:p>
        </w:tc>
        <w:tc>
          <w:tcPr>
            <w:tcW w:w="1764" w:type="dxa"/>
            <w:tcBorders>
              <w:top w:val="nil"/>
              <w:left w:val="nil"/>
              <w:bottom w:val="single" w:sz="8" w:space="0" w:color="000000"/>
              <w:right w:val="nil"/>
            </w:tcBorders>
            <w:tcMar>
              <w:top w:w="0" w:type="dxa"/>
              <w:left w:w="100" w:type="dxa"/>
              <w:bottom w:w="0" w:type="dxa"/>
              <w:right w:w="100" w:type="dxa"/>
            </w:tcMar>
          </w:tcPr>
          <w:p w14:paraId="53FA1173"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0.286</w:t>
            </w:r>
          </w:p>
        </w:tc>
        <w:tc>
          <w:tcPr>
            <w:tcW w:w="1460" w:type="dxa"/>
            <w:tcBorders>
              <w:top w:val="nil"/>
              <w:left w:val="nil"/>
              <w:bottom w:val="single" w:sz="8" w:space="0" w:color="000000"/>
              <w:right w:val="nil"/>
            </w:tcBorders>
            <w:tcMar>
              <w:top w:w="0" w:type="dxa"/>
              <w:left w:w="100" w:type="dxa"/>
              <w:bottom w:w="0" w:type="dxa"/>
              <w:right w:w="100" w:type="dxa"/>
            </w:tcMar>
          </w:tcPr>
          <w:p w14:paraId="3B7C5606"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0.379</w:t>
            </w:r>
          </w:p>
        </w:tc>
        <w:tc>
          <w:tcPr>
            <w:tcW w:w="1020" w:type="dxa"/>
            <w:tcBorders>
              <w:top w:val="nil"/>
              <w:left w:val="nil"/>
              <w:bottom w:val="single" w:sz="8" w:space="0" w:color="000000"/>
              <w:right w:val="nil"/>
            </w:tcBorders>
            <w:tcMar>
              <w:top w:w="0" w:type="dxa"/>
              <w:left w:w="100" w:type="dxa"/>
              <w:bottom w:w="0" w:type="dxa"/>
              <w:right w:w="100" w:type="dxa"/>
            </w:tcMar>
          </w:tcPr>
          <w:p w14:paraId="2BFCF79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4.678</w:t>
            </w:r>
          </w:p>
        </w:tc>
        <w:tc>
          <w:tcPr>
            <w:tcW w:w="990" w:type="dxa"/>
            <w:tcBorders>
              <w:top w:val="nil"/>
              <w:left w:val="nil"/>
              <w:bottom w:val="single" w:sz="8" w:space="0" w:color="000000"/>
              <w:right w:val="nil"/>
            </w:tcBorders>
            <w:tcMar>
              <w:top w:w="0" w:type="dxa"/>
              <w:left w:w="100" w:type="dxa"/>
              <w:bottom w:w="0" w:type="dxa"/>
              <w:right w:w="100" w:type="dxa"/>
            </w:tcMar>
          </w:tcPr>
          <w:p w14:paraId="22B2A29D"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&lt;0.001</w:t>
            </w:r>
          </w:p>
        </w:tc>
        <w:tc>
          <w:tcPr>
            <w:tcW w:w="1485" w:type="dxa"/>
            <w:tcBorders>
              <w:top w:val="nil"/>
              <w:left w:val="nil"/>
              <w:bottom w:val="single" w:sz="8" w:space="0" w:color="000000"/>
              <w:right w:val="nil"/>
            </w:tcBorders>
            <w:tcMar>
              <w:top w:w="0" w:type="dxa"/>
              <w:left w:w="100" w:type="dxa"/>
              <w:bottom w:w="0" w:type="dxa"/>
              <w:right w:w="100" w:type="dxa"/>
            </w:tcMar>
          </w:tcPr>
          <w:p w14:paraId="3A151D34" w14:textId="77777777" w:rsidR="003C11B1" w:rsidRDefault="00000000">
            <w:pPr>
              <w:spacing w:line="240" w:lineRule="auto"/>
              <w:jc w:val="center"/>
              <w:rPr>
                <w:rFonts w:ascii="Times New Roman" w:eastAsia="Times New Roman" w:hAnsi="Times New Roman" w:cs="Times New Roman"/>
                <w:sz w:val="17"/>
                <w:szCs w:val="17"/>
              </w:rPr>
            </w:pPr>
            <w:r>
              <w:rPr>
                <w:rFonts w:ascii="Times New Roman" w:eastAsia="Times New Roman" w:hAnsi="Times New Roman" w:cs="Times New Roman"/>
                <w:sz w:val="17"/>
                <w:szCs w:val="17"/>
              </w:rPr>
              <w:t>Significant</w:t>
            </w:r>
          </w:p>
        </w:tc>
        <w:tc>
          <w:tcPr>
            <w:tcW w:w="555" w:type="dxa"/>
            <w:tcBorders>
              <w:top w:val="nil"/>
              <w:left w:val="nil"/>
              <w:bottom w:val="single" w:sz="8" w:space="0" w:color="000000"/>
              <w:right w:val="nil"/>
            </w:tcBorders>
            <w:tcMar>
              <w:top w:w="0" w:type="dxa"/>
              <w:left w:w="100" w:type="dxa"/>
              <w:bottom w:w="0" w:type="dxa"/>
              <w:right w:w="100" w:type="dxa"/>
            </w:tcMar>
          </w:tcPr>
          <w:p w14:paraId="570E2842" w14:textId="77777777" w:rsidR="003C11B1" w:rsidRDefault="00000000">
            <w:pPr>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C11B1" w14:paraId="20507782" w14:textId="77777777">
        <w:trPr>
          <w:trHeight w:val="513"/>
        </w:trPr>
        <w:tc>
          <w:tcPr>
            <w:tcW w:w="8849" w:type="dxa"/>
            <w:gridSpan w:val="7"/>
            <w:tcBorders>
              <w:top w:val="nil"/>
              <w:left w:val="nil"/>
              <w:bottom w:val="single" w:sz="8" w:space="0" w:color="000000"/>
              <w:right w:val="nil"/>
            </w:tcBorders>
            <w:tcMar>
              <w:top w:w="0" w:type="dxa"/>
              <w:left w:w="100" w:type="dxa"/>
              <w:bottom w:w="0" w:type="dxa"/>
              <w:right w:w="100" w:type="dxa"/>
            </w:tcMar>
          </w:tcPr>
          <w:p w14:paraId="7B2A51AD" w14:textId="77777777" w:rsidR="003C11B1" w:rsidRDefault="00000000">
            <w:pPr>
              <w:spacing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Model Summary:</w:t>
            </w:r>
          </w:p>
          <w:p w14:paraId="218C5974" w14:textId="77777777" w:rsidR="003C11B1" w:rsidRDefault="00000000">
            <w:pPr>
              <w:spacing w:line="240" w:lineRule="auto"/>
              <w:rPr>
                <w:rFonts w:ascii="Times New Roman" w:eastAsia="Times New Roman" w:hAnsi="Times New Roman" w:cs="Times New Roman"/>
                <w:sz w:val="18"/>
                <w:szCs w:val="18"/>
              </w:rPr>
            </w:pPr>
            <w:r>
              <w:rPr>
                <w:rFonts w:ascii="Times New Roman" w:eastAsia="Times New Roman" w:hAnsi="Times New Roman" w:cs="Times New Roman"/>
                <w:i/>
                <w:iCs/>
                <w:sz w:val="18"/>
                <w:szCs w:val="18"/>
              </w:rPr>
              <w:t>R</w:t>
            </w:r>
            <w:r>
              <w:rPr>
                <w:rFonts w:ascii="Times New Roman" w:eastAsia="Times New Roman" w:hAnsi="Times New Roman" w:cs="Times New Roman"/>
                <w:i/>
                <w:iCs/>
                <w:sz w:val="18"/>
                <w:szCs w:val="18"/>
                <w:vertAlign w:val="superscript"/>
              </w:rPr>
              <w:t>2</w:t>
            </w:r>
            <w:r>
              <w:rPr>
                <w:rFonts w:ascii="Times New Roman" w:eastAsia="Times New Roman" w:hAnsi="Times New Roman" w:cs="Times New Roman"/>
                <w:i/>
                <w:iCs/>
                <w:sz w:val="18"/>
                <w:szCs w:val="18"/>
              </w:rPr>
              <w:t>=0.696; Adjusted R</w:t>
            </w:r>
            <w:r>
              <w:rPr>
                <w:rFonts w:ascii="Times New Roman" w:eastAsia="Times New Roman" w:hAnsi="Times New Roman" w:cs="Times New Roman"/>
                <w:i/>
                <w:iCs/>
                <w:sz w:val="18"/>
                <w:szCs w:val="18"/>
                <w:vertAlign w:val="superscript"/>
              </w:rPr>
              <w:t>2</w:t>
            </w:r>
            <w:r>
              <w:rPr>
                <w:rFonts w:ascii="Times New Roman" w:eastAsia="Times New Roman" w:hAnsi="Times New Roman" w:cs="Times New Roman"/>
                <w:i/>
                <w:iCs/>
                <w:sz w:val="18"/>
                <w:szCs w:val="18"/>
              </w:rPr>
              <w:t xml:space="preserve">=0.682 ; F-value=52.101; p-value &lt;0.001; Interpretation = </w:t>
            </w:r>
            <w:r>
              <w:rPr>
                <w:rFonts w:ascii="Times New Roman" w:eastAsia="Times New Roman" w:hAnsi="Times New Roman" w:cs="Times New Roman"/>
                <w:sz w:val="18"/>
                <w:szCs w:val="18"/>
              </w:rPr>
              <w:t>Significant</w:t>
            </w:r>
          </w:p>
        </w:tc>
      </w:tr>
    </w:tbl>
    <w:p w14:paraId="4A056AD3" w14:textId="77777777" w:rsidR="003C11B1" w:rsidRDefault="00000000">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results lend support to global frameworks for public financial management that highlight oversight mechanisms and governance foundations as key determinants of fiscal performance (PEFA, 2022). Strong control environments and effective monitoring are linked to better revenue management and financial accountability, which is in line with research conducted </w:t>
      </w:r>
      <w:r>
        <w:rPr>
          <w:rFonts w:ascii="Times New Roman" w:eastAsia="Times New Roman" w:hAnsi="Times New Roman" w:cs="Times New Roman"/>
          <w:sz w:val="24"/>
          <w:szCs w:val="24"/>
        </w:rPr>
        <w:lastRenderedPageBreak/>
        <w:t xml:space="preserve">in Tanzania and Uganda (Eton et al., 2022; </w:t>
      </w:r>
      <w:proofErr w:type="spellStart"/>
      <w:r>
        <w:rPr>
          <w:rFonts w:ascii="Times New Roman" w:eastAsia="Times New Roman" w:hAnsi="Times New Roman" w:cs="Times New Roman"/>
          <w:sz w:val="24"/>
          <w:szCs w:val="24"/>
        </w:rPr>
        <w:t>Hyera</w:t>
      </w:r>
      <w:proofErr w:type="spellEnd"/>
      <w:r>
        <w:rPr>
          <w:rFonts w:ascii="Times New Roman" w:eastAsia="Times New Roman" w:hAnsi="Times New Roman" w:cs="Times New Roman"/>
          <w:sz w:val="24"/>
          <w:szCs w:val="24"/>
        </w:rPr>
        <w:t xml:space="preserve"> et al., 2025). Thus, the findings offer empirical proof that improving local treasury performance in LGUs requires strong governance integrity and ongoing oversight mechanisms.</w:t>
      </w:r>
    </w:p>
    <w:p w14:paraId="4CE00E1F" w14:textId="77777777" w:rsidR="003C11B1" w:rsidRDefault="003C11B1">
      <w:pPr>
        <w:spacing w:line="240" w:lineRule="auto"/>
        <w:ind w:firstLine="720"/>
        <w:jc w:val="both"/>
        <w:rPr>
          <w:rFonts w:ascii="Times New Roman" w:eastAsia="Times New Roman" w:hAnsi="Times New Roman" w:cs="Times New Roman"/>
          <w:sz w:val="24"/>
          <w:szCs w:val="24"/>
        </w:rPr>
      </w:pPr>
    </w:p>
    <w:p w14:paraId="4A8AA390" w14:textId="77777777" w:rsidR="003C11B1" w:rsidRDefault="00000000">
      <w:pPr>
        <w:pStyle w:val="Heading3"/>
      </w:pPr>
      <w:bookmarkStart w:id="11" w:name="_pmknonmq8pzf" w:colFirst="0" w:colLast="0"/>
      <w:bookmarkEnd w:id="11"/>
      <w:r>
        <w:t>Moderating Effect of Ethical Climate on the Influence of Internal Control Effectiveness on Local Treasury Performance</w:t>
      </w:r>
    </w:p>
    <w:p w14:paraId="43B19F28" w14:textId="77777777" w:rsidR="003C11B1" w:rsidRDefault="003C11B1">
      <w:pPr>
        <w:spacing w:line="240" w:lineRule="auto"/>
        <w:jc w:val="both"/>
        <w:rPr>
          <w:rFonts w:ascii="Times New Roman" w:eastAsia="Times New Roman" w:hAnsi="Times New Roman" w:cs="Times New Roman"/>
          <w:b/>
          <w:bCs/>
          <w:sz w:val="24"/>
          <w:szCs w:val="24"/>
        </w:rPr>
      </w:pPr>
    </w:p>
    <w:p w14:paraId="1033A530" w14:textId="77777777" w:rsidR="003C11B1"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Table 8</w:t>
      </w:r>
    </w:p>
    <w:p w14:paraId="2854EC3E" w14:textId="77777777" w:rsidR="003C11B1" w:rsidRDefault="00000000">
      <w:pPr>
        <w:spacing w:line="240" w:lineRule="auto"/>
        <w:jc w:val="both"/>
        <w:rPr>
          <w:rFonts w:ascii="Times New Roman" w:eastAsia="Times New Roman" w:hAnsi="Times New Roman" w:cs="Times New Roman"/>
          <w:i/>
          <w:iCs/>
        </w:rPr>
      </w:pPr>
      <w:r>
        <w:rPr>
          <w:rFonts w:ascii="Times New Roman" w:eastAsia="Times New Roman" w:hAnsi="Times New Roman" w:cs="Times New Roman"/>
          <w:i/>
          <w:iCs/>
        </w:rPr>
        <w:t>Moderation Analysis of Ethical Climate in the Influence of Internal Control Effectiveness on Local Treasury Performance</w:t>
      </w:r>
    </w:p>
    <w:tbl>
      <w:tblPr>
        <w:tblStyle w:val="a6"/>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35"/>
        <w:gridCol w:w="825"/>
        <w:gridCol w:w="1140"/>
        <w:gridCol w:w="780"/>
        <w:gridCol w:w="975"/>
        <w:gridCol w:w="1140"/>
        <w:gridCol w:w="1815"/>
      </w:tblGrid>
      <w:tr w:rsidR="003C11B1" w14:paraId="70603C57" w14:textId="77777777">
        <w:trPr>
          <w:trHeight w:val="315"/>
        </w:trPr>
        <w:tc>
          <w:tcPr>
            <w:tcW w:w="2235" w:type="dxa"/>
            <w:tcBorders>
              <w:top w:val="single" w:sz="8" w:space="0" w:color="000000"/>
              <w:bottom w:val="single" w:sz="8" w:space="0" w:color="000000"/>
            </w:tcBorders>
            <w:tcMar>
              <w:top w:w="0" w:type="dxa"/>
              <w:bottom w:w="0" w:type="dxa"/>
            </w:tcMar>
            <w:vAlign w:val="center"/>
          </w:tcPr>
          <w:p w14:paraId="5CF7DD24" w14:textId="77777777" w:rsidR="003C11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Variables</w:t>
            </w:r>
          </w:p>
        </w:tc>
        <w:tc>
          <w:tcPr>
            <w:tcW w:w="825" w:type="dxa"/>
            <w:tcBorders>
              <w:top w:val="single" w:sz="8" w:space="0" w:color="000000"/>
              <w:bottom w:val="single" w:sz="8" w:space="0" w:color="000000"/>
            </w:tcBorders>
            <w:tcMar>
              <w:top w:w="0" w:type="dxa"/>
              <w:bottom w:w="0" w:type="dxa"/>
            </w:tcMar>
            <w:vAlign w:val="center"/>
          </w:tcPr>
          <w:p w14:paraId="2BEB8705" w14:textId="77777777" w:rsidR="003C11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B</w:t>
            </w:r>
          </w:p>
        </w:tc>
        <w:tc>
          <w:tcPr>
            <w:tcW w:w="1140" w:type="dxa"/>
            <w:tcBorders>
              <w:top w:val="single" w:sz="8" w:space="0" w:color="000000"/>
              <w:bottom w:val="single" w:sz="8" w:space="0" w:color="000000"/>
            </w:tcBorders>
            <w:tcMar>
              <w:top w:w="0" w:type="dxa"/>
              <w:bottom w:w="0" w:type="dxa"/>
            </w:tcMar>
            <w:vAlign w:val="center"/>
          </w:tcPr>
          <w:p w14:paraId="05A79599" w14:textId="77777777" w:rsidR="003C11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SE</w:t>
            </w:r>
          </w:p>
        </w:tc>
        <w:tc>
          <w:tcPr>
            <w:tcW w:w="780" w:type="dxa"/>
            <w:tcBorders>
              <w:top w:val="single" w:sz="8" w:space="0" w:color="000000"/>
              <w:bottom w:val="single" w:sz="8" w:space="0" w:color="000000"/>
            </w:tcBorders>
            <w:tcMar>
              <w:top w:w="0" w:type="dxa"/>
              <w:bottom w:w="0" w:type="dxa"/>
            </w:tcMar>
            <w:vAlign w:val="center"/>
          </w:tcPr>
          <w:p w14:paraId="0922CCB4" w14:textId="77777777" w:rsidR="003C11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z</w:t>
            </w:r>
          </w:p>
        </w:tc>
        <w:tc>
          <w:tcPr>
            <w:tcW w:w="975" w:type="dxa"/>
            <w:tcBorders>
              <w:top w:val="single" w:sz="8" w:space="0" w:color="000000"/>
              <w:bottom w:val="single" w:sz="8" w:space="0" w:color="000000"/>
            </w:tcBorders>
            <w:tcMar>
              <w:top w:w="0" w:type="dxa"/>
              <w:bottom w:w="0" w:type="dxa"/>
            </w:tcMar>
            <w:vAlign w:val="center"/>
          </w:tcPr>
          <w:p w14:paraId="1713B8C2" w14:textId="77777777" w:rsidR="003C11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p-value</w:t>
            </w:r>
          </w:p>
        </w:tc>
        <w:tc>
          <w:tcPr>
            <w:tcW w:w="1140" w:type="dxa"/>
            <w:tcBorders>
              <w:top w:val="single" w:sz="8" w:space="0" w:color="000000"/>
              <w:bottom w:val="single" w:sz="8" w:space="0" w:color="000000"/>
            </w:tcBorders>
            <w:tcMar>
              <w:top w:w="0" w:type="dxa"/>
              <w:bottom w:w="0" w:type="dxa"/>
            </w:tcMar>
            <w:vAlign w:val="center"/>
          </w:tcPr>
          <w:p w14:paraId="6AA3BA20" w14:textId="77777777" w:rsidR="003C11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Decision</w:t>
            </w:r>
          </w:p>
        </w:tc>
        <w:tc>
          <w:tcPr>
            <w:tcW w:w="1815" w:type="dxa"/>
            <w:tcBorders>
              <w:top w:val="single" w:sz="8" w:space="0" w:color="000000"/>
              <w:bottom w:val="single" w:sz="8" w:space="0" w:color="000000"/>
            </w:tcBorders>
            <w:tcMar>
              <w:top w:w="0" w:type="dxa"/>
              <w:bottom w:w="0" w:type="dxa"/>
            </w:tcMar>
            <w:vAlign w:val="center"/>
          </w:tcPr>
          <w:p w14:paraId="26283AB0" w14:textId="77777777" w:rsidR="003C11B1"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Interpretation</w:t>
            </w:r>
          </w:p>
        </w:tc>
      </w:tr>
      <w:tr w:rsidR="003C11B1" w14:paraId="30F86A3A" w14:textId="77777777">
        <w:trPr>
          <w:trHeight w:val="315"/>
        </w:trPr>
        <w:tc>
          <w:tcPr>
            <w:tcW w:w="2235" w:type="dxa"/>
            <w:tcBorders>
              <w:top w:val="single" w:sz="8" w:space="0" w:color="000000"/>
            </w:tcBorders>
            <w:tcMar>
              <w:top w:w="0" w:type="dxa"/>
              <w:bottom w:w="0" w:type="dxa"/>
            </w:tcMar>
            <w:vAlign w:val="center"/>
          </w:tcPr>
          <w:p w14:paraId="36F7BD9B" w14:textId="77777777" w:rsidR="003C11B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Constant</w:t>
            </w:r>
          </w:p>
        </w:tc>
        <w:tc>
          <w:tcPr>
            <w:tcW w:w="825" w:type="dxa"/>
            <w:tcBorders>
              <w:top w:val="single" w:sz="8" w:space="0" w:color="000000"/>
            </w:tcBorders>
            <w:tcMar>
              <w:top w:w="0" w:type="dxa"/>
              <w:bottom w:w="0" w:type="dxa"/>
            </w:tcMar>
            <w:vAlign w:val="center"/>
          </w:tcPr>
          <w:p w14:paraId="5931C1A4"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0.543</w:t>
            </w:r>
          </w:p>
        </w:tc>
        <w:tc>
          <w:tcPr>
            <w:tcW w:w="1140" w:type="dxa"/>
            <w:tcBorders>
              <w:top w:val="single" w:sz="8" w:space="0" w:color="000000"/>
            </w:tcBorders>
            <w:tcMar>
              <w:top w:w="0" w:type="dxa"/>
              <w:bottom w:w="0" w:type="dxa"/>
            </w:tcMar>
            <w:vAlign w:val="center"/>
          </w:tcPr>
          <w:p w14:paraId="64DEA4B7"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0.050</w:t>
            </w:r>
          </w:p>
        </w:tc>
        <w:tc>
          <w:tcPr>
            <w:tcW w:w="780" w:type="dxa"/>
            <w:tcBorders>
              <w:top w:val="single" w:sz="8" w:space="0" w:color="000000"/>
            </w:tcBorders>
            <w:tcMar>
              <w:top w:w="0" w:type="dxa"/>
              <w:bottom w:w="0" w:type="dxa"/>
            </w:tcMar>
            <w:vAlign w:val="center"/>
          </w:tcPr>
          <w:p w14:paraId="4C61EF26"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10.77</w:t>
            </w:r>
          </w:p>
        </w:tc>
        <w:tc>
          <w:tcPr>
            <w:tcW w:w="975" w:type="dxa"/>
            <w:tcBorders>
              <w:top w:val="single" w:sz="8" w:space="0" w:color="000000"/>
            </w:tcBorders>
            <w:tcMar>
              <w:top w:w="0" w:type="dxa"/>
              <w:bottom w:w="0" w:type="dxa"/>
            </w:tcMar>
            <w:vAlign w:val="center"/>
          </w:tcPr>
          <w:p w14:paraId="64206982"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&lt;0.001</w:t>
            </w:r>
          </w:p>
        </w:tc>
        <w:tc>
          <w:tcPr>
            <w:tcW w:w="1140" w:type="dxa"/>
            <w:tcBorders>
              <w:top w:val="single" w:sz="8" w:space="0" w:color="000000"/>
            </w:tcBorders>
            <w:tcMar>
              <w:top w:w="0" w:type="dxa"/>
              <w:bottom w:w="0" w:type="dxa"/>
            </w:tcMar>
            <w:vAlign w:val="center"/>
          </w:tcPr>
          <w:p w14:paraId="4A7C7EDC"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15" w:type="dxa"/>
            <w:tcBorders>
              <w:top w:val="single" w:sz="8" w:space="0" w:color="000000"/>
            </w:tcBorders>
            <w:tcMar>
              <w:top w:w="0" w:type="dxa"/>
              <w:bottom w:w="0" w:type="dxa"/>
            </w:tcMar>
            <w:vAlign w:val="center"/>
          </w:tcPr>
          <w:p w14:paraId="251BA793"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3C11B1" w14:paraId="7F7DBF33" w14:textId="77777777">
        <w:trPr>
          <w:trHeight w:val="315"/>
        </w:trPr>
        <w:tc>
          <w:tcPr>
            <w:tcW w:w="2235" w:type="dxa"/>
            <w:tcMar>
              <w:top w:w="0" w:type="dxa"/>
              <w:bottom w:w="0" w:type="dxa"/>
            </w:tcMar>
            <w:vAlign w:val="center"/>
          </w:tcPr>
          <w:p w14:paraId="450FF2E9" w14:textId="77777777" w:rsidR="003C11B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Internal Control Effectiveness (ICE)</w:t>
            </w:r>
          </w:p>
        </w:tc>
        <w:tc>
          <w:tcPr>
            <w:tcW w:w="825" w:type="dxa"/>
            <w:tcMar>
              <w:top w:w="0" w:type="dxa"/>
              <w:bottom w:w="0" w:type="dxa"/>
            </w:tcMar>
            <w:vAlign w:val="center"/>
          </w:tcPr>
          <w:p w14:paraId="0FE6A532"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0.543</w:t>
            </w:r>
          </w:p>
        </w:tc>
        <w:tc>
          <w:tcPr>
            <w:tcW w:w="1140" w:type="dxa"/>
            <w:tcMar>
              <w:top w:w="0" w:type="dxa"/>
              <w:bottom w:w="0" w:type="dxa"/>
            </w:tcMar>
            <w:vAlign w:val="center"/>
          </w:tcPr>
          <w:p w14:paraId="1E5C2CC2"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0.050</w:t>
            </w:r>
          </w:p>
        </w:tc>
        <w:tc>
          <w:tcPr>
            <w:tcW w:w="780" w:type="dxa"/>
            <w:tcMar>
              <w:top w:w="0" w:type="dxa"/>
              <w:bottom w:w="0" w:type="dxa"/>
            </w:tcMar>
            <w:vAlign w:val="center"/>
          </w:tcPr>
          <w:p w14:paraId="512DCDCA"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10.77</w:t>
            </w:r>
          </w:p>
        </w:tc>
        <w:tc>
          <w:tcPr>
            <w:tcW w:w="975" w:type="dxa"/>
            <w:tcMar>
              <w:top w:w="0" w:type="dxa"/>
              <w:bottom w:w="0" w:type="dxa"/>
            </w:tcMar>
            <w:vAlign w:val="center"/>
          </w:tcPr>
          <w:p w14:paraId="653CAAE1"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&lt;0.001</w:t>
            </w:r>
          </w:p>
        </w:tc>
        <w:tc>
          <w:tcPr>
            <w:tcW w:w="1140" w:type="dxa"/>
            <w:tcMar>
              <w:top w:w="0" w:type="dxa"/>
              <w:bottom w:w="0" w:type="dxa"/>
            </w:tcMar>
            <w:vAlign w:val="center"/>
          </w:tcPr>
          <w:p w14:paraId="6374542D"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15" w:type="dxa"/>
            <w:tcMar>
              <w:top w:w="0" w:type="dxa"/>
              <w:bottom w:w="0" w:type="dxa"/>
            </w:tcMar>
            <w:vAlign w:val="center"/>
          </w:tcPr>
          <w:p w14:paraId="00CE2568"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Significant</w:t>
            </w:r>
          </w:p>
        </w:tc>
      </w:tr>
      <w:tr w:rsidR="003C11B1" w14:paraId="1F324229" w14:textId="77777777">
        <w:trPr>
          <w:trHeight w:val="315"/>
        </w:trPr>
        <w:tc>
          <w:tcPr>
            <w:tcW w:w="2235" w:type="dxa"/>
            <w:tcMar>
              <w:top w:w="0" w:type="dxa"/>
              <w:bottom w:w="0" w:type="dxa"/>
            </w:tcMar>
            <w:vAlign w:val="center"/>
          </w:tcPr>
          <w:p w14:paraId="161CFF1E" w14:textId="77777777" w:rsidR="003C11B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Ethical Climate (EC)</w:t>
            </w:r>
          </w:p>
        </w:tc>
        <w:tc>
          <w:tcPr>
            <w:tcW w:w="825" w:type="dxa"/>
            <w:tcMar>
              <w:top w:w="0" w:type="dxa"/>
              <w:bottom w:w="0" w:type="dxa"/>
            </w:tcMar>
            <w:vAlign w:val="center"/>
          </w:tcPr>
          <w:p w14:paraId="7173DD04"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0.287</w:t>
            </w:r>
          </w:p>
        </w:tc>
        <w:tc>
          <w:tcPr>
            <w:tcW w:w="1140" w:type="dxa"/>
            <w:tcMar>
              <w:top w:w="0" w:type="dxa"/>
              <w:bottom w:w="0" w:type="dxa"/>
            </w:tcMar>
            <w:vAlign w:val="center"/>
          </w:tcPr>
          <w:p w14:paraId="04F2C85C"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0.049</w:t>
            </w:r>
          </w:p>
        </w:tc>
        <w:tc>
          <w:tcPr>
            <w:tcW w:w="780" w:type="dxa"/>
            <w:tcMar>
              <w:top w:w="0" w:type="dxa"/>
              <w:bottom w:w="0" w:type="dxa"/>
            </w:tcMar>
            <w:vAlign w:val="center"/>
          </w:tcPr>
          <w:p w14:paraId="70FD2618"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5.856</w:t>
            </w:r>
          </w:p>
        </w:tc>
        <w:tc>
          <w:tcPr>
            <w:tcW w:w="975" w:type="dxa"/>
            <w:tcMar>
              <w:top w:w="0" w:type="dxa"/>
              <w:bottom w:w="0" w:type="dxa"/>
            </w:tcMar>
            <w:vAlign w:val="center"/>
          </w:tcPr>
          <w:p w14:paraId="3AAB5B28"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&lt;0.001</w:t>
            </w:r>
          </w:p>
        </w:tc>
        <w:tc>
          <w:tcPr>
            <w:tcW w:w="1140" w:type="dxa"/>
            <w:tcMar>
              <w:top w:w="0" w:type="dxa"/>
              <w:bottom w:w="0" w:type="dxa"/>
            </w:tcMar>
            <w:vAlign w:val="center"/>
          </w:tcPr>
          <w:p w14:paraId="5AD4F1DC"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15" w:type="dxa"/>
            <w:tcMar>
              <w:top w:w="0" w:type="dxa"/>
              <w:bottom w:w="0" w:type="dxa"/>
            </w:tcMar>
            <w:vAlign w:val="center"/>
          </w:tcPr>
          <w:p w14:paraId="364F6714"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Significant</w:t>
            </w:r>
          </w:p>
        </w:tc>
      </w:tr>
      <w:tr w:rsidR="003C11B1" w14:paraId="6F14EA9B" w14:textId="77777777">
        <w:trPr>
          <w:trHeight w:val="315"/>
        </w:trPr>
        <w:tc>
          <w:tcPr>
            <w:tcW w:w="2235" w:type="dxa"/>
            <w:tcMar>
              <w:top w:w="0" w:type="dxa"/>
              <w:bottom w:w="0" w:type="dxa"/>
            </w:tcMar>
            <w:vAlign w:val="center"/>
          </w:tcPr>
          <w:p w14:paraId="6620D4D7" w14:textId="77777777" w:rsidR="003C11B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ICE x EC</w:t>
            </w:r>
          </w:p>
        </w:tc>
        <w:tc>
          <w:tcPr>
            <w:tcW w:w="825" w:type="dxa"/>
            <w:tcMar>
              <w:top w:w="0" w:type="dxa"/>
              <w:bottom w:w="0" w:type="dxa"/>
            </w:tcMar>
            <w:vAlign w:val="center"/>
          </w:tcPr>
          <w:p w14:paraId="149233EB"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0.041</w:t>
            </w:r>
          </w:p>
        </w:tc>
        <w:tc>
          <w:tcPr>
            <w:tcW w:w="1140" w:type="dxa"/>
            <w:tcMar>
              <w:top w:w="0" w:type="dxa"/>
              <w:bottom w:w="0" w:type="dxa"/>
            </w:tcMar>
            <w:vAlign w:val="center"/>
          </w:tcPr>
          <w:p w14:paraId="47DE82DB"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0.107</w:t>
            </w:r>
          </w:p>
        </w:tc>
        <w:tc>
          <w:tcPr>
            <w:tcW w:w="780" w:type="dxa"/>
            <w:tcMar>
              <w:top w:w="0" w:type="dxa"/>
              <w:bottom w:w="0" w:type="dxa"/>
            </w:tcMar>
            <w:vAlign w:val="center"/>
          </w:tcPr>
          <w:p w14:paraId="3E4EE626"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0.382</w:t>
            </w:r>
          </w:p>
        </w:tc>
        <w:tc>
          <w:tcPr>
            <w:tcW w:w="975" w:type="dxa"/>
            <w:tcMar>
              <w:top w:w="0" w:type="dxa"/>
              <w:bottom w:w="0" w:type="dxa"/>
            </w:tcMar>
            <w:vAlign w:val="center"/>
          </w:tcPr>
          <w:p w14:paraId="73E00A6E" w14:textId="77777777" w:rsidR="003C11B1" w:rsidRDefault="00000000">
            <w:pPr>
              <w:spacing w:line="240" w:lineRule="auto"/>
              <w:jc w:val="center"/>
              <w:rPr>
                <w:rFonts w:ascii="Times New Roman" w:eastAsia="Times New Roman" w:hAnsi="Times New Roman" w:cs="Times New Roman"/>
                <w:highlight w:val="yellow"/>
              </w:rPr>
            </w:pPr>
            <w:r w:rsidRPr="004F0A22">
              <w:rPr>
                <w:rFonts w:ascii="Times New Roman" w:eastAsia="Times New Roman" w:hAnsi="Times New Roman" w:cs="Times New Roman"/>
              </w:rPr>
              <w:t>0.702</w:t>
            </w:r>
          </w:p>
        </w:tc>
        <w:tc>
          <w:tcPr>
            <w:tcW w:w="1140" w:type="dxa"/>
            <w:tcMar>
              <w:top w:w="0" w:type="dxa"/>
              <w:bottom w:w="0" w:type="dxa"/>
            </w:tcMar>
            <w:vAlign w:val="center"/>
          </w:tcPr>
          <w:p w14:paraId="74FD1ADD"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815" w:type="dxa"/>
            <w:tcMar>
              <w:top w:w="0" w:type="dxa"/>
              <w:bottom w:w="0" w:type="dxa"/>
            </w:tcMar>
            <w:vAlign w:val="center"/>
          </w:tcPr>
          <w:p w14:paraId="2CFC88B2"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Not significant</w:t>
            </w:r>
          </w:p>
        </w:tc>
      </w:tr>
      <w:tr w:rsidR="003C11B1" w14:paraId="00956E61" w14:textId="77777777">
        <w:trPr>
          <w:trHeight w:val="560"/>
        </w:trPr>
        <w:tc>
          <w:tcPr>
            <w:tcW w:w="2235" w:type="dxa"/>
            <w:tcBorders>
              <w:bottom w:val="single" w:sz="8" w:space="0" w:color="000000"/>
            </w:tcBorders>
            <w:tcMar>
              <w:top w:w="0" w:type="dxa"/>
              <w:bottom w:w="0" w:type="dxa"/>
            </w:tcMar>
            <w:vAlign w:val="center"/>
          </w:tcPr>
          <w:p w14:paraId="10792343" w14:textId="77777777" w:rsidR="003C11B1"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Interaction Effect</w:t>
            </w:r>
          </w:p>
        </w:tc>
        <w:tc>
          <w:tcPr>
            <w:tcW w:w="825" w:type="dxa"/>
            <w:tcBorders>
              <w:bottom w:val="single" w:sz="8" w:space="0" w:color="000000"/>
            </w:tcBorders>
            <w:tcMar>
              <w:top w:w="0" w:type="dxa"/>
              <w:bottom w:w="0" w:type="dxa"/>
            </w:tcMar>
            <w:vAlign w:val="center"/>
          </w:tcPr>
          <w:p w14:paraId="124A8AFF"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140" w:type="dxa"/>
            <w:tcBorders>
              <w:bottom w:val="single" w:sz="8" w:space="0" w:color="000000"/>
            </w:tcBorders>
            <w:tcMar>
              <w:top w:w="0" w:type="dxa"/>
              <w:bottom w:w="0" w:type="dxa"/>
            </w:tcMar>
            <w:vAlign w:val="center"/>
          </w:tcPr>
          <w:p w14:paraId="50C32151"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780" w:type="dxa"/>
            <w:tcBorders>
              <w:bottom w:val="single" w:sz="8" w:space="0" w:color="000000"/>
            </w:tcBorders>
            <w:tcMar>
              <w:top w:w="0" w:type="dxa"/>
              <w:bottom w:w="0" w:type="dxa"/>
            </w:tcMar>
            <w:vAlign w:val="center"/>
          </w:tcPr>
          <w:p w14:paraId="68E2019B"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975" w:type="dxa"/>
            <w:tcBorders>
              <w:bottom w:val="single" w:sz="8" w:space="0" w:color="000000"/>
            </w:tcBorders>
            <w:tcMar>
              <w:top w:w="0" w:type="dxa"/>
              <w:bottom w:w="0" w:type="dxa"/>
            </w:tcMar>
            <w:vAlign w:val="center"/>
          </w:tcPr>
          <w:p w14:paraId="416487B4"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&gt;0.05</w:t>
            </w:r>
          </w:p>
        </w:tc>
        <w:tc>
          <w:tcPr>
            <w:tcW w:w="1140" w:type="dxa"/>
            <w:tcBorders>
              <w:bottom w:val="single" w:sz="8" w:space="0" w:color="000000"/>
            </w:tcBorders>
            <w:tcMar>
              <w:top w:w="0" w:type="dxa"/>
              <w:bottom w:w="0" w:type="dxa"/>
            </w:tcMar>
            <w:vAlign w:val="center"/>
          </w:tcPr>
          <w:p w14:paraId="48B6C98D" w14:textId="77777777" w:rsidR="003C11B1" w:rsidRDefault="00000000">
            <w:pPr>
              <w:spacing w:line="240" w:lineRule="auto"/>
              <w:jc w:val="center"/>
              <w:rPr>
                <w:rFonts w:ascii="Times New Roman" w:eastAsia="Times New Roman" w:hAnsi="Times New Roman" w:cs="Times New Roman"/>
                <w:vertAlign w:val="subscript"/>
              </w:rPr>
            </w:pPr>
            <w:r>
              <w:rPr>
                <w:rFonts w:ascii="Times New Roman" w:eastAsia="Times New Roman" w:hAnsi="Times New Roman" w:cs="Times New Roman"/>
              </w:rPr>
              <w:t>Do not reject H</w:t>
            </w:r>
            <w:r>
              <w:rPr>
                <w:rFonts w:ascii="Times New Roman" w:eastAsia="Times New Roman" w:hAnsi="Times New Roman" w:cs="Times New Roman"/>
                <w:vertAlign w:val="subscript"/>
              </w:rPr>
              <w:t>04</w:t>
            </w:r>
          </w:p>
        </w:tc>
        <w:tc>
          <w:tcPr>
            <w:tcW w:w="1815" w:type="dxa"/>
            <w:tcBorders>
              <w:bottom w:val="single" w:sz="8" w:space="0" w:color="000000"/>
            </w:tcBorders>
            <w:tcMar>
              <w:top w:w="0" w:type="dxa"/>
              <w:bottom w:w="0" w:type="dxa"/>
            </w:tcMar>
            <w:vAlign w:val="center"/>
          </w:tcPr>
          <w:p w14:paraId="275EF2CD" w14:textId="77777777" w:rsidR="003C11B1"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rPr>
              <w:t>Not Significant</w:t>
            </w:r>
          </w:p>
        </w:tc>
      </w:tr>
    </w:tbl>
    <w:p w14:paraId="7FB832C9" w14:textId="77777777" w:rsidR="003C11B1" w:rsidRDefault="00000000">
      <w:pPr>
        <w:spacing w:line="240" w:lineRule="auto"/>
        <w:jc w:val="both"/>
        <w:rPr>
          <w:rFonts w:ascii="Times New Roman" w:eastAsia="Times New Roman" w:hAnsi="Times New Roman" w:cs="Times New Roman"/>
          <w:b/>
          <w:bCs/>
        </w:rPr>
      </w:pPr>
      <w:r>
        <w:rPr>
          <w:rFonts w:ascii="Times New Roman" w:eastAsia="Times New Roman" w:hAnsi="Times New Roman" w:cs="Times New Roman"/>
          <w:i/>
          <w:iCs/>
        </w:rPr>
        <w:t>Note: Ethical climate is treated as a single composite moderating variable since it is not categorical.</w:t>
      </w:r>
    </w:p>
    <w:p w14:paraId="58814806" w14:textId="77777777" w:rsidR="003C11B1" w:rsidRDefault="003C11B1">
      <w:pPr>
        <w:spacing w:line="240" w:lineRule="auto"/>
        <w:jc w:val="both"/>
        <w:rPr>
          <w:rFonts w:ascii="Times New Roman" w:eastAsia="Times New Roman" w:hAnsi="Times New Roman" w:cs="Times New Roman"/>
          <w:b/>
          <w:bCs/>
          <w:sz w:val="24"/>
          <w:szCs w:val="24"/>
        </w:rPr>
      </w:pPr>
    </w:p>
    <w:p w14:paraId="72B4EF0F"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Table 8, the moderation analysis demonstrates that both internal control effectiveness (ICE) and ethical climate (EC) are significant independent predictors of local treasury performance (p &lt; 0.001); however, their interaction is not significant (p = 0.702), suggesting that ethical climate does not moderate the relationship. This means that internal control systems consistently improve local treasury performance regardless of variations in the ethical climate. This indicates that internal controls in LGUs independently function as highly institutionalized and standardized mechanisms, contrary to previous studies (Abdou et al., 2024; </w:t>
      </w:r>
      <w:proofErr w:type="spellStart"/>
      <w:r>
        <w:rPr>
          <w:rFonts w:ascii="Times New Roman" w:eastAsia="Times New Roman" w:hAnsi="Times New Roman" w:cs="Times New Roman"/>
          <w:sz w:val="24"/>
          <w:szCs w:val="24"/>
        </w:rPr>
        <w:t>Janwarin</w:t>
      </w:r>
      <w:proofErr w:type="spellEnd"/>
      <w:r>
        <w:rPr>
          <w:rFonts w:ascii="Times New Roman" w:eastAsia="Times New Roman" w:hAnsi="Times New Roman" w:cs="Times New Roman"/>
          <w:sz w:val="24"/>
          <w:szCs w:val="24"/>
        </w:rPr>
        <w:t xml:space="preserve"> &amp; Narsa, 2022). The results are consistent with Agency Theory, which underscores the importance of structured controls in promoting accountability (Jensen &amp; Meckling, 1976, as cited in Ceschi et al., 2017), and Stewardship Theory, which posits that ethical values independently improve performance (Davis et al., 1997, as cited in </w:t>
      </w:r>
      <w:proofErr w:type="spellStart"/>
      <w:r>
        <w:rPr>
          <w:rFonts w:ascii="Times New Roman" w:eastAsia="Times New Roman" w:hAnsi="Times New Roman" w:cs="Times New Roman"/>
          <w:sz w:val="24"/>
          <w:szCs w:val="24"/>
        </w:rPr>
        <w:t>Schillemans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Bjurstrøm</w:t>
      </w:r>
      <w:proofErr w:type="spellEnd"/>
      <w:r>
        <w:rPr>
          <w:rFonts w:ascii="Times New Roman" w:eastAsia="Times New Roman" w:hAnsi="Times New Roman" w:cs="Times New Roman"/>
          <w:sz w:val="24"/>
          <w:szCs w:val="24"/>
        </w:rPr>
        <w:t>, 2019). Conversely, they contest Contingency Theory by demonstrating that internal controls are effective even in the absence of contextual moderation. In general, the effectiveness of internal controls is a stable structural driver, while the ethical climate supports performance in a parallel, non-interactive role.</w:t>
      </w:r>
    </w:p>
    <w:p w14:paraId="22440D55" w14:textId="77777777" w:rsidR="003C11B1" w:rsidRDefault="003C11B1">
      <w:pPr>
        <w:spacing w:line="240" w:lineRule="auto"/>
        <w:jc w:val="both"/>
        <w:rPr>
          <w:rFonts w:ascii="Times New Roman" w:eastAsia="Times New Roman" w:hAnsi="Times New Roman" w:cs="Times New Roman"/>
          <w:b/>
          <w:bCs/>
          <w:sz w:val="24"/>
          <w:szCs w:val="24"/>
        </w:rPr>
      </w:pPr>
    </w:p>
    <w:p w14:paraId="27C04B86" w14:textId="77777777" w:rsidR="003C11B1" w:rsidRDefault="00000000">
      <w:pPr>
        <w:pStyle w:val="Heading3"/>
      </w:pPr>
      <w:bookmarkStart w:id="12" w:name="_q5ya5wrqvlu5" w:colFirst="0" w:colLast="0"/>
      <w:bookmarkEnd w:id="12"/>
      <w:r>
        <w:t>Implementation Challenges of Internal Controls and Ethical Climate</w:t>
      </w:r>
    </w:p>
    <w:p w14:paraId="171E1EC3" w14:textId="77777777" w:rsidR="003C11B1" w:rsidRDefault="003C11B1">
      <w:pPr>
        <w:spacing w:line="240" w:lineRule="auto"/>
        <w:jc w:val="both"/>
        <w:rPr>
          <w:rFonts w:ascii="Times New Roman" w:eastAsia="Times New Roman" w:hAnsi="Times New Roman" w:cs="Times New Roman"/>
          <w:b/>
          <w:bCs/>
          <w:sz w:val="24"/>
          <w:szCs w:val="24"/>
        </w:rPr>
      </w:pPr>
    </w:p>
    <w:p w14:paraId="798ED276" w14:textId="77777777" w:rsidR="003C11B1"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shown in Table 9, following Virginia Braun and Victoria Clarke (2006, 2024), a thematic analysis of ten key informant responses identified five major challenges: resource constraints, weak ethical leadership and political interference, weak segregation of duties &amp; structural deficiencies, insufficient training &amp; capacity development, and resistance to change. These themes, distinct from the preceding variable dimensions, were obtained from key informant interviews and reveal operational and contextual challenges not reflected in the survey’s high ratings of internal control effectiveness and ethical climate. Earlier research shows that lacking sufficient resources hinders control implementation (Talla et al., 2025), and unclear segregation of duties increases risk-taking (DBM, 2023). Furthermore, weak leadership and political interference </w:t>
      </w:r>
      <w:r>
        <w:rPr>
          <w:rFonts w:ascii="Times New Roman" w:eastAsia="Times New Roman" w:hAnsi="Times New Roman" w:cs="Times New Roman"/>
          <w:sz w:val="24"/>
          <w:szCs w:val="24"/>
        </w:rPr>
        <w:lastRenderedPageBreak/>
        <w:t xml:space="preserve">undermine the "tone at the top" highlighted by COSO (2013, as cited in </w:t>
      </w:r>
      <w:proofErr w:type="spellStart"/>
      <w:r>
        <w:rPr>
          <w:rFonts w:ascii="Times New Roman" w:eastAsia="Times New Roman" w:hAnsi="Times New Roman" w:cs="Times New Roman"/>
          <w:sz w:val="24"/>
          <w:szCs w:val="24"/>
        </w:rPr>
        <w:t>Pkatey</w:t>
      </w:r>
      <w:proofErr w:type="spellEnd"/>
      <w:r>
        <w:rPr>
          <w:rFonts w:ascii="Times New Roman" w:eastAsia="Times New Roman" w:hAnsi="Times New Roman" w:cs="Times New Roman"/>
          <w:sz w:val="24"/>
          <w:szCs w:val="24"/>
        </w:rPr>
        <w:t>, 2024) and ethical leadership (Brown &amp; Treviño, 2006, as cited in Bedi et al., 2024). These findings show that practical and behavioral constraints still affect implementation, even though there are strong formal systems in place. This shows that LGUs need stronger leadership commitment, institutional support, and continuous capacity-building to keep up good internal control and ethical governance.</w:t>
      </w:r>
    </w:p>
    <w:p w14:paraId="772CFED6" w14:textId="77777777" w:rsidR="003C11B1" w:rsidRDefault="003C11B1">
      <w:pPr>
        <w:spacing w:line="240" w:lineRule="auto"/>
        <w:jc w:val="both"/>
        <w:rPr>
          <w:rFonts w:ascii="Times New Roman" w:eastAsia="Times New Roman" w:hAnsi="Times New Roman" w:cs="Times New Roman"/>
          <w:b/>
          <w:bCs/>
          <w:sz w:val="24"/>
          <w:szCs w:val="24"/>
        </w:rPr>
      </w:pPr>
    </w:p>
    <w:p w14:paraId="14394F41" w14:textId="77777777" w:rsidR="003C11B1"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w:t>
      </w:r>
      <w:r>
        <w:rPr>
          <w:rFonts w:ascii="Times New Roman" w:eastAsia="Times New Roman" w:hAnsi="Times New Roman" w:cs="Times New Roman"/>
          <w:b/>
          <w:bCs/>
          <w:sz w:val="24"/>
          <w:szCs w:val="24"/>
          <w:highlight w:val="white"/>
        </w:rPr>
        <w:t xml:space="preserve"> 9</w:t>
      </w:r>
    </w:p>
    <w:p w14:paraId="75A23FA9" w14:textId="77777777" w:rsidR="003C11B1"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Implementation Challenges of Effective Internal Controls &amp; Ethical Climate</w:t>
      </w:r>
    </w:p>
    <w:p w14:paraId="6C71286F" w14:textId="77777777" w:rsidR="003C11B1" w:rsidRDefault="003C11B1">
      <w:pPr>
        <w:spacing w:line="240" w:lineRule="auto"/>
        <w:jc w:val="both"/>
        <w:rPr>
          <w:rFonts w:ascii="Times New Roman" w:eastAsia="Times New Roman" w:hAnsi="Times New Roman" w:cs="Times New Roman"/>
          <w:sz w:val="6"/>
          <w:szCs w:val="6"/>
        </w:rPr>
      </w:pPr>
    </w:p>
    <w:p w14:paraId="4C2915D9" w14:textId="77777777" w:rsidR="003C11B1" w:rsidRDefault="003C11B1">
      <w:pPr>
        <w:spacing w:line="240" w:lineRule="auto"/>
        <w:jc w:val="both"/>
        <w:rPr>
          <w:rFonts w:ascii="Times New Roman" w:eastAsia="Times New Roman" w:hAnsi="Times New Roman" w:cs="Times New Roman"/>
          <w:sz w:val="6"/>
          <w:szCs w:val="6"/>
        </w:rPr>
      </w:pPr>
    </w:p>
    <w:tbl>
      <w:tblPr>
        <w:tblStyle w:val="a7"/>
        <w:tblW w:w="88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4665"/>
        <w:gridCol w:w="1350"/>
      </w:tblGrid>
      <w:tr w:rsidR="003C11B1" w14:paraId="78507645" w14:textId="77777777">
        <w:trPr>
          <w:jc w:val="center"/>
        </w:trPr>
        <w:tc>
          <w:tcPr>
            <w:tcW w:w="2865" w:type="dxa"/>
            <w:tcBorders>
              <w:left w:val="single" w:sz="4" w:space="0" w:color="FFFFFF"/>
              <w:right w:val="single" w:sz="4" w:space="0" w:color="FFFFFF"/>
            </w:tcBorders>
            <w:shd w:val="clear" w:color="auto" w:fill="FFFFFF"/>
            <w:vAlign w:val="center"/>
          </w:tcPr>
          <w:p w14:paraId="5F37F27B"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Theme</w:t>
            </w:r>
          </w:p>
        </w:tc>
        <w:tc>
          <w:tcPr>
            <w:tcW w:w="4665" w:type="dxa"/>
            <w:tcBorders>
              <w:left w:val="single" w:sz="4" w:space="0" w:color="FFFFFF"/>
              <w:right w:val="single" w:sz="4" w:space="0" w:color="FFFFFF"/>
            </w:tcBorders>
            <w:shd w:val="clear" w:color="auto" w:fill="FFFFFF"/>
            <w:vAlign w:val="center"/>
          </w:tcPr>
          <w:p w14:paraId="005E51EC"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Description</w:t>
            </w:r>
          </w:p>
        </w:tc>
        <w:tc>
          <w:tcPr>
            <w:tcW w:w="1350" w:type="dxa"/>
            <w:tcBorders>
              <w:left w:val="single" w:sz="4" w:space="0" w:color="FFFFFF"/>
              <w:right w:val="single" w:sz="4" w:space="0" w:color="FFFFFF"/>
            </w:tcBorders>
            <w:shd w:val="clear" w:color="auto" w:fill="FFFFFF"/>
            <w:vAlign w:val="center"/>
          </w:tcPr>
          <w:p w14:paraId="3D797A2A"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Responses</w:t>
            </w:r>
          </w:p>
        </w:tc>
      </w:tr>
      <w:tr w:rsidR="003C11B1" w14:paraId="2029E8E0" w14:textId="77777777">
        <w:trPr>
          <w:trHeight w:val="311"/>
          <w:jc w:val="center"/>
        </w:trPr>
        <w:tc>
          <w:tcPr>
            <w:tcW w:w="2865"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41D63B90" w14:textId="77777777" w:rsidR="003C11B1" w:rsidRDefault="00000000">
            <w:pPr>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1. Resource Constraints</w:t>
            </w:r>
          </w:p>
        </w:tc>
        <w:tc>
          <w:tcPr>
            <w:tcW w:w="4665"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52B7DEF3"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Lack of manpower, limited budget, and outdated systems</w:t>
            </w:r>
          </w:p>
        </w:tc>
        <w:tc>
          <w:tcPr>
            <w:tcW w:w="1350"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72F0EFBC"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3C11B1" w14:paraId="29F8BBF8" w14:textId="77777777">
        <w:trPr>
          <w:trHeight w:val="311"/>
          <w:jc w:val="center"/>
        </w:trPr>
        <w:tc>
          <w:tcPr>
            <w:tcW w:w="2865" w:type="dxa"/>
            <w:tcBorders>
              <w:top w:val="single" w:sz="4" w:space="0" w:color="FFFFFF"/>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02D78A4F" w14:textId="77777777" w:rsidR="003C11B1" w:rsidRDefault="00000000">
            <w:pPr>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2. Weak Ethical Leadership &amp; Political Interference</w:t>
            </w:r>
          </w:p>
        </w:tc>
        <w:tc>
          <w:tcPr>
            <w:tcW w:w="4665"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21E19D44"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Tolerance of wrongdoing and political influence</w:t>
            </w:r>
          </w:p>
        </w:tc>
        <w:tc>
          <w:tcPr>
            <w:tcW w:w="1350"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675B05C1"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3C11B1" w14:paraId="6BE3502F" w14:textId="77777777">
        <w:trPr>
          <w:trHeight w:val="290"/>
          <w:jc w:val="center"/>
        </w:trPr>
        <w:tc>
          <w:tcPr>
            <w:tcW w:w="2865" w:type="dxa"/>
            <w:tcBorders>
              <w:top w:val="single" w:sz="4" w:space="0" w:color="FFFFFF"/>
              <w:left w:val="single" w:sz="4" w:space="0" w:color="FFFFFF"/>
              <w:right w:val="single" w:sz="4" w:space="0" w:color="FFFFFF"/>
            </w:tcBorders>
            <w:shd w:val="clear" w:color="auto" w:fill="FFFFFF"/>
            <w:tcMar>
              <w:top w:w="11" w:type="dxa"/>
              <w:left w:w="11" w:type="dxa"/>
              <w:bottom w:w="11" w:type="dxa"/>
              <w:right w:w="11" w:type="dxa"/>
            </w:tcMar>
          </w:tcPr>
          <w:p w14:paraId="464FE06D" w14:textId="77777777" w:rsidR="003C11B1" w:rsidRDefault="00000000">
            <w:pPr>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3. Weak Segregation of Duties and Structural Deficiencies</w:t>
            </w:r>
          </w:p>
        </w:tc>
        <w:tc>
          <w:tcPr>
            <w:tcW w:w="4665"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01618C72"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Structural deficiencies and lack of Internal Audit Services (IAS)</w:t>
            </w:r>
          </w:p>
        </w:tc>
        <w:tc>
          <w:tcPr>
            <w:tcW w:w="1350"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16559289"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3C11B1" w14:paraId="0E3C5014" w14:textId="77777777">
        <w:trPr>
          <w:trHeight w:val="311"/>
          <w:jc w:val="center"/>
        </w:trPr>
        <w:tc>
          <w:tcPr>
            <w:tcW w:w="2865" w:type="dxa"/>
            <w:tcBorders>
              <w:top w:val="single" w:sz="4" w:space="0" w:color="FFFFFF"/>
              <w:left w:val="single" w:sz="4" w:space="0" w:color="FFFFFF"/>
              <w:right w:val="single" w:sz="4" w:space="0" w:color="FFFFFF"/>
            </w:tcBorders>
            <w:shd w:val="clear" w:color="auto" w:fill="FFFFFF"/>
            <w:tcMar>
              <w:top w:w="11" w:type="dxa"/>
              <w:left w:w="11" w:type="dxa"/>
              <w:bottom w:w="11" w:type="dxa"/>
              <w:right w:w="11" w:type="dxa"/>
            </w:tcMar>
          </w:tcPr>
          <w:p w14:paraId="0A880C2F" w14:textId="77777777" w:rsidR="003C11B1" w:rsidRDefault="00000000">
            <w:pPr>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4. Insufficient Training and Capacity Development</w:t>
            </w:r>
          </w:p>
        </w:tc>
        <w:tc>
          <w:tcPr>
            <w:tcW w:w="4665"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20480E90"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Lack of ethics training and professional development</w:t>
            </w:r>
          </w:p>
        </w:tc>
        <w:tc>
          <w:tcPr>
            <w:tcW w:w="1350" w:type="dxa"/>
            <w:tcBorders>
              <w:left w:val="single" w:sz="4" w:space="0" w:color="FFFFFF"/>
              <w:bottom w:val="single" w:sz="4" w:space="0" w:color="FFFFFF"/>
              <w:right w:val="single" w:sz="4" w:space="0" w:color="FFFFFF"/>
            </w:tcBorders>
            <w:shd w:val="clear" w:color="auto" w:fill="FFFFFF"/>
            <w:tcMar>
              <w:top w:w="11" w:type="dxa"/>
              <w:left w:w="11" w:type="dxa"/>
              <w:bottom w:w="11" w:type="dxa"/>
              <w:right w:w="11" w:type="dxa"/>
            </w:tcMar>
          </w:tcPr>
          <w:p w14:paraId="07637997"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3C11B1" w14:paraId="22B9174E" w14:textId="77777777">
        <w:trPr>
          <w:trHeight w:val="240"/>
          <w:jc w:val="center"/>
        </w:trPr>
        <w:tc>
          <w:tcPr>
            <w:tcW w:w="2865" w:type="dxa"/>
            <w:tcBorders>
              <w:top w:val="single" w:sz="4" w:space="0" w:color="FFFFFF"/>
              <w:left w:val="single" w:sz="4" w:space="0" w:color="FFFFFF"/>
              <w:right w:val="single" w:sz="4" w:space="0" w:color="FFFFFF"/>
            </w:tcBorders>
            <w:shd w:val="clear" w:color="auto" w:fill="FFFFFF"/>
            <w:tcMar>
              <w:top w:w="11" w:type="dxa"/>
              <w:left w:w="11" w:type="dxa"/>
              <w:bottom w:w="11" w:type="dxa"/>
              <w:right w:w="11" w:type="dxa"/>
            </w:tcMar>
          </w:tcPr>
          <w:p w14:paraId="3AD8C7E9" w14:textId="77777777" w:rsidR="003C11B1" w:rsidRDefault="00000000">
            <w:pPr>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5. Resistance to Change</w:t>
            </w:r>
          </w:p>
        </w:tc>
        <w:tc>
          <w:tcPr>
            <w:tcW w:w="4665" w:type="dxa"/>
            <w:tcBorders>
              <w:top w:val="single" w:sz="4" w:space="0" w:color="FFFFFF"/>
              <w:left w:val="single" w:sz="4" w:space="0" w:color="FFFFFF"/>
              <w:right w:val="single" w:sz="4" w:space="0" w:color="FFFFFF"/>
            </w:tcBorders>
            <w:shd w:val="clear" w:color="auto" w:fill="FFFFFF"/>
            <w:tcMar>
              <w:top w:w="11" w:type="dxa"/>
              <w:left w:w="11" w:type="dxa"/>
              <w:bottom w:w="11" w:type="dxa"/>
              <w:right w:w="11" w:type="dxa"/>
            </w:tcMar>
          </w:tcPr>
          <w:p w14:paraId="297A1BC6" w14:textId="77777777" w:rsidR="003C11B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Bureaucracy, innovation resistance</w:t>
            </w:r>
          </w:p>
        </w:tc>
        <w:tc>
          <w:tcPr>
            <w:tcW w:w="1350" w:type="dxa"/>
            <w:tcBorders>
              <w:top w:val="single" w:sz="4" w:space="0" w:color="FFFFFF"/>
              <w:left w:val="single" w:sz="4" w:space="0" w:color="FFFFFF"/>
              <w:right w:val="single" w:sz="4" w:space="0" w:color="FFFFFF"/>
            </w:tcBorders>
            <w:shd w:val="clear" w:color="auto" w:fill="FFFFFF"/>
            <w:tcMar>
              <w:top w:w="11" w:type="dxa"/>
              <w:left w:w="11" w:type="dxa"/>
              <w:bottom w:w="11" w:type="dxa"/>
              <w:right w:w="11" w:type="dxa"/>
            </w:tcMar>
          </w:tcPr>
          <w:p w14:paraId="4C884482" w14:textId="77777777" w:rsidR="003C11B1"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bl>
    <w:p w14:paraId="31BFCA47" w14:textId="77777777" w:rsidR="003C11B1" w:rsidRDefault="003C11B1">
      <w:pPr>
        <w:spacing w:line="240" w:lineRule="auto"/>
        <w:ind w:firstLine="720"/>
        <w:jc w:val="both"/>
        <w:rPr>
          <w:rFonts w:ascii="Times New Roman" w:eastAsia="Times New Roman" w:hAnsi="Times New Roman" w:cs="Times New Roman"/>
          <w:sz w:val="24"/>
          <w:szCs w:val="24"/>
        </w:rPr>
      </w:pPr>
    </w:p>
    <w:p w14:paraId="25BFCF73" w14:textId="77777777" w:rsidR="003C11B1" w:rsidRDefault="003C11B1">
      <w:pPr>
        <w:spacing w:line="240" w:lineRule="auto"/>
        <w:jc w:val="both"/>
        <w:rPr>
          <w:rFonts w:ascii="Times New Roman" w:eastAsia="Times New Roman" w:hAnsi="Times New Roman" w:cs="Times New Roman"/>
          <w:sz w:val="24"/>
          <w:szCs w:val="24"/>
        </w:rPr>
      </w:pPr>
    </w:p>
    <w:p w14:paraId="4A863775" w14:textId="77777777" w:rsidR="003C11B1" w:rsidRDefault="00000000">
      <w:pPr>
        <w:pStyle w:val="Heading2"/>
      </w:pPr>
      <w:bookmarkStart w:id="13" w:name="_a7eexnq73aky" w:colFirst="0" w:colLast="0"/>
      <w:bookmarkEnd w:id="13"/>
      <w:r>
        <w:t>CONCLUSION</w:t>
      </w:r>
    </w:p>
    <w:p w14:paraId="1A0A64B0" w14:textId="77777777" w:rsidR="003C11B1"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This study investigated the influence of internal control effectiveness on local treasury performance and the moderating effect of ethical climate within local government units in Misamis Oriental. The findings indicate that internal control effectiveness is a strong and significant predictor of treasury performance, particularly through control environment and monitoring, emphasizing the importance of leadership integrity, accountability, and consistent oversight. Ethical climate has a direct positive effect on performance, but it does not alter the relationship. This means that internal controls work as stable, institutionalized governance mechanisms, no matter what the ethical or demographic variations are. However, qualitative findings reveal persistent challenges such as resource constraints, political interference, weak ethical leadership, weak segregation of duties, structural deficiencies, insufficient training and capacity development, and resistance to change, which may impede optimal implementation. Overall, the study suggests that improving local treasury performance necessitates not only strong internal control systems, but also increased institutional support through ethical oversight structures, feedback mechanisms, ongoing capacity development, and adaptive governance reforms to ensure long-term, accountable, and effective public financial management.</w:t>
      </w:r>
    </w:p>
    <w:p w14:paraId="1BC57DF8" w14:textId="77777777" w:rsidR="003C11B1" w:rsidRDefault="003C11B1">
      <w:pPr>
        <w:spacing w:line="240" w:lineRule="auto"/>
        <w:ind w:firstLine="720"/>
        <w:jc w:val="both"/>
        <w:rPr>
          <w:rFonts w:ascii="Times New Roman" w:eastAsia="Times New Roman" w:hAnsi="Times New Roman" w:cs="Times New Roman"/>
          <w:sz w:val="24"/>
          <w:szCs w:val="24"/>
        </w:rPr>
      </w:pPr>
    </w:p>
    <w:p w14:paraId="027E5842" w14:textId="77777777" w:rsidR="003C11B1" w:rsidRDefault="003C11B1">
      <w:pPr>
        <w:pStyle w:val="Heading2"/>
      </w:pPr>
      <w:bookmarkStart w:id="14" w:name="_hyvh8nujy6on" w:colFirst="0" w:colLast="0"/>
      <w:bookmarkEnd w:id="14"/>
    </w:p>
    <w:p w14:paraId="440C8231" w14:textId="77777777" w:rsidR="003C11B1" w:rsidRDefault="003C11B1">
      <w:pPr>
        <w:pStyle w:val="Heading2"/>
      </w:pPr>
      <w:bookmarkStart w:id="15" w:name="_x67y7h89lig7" w:colFirst="0" w:colLast="0"/>
      <w:bookmarkEnd w:id="15"/>
    </w:p>
    <w:p w14:paraId="2EEB5DB5" w14:textId="77777777" w:rsidR="003C11B1" w:rsidRDefault="00000000">
      <w:pPr>
        <w:pStyle w:val="Heading2"/>
      </w:pPr>
      <w:bookmarkStart w:id="16" w:name="_wok0o13n14qk" w:colFirst="0" w:colLast="0"/>
      <w:bookmarkEnd w:id="16"/>
      <w:r>
        <w:t>About the Author</w:t>
      </w:r>
    </w:p>
    <w:p w14:paraId="1676B34F" w14:textId="77777777" w:rsidR="003C11B1"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Apgrant F. Cagoco, CPA, CTT, MBA, is a Doctor of Management student at Capitol University, Cagayan de Oro City, and a graduate of La Salle University, Ozamiz City, where he earned his MBA (2018) and BS-Accountancy (2013). He has served the Local Government Unit of Kinoguitan as the Municipal Accountant since 2018. Passing the Civil Service Commission’s Basic Competency on Local Treasury Examination (BCLTE) in 2022 qualified him to be appointed as the Acting Municipal Treasurer in the same agency. He also serves as a part-time faculty member at </w:t>
      </w:r>
      <w:proofErr w:type="spellStart"/>
      <w:r>
        <w:rPr>
          <w:rFonts w:ascii="Times New Roman" w:eastAsia="Times New Roman" w:hAnsi="Times New Roman" w:cs="Times New Roman"/>
          <w:sz w:val="24"/>
          <w:szCs w:val="24"/>
        </w:rPr>
        <w:t>Tagoloan</w:t>
      </w:r>
      <w:proofErr w:type="spellEnd"/>
      <w:r>
        <w:rPr>
          <w:rFonts w:ascii="Times New Roman" w:eastAsia="Times New Roman" w:hAnsi="Times New Roman" w:cs="Times New Roman"/>
          <w:sz w:val="24"/>
          <w:szCs w:val="24"/>
        </w:rPr>
        <w:t xml:space="preserve"> Community College (TCC), teaching in accounting subjects. He has </w:t>
      </w:r>
      <w:r>
        <w:rPr>
          <w:rFonts w:ascii="Times New Roman" w:eastAsia="Times New Roman" w:hAnsi="Times New Roman" w:cs="Times New Roman"/>
          <w:sz w:val="24"/>
          <w:szCs w:val="24"/>
        </w:rPr>
        <w:lastRenderedPageBreak/>
        <w:t>likewise been invited as a speaker in online seminars and onsite local government trainings where he shares technical knowledge of treasury and accounting operations, governance reforms, and fiscal responsibility. His professional and academic engagements reflect a strong commitment to capacity-building, ethical leadership, and sustainable public financial management in the Philippines.</w:t>
      </w:r>
    </w:p>
    <w:p w14:paraId="62C9AD45" w14:textId="77777777" w:rsidR="003C11B1" w:rsidRDefault="003C11B1">
      <w:pPr>
        <w:spacing w:line="240" w:lineRule="auto"/>
        <w:jc w:val="both"/>
        <w:rPr>
          <w:rFonts w:ascii="Times New Roman" w:eastAsia="Times New Roman" w:hAnsi="Times New Roman" w:cs="Times New Roman"/>
          <w:sz w:val="24"/>
          <w:szCs w:val="24"/>
        </w:rPr>
      </w:pPr>
    </w:p>
    <w:p w14:paraId="6E092C85" w14:textId="77777777" w:rsidR="003C11B1" w:rsidRDefault="003C11B1">
      <w:pPr>
        <w:spacing w:line="240" w:lineRule="auto"/>
        <w:jc w:val="both"/>
        <w:rPr>
          <w:rFonts w:ascii="Times New Roman" w:eastAsia="Times New Roman" w:hAnsi="Times New Roman" w:cs="Times New Roman"/>
          <w:sz w:val="24"/>
          <w:szCs w:val="24"/>
        </w:rPr>
      </w:pPr>
    </w:p>
    <w:p w14:paraId="70FDDF34" w14:textId="77777777" w:rsidR="003C11B1" w:rsidRDefault="00000000">
      <w:pPr>
        <w:pStyle w:val="Heading2"/>
        <w:rPr>
          <w:color w:val="0000FF"/>
          <w:u w:val="single"/>
        </w:rPr>
      </w:pPr>
      <w:bookmarkStart w:id="17" w:name="_bqr1rkn7ebg2" w:colFirst="0" w:colLast="0"/>
      <w:bookmarkEnd w:id="17"/>
      <w:r>
        <w:t>References</w:t>
      </w:r>
    </w:p>
    <w:p w14:paraId="5668B584"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Abdou, A. H., Sharma, R., &amp; </w:t>
      </w:r>
      <w:proofErr w:type="spellStart"/>
      <w:r>
        <w:rPr>
          <w:rFonts w:ascii="Times New Roman" w:eastAsia="Times New Roman" w:hAnsi="Times New Roman" w:cs="Times New Roman"/>
          <w:sz w:val="24"/>
          <w:szCs w:val="24"/>
        </w:rPr>
        <w:t>Albakhit</w:t>
      </w:r>
      <w:proofErr w:type="spellEnd"/>
      <w:r>
        <w:rPr>
          <w:rFonts w:ascii="Times New Roman" w:eastAsia="Times New Roman" w:hAnsi="Times New Roman" w:cs="Times New Roman"/>
          <w:sz w:val="24"/>
          <w:szCs w:val="24"/>
        </w:rPr>
        <w:t xml:space="preserve">, A. I. A. (2024). Boosting the organizational performance: Ethical climate as a moderator for optimizing risk management practices in the Saudi public sector. </w:t>
      </w:r>
      <w:r>
        <w:rPr>
          <w:rFonts w:ascii="Times New Roman" w:eastAsia="Times New Roman" w:hAnsi="Times New Roman" w:cs="Times New Roman"/>
          <w:i/>
          <w:iCs/>
          <w:sz w:val="24"/>
          <w:szCs w:val="24"/>
        </w:rPr>
        <w:t>Global Business &amp; Finance Review, 29</w:t>
      </w:r>
      <w:r>
        <w:rPr>
          <w:rFonts w:ascii="Times New Roman" w:eastAsia="Times New Roman" w:hAnsi="Times New Roman" w:cs="Times New Roman"/>
          <w:sz w:val="24"/>
          <w:szCs w:val="24"/>
        </w:rPr>
        <w:t>(3), 42–56.</w:t>
      </w:r>
      <w:hyperlink r:id="rId4">
        <w:r w:rsidR="003C11B1">
          <w:rPr>
            <w:rFonts w:ascii="Times New Roman" w:eastAsia="Times New Roman" w:hAnsi="Times New Roman" w:cs="Times New Roman"/>
            <w:sz w:val="24"/>
            <w:szCs w:val="24"/>
          </w:rPr>
          <w:t xml:space="preserve"> </w:t>
        </w:r>
      </w:hyperlink>
      <w:hyperlink r:id="rId5">
        <w:r w:rsidR="003C11B1">
          <w:rPr>
            <w:rFonts w:ascii="Times New Roman" w:eastAsia="Times New Roman" w:hAnsi="Times New Roman" w:cs="Times New Roman"/>
            <w:color w:val="0000FF"/>
            <w:sz w:val="24"/>
            <w:szCs w:val="24"/>
            <w:u w:val="single"/>
          </w:rPr>
          <w:t>https://www.econstor.eu/bitstream/10419/305968/1/id604.pdf</w:t>
        </w:r>
      </w:hyperlink>
    </w:p>
    <w:p w14:paraId="0A086AE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proofErr w:type="spellStart"/>
      <w:r>
        <w:rPr>
          <w:rFonts w:ascii="Times New Roman" w:eastAsia="Times New Roman" w:hAnsi="Times New Roman" w:cs="Times New Roman"/>
          <w:sz w:val="24"/>
          <w:szCs w:val="24"/>
        </w:rPr>
        <w:t>Bashaija</w:t>
      </w:r>
      <w:proofErr w:type="spellEnd"/>
      <w:r>
        <w:rPr>
          <w:rFonts w:ascii="Times New Roman" w:eastAsia="Times New Roman" w:hAnsi="Times New Roman" w:cs="Times New Roman"/>
          <w:sz w:val="24"/>
          <w:szCs w:val="24"/>
        </w:rPr>
        <w:t xml:space="preserve">, W. (2022). The effect of internal control systems on the financial performance of commercial banks in Rwanda. </w:t>
      </w:r>
      <w:r>
        <w:rPr>
          <w:rFonts w:ascii="Times New Roman" w:eastAsia="Times New Roman" w:hAnsi="Times New Roman" w:cs="Times New Roman"/>
          <w:i/>
          <w:iCs/>
          <w:sz w:val="24"/>
          <w:szCs w:val="24"/>
        </w:rPr>
        <w:t>Journal of Finance and Accounting</w:t>
      </w:r>
      <w:r>
        <w:rPr>
          <w:rFonts w:ascii="Times New Roman" w:eastAsia="Times New Roman" w:hAnsi="Times New Roman" w:cs="Times New Roman"/>
          <w:sz w:val="24"/>
          <w:szCs w:val="24"/>
        </w:rPr>
        <w:t xml:space="preserve">, 10(6), 244–252. </w:t>
      </w:r>
      <w:hyperlink r:id="rId6">
        <w:r w:rsidR="003C11B1">
          <w:rPr>
            <w:rFonts w:ascii="Times New Roman" w:eastAsia="Times New Roman" w:hAnsi="Times New Roman" w:cs="Times New Roman"/>
            <w:color w:val="0000FF"/>
            <w:sz w:val="24"/>
            <w:szCs w:val="24"/>
            <w:u w:val="single"/>
          </w:rPr>
          <w:t>https://www.sciencepublishinggroup.com/article/10.11648/j.jfa.20221006.12</w:t>
        </w:r>
      </w:hyperlink>
    </w:p>
    <w:p w14:paraId="7FF94972"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Bedi, A., Alpaslan, C. M., &amp; Green, S. (2016). A meta-analytic review of ethical leadership outcomes and moderators. </w:t>
      </w:r>
      <w:r>
        <w:rPr>
          <w:rFonts w:ascii="Times New Roman" w:eastAsia="Times New Roman" w:hAnsi="Times New Roman" w:cs="Times New Roman"/>
          <w:i/>
          <w:iCs/>
          <w:sz w:val="24"/>
          <w:szCs w:val="24"/>
        </w:rPr>
        <w:t>Journal of Business Ethics, 139</w:t>
      </w:r>
      <w:r>
        <w:rPr>
          <w:rFonts w:ascii="Times New Roman" w:eastAsia="Times New Roman" w:hAnsi="Times New Roman" w:cs="Times New Roman"/>
          <w:sz w:val="24"/>
          <w:szCs w:val="24"/>
        </w:rPr>
        <w:t>(3), 517–536.</w:t>
      </w:r>
      <w:hyperlink r:id="rId7">
        <w:r w:rsidR="003C11B1">
          <w:rPr>
            <w:rFonts w:ascii="Times New Roman" w:eastAsia="Times New Roman" w:hAnsi="Times New Roman" w:cs="Times New Roman"/>
            <w:sz w:val="24"/>
            <w:szCs w:val="24"/>
          </w:rPr>
          <w:t xml:space="preserve"> </w:t>
        </w:r>
      </w:hyperlink>
      <w:hyperlink r:id="rId8">
        <w:r w:rsidR="003C11B1">
          <w:rPr>
            <w:rFonts w:ascii="Times New Roman" w:eastAsia="Times New Roman" w:hAnsi="Times New Roman" w:cs="Times New Roman"/>
            <w:color w:val="0000FF"/>
            <w:sz w:val="24"/>
            <w:szCs w:val="24"/>
            <w:u w:val="single"/>
          </w:rPr>
          <w:t>https://doi.org/10.1007/s10551-015-2625-1</w:t>
        </w:r>
      </w:hyperlink>
    </w:p>
    <w:p w14:paraId="1983A974"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Braun, V., &amp; Clarke, V. (2024). A critical review of the reporting of reflexive thematic analysis in </w:t>
      </w:r>
      <w:r>
        <w:rPr>
          <w:rFonts w:ascii="Times New Roman" w:eastAsia="Times New Roman" w:hAnsi="Times New Roman" w:cs="Times New Roman"/>
          <w:i/>
          <w:iCs/>
          <w:sz w:val="24"/>
          <w:szCs w:val="24"/>
        </w:rPr>
        <w:t>Health Promotion International, 39</w:t>
      </w:r>
      <w:r>
        <w:rPr>
          <w:rFonts w:ascii="Times New Roman" w:eastAsia="Times New Roman" w:hAnsi="Times New Roman" w:cs="Times New Roman"/>
          <w:sz w:val="24"/>
          <w:szCs w:val="24"/>
        </w:rPr>
        <w:t>(3), daae049.</w:t>
      </w:r>
      <w:hyperlink r:id="rId9">
        <w:r w:rsidR="003C11B1">
          <w:rPr>
            <w:rFonts w:ascii="Times New Roman" w:eastAsia="Times New Roman" w:hAnsi="Times New Roman" w:cs="Times New Roman"/>
            <w:sz w:val="24"/>
            <w:szCs w:val="24"/>
          </w:rPr>
          <w:t xml:space="preserve"> </w:t>
        </w:r>
      </w:hyperlink>
      <w:hyperlink r:id="rId10">
        <w:r w:rsidR="003C11B1">
          <w:rPr>
            <w:rFonts w:ascii="Times New Roman" w:eastAsia="Times New Roman" w:hAnsi="Times New Roman" w:cs="Times New Roman"/>
            <w:color w:val="0000FF"/>
            <w:sz w:val="24"/>
            <w:szCs w:val="24"/>
            <w:u w:val="single"/>
          </w:rPr>
          <w:t>https://doi.org/10.1093/heapro/daae049</w:t>
        </w:r>
      </w:hyperlink>
    </w:p>
    <w:p w14:paraId="6B089789"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Bureau of Local Government Finance. (2019). Local Treasury Operations Manual: Book I (2nd ed.). Department of Finance. </w:t>
      </w:r>
      <w:hyperlink r:id="rId11">
        <w:r w:rsidR="003C11B1">
          <w:rPr>
            <w:rFonts w:ascii="Times New Roman" w:eastAsia="Times New Roman" w:hAnsi="Times New Roman" w:cs="Times New Roman"/>
            <w:color w:val="0000FF"/>
            <w:sz w:val="24"/>
            <w:szCs w:val="24"/>
            <w:u w:val="single"/>
          </w:rPr>
          <w:t>https://blgf.gov.ph/wp-content/uploads/2022/10/LTOM-Book-1-E-Copy.pdf</w:t>
        </w:r>
      </w:hyperlink>
    </w:p>
    <w:p w14:paraId="43AA5F27"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Castaño, A. M., Zuazua-Vega, M., Stone, D. L., &amp; García-Izquierdo, A. L. (2024). Are there gender differences between skills and job performance in public management positions? </w:t>
      </w:r>
      <w:r>
        <w:rPr>
          <w:rFonts w:ascii="Times New Roman" w:eastAsia="Times New Roman" w:hAnsi="Times New Roman" w:cs="Times New Roman"/>
          <w:i/>
          <w:iCs/>
          <w:sz w:val="24"/>
          <w:szCs w:val="24"/>
        </w:rPr>
        <w:t>Journal of Work and Organizational Psychology,</w:t>
      </w:r>
      <w:r>
        <w:rPr>
          <w:rFonts w:ascii="Times New Roman" w:eastAsia="Times New Roman" w:hAnsi="Times New Roman" w:cs="Times New Roman"/>
          <w:sz w:val="24"/>
          <w:szCs w:val="24"/>
        </w:rPr>
        <w:t xml:space="preserve"> 40(2), 119–129. </w:t>
      </w:r>
      <w:hyperlink r:id="rId12">
        <w:r w:rsidR="003C11B1">
          <w:rPr>
            <w:rFonts w:ascii="Times New Roman" w:eastAsia="Times New Roman" w:hAnsi="Times New Roman" w:cs="Times New Roman"/>
            <w:color w:val="0000FF"/>
            <w:sz w:val="24"/>
            <w:szCs w:val="24"/>
            <w:u w:val="single"/>
          </w:rPr>
          <w:t>https://doi.org/10.5093/jwop2024a10</w:t>
        </w:r>
      </w:hyperlink>
    </w:p>
    <w:p w14:paraId="7A1122B9"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Chartered Institute of Public Finance and Accountancy. (2022). Public financial management: A whole system approach (Vol. 1). </w:t>
      </w:r>
      <w:r>
        <w:rPr>
          <w:rFonts w:ascii="Times New Roman" w:eastAsia="Times New Roman" w:hAnsi="Times New Roman" w:cs="Times New Roman"/>
          <w:i/>
          <w:iCs/>
          <w:sz w:val="24"/>
          <w:szCs w:val="24"/>
        </w:rPr>
        <w:t>CIPFA</w:t>
      </w:r>
      <w:r>
        <w:rPr>
          <w:rFonts w:ascii="Times New Roman" w:eastAsia="Times New Roman" w:hAnsi="Times New Roman" w:cs="Times New Roman"/>
          <w:sz w:val="24"/>
          <w:szCs w:val="24"/>
        </w:rPr>
        <w:t xml:space="preserve">. </w:t>
      </w:r>
      <w:hyperlink r:id="rId13">
        <w:r w:rsidR="003C11B1">
          <w:rPr>
            <w:rFonts w:ascii="Times New Roman" w:eastAsia="Times New Roman" w:hAnsi="Times New Roman" w:cs="Times New Roman"/>
            <w:color w:val="0000FF"/>
            <w:sz w:val="24"/>
            <w:szCs w:val="24"/>
            <w:u w:val="single"/>
          </w:rPr>
          <w:t>https://www.cipfa.org/-/media/files/publications/pfm_wsa_vol1.pdf</w:t>
        </w:r>
      </w:hyperlink>
    </w:p>
    <w:p w14:paraId="7E6DFEF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Cherry, K. (2023). Erik Erikson’s stages of psychosocial development. </w:t>
      </w:r>
      <w:proofErr w:type="spellStart"/>
      <w:r>
        <w:rPr>
          <w:rFonts w:ascii="Times New Roman" w:eastAsia="Times New Roman" w:hAnsi="Times New Roman" w:cs="Times New Roman"/>
          <w:i/>
          <w:iCs/>
          <w:sz w:val="24"/>
          <w:szCs w:val="24"/>
        </w:rPr>
        <w:t>Verywell</w:t>
      </w:r>
      <w:proofErr w:type="spellEnd"/>
      <w:r>
        <w:rPr>
          <w:rFonts w:ascii="Times New Roman" w:eastAsia="Times New Roman" w:hAnsi="Times New Roman" w:cs="Times New Roman"/>
          <w:i/>
          <w:iCs/>
          <w:sz w:val="24"/>
          <w:szCs w:val="24"/>
        </w:rPr>
        <w:t xml:space="preserve"> Mind</w:t>
      </w:r>
      <w:r>
        <w:rPr>
          <w:rFonts w:ascii="Times New Roman" w:eastAsia="Times New Roman" w:hAnsi="Times New Roman" w:cs="Times New Roman"/>
          <w:sz w:val="24"/>
          <w:szCs w:val="24"/>
        </w:rPr>
        <w:t xml:space="preserve">. </w:t>
      </w:r>
      <w:hyperlink r:id="rId14">
        <w:r w:rsidR="003C11B1">
          <w:rPr>
            <w:rFonts w:ascii="Times New Roman" w:eastAsia="Times New Roman" w:hAnsi="Times New Roman" w:cs="Times New Roman"/>
            <w:color w:val="0000FF"/>
            <w:sz w:val="24"/>
            <w:szCs w:val="24"/>
            <w:u w:val="single"/>
          </w:rPr>
          <w:t>https://www.verywellmind.com/erik-eriksons-stages-of-psychosocial-development-2795740</w:t>
        </w:r>
      </w:hyperlink>
    </w:p>
    <w:p w14:paraId="5CDAB845"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Ceschi, A., Demerouti, E., Sartori, R., &amp; Weller, J. (2017). Decision-making processes in the workplace: How exhaustion, lack of resources and job demands impair them and affect performance. </w:t>
      </w:r>
      <w:r>
        <w:rPr>
          <w:rFonts w:ascii="Times New Roman" w:eastAsia="Times New Roman" w:hAnsi="Times New Roman" w:cs="Times New Roman"/>
          <w:i/>
          <w:iCs/>
          <w:sz w:val="24"/>
          <w:szCs w:val="24"/>
        </w:rPr>
        <w:t>Frontiers in Psychology, 8</w:t>
      </w:r>
      <w:r>
        <w:rPr>
          <w:rFonts w:ascii="Times New Roman" w:eastAsia="Times New Roman" w:hAnsi="Times New Roman" w:cs="Times New Roman"/>
          <w:sz w:val="24"/>
          <w:szCs w:val="24"/>
        </w:rPr>
        <w:t>, Article 313.</w:t>
      </w:r>
      <w:hyperlink r:id="rId15">
        <w:r w:rsidR="003C11B1">
          <w:rPr>
            <w:rFonts w:ascii="Times New Roman" w:eastAsia="Times New Roman" w:hAnsi="Times New Roman" w:cs="Times New Roman"/>
            <w:sz w:val="24"/>
            <w:szCs w:val="24"/>
          </w:rPr>
          <w:t xml:space="preserve"> </w:t>
        </w:r>
      </w:hyperlink>
      <w:hyperlink r:id="rId16">
        <w:r w:rsidR="003C11B1">
          <w:rPr>
            <w:rFonts w:ascii="Times New Roman" w:eastAsia="Times New Roman" w:hAnsi="Times New Roman" w:cs="Times New Roman"/>
            <w:color w:val="0000FF"/>
            <w:sz w:val="24"/>
            <w:szCs w:val="24"/>
            <w:u w:val="single"/>
          </w:rPr>
          <w:t>https://doi.org/10.3389/fpsyg.2017.00313</w:t>
        </w:r>
      </w:hyperlink>
    </w:p>
    <w:p w14:paraId="4DDC22FB"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proofErr w:type="spellStart"/>
      <w:r>
        <w:rPr>
          <w:rFonts w:ascii="Times New Roman" w:eastAsia="Times New Roman" w:hAnsi="Times New Roman" w:cs="Times New Roman"/>
          <w:sz w:val="24"/>
          <w:szCs w:val="24"/>
        </w:rPr>
        <w:lastRenderedPageBreak/>
        <w:t>Cotingjo</w:t>
      </w:r>
      <w:proofErr w:type="spellEnd"/>
      <w:r>
        <w:rPr>
          <w:rFonts w:ascii="Times New Roman" w:eastAsia="Times New Roman" w:hAnsi="Times New Roman" w:cs="Times New Roman"/>
          <w:sz w:val="24"/>
          <w:szCs w:val="24"/>
        </w:rPr>
        <w:t xml:space="preserve">, L. E., </w:t>
      </w:r>
      <w:proofErr w:type="spellStart"/>
      <w:r>
        <w:rPr>
          <w:rFonts w:ascii="Times New Roman" w:eastAsia="Times New Roman" w:hAnsi="Times New Roman" w:cs="Times New Roman"/>
          <w:sz w:val="24"/>
          <w:szCs w:val="24"/>
        </w:rPr>
        <w:t>Pegalan</w:t>
      </w:r>
      <w:proofErr w:type="spellEnd"/>
      <w:r>
        <w:rPr>
          <w:rFonts w:ascii="Times New Roman" w:eastAsia="Times New Roman" w:hAnsi="Times New Roman" w:cs="Times New Roman"/>
          <w:sz w:val="24"/>
          <w:szCs w:val="24"/>
        </w:rPr>
        <w:t xml:space="preserve">, S. Z. V., &amp; </w:t>
      </w:r>
      <w:proofErr w:type="spellStart"/>
      <w:r>
        <w:rPr>
          <w:rFonts w:ascii="Times New Roman" w:eastAsia="Times New Roman" w:hAnsi="Times New Roman" w:cs="Times New Roman"/>
          <w:sz w:val="24"/>
          <w:szCs w:val="24"/>
        </w:rPr>
        <w:t>Bulajao</w:t>
      </w:r>
      <w:proofErr w:type="spellEnd"/>
      <w:r>
        <w:rPr>
          <w:rFonts w:ascii="Times New Roman" w:eastAsia="Times New Roman" w:hAnsi="Times New Roman" w:cs="Times New Roman"/>
          <w:sz w:val="24"/>
          <w:szCs w:val="24"/>
        </w:rPr>
        <w:t xml:space="preserve">, E. J. (2025). Assessing the financial management skills among barangay treasurers of </w:t>
      </w:r>
      <w:proofErr w:type="spellStart"/>
      <w:r>
        <w:rPr>
          <w:rFonts w:ascii="Times New Roman" w:eastAsia="Times New Roman" w:hAnsi="Times New Roman" w:cs="Times New Roman"/>
          <w:sz w:val="24"/>
          <w:szCs w:val="24"/>
        </w:rPr>
        <w:t>Tangub</w:t>
      </w:r>
      <w:proofErr w:type="spellEnd"/>
      <w:r>
        <w:rPr>
          <w:rFonts w:ascii="Times New Roman" w:eastAsia="Times New Roman" w:hAnsi="Times New Roman" w:cs="Times New Roman"/>
          <w:sz w:val="24"/>
          <w:szCs w:val="24"/>
        </w:rPr>
        <w:t xml:space="preserve"> City. </w:t>
      </w:r>
      <w:r>
        <w:rPr>
          <w:rFonts w:ascii="Times New Roman" w:eastAsia="Times New Roman" w:hAnsi="Times New Roman" w:cs="Times New Roman"/>
          <w:i/>
          <w:iCs/>
          <w:sz w:val="24"/>
          <w:szCs w:val="24"/>
        </w:rPr>
        <w:t>International Journal of Research and Innovation in Social Science</w:t>
      </w:r>
      <w:r>
        <w:rPr>
          <w:rFonts w:ascii="Times New Roman" w:eastAsia="Times New Roman" w:hAnsi="Times New Roman" w:cs="Times New Roman"/>
          <w:sz w:val="24"/>
          <w:szCs w:val="24"/>
        </w:rPr>
        <w:t xml:space="preserve">, 9(10), 4643–4683. </w:t>
      </w:r>
      <w:hyperlink r:id="rId17">
        <w:r w:rsidR="003C11B1">
          <w:rPr>
            <w:rFonts w:ascii="Times New Roman" w:eastAsia="Times New Roman" w:hAnsi="Times New Roman" w:cs="Times New Roman"/>
            <w:color w:val="0000FF"/>
            <w:sz w:val="24"/>
            <w:szCs w:val="24"/>
            <w:u w:val="single"/>
          </w:rPr>
          <w:t>https://doi.org/10.47772/IJRISS.2025.910000384</w:t>
        </w:r>
      </w:hyperlink>
      <w:r>
        <w:rPr>
          <w:rFonts w:ascii="Times New Roman" w:eastAsia="Times New Roman" w:hAnsi="Times New Roman" w:cs="Times New Roman"/>
          <w:color w:val="0000FF"/>
          <w:sz w:val="24"/>
          <w:szCs w:val="24"/>
        </w:rPr>
        <w:t xml:space="preserve"> </w:t>
      </w:r>
    </w:p>
    <w:p w14:paraId="1136D0F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proofErr w:type="spellStart"/>
      <w:r>
        <w:rPr>
          <w:rFonts w:ascii="Times New Roman" w:eastAsia="Times New Roman" w:hAnsi="Times New Roman" w:cs="Times New Roman"/>
          <w:sz w:val="24"/>
          <w:szCs w:val="24"/>
        </w:rPr>
        <w:t>Enero</w:t>
      </w:r>
      <w:proofErr w:type="spellEnd"/>
      <w:r>
        <w:rPr>
          <w:rFonts w:ascii="Times New Roman" w:eastAsia="Times New Roman" w:hAnsi="Times New Roman" w:cs="Times New Roman"/>
          <w:sz w:val="24"/>
          <w:szCs w:val="24"/>
        </w:rPr>
        <w:t xml:space="preserve">, F. M. L., Baes, J. O., </w:t>
      </w:r>
      <w:proofErr w:type="spellStart"/>
      <w:r>
        <w:rPr>
          <w:rFonts w:ascii="Times New Roman" w:eastAsia="Times New Roman" w:hAnsi="Times New Roman" w:cs="Times New Roman"/>
          <w:sz w:val="24"/>
          <w:szCs w:val="24"/>
        </w:rPr>
        <w:t>Falloran</w:t>
      </w:r>
      <w:proofErr w:type="spellEnd"/>
      <w:r>
        <w:rPr>
          <w:rFonts w:ascii="Times New Roman" w:eastAsia="Times New Roman" w:hAnsi="Times New Roman" w:cs="Times New Roman"/>
          <w:sz w:val="24"/>
          <w:szCs w:val="24"/>
        </w:rPr>
        <w:t xml:space="preserve">, L. H., </w:t>
      </w:r>
      <w:proofErr w:type="spellStart"/>
      <w:r>
        <w:rPr>
          <w:rFonts w:ascii="Times New Roman" w:eastAsia="Times New Roman" w:hAnsi="Times New Roman" w:cs="Times New Roman"/>
          <w:sz w:val="24"/>
          <w:szCs w:val="24"/>
        </w:rPr>
        <w:t>Naparota</w:t>
      </w:r>
      <w:proofErr w:type="spellEnd"/>
      <w:r>
        <w:rPr>
          <w:rFonts w:ascii="Times New Roman" w:eastAsia="Times New Roman" w:hAnsi="Times New Roman" w:cs="Times New Roman"/>
          <w:sz w:val="24"/>
          <w:szCs w:val="24"/>
        </w:rPr>
        <w:t xml:space="preserve">, L. C., Gerzon, D. A., Bergado, D. B., &amp; Calamba, G. P. O. (2024). Capabilities and challenges encountered by barangay officials of selected barangays in </w:t>
      </w:r>
      <w:proofErr w:type="spellStart"/>
      <w:r>
        <w:rPr>
          <w:rFonts w:ascii="Times New Roman" w:eastAsia="Times New Roman" w:hAnsi="Times New Roman" w:cs="Times New Roman"/>
          <w:sz w:val="24"/>
          <w:szCs w:val="24"/>
        </w:rPr>
        <w:t>Dipolog</w:t>
      </w:r>
      <w:proofErr w:type="spellEnd"/>
      <w:r>
        <w:rPr>
          <w:rFonts w:ascii="Times New Roman" w:eastAsia="Times New Roman" w:hAnsi="Times New Roman" w:cs="Times New Roman"/>
          <w:sz w:val="24"/>
          <w:szCs w:val="24"/>
        </w:rPr>
        <w:t xml:space="preserve"> City on local budgeting process. </w:t>
      </w:r>
      <w:r>
        <w:rPr>
          <w:rFonts w:ascii="Times New Roman" w:eastAsia="Times New Roman" w:hAnsi="Times New Roman" w:cs="Times New Roman"/>
          <w:i/>
          <w:iCs/>
          <w:sz w:val="24"/>
          <w:szCs w:val="24"/>
        </w:rPr>
        <w:t>International Journal of Arts and Social Science</w:t>
      </w:r>
      <w:r>
        <w:rPr>
          <w:rFonts w:ascii="Times New Roman" w:eastAsia="Times New Roman" w:hAnsi="Times New Roman" w:cs="Times New Roman"/>
          <w:sz w:val="24"/>
          <w:szCs w:val="24"/>
        </w:rPr>
        <w:t xml:space="preserve">, 7(11), 11–29. </w:t>
      </w:r>
      <w:hyperlink r:id="rId18">
        <w:r w:rsidR="003C11B1">
          <w:rPr>
            <w:rFonts w:ascii="Times New Roman" w:eastAsia="Times New Roman" w:hAnsi="Times New Roman" w:cs="Times New Roman"/>
            <w:color w:val="0000FF"/>
            <w:sz w:val="24"/>
            <w:szCs w:val="24"/>
            <w:u w:val="single"/>
          </w:rPr>
          <w:t>https://www.ijassjournal.com/2024/V7I11/41466639805.pdf</w:t>
        </w:r>
      </w:hyperlink>
    </w:p>
    <w:p w14:paraId="7EFAC4FA"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proofErr w:type="spellStart"/>
      <w:r>
        <w:rPr>
          <w:rFonts w:ascii="Times New Roman" w:eastAsia="Times New Roman" w:hAnsi="Times New Roman" w:cs="Times New Roman"/>
          <w:sz w:val="24"/>
          <w:szCs w:val="24"/>
        </w:rPr>
        <w:t>Erricoa</w:t>
      </w:r>
      <w:proofErr w:type="spellEnd"/>
      <w:r>
        <w:rPr>
          <w:rFonts w:ascii="Times New Roman" w:eastAsia="Times New Roman" w:hAnsi="Times New Roman" w:cs="Times New Roman"/>
          <w:sz w:val="24"/>
          <w:szCs w:val="24"/>
        </w:rPr>
        <w:t xml:space="preserve">, M., Hines, J., &amp; Spencer, W. (2023). The role of revenue decentralization in disciplining local government spending. </w:t>
      </w:r>
      <w:r>
        <w:rPr>
          <w:rFonts w:ascii="Times New Roman" w:eastAsia="Times New Roman" w:hAnsi="Times New Roman" w:cs="Times New Roman"/>
          <w:i/>
          <w:iCs/>
          <w:sz w:val="24"/>
          <w:szCs w:val="24"/>
        </w:rPr>
        <w:t>University of Michigan Working Paper</w:t>
      </w:r>
      <w:r>
        <w:rPr>
          <w:rFonts w:ascii="Times New Roman" w:eastAsia="Times New Roman" w:hAnsi="Times New Roman" w:cs="Times New Roman"/>
          <w:sz w:val="24"/>
          <w:szCs w:val="24"/>
        </w:rPr>
        <w:t xml:space="preserve">. </w:t>
      </w:r>
      <w:hyperlink r:id="rId19">
        <w:r w:rsidR="003C11B1">
          <w:rPr>
            <w:rFonts w:ascii="Times New Roman" w:eastAsia="Times New Roman" w:hAnsi="Times New Roman" w:cs="Times New Roman"/>
            <w:color w:val="0000FF"/>
            <w:sz w:val="24"/>
            <w:szCs w:val="24"/>
            <w:u w:val="single"/>
          </w:rPr>
          <w:t>https://accounting.wharton.upenn.edu/wp-content/uploads/2024/05/EHSW_Wharton-003-DELPHINE-revised.pdf</w:t>
        </w:r>
      </w:hyperlink>
    </w:p>
    <w:p w14:paraId="7563AEB1"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proofErr w:type="spellStart"/>
      <w:r>
        <w:rPr>
          <w:rFonts w:ascii="Times New Roman" w:eastAsia="Times New Roman" w:hAnsi="Times New Roman" w:cs="Times New Roman"/>
          <w:sz w:val="24"/>
          <w:szCs w:val="24"/>
        </w:rPr>
        <w:t>Etikan</w:t>
      </w:r>
      <w:proofErr w:type="spellEnd"/>
      <w:r>
        <w:rPr>
          <w:rFonts w:ascii="Times New Roman" w:eastAsia="Times New Roman" w:hAnsi="Times New Roman" w:cs="Times New Roman"/>
          <w:sz w:val="24"/>
          <w:szCs w:val="24"/>
        </w:rPr>
        <w:t xml:space="preserve">, I., &amp; Bala, K. (2017). Sampling and sampling methods. </w:t>
      </w:r>
      <w:r>
        <w:rPr>
          <w:rFonts w:ascii="Times New Roman" w:eastAsia="Times New Roman" w:hAnsi="Times New Roman" w:cs="Times New Roman"/>
          <w:i/>
          <w:iCs/>
          <w:sz w:val="24"/>
          <w:szCs w:val="24"/>
        </w:rPr>
        <w:t>Biometrics &amp; Biostatistics International Journal</w:t>
      </w:r>
      <w:r>
        <w:rPr>
          <w:rFonts w:ascii="Times New Roman" w:eastAsia="Times New Roman" w:hAnsi="Times New Roman" w:cs="Times New Roman"/>
          <w:sz w:val="24"/>
          <w:szCs w:val="24"/>
        </w:rPr>
        <w:t xml:space="preserve">, 5(6), 215–217. </w:t>
      </w:r>
      <w:hyperlink r:id="rId20">
        <w:r w:rsidR="003C11B1">
          <w:rPr>
            <w:rFonts w:ascii="Times New Roman" w:eastAsia="Times New Roman" w:hAnsi="Times New Roman" w:cs="Times New Roman"/>
            <w:color w:val="0000FF"/>
            <w:sz w:val="24"/>
            <w:szCs w:val="24"/>
            <w:u w:val="single"/>
          </w:rPr>
          <w:t>https://www.semanticscholar.org/paper/Sampling-and-Sampling-Methods-Etikan-Bala/02989ba11561966a6c36e188e22e2f5bbc1e5343</w:t>
        </w:r>
      </w:hyperlink>
    </w:p>
    <w:p w14:paraId="0C31B085"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Eton, M., Mwosi, F., &amp; Ogwel, B. P. (2022). Are internal controls important in financial accountability? Evidence from Lira District Local Government, Uganda. </w:t>
      </w:r>
      <w:r>
        <w:rPr>
          <w:rFonts w:ascii="Times New Roman" w:eastAsia="Times New Roman" w:hAnsi="Times New Roman" w:cs="Times New Roman"/>
          <w:i/>
          <w:iCs/>
          <w:sz w:val="24"/>
          <w:szCs w:val="24"/>
        </w:rPr>
        <w:t>International Journal of Financial, Accounting and Management, 3</w:t>
      </w:r>
      <w:r>
        <w:rPr>
          <w:rFonts w:ascii="Times New Roman" w:eastAsia="Times New Roman" w:hAnsi="Times New Roman" w:cs="Times New Roman"/>
          <w:sz w:val="24"/>
          <w:szCs w:val="24"/>
        </w:rPr>
        <w:t>(4), 359–372.</w:t>
      </w:r>
      <w:hyperlink r:id="rId21">
        <w:r w:rsidR="003C11B1">
          <w:rPr>
            <w:rFonts w:ascii="Times New Roman" w:eastAsia="Times New Roman" w:hAnsi="Times New Roman" w:cs="Times New Roman"/>
            <w:sz w:val="24"/>
            <w:szCs w:val="24"/>
          </w:rPr>
          <w:t xml:space="preserve"> </w:t>
        </w:r>
      </w:hyperlink>
      <w:hyperlink r:id="rId22">
        <w:r w:rsidR="003C11B1">
          <w:rPr>
            <w:rFonts w:ascii="Times New Roman" w:eastAsia="Times New Roman" w:hAnsi="Times New Roman" w:cs="Times New Roman"/>
            <w:color w:val="0000FF"/>
            <w:sz w:val="24"/>
            <w:szCs w:val="24"/>
            <w:u w:val="single"/>
          </w:rPr>
          <w:t>https://doi.org/10.35912/ijfam.v3i4.810</w:t>
        </w:r>
      </w:hyperlink>
    </w:p>
    <w:p w14:paraId="694D874D"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proofErr w:type="spellStart"/>
      <w:r>
        <w:rPr>
          <w:rFonts w:ascii="Times New Roman" w:eastAsia="Times New Roman" w:hAnsi="Times New Roman" w:cs="Times New Roman"/>
          <w:sz w:val="24"/>
          <w:szCs w:val="24"/>
        </w:rPr>
        <w:t>Farazmand</w:t>
      </w:r>
      <w:proofErr w:type="spellEnd"/>
      <w:r>
        <w:rPr>
          <w:rFonts w:ascii="Times New Roman" w:eastAsia="Times New Roman" w:hAnsi="Times New Roman" w:cs="Times New Roman"/>
          <w:sz w:val="24"/>
          <w:szCs w:val="24"/>
        </w:rPr>
        <w:t xml:space="preserve">, A., De Simone, E., Gaeta, G. L., &amp; others. (2022). Corruption, lack of transparency and the misuse of public funds in times of crisis: An introduction. Public Organization Review, 22(3), 497–503. </w:t>
      </w:r>
      <w:hyperlink r:id="rId23">
        <w:r w:rsidR="003C11B1">
          <w:rPr>
            <w:rFonts w:ascii="Times New Roman" w:eastAsia="Times New Roman" w:hAnsi="Times New Roman" w:cs="Times New Roman"/>
            <w:color w:val="0000FF"/>
            <w:sz w:val="24"/>
            <w:szCs w:val="24"/>
            <w:u w:val="single"/>
          </w:rPr>
          <w:t>https://doi.org/10.1007/s11115-022-00651-8</w:t>
        </w:r>
      </w:hyperlink>
    </w:p>
    <w:p w14:paraId="5E4C7C86"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Gregorio, M. C. (2025). Relationship of emotional intelligence (EI) and administrative performance of private school principals: Basis for EI training program. </w:t>
      </w:r>
      <w:r>
        <w:rPr>
          <w:rFonts w:ascii="Times New Roman" w:eastAsia="Times New Roman" w:hAnsi="Times New Roman" w:cs="Times New Roman"/>
          <w:i/>
          <w:iCs/>
          <w:sz w:val="24"/>
          <w:szCs w:val="24"/>
        </w:rPr>
        <w:t>International Journal of Research and Innovation in Social Science</w:t>
      </w:r>
      <w:r>
        <w:rPr>
          <w:rFonts w:ascii="Times New Roman" w:eastAsia="Times New Roman" w:hAnsi="Times New Roman" w:cs="Times New Roman"/>
          <w:sz w:val="24"/>
          <w:szCs w:val="24"/>
        </w:rPr>
        <w:t xml:space="preserve">. </w:t>
      </w:r>
      <w:hyperlink r:id="rId24">
        <w:r w:rsidR="003C11B1">
          <w:rPr>
            <w:rFonts w:ascii="Times New Roman" w:eastAsia="Times New Roman" w:hAnsi="Times New Roman" w:cs="Times New Roman"/>
            <w:color w:val="0000FF"/>
            <w:sz w:val="24"/>
            <w:szCs w:val="24"/>
            <w:u w:val="single"/>
          </w:rPr>
          <w:t>https://rsisinternational.org/journals/ijriss/articles/relationship-of-emotional-intelligence-ei-and-administrative-performance-of-private-school-principals-basis-for-ei-training-program/</w:t>
        </w:r>
      </w:hyperlink>
    </w:p>
    <w:p w14:paraId="3751FB92" w14:textId="77777777" w:rsidR="003C11B1"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Gyimah, A. G. G., Addai, B., &amp; Tetteh, D. D. (2024). Impact of internal control systems on financial irregularities in local governments: Insights from the developing world. </w:t>
      </w:r>
      <w:r>
        <w:rPr>
          <w:rFonts w:ascii="Times New Roman" w:eastAsia="Times New Roman" w:hAnsi="Times New Roman" w:cs="Times New Roman"/>
          <w:i/>
          <w:iCs/>
          <w:sz w:val="24"/>
          <w:szCs w:val="24"/>
        </w:rPr>
        <w:t>RISUS – Journal on Innovation and Sustainability</w:t>
      </w:r>
      <w:r>
        <w:rPr>
          <w:rFonts w:ascii="Times New Roman" w:eastAsia="Times New Roman" w:hAnsi="Times New Roman" w:cs="Times New Roman"/>
          <w:sz w:val="24"/>
          <w:szCs w:val="24"/>
        </w:rPr>
        <w:t xml:space="preserve">, 15(2), 16–32. </w:t>
      </w:r>
      <w:hyperlink r:id="rId25">
        <w:r w:rsidR="003C11B1">
          <w:rPr>
            <w:rFonts w:ascii="Times New Roman" w:eastAsia="Times New Roman" w:hAnsi="Times New Roman" w:cs="Times New Roman"/>
            <w:color w:val="0000FF"/>
            <w:sz w:val="24"/>
            <w:szCs w:val="24"/>
            <w:u w:val="single"/>
          </w:rPr>
          <w:t>https://doi.org/10.23925/2179-3565.2024v15i2p16-32</w:t>
        </w:r>
      </w:hyperlink>
    </w:p>
    <w:p w14:paraId="5F2CD02D"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Hayes, A. F. (2018). </w:t>
      </w:r>
      <w:r>
        <w:rPr>
          <w:rFonts w:ascii="Times New Roman" w:eastAsia="Times New Roman" w:hAnsi="Times New Roman" w:cs="Times New Roman"/>
          <w:i/>
          <w:iCs/>
          <w:sz w:val="24"/>
          <w:szCs w:val="24"/>
        </w:rPr>
        <w:t>Introduction to mediation, moderation, and conditional process analysis: A regression-based approach</w:t>
      </w:r>
      <w:r>
        <w:rPr>
          <w:rFonts w:ascii="Times New Roman" w:eastAsia="Times New Roman" w:hAnsi="Times New Roman" w:cs="Times New Roman"/>
          <w:sz w:val="24"/>
          <w:szCs w:val="24"/>
        </w:rPr>
        <w:t xml:space="preserve"> (2nd ed.). Guilford Press.</w:t>
      </w:r>
      <w:hyperlink r:id="rId26">
        <w:r w:rsidR="003C11B1">
          <w:rPr>
            <w:rFonts w:ascii="Times New Roman" w:eastAsia="Times New Roman" w:hAnsi="Times New Roman" w:cs="Times New Roman"/>
            <w:sz w:val="24"/>
            <w:szCs w:val="24"/>
          </w:rPr>
          <w:t xml:space="preserve"> </w:t>
        </w:r>
      </w:hyperlink>
      <w:hyperlink r:id="rId27">
        <w:r w:rsidR="003C11B1">
          <w:rPr>
            <w:rFonts w:ascii="Times New Roman" w:eastAsia="Times New Roman" w:hAnsi="Times New Roman" w:cs="Times New Roman"/>
            <w:color w:val="0000FF"/>
            <w:sz w:val="24"/>
            <w:szCs w:val="24"/>
            <w:u w:val="single"/>
          </w:rPr>
          <w:t>https://eli.johogo.com/Class/CCU/SEM/_Introduction%20to%20Mediation%20Moderation%20and%20Conditional%20Process%20Analysis%20by%20Andrew%20F%20Hayes.pdf</w:t>
        </w:r>
      </w:hyperlink>
    </w:p>
    <w:p w14:paraId="553B3AC5"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lastRenderedPageBreak/>
        <w:t xml:space="preserve">Hua, S., Sun, X. C., Lou, R., &amp; Chen, H. (2022). Female CEO and internal control weaknesses. </w:t>
      </w:r>
      <w:r>
        <w:rPr>
          <w:rFonts w:ascii="Times New Roman" w:eastAsia="Times New Roman" w:hAnsi="Times New Roman" w:cs="Times New Roman"/>
          <w:i/>
          <w:iCs/>
          <w:sz w:val="24"/>
          <w:szCs w:val="24"/>
        </w:rPr>
        <w:t>Corporate Governance and Sustainability Review, 6</w:t>
      </w:r>
      <w:r>
        <w:rPr>
          <w:rFonts w:ascii="Times New Roman" w:eastAsia="Times New Roman" w:hAnsi="Times New Roman" w:cs="Times New Roman"/>
          <w:sz w:val="24"/>
          <w:szCs w:val="24"/>
        </w:rPr>
        <w:t>(2), 42–53.</w:t>
      </w:r>
      <w:hyperlink r:id="rId28">
        <w:r w:rsidR="003C11B1">
          <w:rPr>
            <w:rFonts w:ascii="Times New Roman" w:eastAsia="Times New Roman" w:hAnsi="Times New Roman" w:cs="Times New Roman"/>
            <w:sz w:val="24"/>
            <w:szCs w:val="24"/>
          </w:rPr>
          <w:t xml:space="preserve"> </w:t>
        </w:r>
      </w:hyperlink>
      <w:hyperlink r:id="rId29">
        <w:r w:rsidR="003C11B1">
          <w:rPr>
            <w:rFonts w:ascii="Times New Roman" w:eastAsia="Times New Roman" w:hAnsi="Times New Roman" w:cs="Times New Roman"/>
            <w:color w:val="0000FF"/>
            <w:sz w:val="24"/>
            <w:szCs w:val="24"/>
            <w:u w:val="single"/>
          </w:rPr>
          <w:t>https://doi.org/10.22495/cgsrv6i2p4</w:t>
        </w:r>
      </w:hyperlink>
    </w:p>
    <w:p w14:paraId="5C4A6B09"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proofErr w:type="spellStart"/>
      <w:r>
        <w:rPr>
          <w:rFonts w:ascii="Times New Roman" w:eastAsia="Times New Roman" w:hAnsi="Times New Roman" w:cs="Times New Roman"/>
          <w:sz w:val="24"/>
          <w:szCs w:val="24"/>
        </w:rPr>
        <w:t>Hyera</w:t>
      </w:r>
      <w:proofErr w:type="spellEnd"/>
      <w:r>
        <w:rPr>
          <w:rFonts w:ascii="Times New Roman" w:eastAsia="Times New Roman" w:hAnsi="Times New Roman" w:cs="Times New Roman"/>
          <w:sz w:val="24"/>
          <w:szCs w:val="24"/>
        </w:rPr>
        <w:t xml:space="preserve">, D. W., </w:t>
      </w:r>
      <w:proofErr w:type="spellStart"/>
      <w:r>
        <w:rPr>
          <w:rFonts w:ascii="Times New Roman" w:eastAsia="Times New Roman" w:hAnsi="Times New Roman" w:cs="Times New Roman"/>
          <w:sz w:val="24"/>
          <w:szCs w:val="24"/>
        </w:rPr>
        <w:t>Kadigi</w:t>
      </w:r>
      <w:proofErr w:type="spellEnd"/>
      <w:r>
        <w:rPr>
          <w:rFonts w:ascii="Times New Roman" w:eastAsia="Times New Roman" w:hAnsi="Times New Roman" w:cs="Times New Roman"/>
          <w:sz w:val="24"/>
          <w:szCs w:val="24"/>
        </w:rPr>
        <w:t xml:space="preserve">, M. L., &amp; </w:t>
      </w:r>
      <w:proofErr w:type="spellStart"/>
      <w:r>
        <w:rPr>
          <w:rFonts w:ascii="Times New Roman" w:eastAsia="Times New Roman" w:hAnsi="Times New Roman" w:cs="Times New Roman"/>
          <w:sz w:val="24"/>
          <w:szCs w:val="24"/>
        </w:rPr>
        <w:t>Ndyetabula</w:t>
      </w:r>
      <w:proofErr w:type="spellEnd"/>
      <w:r>
        <w:rPr>
          <w:rFonts w:ascii="Times New Roman" w:eastAsia="Times New Roman" w:hAnsi="Times New Roman" w:cs="Times New Roman"/>
          <w:sz w:val="24"/>
          <w:szCs w:val="24"/>
        </w:rPr>
        <w:t xml:space="preserve">, D. W. (2025). Internal control systems and the revenue collection performance among local government authorities in Tanzania. </w:t>
      </w:r>
      <w:r>
        <w:rPr>
          <w:rFonts w:ascii="Times New Roman" w:eastAsia="Times New Roman" w:hAnsi="Times New Roman" w:cs="Times New Roman"/>
          <w:i/>
          <w:iCs/>
          <w:sz w:val="24"/>
          <w:szCs w:val="24"/>
        </w:rPr>
        <w:t>Journal of Policy and Development Studies, 4</w:t>
      </w:r>
      <w:r>
        <w:rPr>
          <w:rFonts w:ascii="Times New Roman" w:eastAsia="Times New Roman" w:hAnsi="Times New Roman" w:cs="Times New Roman"/>
          <w:sz w:val="24"/>
          <w:szCs w:val="24"/>
        </w:rPr>
        <w:t>(1), 1–15.</w:t>
      </w:r>
      <w:hyperlink r:id="rId30">
        <w:r w:rsidR="003C11B1">
          <w:rPr>
            <w:rFonts w:ascii="Times New Roman" w:eastAsia="Times New Roman" w:hAnsi="Times New Roman" w:cs="Times New Roman"/>
            <w:sz w:val="24"/>
            <w:szCs w:val="24"/>
          </w:rPr>
          <w:t xml:space="preserve"> </w:t>
        </w:r>
      </w:hyperlink>
      <w:hyperlink r:id="rId31">
        <w:r w:rsidR="003C11B1">
          <w:rPr>
            <w:rFonts w:ascii="Times New Roman" w:eastAsia="Times New Roman" w:hAnsi="Times New Roman" w:cs="Times New Roman"/>
            <w:color w:val="0000FF"/>
            <w:sz w:val="24"/>
            <w:szCs w:val="24"/>
            <w:u w:val="single"/>
          </w:rPr>
          <w:t>https://doi.org/10.51317/jpds.v4i1.676</w:t>
        </w:r>
      </w:hyperlink>
    </w:p>
    <w:p w14:paraId="2DF91F72"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Janwarin, X. M. Y., &amp; Narsa, I. M. (2022). The internal control and financial statements as moderating of ethical climate.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 26</w:t>
      </w:r>
      <w:r>
        <w:rPr>
          <w:rFonts w:ascii="Times New Roman" w:eastAsia="Times New Roman" w:hAnsi="Times New Roman" w:cs="Times New Roman"/>
          <w:sz w:val="24"/>
          <w:szCs w:val="24"/>
        </w:rPr>
        <w:t>(4).</w:t>
      </w:r>
      <w:hyperlink r:id="rId32">
        <w:r w:rsidR="003C11B1">
          <w:rPr>
            <w:rFonts w:ascii="Times New Roman" w:eastAsia="Times New Roman" w:hAnsi="Times New Roman" w:cs="Times New Roman"/>
            <w:sz w:val="24"/>
            <w:szCs w:val="24"/>
          </w:rPr>
          <w:t xml:space="preserve"> </w:t>
        </w:r>
      </w:hyperlink>
      <w:hyperlink r:id="rId33">
        <w:r w:rsidR="003C11B1">
          <w:rPr>
            <w:rFonts w:ascii="Times New Roman" w:eastAsia="Times New Roman" w:hAnsi="Times New Roman" w:cs="Times New Roman"/>
            <w:color w:val="0000FF"/>
            <w:sz w:val="24"/>
            <w:szCs w:val="24"/>
            <w:u w:val="single"/>
          </w:rPr>
          <w:t>https://www.ecojoin.org/index.php/EJA/article/download/1046/883</w:t>
        </w:r>
      </w:hyperlink>
    </w:p>
    <w:p w14:paraId="493836D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Koopmans, Linda, </w:t>
      </w:r>
      <w:proofErr w:type="spellStart"/>
      <w:r>
        <w:rPr>
          <w:rFonts w:ascii="Times New Roman" w:eastAsia="Times New Roman" w:hAnsi="Times New Roman" w:cs="Times New Roman"/>
          <w:sz w:val="24"/>
          <w:szCs w:val="24"/>
        </w:rPr>
        <w:t>Bernaards</w:t>
      </w:r>
      <w:proofErr w:type="spellEnd"/>
      <w:r>
        <w:rPr>
          <w:rFonts w:ascii="Times New Roman" w:eastAsia="Times New Roman" w:hAnsi="Times New Roman" w:cs="Times New Roman"/>
          <w:sz w:val="24"/>
          <w:szCs w:val="24"/>
        </w:rPr>
        <w:t xml:space="preserve">, Claire, Hildebrandt, Vincent , Buuren, Stef van, van der Beek, Allard J., de Vet, Henrica C.W. (2012, November 30).  Development of an individual work performance questionnaire. </w:t>
      </w:r>
      <w:r>
        <w:rPr>
          <w:rFonts w:ascii="Times New Roman" w:eastAsia="Times New Roman" w:hAnsi="Times New Roman" w:cs="Times New Roman"/>
          <w:i/>
          <w:iCs/>
          <w:sz w:val="24"/>
          <w:szCs w:val="24"/>
        </w:rPr>
        <w:t>International Journal of Productivity and Performance Management</w:t>
      </w:r>
      <w:r>
        <w:rPr>
          <w:rFonts w:ascii="Times New Roman" w:eastAsia="Times New Roman" w:hAnsi="Times New Roman" w:cs="Times New Roman"/>
          <w:sz w:val="24"/>
          <w:szCs w:val="24"/>
        </w:rPr>
        <w:t xml:space="preserve">, 62 (1), 6–28. </w:t>
      </w:r>
      <w:hyperlink r:id="rId34">
        <w:r w:rsidR="003C11B1">
          <w:rPr>
            <w:rFonts w:ascii="Times New Roman" w:eastAsia="Times New Roman" w:hAnsi="Times New Roman" w:cs="Times New Roman"/>
            <w:color w:val="0000FF"/>
            <w:sz w:val="24"/>
            <w:szCs w:val="24"/>
            <w:u w:val="single"/>
          </w:rPr>
          <w:t>https://doi.org/10.1108/17410401311285273</w:t>
        </w:r>
      </w:hyperlink>
    </w:p>
    <w:p w14:paraId="0C9C1166"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Loke, C. H., Ismail, S., &amp; Fatima, H. (2019). Validation of Arnaud’s ethical climate index by public sector auditors in Malaysia. </w:t>
      </w:r>
      <w:r>
        <w:rPr>
          <w:rFonts w:ascii="Times New Roman" w:eastAsia="Times New Roman" w:hAnsi="Times New Roman" w:cs="Times New Roman"/>
          <w:i/>
          <w:iCs/>
          <w:sz w:val="24"/>
          <w:szCs w:val="24"/>
        </w:rPr>
        <w:t>International Journal of Ethics and Systems.</w:t>
      </w:r>
      <w:hyperlink r:id="rId35">
        <w:r w:rsidR="003C11B1">
          <w:rPr>
            <w:rFonts w:ascii="Times New Roman" w:eastAsia="Times New Roman" w:hAnsi="Times New Roman" w:cs="Times New Roman"/>
            <w:sz w:val="24"/>
            <w:szCs w:val="24"/>
          </w:rPr>
          <w:t xml:space="preserve"> </w:t>
        </w:r>
      </w:hyperlink>
      <w:hyperlink r:id="rId36">
        <w:r w:rsidR="003C11B1">
          <w:rPr>
            <w:rFonts w:ascii="Times New Roman" w:eastAsia="Times New Roman" w:hAnsi="Times New Roman" w:cs="Times New Roman"/>
            <w:color w:val="0000FF"/>
            <w:sz w:val="24"/>
            <w:szCs w:val="24"/>
            <w:u w:val="single"/>
          </w:rPr>
          <w:t>https://www.researchgate.net/publication/334485001</w:t>
        </w:r>
      </w:hyperlink>
    </w:p>
    <w:p w14:paraId="5A543A3D"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Madison, K., Holt, D. T., </w:t>
      </w:r>
      <w:proofErr w:type="spellStart"/>
      <w:r>
        <w:rPr>
          <w:rFonts w:ascii="Times New Roman" w:eastAsia="Times New Roman" w:hAnsi="Times New Roman" w:cs="Times New Roman"/>
          <w:sz w:val="24"/>
          <w:szCs w:val="24"/>
        </w:rPr>
        <w:t>Kellermanns</w:t>
      </w:r>
      <w:proofErr w:type="spellEnd"/>
      <w:r>
        <w:rPr>
          <w:rFonts w:ascii="Times New Roman" w:eastAsia="Times New Roman" w:hAnsi="Times New Roman" w:cs="Times New Roman"/>
          <w:sz w:val="24"/>
          <w:szCs w:val="24"/>
        </w:rPr>
        <w:t xml:space="preserve">, F. W., &amp; Ranft, A. L. (2016). Viewing family firm behavior through the lens of agency and stewardship theories. </w:t>
      </w:r>
      <w:r>
        <w:rPr>
          <w:rFonts w:ascii="Times New Roman" w:eastAsia="Times New Roman" w:hAnsi="Times New Roman" w:cs="Times New Roman"/>
          <w:i/>
          <w:iCs/>
          <w:sz w:val="24"/>
          <w:szCs w:val="24"/>
        </w:rPr>
        <w:t>Family Business Review, 29</w:t>
      </w:r>
      <w:r>
        <w:rPr>
          <w:rFonts w:ascii="Times New Roman" w:eastAsia="Times New Roman" w:hAnsi="Times New Roman" w:cs="Times New Roman"/>
          <w:sz w:val="24"/>
          <w:szCs w:val="24"/>
        </w:rPr>
        <w:t>(1), 65–93.</w:t>
      </w:r>
      <w:hyperlink r:id="rId37">
        <w:r w:rsidR="003C11B1">
          <w:rPr>
            <w:rFonts w:ascii="Times New Roman" w:eastAsia="Times New Roman" w:hAnsi="Times New Roman" w:cs="Times New Roman"/>
            <w:sz w:val="24"/>
            <w:szCs w:val="24"/>
          </w:rPr>
          <w:t xml:space="preserve"> </w:t>
        </w:r>
      </w:hyperlink>
      <w:hyperlink r:id="rId38">
        <w:r w:rsidR="003C11B1">
          <w:rPr>
            <w:rFonts w:ascii="Times New Roman" w:eastAsia="Times New Roman" w:hAnsi="Times New Roman" w:cs="Times New Roman"/>
            <w:color w:val="0000FF"/>
            <w:sz w:val="24"/>
            <w:szCs w:val="24"/>
            <w:u w:val="single"/>
          </w:rPr>
          <w:t>https://journals.sagepub.com/doi/10.1177/0894486515594292</w:t>
        </w:r>
      </w:hyperlink>
    </w:p>
    <w:p w14:paraId="6C4B1B3C"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proofErr w:type="spellStart"/>
      <w:r>
        <w:rPr>
          <w:rFonts w:ascii="Times New Roman" w:eastAsia="Times New Roman" w:hAnsi="Times New Roman" w:cs="Times New Roman"/>
          <w:sz w:val="24"/>
          <w:szCs w:val="24"/>
        </w:rPr>
        <w:t>Mahadeen</w:t>
      </w:r>
      <w:proofErr w:type="spellEnd"/>
      <w:r>
        <w:rPr>
          <w:rFonts w:ascii="Times New Roman" w:eastAsia="Times New Roman" w:hAnsi="Times New Roman" w:cs="Times New Roman"/>
          <w:sz w:val="24"/>
          <w:szCs w:val="24"/>
        </w:rPr>
        <w:t>, B., Tarhini, A., Al-</w:t>
      </w:r>
      <w:proofErr w:type="spellStart"/>
      <w:r>
        <w:rPr>
          <w:rFonts w:ascii="Times New Roman" w:eastAsia="Times New Roman" w:hAnsi="Times New Roman" w:cs="Times New Roman"/>
          <w:sz w:val="24"/>
          <w:szCs w:val="24"/>
        </w:rPr>
        <w:t>Dmour</w:t>
      </w:r>
      <w:proofErr w:type="spellEnd"/>
      <w:r>
        <w:rPr>
          <w:rFonts w:ascii="Times New Roman" w:eastAsia="Times New Roman" w:hAnsi="Times New Roman" w:cs="Times New Roman"/>
          <w:sz w:val="24"/>
          <w:szCs w:val="24"/>
        </w:rPr>
        <w:t xml:space="preserve">, R. H., &amp; Obeidat, B. Y. (2016). Examining the effect of the organization’s internal control system on organizational effectiveness: a Jordanian empirical study. </w:t>
      </w:r>
      <w:r>
        <w:rPr>
          <w:rFonts w:ascii="Times New Roman" w:eastAsia="Times New Roman" w:hAnsi="Times New Roman" w:cs="Times New Roman"/>
          <w:i/>
          <w:iCs/>
          <w:sz w:val="24"/>
          <w:szCs w:val="24"/>
        </w:rPr>
        <w:t>International Journal of Business Administration</w:t>
      </w:r>
      <w:r>
        <w:rPr>
          <w:rFonts w:ascii="Times New Roman" w:eastAsia="Times New Roman" w:hAnsi="Times New Roman" w:cs="Times New Roman"/>
          <w:sz w:val="24"/>
          <w:szCs w:val="24"/>
        </w:rPr>
        <w:t xml:space="preserve">, 7(6). </w:t>
      </w:r>
      <w:hyperlink r:id="rId39">
        <w:r w:rsidR="003C11B1">
          <w:rPr>
            <w:rFonts w:ascii="Times New Roman" w:eastAsia="Times New Roman" w:hAnsi="Times New Roman" w:cs="Times New Roman"/>
            <w:color w:val="0000FF"/>
            <w:sz w:val="24"/>
            <w:szCs w:val="24"/>
            <w:u w:val="single"/>
          </w:rPr>
          <w:t>https://doi.org/10.5430/ijba.v7n6p22</w:t>
        </w:r>
      </w:hyperlink>
    </w:p>
    <w:p w14:paraId="1860CE47"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Martin, K. D., &amp; Cullen, J. B. (2006). Continuities and extensions of ethical climate theory: A meta-analytic review. </w:t>
      </w:r>
      <w:r>
        <w:rPr>
          <w:rFonts w:ascii="Times New Roman" w:eastAsia="Times New Roman" w:hAnsi="Times New Roman" w:cs="Times New Roman"/>
          <w:i/>
          <w:iCs/>
          <w:sz w:val="24"/>
          <w:szCs w:val="24"/>
        </w:rPr>
        <w:t>Journal of Business Ethics, 69</w:t>
      </w:r>
      <w:r>
        <w:rPr>
          <w:rFonts w:ascii="Times New Roman" w:eastAsia="Times New Roman" w:hAnsi="Times New Roman" w:cs="Times New Roman"/>
          <w:sz w:val="24"/>
          <w:szCs w:val="24"/>
        </w:rPr>
        <w:t>(2), 175–194.</w:t>
      </w:r>
      <w:hyperlink r:id="rId40">
        <w:r w:rsidR="003C11B1">
          <w:rPr>
            <w:rFonts w:ascii="Times New Roman" w:eastAsia="Times New Roman" w:hAnsi="Times New Roman" w:cs="Times New Roman"/>
            <w:sz w:val="24"/>
            <w:szCs w:val="24"/>
          </w:rPr>
          <w:t xml:space="preserve"> </w:t>
        </w:r>
      </w:hyperlink>
      <w:hyperlink r:id="rId41">
        <w:r w:rsidR="003C11B1">
          <w:rPr>
            <w:rFonts w:ascii="Times New Roman" w:eastAsia="Times New Roman" w:hAnsi="Times New Roman" w:cs="Times New Roman"/>
            <w:color w:val="0000FF"/>
            <w:sz w:val="24"/>
            <w:szCs w:val="24"/>
            <w:u w:val="single"/>
          </w:rPr>
          <w:t>https://doi.org/10.1007/s10551-006-9084-7</w:t>
        </w:r>
      </w:hyperlink>
    </w:p>
    <w:p w14:paraId="54D62879" w14:textId="77777777" w:rsidR="003C11B1" w:rsidRDefault="00000000">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Mendoza, R. U., Bulaong, O. G., &amp; Mendoza, G. a. S. (2025). Anti-Corruption reforms in the Philippines: Quo Vadis? </w:t>
      </w:r>
      <w:r>
        <w:rPr>
          <w:rFonts w:ascii="Times New Roman" w:eastAsia="Times New Roman" w:hAnsi="Times New Roman" w:cs="Times New Roman"/>
          <w:i/>
          <w:iCs/>
          <w:sz w:val="24"/>
          <w:szCs w:val="24"/>
        </w:rPr>
        <w:t>Millennial Asia</w:t>
      </w:r>
      <w:r>
        <w:rPr>
          <w:rFonts w:ascii="Times New Roman" w:eastAsia="Times New Roman" w:hAnsi="Times New Roman" w:cs="Times New Roman"/>
          <w:sz w:val="24"/>
          <w:szCs w:val="24"/>
        </w:rPr>
        <w:t xml:space="preserve">, 16(3), 364–387. </w:t>
      </w:r>
      <w:hyperlink r:id="rId42">
        <w:r w:rsidR="003C11B1">
          <w:rPr>
            <w:rFonts w:ascii="Times New Roman" w:eastAsia="Times New Roman" w:hAnsi="Times New Roman" w:cs="Times New Roman"/>
            <w:color w:val="1155CC"/>
            <w:sz w:val="24"/>
            <w:szCs w:val="24"/>
            <w:u w:val="single"/>
          </w:rPr>
          <w:t>https://journals.sagepub.com/doi/10.1177/09763996251333209</w:t>
        </w:r>
      </w:hyperlink>
    </w:p>
    <w:p w14:paraId="36DB8A04"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National Competitiveness Council. (2023). Misamis Oriental profile: Cities and municipalities competitiveness index. Department of Trade and Industry. </w:t>
      </w:r>
      <w:hyperlink r:id="rId43">
        <w:r w:rsidR="003C11B1">
          <w:rPr>
            <w:rFonts w:ascii="Times New Roman" w:eastAsia="Times New Roman" w:hAnsi="Times New Roman" w:cs="Times New Roman"/>
            <w:color w:val="0000FF"/>
            <w:sz w:val="24"/>
            <w:szCs w:val="24"/>
            <w:u w:val="single"/>
          </w:rPr>
          <w:t>https://cmci.dti.gov.ph/prov-profile.php?prov=Misamis%20Oriental</w:t>
        </w:r>
      </w:hyperlink>
    </w:p>
    <w:p w14:paraId="1F4A900D"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Newman, A., Le, H., North-Samardzic, A., &amp; Cohen, M. (2020). Moral disengagement at work: A review and research agenda. </w:t>
      </w:r>
      <w:r>
        <w:rPr>
          <w:rFonts w:ascii="Times New Roman" w:eastAsia="Times New Roman" w:hAnsi="Times New Roman" w:cs="Times New Roman"/>
          <w:i/>
          <w:iCs/>
          <w:sz w:val="24"/>
          <w:szCs w:val="24"/>
        </w:rPr>
        <w:t>Journal of Business Ethics, 167</w:t>
      </w:r>
      <w:r>
        <w:rPr>
          <w:rFonts w:ascii="Times New Roman" w:eastAsia="Times New Roman" w:hAnsi="Times New Roman" w:cs="Times New Roman"/>
          <w:sz w:val="24"/>
          <w:szCs w:val="24"/>
        </w:rPr>
        <w:t>(3), 535–570.</w:t>
      </w:r>
      <w:hyperlink r:id="rId44">
        <w:r w:rsidR="003C11B1">
          <w:rPr>
            <w:rFonts w:ascii="Times New Roman" w:eastAsia="Times New Roman" w:hAnsi="Times New Roman" w:cs="Times New Roman"/>
            <w:sz w:val="24"/>
            <w:szCs w:val="24"/>
          </w:rPr>
          <w:t xml:space="preserve"> </w:t>
        </w:r>
      </w:hyperlink>
      <w:hyperlink r:id="rId45">
        <w:r w:rsidR="003C11B1">
          <w:rPr>
            <w:rFonts w:ascii="Times New Roman" w:eastAsia="Times New Roman" w:hAnsi="Times New Roman" w:cs="Times New Roman"/>
            <w:color w:val="0000FF"/>
            <w:sz w:val="24"/>
            <w:szCs w:val="24"/>
            <w:u w:val="single"/>
          </w:rPr>
          <w:t>https://psycnet.apa.org/record/2019-26495-001</w:t>
        </w:r>
      </w:hyperlink>
    </w:p>
    <w:p w14:paraId="0A84F8F9"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lastRenderedPageBreak/>
        <w:t xml:space="preserve">Office of the Ombudsman. (1989, February 20). Republic Act No. 6713.  An act establishing a code of conduct and ethical standards for public officials and employees. </w:t>
      </w:r>
      <w:hyperlink r:id="rId46">
        <w:r w:rsidR="003C11B1">
          <w:rPr>
            <w:rFonts w:ascii="Times New Roman" w:eastAsia="Times New Roman" w:hAnsi="Times New Roman" w:cs="Times New Roman"/>
            <w:color w:val="0000FF"/>
            <w:sz w:val="24"/>
            <w:szCs w:val="24"/>
            <w:u w:val="single"/>
          </w:rPr>
          <w:t>https://www.ombudsman.gov.ph/docs/republicacts/Republic_Act_No_6713.pdf</w:t>
        </w:r>
      </w:hyperlink>
    </w:p>
    <w:p w14:paraId="2A502F6A"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proofErr w:type="spellStart"/>
      <w:r>
        <w:rPr>
          <w:rFonts w:ascii="Times New Roman" w:eastAsia="Times New Roman" w:hAnsi="Times New Roman" w:cs="Times New Roman"/>
          <w:sz w:val="24"/>
          <w:szCs w:val="24"/>
        </w:rPr>
        <w:t>Ongonge</w:t>
      </w:r>
      <w:proofErr w:type="spellEnd"/>
      <w:r>
        <w:rPr>
          <w:rFonts w:ascii="Times New Roman" w:eastAsia="Times New Roman" w:hAnsi="Times New Roman" w:cs="Times New Roman"/>
          <w:sz w:val="24"/>
          <w:szCs w:val="24"/>
        </w:rPr>
        <w:t xml:space="preserve">, M. (2024). The effect of internal controls on financial performance of state enterprises in Kenya. </w:t>
      </w:r>
      <w:r>
        <w:rPr>
          <w:rFonts w:ascii="Times New Roman" w:eastAsia="Times New Roman" w:hAnsi="Times New Roman" w:cs="Times New Roman"/>
          <w:i/>
          <w:iCs/>
          <w:sz w:val="24"/>
          <w:szCs w:val="24"/>
        </w:rPr>
        <w:t>International Journal of Professional Business Review, 9</w:t>
      </w:r>
      <w:r>
        <w:rPr>
          <w:rFonts w:ascii="Times New Roman" w:eastAsia="Times New Roman" w:hAnsi="Times New Roman" w:cs="Times New Roman"/>
          <w:sz w:val="24"/>
          <w:szCs w:val="24"/>
        </w:rPr>
        <w:t>(12), e05156.</w:t>
      </w:r>
      <w:hyperlink r:id="rId47">
        <w:r w:rsidR="003C11B1">
          <w:rPr>
            <w:rFonts w:ascii="Times New Roman" w:eastAsia="Times New Roman" w:hAnsi="Times New Roman" w:cs="Times New Roman"/>
            <w:sz w:val="24"/>
            <w:szCs w:val="24"/>
          </w:rPr>
          <w:t xml:space="preserve"> </w:t>
        </w:r>
      </w:hyperlink>
      <w:hyperlink r:id="rId48">
        <w:r w:rsidR="003C11B1">
          <w:rPr>
            <w:rFonts w:ascii="Times New Roman" w:eastAsia="Times New Roman" w:hAnsi="Times New Roman" w:cs="Times New Roman"/>
            <w:color w:val="0000FF"/>
            <w:sz w:val="24"/>
            <w:szCs w:val="24"/>
            <w:u w:val="single"/>
          </w:rPr>
          <w:t>https://openaccessojs.com/JBReview/article/view/5156/2147</w:t>
        </w:r>
      </w:hyperlink>
    </w:p>
    <w:p w14:paraId="6137CFDF"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proofErr w:type="spellStart"/>
      <w:r>
        <w:rPr>
          <w:rFonts w:ascii="Times New Roman" w:eastAsia="Times New Roman" w:hAnsi="Times New Roman" w:cs="Times New Roman"/>
          <w:sz w:val="24"/>
          <w:szCs w:val="24"/>
        </w:rPr>
        <w:t>Pkatey</w:t>
      </w:r>
      <w:proofErr w:type="spellEnd"/>
      <w:r>
        <w:rPr>
          <w:rFonts w:ascii="Times New Roman" w:eastAsia="Times New Roman" w:hAnsi="Times New Roman" w:cs="Times New Roman"/>
          <w:sz w:val="24"/>
          <w:szCs w:val="24"/>
        </w:rPr>
        <w:t xml:space="preserve"> J.K. (2024) Internal control systems and performance of county government in Kenya; A review of the literature. </w:t>
      </w:r>
      <w:r>
        <w:rPr>
          <w:rFonts w:ascii="Times New Roman" w:eastAsia="Times New Roman" w:hAnsi="Times New Roman" w:cs="Times New Roman"/>
          <w:i/>
          <w:iCs/>
          <w:sz w:val="24"/>
          <w:szCs w:val="24"/>
        </w:rPr>
        <w:t>European Journal of Accounting, Auditing and Finance Research</w:t>
      </w:r>
      <w:r>
        <w:rPr>
          <w:rFonts w:ascii="Times New Roman" w:eastAsia="Times New Roman" w:hAnsi="Times New Roman" w:cs="Times New Roman"/>
          <w:sz w:val="24"/>
          <w:szCs w:val="24"/>
        </w:rPr>
        <w:t xml:space="preserve">, 12 (11), 58-77. </w:t>
      </w:r>
      <w:hyperlink r:id="rId49">
        <w:r w:rsidR="003C11B1">
          <w:rPr>
            <w:rFonts w:ascii="Times New Roman" w:eastAsia="Times New Roman" w:hAnsi="Times New Roman" w:cs="Times New Roman"/>
            <w:color w:val="0000FF"/>
            <w:sz w:val="24"/>
            <w:szCs w:val="24"/>
            <w:u w:val="single"/>
          </w:rPr>
          <w:t>https://eajournals.org/ejaafr/wp-content/uploads/sites/16/2024/12/Internal-Control-Systems.pdf</w:t>
        </w:r>
      </w:hyperlink>
    </w:p>
    <w:p w14:paraId="352E7A19"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proofErr w:type="spellStart"/>
      <w:r>
        <w:rPr>
          <w:rFonts w:ascii="Times New Roman" w:eastAsia="Times New Roman" w:hAnsi="Times New Roman" w:cs="Times New Roman"/>
          <w:sz w:val="24"/>
          <w:szCs w:val="24"/>
        </w:rPr>
        <w:t>Priantono</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Vidiyastutik</w:t>
      </w:r>
      <w:proofErr w:type="spellEnd"/>
      <w:r>
        <w:rPr>
          <w:rFonts w:ascii="Times New Roman" w:eastAsia="Times New Roman" w:hAnsi="Times New Roman" w:cs="Times New Roman"/>
          <w:sz w:val="24"/>
          <w:szCs w:val="24"/>
        </w:rPr>
        <w:t xml:space="preserve">, E. D. (2022). The Influence of Internal Control System and Accountability of Village Fund Allocation Management on Village Financial Performance. </w:t>
      </w:r>
      <w:r>
        <w:rPr>
          <w:rFonts w:ascii="Times New Roman" w:eastAsia="Times New Roman" w:hAnsi="Times New Roman" w:cs="Times New Roman"/>
          <w:i/>
          <w:iCs/>
          <w:sz w:val="24"/>
          <w:szCs w:val="24"/>
        </w:rPr>
        <w:t>International Journal of Social Science and Business</w:t>
      </w:r>
      <w:r>
        <w:rPr>
          <w:rFonts w:ascii="Times New Roman" w:eastAsia="Times New Roman" w:hAnsi="Times New Roman" w:cs="Times New Roman"/>
          <w:sz w:val="24"/>
          <w:szCs w:val="24"/>
        </w:rPr>
        <w:t xml:space="preserve">, 6(1), 1-10. </w:t>
      </w:r>
      <w:hyperlink r:id="rId50">
        <w:r w:rsidR="003C11B1">
          <w:rPr>
            <w:rFonts w:ascii="Times New Roman" w:eastAsia="Times New Roman" w:hAnsi="Times New Roman" w:cs="Times New Roman"/>
            <w:color w:val="0000FF"/>
            <w:sz w:val="24"/>
            <w:szCs w:val="24"/>
            <w:u w:val="single"/>
          </w:rPr>
          <w:t>https://www.researchgate.net/publication/361130946_The_Influence_of_Internal_Control_System_and_Accountability_of_Village_Fund_Allocation_Management_on_Village_Financial_Performance</w:t>
        </w:r>
      </w:hyperlink>
    </w:p>
    <w:p w14:paraId="530EF3FD"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Public Expenditure and Financial Accountability (PEFA). (2022). 2022 global report on public financial management. World Bank. </w:t>
      </w:r>
      <w:hyperlink r:id="rId51">
        <w:r w:rsidR="003C11B1">
          <w:rPr>
            <w:rFonts w:ascii="Times New Roman" w:eastAsia="Times New Roman" w:hAnsi="Times New Roman" w:cs="Times New Roman"/>
            <w:color w:val="0000FF"/>
            <w:sz w:val="24"/>
            <w:szCs w:val="24"/>
            <w:u w:val="single"/>
          </w:rPr>
          <w:t>https://www.pefa.org/global-report-2022/en/</w:t>
        </w:r>
      </w:hyperlink>
    </w:p>
    <w:p w14:paraId="7FB301C1"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proofErr w:type="spellStart"/>
      <w:r>
        <w:rPr>
          <w:rFonts w:ascii="Times New Roman" w:eastAsia="Times New Roman" w:hAnsi="Times New Roman" w:cs="Times New Roman"/>
          <w:sz w:val="24"/>
          <w:szCs w:val="24"/>
        </w:rPr>
        <w:t>Quinal</w:t>
      </w:r>
      <w:proofErr w:type="spellEnd"/>
      <w:r>
        <w:rPr>
          <w:rFonts w:ascii="Times New Roman" w:eastAsia="Times New Roman" w:hAnsi="Times New Roman" w:cs="Times New Roman"/>
          <w:sz w:val="24"/>
          <w:szCs w:val="24"/>
        </w:rPr>
        <w:t xml:space="preserve">, N. C., &amp; Dupa, H. J. P. (2024). Decision-making skills and leadership effectiveness among public school administrators in Tarragona District, Davao Oriental. </w:t>
      </w:r>
      <w:r>
        <w:rPr>
          <w:rFonts w:ascii="Times New Roman" w:eastAsia="Times New Roman" w:hAnsi="Times New Roman" w:cs="Times New Roman"/>
          <w:i/>
          <w:iCs/>
          <w:sz w:val="24"/>
          <w:szCs w:val="24"/>
        </w:rPr>
        <w:t>Davao Research Journal</w:t>
      </w:r>
      <w:r>
        <w:rPr>
          <w:rFonts w:ascii="Times New Roman" w:eastAsia="Times New Roman" w:hAnsi="Times New Roman" w:cs="Times New Roman"/>
          <w:sz w:val="24"/>
          <w:szCs w:val="24"/>
        </w:rPr>
        <w:t xml:space="preserve">, 15(2), 6–19. </w:t>
      </w:r>
      <w:hyperlink r:id="rId52">
        <w:r w:rsidR="003C11B1">
          <w:rPr>
            <w:rFonts w:ascii="Times New Roman" w:eastAsia="Times New Roman" w:hAnsi="Times New Roman" w:cs="Times New Roman"/>
            <w:color w:val="0000FF"/>
            <w:sz w:val="24"/>
            <w:szCs w:val="24"/>
            <w:u w:val="single"/>
          </w:rPr>
          <w:t>https://doi.org/10.59120/drj.v15iNo.2.166</w:t>
        </w:r>
      </w:hyperlink>
    </w:p>
    <w:p w14:paraId="115748F2"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proofErr w:type="spellStart"/>
      <w:r>
        <w:rPr>
          <w:rFonts w:ascii="Times New Roman" w:eastAsia="Times New Roman" w:hAnsi="Times New Roman" w:cs="Times New Roman"/>
          <w:sz w:val="24"/>
          <w:szCs w:val="24"/>
        </w:rPr>
        <w:t>Raudhatinur</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Meutia</w:t>
      </w:r>
      <w:proofErr w:type="spellEnd"/>
      <w:r>
        <w:rPr>
          <w:rFonts w:ascii="Times New Roman" w:eastAsia="Times New Roman" w:hAnsi="Times New Roman" w:cs="Times New Roman"/>
          <w:sz w:val="24"/>
          <w:szCs w:val="24"/>
        </w:rPr>
        <w:t xml:space="preserve">, R., &amp; Saputra, M. (2023). The effect of human resource competency and government internal control system on the quality of local government financial report. </w:t>
      </w:r>
      <w:r>
        <w:rPr>
          <w:rFonts w:ascii="Times New Roman" w:eastAsia="Times New Roman" w:hAnsi="Times New Roman" w:cs="Times New Roman"/>
          <w:i/>
          <w:iCs/>
          <w:sz w:val="24"/>
          <w:szCs w:val="24"/>
        </w:rPr>
        <w:t>International Journal of Current Science Research and Review, 6</w:t>
      </w:r>
      <w:r>
        <w:rPr>
          <w:rFonts w:ascii="Times New Roman" w:eastAsia="Times New Roman" w:hAnsi="Times New Roman" w:cs="Times New Roman"/>
          <w:sz w:val="24"/>
          <w:szCs w:val="24"/>
        </w:rPr>
        <w:t>(1), 608–619.</w:t>
      </w:r>
      <w:hyperlink r:id="rId53">
        <w:r w:rsidR="003C11B1">
          <w:rPr>
            <w:rFonts w:ascii="Times New Roman" w:eastAsia="Times New Roman" w:hAnsi="Times New Roman" w:cs="Times New Roman"/>
            <w:sz w:val="24"/>
            <w:szCs w:val="24"/>
          </w:rPr>
          <w:t xml:space="preserve"> </w:t>
        </w:r>
      </w:hyperlink>
      <w:hyperlink r:id="rId54">
        <w:r w:rsidR="003C11B1">
          <w:rPr>
            <w:rFonts w:ascii="Times New Roman" w:eastAsia="Times New Roman" w:hAnsi="Times New Roman" w:cs="Times New Roman"/>
            <w:color w:val="0000FF"/>
            <w:sz w:val="24"/>
            <w:szCs w:val="24"/>
            <w:u w:val="single"/>
          </w:rPr>
          <w:t>https://doi.org/10.47191/ijcsrr/V6-i1-67</w:t>
        </w:r>
      </w:hyperlink>
    </w:p>
    <w:p w14:paraId="5C961AE5"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proofErr w:type="spellStart"/>
      <w:r>
        <w:rPr>
          <w:rFonts w:ascii="Times New Roman" w:eastAsia="Times New Roman" w:hAnsi="Times New Roman" w:cs="Times New Roman"/>
          <w:sz w:val="24"/>
          <w:szCs w:val="24"/>
        </w:rPr>
        <w:t>Razzouki</w:t>
      </w:r>
      <w:proofErr w:type="spellEnd"/>
      <w:r>
        <w:rPr>
          <w:rFonts w:ascii="Times New Roman" w:eastAsia="Times New Roman" w:hAnsi="Times New Roman" w:cs="Times New Roman"/>
          <w:sz w:val="24"/>
          <w:szCs w:val="24"/>
        </w:rPr>
        <w:t xml:space="preserve">, M., et al. (2024). Internal control system, innovation and performance of Moroccan public organizations. </w:t>
      </w:r>
      <w:r>
        <w:rPr>
          <w:rFonts w:ascii="Times New Roman" w:eastAsia="Times New Roman" w:hAnsi="Times New Roman" w:cs="Times New Roman"/>
          <w:i/>
          <w:iCs/>
          <w:sz w:val="24"/>
          <w:szCs w:val="24"/>
        </w:rPr>
        <w:t>Management Studies and Journal, 12</w:t>
      </w:r>
      <w:r>
        <w:rPr>
          <w:rFonts w:ascii="Times New Roman" w:eastAsia="Times New Roman" w:hAnsi="Times New Roman" w:cs="Times New Roman"/>
          <w:sz w:val="24"/>
          <w:szCs w:val="24"/>
        </w:rPr>
        <w:t>(1).</w:t>
      </w:r>
      <w:hyperlink r:id="rId55">
        <w:r w:rsidR="003C11B1">
          <w:rPr>
            <w:rFonts w:ascii="Times New Roman" w:eastAsia="Times New Roman" w:hAnsi="Times New Roman" w:cs="Times New Roman"/>
            <w:sz w:val="24"/>
            <w:szCs w:val="24"/>
          </w:rPr>
          <w:t xml:space="preserve"> </w:t>
        </w:r>
      </w:hyperlink>
      <w:hyperlink r:id="rId56">
        <w:r w:rsidR="003C11B1">
          <w:rPr>
            <w:rFonts w:ascii="Times New Roman" w:eastAsia="Times New Roman" w:hAnsi="Times New Roman" w:cs="Times New Roman"/>
            <w:color w:val="0000FF"/>
            <w:sz w:val="24"/>
            <w:szCs w:val="24"/>
            <w:u w:val="single"/>
          </w:rPr>
          <w:t>https://www.researchgate.net/publication/379132737</w:t>
        </w:r>
      </w:hyperlink>
    </w:p>
    <w:p w14:paraId="059298C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Republic Act No. 3019. 1960, August 17). Anti-Graft and Corrupt Practices Act.</w:t>
      </w:r>
      <w:r>
        <w:rPr>
          <w:rFonts w:ascii="Times New Roman" w:eastAsia="Times New Roman" w:hAnsi="Times New Roman" w:cs="Times New Roman"/>
          <w:color w:val="0000FF"/>
          <w:sz w:val="24"/>
          <w:szCs w:val="24"/>
          <w:u w:val="single"/>
        </w:rPr>
        <w:t xml:space="preserve"> </w:t>
      </w:r>
      <w:hyperlink r:id="rId57">
        <w:r w:rsidR="003C11B1">
          <w:rPr>
            <w:rFonts w:ascii="Times New Roman" w:eastAsia="Times New Roman" w:hAnsi="Times New Roman" w:cs="Times New Roman"/>
            <w:color w:val="0000FF"/>
            <w:sz w:val="24"/>
            <w:szCs w:val="24"/>
            <w:u w:val="single"/>
          </w:rPr>
          <w:t>https://www.ombudsman.gov.ph/docs/republicacts/Republic_Act_No_3019.pdf</w:t>
        </w:r>
      </w:hyperlink>
    </w:p>
    <w:p w14:paraId="63FB34F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Republic Act No. 7160 (Local Government Code of 1991). (1991, October 10). An Act Providing for a Local Government Code of 1991. </w:t>
      </w:r>
      <w:proofErr w:type="spellStart"/>
      <w:r>
        <w:rPr>
          <w:rFonts w:ascii="Times New Roman" w:eastAsia="Times New Roman" w:hAnsi="Times New Roman" w:cs="Times New Roman"/>
          <w:i/>
          <w:iCs/>
          <w:sz w:val="24"/>
          <w:szCs w:val="24"/>
        </w:rPr>
        <w:t>LawPhil</w:t>
      </w:r>
      <w:proofErr w:type="spellEnd"/>
      <w:r>
        <w:rPr>
          <w:rFonts w:ascii="Times New Roman" w:eastAsia="Times New Roman" w:hAnsi="Times New Roman" w:cs="Times New Roman"/>
          <w:sz w:val="24"/>
          <w:szCs w:val="24"/>
        </w:rPr>
        <w:t xml:space="preserve">. </w:t>
      </w:r>
      <w:hyperlink r:id="rId58">
        <w:r w:rsidR="003C11B1">
          <w:rPr>
            <w:rFonts w:ascii="Times New Roman" w:eastAsia="Times New Roman" w:hAnsi="Times New Roman" w:cs="Times New Roman"/>
            <w:color w:val="0000FF"/>
            <w:sz w:val="24"/>
            <w:szCs w:val="24"/>
            <w:u w:val="single"/>
          </w:rPr>
          <w:t>https://lawphil.net/statutes/repacts/ra1991/ra_7160_1991.html</w:t>
        </w:r>
      </w:hyperlink>
    </w:p>
    <w:p w14:paraId="372B2C6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proofErr w:type="spellStart"/>
      <w:r>
        <w:rPr>
          <w:rFonts w:ascii="Times New Roman" w:eastAsia="Times New Roman" w:hAnsi="Times New Roman" w:cs="Times New Roman"/>
          <w:sz w:val="24"/>
          <w:szCs w:val="24"/>
        </w:rPr>
        <w:t>Schillemans</w:t>
      </w:r>
      <w:proofErr w:type="spellEnd"/>
      <w:r>
        <w:rPr>
          <w:rFonts w:ascii="Times New Roman" w:eastAsia="Times New Roman" w:hAnsi="Times New Roman" w:cs="Times New Roman"/>
          <w:sz w:val="24"/>
          <w:szCs w:val="24"/>
        </w:rPr>
        <w:t xml:space="preserve">, T., &amp; </w:t>
      </w:r>
      <w:proofErr w:type="spellStart"/>
      <w:r>
        <w:rPr>
          <w:rFonts w:ascii="Times New Roman" w:eastAsia="Times New Roman" w:hAnsi="Times New Roman" w:cs="Times New Roman"/>
          <w:sz w:val="24"/>
          <w:szCs w:val="24"/>
        </w:rPr>
        <w:t>Bjurstrøm</w:t>
      </w:r>
      <w:proofErr w:type="spellEnd"/>
      <w:r>
        <w:rPr>
          <w:rFonts w:ascii="Times New Roman" w:eastAsia="Times New Roman" w:hAnsi="Times New Roman" w:cs="Times New Roman"/>
          <w:sz w:val="24"/>
          <w:szCs w:val="24"/>
        </w:rPr>
        <w:t xml:space="preserve">, K. H. (2019). Trust and verification: Balancing agency and stewardship theory in the governance of agencies. </w:t>
      </w:r>
      <w:r>
        <w:rPr>
          <w:rFonts w:ascii="Times New Roman" w:eastAsia="Times New Roman" w:hAnsi="Times New Roman" w:cs="Times New Roman"/>
          <w:i/>
          <w:iCs/>
          <w:sz w:val="24"/>
          <w:szCs w:val="24"/>
        </w:rPr>
        <w:t>International Public Management Journal, 23</w:t>
      </w:r>
      <w:r>
        <w:rPr>
          <w:rFonts w:ascii="Times New Roman" w:eastAsia="Times New Roman" w:hAnsi="Times New Roman" w:cs="Times New Roman"/>
          <w:sz w:val="24"/>
          <w:szCs w:val="24"/>
        </w:rPr>
        <w:t>(1), 3–30.</w:t>
      </w:r>
      <w:hyperlink r:id="rId59">
        <w:r w:rsidR="003C11B1">
          <w:rPr>
            <w:rFonts w:ascii="Times New Roman" w:eastAsia="Times New Roman" w:hAnsi="Times New Roman" w:cs="Times New Roman"/>
            <w:color w:val="0000FF"/>
            <w:sz w:val="24"/>
            <w:szCs w:val="24"/>
          </w:rPr>
          <w:t xml:space="preserve"> </w:t>
        </w:r>
      </w:hyperlink>
      <w:hyperlink r:id="rId60">
        <w:r w:rsidR="003C11B1">
          <w:rPr>
            <w:rFonts w:ascii="Times New Roman" w:eastAsia="Times New Roman" w:hAnsi="Times New Roman" w:cs="Times New Roman"/>
            <w:color w:val="0000FF"/>
            <w:sz w:val="24"/>
            <w:szCs w:val="24"/>
            <w:u w:val="single"/>
          </w:rPr>
          <w:t>https://doi.org/10.1080/10967494.2018.1553807</w:t>
        </w:r>
      </w:hyperlink>
    </w:p>
    <w:p w14:paraId="0E52B134"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lastRenderedPageBreak/>
        <w:t xml:space="preserve">Schneid, M., Isidor, R., Steinmetz, H., &amp; </w:t>
      </w:r>
      <w:proofErr w:type="spellStart"/>
      <w:r>
        <w:rPr>
          <w:rFonts w:ascii="Times New Roman" w:eastAsia="Times New Roman" w:hAnsi="Times New Roman" w:cs="Times New Roman"/>
          <w:sz w:val="24"/>
          <w:szCs w:val="24"/>
        </w:rPr>
        <w:t>Kabst</w:t>
      </w:r>
      <w:proofErr w:type="spellEnd"/>
      <w:r>
        <w:rPr>
          <w:rFonts w:ascii="Times New Roman" w:eastAsia="Times New Roman" w:hAnsi="Times New Roman" w:cs="Times New Roman"/>
          <w:sz w:val="24"/>
          <w:szCs w:val="24"/>
        </w:rPr>
        <w:t xml:space="preserve">, R. (2016). Age diversity and team outcomes: A quantitative review. </w:t>
      </w:r>
      <w:r>
        <w:rPr>
          <w:rFonts w:ascii="Times New Roman" w:eastAsia="Times New Roman" w:hAnsi="Times New Roman" w:cs="Times New Roman"/>
          <w:i/>
          <w:iCs/>
          <w:sz w:val="24"/>
          <w:szCs w:val="24"/>
        </w:rPr>
        <w:t>Journal of Managerial Psychology</w:t>
      </w:r>
      <w:r>
        <w:rPr>
          <w:rFonts w:ascii="Times New Roman" w:eastAsia="Times New Roman" w:hAnsi="Times New Roman" w:cs="Times New Roman"/>
          <w:sz w:val="24"/>
          <w:szCs w:val="24"/>
        </w:rPr>
        <w:t xml:space="preserve">, 31(1), 2–17. </w:t>
      </w:r>
      <w:hyperlink r:id="rId61">
        <w:r w:rsidR="003C11B1">
          <w:rPr>
            <w:rFonts w:ascii="Times New Roman" w:eastAsia="Times New Roman" w:hAnsi="Times New Roman" w:cs="Times New Roman"/>
            <w:color w:val="0000FF"/>
            <w:sz w:val="24"/>
            <w:szCs w:val="24"/>
            <w:u w:val="single"/>
          </w:rPr>
          <w:t>https://doi.org/10.1108/JMP-07-2012-0228</w:t>
        </w:r>
      </w:hyperlink>
    </w:p>
    <w:p w14:paraId="1564C63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Talla, A., </w:t>
      </w:r>
      <w:proofErr w:type="spellStart"/>
      <w:r>
        <w:rPr>
          <w:rFonts w:ascii="Times New Roman" w:eastAsia="Times New Roman" w:hAnsi="Times New Roman" w:cs="Times New Roman"/>
          <w:sz w:val="24"/>
          <w:szCs w:val="24"/>
        </w:rPr>
        <w:t>Sapulette</w:t>
      </w:r>
      <w:proofErr w:type="spellEnd"/>
      <w:r>
        <w:rPr>
          <w:rFonts w:ascii="Times New Roman" w:eastAsia="Times New Roman" w:hAnsi="Times New Roman" w:cs="Times New Roman"/>
          <w:sz w:val="24"/>
          <w:szCs w:val="24"/>
        </w:rPr>
        <w:t xml:space="preserve">, S. G., &amp; Limba, F. B. (2025). The relationship between public sector internal controls and fraud prevention. </w:t>
      </w:r>
      <w:r>
        <w:rPr>
          <w:rFonts w:ascii="Times New Roman" w:eastAsia="Times New Roman" w:hAnsi="Times New Roman" w:cs="Times New Roman"/>
          <w:i/>
          <w:iCs/>
          <w:sz w:val="24"/>
          <w:szCs w:val="24"/>
        </w:rPr>
        <w:t>International Journal of Economic Literature, 2</w:t>
      </w:r>
      <w:r>
        <w:rPr>
          <w:rFonts w:ascii="Times New Roman" w:eastAsia="Times New Roman" w:hAnsi="Times New Roman" w:cs="Times New Roman"/>
          <w:sz w:val="24"/>
          <w:szCs w:val="24"/>
        </w:rPr>
        <w:t>(12), 2150–2170.</w:t>
      </w:r>
      <w:hyperlink r:id="rId62">
        <w:r w:rsidR="003C11B1">
          <w:rPr>
            <w:rFonts w:ascii="Times New Roman" w:eastAsia="Times New Roman" w:hAnsi="Times New Roman" w:cs="Times New Roman"/>
            <w:sz w:val="24"/>
            <w:szCs w:val="24"/>
          </w:rPr>
          <w:t xml:space="preserve"> </w:t>
        </w:r>
      </w:hyperlink>
      <w:hyperlink r:id="rId63">
        <w:r w:rsidR="003C11B1">
          <w:rPr>
            <w:rFonts w:ascii="Times New Roman" w:eastAsia="Times New Roman" w:hAnsi="Times New Roman" w:cs="Times New Roman"/>
            <w:color w:val="0000FF"/>
            <w:sz w:val="24"/>
            <w:szCs w:val="24"/>
            <w:u w:val="single"/>
          </w:rPr>
          <w:t>https://sociohum.net/index.php/INJOLE/article/view/256</w:t>
        </w:r>
      </w:hyperlink>
    </w:p>
    <w:p w14:paraId="56144FBE"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Weber, J., &amp; Opoku-</w:t>
      </w:r>
      <w:proofErr w:type="spellStart"/>
      <w:r>
        <w:rPr>
          <w:rFonts w:ascii="Times New Roman" w:eastAsia="Times New Roman" w:hAnsi="Times New Roman" w:cs="Times New Roman"/>
          <w:sz w:val="24"/>
          <w:szCs w:val="24"/>
        </w:rPr>
        <w:t>Dakwa</w:t>
      </w:r>
      <w:proofErr w:type="spellEnd"/>
      <w:r>
        <w:rPr>
          <w:rFonts w:ascii="Times New Roman" w:eastAsia="Times New Roman" w:hAnsi="Times New Roman" w:cs="Times New Roman"/>
          <w:sz w:val="24"/>
          <w:szCs w:val="24"/>
        </w:rPr>
        <w:t xml:space="preserve">, A. (2022). Ethical work climate 2.0: A normative reformulation of Victor and Cullen’s 1988 framework. </w:t>
      </w:r>
      <w:r>
        <w:rPr>
          <w:rFonts w:ascii="Times New Roman" w:eastAsia="Times New Roman" w:hAnsi="Times New Roman" w:cs="Times New Roman"/>
          <w:i/>
          <w:iCs/>
          <w:sz w:val="24"/>
          <w:szCs w:val="24"/>
        </w:rPr>
        <w:t>Journal of Business Ethics, 178</w:t>
      </w:r>
      <w:r>
        <w:rPr>
          <w:rFonts w:ascii="Times New Roman" w:eastAsia="Times New Roman" w:hAnsi="Times New Roman" w:cs="Times New Roman"/>
          <w:sz w:val="24"/>
          <w:szCs w:val="24"/>
        </w:rPr>
        <w:t>(3), 629–646.</w:t>
      </w:r>
      <w:hyperlink r:id="rId64">
        <w:r w:rsidR="003C11B1">
          <w:rPr>
            <w:rFonts w:ascii="Times New Roman" w:eastAsia="Times New Roman" w:hAnsi="Times New Roman" w:cs="Times New Roman"/>
            <w:sz w:val="24"/>
            <w:szCs w:val="24"/>
          </w:rPr>
          <w:t xml:space="preserve"> </w:t>
        </w:r>
      </w:hyperlink>
      <w:hyperlink r:id="rId65">
        <w:r w:rsidR="003C11B1">
          <w:rPr>
            <w:rFonts w:ascii="Times New Roman" w:eastAsia="Times New Roman" w:hAnsi="Times New Roman" w:cs="Times New Roman"/>
            <w:color w:val="0000FF"/>
            <w:sz w:val="24"/>
            <w:szCs w:val="24"/>
            <w:u w:val="single"/>
          </w:rPr>
          <w:t>https://www.researchgate.net/publication/349759604</w:t>
        </w:r>
      </w:hyperlink>
    </w:p>
    <w:p w14:paraId="64441539"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World Bank. (2023). Financial Management Umbrella Program (FMUP): 2023 Annual Report. </w:t>
      </w:r>
      <w:hyperlink r:id="rId66">
        <w:r w:rsidR="003C11B1">
          <w:rPr>
            <w:rFonts w:ascii="Times New Roman" w:eastAsia="Times New Roman" w:hAnsi="Times New Roman" w:cs="Times New Roman"/>
            <w:color w:val="0000FF"/>
            <w:sz w:val="24"/>
            <w:szCs w:val="24"/>
            <w:u w:val="single"/>
          </w:rPr>
          <w:t>https://thedocs.worldbank.org/en/doc/3d1885e1e767f84aa7a5ceecec95e8ab-0060072025/original/Financial-Management-Annual-Report-2023-Public-Version.pdf</w:t>
        </w:r>
      </w:hyperlink>
    </w:p>
    <w:p w14:paraId="22EF0673" w14:textId="77777777" w:rsidR="003C11B1" w:rsidRDefault="00000000">
      <w:pPr>
        <w:spacing w:before="240" w:after="240" w:line="240" w:lineRule="auto"/>
        <w:ind w:left="720" w:hanging="720"/>
        <w:jc w:val="both"/>
        <w:rPr>
          <w:rFonts w:ascii="Times New Roman" w:eastAsia="Times New Roman" w:hAnsi="Times New Roman" w:cs="Times New Roman"/>
          <w:color w:val="0000FF"/>
          <w:sz w:val="24"/>
          <w:szCs w:val="24"/>
          <w:u w:val="single"/>
        </w:rPr>
      </w:pPr>
      <w:proofErr w:type="spellStart"/>
      <w:r>
        <w:rPr>
          <w:rFonts w:ascii="Times New Roman" w:eastAsia="Times New Roman" w:hAnsi="Times New Roman" w:cs="Times New Roman"/>
          <w:sz w:val="24"/>
          <w:szCs w:val="24"/>
        </w:rPr>
        <w:t>Zogning</w:t>
      </w:r>
      <w:proofErr w:type="spellEnd"/>
      <w:r>
        <w:rPr>
          <w:rFonts w:ascii="Times New Roman" w:eastAsia="Times New Roman" w:hAnsi="Times New Roman" w:cs="Times New Roman"/>
          <w:sz w:val="24"/>
          <w:szCs w:val="24"/>
        </w:rPr>
        <w:t xml:space="preserve">, F. (2017). Agency theory: A critical review. </w:t>
      </w:r>
      <w:r>
        <w:rPr>
          <w:rFonts w:ascii="Times New Roman" w:eastAsia="Times New Roman" w:hAnsi="Times New Roman" w:cs="Times New Roman"/>
          <w:i/>
          <w:iCs/>
          <w:sz w:val="24"/>
          <w:szCs w:val="24"/>
        </w:rPr>
        <w:t>EJ Business &amp; Management, 5</w:t>
      </w:r>
      <w:r>
        <w:rPr>
          <w:rFonts w:ascii="Times New Roman" w:eastAsia="Times New Roman" w:hAnsi="Times New Roman" w:cs="Times New Roman"/>
          <w:sz w:val="24"/>
          <w:szCs w:val="24"/>
        </w:rPr>
        <w:t>(4), 249–260.</w:t>
      </w:r>
      <w:hyperlink r:id="rId67">
        <w:r w:rsidR="003C11B1">
          <w:rPr>
            <w:rFonts w:ascii="Times New Roman" w:eastAsia="Times New Roman" w:hAnsi="Times New Roman" w:cs="Times New Roman"/>
            <w:sz w:val="24"/>
            <w:szCs w:val="24"/>
          </w:rPr>
          <w:t xml:space="preserve"> </w:t>
        </w:r>
      </w:hyperlink>
      <w:hyperlink r:id="rId68">
        <w:r w:rsidR="003C11B1">
          <w:rPr>
            <w:rFonts w:ascii="Times New Roman" w:eastAsia="Times New Roman" w:hAnsi="Times New Roman" w:cs="Times New Roman"/>
            <w:color w:val="0000FF"/>
            <w:sz w:val="24"/>
            <w:szCs w:val="24"/>
            <w:u w:val="single"/>
          </w:rPr>
          <w:t>https://www.researchgate.net/publication/364812853</w:t>
        </w:r>
      </w:hyperlink>
    </w:p>
    <w:p w14:paraId="46D71BFB" w14:textId="77777777" w:rsidR="003C11B1" w:rsidRDefault="003C11B1">
      <w:pPr>
        <w:spacing w:line="240" w:lineRule="auto"/>
        <w:jc w:val="both"/>
        <w:rPr>
          <w:rFonts w:ascii="Times New Roman" w:eastAsia="Times New Roman" w:hAnsi="Times New Roman" w:cs="Times New Roman"/>
          <w:sz w:val="24"/>
          <w:szCs w:val="24"/>
        </w:rPr>
      </w:pPr>
    </w:p>
    <w:p w14:paraId="45593A7C" w14:textId="77777777" w:rsidR="003C11B1" w:rsidRDefault="003C11B1">
      <w:pPr>
        <w:spacing w:line="240" w:lineRule="auto"/>
        <w:jc w:val="both"/>
        <w:rPr>
          <w:rFonts w:ascii="Times New Roman" w:eastAsia="Times New Roman" w:hAnsi="Times New Roman" w:cs="Times New Roman"/>
          <w:sz w:val="24"/>
          <w:szCs w:val="24"/>
        </w:rPr>
      </w:pPr>
    </w:p>
    <w:sectPr w:rsidR="003C11B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7EA174-0CEB-4CE3-92F3-26707DFB948D}"/>
  </w:font>
  <w:font w:name="Cambria">
    <w:panose1 w:val="02040503050406030204"/>
    <w:charset w:val="00"/>
    <w:family w:val="roman"/>
    <w:pitch w:val="variable"/>
    <w:sig w:usb0="E00006FF" w:usb1="420024FF" w:usb2="02000000" w:usb3="00000000" w:csb0="0000019F" w:csb1="00000000"/>
    <w:embedRegular r:id="rId2" w:fontKey="{36CD8015-9F1A-49BA-81D2-AC7B9B038C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1B1"/>
    <w:rsid w:val="00311101"/>
    <w:rsid w:val="003C11B1"/>
    <w:rsid w:val="004F0A22"/>
    <w:rsid w:val="006B3EC6"/>
    <w:rsid w:val="00747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154C6"/>
  <w15:docId w15:val="{5BB4388F-EE38-4D1F-9425-249F9FDA4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both"/>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unhideWhenUsed/>
    <w:qFormat/>
    <w:pPr>
      <w:keepNext/>
      <w:keepLines/>
      <w:spacing w:line="240" w:lineRule="auto"/>
      <w:jc w:val="both"/>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unhideWhenUsed/>
    <w:qFormat/>
    <w:pPr>
      <w:keepNext/>
      <w:keepLines/>
      <w:spacing w:line="240" w:lineRule="auto"/>
      <w:jc w:val="both"/>
      <w:outlineLvl w:val="2"/>
    </w:pPr>
    <w:rPr>
      <w:rFonts w:ascii="Times New Roman" w:eastAsia="Times New Roman" w:hAnsi="Times New Roman" w:cs="Times New Roman"/>
      <w:b/>
      <w:bCs/>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pPr>
      <w:spacing w:line="240" w:lineRule="auto"/>
    </w:pPr>
    <w:tblPr>
      <w:tblStyleRowBandSize w:val="1"/>
      <w:tblStyleColBandSize w:val="1"/>
      <w:tblCellMar>
        <w:top w:w="0" w:type="dxa"/>
        <w:left w:w="115" w:type="dxa"/>
        <w:bottom w:w="0" w:type="dxa"/>
        <w:right w:w="115" w:type="dxa"/>
      </w:tblCellMar>
    </w:tblPr>
    <w:tcPr>
      <w:shd w:val="clear" w:color="auto" w:fill="ECF1F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li.johogo.com/Class/CCU/SEM/_Introduction%20to%20Mediation%20Moderation%20and%20Conditional%20Process%20Analysis%20by%20Andrew%20F%20Hayes.pdf" TargetMode="External"/><Relationship Id="rId21" Type="http://schemas.openxmlformats.org/officeDocument/2006/relationships/hyperlink" Target="https://doi.org/10.35912/ijfam.v3i4.810" TargetMode="External"/><Relationship Id="rId42" Type="http://schemas.openxmlformats.org/officeDocument/2006/relationships/hyperlink" Target="https://journals.sagepub.com/doi/10.1177/09763996251333209" TargetMode="External"/><Relationship Id="rId47" Type="http://schemas.openxmlformats.org/officeDocument/2006/relationships/hyperlink" Target="https://openaccessojs.com/JBReview/article/view/5156/2147" TargetMode="External"/><Relationship Id="rId63" Type="http://schemas.openxmlformats.org/officeDocument/2006/relationships/hyperlink" Target="https://sociohum.net/index.php/INJOLE/article/view/256" TargetMode="External"/><Relationship Id="rId68" Type="http://schemas.openxmlformats.org/officeDocument/2006/relationships/hyperlink" Target="https://www.researchgate.net/publication/364812853" TargetMode="External"/><Relationship Id="rId7" Type="http://schemas.openxmlformats.org/officeDocument/2006/relationships/hyperlink" Target="https://doi.org/10.1007/s10551-015-2625-1" TargetMode="External"/><Relationship Id="rId2" Type="http://schemas.openxmlformats.org/officeDocument/2006/relationships/settings" Target="settings.xml"/><Relationship Id="rId16" Type="http://schemas.openxmlformats.org/officeDocument/2006/relationships/hyperlink" Target="https://doi.org/10.3389/fpsyg.2017.00313" TargetMode="External"/><Relationship Id="rId29" Type="http://schemas.openxmlformats.org/officeDocument/2006/relationships/hyperlink" Target="https://doi.org/10.22495/cgsrv6i2p4" TargetMode="External"/><Relationship Id="rId11" Type="http://schemas.openxmlformats.org/officeDocument/2006/relationships/hyperlink" Target="https://blgf.gov.ph/wp-content/uploads/2022/10/LTOM-Book-1-E-Copy.pdf" TargetMode="External"/><Relationship Id="rId24" Type="http://schemas.openxmlformats.org/officeDocument/2006/relationships/hyperlink" Target="https://rsisinternational.org/journals/ijriss/articles/relationship-of-emotional-intelligence-ei-and-administrative-performance-of-private-school-principals-basis-for-ei-training-program/" TargetMode="External"/><Relationship Id="rId32" Type="http://schemas.openxmlformats.org/officeDocument/2006/relationships/hyperlink" Target="https://www.ecojoin.org/index.php/EJA/article/download/1046/883" TargetMode="External"/><Relationship Id="rId37" Type="http://schemas.openxmlformats.org/officeDocument/2006/relationships/hyperlink" Target="https://journals.sagepub.com/doi/10.1177/0894486515594292" TargetMode="External"/><Relationship Id="rId40" Type="http://schemas.openxmlformats.org/officeDocument/2006/relationships/hyperlink" Target="https://doi.org/10.1007/s10551-006-9084-7" TargetMode="External"/><Relationship Id="rId45" Type="http://schemas.openxmlformats.org/officeDocument/2006/relationships/hyperlink" Target="https://psycnet.apa.org/record/2019-26495-001" TargetMode="External"/><Relationship Id="rId53" Type="http://schemas.openxmlformats.org/officeDocument/2006/relationships/hyperlink" Target="https://doi.org/10.47191/ijcsrr/V6-i1-67" TargetMode="External"/><Relationship Id="rId58" Type="http://schemas.openxmlformats.org/officeDocument/2006/relationships/hyperlink" Target="https://lawphil.net/statutes/repacts/ra1991/ra_7160_1991.html" TargetMode="External"/><Relationship Id="rId66" Type="http://schemas.openxmlformats.org/officeDocument/2006/relationships/hyperlink" Target="https://thedocs.worldbank.org/en/doc/3d1885e1e767f84aa7a5ceecec95e8ab-0060072025/original/Financial-Management-Annual-Report-2023-Public-Version.pdf" TargetMode="External"/><Relationship Id="rId5" Type="http://schemas.openxmlformats.org/officeDocument/2006/relationships/hyperlink" Target="https://www.econstor.eu/bitstream/10419/305968/1/id604.pdf" TargetMode="External"/><Relationship Id="rId61" Type="http://schemas.openxmlformats.org/officeDocument/2006/relationships/hyperlink" Target="https://doi.org/10.1108/JMP-07-2012-0228" TargetMode="External"/><Relationship Id="rId19" Type="http://schemas.openxmlformats.org/officeDocument/2006/relationships/hyperlink" Target="https://accounting.wharton.upenn.edu/wp-content/uploads/2024/05/EHSW_Wharton-003-DELPHINE-revised.pdf" TargetMode="External"/><Relationship Id="rId14" Type="http://schemas.openxmlformats.org/officeDocument/2006/relationships/hyperlink" Target="https://www.verywellmind.com/erik-eriksons-stages-of-psychosocial-development-2795740" TargetMode="External"/><Relationship Id="rId22" Type="http://schemas.openxmlformats.org/officeDocument/2006/relationships/hyperlink" Target="https://doi.org/10.35912/ijfam.v3i4.810" TargetMode="External"/><Relationship Id="rId27" Type="http://schemas.openxmlformats.org/officeDocument/2006/relationships/hyperlink" Target="https://eli.johogo.com/Class/CCU/SEM/_Introduction%20to%20Mediation%20Moderation%20and%20Conditional%20Process%20Analysis%20by%20Andrew%20F%20Hayes.pdf" TargetMode="External"/><Relationship Id="rId30" Type="http://schemas.openxmlformats.org/officeDocument/2006/relationships/hyperlink" Target="https://doi.org/10.51317/jpds.v4i1.676" TargetMode="External"/><Relationship Id="rId35" Type="http://schemas.openxmlformats.org/officeDocument/2006/relationships/hyperlink" Target="https://www.researchgate.net/publication/334485001" TargetMode="External"/><Relationship Id="rId43" Type="http://schemas.openxmlformats.org/officeDocument/2006/relationships/hyperlink" Target="https://cmci.dti.gov.ph/prov-profile.php?prov=Misamis%20Oriental" TargetMode="External"/><Relationship Id="rId48" Type="http://schemas.openxmlformats.org/officeDocument/2006/relationships/hyperlink" Target="https://openaccessojs.com/JBReview/article/view/5156/2147" TargetMode="External"/><Relationship Id="rId56" Type="http://schemas.openxmlformats.org/officeDocument/2006/relationships/hyperlink" Target="https://www.researchgate.net/publication/379132737" TargetMode="External"/><Relationship Id="rId64" Type="http://schemas.openxmlformats.org/officeDocument/2006/relationships/hyperlink" Target="https://www.researchgate.net/publication/349759604" TargetMode="External"/><Relationship Id="rId69" Type="http://schemas.openxmlformats.org/officeDocument/2006/relationships/fontTable" Target="fontTable.xml"/><Relationship Id="rId8" Type="http://schemas.openxmlformats.org/officeDocument/2006/relationships/hyperlink" Target="https://doi.org/10.1007/s10551-015-2625-1" TargetMode="External"/><Relationship Id="rId51" Type="http://schemas.openxmlformats.org/officeDocument/2006/relationships/hyperlink" Target="https://www.pefa.org/global-report-2022/en/" TargetMode="External"/><Relationship Id="rId3" Type="http://schemas.openxmlformats.org/officeDocument/2006/relationships/webSettings" Target="webSettings.xml"/><Relationship Id="rId12" Type="http://schemas.openxmlformats.org/officeDocument/2006/relationships/hyperlink" Target="https://doi.org/10.5093/jwop2024a10" TargetMode="External"/><Relationship Id="rId17" Type="http://schemas.openxmlformats.org/officeDocument/2006/relationships/hyperlink" Target="https://doi.org/10.47772/IJRISS.2025.910000384" TargetMode="External"/><Relationship Id="rId25" Type="http://schemas.openxmlformats.org/officeDocument/2006/relationships/hyperlink" Target="https://doi.org/10.23925/2179-3565.2024v15i2p16-32" TargetMode="External"/><Relationship Id="rId33" Type="http://schemas.openxmlformats.org/officeDocument/2006/relationships/hyperlink" Target="https://www.ecojoin.org/index.php/EJA/article/download/1046/883" TargetMode="External"/><Relationship Id="rId38" Type="http://schemas.openxmlformats.org/officeDocument/2006/relationships/hyperlink" Target="https://journals.sagepub.com/doi/10.1177/0894486515594292" TargetMode="External"/><Relationship Id="rId46" Type="http://schemas.openxmlformats.org/officeDocument/2006/relationships/hyperlink" Target="https://www.ombudsman.gov.ph/docs/republicacts/Republic_Act_No_6713.pdf" TargetMode="External"/><Relationship Id="rId59" Type="http://schemas.openxmlformats.org/officeDocument/2006/relationships/hyperlink" Target="https://doi.org/10.1080/10967494.2018.1553807" TargetMode="External"/><Relationship Id="rId67" Type="http://schemas.openxmlformats.org/officeDocument/2006/relationships/hyperlink" Target="https://www.researchgate.net/publication/364812853" TargetMode="External"/><Relationship Id="rId20" Type="http://schemas.openxmlformats.org/officeDocument/2006/relationships/hyperlink" Target="https://www.semanticscholar.org/paper/Sampling-and-Sampling-Methods-Etikan-Bala/02989ba11561966a6c36e188e22e2f5bbc1e5343" TargetMode="External"/><Relationship Id="rId41" Type="http://schemas.openxmlformats.org/officeDocument/2006/relationships/hyperlink" Target="https://doi.org/10.1007/s10551-006-9084-7" TargetMode="External"/><Relationship Id="rId54" Type="http://schemas.openxmlformats.org/officeDocument/2006/relationships/hyperlink" Target="https://doi.org/10.47191/ijcsrr/V6-i1-67" TargetMode="External"/><Relationship Id="rId62" Type="http://schemas.openxmlformats.org/officeDocument/2006/relationships/hyperlink" Target="https://sociohum.net/index.php/INJOLE/article/view/256" TargetMode="External"/><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ciencepublishinggroup.com/article/10.11648/j.jfa.20221006.12" TargetMode="External"/><Relationship Id="rId15" Type="http://schemas.openxmlformats.org/officeDocument/2006/relationships/hyperlink" Target="https://doi.org/10.3389/fpsyg.2017.00313" TargetMode="External"/><Relationship Id="rId23" Type="http://schemas.openxmlformats.org/officeDocument/2006/relationships/hyperlink" Target="https://doi.org/10.1007/s11115-022-00651-8" TargetMode="External"/><Relationship Id="rId28" Type="http://schemas.openxmlformats.org/officeDocument/2006/relationships/hyperlink" Target="https://doi.org/10.22495/cgsrv6i2p4" TargetMode="External"/><Relationship Id="rId36" Type="http://schemas.openxmlformats.org/officeDocument/2006/relationships/hyperlink" Target="https://www.researchgate.net/publication/334485001" TargetMode="External"/><Relationship Id="rId49" Type="http://schemas.openxmlformats.org/officeDocument/2006/relationships/hyperlink" Target="https://eajournals.org/ejaafr/wp-content/uploads/sites/16/2024/12/Internal-Control-Systems.pdf" TargetMode="External"/><Relationship Id="rId57" Type="http://schemas.openxmlformats.org/officeDocument/2006/relationships/hyperlink" Target="https://www.ombudsman.gov.ph/docs/republicacts/Republic_Act_No_3019.pdf" TargetMode="External"/><Relationship Id="rId10" Type="http://schemas.openxmlformats.org/officeDocument/2006/relationships/hyperlink" Target="https://doi.org/10.1093/heapro/daae049" TargetMode="External"/><Relationship Id="rId31" Type="http://schemas.openxmlformats.org/officeDocument/2006/relationships/hyperlink" Target="https://doi.org/10.51317/jpds.v4i1.676" TargetMode="External"/><Relationship Id="rId44" Type="http://schemas.openxmlformats.org/officeDocument/2006/relationships/hyperlink" Target="https://psycnet.apa.org/record/2019-26495-001" TargetMode="External"/><Relationship Id="rId52" Type="http://schemas.openxmlformats.org/officeDocument/2006/relationships/hyperlink" Target="https://doi.org/10.59120/drj.v15iNo.2.166" TargetMode="External"/><Relationship Id="rId60" Type="http://schemas.openxmlformats.org/officeDocument/2006/relationships/hyperlink" Target="https://doi.org/10.1080/10967494.2018.1553807" TargetMode="External"/><Relationship Id="rId65" Type="http://schemas.openxmlformats.org/officeDocument/2006/relationships/hyperlink" Target="https://www.researchgate.net/publication/349759604" TargetMode="External"/><Relationship Id="rId4" Type="http://schemas.openxmlformats.org/officeDocument/2006/relationships/hyperlink" Target="https://www.econstor.eu/bitstream/10419/305968/1/id604.pdf" TargetMode="External"/><Relationship Id="rId9" Type="http://schemas.openxmlformats.org/officeDocument/2006/relationships/hyperlink" Target="https://doi.org/10.1093/heapro/daae049" TargetMode="External"/><Relationship Id="rId13" Type="http://schemas.openxmlformats.org/officeDocument/2006/relationships/hyperlink" Target="https://www.cipfa.org/-/media/files/publications/pfm_wsa_vol1.pdf" TargetMode="External"/><Relationship Id="rId18" Type="http://schemas.openxmlformats.org/officeDocument/2006/relationships/hyperlink" Target="https://www.ijassjournal.com/2024/V7I11/41466639805.pdf" TargetMode="External"/><Relationship Id="rId39" Type="http://schemas.openxmlformats.org/officeDocument/2006/relationships/hyperlink" Target="https://doi.org/10.5430/ijba.v7n6p22" TargetMode="External"/><Relationship Id="rId34" Type="http://schemas.openxmlformats.org/officeDocument/2006/relationships/hyperlink" Target="https://doi.org/10.1108/17410401311285273" TargetMode="External"/><Relationship Id="rId50" Type="http://schemas.openxmlformats.org/officeDocument/2006/relationships/hyperlink" Target="https://www.researchgate.net/publication/361130946_The_Influence_of_Internal_Control_System_and_Accountability_of_Village_Fund_Allocation_Management_on_Village_Financial_Performance" TargetMode="External"/><Relationship Id="rId55" Type="http://schemas.openxmlformats.org/officeDocument/2006/relationships/hyperlink" Target="https://www.researchgate.net/publication/379132737"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6776</Words>
  <Characters>38627</Characters>
  <Application>Microsoft Office Word</Application>
  <DocSecurity>0</DocSecurity>
  <Lines>321</Lines>
  <Paragraphs>90</Paragraphs>
  <ScaleCrop>false</ScaleCrop>
  <Company/>
  <LinksUpToDate>false</LinksUpToDate>
  <CharactersWithSpaces>45313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Apgrant Cagoco</cp:lastModifiedBy>
  <cp:revision>3</cp:revision>
  <dcterms:created xsi:type="dcterms:W3CDTF">2026-03-24T15:59:00Z</dcterms:created>
  <dcterms:modified xsi:type="dcterms:W3CDTF">2026-03-25T00:29:00Z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21b528d8-cc4e-4574-8954-878d76c1d713</vt:lpwstr>
  </property>
</Properties>
</file>