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C1DB6" w14:textId="400FFD7F" w:rsidR="00BC7257" w:rsidRPr="0010685A" w:rsidRDefault="00BC7257" w:rsidP="00F638E9">
      <w:pPr>
        <w:pStyle w:val="BodyText"/>
        <w:spacing w:line="30" w:lineRule="exact"/>
        <w:jc w:val="center"/>
        <w:rPr>
          <w:sz w:val="36"/>
          <w:szCs w:val="36"/>
        </w:rPr>
      </w:pPr>
    </w:p>
    <w:p w14:paraId="2C5AA3E0" w14:textId="10782324" w:rsidR="00464EE4" w:rsidRPr="0010685A" w:rsidRDefault="00EE5491" w:rsidP="00464EE4">
      <w:pPr>
        <w:jc w:val="center"/>
        <w:rPr>
          <w:b/>
          <w:color w:val="000000" w:themeColor="text1"/>
          <w:sz w:val="36"/>
          <w:szCs w:val="36"/>
        </w:rPr>
      </w:pPr>
      <w:r w:rsidRPr="00EE5491">
        <w:rPr>
          <w:b/>
          <w:color w:val="000000" w:themeColor="text1"/>
          <w:sz w:val="36"/>
          <w:szCs w:val="36"/>
        </w:rPr>
        <w:t>Barriers in Learning Araling Panlipunan and Academic Performance among Junior High School Learners</w:t>
      </w:r>
    </w:p>
    <w:p w14:paraId="149A7DB0" w14:textId="77777777" w:rsidR="00464EE4" w:rsidRPr="00D17CFD" w:rsidRDefault="00464EE4" w:rsidP="00464EE4">
      <w:pPr>
        <w:jc w:val="center"/>
        <w:rPr>
          <w:b/>
          <w:color w:val="000000" w:themeColor="text1"/>
          <w:sz w:val="24"/>
          <w:szCs w:val="24"/>
        </w:rPr>
      </w:pPr>
    </w:p>
    <w:p w14:paraId="6844F9AE" w14:textId="137100D6" w:rsidR="00464EE4" w:rsidRPr="00D17CFD" w:rsidRDefault="009D0AEB" w:rsidP="00464EE4">
      <w:pPr>
        <w:jc w:val="center"/>
        <w:rPr>
          <w:b/>
          <w:color w:val="000000" w:themeColor="text1"/>
          <w:sz w:val="24"/>
          <w:szCs w:val="24"/>
        </w:rPr>
      </w:pPr>
      <w:r w:rsidRPr="009D0AEB">
        <w:rPr>
          <w:b/>
          <w:sz w:val="24"/>
          <w:szCs w:val="24"/>
        </w:rPr>
        <w:t/>
      </w:r>
      <w:r w:rsidRPr="00D17CFD">
        <w:rPr>
          <w:b/>
          <w:sz w:val="24"/>
          <w:szCs w:val="24"/>
          <w:vertAlign w:val="superscript"/>
        </w:rPr>
        <w:t/>
      </w:r>
      <w:r w:rsidR="00F17E4F" w:rsidRPr="00D17CFD">
        <w:rPr>
          <w:b/>
          <w:sz w:val="24"/>
          <w:szCs w:val="24"/>
          <w:vertAlign w:val="superscript"/>
        </w:rPr>
        <w:t/>
      </w:r>
      <w:r w:rsidR="00F17E4F" w:rsidRPr="00D17CFD">
        <w:rPr>
          <w:b/>
          <w:sz w:val="24"/>
          <w:szCs w:val="24"/>
        </w:rPr>
        <w:t/>
      </w:r>
      <w:r w:rsidR="00F17E4F" w:rsidRPr="00D17CFD">
        <w:rPr>
          <w:b/>
          <w:spacing w:val="-7"/>
          <w:sz w:val="24"/>
          <w:szCs w:val="24"/>
        </w:rPr>
        <w:t xml:space="preserve"/>
      </w:r>
      <w:r w:rsidR="00F17E4F" w:rsidRPr="00D17CFD">
        <w:rPr>
          <w:b/>
          <w:sz w:val="24"/>
          <w:szCs w:val="24"/>
        </w:rPr>
        <w:t/>
      </w:r>
      <w:r w:rsidR="00F17E4F" w:rsidRPr="00D17CFD">
        <w:rPr>
          <w:b/>
          <w:spacing w:val="-2"/>
          <w:sz w:val="24"/>
          <w:szCs w:val="24"/>
        </w:rPr>
        <w:t xml:space="preserve"/>
      </w:r>
      <w:r w:rsidR="00D97D5D">
        <w:rPr>
          <w:b/>
          <w:sz w:val="24"/>
          <w:szCs w:val="24"/>
        </w:rPr>
        <w:t/>
      </w:r>
      <w:r w:rsidR="00A251C0" w:rsidRPr="00D17CFD">
        <w:rPr>
          <w:b/>
          <w:sz w:val="24"/>
          <w:szCs w:val="24"/>
          <w:vertAlign w:val="superscript"/>
        </w:rPr>
        <w:t/>
      </w:r>
    </w:p>
    <w:p w14:paraId="0792269F" w14:textId="40DA3D89" w:rsidR="00464EE4" w:rsidRPr="00D17CFD" w:rsidRDefault="00F17E4F" w:rsidP="00464EE4">
      <w:pPr>
        <w:jc w:val="center"/>
        <w:rPr>
          <w:b/>
          <w:color w:val="000000" w:themeColor="text1"/>
          <w:sz w:val="24"/>
          <w:szCs w:val="24"/>
        </w:rPr>
      </w:pPr>
      <w:r w:rsidRPr="00D17CFD">
        <w:rPr>
          <w:b/>
          <w:sz w:val="24"/>
          <w:szCs w:val="24"/>
          <w:vertAlign w:val="superscript"/>
        </w:rPr>
        <w:t/>
      </w:r>
      <w:r w:rsidRPr="00D17CFD">
        <w:rPr>
          <w:b/>
          <w:sz w:val="24"/>
          <w:szCs w:val="24"/>
        </w:rPr>
        <w:t xml:space="preserve"/>
      </w:r>
      <w:r w:rsidR="000055F9" w:rsidRPr="00D17CFD">
        <w:rPr>
          <w:b/>
          <w:sz w:val="24"/>
          <w:szCs w:val="24"/>
        </w:rPr>
        <w:t xml:space="preserve"/>
      </w:r>
      <w:r w:rsidR="009D0AEB">
        <w:rPr>
          <w:b/>
          <w:sz w:val="24"/>
          <w:szCs w:val="24"/>
        </w:rPr>
        <w:t/>
      </w:r>
      <w:r w:rsidRPr="00D17CFD">
        <w:rPr>
          <w:b/>
          <w:sz w:val="24"/>
          <w:szCs w:val="24"/>
        </w:rPr>
        <w:t xml:space="preserve"/>
      </w:r>
      <w:r w:rsidR="000055F9" w:rsidRPr="00D17CFD">
        <w:rPr>
          <w:b/>
          <w:sz w:val="24"/>
          <w:szCs w:val="24"/>
        </w:rPr>
        <w:t xml:space="preserve"/>
      </w:r>
      <w:r w:rsidR="009D0AEB">
        <w:rPr>
          <w:b/>
          <w:sz w:val="24"/>
          <w:szCs w:val="24"/>
        </w:rPr>
        <w:t/>
      </w:r>
      <w:r w:rsidRPr="00D17CFD">
        <w:rPr>
          <w:b/>
          <w:sz w:val="24"/>
          <w:szCs w:val="24"/>
        </w:rPr>
        <w:t xml:space="preserve"/>
      </w:r>
    </w:p>
    <w:p w14:paraId="2931E98D" w14:textId="5680AE2C" w:rsidR="000F5D86" w:rsidRPr="00D17CFD" w:rsidRDefault="00F17E4F" w:rsidP="00464EE4">
      <w:pPr>
        <w:jc w:val="center"/>
        <w:rPr>
          <w:b/>
          <w:color w:val="000000" w:themeColor="text1"/>
          <w:sz w:val="24"/>
          <w:szCs w:val="24"/>
        </w:rPr>
      </w:pPr>
      <w:r w:rsidRPr="00D17CFD">
        <w:rPr>
          <w:b/>
          <w:sz w:val="24"/>
          <w:szCs w:val="24"/>
          <w:vertAlign w:val="superscript"/>
        </w:rPr>
        <w:t/>
      </w:r>
      <w:r w:rsidR="000F5D86" w:rsidRPr="00D17CFD">
        <w:rPr>
          <w:b/>
          <w:sz w:val="24"/>
          <w:szCs w:val="24"/>
        </w:rPr>
        <w:t/>
      </w:r>
    </w:p>
    <w:p w14:paraId="09180069" w14:textId="77777777" w:rsidR="000F5D86" w:rsidRPr="00D17CFD" w:rsidRDefault="000F5D86" w:rsidP="00464EE4">
      <w:pPr>
        <w:ind w:right="2552"/>
        <w:jc w:val="center"/>
        <w:rPr>
          <w:b/>
          <w:sz w:val="24"/>
          <w:szCs w:val="24"/>
        </w:rPr>
      </w:pPr>
    </w:p>
    <w:p w14:paraId="0E5D7CB9" w14:textId="7AD99AE3" w:rsidR="00BC7257" w:rsidRPr="00D17CFD" w:rsidRDefault="00F17E4F" w:rsidP="000F5D86">
      <w:pPr>
        <w:spacing w:before="5"/>
        <w:ind w:right="2552"/>
        <w:rPr>
          <w:b/>
          <w:bCs/>
          <w:sz w:val="24"/>
          <w:szCs w:val="24"/>
        </w:rPr>
      </w:pPr>
      <w:r w:rsidRPr="0010685A">
        <w:rPr>
          <w:b/>
          <w:bCs/>
          <w:spacing w:val="-2"/>
          <w:sz w:val="28"/>
          <w:szCs w:val="28"/>
        </w:rPr>
        <w:t>ABSTRACT</w:t>
      </w:r>
    </w:p>
    <w:p w14:paraId="768CCFC2" w14:textId="6EEB63A9" w:rsidR="00EE5491" w:rsidRPr="00EE5491" w:rsidRDefault="00EE5491" w:rsidP="00EE5491">
      <w:pPr>
        <w:pStyle w:val="Heading1"/>
        <w:spacing w:before="250"/>
        <w:jc w:val="both"/>
        <w:rPr>
          <w:b w:val="0"/>
          <w:bCs w:val="0"/>
          <w:sz w:val="24"/>
          <w:szCs w:val="24"/>
        </w:rPr>
      </w:pPr>
      <w:r w:rsidRPr="00EE5491">
        <w:rPr>
          <w:b w:val="0"/>
          <w:bCs w:val="0"/>
          <w:sz w:val="24"/>
          <w:szCs w:val="24"/>
        </w:rPr>
        <w:t xml:space="preserve">Araling Panlipunan plays a vital role in developing learners’ understanding of society, culture, and citizenship; however, many Junior High School Learner’s experience difficulties that hinder their learning. This study was conducted to determine the barriers in learning Araling Panlipunan and academic performance among Junior High School learners in the Division of Bukidnon, school year 2023-2024. Specifically, this aimed to describe the characteristics of the respondents; find out how the respondents assess the barriers to learning Araling Panlipunan; </w:t>
      </w:r>
      <w:r>
        <w:rPr>
          <w:b w:val="0"/>
          <w:bCs w:val="0"/>
          <w:sz w:val="24"/>
          <w:szCs w:val="24"/>
        </w:rPr>
        <w:t xml:space="preserve">and </w:t>
      </w:r>
      <w:r w:rsidRPr="00EE5491">
        <w:rPr>
          <w:b w:val="0"/>
          <w:bCs w:val="0"/>
          <w:sz w:val="24"/>
          <w:szCs w:val="24"/>
        </w:rPr>
        <w:t xml:space="preserve">examine the respondents' level of academic performance in Araling Panlipunan. Using a descriptive-correlational research design, data were collected from 401 Junior High school learners selected via stratified sampling, ensuring proportional representation across public schools in the division. The instruments on barriers were </w:t>
      </w:r>
      <w:r>
        <w:rPr>
          <w:b w:val="0"/>
          <w:bCs w:val="0"/>
          <w:sz w:val="24"/>
          <w:szCs w:val="24"/>
        </w:rPr>
        <w:t>patterned</w:t>
      </w:r>
      <w:r w:rsidRPr="00EE5491">
        <w:rPr>
          <w:b w:val="0"/>
          <w:bCs w:val="0"/>
          <w:sz w:val="24"/>
          <w:szCs w:val="24"/>
        </w:rPr>
        <w:t xml:space="preserve"> and modified from Palaming 2020 and for </w:t>
      </w:r>
      <w:r>
        <w:rPr>
          <w:b w:val="0"/>
          <w:bCs w:val="0"/>
          <w:sz w:val="24"/>
          <w:szCs w:val="24"/>
        </w:rPr>
        <w:t>learners’</w:t>
      </w:r>
      <w:r w:rsidRPr="00EE5491">
        <w:rPr>
          <w:b w:val="0"/>
          <w:bCs w:val="0"/>
          <w:sz w:val="24"/>
          <w:szCs w:val="24"/>
        </w:rPr>
        <w:t xml:space="preserve"> performance, </w:t>
      </w:r>
      <w:r>
        <w:rPr>
          <w:b w:val="0"/>
          <w:bCs w:val="0"/>
          <w:sz w:val="24"/>
          <w:szCs w:val="24"/>
        </w:rPr>
        <w:t xml:space="preserve">the </w:t>
      </w:r>
      <w:r w:rsidRPr="00EE5491">
        <w:rPr>
          <w:b w:val="0"/>
          <w:bCs w:val="0"/>
          <w:sz w:val="24"/>
          <w:szCs w:val="24"/>
        </w:rPr>
        <w:t xml:space="preserve">general weighted average was taken from their cards. </w:t>
      </w:r>
    </w:p>
    <w:p w14:paraId="130B3F63" w14:textId="64C64A16" w:rsidR="00EE5491" w:rsidRPr="00EE5491" w:rsidRDefault="00EE5491" w:rsidP="00EE5491">
      <w:pPr>
        <w:pStyle w:val="Heading1"/>
        <w:spacing w:before="250"/>
        <w:jc w:val="both"/>
        <w:rPr>
          <w:b w:val="0"/>
          <w:bCs w:val="0"/>
          <w:sz w:val="24"/>
          <w:szCs w:val="24"/>
        </w:rPr>
      </w:pPr>
      <w:r w:rsidRPr="00EE5491">
        <w:rPr>
          <w:b w:val="0"/>
          <w:bCs w:val="0"/>
          <w:sz w:val="24"/>
          <w:szCs w:val="24"/>
        </w:rPr>
        <w:t xml:space="preserve">The respondent’s assessment level of barriers in learning Araling Panlipunan is to a </w:t>
      </w:r>
      <w:r>
        <w:rPr>
          <w:b w:val="0"/>
          <w:bCs w:val="0"/>
          <w:sz w:val="24"/>
          <w:szCs w:val="24"/>
        </w:rPr>
        <w:t>certain</w:t>
      </w:r>
      <w:r w:rsidRPr="00EE5491">
        <w:rPr>
          <w:b w:val="0"/>
          <w:bCs w:val="0"/>
          <w:sz w:val="24"/>
          <w:szCs w:val="24"/>
        </w:rPr>
        <w:t xml:space="preserve"> extent</w:t>
      </w:r>
      <w:r>
        <w:rPr>
          <w:b w:val="0"/>
          <w:bCs w:val="0"/>
          <w:sz w:val="24"/>
          <w:szCs w:val="24"/>
        </w:rPr>
        <w:t>,</w:t>
      </w:r>
      <w:r w:rsidRPr="00EE5491">
        <w:rPr>
          <w:b w:val="0"/>
          <w:bCs w:val="0"/>
          <w:sz w:val="24"/>
          <w:szCs w:val="24"/>
        </w:rPr>
        <w:t xml:space="preserve"> particularly </w:t>
      </w:r>
      <w:r>
        <w:rPr>
          <w:b w:val="0"/>
          <w:bCs w:val="0"/>
          <w:sz w:val="24"/>
          <w:szCs w:val="24"/>
        </w:rPr>
        <w:t>in</w:t>
      </w:r>
      <w:r w:rsidRPr="00EE5491">
        <w:rPr>
          <w:b w:val="0"/>
          <w:bCs w:val="0"/>
          <w:sz w:val="24"/>
          <w:szCs w:val="24"/>
        </w:rPr>
        <w:t xml:space="preserve"> Language and emotional. The respondent’s academic performance in Araling Panlipunan is very satisfactory.  Hence, there was </w:t>
      </w:r>
      <w:r>
        <w:rPr>
          <w:b w:val="0"/>
          <w:bCs w:val="0"/>
          <w:sz w:val="24"/>
          <w:szCs w:val="24"/>
        </w:rPr>
        <w:t xml:space="preserve">a </w:t>
      </w:r>
      <w:r w:rsidRPr="00EE5491">
        <w:rPr>
          <w:b w:val="0"/>
          <w:bCs w:val="0"/>
          <w:sz w:val="24"/>
          <w:szCs w:val="24"/>
        </w:rPr>
        <w:t xml:space="preserve">significant relationship between the </w:t>
      </w:r>
      <w:r>
        <w:rPr>
          <w:b w:val="0"/>
          <w:bCs w:val="0"/>
          <w:sz w:val="24"/>
          <w:szCs w:val="24"/>
        </w:rPr>
        <w:t>respondents’ barriers</w:t>
      </w:r>
      <w:r w:rsidRPr="00EE5491">
        <w:rPr>
          <w:b w:val="0"/>
          <w:bCs w:val="0"/>
          <w:sz w:val="24"/>
          <w:szCs w:val="24"/>
        </w:rPr>
        <w:t xml:space="preserve"> in learning Araling Panlipunan and academic performance. However, there was no significant difference in the </w:t>
      </w:r>
      <w:r>
        <w:rPr>
          <w:b w:val="0"/>
          <w:bCs w:val="0"/>
          <w:sz w:val="24"/>
          <w:szCs w:val="24"/>
        </w:rPr>
        <w:t>learners’</w:t>
      </w:r>
      <w:r w:rsidRPr="00EE5491">
        <w:rPr>
          <w:b w:val="0"/>
          <w:bCs w:val="0"/>
          <w:sz w:val="24"/>
          <w:szCs w:val="24"/>
        </w:rPr>
        <w:t xml:space="preserve"> academic performance when grouped according to their characteristics</w:t>
      </w:r>
      <w:r>
        <w:rPr>
          <w:b w:val="0"/>
          <w:bCs w:val="0"/>
          <w:sz w:val="24"/>
          <w:szCs w:val="24"/>
        </w:rPr>
        <w:t>,</w:t>
      </w:r>
      <w:r w:rsidRPr="00EE5491">
        <w:rPr>
          <w:b w:val="0"/>
          <w:bCs w:val="0"/>
          <w:sz w:val="24"/>
          <w:szCs w:val="24"/>
        </w:rPr>
        <w:t xml:space="preserve"> except </w:t>
      </w:r>
      <w:r>
        <w:rPr>
          <w:b w:val="0"/>
          <w:bCs w:val="0"/>
          <w:sz w:val="24"/>
          <w:szCs w:val="24"/>
        </w:rPr>
        <w:t>for</w:t>
      </w:r>
      <w:r w:rsidRPr="00EE5491">
        <w:rPr>
          <w:b w:val="0"/>
          <w:bCs w:val="0"/>
          <w:sz w:val="24"/>
          <w:szCs w:val="24"/>
        </w:rPr>
        <w:t xml:space="preserve"> sex. The study concluded that the students could understand the medium of instruction, making language a minimal concern</w:t>
      </w:r>
      <w:r>
        <w:rPr>
          <w:b w:val="0"/>
          <w:bCs w:val="0"/>
          <w:sz w:val="24"/>
          <w:szCs w:val="24"/>
        </w:rPr>
        <w:t>,</w:t>
      </w:r>
      <w:r w:rsidRPr="00EE5491">
        <w:rPr>
          <w:b w:val="0"/>
          <w:bCs w:val="0"/>
          <w:sz w:val="24"/>
          <w:szCs w:val="24"/>
        </w:rPr>
        <w:t xml:space="preserve"> and students experience more difficulty with technical and subject-specific vocabulary than </w:t>
      </w:r>
      <w:r>
        <w:rPr>
          <w:b w:val="0"/>
          <w:bCs w:val="0"/>
          <w:sz w:val="24"/>
          <w:szCs w:val="24"/>
        </w:rPr>
        <w:t xml:space="preserve">with </w:t>
      </w:r>
      <w:r w:rsidRPr="00EE5491">
        <w:rPr>
          <w:b w:val="0"/>
          <w:bCs w:val="0"/>
          <w:sz w:val="24"/>
          <w:szCs w:val="24"/>
        </w:rPr>
        <w:t xml:space="preserve">language itself. It is recommended that teachers introduce group discussion by setting clear guidelines and roles to promote positive interaction among learners.  </w:t>
      </w:r>
    </w:p>
    <w:p w14:paraId="71876C2B" w14:textId="77777777" w:rsidR="00EE5491" w:rsidRDefault="00EE5491" w:rsidP="00EE5491">
      <w:pPr>
        <w:pStyle w:val="Heading1"/>
        <w:spacing w:before="250"/>
        <w:jc w:val="both"/>
        <w:rPr>
          <w:b w:val="0"/>
          <w:bCs w:val="0"/>
          <w:sz w:val="24"/>
          <w:szCs w:val="24"/>
        </w:rPr>
      </w:pPr>
      <w:r w:rsidRPr="00EE5491">
        <w:rPr>
          <w:b w:val="0"/>
          <w:bCs w:val="0"/>
          <w:sz w:val="24"/>
          <w:szCs w:val="24"/>
        </w:rPr>
        <w:t>Keywords: Barriers in Learning Araling Panlipunan, Academic, Performance</w:t>
      </w:r>
    </w:p>
    <w:p w14:paraId="2B1EEF80" w14:textId="154E2252" w:rsidR="00BC7257" w:rsidRPr="00D17CFD" w:rsidRDefault="00F17E4F" w:rsidP="00EE5491">
      <w:pPr>
        <w:pStyle w:val="Heading1"/>
        <w:spacing w:before="250"/>
        <w:jc w:val="both"/>
        <w:rPr>
          <w:sz w:val="24"/>
          <w:szCs w:val="24"/>
        </w:rPr>
      </w:pPr>
      <w:r w:rsidRPr="0010685A">
        <w:rPr>
          <w:spacing w:val="-2"/>
        </w:rPr>
        <w:t>INTRODUCTION</w:t>
      </w:r>
    </w:p>
    <w:p w14:paraId="438526CF" w14:textId="4EBDB6F7" w:rsidR="00EE5491" w:rsidRPr="00EE5491" w:rsidRDefault="00EE5491" w:rsidP="00EE5491">
      <w:pPr>
        <w:spacing w:before="245"/>
        <w:ind w:left="39"/>
        <w:jc w:val="both"/>
        <w:rPr>
          <w:sz w:val="24"/>
          <w:szCs w:val="24"/>
        </w:rPr>
      </w:pPr>
      <w:r w:rsidRPr="00EE5491">
        <w:rPr>
          <w:sz w:val="24"/>
          <w:szCs w:val="24"/>
        </w:rPr>
        <w:t>Being aware of the barriers in learning Araling Panlipunan is essential to the learner’s understanding to enhance academic performance. An investigation that revealed the different challenges faced by the learners on receiving knowledge. Among these challenges, there are three main obstacles that emerged: information about how things happened in the past, trainers and teachers not being trained by specialized trainers and lack of good learning materials. We need to see the underlying problems to address certain issues so that learners can perform better in school.</w:t>
      </w:r>
    </w:p>
    <w:p w14:paraId="662EBB59" w14:textId="5A37D5BD" w:rsidR="00EE5491" w:rsidRPr="00EE5491" w:rsidRDefault="00EE5491" w:rsidP="00EE5491">
      <w:pPr>
        <w:spacing w:before="245"/>
        <w:ind w:left="39"/>
        <w:jc w:val="both"/>
        <w:rPr>
          <w:sz w:val="24"/>
          <w:szCs w:val="24"/>
        </w:rPr>
      </w:pPr>
      <w:r w:rsidRPr="00EE5491">
        <w:rPr>
          <w:sz w:val="24"/>
          <w:szCs w:val="24"/>
        </w:rPr>
        <w:t xml:space="preserve">Learners learn better in Araling Panlipunan when </w:t>
      </w:r>
      <w:r>
        <w:rPr>
          <w:sz w:val="24"/>
          <w:szCs w:val="24"/>
        </w:rPr>
        <w:t xml:space="preserve">the </w:t>
      </w:r>
      <w:r w:rsidRPr="00EE5491">
        <w:rPr>
          <w:sz w:val="24"/>
          <w:szCs w:val="24"/>
        </w:rPr>
        <w:t xml:space="preserve">right strategies </w:t>
      </w:r>
      <w:r>
        <w:rPr>
          <w:sz w:val="24"/>
          <w:szCs w:val="24"/>
        </w:rPr>
        <w:t>are employed</w:t>
      </w:r>
      <w:r w:rsidRPr="00EE5491">
        <w:rPr>
          <w:sz w:val="24"/>
          <w:szCs w:val="24"/>
        </w:rPr>
        <w:t xml:space="preserve"> by the teachers to understand the topics. Yanela (2023) shows that knowing and solving challenges related to teaching approaches, lack of learning materials, and socio-cultural differences gives educators an idea to recreate certain strategies to use in teaching the subject. </w:t>
      </w:r>
    </w:p>
    <w:p w14:paraId="29D6319B" w14:textId="77777777" w:rsidR="00EE5491" w:rsidRPr="00EE5491" w:rsidRDefault="00EE5491" w:rsidP="00EE5491">
      <w:pPr>
        <w:spacing w:before="245"/>
        <w:ind w:left="39"/>
        <w:jc w:val="both"/>
        <w:rPr>
          <w:sz w:val="24"/>
          <w:szCs w:val="24"/>
        </w:rPr>
      </w:pPr>
      <w:r w:rsidRPr="00EE5491">
        <w:rPr>
          <w:sz w:val="24"/>
          <w:szCs w:val="24"/>
        </w:rPr>
        <w:t xml:space="preserve">Laingo and Mirailles (2023) state that the correlation between strong performance in this subject and improved civic engagement, social awareness, and economic opportunities are indispensable for community ownership. With the present situation where connectivity around the world is highlighted, and the need to be more active and informed citizens is a must, learners must be equipped with the knowledge and skills to connect to the community. This subject serves as a driving force for the learners to learn those skills and acquire the said knowledge for them to be better individuals while becoming the future of the nation. Their high performance in this subject pertains to overall school performance, higher retention rates, enhanced academic reputation, and </w:t>
      </w:r>
      <w:r w:rsidRPr="00EE5491">
        <w:rPr>
          <w:sz w:val="24"/>
          <w:szCs w:val="24"/>
        </w:rPr>
        <w:lastRenderedPageBreak/>
        <w:t xml:space="preserve">improved learner engagement. Educational institutions that promote excellence in Araling Panlipunan are in adherence with national goals for learning to lead a nurturing generation of well-rounded and socially responsible citizens. </w:t>
      </w:r>
    </w:p>
    <w:p w14:paraId="5C4F4957" w14:textId="25E2518B" w:rsidR="00EE5491" w:rsidRDefault="00EE5491" w:rsidP="00EE5491">
      <w:pPr>
        <w:spacing w:before="245"/>
        <w:ind w:left="39"/>
        <w:jc w:val="both"/>
        <w:rPr>
          <w:sz w:val="24"/>
          <w:szCs w:val="24"/>
        </w:rPr>
      </w:pPr>
      <w:r w:rsidRPr="00EE5491">
        <w:rPr>
          <w:sz w:val="24"/>
          <w:szCs w:val="24"/>
        </w:rPr>
        <w:t>Understanding the gaps of the barriers in teaching this subject is essential for developing strategies that address educational inequities. Studies conducted by Serafico-Reyes et al. (2019), underscore the need to identify specific barriers like language difficulties, inadequate teacher training, and limited access to learning materials, which disproportionately affect certain learners. Addressing these obstacles with the right support ensures that all learners, no matter where they come from or what their situation is, can avail a fair chance to learn. Through implementing practical solutions in place, teachers and educational policymakers can close these gaps, making education more equitable and helping learners do well in school</w:t>
      </w:r>
      <w:r>
        <w:rPr>
          <w:sz w:val="24"/>
          <w:szCs w:val="24"/>
        </w:rPr>
        <w:t>,</w:t>
      </w:r>
      <w:r w:rsidRPr="00EE5491">
        <w:rPr>
          <w:sz w:val="24"/>
          <w:szCs w:val="24"/>
        </w:rPr>
        <w:t xml:space="preserve"> especially in Araling Panlipunan. This way, educators and policymakers can help learners succeed, as highlighted by Sturges and Odendahl (2020) and Davidson and Goldberg (2021)</w:t>
      </w:r>
    </w:p>
    <w:p w14:paraId="77F417B0" w14:textId="59744386" w:rsidR="00BC7257" w:rsidRPr="00D3105E" w:rsidRDefault="00D3105E" w:rsidP="00EE5491">
      <w:pPr>
        <w:spacing w:before="245"/>
        <w:ind w:left="39"/>
        <w:jc w:val="both"/>
        <w:rPr>
          <w:b/>
          <w:sz w:val="26"/>
          <w:szCs w:val="26"/>
        </w:rPr>
      </w:pPr>
      <w:r w:rsidRPr="00D3105E">
        <w:rPr>
          <w:b/>
          <w:spacing w:val="-2"/>
          <w:sz w:val="26"/>
          <w:szCs w:val="26"/>
        </w:rPr>
        <w:t>STATEMENT OF THE PROBLEM</w:t>
      </w:r>
    </w:p>
    <w:p w14:paraId="482C94DE" w14:textId="229338F2" w:rsidR="0099623F" w:rsidRPr="0099623F" w:rsidRDefault="0099623F" w:rsidP="0099623F">
      <w:pPr>
        <w:spacing w:before="248"/>
        <w:ind w:left="39"/>
        <w:jc w:val="both"/>
        <w:rPr>
          <w:sz w:val="24"/>
          <w:szCs w:val="24"/>
        </w:rPr>
      </w:pPr>
      <w:r w:rsidRPr="0099623F">
        <w:rPr>
          <w:sz w:val="24"/>
          <w:szCs w:val="24"/>
        </w:rPr>
        <w:t>The study examined the effect of barriers to learning towards the academic performance in Araling Panlipunan among Junior High School learners in the province of Bukidnon during the school year 2023-2024.</w:t>
      </w:r>
      <w:r w:rsidR="00F157AA">
        <w:rPr>
          <w:sz w:val="24"/>
          <w:szCs w:val="24"/>
        </w:rPr>
        <w:t xml:space="preserve"> </w:t>
      </w:r>
      <w:r w:rsidRPr="0099623F">
        <w:rPr>
          <w:sz w:val="24"/>
          <w:szCs w:val="24"/>
        </w:rPr>
        <w:t>Specifically, the study endeavored to answer the following questions:</w:t>
      </w:r>
    </w:p>
    <w:p w14:paraId="00136B45" w14:textId="77777777" w:rsidR="0099623F" w:rsidRDefault="0099623F" w:rsidP="0099623F">
      <w:pPr>
        <w:spacing w:before="248"/>
        <w:ind w:left="39"/>
        <w:jc w:val="both"/>
        <w:rPr>
          <w:sz w:val="24"/>
          <w:szCs w:val="24"/>
        </w:rPr>
      </w:pPr>
      <w:r w:rsidRPr="0099623F">
        <w:rPr>
          <w:sz w:val="24"/>
          <w:szCs w:val="24"/>
        </w:rPr>
        <w:t>1. How are the respondents distributed in terms of sex, home-school distance, daily allowance, and parents’ highest educational attainment?</w:t>
      </w:r>
    </w:p>
    <w:p w14:paraId="51EF3A39" w14:textId="014646B6" w:rsidR="0099623F" w:rsidRPr="0099623F" w:rsidRDefault="0099623F" w:rsidP="0099623F">
      <w:pPr>
        <w:spacing w:before="248"/>
        <w:ind w:left="39"/>
        <w:jc w:val="both"/>
        <w:rPr>
          <w:sz w:val="24"/>
          <w:szCs w:val="24"/>
        </w:rPr>
      </w:pPr>
      <w:r w:rsidRPr="0099623F">
        <w:rPr>
          <w:sz w:val="24"/>
          <w:szCs w:val="24"/>
        </w:rPr>
        <w:t>2. How do the respondents assess on the extent of barriers in learning Araling Panlipunan based on language, motivation, social and cultural, lack of learning materials, and emotional factors?</w:t>
      </w:r>
    </w:p>
    <w:p w14:paraId="61997259" w14:textId="77777777" w:rsidR="0099623F" w:rsidRPr="0099623F" w:rsidRDefault="0099623F" w:rsidP="0099623F">
      <w:pPr>
        <w:spacing w:before="248"/>
        <w:ind w:left="39"/>
        <w:jc w:val="both"/>
        <w:rPr>
          <w:sz w:val="24"/>
          <w:szCs w:val="24"/>
        </w:rPr>
      </w:pPr>
      <w:r w:rsidRPr="0099623F">
        <w:rPr>
          <w:sz w:val="24"/>
          <w:szCs w:val="24"/>
        </w:rPr>
        <w:t>3. What is the respondents’ level of academic performance in Araling Panlipunan during the school year 2023-2024?</w:t>
      </w:r>
    </w:p>
    <w:p w14:paraId="56C4B1C6" w14:textId="166E6B5D" w:rsidR="0099623F" w:rsidRPr="0099623F" w:rsidRDefault="0099623F" w:rsidP="0099623F">
      <w:pPr>
        <w:spacing w:before="248"/>
        <w:ind w:left="39"/>
        <w:jc w:val="both"/>
        <w:rPr>
          <w:sz w:val="24"/>
          <w:szCs w:val="24"/>
        </w:rPr>
      </w:pPr>
      <w:r w:rsidRPr="0099623F">
        <w:rPr>
          <w:sz w:val="24"/>
          <w:szCs w:val="24"/>
        </w:rPr>
        <w:t>4. Is there a significant relationship between the respondents’ assessment on the extent of barriers in learning Araling Panlipunan and their academic performances in Araling Panlipunan during the school year 2023-2024?</w:t>
      </w:r>
    </w:p>
    <w:p w14:paraId="02A5471B" w14:textId="77777777" w:rsidR="0099623F" w:rsidRDefault="0099623F" w:rsidP="0099623F">
      <w:pPr>
        <w:spacing w:before="248"/>
        <w:ind w:left="39"/>
        <w:jc w:val="both"/>
        <w:rPr>
          <w:sz w:val="24"/>
          <w:szCs w:val="24"/>
        </w:rPr>
      </w:pPr>
      <w:r w:rsidRPr="0099623F">
        <w:rPr>
          <w:sz w:val="24"/>
          <w:szCs w:val="24"/>
        </w:rPr>
        <w:t>5. Is there a significant difference in the respondents’ academic performance in Araling Panlipunan when grouped according to their characteristics?</w:t>
      </w:r>
    </w:p>
    <w:p w14:paraId="276ABFA6" w14:textId="7FF8B0D8" w:rsidR="00BC7257" w:rsidRPr="00D3105E" w:rsidRDefault="00D3105E" w:rsidP="0099623F">
      <w:pPr>
        <w:spacing w:before="248"/>
        <w:ind w:left="39"/>
        <w:jc w:val="both"/>
        <w:rPr>
          <w:b/>
          <w:sz w:val="26"/>
          <w:szCs w:val="26"/>
        </w:rPr>
      </w:pPr>
      <w:r w:rsidRPr="00D3105E">
        <w:rPr>
          <w:b/>
          <w:spacing w:val="-2"/>
          <w:sz w:val="26"/>
          <w:szCs w:val="26"/>
        </w:rPr>
        <w:t>HYPOTHESIS</w:t>
      </w:r>
    </w:p>
    <w:p w14:paraId="64406734" w14:textId="77777777" w:rsidR="0099623F" w:rsidRDefault="0099623F" w:rsidP="0099623F">
      <w:pPr>
        <w:rPr>
          <w:sz w:val="24"/>
          <w:szCs w:val="24"/>
        </w:rPr>
      </w:pPr>
      <w:r w:rsidRPr="0099623F">
        <w:rPr>
          <w:sz w:val="24"/>
          <w:szCs w:val="24"/>
        </w:rPr>
        <w:t>Problem 1, 2 and 3 were hypotheses free. On the basis of Problem 4 and 5, the null hypotheses were tested at a 0.05 level of significance.</w:t>
      </w:r>
    </w:p>
    <w:p w14:paraId="791706C1" w14:textId="77777777" w:rsidR="0099623F" w:rsidRPr="0099623F" w:rsidRDefault="0099623F" w:rsidP="0099623F">
      <w:pPr>
        <w:rPr>
          <w:sz w:val="24"/>
          <w:szCs w:val="24"/>
        </w:rPr>
      </w:pPr>
    </w:p>
    <w:p w14:paraId="15C420BE" w14:textId="3F1F5839" w:rsidR="0099623F" w:rsidRPr="0099623F" w:rsidRDefault="0099623F" w:rsidP="0099623F">
      <w:pPr>
        <w:rPr>
          <w:sz w:val="24"/>
          <w:szCs w:val="24"/>
        </w:rPr>
      </w:pPr>
      <w:r w:rsidRPr="0099623F">
        <w:rPr>
          <w:sz w:val="24"/>
          <w:szCs w:val="24"/>
        </w:rPr>
        <w:t>H01: There is no significant relationship between the respondents’ assessment of barriers in learning Araling Panlipunan and their academic performance in Araling Panlipunan during the school year 2023-2024?</w:t>
      </w:r>
    </w:p>
    <w:p w14:paraId="1717C049" w14:textId="77777777" w:rsidR="0099623F" w:rsidRPr="0099623F" w:rsidRDefault="0099623F" w:rsidP="0099623F">
      <w:pPr>
        <w:pStyle w:val="Heading1"/>
        <w:spacing w:before="245"/>
        <w:jc w:val="both"/>
        <w:rPr>
          <w:b w:val="0"/>
          <w:bCs w:val="0"/>
          <w:sz w:val="24"/>
          <w:szCs w:val="24"/>
        </w:rPr>
      </w:pPr>
      <w:r w:rsidRPr="0099623F">
        <w:rPr>
          <w:b w:val="0"/>
          <w:bCs w:val="0"/>
          <w:sz w:val="24"/>
          <w:szCs w:val="24"/>
        </w:rPr>
        <w:t>H02: There is no significant difference in the respondents’ academic performance in Araling Panlipunan when grouped according to their characteristics.</w:t>
      </w:r>
    </w:p>
    <w:p w14:paraId="26B308B3" w14:textId="5856DAE1" w:rsidR="00BC7257" w:rsidRPr="00D17CFD" w:rsidRDefault="00F17E4F" w:rsidP="0099623F">
      <w:pPr>
        <w:pStyle w:val="Heading1"/>
        <w:spacing w:before="245"/>
        <w:jc w:val="both"/>
        <w:rPr>
          <w:sz w:val="24"/>
          <w:szCs w:val="24"/>
        </w:rPr>
      </w:pPr>
      <w:r w:rsidRPr="00FC2233">
        <w:rPr>
          <w:spacing w:val="-2"/>
        </w:rPr>
        <w:t>METHODOLOGY</w:t>
      </w:r>
    </w:p>
    <w:p w14:paraId="68A0FC65" w14:textId="77777777" w:rsidR="007A0D99" w:rsidRDefault="007A0D99" w:rsidP="007A0D99">
      <w:pPr>
        <w:pStyle w:val="BodyText"/>
        <w:spacing w:before="238"/>
        <w:ind w:right="170"/>
      </w:pPr>
      <w:r>
        <w:t>The study employed a quantitative descriptive‑correlational design to describe barriers to learning Araling Panlipunan and examine their relationship with Grade 10 learners’ academic performance. Data were collected from ten large public secondary schools in the Schools Division of Bukidnon, a culturally diverse, predominantly agricultural province in Northern Mindanao, Philippines, encompassing both urban and rural communities.</w:t>
      </w:r>
    </w:p>
    <w:p w14:paraId="25CE59E6" w14:textId="77777777" w:rsidR="007A0D99" w:rsidRDefault="007A0D99" w:rsidP="007A0D99">
      <w:pPr>
        <w:pStyle w:val="BodyText"/>
        <w:spacing w:before="238"/>
        <w:ind w:right="170"/>
      </w:pPr>
      <w:r>
        <w:t xml:space="preserve">The sample consisted of 401 officially enrolled Grade 10 learners in school year 2023–2024, drawn from a population of 4,735 using Slovin’s formula and stratified sampling to ensure proportional representation by </w:t>
      </w:r>
      <w:r>
        <w:lastRenderedPageBreak/>
        <w:t>school. A researcher‑developed questionnaire served as the primary instrument, organized into three parts: learner characteristics (sex, home–school distance, daily allowance, parents’ highest educational attainment), perceived barriers to learning Araling Panlipunan (language, motivational, social–cultural, lack of learning materials, emotional), and learners’ academic performance. General Weighted Averages in Araling Panlipunan were obtained from division records to complement self‑reported performance data.</w:t>
      </w:r>
    </w:p>
    <w:p w14:paraId="6E2B2373" w14:textId="77777777" w:rsidR="007A0D99" w:rsidRDefault="007A0D99" w:rsidP="007A0D99">
      <w:pPr>
        <w:pStyle w:val="BodyText"/>
        <w:spacing w:before="238"/>
        <w:ind w:right="170"/>
      </w:pPr>
      <w:r>
        <w:t>Content validity was established through expert review by three curriculum specialists, whose feedback led to refinement of response categories, clarification of item wording to focus on Social Studies learning, and removal of items misaligned with the study objectives. Reliability was evaluated through pilot testing with 30 comparable Grade 10 learners, and Cronbach’s alpha values between 0.817 and 0.846 indicated good internal consistency across barrier scales. Barriers were rated on a four‑point Likert scale, and academic performance was categorized using standard grade descriptors.</w:t>
      </w:r>
    </w:p>
    <w:p w14:paraId="2B59CA2F" w14:textId="77777777" w:rsidR="007A0D99" w:rsidRDefault="007A0D99" w:rsidP="007A0D99">
      <w:pPr>
        <w:pStyle w:val="BodyText"/>
        <w:spacing w:before="238"/>
        <w:ind w:right="170"/>
      </w:pPr>
      <w:r>
        <w:t>Data collection followed formal institutional permissions and emphasized voluntary participation, anonymity, and confidentiality. Descriptive statistics (frequency, percentage, mean, standard deviation) summarized respondent profiles, barriers, and performance. Pearson’s r was used to test the association between perceived barriers and academic performance, while t‑tests and one‑way ANOVA examined differences in barrier perceptions across demographic groups. Ethical approval was obtained from an appropriate review body, and data were stored securely with restricted access to safeguard participants’ privacy.</w:t>
      </w:r>
    </w:p>
    <w:p w14:paraId="17CCA129" w14:textId="1805A363" w:rsidR="00BC7257" w:rsidRPr="00FC2233" w:rsidRDefault="00F17E4F" w:rsidP="007A0D99">
      <w:pPr>
        <w:pStyle w:val="BodyText"/>
        <w:spacing w:before="238"/>
        <w:ind w:right="170"/>
        <w:rPr>
          <w:b/>
          <w:bCs/>
          <w:sz w:val="28"/>
          <w:szCs w:val="28"/>
        </w:rPr>
      </w:pPr>
      <w:r w:rsidRPr="00FC2233">
        <w:rPr>
          <w:b/>
          <w:bCs/>
          <w:sz w:val="28"/>
          <w:szCs w:val="28"/>
        </w:rPr>
        <w:t>RESULTS</w:t>
      </w:r>
      <w:r w:rsidRPr="00FC2233">
        <w:rPr>
          <w:b/>
          <w:bCs/>
          <w:spacing w:val="-9"/>
          <w:sz w:val="28"/>
          <w:szCs w:val="28"/>
        </w:rPr>
        <w:t xml:space="preserve"> </w:t>
      </w:r>
      <w:r w:rsidRPr="00FC2233">
        <w:rPr>
          <w:b/>
          <w:bCs/>
          <w:sz w:val="28"/>
          <w:szCs w:val="28"/>
        </w:rPr>
        <w:t>AND</w:t>
      </w:r>
      <w:r w:rsidRPr="00FC2233">
        <w:rPr>
          <w:b/>
          <w:bCs/>
          <w:spacing w:val="-7"/>
          <w:sz w:val="28"/>
          <w:szCs w:val="28"/>
        </w:rPr>
        <w:t xml:space="preserve"> </w:t>
      </w:r>
      <w:r w:rsidRPr="00FC2233">
        <w:rPr>
          <w:b/>
          <w:bCs/>
          <w:spacing w:val="-2"/>
          <w:sz w:val="28"/>
          <w:szCs w:val="28"/>
        </w:rPr>
        <w:t>DISCUSSION</w:t>
      </w:r>
    </w:p>
    <w:p w14:paraId="204F5200" w14:textId="66C560C1" w:rsidR="00BC7257" w:rsidRPr="00D17CFD" w:rsidRDefault="00F17E4F" w:rsidP="00F638E9">
      <w:pPr>
        <w:pStyle w:val="BodyText"/>
        <w:spacing w:before="234"/>
      </w:pPr>
      <w:r w:rsidRPr="00D17CFD">
        <w:t>Table</w:t>
      </w:r>
      <w:r w:rsidRPr="00D17CFD">
        <w:rPr>
          <w:spacing w:val="-5"/>
        </w:rPr>
        <w:t xml:space="preserve"> </w:t>
      </w:r>
      <w:r w:rsidRPr="00D17CFD">
        <w:t>I.</w:t>
      </w:r>
      <w:r w:rsidRPr="00D17CFD">
        <w:rPr>
          <w:spacing w:val="1"/>
        </w:rPr>
        <w:t xml:space="preserve"> </w:t>
      </w:r>
      <w:r w:rsidR="007A0D99" w:rsidRPr="007A0D99">
        <w:t>Distribution of Respondents’ Characteristics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786"/>
        <w:gridCol w:w="4231"/>
        <w:gridCol w:w="1783"/>
        <w:gridCol w:w="1890"/>
      </w:tblGrid>
      <w:tr w:rsidR="00D8663C" w:rsidRPr="00632BA9" w14:paraId="053AD252" w14:textId="77777777" w:rsidTr="007A0D99">
        <w:tc>
          <w:tcPr>
            <w:tcW w:w="1303" w:type="pct"/>
          </w:tcPr>
          <w:p w14:paraId="7CD2228B" w14:textId="77777777" w:rsidR="00D8663C" w:rsidRPr="00632BA9" w:rsidRDefault="00D8663C" w:rsidP="009F5887">
            <w:pPr>
              <w:jc w:val="center"/>
              <w:rPr>
                <w:rFonts w:eastAsia="Arial"/>
                <w:b/>
                <w:color w:val="121212"/>
                <w:sz w:val="24"/>
                <w:szCs w:val="24"/>
              </w:rPr>
            </w:pPr>
            <w:r w:rsidRPr="00632BA9">
              <w:rPr>
                <w:rFonts w:eastAsia="Arial"/>
                <w:b/>
                <w:color w:val="121212"/>
                <w:sz w:val="24"/>
                <w:szCs w:val="24"/>
              </w:rPr>
              <w:t>Variable</w:t>
            </w:r>
          </w:p>
        </w:tc>
        <w:tc>
          <w:tcPr>
            <w:tcW w:w="1979" w:type="pct"/>
          </w:tcPr>
          <w:p w14:paraId="24843093" w14:textId="77777777" w:rsidR="00D8663C" w:rsidRPr="00632BA9" w:rsidRDefault="00D8663C" w:rsidP="009F5887">
            <w:pPr>
              <w:jc w:val="center"/>
              <w:rPr>
                <w:rFonts w:eastAsia="Arial"/>
                <w:b/>
                <w:color w:val="121212"/>
                <w:sz w:val="24"/>
                <w:szCs w:val="24"/>
              </w:rPr>
            </w:pPr>
            <w:r w:rsidRPr="00632BA9">
              <w:rPr>
                <w:rFonts w:eastAsia="Arial"/>
                <w:b/>
                <w:color w:val="121212"/>
                <w:sz w:val="24"/>
                <w:szCs w:val="24"/>
              </w:rPr>
              <w:t>Category</w:t>
            </w:r>
          </w:p>
        </w:tc>
        <w:tc>
          <w:tcPr>
            <w:tcW w:w="834" w:type="pct"/>
          </w:tcPr>
          <w:p w14:paraId="7E483776" w14:textId="77777777" w:rsidR="00D8663C" w:rsidRPr="00632BA9" w:rsidRDefault="00D8663C" w:rsidP="009F5887">
            <w:pPr>
              <w:jc w:val="center"/>
              <w:rPr>
                <w:rFonts w:eastAsia="Arial"/>
                <w:b/>
                <w:color w:val="121212"/>
                <w:sz w:val="24"/>
                <w:szCs w:val="24"/>
              </w:rPr>
            </w:pPr>
            <w:r w:rsidRPr="00632BA9">
              <w:rPr>
                <w:rFonts w:eastAsia="Arial"/>
                <w:b/>
                <w:color w:val="121212"/>
                <w:sz w:val="24"/>
                <w:szCs w:val="24"/>
              </w:rPr>
              <w:t>Frequency</w:t>
            </w:r>
          </w:p>
        </w:tc>
        <w:tc>
          <w:tcPr>
            <w:tcW w:w="884" w:type="pct"/>
          </w:tcPr>
          <w:p w14:paraId="3384B5AF" w14:textId="77777777" w:rsidR="00D8663C" w:rsidRPr="00632BA9" w:rsidRDefault="00D8663C" w:rsidP="009F5887">
            <w:pPr>
              <w:jc w:val="center"/>
              <w:rPr>
                <w:rFonts w:eastAsia="Arial"/>
                <w:b/>
                <w:color w:val="121212"/>
                <w:sz w:val="24"/>
                <w:szCs w:val="24"/>
              </w:rPr>
            </w:pPr>
            <w:r w:rsidRPr="00632BA9">
              <w:rPr>
                <w:rFonts w:eastAsia="Arial"/>
                <w:b/>
                <w:color w:val="121212"/>
                <w:sz w:val="24"/>
                <w:szCs w:val="24"/>
              </w:rPr>
              <w:t>Percentage</w:t>
            </w:r>
          </w:p>
        </w:tc>
      </w:tr>
      <w:tr w:rsidR="007A0D99" w:rsidRPr="00632BA9" w14:paraId="38C29A73" w14:textId="77777777" w:rsidTr="007A0D99">
        <w:tc>
          <w:tcPr>
            <w:tcW w:w="1303" w:type="pct"/>
          </w:tcPr>
          <w:p w14:paraId="747440F7" w14:textId="77777777" w:rsidR="007A0D99" w:rsidRPr="00632BA9" w:rsidRDefault="007A0D99" w:rsidP="007A0D99">
            <w:pPr>
              <w:rPr>
                <w:rFonts w:eastAsia="Arial"/>
                <w:color w:val="121212"/>
                <w:sz w:val="24"/>
                <w:szCs w:val="24"/>
              </w:rPr>
            </w:pPr>
            <w:r w:rsidRPr="00632BA9">
              <w:rPr>
                <w:rFonts w:eastAsia="Arial"/>
                <w:color w:val="121212"/>
                <w:sz w:val="24"/>
                <w:szCs w:val="24"/>
              </w:rPr>
              <w:t>Sex</w:t>
            </w:r>
          </w:p>
        </w:tc>
        <w:tc>
          <w:tcPr>
            <w:tcW w:w="1979" w:type="pct"/>
          </w:tcPr>
          <w:p w14:paraId="2AED3B8B" w14:textId="77777777" w:rsidR="007A0D99" w:rsidRPr="00632BA9" w:rsidRDefault="007A0D99" w:rsidP="007A0D99">
            <w:pPr>
              <w:rPr>
                <w:rFonts w:eastAsia="Arial"/>
                <w:color w:val="222222"/>
                <w:sz w:val="24"/>
                <w:szCs w:val="24"/>
              </w:rPr>
            </w:pPr>
            <w:r w:rsidRPr="00632BA9">
              <w:rPr>
                <w:rFonts w:eastAsia="Arial"/>
                <w:color w:val="222222"/>
                <w:sz w:val="24"/>
                <w:szCs w:val="24"/>
              </w:rPr>
              <w:t>Male</w:t>
            </w:r>
          </w:p>
        </w:tc>
        <w:tc>
          <w:tcPr>
            <w:tcW w:w="834" w:type="pct"/>
          </w:tcPr>
          <w:p w14:paraId="6A12080E" w14:textId="4CE4E8EF" w:rsidR="007A0D99" w:rsidRPr="00632BA9" w:rsidRDefault="007A0D99" w:rsidP="007A0D99">
            <w:pPr>
              <w:jc w:val="center"/>
              <w:rPr>
                <w:rFonts w:eastAsia="Arial"/>
                <w:color w:val="121212"/>
                <w:sz w:val="24"/>
                <w:szCs w:val="24"/>
              </w:rPr>
            </w:pPr>
            <w:r w:rsidRPr="008475D5">
              <w:t>142</w:t>
            </w:r>
          </w:p>
        </w:tc>
        <w:tc>
          <w:tcPr>
            <w:tcW w:w="884" w:type="pct"/>
          </w:tcPr>
          <w:p w14:paraId="50CBE2A4" w14:textId="2C3D537E" w:rsidR="007A0D99" w:rsidRPr="00632BA9" w:rsidRDefault="007A0D99" w:rsidP="007A0D99">
            <w:pPr>
              <w:jc w:val="center"/>
              <w:rPr>
                <w:rFonts w:eastAsia="Arial"/>
                <w:color w:val="121212"/>
                <w:sz w:val="24"/>
                <w:szCs w:val="24"/>
              </w:rPr>
            </w:pPr>
            <w:r w:rsidRPr="008475D5">
              <w:t>35.3</w:t>
            </w:r>
          </w:p>
        </w:tc>
      </w:tr>
      <w:tr w:rsidR="007A0D99" w:rsidRPr="00632BA9" w14:paraId="5016494C" w14:textId="77777777" w:rsidTr="007A0D99">
        <w:tc>
          <w:tcPr>
            <w:tcW w:w="1303" w:type="pct"/>
          </w:tcPr>
          <w:p w14:paraId="1CAC04B2" w14:textId="77777777" w:rsidR="007A0D99" w:rsidRPr="00632BA9" w:rsidRDefault="007A0D99" w:rsidP="007A0D99">
            <w:pPr>
              <w:rPr>
                <w:rFonts w:eastAsia="Arial"/>
                <w:color w:val="121212"/>
                <w:sz w:val="24"/>
                <w:szCs w:val="24"/>
              </w:rPr>
            </w:pPr>
          </w:p>
        </w:tc>
        <w:tc>
          <w:tcPr>
            <w:tcW w:w="1979" w:type="pct"/>
          </w:tcPr>
          <w:p w14:paraId="0E3CEF1E" w14:textId="77777777" w:rsidR="007A0D99" w:rsidRPr="00632BA9" w:rsidRDefault="007A0D99" w:rsidP="007A0D99">
            <w:pPr>
              <w:rPr>
                <w:rFonts w:eastAsia="Arial"/>
                <w:color w:val="222222"/>
                <w:sz w:val="24"/>
                <w:szCs w:val="24"/>
              </w:rPr>
            </w:pPr>
            <w:r w:rsidRPr="00632BA9">
              <w:rPr>
                <w:rFonts w:eastAsia="Arial"/>
                <w:color w:val="222222"/>
                <w:sz w:val="24"/>
                <w:szCs w:val="24"/>
              </w:rPr>
              <w:t>Female</w:t>
            </w:r>
          </w:p>
        </w:tc>
        <w:tc>
          <w:tcPr>
            <w:tcW w:w="834" w:type="pct"/>
          </w:tcPr>
          <w:p w14:paraId="52AE0C31" w14:textId="17457BF7" w:rsidR="007A0D99" w:rsidRPr="00632BA9" w:rsidRDefault="007A0D99" w:rsidP="007A0D99">
            <w:pPr>
              <w:jc w:val="center"/>
              <w:rPr>
                <w:rFonts w:eastAsia="Arial"/>
                <w:color w:val="121212"/>
                <w:sz w:val="24"/>
                <w:szCs w:val="24"/>
              </w:rPr>
            </w:pPr>
            <w:r w:rsidRPr="008475D5">
              <w:t>259</w:t>
            </w:r>
          </w:p>
        </w:tc>
        <w:tc>
          <w:tcPr>
            <w:tcW w:w="884" w:type="pct"/>
          </w:tcPr>
          <w:p w14:paraId="7A1699C6" w14:textId="35235FFC" w:rsidR="007A0D99" w:rsidRPr="00632BA9" w:rsidRDefault="007A0D99" w:rsidP="007A0D99">
            <w:pPr>
              <w:jc w:val="center"/>
              <w:rPr>
                <w:rFonts w:eastAsia="Arial"/>
                <w:color w:val="121212"/>
                <w:sz w:val="24"/>
                <w:szCs w:val="24"/>
              </w:rPr>
            </w:pPr>
            <w:r w:rsidRPr="008475D5">
              <w:t>64.7</w:t>
            </w:r>
          </w:p>
        </w:tc>
      </w:tr>
      <w:tr w:rsidR="007A0D99" w:rsidRPr="00632BA9" w14:paraId="17E42EA8" w14:textId="77777777" w:rsidTr="007A0D99">
        <w:tc>
          <w:tcPr>
            <w:tcW w:w="1303" w:type="pct"/>
          </w:tcPr>
          <w:p w14:paraId="0206D8EE" w14:textId="77777777" w:rsidR="007A0D99" w:rsidRPr="00632BA9" w:rsidRDefault="007A0D99" w:rsidP="007A0D99">
            <w:pPr>
              <w:rPr>
                <w:rFonts w:eastAsia="Arial"/>
                <w:color w:val="121212"/>
                <w:sz w:val="24"/>
                <w:szCs w:val="24"/>
              </w:rPr>
            </w:pPr>
          </w:p>
        </w:tc>
        <w:tc>
          <w:tcPr>
            <w:tcW w:w="1979" w:type="pct"/>
          </w:tcPr>
          <w:p w14:paraId="5BBCE0A6" w14:textId="77777777" w:rsidR="007A0D99" w:rsidRPr="00632BA9" w:rsidRDefault="007A0D99" w:rsidP="007A0D99">
            <w:pPr>
              <w:jc w:val="center"/>
              <w:rPr>
                <w:rFonts w:eastAsia="Arial"/>
                <w:b/>
                <w:sz w:val="24"/>
                <w:szCs w:val="24"/>
              </w:rPr>
            </w:pPr>
            <w:r w:rsidRPr="00632BA9">
              <w:rPr>
                <w:rFonts w:eastAsia="Arial"/>
                <w:b/>
                <w:sz w:val="24"/>
                <w:szCs w:val="24"/>
              </w:rPr>
              <w:t>Total</w:t>
            </w:r>
          </w:p>
        </w:tc>
        <w:tc>
          <w:tcPr>
            <w:tcW w:w="834" w:type="pct"/>
          </w:tcPr>
          <w:p w14:paraId="7803375D" w14:textId="3639AD33" w:rsidR="007A0D99" w:rsidRPr="007A0D99" w:rsidRDefault="007A0D99" w:rsidP="007A0D99">
            <w:pPr>
              <w:jc w:val="center"/>
              <w:rPr>
                <w:rFonts w:eastAsia="Arial"/>
                <w:b/>
                <w:bCs/>
                <w:sz w:val="24"/>
                <w:szCs w:val="24"/>
              </w:rPr>
            </w:pPr>
            <w:r w:rsidRPr="007A0D99">
              <w:rPr>
                <w:b/>
                <w:bCs/>
              </w:rPr>
              <w:t>401</w:t>
            </w:r>
          </w:p>
        </w:tc>
        <w:tc>
          <w:tcPr>
            <w:tcW w:w="884" w:type="pct"/>
          </w:tcPr>
          <w:p w14:paraId="2E6FF3AE" w14:textId="3500BCD1" w:rsidR="007A0D99" w:rsidRPr="007A0D99" w:rsidRDefault="007A0D99" w:rsidP="007A0D99">
            <w:pPr>
              <w:jc w:val="center"/>
              <w:rPr>
                <w:rFonts w:eastAsia="Arial"/>
                <w:b/>
                <w:bCs/>
                <w:sz w:val="24"/>
                <w:szCs w:val="24"/>
              </w:rPr>
            </w:pPr>
            <w:r w:rsidRPr="007A0D99">
              <w:rPr>
                <w:b/>
                <w:bCs/>
              </w:rPr>
              <w:t>100.0</w:t>
            </w:r>
          </w:p>
        </w:tc>
      </w:tr>
      <w:tr w:rsidR="007A0D99" w:rsidRPr="00632BA9" w14:paraId="62ECDFC6" w14:textId="77777777" w:rsidTr="007A0D99">
        <w:tc>
          <w:tcPr>
            <w:tcW w:w="1303" w:type="pct"/>
          </w:tcPr>
          <w:p w14:paraId="27DEB1B5" w14:textId="3A3A7847" w:rsidR="007A0D99" w:rsidRPr="00632BA9" w:rsidRDefault="007A0D99" w:rsidP="007A0D99">
            <w:pPr>
              <w:rPr>
                <w:rFonts w:eastAsia="Arial"/>
                <w:color w:val="121212"/>
                <w:sz w:val="24"/>
                <w:szCs w:val="24"/>
              </w:rPr>
            </w:pPr>
            <w:r w:rsidRPr="007A0D99">
              <w:rPr>
                <w:rFonts w:eastAsia="Arial"/>
                <w:color w:val="121212"/>
                <w:sz w:val="24"/>
                <w:szCs w:val="24"/>
              </w:rPr>
              <w:t>Home-to-School Distance</w:t>
            </w:r>
          </w:p>
        </w:tc>
        <w:tc>
          <w:tcPr>
            <w:tcW w:w="1979" w:type="pct"/>
          </w:tcPr>
          <w:p w14:paraId="25543BF4" w14:textId="6BFD0F8D" w:rsidR="007A0D99" w:rsidRPr="00632BA9" w:rsidRDefault="007A0D99" w:rsidP="007A0D99">
            <w:pPr>
              <w:rPr>
                <w:rFonts w:eastAsia="Arial"/>
                <w:color w:val="222222"/>
                <w:sz w:val="24"/>
                <w:szCs w:val="24"/>
              </w:rPr>
            </w:pPr>
            <w:r w:rsidRPr="009903B6">
              <w:t>4 kilometers and more</w:t>
            </w:r>
          </w:p>
        </w:tc>
        <w:tc>
          <w:tcPr>
            <w:tcW w:w="834" w:type="pct"/>
          </w:tcPr>
          <w:p w14:paraId="2B8CD942" w14:textId="7D7AC4CB" w:rsidR="007A0D99" w:rsidRPr="00632BA9" w:rsidRDefault="007A0D99" w:rsidP="007A0D99">
            <w:pPr>
              <w:jc w:val="center"/>
              <w:rPr>
                <w:rFonts w:eastAsia="Arial"/>
                <w:color w:val="121212"/>
                <w:sz w:val="24"/>
                <w:szCs w:val="24"/>
              </w:rPr>
            </w:pPr>
            <w:r w:rsidRPr="00562CDD">
              <w:t>182</w:t>
            </w:r>
          </w:p>
        </w:tc>
        <w:tc>
          <w:tcPr>
            <w:tcW w:w="884" w:type="pct"/>
          </w:tcPr>
          <w:p w14:paraId="557775BE" w14:textId="4F1968A6" w:rsidR="007A0D99" w:rsidRPr="00632BA9" w:rsidRDefault="007A0D99" w:rsidP="007A0D99">
            <w:pPr>
              <w:jc w:val="center"/>
              <w:rPr>
                <w:rFonts w:eastAsia="Arial"/>
                <w:color w:val="121212"/>
                <w:sz w:val="24"/>
                <w:szCs w:val="24"/>
              </w:rPr>
            </w:pPr>
            <w:r w:rsidRPr="00562CDD">
              <w:t>45.3</w:t>
            </w:r>
          </w:p>
        </w:tc>
      </w:tr>
      <w:tr w:rsidR="007A0D99" w:rsidRPr="00632BA9" w14:paraId="72EBF2B9" w14:textId="77777777" w:rsidTr="007A0D99">
        <w:tc>
          <w:tcPr>
            <w:tcW w:w="1303" w:type="pct"/>
          </w:tcPr>
          <w:p w14:paraId="3451A265" w14:textId="77777777" w:rsidR="007A0D99" w:rsidRPr="00632BA9" w:rsidRDefault="007A0D99" w:rsidP="007A0D99">
            <w:pPr>
              <w:rPr>
                <w:rFonts w:eastAsia="Arial"/>
                <w:color w:val="121212"/>
                <w:sz w:val="24"/>
                <w:szCs w:val="24"/>
              </w:rPr>
            </w:pPr>
          </w:p>
        </w:tc>
        <w:tc>
          <w:tcPr>
            <w:tcW w:w="1979" w:type="pct"/>
          </w:tcPr>
          <w:p w14:paraId="3ACFD302" w14:textId="56BCA4E1" w:rsidR="007A0D99" w:rsidRPr="00632BA9" w:rsidRDefault="007A0D99" w:rsidP="007A0D99">
            <w:pPr>
              <w:rPr>
                <w:rFonts w:eastAsia="Arial"/>
                <w:color w:val="222222"/>
                <w:sz w:val="24"/>
                <w:szCs w:val="24"/>
              </w:rPr>
            </w:pPr>
            <w:r w:rsidRPr="009903B6">
              <w:t>3 kilometers</w:t>
            </w:r>
          </w:p>
        </w:tc>
        <w:tc>
          <w:tcPr>
            <w:tcW w:w="834" w:type="pct"/>
          </w:tcPr>
          <w:p w14:paraId="51DED728" w14:textId="065FB425" w:rsidR="007A0D99" w:rsidRPr="00632BA9" w:rsidRDefault="007A0D99" w:rsidP="007A0D99">
            <w:pPr>
              <w:jc w:val="center"/>
              <w:rPr>
                <w:rFonts w:eastAsia="Arial"/>
                <w:color w:val="121212"/>
                <w:sz w:val="24"/>
                <w:szCs w:val="24"/>
              </w:rPr>
            </w:pPr>
            <w:r w:rsidRPr="00562CDD">
              <w:t>56</w:t>
            </w:r>
          </w:p>
        </w:tc>
        <w:tc>
          <w:tcPr>
            <w:tcW w:w="884" w:type="pct"/>
          </w:tcPr>
          <w:p w14:paraId="6CF0F4CB" w14:textId="1846E2FD" w:rsidR="007A0D99" w:rsidRPr="00632BA9" w:rsidRDefault="007A0D99" w:rsidP="007A0D99">
            <w:pPr>
              <w:jc w:val="center"/>
              <w:rPr>
                <w:rFonts w:eastAsia="Arial"/>
                <w:color w:val="121212"/>
                <w:sz w:val="24"/>
                <w:szCs w:val="24"/>
              </w:rPr>
            </w:pPr>
            <w:r w:rsidRPr="00562CDD">
              <w:t>14</w:t>
            </w:r>
          </w:p>
        </w:tc>
      </w:tr>
      <w:tr w:rsidR="007A0D99" w:rsidRPr="00632BA9" w14:paraId="65EA671A" w14:textId="77777777" w:rsidTr="007A0D99">
        <w:tc>
          <w:tcPr>
            <w:tcW w:w="1303" w:type="pct"/>
          </w:tcPr>
          <w:p w14:paraId="60CBA176" w14:textId="77777777" w:rsidR="007A0D99" w:rsidRPr="00632BA9" w:rsidRDefault="007A0D99" w:rsidP="007A0D99">
            <w:pPr>
              <w:rPr>
                <w:rFonts w:eastAsia="Arial"/>
                <w:color w:val="121212"/>
                <w:sz w:val="24"/>
                <w:szCs w:val="24"/>
              </w:rPr>
            </w:pPr>
          </w:p>
        </w:tc>
        <w:tc>
          <w:tcPr>
            <w:tcW w:w="1979" w:type="pct"/>
          </w:tcPr>
          <w:p w14:paraId="7EFE0840" w14:textId="1E9C5DC3" w:rsidR="007A0D99" w:rsidRPr="00632BA9" w:rsidRDefault="007A0D99" w:rsidP="007A0D99">
            <w:pPr>
              <w:rPr>
                <w:rFonts w:eastAsia="Arial"/>
                <w:color w:val="222222"/>
                <w:sz w:val="24"/>
                <w:szCs w:val="24"/>
              </w:rPr>
            </w:pPr>
            <w:r w:rsidRPr="009903B6">
              <w:t>2 kilometers</w:t>
            </w:r>
          </w:p>
        </w:tc>
        <w:tc>
          <w:tcPr>
            <w:tcW w:w="834" w:type="pct"/>
          </w:tcPr>
          <w:p w14:paraId="728F7E07" w14:textId="054DA01C" w:rsidR="007A0D99" w:rsidRPr="00632BA9" w:rsidRDefault="007A0D99" w:rsidP="007A0D99">
            <w:pPr>
              <w:jc w:val="center"/>
              <w:rPr>
                <w:rFonts w:eastAsia="Arial"/>
                <w:color w:val="121212"/>
                <w:sz w:val="24"/>
                <w:szCs w:val="24"/>
              </w:rPr>
            </w:pPr>
            <w:r w:rsidRPr="00562CDD">
              <w:t>65</w:t>
            </w:r>
          </w:p>
        </w:tc>
        <w:tc>
          <w:tcPr>
            <w:tcW w:w="884" w:type="pct"/>
          </w:tcPr>
          <w:p w14:paraId="05E2B946" w14:textId="4D1FAE8B" w:rsidR="007A0D99" w:rsidRPr="00632BA9" w:rsidRDefault="007A0D99" w:rsidP="007A0D99">
            <w:pPr>
              <w:jc w:val="center"/>
              <w:rPr>
                <w:rFonts w:eastAsia="Arial"/>
                <w:color w:val="121212"/>
                <w:sz w:val="24"/>
                <w:szCs w:val="24"/>
              </w:rPr>
            </w:pPr>
            <w:r w:rsidRPr="00562CDD">
              <w:t>16.2</w:t>
            </w:r>
          </w:p>
        </w:tc>
      </w:tr>
      <w:tr w:rsidR="007A0D99" w:rsidRPr="00632BA9" w14:paraId="7A8D452D" w14:textId="77777777" w:rsidTr="007A0D99">
        <w:tc>
          <w:tcPr>
            <w:tcW w:w="1303" w:type="pct"/>
          </w:tcPr>
          <w:p w14:paraId="6C8244E2" w14:textId="77777777" w:rsidR="007A0D99" w:rsidRPr="00632BA9" w:rsidRDefault="007A0D99" w:rsidP="007A0D99">
            <w:pPr>
              <w:rPr>
                <w:rFonts w:eastAsia="Arial"/>
                <w:color w:val="121212"/>
                <w:sz w:val="24"/>
                <w:szCs w:val="24"/>
              </w:rPr>
            </w:pPr>
          </w:p>
        </w:tc>
        <w:tc>
          <w:tcPr>
            <w:tcW w:w="1979" w:type="pct"/>
          </w:tcPr>
          <w:p w14:paraId="5C997647" w14:textId="0F17529C" w:rsidR="007A0D99" w:rsidRPr="00632BA9" w:rsidRDefault="007A0D99" w:rsidP="007A0D99">
            <w:pPr>
              <w:rPr>
                <w:rFonts w:eastAsia="Arial"/>
                <w:color w:val="222222"/>
                <w:sz w:val="24"/>
                <w:szCs w:val="24"/>
              </w:rPr>
            </w:pPr>
            <w:r w:rsidRPr="009903B6">
              <w:t>1kilometer</w:t>
            </w:r>
          </w:p>
        </w:tc>
        <w:tc>
          <w:tcPr>
            <w:tcW w:w="834" w:type="pct"/>
          </w:tcPr>
          <w:p w14:paraId="065B7C74" w14:textId="399687E1" w:rsidR="007A0D99" w:rsidRPr="00632BA9" w:rsidRDefault="007A0D99" w:rsidP="007A0D99">
            <w:pPr>
              <w:jc w:val="center"/>
              <w:rPr>
                <w:rFonts w:eastAsia="Arial"/>
                <w:color w:val="121212"/>
                <w:sz w:val="24"/>
                <w:szCs w:val="24"/>
              </w:rPr>
            </w:pPr>
            <w:r w:rsidRPr="00562CDD">
              <w:t>49</w:t>
            </w:r>
          </w:p>
        </w:tc>
        <w:tc>
          <w:tcPr>
            <w:tcW w:w="884" w:type="pct"/>
          </w:tcPr>
          <w:p w14:paraId="7EC22EE0" w14:textId="772C62E6" w:rsidR="007A0D99" w:rsidRPr="00632BA9" w:rsidRDefault="007A0D99" w:rsidP="007A0D99">
            <w:pPr>
              <w:jc w:val="center"/>
              <w:rPr>
                <w:rFonts w:eastAsia="Arial"/>
                <w:color w:val="121212"/>
                <w:sz w:val="24"/>
                <w:szCs w:val="24"/>
              </w:rPr>
            </w:pPr>
            <w:r w:rsidRPr="00562CDD">
              <w:t>12.3</w:t>
            </w:r>
          </w:p>
        </w:tc>
      </w:tr>
      <w:tr w:rsidR="007A0D99" w:rsidRPr="00632BA9" w14:paraId="409A4B40" w14:textId="77777777" w:rsidTr="007A0D99">
        <w:tc>
          <w:tcPr>
            <w:tcW w:w="1303" w:type="pct"/>
          </w:tcPr>
          <w:p w14:paraId="2BBD84C9" w14:textId="77777777" w:rsidR="007A0D99" w:rsidRPr="00632BA9" w:rsidRDefault="007A0D99" w:rsidP="007A0D99">
            <w:pPr>
              <w:rPr>
                <w:rFonts w:eastAsia="Arial"/>
                <w:color w:val="121212"/>
                <w:sz w:val="24"/>
                <w:szCs w:val="24"/>
              </w:rPr>
            </w:pPr>
          </w:p>
        </w:tc>
        <w:tc>
          <w:tcPr>
            <w:tcW w:w="1979" w:type="pct"/>
          </w:tcPr>
          <w:p w14:paraId="209BE0CC" w14:textId="0CC8E199" w:rsidR="007A0D99" w:rsidRPr="00632BA9" w:rsidRDefault="007A0D99" w:rsidP="007A0D99">
            <w:pPr>
              <w:rPr>
                <w:sz w:val="24"/>
                <w:szCs w:val="24"/>
              </w:rPr>
            </w:pPr>
            <w:r w:rsidRPr="009903B6">
              <w:t>Less than 1 kilometer</w:t>
            </w:r>
          </w:p>
        </w:tc>
        <w:tc>
          <w:tcPr>
            <w:tcW w:w="834" w:type="pct"/>
          </w:tcPr>
          <w:p w14:paraId="170BBA6B" w14:textId="7CDB0DDB" w:rsidR="007A0D99" w:rsidRPr="00632BA9" w:rsidRDefault="007A0D99" w:rsidP="007A0D99">
            <w:pPr>
              <w:jc w:val="center"/>
              <w:rPr>
                <w:color w:val="000000"/>
                <w:sz w:val="24"/>
                <w:szCs w:val="24"/>
              </w:rPr>
            </w:pPr>
            <w:r w:rsidRPr="00562CDD">
              <w:t>49</w:t>
            </w:r>
          </w:p>
        </w:tc>
        <w:tc>
          <w:tcPr>
            <w:tcW w:w="884" w:type="pct"/>
          </w:tcPr>
          <w:p w14:paraId="37FB5936" w14:textId="7AAF97F2" w:rsidR="007A0D99" w:rsidRPr="00632BA9" w:rsidRDefault="007A0D99" w:rsidP="007A0D99">
            <w:pPr>
              <w:jc w:val="center"/>
              <w:rPr>
                <w:color w:val="000000"/>
                <w:sz w:val="24"/>
                <w:szCs w:val="24"/>
              </w:rPr>
            </w:pPr>
            <w:r w:rsidRPr="00562CDD">
              <w:t>12.3</w:t>
            </w:r>
          </w:p>
        </w:tc>
      </w:tr>
      <w:tr w:rsidR="007A0D99" w:rsidRPr="00632BA9" w14:paraId="4A74B396" w14:textId="77777777" w:rsidTr="007A0D99">
        <w:tc>
          <w:tcPr>
            <w:tcW w:w="1303" w:type="pct"/>
          </w:tcPr>
          <w:p w14:paraId="18A3CEA7" w14:textId="77777777" w:rsidR="007A0D99" w:rsidRPr="00632BA9" w:rsidRDefault="007A0D99" w:rsidP="007A0D99">
            <w:pPr>
              <w:rPr>
                <w:rFonts w:eastAsia="Arial"/>
                <w:color w:val="121212"/>
                <w:sz w:val="24"/>
                <w:szCs w:val="24"/>
              </w:rPr>
            </w:pPr>
          </w:p>
        </w:tc>
        <w:tc>
          <w:tcPr>
            <w:tcW w:w="1979" w:type="pct"/>
          </w:tcPr>
          <w:p w14:paraId="5F3BA785" w14:textId="77777777" w:rsidR="007A0D99" w:rsidRPr="00632BA9" w:rsidRDefault="007A0D99" w:rsidP="007A0D99">
            <w:pPr>
              <w:jc w:val="center"/>
              <w:rPr>
                <w:rFonts w:eastAsia="Arial"/>
                <w:b/>
                <w:sz w:val="24"/>
                <w:szCs w:val="24"/>
              </w:rPr>
            </w:pPr>
            <w:r w:rsidRPr="00632BA9">
              <w:rPr>
                <w:rFonts w:eastAsia="Arial"/>
                <w:b/>
                <w:sz w:val="24"/>
                <w:szCs w:val="24"/>
              </w:rPr>
              <w:t>Total</w:t>
            </w:r>
          </w:p>
        </w:tc>
        <w:tc>
          <w:tcPr>
            <w:tcW w:w="834" w:type="pct"/>
          </w:tcPr>
          <w:p w14:paraId="0E9684C4" w14:textId="6A0323AE" w:rsidR="007A0D99" w:rsidRPr="007A0D99" w:rsidRDefault="007A0D99" w:rsidP="007A0D99">
            <w:pPr>
              <w:jc w:val="center"/>
              <w:rPr>
                <w:rFonts w:eastAsia="Arial"/>
                <w:b/>
                <w:bCs/>
                <w:sz w:val="24"/>
                <w:szCs w:val="24"/>
              </w:rPr>
            </w:pPr>
            <w:r w:rsidRPr="007A0D99">
              <w:rPr>
                <w:b/>
                <w:bCs/>
              </w:rPr>
              <w:t>401</w:t>
            </w:r>
          </w:p>
        </w:tc>
        <w:tc>
          <w:tcPr>
            <w:tcW w:w="884" w:type="pct"/>
          </w:tcPr>
          <w:p w14:paraId="3F7018D0" w14:textId="6C7FD7EE" w:rsidR="007A0D99" w:rsidRPr="007A0D99" w:rsidRDefault="007A0D99" w:rsidP="007A0D99">
            <w:pPr>
              <w:jc w:val="center"/>
              <w:rPr>
                <w:rFonts w:eastAsia="Arial"/>
                <w:b/>
                <w:bCs/>
                <w:sz w:val="24"/>
                <w:szCs w:val="24"/>
              </w:rPr>
            </w:pPr>
            <w:r w:rsidRPr="007A0D99">
              <w:rPr>
                <w:b/>
                <w:bCs/>
              </w:rPr>
              <w:t>100.0</w:t>
            </w:r>
          </w:p>
        </w:tc>
      </w:tr>
      <w:tr w:rsidR="007A0D99" w:rsidRPr="00632BA9" w14:paraId="39C18866" w14:textId="77777777" w:rsidTr="007A0D99">
        <w:tc>
          <w:tcPr>
            <w:tcW w:w="1303" w:type="pct"/>
          </w:tcPr>
          <w:p w14:paraId="7A1A5B07" w14:textId="0A1AA42E" w:rsidR="007A0D99" w:rsidRPr="00632BA9" w:rsidRDefault="007A0D99" w:rsidP="007A0D99">
            <w:pPr>
              <w:rPr>
                <w:rFonts w:eastAsia="Arial"/>
                <w:color w:val="121212"/>
                <w:sz w:val="24"/>
                <w:szCs w:val="24"/>
              </w:rPr>
            </w:pPr>
            <w:r w:rsidRPr="009B54A1">
              <w:t xml:space="preserve">Daily Allowance </w:t>
            </w:r>
          </w:p>
        </w:tc>
        <w:tc>
          <w:tcPr>
            <w:tcW w:w="1979" w:type="pct"/>
          </w:tcPr>
          <w:p w14:paraId="60231E11" w14:textId="3615DAFF" w:rsidR="007A0D99" w:rsidRPr="00632BA9" w:rsidRDefault="007A0D99" w:rsidP="007A0D99">
            <w:pPr>
              <w:jc w:val="both"/>
              <w:rPr>
                <w:rFonts w:eastAsia="Arial"/>
                <w:color w:val="222222"/>
                <w:sz w:val="24"/>
                <w:szCs w:val="24"/>
              </w:rPr>
            </w:pPr>
            <w:r w:rsidRPr="00EA7F5E">
              <w:t>₱51.00 and above</w:t>
            </w:r>
          </w:p>
        </w:tc>
        <w:tc>
          <w:tcPr>
            <w:tcW w:w="834" w:type="pct"/>
          </w:tcPr>
          <w:p w14:paraId="3E455C33" w14:textId="6BFEB4C4" w:rsidR="007A0D99" w:rsidRPr="00632BA9" w:rsidRDefault="007A0D99" w:rsidP="007A0D99">
            <w:pPr>
              <w:jc w:val="center"/>
              <w:rPr>
                <w:rFonts w:eastAsia="Arial"/>
                <w:color w:val="121212"/>
                <w:sz w:val="24"/>
                <w:szCs w:val="24"/>
              </w:rPr>
            </w:pPr>
            <w:r w:rsidRPr="00EA2E55">
              <w:t>154</w:t>
            </w:r>
          </w:p>
        </w:tc>
        <w:tc>
          <w:tcPr>
            <w:tcW w:w="884" w:type="pct"/>
          </w:tcPr>
          <w:p w14:paraId="05EEEB32" w14:textId="62B15E99" w:rsidR="007A0D99" w:rsidRPr="00632BA9" w:rsidRDefault="007A0D99" w:rsidP="007A0D99">
            <w:pPr>
              <w:jc w:val="center"/>
              <w:rPr>
                <w:rFonts w:eastAsia="Arial"/>
                <w:color w:val="121212"/>
                <w:sz w:val="24"/>
                <w:szCs w:val="24"/>
              </w:rPr>
            </w:pPr>
            <w:r w:rsidRPr="00EA2E55">
              <w:t>38.5</w:t>
            </w:r>
          </w:p>
        </w:tc>
      </w:tr>
      <w:tr w:rsidR="007A0D99" w:rsidRPr="00632BA9" w14:paraId="534E8D20" w14:textId="77777777" w:rsidTr="007A0D99">
        <w:tc>
          <w:tcPr>
            <w:tcW w:w="1303" w:type="pct"/>
          </w:tcPr>
          <w:p w14:paraId="509A837A" w14:textId="0AAEB589" w:rsidR="007A0D99" w:rsidRPr="00632BA9" w:rsidRDefault="007A0D99" w:rsidP="007A0D99">
            <w:pPr>
              <w:rPr>
                <w:rFonts w:eastAsia="Arial"/>
                <w:color w:val="121212"/>
                <w:sz w:val="24"/>
                <w:szCs w:val="24"/>
              </w:rPr>
            </w:pPr>
          </w:p>
        </w:tc>
        <w:tc>
          <w:tcPr>
            <w:tcW w:w="1979" w:type="pct"/>
          </w:tcPr>
          <w:p w14:paraId="52B2B1AA" w14:textId="464DF218" w:rsidR="007A0D99" w:rsidRPr="00632BA9" w:rsidRDefault="007A0D99" w:rsidP="007A0D99">
            <w:pPr>
              <w:jc w:val="both"/>
              <w:rPr>
                <w:rFonts w:eastAsia="Arial"/>
                <w:color w:val="222222"/>
                <w:sz w:val="24"/>
                <w:szCs w:val="24"/>
              </w:rPr>
            </w:pPr>
            <w:r w:rsidRPr="00EA7F5E">
              <w:t>₱41.00 - 50.99</w:t>
            </w:r>
          </w:p>
        </w:tc>
        <w:tc>
          <w:tcPr>
            <w:tcW w:w="834" w:type="pct"/>
          </w:tcPr>
          <w:p w14:paraId="2C56B880" w14:textId="5CF8043C" w:rsidR="007A0D99" w:rsidRPr="00632BA9" w:rsidRDefault="007A0D99" w:rsidP="007A0D99">
            <w:pPr>
              <w:jc w:val="center"/>
              <w:rPr>
                <w:rFonts w:eastAsia="Arial"/>
                <w:color w:val="121212"/>
                <w:sz w:val="24"/>
                <w:szCs w:val="24"/>
              </w:rPr>
            </w:pPr>
            <w:r w:rsidRPr="00EA2E55">
              <w:t>59</w:t>
            </w:r>
          </w:p>
        </w:tc>
        <w:tc>
          <w:tcPr>
            <w:tcW w:w="884" w:type="pct"/>
          </w:tcPr>
          <w:p w14:paraId="15F0D600" w14:textId="480642DB" w:rsidR="007A0D99" w:rsidRPr="00632BA9" w:rsidRDefault="007A0D99" w:rsidP="007A0D99">
            <w:pPr>
              <w:jc w:val="center"/>
              <w:rPr>
                <w:rFonts w:eastAsia="Arial"/>
                <w:color w:val="121212"/>
                <w:sz w:val="24"/>
                <w:szCs w:val="24"/>
              </w:rPr>
            </w:pPr>
            <w:r w:rsidRPr="00EA2E55">
              <w:t>14.8</w:t>
            </w:r>
          </w:p>
        </w:tc>
      </w:tr>
      <w:tr w:rsidR="007A0D99" w:rsidRPr="00632BA9" w14:paraId="0EA30B6E" w14:textId="77777777" w:rsidTr="007A0D99">
        <w:tc>
          <w:tcPr>
            <w:tcW w:w="1303" w:type="pct"/>
          </w:tcPr>
          <w:p w14:paraId="0788D746" w14:textId="77777777" w:rsidR="007A0D99" w:rsidRPr="00632BA9" w:rsidRDefault="007A0D99" w:rsidP="007A0D99">
            <w:pPr>
              <w:rPr>
                <w:rFonts w:eastAsia="Arial"/>
                <w:color w:val="121212"/>
                <w:sz w:val="24"/>
                <w:szCs w:val="24"/>
              </w:rPr>
            </w:pPr>
          </w:p>
        </w:tc>
        <w:tc>
          <w:tcPr>
            <w:tcW w:w="1979" w:type="pct"/>
          </w:tcPr>
          <w:p w14:paraId="27B75952" w14:textId="2EBF21CB" w:rsidR="007A0D99" w:rsidRPr="00632BA9" w:rsidRDefault="007A0D99" w:rsidP="007A0D99">
            <w:pPr>
              <w:pBdr>
                <w:top w:val="nil"/>
                <w:left w:val="nil"/>
                <w:bottom w:val="nil"/>
                <w:right w:val="nil"/>
                <w:between w:val="nil"/>
              </w:pBdr>
              <w:jc w:val="both"/>
              <w:rPr>
                <w:rFonts w:eastAsia="Arial"/>
                <w:color w:val="222222"/>
                <w:sz w:val="24"/>
                <w:szCs w:val="24"/>
              </w:rPr>
            </w:pPr>
            <w:r w:rsidRPr="00EA7F5E">
              <w:t>₱30.00 - 40.99</w:t>
            </w:r>
          </w:p>
        </w:tc>
        <w:tc>
          <w:tcPr>
            <w:tcW w:w="834" w:type="pct"/>
          </w:tcPr>
          <w:p w14:paraId="3FEA5DCE" w14:textId="2ECF882A" w:rsidR="007A0D99" w:rsidRPr="00632BA9" w:rsidRDefault="007A0D99" w:rsidP="007A0D99">
            <w:pPr>
              <w:jc w:val="center"/>
              <w:rPr>
                <w:rFonts w:eastAsia="Arial"/>
                <w:color w:val="121212"/>
                <w:sz w:val="24"/>
                <w:szCs w:val="24"/>
              </w:rPr>
            </w:pPr>
            <w:r w:rsidRPr="00EA2E55">
              <w:t>18</w:t>
            </w:r>
          </w:p>
        </w:tc>
        <w:tc>
          <w:tcPr>
            <w:tcW w:w="884" w:type="pct"/>
          </w:tcPr>
          <w:p w14:paraId="1D1D7876" w14:textId="35AF4E5B" w:rsidR="007A0D99" w:rsidRPr="00632BA9" w:rsidRDefault="007A0D99" w:rsidP="007A0D99">
            <w:pPr>
              <w:jc w:val="center"/>
              <w:rPr>
                <w:rFonts w:eastAsia="Arial"/>
                <w:color w:val="121212"/>
                <w:sz w:val="24"/>
                <w:szCs w:val="24"/>
              </w:rPr>
            </w:pPr>
            <w:r w:rsidRPr="00EA2E55">
              <w:t>4.6</w:t>
            </w:r>
          </w:p>
        </w:tc>
      </w:tr>
      <w:tr w:rsidR="007A0D99" w:rsidRPr="00632BA9" w14:paraId="14F9EF25" w14:textId="77777777" w:rsidTr="007A0D99">
        <w:tc>
          <w:tcPr>
            <w:tcW w:w="1303" w:type="pct"/>
          </w:tcPr>
          <w:p w14:paraId="1FFA3628" w14:textId="77777777" w:rsidR="007A0D99" w:rsidRPr="00632BA9" w:rsidRDefault="007A0D99" w:rsidP="007A0D99">
            <w:pPr>
              <w:rPr>
                <w:rFonts w:eastAsia="Arial"/>
                <w:color w:val="121212"/>
                <w:sz w:val="24"/>
                <w:szCs w:val="24"/>
              </w:rPr>
            </w:pPr>
          </w:p>
        </w:tc>
        <w:tc>
          <w:tcPr>
            <w:tcW w:w="1979" w:type="pct"/>
          </w:tcPr>
          <w:p w14:paraId="5CFC630A" w14:textId="3CF9E00F" w:rsidR="007A0D99" w:rsidRPr="00632BA9" w:rsidRDefault="007A0D99" w:rsidP="007A0D99">
            <w:pPr>
              <w:jc w:val="both"/>
              <w:rPr>
                <w:rFonts w:eastAsia="Arial"/>
                <w:color w:val="222222"/>
                <w:sz w:val="24"/>
                <w:szCs w:val="24"/>
              </w:rPr>
            </w:pPr>
            <w:r w:rsidRPr="00EA7F5E">
              <w:t>₱20.00 and below</w:t>
            </w:r>
          </w:p>
        </w:tc>
        <w:tc>
          <w:tcPr>
            <w:tcW w:w="834" w:type="pct"/>
          </w:tcPr>
          <w:p w14:paraId="59704D8C" w14:textId="23ECDBB5" w:rsidR="007A0D99" w:rsidRPr="00632BA9" w:rsidRDefault="007A0D99" w:rsidP="007A0D99">
            <w:pPr>
              <w:jc w:val="center"/>
              <w:rPr>
                <w:rFonts w:eastAsia="Arial"/>
                <w:color w:val="121212"/>
                <w:sz w:val="24"/>
                <w:szCs w:val="24"/>
              </w:rPr>
            </w:pPr>
            <w:r w:rsidRPr="00EA2E55">
              <w:t>169</w:t>
            </w:r>
          </w:p>
        </w:tc>
        <w:tc>
          <w:tcPr>
            <w:tcW w:w="884" w:type="pct"/>
          </w:tcPr>
          <w:p w14:paraId="445BE8AC" w14:textId="5D09FAA0" w:rsidR="007A0D99" w:rsidRPr="00632BA9" w:rsidRDefault="007A0D99" w:rsidP="007A0D99">
            <w:pPr>
              <w:jc w:val="center"/>
              <w:rPr>
                <w:rFonts w:eastAsia="Arial"/>
                <w:color w:val="121212"/>
                <w:sz w:val="24"/>
                <w:szCs w:val="24"/>
              </w:rPr>
            </w:pPr>
            <w:r w:rsidRPr="00EA2E55">
              <w:t>42.2</w:t>
            </w:r>
          </w:p>
        </w:tc>
      </w:tr>
      <w:tr w:rsidR="007A0D99" w:rsidRPr="00632BA9" w14:paraId="071BA634" w14:textId="77777777" w:rsidTr="007A0D99">
        <w:tc>
          <w:tcPr>
            <w:tcW w:w="1303" w:type="pct"/>
          </w:tcPr>
          <w:p w14:paraId="53581E0E" w14:textId="77777777" w:rsidR="007A0D99" w:rsidRPr="00632BA9" w:rsidRDefault="007A0D99" w:rsidP="007A0D99">
            <w:pPr>
              <w:rPr>
                <w:rFonts w:eastAsia="Arial"/>
                <w:color w:val="121212"/>
                <w:sz w:val="24"/>
                <w:szCs w:val="24"/>
              </w:rPr>
            </w:pPr>
          </w:p>
        </w:tc>
        <w:tc>
          <w:tcPr>
            <w:tcW w:w="1979" w:type="pct"/>
          </w:tcPr>
          <w:p w14:paraId="7685E117" w14:textId="77777777" w:rsidR="007A0D99" w:rsidRPr="00632BA9" w:rsidRDefault="007A0D99" w:rsidP="007A0D99">
            <w:pPr>
              <w:jc w:val="center"/>
              <w:rPr>
                <w:rFonts w:eastAsia="Arial"/>
                <w:b/>
                <w:sz w:val="24"/>
                <w:szCs w:val="24"/>
              </w:rPr>
            </w:pPr>
            <w:r w:rsidRPr="00632BA9">
              <w:rPr>
                <w:rFonts w:eastAsia="Arial"/>
                <w:b/>
                <w:sz w:val="24"/>
                <w:szCs w:val="24"/>
              </w:rPr>
              <w:t>Total</w:t>
            </w:r>
          </w:p>
        </w:tc>
        <w:tc>
          <w:tcPr>
            <w:tcW w:w="834" w:type="pct"/>
          </w:tcPr>
          <w:p w14:paraId="09191FAD" w14:textId="61654E37" w:rsidR="007A0D99" w:rsidRPr="007A0D99" w:rsidRDefault="007A0D99" w:rsidP="007A0D99">
            <w:pPr>
              <w:jc w:val="center"/>
              <w:rPr>
                <w:rFonts w:eastAsia="Arial"/>
                <w:b/>
                <w:bCs/>
                <w:sz w:val="24"/>
                <w:szCs w:val="24"/>
              </w:rPr>
            </w:pPr>
            <w:r w:rsidRPr="007A0D99">
              <w:rPr>
                <w:b/>
                <w:bCs/>
              </w:rPr>
              <w:t>401</w:t>
            </w:r>
          </w:p>
        </w:tc>
        <w:tc>
          <w:tcPr>
            <w:tcW w:w="884" w:type="pct"/>
          </w:tcPr>
          <w:p w14:paraId="23E0EE1D" w14:textId="0D8D0758" w:rsidR="007A0D99" w:rsidRPr="007A0D99" w:rsidRDefault="007A0D99" w:rsidP="007A0D99">
            <w:pPr>
              <w:jc w:val="center"/>
              <w:rPr>
                <w:rFonts w:eastAsia="Arial"/>
                <w:b/>
                <w:bCs/>
                <w:sz w:val="24"/>
                <w:szCs w:val="24"/>
              </w:rPr>
            </w:pPr>
            <w:r w:rsidRPr="007A0D99">
              <w:rPr>
                <w:b/>
                <w:bCs/>
              </w:rPr>
              <w:t>100.0</w:t>
            </w:r>
          </w:p>
        </w:tc>
      </w:tr>
      <w:tr w:rsidR="00F157AA" w:rsidRPr="00632BA9" w14:paraId="26FD5FE8" w14:textId="77777777" w:rsidTr="007A0D99">
        <w:tc>
          <w:tcPr>
            <w:tcW w:w="1303" w:type="pct"/>
          </w:tcPr>
          <w:p w14:paraId="1259D11F" w14:textId="2D5C6641" w:rsidR="00F157AA" w:rsidRPr="00632BA9" w:rsidRDefault="00F157AA" w:rsidP="00F157AA">
            <w:pPr>
              <w:rPr>
                <w:rFonts w:eastAsia="Arial"/>
                <w:color w:val="222222"/>
                <w:sz w:val="24"/>
                <w:szCs w:val="24"/>
              </w:rPr>
            </w:pPr>
            <w:r>
              <w:t>Mother’</w:t>
            </w:r>
            <w:r w:rsidRPr="00881BA9">
              <w:t xml:space="preserve">s Highest </w:t>
            </w:r>
          </w:p>
        </w:tc>
        <w:tc>
          <w:tcPr>
            <w:tcW w:w="1979" w:type="pct"/>
          </w:tcPr>
          <w:p w14:paraId="1AB84B82" w14:textId="47B2D39F" w:rsidR="00F157AA" w:rsidRPr="00632BA9" w:rsidRDefault="00F157AA" w:rsidP="00F157AA">
            <w:pPr>
              <w:rPr>
                <w:rFonts w:eastAsia="Arial"/>
                <w:b/>
                <w:sz w:val="24"/>
                <w:szCs w:val="24"/>
              </w:rPr>
            </w:pPr>
            <w:r w:rsidRPr="00577A26">
              <w:t>College Graduate</w:t>
            </w:r>
          </w:p>
        </w:tc>
        <w:tc>
          <w:tcPr>
            <w:tcW w:w="834" w:type="pct"/>
          </w:tcPr>
          <w:p w14:paraId="2B358B60" w14:textId="039F4B84" w:rsidR="00F157AA" w:rsidRPr="00632BA9" w:rsidRDefault="00F157AA" w:rsidP="00F157AA">
            <w:pPr>
              <w:jc w:val="center"/>
              <w:rPr>
                <w:rFonts w:eastAsia="Arial"/>
                <w:b/>
                <w:sz w:val="24"/>
                <w:szCs w:val="24"/>
              </w:rPr>
            </w:pPr>
            <w:r w:rsidRPr="007919A7">
              <w:t>79</w:t>
            </w:r>
          </w:p>
        </w:tc>
        <w:tc>
          <w:tcPr>
            <w:tcW w:w="884" w:type="pct"/>
          </w:tcPr>
          <w:p w14:paraId="4030B0DA" w14:textId="2E3E2F69" w:rsidR="00F157AA" w:rsidRPr="00632BA9" w:rsidRDefault="00F157AA" w:rsidP="00F157AA">
            <w:pPr>
              <w:jc w:val="center"/>
              <w:rPr>
                <w:rFonts w:eastAsia="Arial"/>
                <w:b/>
                <w:sz w:val="24"/>
                <w:szCs w:val="24"/>
              </w:rPr>
            </w:pPr>
            <w:r w:rsidRPr="007919A7">
              <w:t>19.70</w:t>
            </w:r>
          </w:p>
        </w:tc>
      </w:tr>
      <w:tr w:rsidR="00F157AA" w:rsidRPr="00632BA9" w14:paraId="2C6C36B9" w14:textId="77777777" w:rsidTr="007A0D99">
        <w:tc>
          <w:tcPr>
            <w:tcW w:w="1303" w:type="pct"/>
          </w:tcPr>
          <w:p w14:paraId="61551069" w14:textId="0E06ADE9" w:rsidR="00F157AA" w:rsidRPr="00632BA9" w:rsidRDefault="00F157AA" w:rsidP="00F157AA">
            <w:pPr>
              <w:rPr>
                <w:rFonts w:eastAsia="Arial"/>
                <w:color w:val="222222"/>
                <w:sz w:val="24"/>
                <w:szCs w:val="24"/>
              </w:rPr>
            </w:pPr>
            <w:r w:rsidRPr="00881BA9">
              <w:t xml:space="preserve">Educational Attainment </w:t>
            </w:r>
          </w:p>
        </w:tc>
        <w:tc>
          <w:tcPr>
            <w:tcW w:w="1979" w:type="pct"/>
          </w:tcPr>
          <w:p w14:paraId="176370C7" w14:textId="70D82E0C" w:rsidR="00F157AA" w:rsidRPr="00632BA9" w:rsidRDefault="00F157AA" w:rsidP="00F157AA">
            <w:pPr>
              <w:rPr>
                <w:rFonts w:eastAsia="Arial"/>
                <w:color w:val="222222"/>
                <w:sz w:val="24"/>
                <w:szCs w:val="24"/>
              </w:rPr>
            </w:pPr>
            <w:r w:rsidRPr="00577A26">
              <w:t>College Level</w:t>
            </w:r>
          </w:p>
        </w:tc>
        <w:tc>
          <w:tcPr>
            <w:tcW w:w="834" w:type="pct"/>
          </w:tcPr>
          <w:p w14:paraId="5CEA3398" w14:textId="7BC29702" w:rsidR="00F157AA" w:rsidRPr="00632BA9" w:rsidRDefault="00F157AA" w:rsidP="00F157AA">
            <w:pPr>
              <w:jc w:val="center"/>
              <w:rPr>
                <w:rFonts w:eastAsia="Arial"/>
                <w:sz w:val="24"/>
                <w:szCs w:val="24"/>
              </w:rPr>
            </w:pPr>
            <w:r w:rsidRPr="007919A7">
              <w:t>53</w:t>
            </w:r>
          </w:p>
        </w:tc>
        <w:tc>
          <w:tcPr>
            <w:tcW w:w="884" w:type="pct"/>
          </w:tcPr>
          <w:p w14:paraId="1FCA3BFE" w14:textId="65997254" w:rsidR="00F157AA" w:rsidRPr="00632BA9" w:rsidRDefault="00F157AA" w:rsidP="00F157AA">
            <w:pPr>
              <w:jc w:val="center"/>
              <w:rPr>
                <w:rFonts w:eastAsia="Arial"/>
                <w:sz w:val="24"/>
                <w:szCs w:val="24"/>
              </w:rPr>
            </w:pPr>
            <w:r w:rsidRPr="007919A7">
              <w:t>13.22</w:t>
            </w:r>
          </w:p>
        </w:tc>
      </w:tr>
      <w:tr w:rsidR="00F157AA" w:rsidRPr="00632BA9" w14:paraId="2E77CACC" w14:textId="77777777" w:rsidTr="007A0D99">
        <w:tc>
          <w:tcPr>
            <w:tcW w:w="1303" w:type="pct"/>
          </w:tcPr>
          <w:p w14:paraId="4E7C1A91" w14:textId="314A8D3A" w:rsidR="00F157AA" w:rsidRPr="00632BA9" w:rsidRDefault="00F157AA" w:rsidP="00F157AA">
            <w:pPr>
              <w:rPr>
                <w:rFonts w:eastAsia="Arial"/>
                <w:color w:val="222222"/>
                <w:sz w:val="24"/>
                <w:szCs w:val="24"/>
              </w:rPr>
            </w:pPr>
          </w:p>
        </w:tc>
        <w:tc>
          <w:tcPr>
            <w:tcW w:w="1979" w:type="pct"/>
          </w:tcPr>
          <w:p w14:paraId="0A1411D5" w14:textId="5E077620" w:rsidR="00F157AA" w:rsidRPr="00632BA9" w:rsidRDefault="00F157AA" w:rsidP="00F157AA">
            <w:pPr>
              <w:rPr>
                <w:rFonts w:eastAsia="Arial"/>
                <w:color w:val="222222"/>
                <w:sz w:val="24"/>
                <w:szCs w:val="24"/>
              </w:rPr>
            </w:pPr>
            <w:r w:rsidRPr="00577A26">
              <w:t>Vocational Course</w:t>
            </w:r>
          </w:p>
        </w:tc>
        <w:tc>
          <w:tcPr>
            <w:tcW w:w="834" w:type="pct"/>
          </w:tcPr>
          <w:p w14:paraId="3EFCD419" w14:textId="58F84B92" w:rsidR="00F157AA" w:rsidRPr="00632BA9" w:rsidRDefault="00F157AA" w:rsidP="00F157AA">
            <w:pPr>
              <w:jc w:val="center"/>
              <w:rPr>
                <w:rFonts w:eastAsia="Arial"/>
                <w:sz w:val="24"/>
                <w:szCs w:val="24"/>
              </w:rPr>
            </w:pPr>
            <w:r w:rsidRPr="007919A7">
              <w:t>6</w:t>
            </w:r>
          </w:p>
        </w:tc>
        <w:tc>
          <w:tcPr>
            <w:tcW w:w="884" w:type="pct"/>
          </w:tcPr>
          <w:p w14:paraId="04619402" w14:textId="403261F5" w:rsidR="00F157AA" w:rsidRPr="00632BA9" w:rsidRDefault="00F157AA" w:rsidP="00F157AA">
            <w:pPr>
              <w:jc w:val="center"/>
              <w:rPr>
                <w:rFonts w:eastAsia="Arial"/>
                <w:sz w:val="24"/>
                <w:szCs w:val="24"/>
              </w:rPr>
            </w:pPr>
            <w:r w:rsidRPr="007919A7">
              <w:t>1.50</w:t>
            </w:r>
          </w:p>
        </w:tc>
      </w:tr>
      <w:tr w:rsidR="00F157AA" w:rsidRPr="00632BA9" w14:paraId="48D1C8E9" w14:textId="77777777" w:rsidTr="007A0D99">
        <w:tc>
          <w:tcPr>
            <w:tcW w:w="1303" w:type="pct"/>
          </w:tcPr>
          <w:p w14:paraId="44ABC52F" w14:textId="77777777" w:rsidR="00F157AA" w:rsidRPr="00632BA9" w:rsidRDefault="00F157AA" w:rsidP="00F157AA">
            <w:pPr>
              <w:rPr>
                <w:rFonts w:eastAsia="Arial"/>
                <w:color w:val="222222"/>
                <w:sz w:val="24"/>
                <w:szCs w:val="24"/>
              </w:rPr>
            </w:pPr>
          </w:p>
        </w:tc>
        <w:tc>
          <w:tcPr>
            <w:tcW w:w="1979" w:type="pct"/>
          </w:tcPr>
          <w:p w14:paraId="0CB86415" w14:textId="566D1249" w:rsidR="00F157AA" w:rsidRPr="00632BA9" w:rsidRDefault="00F157AA" w:rsidP="00F157AA">
            <w:pPr>
              <w:rPr>
                <w:rFonts w:eastAsia="Arial"/>
                <w:color w:val="222222"/>
                <w:sz w:val="24"/>
                <w:szCs w:val="24"/>
              </w:rPr>
            </w:pPr>
            <w:r w:rsidRPr="00577A26">
              <w:t>High School Graduate</w:t>
            </w:r>
          </w:p>
        </w:tc>
        <w:tc>
          <w:tcPr>
            <w:tcW w:w="834" w:type="pct"/>
          </w:tcPr>
          <w:p w14:paraId="18E44276" w14:textId="51C4D19A" w:rsidR="00F157AA" w:rsidRPr="00632BA9" w:rsidRDefault="00F157AA" w:rsidP="00F157AA">
            <w:pPr>
              <w:jc w:val="center"/>
              <w:rPr>
                <w:rFonts w:eastAsia="Arial"/>
                <w:sz w:val="24"/>
                <w:szCs w:val="24"/>
              </w:rPr>
            </w:pPr>
            <w:r w:rsidRPr="007919A7">
              <w:t>127</w:t>
            </w:r>
          </w:p>
        </w:tc>
        <w:tc>
          <w:tcPr>
            <w:tcW w:w="884" w:type="pct"/>
          </w:tcPr>
          <w:p w14:paraId="07D671A0" w14:textId="3FBF05B9" w:rsidR="00F157AA" w:rsidRPr="00632BA9" w:rsidRDefault="00F157AA" w:rsidP="00F157AA">
            <w:pPr>
              <w:jc w:val="center"/>
              <w:rPr>
                <w:rFonts w:eastAsia="Arial"/>
                <w:sz w:val="24"/>
                <w:szCs w:val="24"/>
              </w:rPr>
            </w:pPr>
            <w:r w:rsidRPr="007919A7">
              <w:t>31.67</w:t>
            </w:r>
          </w:p>
        </w:tc>
      </w:tr>
      <w:tr w:rsidR="00F157AA" w:rsidRPr="00632BA9" w14:paraId="3F86B8B5" w14:textId="77777777" w:rsidTr="007A0D99">
        <w:tc>
          <w:tcPr>
            <w:tcW w:w="1303" w:type="pct"/>
          </w:tcPr>
          <w:p w14:paraId="33157EEB" w14:textId="77777777" w:rsidR="00F157AA" w:rsidRPr="00632BA9" w:rsidRDefault="00F157AA" w:rsidP="00F157AA">
            <w:pPr>
              <w:rPr>
                <w:rFonts w:eastAsia="Arial"/>
                <w:color w:val="222222"/>
                <w:sz w:val="24"/>
                <w:szCs w:val="24"/>
              </w:rPr>
            </w:pPr>
          </w:p>
        </w:tc>
        <w:tc>
          <w:tcPr>
            <w:tcW w:w="1979" w:type="pct"/>
          </w:tcPr>
          <w:p w14:paraId="5AB2C2E7" w14:textId="5A0AABCB" w:rsidR="00F157AA" w:rsidRPr="00632BA9" w:rsidRDefault="00F157AA" w:rsidP="00F157AA">
            <w:pPr>
              <w:rPr>
                <w:rFonts w:eastAsia="Arial"/>
                <w:color w:val="222222"/>
                <w:sz w:val="24"/>
                <w:szCs w:val="24"/>
              </w:rPr>
            </w:pPr>
            <w:r w:rsidRPr="00577A26">
              <w:t>High School Level</w:t>
            </w:r>
          </w:p>
        </w:tc>
        <w:tc>
          <w:tcPr>
            <w:tcW w:w="834" w:type="pct"/>
          </w:tcPr>
          <w:p w14:paraId="16EC0757" w14:textId="4CDCB6F2" w:rsidR="00F157AA" w:rsidRPr="00632BA9" w:rsidRDefault="00F157AA" w:rsidP="00F157AA">
            <w:pPr>
              <w:jc w:val="center"/>
              <w:rPr>
                <w:rFonts w:eastAsia="Arial"/>
                <w:sz w:val="24"/>
                <w:szCs w:val="24"/>
              </w:rPr>
            </w:pPr>
            <w:r w:rsidRPr="007919A7">
              <w:t>63</w:t>
            </w:r>
          </w:p>
        </w:tc>
        <w:tc>
          <w:tcPr>
            <w:tcW w:w="884" w:type="pct"/>
          </w:tcPr>
          <w:p w14:paraId="77E24BE6" w14:textId="5C5FA821" w:rsidR="00F157AA" w:rsidRPr="00632BA9" w:rsidRDefault="00F157AA" w:rsidP="00F157AA">
            <w:pPr>
              <w:jc w:val="center"/>
              <w:rPr>
                <w:rFonts w:eastAsia="Arial"/>
                <w:sz w:val="24"/>
                <w:szCs w:val="24"/>
              </w:rPr>
            </w:pPr>
            <w:r w:rsidRPr="007919A7">
              <w:t>15.71</w:t>
            </w:r>
          </w:p>
        </w:tc>
      </w:tr>
      <w:tr w:rsidR="00F157AA" w:rsidRPr="00632BA9" w14:paraId="7629418A" w14:textId="77777777" w:rsidTr="007A0D99">
        <w:tc>
          <w:tcPr>
            <w:tcW w:w="1303" w:type="pct"/>
          </w:tcPr>
          <w:p w14:paraId="2E68BEDD" w14:textId="77777777" w:rsidR="00F157AA" w:rsidRPr="00632BA9" w:rsidRDefault="00F157AA" w:rsidP="00F157AA">
            <w:pPr>
              <w:rPr>
                <w:rFonts w:eastAsia="Arial"/>
                <w:color w:val="222222"/>
                <w:sz w:val="24"/>
                <w:szCs w:val="24"/>
              </w:rPr>
            </w:pPr>
          </w:p>
        </w:tc>
        <w:tc>
          <w:tcPr>
            <w:tcW w:w="1979" w:type="pct"/>
          </w:tcPr>
          <w:p w14:paraId="036EE63A" w14:textId="1F97C10E" w:rsidR="00F157AA" w:rsidRPr="00632BA9" w:rsidRDefault="00F157AA" w:rsidP="00F157AA">
            <w:pPr>
              <w:rPr>
                <w:rFonts w:eastAsia="Arial"/>
                <w:color w:val="222222"/>
                <w:sz w:val="24"/>
                <w:szCs w:val="24"/>
              </w:rPr>
            </w:pPr>
            <w:r w:rsidRPr="00577A26">
              <w:t>Elementary Graduate</w:t>
            </w:r>
          </w:p>
        </w:tc>
        <w:tc>
          <w:tcPr>
            <w:tcW w:w="834" w:type="pct"/>
          </w:tcPr>
          <w:p w14:paraId="5082EC8D" w14:textId="139A75AC" w:rsidR="00F157AA" w:rsidRPr="00632BA9" w:rsidRDefault="00F157AA" w:rsidP="00F157AA">
            <w:pPr>
              <w:jc w:val="center"/>
              <w:rPr>
                <w:rFonts w:eastAsia="Arial"/>
                <w:sz w:val="24"/>
                <w:szCs w:val="24"/>
              </w:rPr>
            </w:pPr>
            <w:r w:rsidRPr="007919A7">
              <w:t>40</w:t>
            </w:r>
          </w:p>
        </w:tc>
        <w:tc>
          <w:tcPr>
            <w:tcW w:w="884" w:type="pct"/>
          </w:tcPr>
          <w:p w14:paraId="49B9C0E1" w14:textId="67AB6B4F" w:rsidR="00F157AA" w:rsidRPr="00632BA9" w:rsidRDefault="00F157AA" w:rsidP="00F157AA">
            <w:pPr>
              <w:jc w:val="center"/>
              <w:rPr>
                <w:rFonts w:eastAsia="Arial"/>
                <w:sz w:val="24"/>
                <w:szCs w:val="24"/>
              </w:rPr>
            </w:pPr>
            <w:r w:rsidRPr="007919A7">
              <w:t>9.97</w:t>
            </w:r>
          </w:p>
        </w:tc>
      </w:tr>
      <w:tr w:rsidR="00F157AA" w:rsidRPr="00632BA9" w14:paraId="1AA13D0B" w14:textId="77777777" w:rsidTr="007A0D99">
        <w:tc>
          <w:tcPr>
            <w:tcW w:w="1303" w:type="pct"/>
          </w:tcPr>
          <w:p w14:paraId="27C4481D" w14:textId="77777777" w:rsidR="00F157AA" w:rsidRPr="00632BA9" w:rsidRDefault="00F157AA" w:rsidP="00F157AA">
            <w:pPr>
              <w:rPr>
                <w:rFonts w:eastAsia="Arial"/>
                <w:color w:val="222222"/>
                <w:sz w:val="24"/>
                <w:szCs w:val="24"/>
              </w:rPr>
            </w:pPr>
          </w:p>
        </w:tc>
        <w:tc>
          <w:tcPr>
            <w:tcW w:w="1979" w:type="pct"/>
          </w:tcPr>
          <w:p w14:paraId="300F597A" w14:textId="690737DB" w:rsidR="00F157AA" w:rsidRPr="00632BA9" w:rsidRDefault="00F157AA" w:rsidP="00F157AA">
            <w:pPr>
              <w:rPr>
                <w:rFonts w:eastAsia="Arial"/>
                <w:color w:val="222222"/>
                <w:sz w:val="24"/>
                <w:szCs w:val="24"/>
              </w:rPr>
            </w:pPr>
            <w:r w:rsidRPr="00577A26">
              <w:t>Elementary Level</w:t>
            </w:r>
          </w:p>
        </w:tc>
        <w:tc>
          <w:tcPr>
            <w:tcW w:w="834" w:type="pct"/>
          </w:tcPr>
          <w:p w14:paraId="57E86819" w14:textId="6B38F478" w:rsidR="00F157AA" w:rsidRPr="00632BA9" w:rsidRDefault="00F157AA" w:rsidP="00F157AA">
            <w:pPr>
              <w:jc w:val="center"/>
              <w:rPr>
                <w:rFonts w:eastAsia="Arial"/>
                <w:sz w:val="24"/>
                <w:szCs w:val="24"/>
              </w:rPr>
            </w:pPr>
            <w:r w:rsidRPr="007919A7">
              <w:t>33</w:t>
            </w:r>
          </w:p>
        </w:tc>
        <w:tc>
          <w:tcPr>
            <w:tcW w:w="884" w:type="pct"/>
          </w:tcPr>
          <w:p w14:paraId="09EE6B91" w14:textId="5200DB1A" w:rsidR="00F157AA" w:rsidRPr="00632BA9" w:rsidRDefault="00F157AA" w:rsidP="00F157AA">
            <w:pPr>
              <w:jc w:val="center"/>
              <w:rPr>
                <w:rFonts w:eastAsia="Arial"/>
                <w:sz w:val="24"/>
                <w:szCs w:val="24"/>
              </w:rPr>
            </w:pPr>
            <w:r w:rsidRPr="007919A7">
              <w:t>8.23</w:t>
            </w:r>
          </w:p>
        </w:tc>
      </w:tr>
      <w:tr w:rsidR="00F157AA" w:rsidRPr="00632BA9" w14:paraId="678130F2" w14:textId="77777777" w:rsidTr="007A0D99">
        <w:tc>
          <w:tcPr>
            <w:tcW w:w="1303" w:type="pct"/>
          </w:tcPr>
          <w:p w14:paraId="1F18DFD9" w14:textId="77777777" w:rsidR="00F157AA" w:rsidRPr="00632BA9" w:rsidRDefault="00F157AA" w:rsidP="00F157AA">
            <w:pPr>
              <w:rPr>
                <w:rFonts w:eastAsia="Arial"/>
                <w:color w:val="222222"/>
                <w:sz w:val="24"/>
                <w:szCs w:val="24"/>
              </w:rPr>
            </w:pPr>
          </w:p>
        </w:tc>
        <w:tc>
          <w:tcPr>
            <w:tcW w:w="1979" w:type="pct"/>
          </w:tcPr>
          <w:p w14:paraId="18505025" w14:textId="77777777" w:rsidR="00F157AA" w:rsidRPr="00632BA9" w:rsidRDefault="00F157AA" w:rsidP="00F157AA">
            <w:pPr>
              <w:jc w:val="center"/>
              <w:rPr>
                <w:rFonts w:eastAsia="Arial"/>
                <w:color w:val="222222"/>
                <w:sz w:val="24"/>
                <w:szCs w:val="24"/>
              </w:rPr>
            </w:pPr>
            <w:r w:rsidRPr="00632BA9">
              <w:rPr>
                <w:rFonts w:eastAsia="Arial"/>
                <w:b/>
                <w:sz w:val="24"/>
                <w:szCs w:val="24"/>
              </w:rPr>
              <w:t>Total</w:t>
            </w:r>
          </w:p>
        </w:tc>
        <w:tc>
          <w:tcPr>
            <w:tcW w:w="834" w:type="pct"/>
          </w:tcPr>
          <w:p w14:paraId="5C1F4A6C" w14:textId="5926A98F" w:rsidR="00F157AA" w:rsidRPr="00F157AA" w:rsidRDefault="00F157AA" w:rsidP="00F157AA">
            <w:pPr>
              <w:jc w:val="center"/>
              <w:rPr>
                <w:rFonts w:eastAsia="Arial"/>
                <w:b/>
                <w:bCs/>
                <w:sz w:val="24"/>
                <w:szCs w:val="24"/>
              </w:rPr>
            </w:pPr>
            <w:r w:rsidRPr="00F157AA">
              <w:rPr>
                <w:b/>
                <w:bCs/>
              </w:rPr>
              <w:t>401</w:t>
            </w:r>
          </w:p>
        </w:tc>
        <w:tc>
          <w:tcPr>
            <w:tcW w:w="884" w:type="pct"/>
          </w:tcPr>
          <w:p w14:paraId="3776E6CE" w14:textId="311CF277" w:rsidR="00F157AA" w:rsidRPr="00F157AA" w:rsidRDefault="00F157AA" w:rsidP="00F157AA">
            <w:pPr>
              <w:jc w:val="center"/>
              <w:rPr>
                <w:rFonts w:eastAsia="Arial"/>
                <w:b/>
                <w:bCs/>
                <w:sz w:val="24"/>
                <w:szCs w:val="24"/>
              </w:rPr>
            </w:pPr>
            <w:r w:rsidRPr="00F157AA">
              <w:rPr>
                <w:b/>
                <w:bCs/>
              </w:rPr>
              <w:t>100.0</w:t>
            </w:r>
          </w:p>
        </w:tc>
      </w:tr>
      <w:tr w:rsidR="00F157AA" w:rsidRPr="00632BA9" w14:paraId="29B68B6E" w14:textId="77777777" w:rsidTr="007A0D99">
        <w:tc>
          <w:tcPr>
            <w:tcW w:w="1303" w:type="pct"/>
          </w:tcPr>
          <w:p w14:paraId="61866829" w14:textId="3DDEE3DE" w:rsidR="00F157AA" w:rsidRPr="00632BA9" w:rsidRDefault="00F157AA" w:rsidP="00F157AA">
            <w:pPr>
              <w:rPr>
                <w:rFonts w:eastAsia="Arial"/>
                <w:color w:val="222222"/>
                <w:sz w:val="24"/>
                <w:szCs w:val="24"/>
              </w:rPr>
            </w:pPr>
            <w:r>
              <w:t>Father’</w:t>
            </w:r>
            <w:r w:rsidRPr="00881BA9">
              <w:t xml:space="preserve">s Highest </w:t>
            </w:r>
          </w:p>
        </w:tc>
        <w:tc>
          <w:tcPr>
            <w:tcW w:w="1979" w:type="pct"/>
          </w:tcPr>
          <w:p w14:paraId="7C56E992" w14:textId="4FABC9EC" w:rsidR="00F157AA" w:rsidRPr="00632BA9" w:rsidRDefault="00F157AA" w:rsidP="00F157AA">
            <w:pPr>
              <w:rPr>
                <w:rFonts w:eastAsia="Arial"/>
                <w:b/>
                <w:sz w:val="24"/>
                <w:szCs w:val="24"/>
              </w:rPr>
            </w:pPr>
            <w:r w:rsidRPr="00577A26">
              <w:t>College Graduate</w:t>
            </w:r>
          </w:p>
        </w:tc>
        <w:tc>
          <w:tcPr>
            <w:tcW w:w="834" w:type="pct"/>
          </w:tcPr>
          <w:p w14:paraId="2D4B8FD5" w14:textId="706D5C4C" w:rsidR="00F157AA" w:rsidRPr="00F157AA" w:rsidRDefault="00F157AA" w:rsidP="00F157AA">
            <w:pPr>
              <w:jc w:val="center"/>
              <w:rPr>
                <w:b/>
                <w:bCs/>
              </w:rPr>
            </w:pPr>
            <w:r w:rsidRPr="00B224DD">
              <w:t>61</w:t>
            </w:r>
          </w:p>
        </w:tc>
        <w:tc>
          <w:tcPr>
            <w:tcW w:w="884" w:type="pct"/>
          </w:tcPr>
          <w:p w14:paraId="46D9B9B7" w14:textId="2E7AD07D" w:rsidR="00F157AA" w:rsidRPr="00F157AA" w:rsidRDefault="00F157AA" w:rsidP="00F157AA">
            <w:pPr>
              <w:jc w:val="center"/>
              <w:rPr>
                <w:b/>
                <w:bCs/>
              </w:rPr>
            </w:pPr>
            <w:r w:rsidRPr="00B224DD">
              <w:t>15.21</w:t>
            </w:r>
          </w:p>
        </w:tc>
      </w:tr>
      <w:tr w:rsidR="00F157AA" w:rsidRPr="00632BA9" w14:paraId="267C9AEE" w14:textId="77777777" w:rsidTr="007A0D99">
        <w:tc>
          <w:tcPr>
            <w:tcW w:w="1303" w:type="pct"/>
          </w:tcPr>
          <w:p w14:paraId="5BE8367F" w14:textId="0C6E3336" w:rsidR="00F157AA" w:rsidRPr="00632BA9" w:rsidRDefault="00F157AA" w:rsidP="00F157AA">
            <w:pPr>
              <w:rPr>
                <w:rFonts w:eastAsia="Arial"/>
                <w:color w:val="222222"/>
                <w:sz w:val="24"/>
                <w:szCs w:val="24"/>
              </w:rPr>
            </w:pPr>
            <w:r w:rsidRPr="00881BA9">
              <w:t xml:space="preserve">Educational Attainment </w:t>
            </w:r>
          </w:p>
        </w:tc>
        <w:tc>
          <w:tcPr>
            <w:tcW w:w="1979" w:type="pct"/>
          </w:tcPr>
          <w:p w14:paraId="767F9E02" w14:textId="7AAF553D" w:rsidR="00F157AA" w:rsidRPr="00632BA9" w:rsidRDefault="00F157AA" w:rsidP="00F157AA">
            <w:pPr>
              <w:rPr>
                <w:rFonts w:eastAsia="Arial"/>
                <w:b/>
                <w:sz w:val="24"/>
                <w:szCs w:val="24"/>
              </w:rPr>
            </w:pPr>
            <w:r w:rsidRPr="00577A26">
              <w:t>College Level</w:t>
            </w:r>
          </w:p>
        </w:tc>
        <w:tc>
          <w:tcPr>
            <w:tcW w:w="834" w:type="pct"/>
          </w:tcPr>
          <w:p w14:paraId="18DDBBA0" w14:textId="389D0F12" w:rsidR="00F157AA" w:rsidRPr="00F157AA" w:rsidRDefault="00F157AA" w:rsidP="00F157AA">
            <w:pPr>
              <w:jc w:val="center"/>
              <w:rPr>
                <w:b/>
                <w:bCs/>
              </w:rPr>
            </w:pPr>
            <w:r w:rsidRPr="00B224DD">
              <w:t>45</w:t>
            </w:r>
          </w:p>
        </w:tc>
        <w:tc>
          <w:tcPr>
            <w:tcW w:w="884" w:type="pct"/>
          </w:tcPr>
          <w:p w14:paraId="0D739736" w14:textId="7C580033" w:rsidR="00F157AA" w:rsidRPr="00F157AA" w:rsidRDefault="00F157AA" w:rsidP="00F157AA">
            <w:pPr>
              <w:jc w:val="center"/>
              <w:rPr>
                <w:b/>
                <w:bCs/>
              </w:rPr>
            </w:pPr>
            <w:r w:rsidRPr="00B224DD">
              <w:t>11.23</w:t>
            </w:r>
          </w:p>
        </w:tc>
      </w:tr>
      <w:tr w:rsidR="00F157AA" w:rsidRPr="00632BA9" w14:paraId="1F96927D" w14:textId="77777777" w:rsidTr="007A0D99">
        <w:tc>
          <w:tcPr>
            <w:tcW w:w="1303" w:type="pct"/>
          </w:tcPr>
          <w:p w14:paraId="381BBEE3" w14:textId="77777777" w:rsidR="00F157AA" w:rsidRPr="00632BA9" w:rsidRDefault="00F157AA" w:rsidP="00F157AA">
            <w:pPr>
              <w:rPr>
                <w:rFonts w:eastAsia="Arial"/>
                <w:color w:val="222222"/>
                <w:sz w:val="24"/>
                <w:szCs w:val="24"/>
              </w:rPr>
            </w:pPr>
          </w:p>
        </w:tc>
        <w:tc>
          <w:tcPr>
            <w:tcW w:w="1979" w:type="pct"/>
          </w:tcPr>
          <w:p w14:paraId="1B76D313" w14:textId="3365EEF6" w:rsidR="00F157AA" w:rsidRPr="00632BA9" w:rsidRDefault="00F157AA" w:rsidP="00F157AA">
            <w:pPr>
              <w:rPr>
                <w:rFonts w:eastAsia="Arial"/>
                <w:b/>
                <w:sz w:val="24"/>
                <w:szCs w:val="24"/>
              </w:rPr>
            </w:pPr>
            <w:r w:rsidRPr="00577A26">
              <w:t>Vocational Course</w:t>
            </w:r>
          </w:p>
        </w:tc>
        <w:tc>
          <w:tcPr>
            <w:tcW w:w="834" w:type="pct"/>
          </w:tcPr>
          <w:p w14:paraId="388C33C1" w14:textId="570C9C7D" w:rsidR="00F157AA" w:rsidRPr="00F157AA" w:rsidRDefault="00F157AA" w:rsidP="00F157AA">
            <w:pPr>
              <w:jc w:val="center"/>
              <w:rPr>
                <w:b/>
                <w:bCs/>
              </w:rPr>
            </w:pPr>
            <w:r w:rsidRPr="00B224DD">
              <w:t>4</w:t>
            </w:r>
          </w:p>
        </w:tc>
        <w:tc>
          <w:tcPr>
            <w:tcW w:w="884" w:type="pct"/>
          </w:tcPr>
          <w:p w14:paraId="75AA4143" w14:textId="19DC39E9" w:rsidR="00F157AA" w:rsidRPr="00F157AA" w:rsidRDefault="00F157AA" w:rsidP="00F157AA">
            <w:pPr>
              <w:jc w:val="center"/>
              <w:rPr>
                <w:b/>
                <w:bCs/>
              </w:rPr>
            </w:pPr>
            <w:r w:rsidRPr="00B224DD">
              <w:t>0.99</w:t>
            </w:r>
          </w:p>
        </w:tc>
      </w:tr>
      <w:tr w:rsidR="00F157AA" w:rsidRPr="00632BA9" w14:paraId="0DE45EC3" w14:textId="77777777" w:rsidTr="007A0D99">
        <w:tc>
          <w:tcPr>
            <w:tcW w:w="1303" w:type="pct"/>
          </w:tcPr>
          <w:p w14:paraId="6F7A88F3" w14:textId="77777777" w:rsidR="00F157AA" w:rsidRPr="00632BA9" w:rsidRDefault="00F157AA" w:rsidP="00F157AA">
            <w:pPr>
              <w:rPr>
                <w:rFonts w:eastAsia="Arial"/>
                <w:color w:val="222222"/>
                <w:sz w:val="24"/>
                <w:szCs w:val="24"/>
              </w:rPr>
            </w:pPr>
          </w:p>
        </w:tc>
        <w:tc>
          <w:tcPr>
            <w:tcW w:w="1979" w:type="pct"/>
          </w:tcPr>
          <w:p w14:paraId="4AE4D447" w14:textId="688D1920" w:rsidR="00F157AA" w:rsidRPr="00632BA9" w:rsidRDefault="00F157AA" w:rsidP="00F157AA">
            <w:pPr>
              <w:rPr>
                <w:rFonts w:eastAsia="Arial"/>
                <w:b/>
                <w:sz w:val="24"/>
                <w:szCs w:val="24"/>
              </w:rPr>
            </w:pPr>
            <w:r w:rsidRPr="00577A26">
              <w:t>High School Graduate</w:t>
            </w:r>
          </w:p>
        </w:tc>
        <w:tc>
          <w:tcPr>
            <w:tcW w:w="834" w:type="pct"/>
          </w:tcPr>
          <w:p w14:paraId="47B08754" w14:textId="30A65299" w:rsidR="00F157AA" w:rsidRPr="00F157AA" w:rsidRDefault="00F157AA" w:rsidP="00F157AA">
            <w:pPr>
              <w:jc w:val="center"/>
              <w:rPr>
                <w:b/>
                <w:bCs/>
              </w:rPr>
            </w:pPr>
            <w:r w:rsidRPr="00B224DD">
              <w:t>105</w:t>
            </w:r>
          </w:p>
        </w:tc>
        <w:tc>
          <w:tcPr>
            <w:tcW w:w="884" w:type="pct"/>
          </w:tcPr>
          <w:p w14:paraId="5A446BB1" w14:textId="77BB7ED6" w:rsidR="00F157AA" w:rsidRPr="00F157AA" w:rsidRDefault="00F157AA" w:rsidP="00F157AA">
            <w:pPr>
              <w:jc w:val="center"/>
              <w:rPr>
                <w:b/>
                <w:bCs/>
              </w:rPr>
            </w:pPr>
            <w:r w:rsidRPr="00B224DD">
              <w:t>26.18</w:t>
            </w:r>
          </w:p>
        </w:tc>
      </w:tr>
      <w:tr w:rsidR="00F157AA" w:rsidRPr="00632BA9" w14:paraId="4880AA0F" w14:textId="77777777" w:rsidTr="007A0D99">
        <w:tc>
          <w:tcPr>
            <w:tcW w:w="1303" w:type="pct"/>
          </w:tcPr>
          <w:p w14:paraId="1618EB89" w14:textId="77777777" w:rsidR="00F157AA" w:rsidRPr="00632BA9" w:rsidRDefault="00F157AA" w:rsidP="00F157AA">
            <w:pPr>
              <w:rPr>
                <w:rFonts w:eastAsia="Arial"/>
                <w:color w:val="222222"/>
                <w:sz w:val="24"/>
                <w:szCs w:val="24"/>
              </w:rPr>
            </w:pPr>
          </w:p>
        </w:tc>
        <w:tc>
          <w:tcPr>
            <w:tcW w:w="1979" w:type="pct"/>
          </w:tcPr>
          <w:p w14:paraId="5510A735" w14:textId="0809BE97" w:rsidR="00F157AA" w:rsidRPr="00632BA9" w:rsidRDefault="00F157AA" w:rsidP="00F157AA">
            <w:pPr>
              <w:rPr>
                <w:rFonts w:eastAsia="Arial"/>
                <w:b/>
                <w:sz w:val="24"/>
                <w:szCs w:val="24"/>
              </w:rPr>
            </w:pPr>
            <w:r w:rsidRPr="00577A26">
              <w:t>High School Level</w:t>
            </w:r>
          </w:p>
        </w:tc>
        <w:tc>
          <w:tcPr>
            <w:tcW w:w="834" w:type="pct"/>
          </w:tcPr>
          <w:p w14:paraId="7AEB7E2F" w14:textId="6EFDCDFA" w:rsidR="00F157AA" w:rsidRPr="00F157AA" w:rsidRDefault="00F157AA" w:rsidP="00F157AA">
            <w:pPr>
              <w:jc w:val="center"/>
              <w:rPr>
                <w:b/>
                <w:bCs/>
              </w:rPr>
            </w:pPr>
            <w:r w:rsidRPr="00B224DD">
              <w:t>62</w:t>
            </w:r>
          </w:p>
        </w:tc>
        <w:tc>
          <w:tcPr>
            <w:tcW w:w="884" w:type="pct"/>
          </w:tcPr>
          <w:p w14:paraId="3754BA6D" w14:textId="19D3E1F0" w:rsidR="00F157AA" w:rsidRPr="00F157AA" w:rsidRDefault="00F157AA" w:rsidP="00F157AA">
            <w:pPr>
              <w:jc w:val="center"/>
              <w:rPr>
                <w:b/>
                <w:bCs/>
              </w:rPr>
            </w:pPr>
            <w:r w:rsidRPr="00B224DD">
              <w:t>15.46</w:t>
            </w:r>
          </w:p>
        </w:tc>
      </w:tr>
      <w:tr w:rsidR="00F157AA" w:rsidRPr="00632BA9" w14:paraId="3A7EA466" w14:textId="77777777" w:rsidTr="007A0D99">
        <w:tc>
          <w:tcPr>
            <w:tcW w:w="1303" w:type="pct"/>
          </w:tcPr>
          <w:p w14:paraId="32EA9678" w14:textId="77777777" w:rsidR="00F157AA" w:rsidRPr="00632BA9" w:rsidRDefault="00F157AA" w:rsidP="00F157AA">
            <w:pPr>
              <w:rPr>
                <w:rFonts w:eastAsia="Arial"/>
                <w:color w:val="222222"/>
                <w:sz w:val="24"/>
                <w:szCs w:val="24"/>
              </w:rPr>
            </w:pPr>
          </w:p>
        </w:tc>
        <w:tc>
          <w:tcPr>
            <w:tcW w:w="1979" w:type="pct"/>
          </w:tcPr>
          <w:p w14:paraId="6C9B4784" w14:textId="78E151C9" w:rsidR="00F157AA" w:rsidRPr="00632BA9" w:rsidRDefault="00F157AA" w:rsidP="00F157AA">
            <w:pPr>
              <w:rPr>
                <w:rFonts w:eastAsia="Arial"/>
                <w:b/>
                <w:sz w:val="24"/>
                <w:szCs w:val="24"/>
              </w:rPr>
            </w:pPr>
            <w:r w:rsidRPr="00577A26">
              <w:t>Elementary Graduate</w:t>
            </w:r>
          </w:p>
        </w:tc>
        <w:tc>
          <w:tcPr>
            <w:tcW w:w="834" w:type="pct"/>
          </w:tcPr>
          <w:p w14:paraId="1C138F90" w14:textId="708F803D" w:rsidR="00F157AA" w:rsidRPr="00F157AA" w:rsidRDefault="00F157AA" w:rsidP="00F157AA">
            <w:pPr>
              <w:jc w:val="center"/>
              <w:rPr>
                <w:b/>
                <w:bCs/>
              </w:rPr>
            </w:pPr>
            <w:r w:rsidRPr="00B224DD">
              <w:t>61</w:t>
            </w:r>
          </w:p>
        </w:tc>
        <w:tc>
          <w:tcPr>
            <w:tcW w:w="884" w:type="pct"/>
          </w:tcPr>
          <w:p w14:paraId="35773D7D" w14:textId="4C378C03" w:rsidR="00F157AA" w:rsidRPr="00F157AA" w:rsidRDefault="00F157AA" w:rsidP="00F157AA">
            <w:pPr>
              <w:jc w:val="center"/>
              <w:rPr>
                <w:b/>
                <w:bCs/>
              </w:rPr>
            </w:pPr>
            <w:r w:rsidRPr="00B224DD">
              <w:t>15.21</w:t>
            </w:r>
          </w:p>
        </w:tc>
      </w:tr>
      <w:tr w:rsidR="00F157AA" w:rsidRPr="00632BA9" w14:paraId="308D6E82" w14:textId="77777777" w:rsidTr="007A0D99">
        <w:tc>
          <w:tcPr>
            <w:tcW w:w="1303" w:type="pct"/>
          </w:tcPr>
          <w:p w14:paraId="51698BAB" w14:textId="77777777" w:rsidR="00F157AA" w:rsidRPr="00632BA9" w:rsidRDefault="00F157AA" w:rsidP="00F157AA">
            <w:pPr>
              <w:rPr>
                <w:rFonts w:eastAsia="Arial"/>
                <w:color w:val="222222"/>
                <w:sz w:val="24"/>
                <w:szCs w:val="24"/>
              </w:rPr>
            </w:pPr>
          </w:p>
        </w:tc>
        <w:tc>
          <w:tcPr>
            <w:tcW w:w="1979" w:type="pct"/>
          </w:tcPr>
          <w:p w14:paraId="59200120" w14:textId="770B8F4A" w:rsidR="00F157AA" w:rsidRPr="00632BA9" w:rsidRDefault="00F157AA" w:rsidP="00F157AA">
            <w:pPr>
              <w:rPr>
                <w:rFonts w:eastAsia="Arial"/>
                <w:b/>
                <w:sz w:val="24"/>
                <w:szCs w:val="24"/>
              </w:rPr>
            </w:pPr>
            <w:r w:rsidRPr="00577A26">
              <w:t>Elementary Level</w:t>
            </w:r>
          </w:p>
        </w:tc>
        <w:tc>
          <w:tcPr>
            <w:tcW w:w="834" w:type="pct"/>
          </w:tcPr>
          <w:p w14:paraId="3BD818F1" w14:textId="0A031FA4" w:rsidR="00F157AA" w:rsidRPr="00F157AA" w:rsidRDefault="00F157AA" w:rsidP="00F157AA">
            <w:pPr>
              <w:jc w:val="center"/>
              <w:rPr>
                <w:b/>
                <w:bCs/>
              </w:rPr>
            </w:pPr>
            <w:r w:rsidRPr="00B224DD">
              <w:t>63</w:t>
            </w:r>
          </w:p>
        </w:tc>
        <w:tc>
          <w:tcPr>
            <w:tcW w:w="884" w:type="pct"/>
          </w:tcPr>
          <w:p w14:paraId="6C41BA1A" w14:textId="34E1942C" w:rsidR="00F157AA" w:rsidRPr="00F157AA" w:rsidRDefault="00F157AA" w:rsidP="00F157AA">
            <w:pPr>
              <w:jc w:val="center"/>
              <w:rPr>
                <w:b/>
                <w:bCs/>
              </w:rPr>
            </w:pPr>
            <w:r w:rsidRPr="00B224DD">
              <w:t>15.72</w:t>
            </w:r>
          </w:p>
        </w:tc>
      </w:tr>
      <w:tr w:rsidR="00F157AA" w:rsidRPr="00632BA9" w14:paraId="0EB24399" w14:textId="77777777" w:rsidTr="007A0D99">
        <w:tc>
          <w:tcPr>
            <w:tcW w:w="1303" w:type="pct"/>
          </w:tcPr>
          <w:p w14:paraId="2E85ACF3" w14:textId="77777777" w:rsidR="00F157AA" w:rsidRPr="00632BA9" w:rsidRDefault="00F157AA" w:rsidP="00F157AA">
            <w:pPr>
              <w:rPr>
                <w:rFonts w:eastAsia="Arial"/>
                <w:color w:val="222222"/>
                <w:sz w:val="24"/>
                <w:szCs w:val="24"/>
              </w:rPr>
            </w:pPr>
          </w:p>
        </w:tc>
        <w:tc>
          <w:tcPr>
            <w:tcW w:w="1979" w:type="pct"/>
          </w:tcPr>
          <w:p w14:paraId="5948A54A" w14:textId="11851314" w:rsidR="00F157AA" w:rsidRPr="00632BA9" w:rsidRDefault="00F157AA" w:rsidP="00F157AA">
            <w:pPr>
              <w:jc w:val="center"/>
              <w:rPr>
                <w:rFonts w:eastAsia="Arial"/>
                <w:b/>
                <w:sz w:val="24"/>
                <w:szCs w:val="24"/>
              </w:rPr>
            </w:pPr>
            <w:r w:rsidRPr="00632BA9">
              <w:rPr>
                <w:rFonts w:eastAsia="Arial"/>
                <w:b/>
                <w:sz w:val="24"/>
                <w:szCs w:val="24"/>
              </w:rPr>
              <w:t>Total</w:t>
            </w:r>
          </w:p>
        </w:tc>
        <w:tc>
          <w:tcPr>
            <w:tcW w:w="834" w:type="pct"/>
          </w:tcPr>
          <w:p w14:paraId="52F9FEDE" w14:textId="4CFE1B4C" w:rsidR="00F157AA" w:rsidRPr="00F157AA" w:rsidRDefault="00F157AA" w:rsidP="00F157AA">
            <w:pPr>
              <w:jc w:val="center"/>
              <w:rPr>
                <w:b/>
                <w:bCs/>
              </w:rPr>
            </w:pPr>
            <w:r w:rsidRPr="00F157AA">
              <w:rPr>
                <w:b/>
                <w:bCs/>
              </w:rPr>
              <w:t>401</w:t>
            </w:r>
          </w:p>
        </w:tc>
        <w:tc>
          <w:tcPr>
            <w:tcW w:w="884" w:type="pct"/>
          </w:tcPr>
          <w:p w14:paraId="5BB37592" w14:textId="4B6A1F1B" w:rsidR="00F157AA" w:rsidRPr="00F157AA" w:rsidRDefault="00F157AA" w:rsidP="00F157AA">
            <w:pPr>
              <w:jc w:val="center"/>
              <w:rPr>
                <w:b/>
                <w:bCs/>
              </w:rPr>
            </w:pPr>
            <w:r w:rsidRPr="00F157AA">
              <w:rPr>
                <w:b/>
                <w:bCs/>
              </w:rPr>
              <w:t>100.0</w:t>
            </w:r>
          </w:p>
        </w:tc>
      </w:tr>
    </w:tbl>
    <w:p w14:paraId="7C2F08BA" w14:textId="11E2B60B" w:rsidR="00CB6FA9" w:rsidRDefault="00CB6FA9" w:rsidP="00CB6FA9">
      <w:pPr>
        <w:pStyle w:val="BodyText"/>
        <w:spacing w:before="240"/>
      </w:pPr>
      <w:r>
        <w:lastRenderedPageBreak/>
        <w:t>Table 1 shows that the sample of Grade 10 learners in the selected public high schools in Bukidnon is predominantly female, with almost two‑thirds of respondents identifying as girls. This confirms that, similar to many secondary schools locally and globally, female learners now outnumber males in enrollment, reflecting broader trends in female participation and empowerment in education. The female majority means that much of the data on barriers and academic performance in Araling Panlipunan is shaped mainly by girls’ perspectives, which is important when interpreting attitudes, motivations, and learning challenges. At the same time, the smaller proportion of male learners suggests that boys may face distinct constraints, such as work responsibilities, socio‑cultural expectations, or disengagement, that can reduce their school participation and should be explored further in future research and interventions.</w:t>
      </w:r>
    </w:p>
    <w:p w14:paraId="3A159E25" w14:textId="4444B8CB" w:rsidR="00CB6FA9" w:rsidRDefault="00CB6FA9" w:rsidP="00CB6FA9">
      <w:pPr>
        <w:pStyle w:val="BodyText"/>
        <w:spacing w:before="240"/>
      </w:pPr>
      <w:r>
        <w:t>It further indicates that a large share of respondents lives far from school, with the greatest proportion traveling around 4 kilometers daily just to attend classes. This pattern reflects the rural and dispersed nature of many communities in Bukidnon and highlights the physical and financial effort learners invest in schooling. Long distances are likely to be associated with higher transportation costs, long walking times, fatigue, and reduced time for homework or rest, which can negatively affect learners’ engagement and performance in Araling Panlipunan. In contrast, the smaller group living within 1 kilometer of school enjoys easier access and more opportunities to participate in academic and co‑curricular activities. The distribution underscores geographic inequities in access and points to the need for targeted support for learners from far‑flung areas, such as transport subsidies, localized learning support, or flexible school arrangements.</w:t>
      </w:r>
    </w:p>
    <w:p w14:paraId="1E663AB3" w14:textId="54EA6D2F" w:rsidR="00CB6FA9" w:rsidRDefault="00CB6FA9" w:rsidP="00CB6FA9">
      <w:pPr>
        <w:pStyle w:val="BodyText"/>
        <w:spacing w:before="240"/>
      </w:pPr>
      <w:r>
        <w:t>The result shows considerable variation in daily allowance, but most learners receive only 20 pesos and below, indicating that many students navigate school life under tight financial constraints. Such a limited allowance may restrict the ability to buy food, school supplies, or pay for daily transport, especially for those who live far from school, thereby compounding the challenges linked to distance. However, the discussion and related studies suggest that low monetary resources do not automatically translate to poor academic outcomes when strong family, peers, and community support are present. Rural learners in particular often display resilience and creativity, maximizing available resources and engaging actively in school despite financial hardship. These findings highlight the importance of combining financial assistance with non‑monetary support—such as mentoring, guidance, and community programs—to sustain participation and performance in Araling Panlipunan.</w:t>
      </w:r>
    </w:p>
    <w:p w14:paraId="07874C27" w14:textId="77777777" w:rsidR="00CB6FA9" w:rsidRDefault="00CB6FA9" w:rsidP="00C8751E">
      <w:pPr>
        <w:pStyle w:val="BodyText"/>
        <w:spacing w:before="240"/>
      </w:pPr>
      <w:r>
        <w:t xml:space="preserve">The result also reveals that most parents have reached high school level or vocational education, with relatively few completing college. This means many learners grow up in households where higher education has not been experienced first‑hand, which may limit parents’ capacity to provide academic support, help with assignments, or model college‑going pathways. At the same time, vocational credentials reflect pragmatic choices by parents to acquire employable skills quickly and contribute to household income, especially in rural, agriculture‑based communities. The parental education profile suggests that schools cannot rely solely on home support for academic development; instead, school‑ and community‑based interventions, such as tutorials, parent education sessions, and stronger home–school partnerships are needed to help learners navigate academic demands, particularly in content‑heavy subjects like Araling Panlipunan. </w:t>
      </w:r>
    </w:p>
    <w:p w14:paraId="4D511117" w14:textId="0F2865FB" w:rsidR="00BC7257" w:rsidRPr="00D17CFD" w:rsidRDefault="00F17E4F" w:rsidP="00CB6FA9">
      <w:pPr>
        <w:pStyle w:val="BodyText"/>
        <w:spacing w:before="240"/>
      </w:pPr>
      <w:r w:rsidRPr="00D17CFD">
        <w:t>Table</w:t>
      </w:r>
      <w:r w:rsidRPr="00D17CFD">
        <w:rPr>
          <w:spacing w:val="-5"/>
        </w:rPr>
        <w:t xml:space="preserve"> </w:t>
      </w:r>
      <w:r w:rsidRPr="00D17CFD">
        <w:t>II.</w:t>
      </w:r>
      <w:r w:rsidRPr="00D17CFD">
        <w:rPr>
          <w:spacing w:val="-4"/>
        </w:rPr>
        <w:t xml:space="preserve"> </w:t>
      </w:r>
      <w:r w:rsidR="00CB6FA9">
        <w:t>Summary Distribution of Respondents’ Assessment on the Extent of Barriers in Learning Araling Panlipunan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1"/>
        <w:gridCol w:w="825"/>
        <w:gridCol w:w="772"/>
        <w:gridCol w:w="2204"/>
        <w:gridCol w:w="2758"/>
      </w:tblGrid>
      <w:tr w:rsidR="004E7B38" w:rsidRPr="00D17CFD" w14:paraId="0CB285DB" w14:textId="77777777" w:rsidTr="002976D0">
        <w:tc>
          <w:tcPr>
            <w:tcW w:w="1932" w:type="pct"/>
            <w:hideMark/>
          </w:tcPr>
          <w:p w14:paraId="4D3B268D" w14:textId="77777777" w:rsidR="004E7B38" w:rsidRPr="00D17CFD" w:rsidRDefault="004E7B38" w:rsidP="00FB27B9">
            <w:pPr>
              <w:pStyle w:val="BodyText"/>
              <w:spacing w:before="117"/>
              <w:rPr>
                <w:lang w:val="en-PH"/>
              </w:rPr>
            </w:pPr>
            <w:r w:rsidRPr="00D17CFD">
              <w:rPr>
                <w:lang w:val="en-PH"/>
              </w:rPr>
              <w:t>Variable</w:t>
            </w:r>
          </w:p>
        </w:tc>
        <w:tc>
          <w:tcPr>
            <w:tcW w:w="386" w:type="pct"/>
            <w:hideMark/>
          </w:tcPr>
          <w:p w14:paraId="7142D3D9" w14:textId="14481196" w:rsidR="004E7B38" w:rsidRPr="00D17CFD" w:rsidRDefault="004E7B38" w:rsidP="000C1217">
            <w:pPr>
              <w:pStyle w:val="BodyText"/>
              <w:spacing w:before="117"/>
              <w:jc w:val="center"/>
              <w:rPr>
                <w:lang w:val="en-PH"/>
              </w:rPr>
            </w:pPr>
            <w:r w:rsidRPr="00D17CFD">
              <w:rPr>
                <w:lang w:val="en-PH"/>
              </w:rPr>
              <w:t>Mean</w:t>
            </w:r>
          </w:p>
        </w:tc>
        <w:tc>
          <w:tcPr>
            <w:tcW w:w="361" w:type="pct"/>
          </w:tcPr>
          <w:p w14:paraId="2BC629DD" w14:textId="77777777" w:rsidR="004E7B38" w:rsidRPr="00D17CFD" w:rsidRDefault="004E7B38" w:rsidP="000C1217">
            <w:pPr>
              <w:pStyle w:val="BodyText"/>
              <w:spacing w:before="117"/>
              <w:jc w:val="center"/>
              <w:rPr>
                <w:lang w:val="en-PH"/>
              </w:rPr>
            </w:pPr>
            <w:r w:rsidRPr="00D17CFD">
              <w:rPr>
                <w:lang w:val="en-PH"/>
              </w:rPr>
              <w:t>SD</w:t>
            </w:r>
          </w:p>
        </w:tc>
        <w:tc>
          <w:tcPr>
            <w:tcW w:w="1031" w:type="pct"/>
          </w:tcPr>
          <w:p w14:paraId="05399BD8" w14:textId="280EC330" w:rsidR="004E7B38" w:rsidRPr="00D17CFD" w:rsidRDefault="004E7B38" w:rsidP="000C1217">
            <w:pPr>
              <w:pStyle w:val="BodyText"/>
              <w:spacing w:before="117"/>
              <w:jc w:val="center"/>
              <w:rPr>
                <w:lang w:val="en-PH"/>
              </w:rPr>
            </w:pPr>
            <w:r w:rsidRPr="00D17CFD">
              <w:rPr>
                <w:lang w:val="en-PH"/>
              </w:rPr>
              <w:t>Descriptive Rating</w:t>
            </w:r>
          </w:p>
        </w:tc>
        <w:tc>
          <w:tcPr>
            <w:tcW w:w="1290" w:type="pct"/>
            <w:hideMark/>
          </w:tcPr>
          <w:p w14:paraId="6C40CAD7" w14:textId="6DCA6360" w:rsidR="004E7B38" w:rsidRPr="00D17CFD" w:rsidRDefault="000C1217" w:rsidP="00FB27B9">
            <w:pPr>
              <w:pStyle w:val="BodyText"/>
              <w:spacing w:before="117"/>
              <w:rPr>
                <w:lang w:val="en-PH"/>
              </w:rPr>
            </w:pPr>
            <w:r w:rsidRPr="00D17CFD">
              <w:rPr>
                <w:lang w:val="en-PH"/>
              </w:rPr>
              <w:t xml:space="preserve">Qualitative </w:t>
            </w:r>
            <w:r w:rsidR="004E7B38" w:rsidRPr="00D17CFD">
              <w:rPr>
                <w:lang w:val="en-PH"/>
              </w:rPr>
              <w:t>Interpretation</w:t>
            </w:r>
          </w:p>
        </w:tc>
      </w:tr>
      <w:tr w:rsidR="00CB6FA9" w:rsidRPr="00D17CFD" w14:paraId="10ED296D" w14:textId="77777777" w:rsidTr="002541BC">
        <w:tc>
          <w:tcPr>
            <w:tcW w:w="1932" w:type="pct"/>
            <w:hideMark/>
          </w:tcPr>
          <w:p w14:paraId="37C5DDD4" w14:textId="6ECAF3DB" w:rsidR="00CB6FA9" w:rsidRPr="00D17CFD" w:rsidRDefault="00CB6FA9" w:rsidP="00CB6FA9">
            <w:pPr>
              <w:pStyle w:val="BodyText"/>
              <w:spacing w:before="117"/>
              <w:rPr>
                <w:lang w:val="en-PH"/>
              </w:rPr>
            </w:pPr>
            <w:r w:rsidRPr="005D5EFD">
              <w:t xml:space="preserve">     Language Barrier</w:t>
            </w:r>
          </w:p>
        </w:tc>
        <w:tc>
          <w:tcPr>
            <w:tcW w:w="386" w:type="pct"/>
            <w:hideMark/>
          </w:tcPr>
          <w:p w14:paraId="3CDBDB7E" w14:textId="62E338A5" w:rsidR="00CB6FA9" w:rsidRPr="00D17CFD" w:rsidRDefault="00CB6FA9" w:rsidP="00CB6FA9">
            <w:pPr>
              <w:pStyle w:val="BodyText"/>
              <w:spacing w:before="117"/>
              <w:rPr>
                <w:lang w:val="en-PH"/>
              </w:rPr>
            </w:pPr>
            <w:r w:rsidRPr="005D5EFD">
              <w:t>2.38</w:t>
            </w:r>
          </w:p>
        </w:tc>
        <w:tc>
          <w:tcPr>
            <w:tcW w:w="361" w:type="pct"/>
          </w:tcPr>
          <w:p w14:paraId="59804391" w14:textId="38CF646A" w:rsidR="00CB6FA9" w:rsidRPr="00D17CFD" w:rsidRDefault="00CB6FA9" w:rsidP="00CB6FA9">
            <w:pPr>
              <w:pStyle w:val="BodyText"/>
              <w:spacing w:before="117"/>
              <w:rPr>
                <w:lang w:val="en-PH"/>
              </w:rPr>
            </w:pPr>
            <w:r w:rsidRPr="005D5EFD">
              <w:t>0.71</w:t>
            </w:r>
          </w:p>
        </w:tc>
        <w:tc>
          <w:tcPr>
            <w:tcW w:w="1031" w:type="pct"/>
          </w:tcPr>
          <w:p w14:paraId="67680D8B" w14:textId="5A09B60C" w:rsidR="00CB6FA9" w:rsidRPr="00D17CFD" w:rsidRDefault="00CB6FA9" w:rsidP="00CB6FA9">
            <w:pPr>
              <w:pStyle w:val="BodyText"/>
              <w:spacing w:before="117"/>
            </w:pPr>
            <w:r>
              <w:t>Seldom</w:t>
            </w:r>
          </w:p>
        </w:tc>
        <w:tc>
          <w:tcPr>
            <w:tcW w:w="1290" w:type="pct"/>
            <w:hideMark/>
          </w:tcPr>
          <w:p w14:paraId="28AD06DE" w14:textId="35C67298" w:rsidR="00CB6FA9" w:rsidRPr="00D17CFD" w:rsidRDefault="00CB6FA9" w:rsidP="00CB6FA9">
            <w:pPr>
              <w:pStyle w:val="BodyText"/>
              <w:spacing w:before="117"/>
              <w:rPr>
                <w:lang w:val="en-PH"/>
              </w:rPr>
            </w:pPr>
            <w:r w:rsidRPr="00DA7C98">
              <w:t>A Little Extent</w:t>
            </w:r>
          </w:p>
        </w:tc>
      </w:tr>
      <w:tr w:rsidR="00CB6FA9" w:rsidRPr="00D17CFD" w14:paraId="1A81AA68" w14:textId="77777777" w:rsidTr="002541BC">
        <w:tc>
          <w:tcPr>
            <w:tcW w:w="1932" w:type="pct"/>
            <w:hideMark/>
          </w:tcPr>
          <w:p w14:paraId="755AE59B" w14:textId="0B91FE37" w:rsidR="00CB6FA9" w:rsidRPr="00D17CFD" w:rsidRDefault="00CB6FA9" w:rsidP="00CB6FA9">
            <w:pPr>
              <w:pStyle w:val="BodyText"/>
              <w:spacing w:before="117"/>
              <w:rPr>
                <w:lang w:val="en-PH"/>
              </w:rPr>
            </w:pPr>
            <w:r w:rsidRPr="005D5EFD">
              <w:t xml:space="preserve">     Motivational Barrier</w:t>
            </w:r>
          </w:p>
        </w:tc>
        <w:tc>
          <w:tcPr>
            <w:tcW w:w="386" w:type="pct"/>
            <w:hideMark/>
          </w:tcPr>
          <w:p w14:paraId="3B274F30" w14:textId="6E7B0B9A" w:rsidR="00CB6FA9" w:rsidRPr="00D17CFD" w:rsidRDefault="00CB6FA9" w:rsidP="00CB6FA9">
            <w:pPr>
              <w:pStyle w:val="BodyText"/>
              <w:spacing w:before="117"/>
              <w:rPr>
                <w:lang w:val="en-PH"/>
              </w:rPr>
            </w:pPr>
            <w:r w:rsidRPr="005D5EFD">
              <w:t>2.20</w:t>
            </w:r>
          </w:p>
        </w:tc>
        <w:tc>
          <w:tcPr>
            <w:tcW w:w="361" w:type="pct"/>
          </w:tcPr>
          <w:p w14:paraId="6E15C338" w14:textId="1D19E7F8" w:rsidR="00CB6FA9" w:rsidRPr="00D17CFD" w:rsidRDefault="00CB6FA9" w:rsidP="00CB6FA9">
            <w:pPr>
              <w:pStyle w:val="BodyText"/>
              <w:spacing w:before="117"/>
              <w:rPr>
                <w:lang w:val="en-PH"/>
              </w:rPr>
            </w:pPr>
            <w:r w:rsidRPr="005D5EFD">
              <w:t>0.78</w:t>
            </w:r>
          </w:p>
        </w:tc>
        <w:tc>
          <w:tcPr>
            <w:tcW w:w="1031" w:type="pct"/>
          </w:tcPr>
          <w:p w14:paraId="6522C14F" w14:textId="123A3381" w:rsidR="00CB6FA9" w:rsidRPr="00D17CFD" w:rsidRDefault="00CB6FA9" w:rsidP="00CB6FA9">
            <w:pPr>
              <w:pStyle w:val="BodyText"/>
              <w:spacing w:before="117"/>
            </w:pPr>
            <w:r>
              <w:t>Seldom</w:t>
            </w:r>
          </w:p>
        </w:tc>
        <w:tc>
          <w:tcPr>
            <w:tcW w:w="1290" w:type="pct"/>
            <w:hideMark/>
          </w:tcPr>
          <w:p w14:paraId="53EF32EE" w14:textId="07C9682E" w:rsidR="00CB6FA9" w:rsidRPr="00D17CFD" w:rsidRDefault="00CB6FA9" w:rsidP="00CB6FA9">
            <w:pPr>
              <w:pStyle w:val="BodyText"/>
              <w:spacing w:before="117"/>
              <w:rPr>
                <w:lang w:val="en-PH"/>
              </w:rPr>
            </w:pPr>
            <w:r w:rsidRPr="00DA7C98">
              <w:t>A Little Extent</w:t>
            </w:r>
          </w:p>
        </w:tc>
      </w:tr>
      <w:tr w:rsidR="00CB6FA9" w:rsidRPr="00D17CFD" w14:paraId="6241B10B" w14:textId="77777777" w:rsidTr="002541BC">
        <w:tc>
          <w:tcPr>
            <w:tcW w:w="1932" w:type="pct"/>
            <w:hideMark/>
          </w:tcPr>
          <w:p w14:paraId="7B73185E" w14:textId="350F04CA" w:rsidR="00CB6FA9" w:rsidRPr="00D17CFD" w:rsidRDefault="00CB6FA9" w:rsidP="00CB6FA9">
            <w:pPr>
              <w:pStyle w:val="BodyText"/>
              <w:spacing w:before="117"/>
              <w:rPr>
                <w:lang w:val="en-PH"/>
              </w:rPr>
            </w:pPr>
            <w:r w:rsidRPr="005D5EFD">
              <w:t xml:space="preserve">     Social and Cultural Barriers</w:t>
            </w:r>
          </w:p>
        </w:tc>
        <w:tc>
          <w:tcPr>
            <w:tcW w:w="386" w:type="pct"/>
            <w:hideMark/>
          </w:tcPr>
          <w:p w14:paraId="097ABE05" w14:textId="1C2D26E7" w:rsidR="00CB6FA9" w:rsidRPr="00D17CFD" w:rsidRDefault="00CB6FA9" w:rsidP="00CB6FA9">
            <w:pPr>
              <w:pStyle w:val="BodyText"/>
              <w:spacing w:before="117"/>
              <w:rPr>
                <w:lang w:val="en-PH"/>
              </w:rPr>
            </w:pPr>
            <w:r w:rsidRPr="005D5EFD">
              <w:t>2.26</w:t>
            </w:r>
          </w:p>
        </w:tc>
        <w:tc>
          <w:tcPr>
            <w:tcW w:w="361" w:type="pct"/>
          </w:tcPr>
          <w:p w14:paraId="44D880A3" w14:textId="5086DF48" w:rsidR="00CB6FA9" w:rsidRPr="00D17CFD" w:rsidRDefault="00CB6FA9" w:rsidP="00CB6FA9">
            <w:pPr>
              <w:pStyle w:val="BodyText"/>
              <w:spacing w:before="117"/>
              <w:rPr>
                <w:lang w:val="en-PH"/>
              </w:rPr>
            </w:pPr>
            <w:r w:rsidRPr="005D5EFD">
              <w:t>0.84</w:t>
            </w:r>
          </w:p>
        </w:tc>
        <w:tc>
          <w:tcPr>
            <w:tcW w:w="1031" w:type="pct"/>
          </w:tcPr>
          <w:p w14:paraId="630CFA80" w14:textId="112998A9" w:rsidR="00CB6FA9" w:rsidRPr="00D17CFD" w:rsidRDefault="00CB6FA9" w:rsidP="00CB6FA9">
            <w:pPr>
              <w:pStyle w:val="BodyText"/>
              <w:spacing w:before="117"/>
            </w:pPr>
            <w:r>
              <w:t>Seldom</w:t>
            </w:r>
          </w:p>
        </w:tc>
        <w:tc>
          <w:tcPr>
            <w:tcW w:w="1290" w:type="pct"/>
            <w:hideMark/>
          </w:tcPr>
          <w:p w14:paraId="40CBB73F" w14:textId="407EE52E" w:rsidR="00CB6FA9" w:rsidRPr="00D17CFD" w:rsidRDefault="00CB6FA9" w:rsidP="00CB6FA9">
            <w:pPr>
              <w:pStyle w:val="BodyText"/>
              <w:spacing w:before="117"/>
              <w:rPr>
                <w:lang w:val="en-PH"/>
              </w:rPr>
            </w:pPr>
            <w:r w:rsidRPr="00DA7C98">
              <w:t>A Little Extent</w:t>
            </w:r>
          </w:p>
        </w:tc>
      </w:tr>
      <w:tr w:rsidR="00CB6FA9" w:rsidRPr="00D17CFD" w14:paraId="31A07806" w14:textId="77777777" w:rsidTr="002541BC">
        <w:tc>
          <w:tcPr>
            <w:tcW w:w="1932" w:type="pct"/>
            <w:hideMark/>
          </w:tcPr>
          <w:p w14:paraId="0D31E5F1" w14:textId="21375536" w:rsidR="00CB6FA9" w:rsidRPr="00D17CFD" w:rsidRDefault="00CB6FA9" w:rsidP="00CB6FA9">
            <w:pPr>
              <w:pStyle w:val="BodyText"/>
              <w:spacing w:before="117"/>
              <w:rPr>
                <w:lang w:val="en-PH"/>
              </w:rPr>
            </w:pPr>
            <w:r w:rsidRPr="005D5EFD">
              <w:t xml:space="preserve">     Lack of Learning Materials</w:t>
            </w:r>
          </w:p>
        </w:tc>
        <w:tc>
          <w:tcPr>
            <w:tcW w:w="386" w:type="pct"/>
            <w:hideMark/>
          </w:tcPr>
          <w:p w14:paraId="4E4EF417" w14:textId="62B35237" w:rsidR="00CB6FA9" w:rsidRPr="00D17CFD" w:rsidRDefault="00CB6FA9" w:rsidP="00CB6FA9">
            <w:pPr>
              <w:pStyle w:val="BodyText"/>
              <w:spacing w:before="117"/>
              <w:rPr>
                <w:lang w:val="en-PH"/>
              </w:rPr>
            </w:pPr>
            <w:r w:rsidRPr="005D5EFD">
              <w:t>2.13</w:t>
            </w:r>
          </w:p>
        </w:tc>
        <w:tc>
          <w:tcPr>
            <w:tcW w:w="361" w:type="pct"/>
          </w:tcPr>
          <w:p w14:paraId="45F6F045" w14:textId="24E837B4" w:rsidR="00CB6FA9" w:rsidRPr="00D17CFD" w:rsidRDefault="00CB6FA9" w:rsidP="00CB6FA9">
            <w:pPr>
              <w:pStyle w:val="BodyText"/>
              <w:spacing w:before="117"/>
              <w:rPr>
                <w:lang w:val="en-PH"/>
              </w:rPr>
            </w:pPr>
            <w:r w:rsidRPr="005D5EFD">
              <w:t>0.80</w:t>
            </w:r>
          </w:p>
        </w:tc>
        <w:tc>
          <w:tcPr>
            <w:tcW w:w="1031" w:type="pct"/>
          </w:tcPr>
          <w:p w14:paraId="33D66E79" w14:textId="31F6CD82" w:rsidR="00CB6FA9" w:rsidRPr="00D17CFD" w:rsidRDefault="00CB6FA9" w:rsidP="00CB6FA9">
            <w:pPr>
              <w:pStyle w:val="BodyText"/>
              <w:spacing w:before="117"/>
            </w:pPr>
            <w:r>
              <w:t>Seldom</w:t>
            </w:r>
          </w:p>
        </w:tc>
        <w:tc>
          <w:tcPr>
            <w:tcW w:w="1290" w:type="pct"/>
            <w:hideMark/>
          </w:tcPr>
          <w:p w14:paraId="2D6C5FB5" w14:textId="0B85994C" w:rsidR="00CB6FA9" w:rsidRPr="00D17CFD" w:rsidRDefault="00CB6FA9" w:rsidP="00CB6FA9">
            <w:pPr>
              <w:pStyle w:val="BodyText"/>
              <w:spacing w:before="117"/>
              <w:rPr>
                <w:lang w:val="en-PH"/>
              </w:rPr>
            </w:pPr>
            <w:r w:rsidRPr="00DA7C98">
              <w:t>A Little Extent</w:t>
            </w:r>
          </w:p>
        </w:tc>
      </w:tr>
      <w:tr w:rsidR="00CB6FA9" w:rsidRPr="00D17CFD" w14:paraId="3163DC4D" w14:textId="77777777" w:rsidTr="002541BC">
        <w:tc>
          <w:tcPr>
            <w:tcW w:w="1932" w:type="pct"/>
            <w:hideMark/>
          </w:tcPr>
          <w:p w14:paraId="74294CC7" w14:textId="51D9ACA1" w:rsidR="00CB6FA9" w:rsidRPr="00D17CFD" w:rsidRDefault="00CB6FA9" w:rsidP="00CB6FA9">
            <w:pPr>
              <w:pStyle w:val="BodyText"/>
              <w:spacing w:before="117"/>
              <w:rPr>
                <w:lang w:val="en-PH"/>
              </w:rPr>
            </w:pPr>
            <w:r w:rsidRPr="005D5EFD">
              <w:t xml:space="preserve">     Emotional Barrier</w:t>
            </w:r>
          </w:p>
        </w:tc>
        <w:tc>
          <w:tcPr>
            <w:tcW w:w="386" w:type="pct"/>
            <w:hideMark/>
          </w:tcPr>
          <w:p w14:paraId="6F735CE2" w14:textId="3F68D31F" w:rsidR="00CB6FA9" w:rsidRPr="00D17CFD" w:rsidRDefault="00CB6FA9" w:rsidP="00CB6FA9">
            <w:pPr>
              <w:pStyle w:val="BodyText"/>
              <w:spacing w:before="117"/>
              <w:rPr>
                <w:lang w:val="en-PH"/>
              </w:rPr>
            </w:pPr>
            <w:r w:rsidRPr="005D5EFD">
              <w:t>2.09</w:t>
            </w:r>
          </w:p>
        </w:tc>
        <w:tc>
          <w:tcPr>
            <w:tcW w:w="361" w:type="pct"/>
          </w:tcPr>
          <w:p w14:paraId="37BF4E33" w14:textId="21CDD6F7" w:rsidR="00CB6FA9" w:rsidRPr="00D17CFD" w:rsidRDefault="00CB6FA9" w:rsidP="00CB6FA9">
            <w:pPr>
              <w:pStyle w:val="BodyText"/>
              <w:spacing w:before="117"/>
              <w:rPr>
                <w:lang w:val="en-PH"/>
              </w:rPr>
            </w:pPr>
            <w:r w:rsidRPr="005D5EFD">
              <w:t>0.83</w:t>
            </w:r>
          </w:p>
        </w:tc>
        <w:tc>
          <w:tcPr>
            <w:tcW w:w="1031" w:type="pct"/>
          </w:tcPr>
          <w:p w14:paraId="233B078E" w14:textId="67822465" w:rsidR="00CB6FA9" w:rsidRPr="00D17CFD" w:rsidRDefault="00CB6FA9" w:rsidP="00CB6FA9">
            <w:pPr>
              <w:pStyle w:val="BodyText"/>
              <w:spacing w:before="117"/>
            </w:pPr>
            <w:r>
              <w:t>Seldom</w:t>
            </w:r>
          </w:p>
        </w:tc>
        <w:tc>
          <w:tcPr>
            <w:tcW w:w="1290" w:type="pct"/>
            <w:hideMark/>
          </w:tcPr>
          <w:p w14:paraId="4127DD5C" w14:textId="5BAA12F0" w:rsidR="00CB6FA9" w:rsidRPr="00D17CFD" w:rsidRDefault="00CB6FA9" w:rsidP="00CB6FA9">
            <w:pPr>
              <w:pStyle w:val="BodyText"/>
              <w:spacing w:before="117"/>
              <w:rPr>
                <w:lang w:val="en-PH"/>
              </w:rPr>
            </w:pPr>
            <w:r w:rsidRPr="00DA7C98">
              <w:t>A Little Extent</w:t>
            </w:r>
          </w:p>
        </w:tc>
      </w:tr>
      <w:tr w:rsidR="00CB6FA9" w:rsidRPr="00D17CFD" w14:paraId="53D3381C" w14:textId="77777777" w:rsidTr="002541BC">
        <w:tc>
          <w:tcPr>
            <w:tcW w:w="1932" w:type="pct"/>
          </w:tcPr>
          <w:p w14:paraId="5F07538E" w14:textId="77777777" w:rsidR="00CB6FA9" w:rsidRPr="002E65D8" w:rsidRDefault="00CB6FA9" w:rsidP="002E65D8">
            <w:pPr>
              <w:pStyle w:val="BodyText"/>
              <w:spacing w:before="117"/>
              <w:jc w:val="right"/>
              <w:rPr>
                <w:b/>
                <w:bCs/>
                <w:lang w:val="en-PH"/>
              </w:rPr>
            </w:pPr>
            <w:r w:rsidRPr="002E65D8">
              <w:rPr>
                <w:b/>
                <w:bCs/>
                <w:lang w:val="en-PH"/>
              </w:rPr>
              <w:t xml:space="preserve">Overall </w:t>
            </w:r>
          </w:p>
        </w:tc>
        <w:tc>
          <w:tcPr>
            <w:tcW w:w="386" w:type="pct"/>
          </w:tcPr>
          <w:p w14:paraId="371D69C5" w14:textId="22600A81" w:rsidR="00CB6FA9" w:rsidRPr="002E65D8" w:rsidRDefault="00CB6FA9" w:rsidP="00CB6FA9">
            <w:pPr>
              <w:pStyle w:val="BodyText"/>
              <w:spacing w:before="117"/>
              <w:rPr>
                <w:b/>
                <w:bCs/>
                <w:lang w:val="en-PH"/>
              </w:rPr>
            </w:pPr>
            <w:r w:rsidRPr="002E65D8">
              <w:rPr>
                <w:b/>
                <w:bCs/>
              </w:rPr>
              <w:t>2.21</w:t>
            </w:r>
          </w:p>
        </w:tc>
        <w:tc>
          <w:tcPr>
            <w:tcW w:w="361" w:type="pct"/>
          </w:tcPr>
          <w:p w14:paraId="7E6F75B7" w14:textId="16204A75" w:rsidR="00CB6FA9" w:rsidRPr="002E65D8" w:rsidRDefault="00CB6FA9" w:rsidP="00CB6FA9">
            <w:pPr>
              <w:pStyle w:val="BodyText"/>
              <w:spacing w:before="117"/>
              <w:rPr>
                <w:b/>
                <w:bCs/>
                <w:lang w:val="en-PH"/>
              </w:rPr>
            </w:pPr>
            <w:r w:rsidRPr="002E65D8">
              <w:rPr>
                <w:b/>
                <w:bCs/>
              </w:rPr>
              <w:t>0.79</w:t>
            </w:r>
          </w:p>
        </w:tc>
        <w:tc>
          <w:tcPr>
            <w:tcW w:w="1031" w:type="pct"/>
          </w:tcPr>
          <w:p w14:paraId="2FFA3DDA" w14:textId="3B86B7D4" w:rsidR="00CB6FA9" w:rsidRPr="002E65D8" w:rsidRDefault="00CB6FA9" w:rsidP="00CB6FA9">
            <w:pPr>
              <w:pStyle w:val="BodyText"/>
              <w:spacing w:before="117"/>
              <w:rPr>
                <w:b/>
                <w:bCs/>
              </w:rPr>
            </w:pPr>
            <w:r w:rsidRPr="002E65D8">
              <w:rPr>
                <w:b/>
                <w:bCs/>
              </w:rPr>
              <w:t>Seldom</w:t>
            </w:r>
          </w:p>
        </w:tc>
        <w:tc>
          <w:tcPr>
            <w:tcW w:w="1290" w:type="pct"/>
          </w:tcPr>
          <w:p w14:paraId="1503F4CE" w14:textId="32F21293" w:rsidR="00CB6FA9" w:rsidRPr="002E65D8" w:rsidRDefault="00CB6FA9" w:rsidP="00CB6FA9">
            <w:pPr>
              <w:pStyle w:val="BodyText"/>
              <w:spacing w:before="117"/>
              <w:rPr>
                <w:b/>
                <w:bCs/>
                <w:lang w:val="en-PH"/>
              </w:rPr>
            </w:pPr>
            <w:r w:rsidRPr="002E65D8">
              <w:rPr>
                <w:b/>
                <w:bCs/>
              </w:rPr>
              <w:t>A Little Extent</w:t>
            </w:r>
          </w:p>
        </w:tc>
      </w:tr>
    </w:tbl>
    <w:p w14:paraId="27E085C0" w14:textId="762AF634" w:rsidR="00CB6FA9" w:rsidRDefault="001E4156" w:rsidP="00CB6FA9">
      <w:pPr>
        <w:pStyle w:val="BodyText"/>
        <w:spacing w:before="117"/>
      </w:pPr>
      <w:r>
        <w:t xml:space="preserve">Table II </w:t>
      </w:r>
      <w:r w:rsidR="00CB6FA9">
        <w:t xml:space="preserve">shows the summary distribution of the respondents’ assessment on the barriers in learning Araling </w:t>
      </w:r>
      <w:r w:rsidR="00CB6FA9">
        <w:lastRenderedPageBreak/>
        <w:t>Panlipunan. Learners’ overall assessment of barriers in learning Araling Panlipunan, the composite mean of 2.21 (SD = 0.79), interpreted as “a little extent,” suggests that learners do not perceive barriers as strongly hindering their learning. They find the subject manageable and engaging, which likely supports better focus on content, knowledge retention, and critical thinking. This also implies that current teaching approaches and learning materials in AP are functioning relatively well from the learners’ perspective.</w:t>
      </w:r>
    </w:p>
    <w:p w14:paraId="6E7BDA65" w14:textId="77777777" w:rsidR="00CB6FA9" w:rsidRDefault="00CB6FA9" w:rsidP="00CB6FA9">
      <w:pPr>
        <w:pStyle w:val="BodyText"/>
        <w:spacing w:before="117"/>
      </w:pPr>
      <w:r>
        <w:t>Among the specific barriers, language recorded the highest mean at 2.38 (SD = 0.71), still within the “a little extent” range. This indicates that, while learners occasionally struggle with complex vocabulary and technical or historical terms, particularly those unfamiliar to students from Visayas and Mindanao, these difficulties are limited rather than severe. The subject remains accessible overall, especially when teachers clarify difficult terms, use visual aids, and provide contextual or bilingual explanations to bridge comprehension gaps.</w:t>
      </w:r>
    </w:p>
    <w:p w14:paraId="753F0BBE" w14:textId="69341024" w:rsidR="00CB6FA9" w:rsidRDefault="00CB6FA9" w:rsidP="00CB6FA9">
      <w:pPr>
        <w:pStyle w:val="BodyText"/>
        <w:spacing w:before="117"/>
      </w:pPr>
      <w:r>
        <w:t xml:space="preserve">In contrast, emotional barriers obtained a lower mean of 2.09 (SD = 0.83), also interpreted as “a little extent,” indicating that emotions such as anxiety, boredom, or frustration rarely pose major obstacles to learning AP. Many learners appear to connect the subject to their identity as Filipinos and to culturally relevant content, helping foster interest and “love” for the subject and reducing negative emotional reactions. In supportive classroom environments that encourage collaboration and meaningful engagement, emotional barriers tend to have only a minor impact, suggesting that teachers can prioritize strengthening learners’ thinking and learning strategies while maintaining existing positive socio‑emotional climates. </w:t>
      </w:r>
    </w:p>
    <w:p w14:paraId="0FCD9414" w14:textId="399E7A84" w:rsidR="003F3A2B" w:rsidRPr="00D17CFD" w:rsidRDefault="00F17E4F" w:rsidP="002E65D8">
      <w:pPr>
        <w:pStyle w:val="BodyText"/>
        <w:spacing w:before="117"/>
        <w:rPr>
          <w:b/>
          <w:bCs/>
        </w:rPr>
      </w:pPr>
      <w:r w:rsidRPr="00D17CFD">
        <w:t>Table</w:t>
      </w:r>
      <w:r w:rsidRPr="00D17CFD">
        <w:rPr>
          <w:spacing w:val="-7"/>
        </w:rPr>
        <w:t xml:space="preserve"> </w:t>
      </w:r>
      <w:r w:rsidRPr="00D17CFD">
        <w:t>III.</w:t>
      </w:r>
      <w:r w:rsidRPr="00D17CFD">
        <w:rPr>
          <w:spacing w:val="-6"/>
        </w:rPr>
        <w:t xml:space="preserve"> </w:t>
      </w:r>
      <w:r w:rsidR="002E65D8" w:rsidRPr="002E65D8">
        <w:t>Distribution of Respondents’ Academic performance in Araling Panlipunan during the School Year 2023-2024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4"/>
        <w:gridCol w:w="2790"/>
        <w:gridCol w:w="2596"/>
      </w:tblGrid>
      <w:tr w:rsidR="002E65D8" w:rsidRPr="00D17CFD" w14:paraId="5695CEB9" w14:textId="77777777" w:rsidTr="002E65D8">
        <w:tc>
          <w:tcPr>
            <w:tcW w:w="2481" w:type="pct"/>
            <w:hideMark/>
          </w:tcPr>
          <w:p w14:paraId="5CB67FA8" w14:textId="564ABC1D" w:rsidR="002E65D8" w:rsidRPr="00D17CFD" w:rsidRDefault="002E65D8" w:rsidP="002E65D8">
            <w:pPr>
              <w:jc w:val="center"/>
              <w:rPr>
                <w:bCs/>
                <w:color w:val="000000" w:themeColor="text1"/>
                <w:sz w:val="24"/>
                <w:szCs w:val="24"/>
                <w:lang w:val="en-PH"/>
              </w:rPr>
            </w:pPr>
            <w:r w:rsidRPr="002F6240">
              <w:t>Level of Academic Performance</w:t>
            </w:r>
          </w:p>
        </w:tc>
        <w:tc>
          <w:tcPr>
            <w:tcW w:w="1305" w:type="pct"/>
            <w:hideMark/>
          </w:tcPr>
          <w:p w14:paraId="604C394E" w14:textId="305F6D9E" w:rsidR="002E65D8" w:rsidRPr="00D17CFD" w:rsidRDefault="002E65D8" w:rsidP="002E65D8">
            <w:pPr>
              <w:jc w:val="center"/>
              <w:rPr>
                <w:bCs/>
                <w:color w:val="000000" w:themeColor="text1"/>
                <w:sz w:val="24"/>
                <w:szCs w:val="24"/>
                <w:lang w:val="en-PH"/>
              </w:rPr>
            </w:pPr>
            <w:r w:rsidRPr="002F6240">
              <w:t>Frequency</w:t>
            </w:r>
          </w:p>
        </w:tc>
        <w:tc>
          <w:tcPr>
            <w:tcW w:w="1214" w:type="pct"/>
          </w:tcPr>
          <w:p w14:paraId="673F470A" w14:textId="207507C1" w:rsidR="002E65D8" w:rsidRPr="00D17CFD" w:rsidRDefault="002E65D8" w:rsidP="002E65D8">
            <w:pPr>
              <w:jc w:val="center"/>
              <w:rPr>
                <w:bCs/>
                <w:color w:val="000000" w:themeColor="text1"/>
                <w:sz w:val="24"/>
                <w:szCs w:val="24"/>
                <w:lang w:val="en-PH"/>
              </w:rPr>
            </w:pPr>
            <w:r w:rsidRPr="002F6240">
              <w:t>Percentage</w:t>
            </w:r>
          </w:p>
        </w:tc>
      </w:tr>
      <w:tr w:rsidR="002E65D8" w:rsidRPr="00D17CFD" w14:paraId="64291B1F" w14:textId="77777777" w:rsidTr="002E65D8">
        <w:trPr>
          <w:trHeight w:val="161"/>
        </w:trPr>
        <w:tc>
          <w:tcPr>
            <w:tcW w:w="2481" w:type="pct"/>
            <w:hideMark/>
          </w:tcPr>
          <w:p w14:paraId="4C2884C5" w14:textId="44849686" w:rsidR="002E65D8" w:rsidRPr="00D17CFD" w:rsidRDefault="002E65D8" w:rsidP="002E65D8">
            <w:pPr>
              <w:rPr>
                <w:bCs/>
                <w:color w:val="000000" w:themeColor="text1"/>
                <w:sz w:val="24"/>
                <w:szCs w:val="24"/>
                <w:lang w:val="en-PH"/>
              </w:rPr>
            </w:pPr>
            <w:r w:rsidRPr="002F6240">
              <w:t>Outstanding</w:t>
            </w:r>
          </w:p>
        </w:tc>
        <w:tc>
          <w:tcPr>
            <w:tcW w:w="1305" w:type="pct"/>
          </w:tcPr>
          <w:p w14:paraId="497A5EA5" w14:textId="72A4B797" w:rsidR="002E65D8" w:rsidRPr="00D17CFD" w:rsidRDefault="002E65D8" w:rsidP="002E65D8">
            <w:pPr>
              <w:pStyle w:val="NormalWeb"/>
              <w:spacing w:after="0" w:afterAutospacing="0"/>
              <w:rPr>
                <w:bCs/>
              </w:rPr>
            </w:pPr>
            <w:r w:rsidRPr="002F6240">
              <w:t>194</w:t>
            </w:r>
          </w:p>
        </w:tc>
        <w:tc>
          <w:tcPr>
            <w:tcW w:w="1214" w:type="pct"/>
          </w:tcPr>
          <w:p w14:paraId="768DBB0D" w14:textId="6483E92A" w:rsidR="002E65D8" w:rsidRPr="00D17CFD" w:rsidRDefault="002E65D8" w:rsidP="002E65D8">
            <w:pPr>
              <w:rPr>
                <w:bCs/>
                <w:color w:val="000000" w:themeColor="text1"/>
                <w:sz w:val="24"/>
                <w:szCs w:val="24"/>
                <w:lang w:val="en-PH"/>
              </w:rPr>
            </w:pPr>
            <w:r w:rsidRPr="002F6240">
              <w:t>48.4</w:t>
            </w:r>
          </w:p>
        </w:tc>
      </w:tr>
      <w:tr w:rsidR="002E65D8" w:rsidRPr="00D17CFD" w14:paraId="0055E16A" w14:textId="77777777" w:rsidTr="002E65D8">
        <w:tc>
          <w:tcPr>
            <w:tcW w:w="2481" w:type="pct"/>
            <w:hideMark/>
          </w:tcPr>
          <w:p w14:paraId="18024FD4" w14:textId="721664D7" w:rsidR="002E65D8" w:rsidRPr="00D17CFD" w:rsidRDefault="002E65D8" w:rsidP="002E65D8">
            <w:pPr>
              <w:rPr>
                <w:bCs/>
                <w:color w:val="000000" w:themeColor="text1"/>
                <w:sz w:val="24"/>
                <w:szCs w:val="24"/>
                <w:lang w:val="en-PH"/>
              </w:rPr>
            </w:pPr>
            <w:r w:rsidRPr="002F6240">
              <w:t>Very Satisfactory</w:t>
            </w:r>
          </w:p>
        </w:tc>
        <w:tc>
          <w:tcPr>
            <w:tcW w:w="1305" w:type="pct"/>
          </w:tcPr>
          <w:p w14:paraId="2BBD2A25" w14:textId="6766EE12" w:rsidR="002E65D8" w:rsidRPr="00D17CFD" w:rsidRDefault="002E65D8" w:rsidP="002E65D8">
            <w:pPr>
              <w:rPr>
                <w:bCs/>
                <w:color w:val="000000" w:themeColor="text1"/>
                <w:sz w:val="24"/>
                <w:szCs w:val="24"/>
                <w:lang w:val="en-PH"/>
              </w:rPr>
            </w:pPr>
            <w:r w:rsidRPr="002F6240">
              <w:t>137</w:t>
            </w:r>
          </w:p>
        </w:tc>
        <w:tc>
          <w:tcPr>
            <w:tcW w:w="1214" w:type="pct"/>
          </w:tcPr>
          <w:p w14:paraId="130694C7" w14:textId="7E5231EF" w:rsidR="002E65D8" w:rsidRPr="00D17CFD" w:rsidRDefault="002E65D8" w:rsidP="002E65D8">
            <w:pPr>
              <w:rPr>
                <w:bCs/>
                <w:color w:val="000000" w:themeColor="text1"/>
                <w:sz w:val="24"/>
                <w:szCs w:val="24"/>
                <w:lang w:val="en-PH"/>
              </w:rPr>
            </w:pPr>
            <w:r w:rsidRPr="002F6240">
              <w:t>34.2</w:t>
            </w:r>
          </w:p>
        </w:tc>
      </w:tr>
      <w:tr w:rsidR="002E65D8" w:rsidRPr="00D17CFD" w14:paraId="790C600C" w14:textId="77777777" w:rsidTr="002E65D8">
        <w:tc>
          <w:tcPr>
            <w:tcW w:w="2481" w:type="pct"/>
            <w:hideMark/>
          </w:tcPr>
          <w:p w14:paraId="79B55E12" w14:textId="23C2241B" w:rsidR="002E65D8" w:rsidRPr="00D17CFD" w:rsidRDefault="002E65D8" w:rsidP="002E65D8">
            <w:pPr>
              <w:rPr>
                <w:bCs/>
                <w:color w:val="000000" w:themeColor="text1"/>
                <w:sz w:val="24"/>
                <w:szCs w:val="24"/>
                <w:lang w:val="en-PH"/>
              </w:rPr>
            </w:pPr>
            <w:r w:rsidRPr="002F6240">
              <w:t>Satisfactory</w:t>
            </w:r>
          </w:p>
        </w:tc>
        <w:tc>
          <w:tcPr>
            <w:tcW w:w="1305" w:type="pct"/>
          </w:tcPr>
          <w:p w14:paraId="3DE6CC15" w14:textId="33F621BF" w:rsidR="002E65D8" w:rsidRPr="00D17CFD" w:rsidRDefault="002E65D8" w:rsidP="002E65D8">
            <w:pPr>
              <w:rPr>
                <w:bCs/>
                <w:color w:val="000000" w:themeColor="text1"/>
                <w:sz w:val="24"/>
                <w:szCs w:val="24"/>
                <w:lang w:val="en-PH"/>
              </w:rPr>
            </w:pPr>
            <w:r w:rsidRPr="002F6240">
              <w:t>54</w:t>
            </w:r>
          </w:p>
        </w:tc>
        <w:tc>
          <w:tcPr>
            <w:tcW w:w="1214" w:type="pct"/>
          </w:tcPr>
          <w:p w14:paraId="5A3006F0" w14:textId="4403F1DF" w:rsidR="002E65D8" w:rsidRPr="00D17CFD" w:rsidRDefault="002E65D8" w:rsidP="002E65D8">
            <w:pPr>
              <w:rPr>
                <w:bCs/>
                <w:color w:val="000000" w:themeColor="text1"/>
                <w:sz w:val="24"/>
                <w:szCs w:val="24"/>
                <w:lang w:val="en-PH"/>
              </w:rPr>
            </w:pPr>
            <w:r w:rsidRPr="002F6240">
              <w:t>13.5</w:t>
            </w:r>
          </w:p>
        </w:tc>
      </w:tr>
      <w:tr w:rsidR="002E65D8" w:rsidRPr="00D17CFD" w14:paraId="2DCBD2A7" w14:textId="77777777" w:rsidTr="002E65D8">
        <w:tc>
          <w:tcPr>
            <w:tcW w:w="2481" w:type="pct"/>
          </w:tcPr>
          <w:p w14:paraId="6ACDAD75" w14:textId="75FFE20C" w:rsidR="002E65D8" w:rsidRPr="00D17CFD" w:rsidRDefault="002E65D8" w:rsidP="002E65D8">
            <w:pPr>
              <w:rPr>
                <w:bCs/>
                <w:color w:val="000000" w:themeColor="text1"/>
                <w:sz w:val="24"/>
                <w:szCs w:val="24"/>
                <w:lang w:val="en-PH"/>
              </w:rPr>
            </w:pPr>
            <w:r w:rsidRPr="002F6240">
              <w:t>Fairly Satisfactory</w:t>
            </w:r>
          </w:p>
        </w:tc>
        <w:tc>
          <w:tcPr>
            <w:tcW w:w="1305" w:type="pct"/>
          </w:tcPr>
          <w:p w14:paraId="6F846081" w14:textId="4FFD0F17" w:rsidR="002E65D8" w:rsidRPr="00D17CFD" w:rsidRDefault="002E65D8" w:rsidP="002E65D8">
            <w:pPr>
              <w:rPr>
                <w:bCs/>
                <w:color w:val="000000" w:themeColor="text1"/>
                <w:sz w:val="24"/>
                <w:szCs w:val="24"/>
                <w:lang w:val="en-PH"/>
              </w:rPr>
            </w:pPr>
            <w:r w:rsidRPr="002F6240">
              <w:t>16</w:t>
            </w:r>
          </w:p>
        </w:tc>
        <w:tc>
          <w:tcPr>
            <w:tcW w:w="1214" w:type="pct"/>
          </w:tcPr>
          <w:p w14:paraId="44773092" w14:textId="2EFD27F9" w:rsidR="002E65D8" w:rsidRPr="00D17CFD" w:rsidRDefault="002E65D8" w:rsidP="002E65D8">
            <w:pPr>
              <w:pStyle w:val="NormalWeb"/>
              <w:spacing w:after="0" w:afterAutospacing="0"/>
              <w:rPr>
                <w:bCs/>
              </w:rPr>
            </w:pPr>
            <w:r w:rsidRPr="002F6240">
              <w:t>4.0</w:t>
            </w:r>
          </w:p>
        </w:tc>
      </w:tr>
      <w:tr w:rsidR="002E65D8" w:rsidRPr="00D17CFD" w14:paraId="35BA0C77" w14:textId="77777777" w:rsidTr="002E65D8">
        <w:tc>
          <w:tcPr>
            <w:tcW w:w="2481" w:type="pct"/>
          </w:tcPr>
          <w:p w14:paraId="028F74BB" w14:textId="40F353F3" w:rsidR="002E65D8" w:rsidRPr="00D17CFD" w:rsidRDefault="002E65D8" w:rsidP="002E65D8">
            <w:pPr>
              <w:rPr>
                <w:bCs/>
                <w:color w:val="000000" w:themeColor="text1"/>
                <w:sz w:val="24"/>
                <w:szCs w:val="24"/>
                <w:lang w:val="en-PH"/>
              </w:rPr>
            </w:pPr>
            <w:r w:rsidRPr="002F6240">
              <w:t>Did not Meet Expectations</w:t>
            </w:r>
          </w:p>
        </w:tc>
        <w:tc>
          <w:tcPr>
            <w:tcW w:w="1305" w:type="pct"/>
          </w:tcPr>
          <w:p w14:paraId="547DE790" w14:textId="51E8589C" w:rsidR="002E65D8" w:rsidRPr="00D17CFD" w:rsidRDefault="002E65D8" w:rsidP="002E65D8">
            <w:pPr>
              <w:rPr>
                <w:bCs/>
                <w:color w:val="000000" w:themeColor="text1"/>
                <w:sz w:val="24"/>
                <w:szCs w:val="24"/>
              </w:rPr>
            </w:pPr>
            <w:r w:rsidRPr="002F6240">
              <w:t>0</w:t>
            </w:r>
          </w:p>
        </w:tc>
        <w:tc>
          <w:tcPr>
            <w:tcW w:w="1214" w:type="pct"/>
          </w:tcPr>
          <w:p w14:paraId="7D29554B" w14:textId="599C2F83" w:rsidR="002E65D8" w:rsidRPr="00D17CFD" w:rsidRDefault="002E65D8" w:rsidP="002E65D8">
            <w:pPr>
              <w:pStyle w:val="NormalWeb"/>
              <w:spacing w:after="0" w:afterAutospacing="0"/>
              <w:rPr>
                <w:bCs/>
              </w:rPr>
            </w:pPr>
            <w:r w:rsidRPr="002F6240">
              <w:t>0.0</w:t>
            </w:r>
          </w:p>
        </w:tc>
      </w:tr>
      <w:tr w:rsidR="002E65D8" w:rsidRPr="00D17CFD" w14:paraId="45441352" w14:textId="77777777" w:rsidTr="002E65D8">
        <w:tc>
          <w:tcPr>
            <w:tcW w:w="2481" w:type="pct"/>
          </w:tcPr>
          <w:p w14:paraId="35697EA7" w14:textId="57D7A26F" w:rsidR="002E65D8" w:rsidRPr="00D17CFD" w:rsidRDefault="002E65D8" w:rsidP="002E65D8">
            <w:pPr>
              <w:jc w:val="right"/>
              <w:rPr>
                <w:bCs/>
                <w:color w:val="000000" w:themeColor="text1"/>
                <w:sz w:val="24"/>
                <w:szCs w:val="24"/>
                <w:lang w:val="en-PH"/>
              </w:rPr>
            </w:pPr>
            <w:r w:rsidRPr="002F6240">
              <w:t xml:space="preserve">       Total</w:t>
            </w:r>
          </w:p>
        </w:tc>
        <w:tc>
          <w:tcPr>
            <w:tcW w:w="1305" w:type="pct"/>
          </w:tcPr>
          <w:p w14:paraId="2B2C8C35" w14:textId="067F611B" w:rsidR="002E65D8" w:rsidRPr="002E65D8" w:rsidRDefault="002E65D8" w:rsidP="002E65D8">
            <w:pPr>
              <w:jc w:val="center"/>
              <w:rPr>
                <w:color w:val="000000" w:themeColor="text1"/>
                <w:sz w:val="24"/>
                <w:szCs w:val="24"/>
              </w:rPr>
            </w:pPr>
            <w:r w:rsidRPr="002E65D8">
              <w:t>401</w:t>
            </w:r>
          </w:p>
        </w:tc>
        <w:tc>
          <w:tcPr>
            <w:tcW w:w="1214" w:type="pct"/>
          </w:tcPr>
          <w:p w14:paraId="670BA84A" w14:textId="5FBD080C" w:rsidR="002E65D8" w:rsidRPr="002E65D8" w:rsidRDefault="002E65D8" w:rsidP="002E65D8">
            <w:pPr>
              <w:pStyle w:val="NormalWeb"/>
              <w:spacing w:after="0" w:afterAutospacing="0"/>
              <w:jc w:val="center"/>
            </w:pPr>
            <w:r w:rsidRPr="002E65D8">
              <w:t>100.0</w:t>
            </w:r>
          </w:p>
        </w:tc>
      </w:tr>
      <w:tr w:rsidR="002E65D8" w:rsidRPr="00D17CFD" w14:paraId="65C24E60" w14:textId="77777777" w:rsidTr="002E65D8">
        <w:tc>
          <w:tcPr>
            <w:tcW w:w="5000" w:type="pct"/>
            <w:gridSpan w:val="3"/>
            <w:vAlign w:val="center"/>
          </w:tcPr>
          <w:p w14:paraId="6A46BD65" w14:textId="36841DEF" w:rsidR="002E65D8" w:rsidRPr="002E65D8" w:rsidRDefault="002E65D8" w:rsidP="002E65D8">
            <w:pPr>
              <w:pStyle w:val="NormalWeb"/>
              <w:spacing w:before="0" w:beforeAutospacing="0" w:after="0" w:afterAutospacing="0"/>
              <w:jc w:val="center"/>
              <w:rPr>
                <w:b/>
              </w:rPr>
            </w:pPr>
            <w:r w:rsidRPr="002E65D8">
              <w:rPr>
                <w:b/>
              </w:rPr>
              <w:t>Mean : 88.7</w:t>
            </w:r>
          </w:p>
          <w:p w14:paraId="36DCB0D8" w14:textId="057D340B" w:rsidR="002E65D8" w:rsidRPr="002E65D8" w:rsidRDefault="002E65D8" w:rsidP="002E65D8">
            <w:pPr>
              <w:pStyle w:val="NormalWeb"/>
              <w:spacing w:before="0" w:beforeAutospacing="0" w:after="0" w:afterAutospacing="0"/>
              <w:jc w:val="center"/>
              <w:rPr>
                <w:b/>
              </w:rPr>
            </w:pPr>
            <w:r w:rsidRPr="002E65D8">
              <w:rPr>
                <w:b/>
              </w:rPr>
              <w:t>SD:       0.80</w:t>
            </w:r>
          </w:p>
          <w:p w14:paraId="480E4037" w14:textId="197CB0CE" w:rsidR="002E65D8" w:rsidRPr="002E65D8" w:rsidRDefault="002E65D8" w:rsidP="002E65D8">
            <w:pPr>
              <w:pStyle w:val="NormalWeb"/>
              <w:spacing w:before="0" w:beforeAutospacing="0" w:after="0" w:afterAutospacing="0"/>
              <w:jc w:val="center"/>
              <w:rPr>
                <w:b/>
              </w:rPr>
            </w:pPr>
            <w:r w:rsidRPr="002E65D8">
              <w:rPr>
                <w:b/>
              </w:rPr>
              <w:t>Description: Very Satisfactory</w:t>
            </w:r>
          </w:p>
        </w:tc>
      </w:tr>
    </w:tbl>
    <w:p w14:paraId="25CD0766" w14:textId="77777777" w:rsidR="002E65D8" w:rsidRDefault="00C226E4" w:rsidP="002E65D8">
      <w:pPr>
        <w:pStyle w:val="BodyText"/>
        <w:spacing w:before="114"/>
        <w:ind w:right="168"/>
      </w:pPr>
      <w:r>
        <w:t xml:space="preserve">Table III </w:t>
      </w:r>
      <w:r w:rsidR="002E65D8">
        <w:t>presents the respondents’ academic performance in Araling Panlipunan based on their General Weighted Average for SY 2023–2024. The overall mean grade of 88.7 (SD = 0.80), interpreted as Very Satisfactory, shows that learners performed strongly in the subject, with scores tightly clustered around this high average. The very small standard deviation suggests that most students consistently achieved high marks, indicating a generally successful cohort in AP.</w:t>
      </w:r>
    </w:p>
    <w:p w14:paraId="665C9E94" w14:textId="77777777" w:rsidR="002E65D8" w:rsidRDefault="002E65D8" w:rsidP="002E65D8">
      <w:pPr>
        <w:pStyle w:val="BodyText"/>
        <w:spacing w:before="114"/>
        <w:ind w:right="168"/>
      </w:pPr>
      <w:r>
        <w:t>Category frequencies further reinforce this picture: nearly half of the respondents (48.4%) obtained Outstanding grades (90–100), and when combined with those in the Very Satisfactory band, about 82.6% of learners are performing at the top two levels. Notably, none of the respondents fell into the “Did not meet expectations” or failing category, meaning all learners met at least the minimum achievement standards in Araling Panlipunan. This pattern supports the earlier finding that identified barriers (such as language and emotional factors) were only experienced to a little extent and did not substantially hinder learning outcomes.</w:t>
      </w:r>
    </w:p>
    <w:p w14:paraId="6650C265" w14:textId="6B475DD6" w:rsidR="002E65D8" w:rsidRDefault="002E65D8" w:rsidP="002E65D8">
      <w:pPr>
        <w:pStyle w:val="BodyText"/>
        <w:spacing w:before="114"/>
        <w:ind w:right="168"/>
      </w:pPr>
      <w:r>
        <w:t>Overall, the high mean, narrow spread of grades, and absence of failing marks imply that current instructional practices, learning materials, and support systems in AP are effective in helping learners overcome minor barriers and maintain strong performance. These results suggest that schools should sustain and further refine these strategies, such as participatory, inclusive teaching and supportive classroom environments, to continue promoting high achievement while gradually reducing remaining learning challenges.</w:t>
      </w:r>
    </w:p>
    <w:p w14:paraId="6473400C" w14:textId="77777777" w:rsidR="002E65D8" w:rsidRDefault="002E65D8" w:rsidP="002E65D8">
      <w:pPr>
        <w:pStyle w:val="BodyText"/>
        <w:spacing w:before="114"/>
        <w:ind w:right="168"/>
      </w:pPr>
    </w:p>
    <w:p w14:paraId="54209DA9" w14:textId="77777777" w:rsidR="002E65D8" w:rsidRDefault="002E65D8" w:rsidP="002E65D8">
      <w:pPr>
        <w:pStyle w:val="BodyText"/>
        <w:spacing w:before="114"/>
        <w:ind w:right="168"/>
      </w:pPr>
    </w:p>
    <w:p w14:paraId="6703EF05" w14:textId="77777777" w:rsidR="002E65D8" w:rsidRDefault="002E65D8" w:rsidP="002E65D8">
      <w:pPr>
        <w:pStyle w:val="BodyText"/>
        <w:spacing w:before="114"/>
        <w:ind w:right="168"/>
      </w:pPr>
    </w:p>
    <w:p w14:paraId="0FEE7F58" w14:textId="77777777" w:rsidR="002E65D8" w:rsidRDefault="002E65D8" w:rsidP="002E65D8">
      <w:pPr>
        <w:pStyle w:val="BodyText"/>
        <w:spacing w:before="114"/>
        <w:ind w:right="168"/>
      </w:pPr>
    </w:p>
    <w:p w14:paraId="2519141C" w14:textId="77777777" w:rsidR="002E65D8" w:rsidRDefault="002E65D8" w:rsidP="002E65D8">
      <w:pPr>
        <w:pStyle w:val="BodyText"/>
        <w:spacing w:before="114"/>
        <w:ind w:right="168"/>
      </w:pPr>
    </w:p>
    <w:p w14:paraId="445DA17C" w14:textId="4E61C8ED" w:rsidR="00CB64D0" w:rsidRPr="00D17CFD" w:rsidRDefault="00F17E4F" w:rsidP="002E65D8">
      <w:pPr>
        <w:pStyle w:val="BodyText"/>
        <w:spacing w:before="114"/>
        <w:ind w:right="168"/>
        <w:rPr>
          <w:b/>
          <w:color w:val="000000" w:themeColor="text1"/>
          <w:lang w:val="en-PH"/>
        </w:rPr>
      </w:pPr>
      <w:r w:rsidRPr="00D17CFD">
        <w:lastRenderedPageBreak/>
        <w:t>Table</w:t>
      </w:r>
      <w:r w:rsidRPr="00D17CFD">
        <w:rPr>
          <w:spacing w:val="-5"/>
        </w:rPr>
        <w:t xml:space="preserve"> </w:t>
      </w:r>
      <w:r w:rsidRPr="00D17CFD">
        <w:t xml:space="preserve">IV. </w:t>
      </w:r>
      <w:r w:rsidR="002E65D8" w:rsidRPr="002E65D8">
        <w:t>Results of the test on Relationship between the Respondents’ Assessment of the Barriers to Learning and their Academic Performance in           Araling Panlipunan for School Year 2023-2024</w:t>
      </w:r>
    </w:p>
    <w:tbl>
      <w:tblPr>
        <w:tblW w:w="4979" w:type="pct"/>
        <w:tblLayout w:type="fixed"/>
        <w:tblLook w:val="04A0" w:firstRow="1" w:lastRow="0" w:firstColumn="1" w:lastColumn="0" w:noHBand="0" w:noVBand="1"/>
      </w:tblPr>
      <w:tblGrid>
        <w:gridCol w:w="4237"/>
        <w:gridCol w:w="486"/>
        <w:gridCol w:w="1573"/>
        <w:gridCol w:w="656"/>
        <w:gridCol w:w="916"/>
        <w:gridCol w:w="277"/>
        <w:gridCol w:w="2427"/>
        <w:gridCol w:w="83"/>
      </w:tblGrid>
      <w:tr w:rsidR="002E65D8" w:rsidRPr="007D1BE3" w14:paraId="63DC3F70" w14:textId="77777777" w:rsidTr="002E65D8">
        <w:trPr>
          <w:trHeight w:val="319"/>
        </w:trPr>
        <w:tc>
          <w:tcPr>
            <w:tcW w:w="1988" w:type="pct"/>
            <w:tcBorders>
              <w:top w:val="single" w:sz="4" w:space="0" w:color="auto"/>
              <w:left w:val="nil"/>
              <w:bottom w:val="nil"/>
              <w:right w:val="nil"/>
            </w:tcBorders>
            <w:noWrap/>
            <w:vAlign w:val="bottom"/>
          </w:tcPr>
          <w:p w14:paraId="2C893AB2" w14:textId="77777777" w:rsidR="002E65D8" w:rsidRPr="007D1BE3" w:rsidRDefault="002E65D8" w:rsidP="002E65D8">
            <w:pPr>
              <w:rPr>
                <w:b/>
                <w:bCs/>
              </w:rPr>
            </w:pPr>
            <w:r w:rsidRPr="007D1BE3">
              <w:rPr>
                <w:b/>
                <w:bCs/>
              </w:rPr>
              <w:t> Barriers in Learning AP</w:t>
            </w:r>
          </w:p>
        </w:tc>
        <w:tc>
          <w:tcPr>
            <w:tcW w:w="3012" w:type="pct"/>
            <w:gridSpan w:val="7"/>
            <w:tcBorders>
              <w:top w:val="single" w:sz="4" w:space="0" w:color="auto"/>
              <w:left w:val="nil"/>
              <w:bottom w:val="nil"/>
              <w:right w:val="nil"/>
            </w:tcBorders>
            <w:noWrap/>
            <w:vAlign w:val="bottom"/>
          </w:tcPr>
          <w:p w14:paraId="279D97FB" w14:textId="77777777" w:rsidR="002E65D8" w:rsidRPr="007D1BE3" w:rsidRDefault="002E65D8" w:rsidP="002E65D8">
            <w:pPr>
              <w:jc w:val="center"/>
              <w:rPr>
                <w:b/>
                <w:bCs/>
              </w:rPr>
            </w:pPr>
            <w:r w:rsidRPr="007D1BE3">
              <w:rPr>
                <w:b/>
                <w:bCs/>
              </w:rPr>
              <w:t>Academic Achievement</w:t>
            </w:r>
          </w:p>
        </w:tc>
      </w:tr>
      <w:tr w:rsidR="002E65D8" w:rsidRPr="007D1BE3" w14:paraId="3F937BC3" w14:textId="77777777" w:rsidTr="002E65D8">
        <w:trPr>
          <w:cantSplit/>
          <w:trHeight w:val="511"/>
        </w:trPr>
        <w:tc>
          <w:tcPr>
            <w:tcW w:w="1988" w:type="pct"/>
            <w:tcBorders>
              <w:top w:val="nil"/>
              <w:left w:val="nil"/>
              <w:bottom w:val="single" w:sz="4" w:space="0" w:color="auto"/>
              <w:right w:val="nil"/>
            </w:tcBorders>
            <w:noWrap/>
            <w:vAlign w:val="bottom"/>
          </w:tcPr>
          <w:p w14:paraId="137AA1ED" w14:textId="77777777" w:rsidR="002E65D8" w:rsidRPr="007D1BE3" w:rsidRDefault="002E65D8" w:rsidP="002E65D8">
            <w:r w:rsidRPr="007D1BE3">
              <w:t> </w:t>
            </w:r>
          </w:p>
        </w:tc>
        <w:tc>
          <w:tcPr>
            <w:tcW w:w="1274" w:type="pct"/>
            <w:gridSpan w:val="3"/>
            <w:tcBorders>
              <w:top w:val="nil"/>
              <w:left w:val="nil"/>
              <w:bottom w:val="single" w:sz="4" w:space="0" w:color="auto"/>
              <w:right w:val="nil"/>
            </w:tcBorders>
            <w:noWrap/>
            <w:vAlign w:val="center"/>
          </w:tcPr>
          <w:p w14:paraId="62A2CCB3" w14:textId="77777777" w:rsidR="002E65D8" w:rsidRPr="007D1BE3" w:rsidRDefault="002E65D8" w:rsidP="002E65D8">
            <w:pPr>
              <w:jc w:val="center"/>
              <w:rPr>
                <w:i/>
                <w:iCs/>
              </w:rPr>
            </w:pPr>
            <w:r w:rsidRPr="007D1BE3">
              <w:rPr>
                <w:i/>
                <w:iCs/>
              </w:rPr>
              <w:t>R</w:t>
            </w:r>
          </w:p>
        </w:tc>
        <w:tc>
          <w:tcPr>
            <w:tcW w:w="560" w:type="pct"/>
            <w:gridSpan w:val="2"/>
            <w:tcBorders>
              <w:top w:val="nil"/>
              <w:left w:val="nil"/>
              <w:bottom w:val="single" w:sz="4" w:space="0" w:color="auto"/>
              <w:right w:val="nil"/>
            </w:tcBorders>
            <w:noWrap/>
            <w:vAlign w:val="center"/>
          </w:tcPr>
          <w:p w14:paraId="1A93D36F" w14:textId="77777777" w:rsidR="002E65D8" w:rsidRPr="007D1BE3" w:rsidRDefault="002E65D8" w:rsidP="002E65D8">
            <w:pPr>
              <w:jc w:val="center"/>
              <w:rPr>
                <w:i/>
                <w:iCs/>
              </w:rPr>
            </w:pPr>
            <w:r w:rsidRPr="007D1BE3">
              <w:rPr>
                <w:i/>
                <w:iCs/>
              </w:rPr>
              <w:t>p-value</w:t>
            </w:r>
          </w:p>
        </w:tc>
        <w:tc>
          <w:tcPr>
            <w:tcW w:w="1176" w:type="pct"/>
            <w:gridSpan w:val="2"/>
            <w:tcBorders>
              <w:top w:val="nil"/>
              <w:left w:val="nil"/>
              <w:bottom w:val="single" w:sz="4" w:space="0" w:color="auto"/>
              <w:right w:val="nil"/>
            </w:tcBorders>
            <w:noWrap/>
            <w:vAlign w:val="center"/>
          </w:tcPr>
          <w:p w14:paraId="34230C16" w14:textId="77777777" w:rsidR="002E65D8" w:rsidRPr="007D1BE3" w:rsidRDefault="002E65D8" w:rsidP="002E65D8">
            <w:pPr>
              <w:rPr>
                <w:i/>
                <w:iCs/>
              </w:rPr>
            </w:pPr>
            <w:r w:rsidRPr="007D1BE3">
              <w:rPr>
                <w:i/>
                <w:iCs/>
              </w:rPr>
              <w:t xml:space="preserve">     Overall </w:t>
            </w:r>
          </w:p>
        </w:tc>
      </w:tr>
      <w:tr w:rsidR="002E65D8" w:rsidRPr="007D1BE3" w14:paraId="77AE67C5" w14:textId="77777777" w:rsidTr="002E65D8">
        <w:trPr>
          <w:trHeight w:val="319"/>
        </w:trPr>
        <w:tc>
          <w:tcPr>
            <w:tcW w:w="1988" w:type="pct"/>
            <w:tcBorders>
              <w:top w:val="nil"/>
              <w:left w:val="nil"/>
              <w:bottom w:val="nil"/>
              <w:right w:val="nil"/>
            </w:tcBorders>
            <w:noWrap/>
            <w:vAlign w:val="bottom"/>
          </w:tcPr>
          <w:p w14:paraId="17FFC487" w14:textId="77777777" w:rsidR="002E65D8" w:rsidRPr="007D1BE3" w:rsidRDefault="002E65D8" w:rsidP="002E65D8">
            <w:pPr>
              <w:spacing w:line="360" w:lineRule="auto"/>
            </w:pPr>
            <w:r w:rsidRPr="007D1BE3">
              <w:t xml:space="preserve">     Language Barrier</w:t>
            </w:r>
          </w:p>
        </w:tc>
        <w:tc>
          <w:tcPr>
            <w:tcW w:w="1274" w:type="pct"/>
            <w:gridSpan w:val="3"/>
            <w:tcBorders>
              <w:top w:val="nil"/>
              <w:left w:val="nil"/>
              <w:bottom w:val="nil"/>
              <w:right w:val="nil"/>
            </w:tcBorders>
            <w:noWrap/>
          </w:tcPr>
          <w:p w14:paraId="4A233CF8" w14:textId="77777777" w:rsidR="002E65D8" w:rsidRPr="007D1BE3" w:rsidRDefault="002E65D8" w:rsidP="002E65D8">
            <w:pPr>
              <w:spacing w:line="360" w:lineRule="auto"/>
              <w:jc w:val="center"/>
            </w:pPr>
            <w:r w:rsidRPr="007D1BE3">
              <w:t>0.300</w:t>
            </w:r>
          </w:p>
        </w:tc>
        <w:tc>
          <w:tcPr>
            <w:tcW w:w="560" w:type="pct"/>
            <w:gridSpan w:val="2"/>
            <w:tcBorders>
              <w:top w:val="nil"/>
              <w:left w:val="nil"/>
              <w:bottom w:val="nil"/>
              <w:right w:val="nil"/>
            </w:tcBorders>
            <w:noWrap/>
            <w:vAlign w:val="bottom"/>
          </w:tcPr>
          <w:p w14:paraId="44E6CC56" w14:textId="77777777" w:rsidR="002E65D8" w:rsidRPr="007D1BE3" w:rsidRDefault="002E65D8" w:rsidP="002E65D8">
            <w:pPr>
              <w:spacing w:line="360" w:lineRule="auto"/>
              <w:jc w:val="center"/>
            </w:pPr>
            <w:r w:rsidRPr="007D1BE3">
              <w:t>0.000</w:t>
            </w:r>
          </w:p>
        </w:tc>
        <w:tc>
          <w:tcPr>
            <w:tcW w:w="1176" w:type="pct"/>
            <w:gridSpan w:val="2"/>
            <w:tcBorders>
              <w:top w:val="nil"/>
              <w:left w:val="nil"/>
              <w:bottom w:val="nil"/>
              <w:right w:val="nil"/>
            </w:tcBorders>
            <w:noWrap/>
            <w:vAlign w:val="bottom"/>
          </w:tcPr>
          <w:p w14:paraId="6539DBB4" w14:textId="77777777" w:rsidR="002E65D8" w:rsidRPr="007D1BE3" w:rsidRDefault="002E65D8" w:rsidP="002E65D8">
            <w:pPr>
              <w:spacing w:line="360" w:lineRule="auto"/>
            </w:pPr>
            <w:r w:rsidRPr="007D1BE3">
              <w:t xml:space="preserve">     Significant</w:t>
            </w:r>
          </w:p>
        </w:tc>
      </w:tr>
      <w:tr w:rsidR="002E65D8" w:rsidRPr="007D1BE3" w14:paraId="54DFFA98" w14:textId="77777777" w:rsidTr="002E65D8">
        <w:trPr>
          <w:trHeight w:val="319"/>
        </w:trPr>
        <w:tc>
          <w:tcPr>
            <w:tcW w:w="1988" w:type="pct"/>
            <w:tcBorders>
              <w:top w:val="nil"/>
              <w:left w:val="nil"/>
              <w:bottom w:val="nil"/>
              <w:right w:val="nil"/>
            </w:tcBorders>
            <w:noWrap/>
            <w:vAlign w:val="bottom"/>
          </w:tcPr>
          <w:p w14:paraId="78CFF988" w14:textId="77777777" w:rsidR="002E65D8" w:rsidRPr="007D1BE3" w:rsidRDefault="002E65D8" w:rsidP="002E65D8">
            <w:pPr>
              <w:spacing w:line="360" w:lineRule="auto"/>
            </w:pPr>
            <w:r w:rsidRPr="007D1BE3">
              <w:t xml:space="preserve">     Motivational Barrier</w:t>
            </w:r>
          </w:p>
        </w:tc>
        <w:tc>
          <w:tcPr>
            <w:tcW w:w="1274" w:type="pct"/>
            <w:gridSpan w:val="3"/>
            <w:tcBorders>
              <w:top w:val="nil"/>
              <w:left w:val="nil"/>
              <w:bottom w:val="nil"/>
              <w:right w:val="nil"/>
            </w:tcBorders>
            <w:noWrap/>
          </w:tcPr>
          <w:p w14:paraId="5DA4D81B" w14:textId="77777777" w:rsidR="002E65D8" w:rsidRPr="007D1BE3" w:rsidRDefault="002E65D8" w:rsidP="002E65D8">
            <w:pPr>
              <w:spacing w:line="360" w:lineRule="auto"/>
              <w:jc w:val="center"/>
            </w:pPr>
            <w:r w:rsidRPr="007D1BE3">
              <w:t>0.124</w:t>
            </w:r>
          </w:p>
        </w:tc>
        <w:tc>
          <w:tcPr>
            <w:tcW w:w="560" w:type="pct"/>
            <w:gridSpan w:val="2"/>
            <w:tcBorders>
              <w:top w:val="nil"/>
              <w:left w:val="nil"/>
              <w:bottom w:val="nil"/>
              <w:right w:val="nil"/>
            </w:tcBorders>
            <w:noWrap/>
            <w:vAlign w:val="bottom"/>
          </w:tcPr>
          <w:p w14:paraId="18036DD6" w14:textId="77777777" w:rsidR="002E65D8" w:rsidRPr="007D1BE3" w:rsidRDefault="002E65D8" w:rsidP="002E65D8">
            <w:pPr>
              <w:spacing w:line="360" w:lineRule="auto"/>
              <w:jc w:val="center"/>
            </w:pPr>
            <w:r w:rsidRPr="007D1BE3">
              <w:t>0.000</w:t>
            </w:r>
          </w:p>
        </w:tc>
        <w:tc>
          <w:tcPr>
            <w:tcW w:w="1176" w:type="pct"/>
            <w:gridSpan w:val="2"/>
            <w:tcBorders>
              <w:top w:val="nil"/>
              <w:left w:val="nil"/>
              <w:bottom w:val="nil"/>
              <w:right w:val="nil"/>
            </w:tcBorders>
            <w:noWrap/>
          </w:tcPr>
          <w:p w14:paraId="56995F0B" w14:textId="77777777" w:rsidR="002E65D8" w:rsidRPr="007D1BE3" w:rsidRDefault="002E65D8" w:rsidP="002E65D8">
            <w:pPr>
              <w:spacing w:line="360" w:lineRule="auto"/>
            </w:pPr>
            <w:r w:rsidRPr="007D1BE3">
              <w:t xml:space="preserve">     Significant</w:t>
            </w:r>
          </w:p>
        </w:tc>
      </w:tr>
      <w:tr w:rsidR="002E65D8" w:rsidRPr="007D1BE3" w14:paraId="1A56FD7E" w14:textId="77777777" w:rsidTr="002E65D8">
        <w:trPr>
          <w:trHeight w:val="319"/>
        </w:trPr>
        <w:tc>
          <w:tcPr>
            <w:tcW w:w="1988" w:type="pct"/>
            <w:tcBorders>
              <w:top w:val="nil"/>
              <w:left w:val="nil"/>
              <w:bottom w:val="nil"/>
              <w:right w:val="nil"/>
            </w:tcBorders>
            <w:noWrap/>
            <w:vAlign w:val="bottom"/>
          </w:tcPr>
          <w:p w14:paraId="2F9D6BA4" w14:textId="77777777" w:rsidR="002E65D8" w:rsidRPr="007D1BE3" w:rsidRDefault="002E65D8" w:rsidP="002E65D8">
            <w:pPr>
              <w:spacing w:line="360" w:lineRule="auto"/>
            </w:pPr>
            <w:r w:rsidRPr="007D1BE3">
              <w:t xml:space="preserve">     Social and Cultural Barriers</w:t>
            </w:r>
          </w:p>
        </w:tc>
        <w:tc>
          <w:tcPr>
            <w:tcW w:w="1274" w:type="pct"/>
            <w:gridSpan w:val="3"/>
            <w:tcBorders>
              <w:top w:val="nil"/>
              <w:left w:val="nil"/>
              <w:bottom w:val="nil"/>
              <w:right w:val="nil"/>
            </w:tcBorders>
            <w:noWrap/>
          </w:tcPr>
          <w:p w14:paraId="453744ED" w14:textId="77777777" w:rsidR="002E65D8" w:rsidRPr="007D1BE3" w:rsidRDefault="002E65D8" w:rsidP="002E65D8">
            <w:pPr>
              <w:spacing w:line="360" w:lineRule="auto"/>
              <w:jc w:val="center"/>
            </w:pPr>
            <w:r w:rsidRPr="007D1BE3">
              <w:t>0.735</w:t>
            </w:r>
          </w:p>
        </w:tc>
        <w:tc>
          <w:tcPr>
            <w:tcW w:w="560" w:type="pct"/>
            <w:gridSpan w:val="2"/>
            <w:tcBorders>
              <w:top w:val="nil"/>
              <w:left w:val="nil"/>
              <w:bottom w:val="nil"/>
              <w:right w:val="nil"/>
            </w:tcBorders>
            <w:noWrap/>
            <w:vAlign w:val="bottom"/>
          </w:tcPr>
          <w:p w14:paraId="745C0379" w14:textId="77777777" w:rsidR="002E65D8" w:rsidRPr="007D1BE3" w:rsidRDefault="002E65D8" w:rsidP="002E65D8">
            <w:pPr>
              <w:spacing w:line="360" w:lineRule="auto"/>
              <w:jc w:val="center"/>
            </w:pPr>
            <w:r w:rsidRPr="007D1BE3">
              <w:t>0.000</w:t>
            </w:r>
          </w:p>
        </w:tc>
        <w:tc>
          <w:tcPr>
            <w:tcW w:w="1176" w:type="pct"/>
            <w:gridSpan w:val="2"/>
            <w:tcBorders>
              <w:top w:val="nil"/>
              <w:left w:val="nil"/>
              <w:bottom w:val="nil"/>
              <w:right w:val="nil"/>
            </w:tcBorders>
            <w:noWrap/>
          </w:tcPr>
          <w:p w14:paraId="08FE2ED3" w14:textId="77777777" w:rsidR="002E65D8" w:rsidRPr="007D1BE3" w:rsidRDefault="002E65D8" w:rsidP="002E65D8">
            <w:pPr>
              <w:spacing w:line="360" w:lineRule="auto"/>
            </w:pPr>
            <w:r w:rsidRPr="007D1BE3">
              <w:t xml:space="preserve">     Significant</w:t>
            </w:r>
          </w:p>
        </w:tc>
      </w:tr>
      <w:tr w:rsidR="002E65D8" w:rsidRPr="007D1BE3" w14:paraId="689B9AD7" w14:textId="77777777" w:rsidTr="002E65D8">
        <w:trPr>
          <w:trHeight w:val="319"/>
        </w:trPr>
        <w:tc>
          <w:tcPr>
            <w:tcW w:w="1988" w:type="pct"/>
            <w:tcBorders>
              <w:top w:val="nil"/>
              <w:left w:val="nil"/>
              <w:bottom w:val="nil"/>
              <w:right w:val="nil"/>
            </w:tcBorders>
            <w:noWrap/>
            <w:vAlign w:val="bottom"/>
          </w:tcPr>
          <w:p w14:paraId="16477E07" w14:textId="77777777" w:rsidR="002E65D8" w:rsidRPr="007D1BE3" w:rsidRDefault="002E65D8" w:rsidP="002E65D8">
            <w:pPr>
              <w:spacing w:line="360" w:lineRule="auto"/>
            </w:pPr>
            <w:r w:rsidRPr="007D1BE3">
              <w:t xml:space="preserve">     Lack of learning materials</w:t>
            </w:r>
          </w:p>
        </w:tc>
        <w:tc>
          <w:tcPr>
            <w:tcW w:w="1274" w:type="pct"/>
            <w:gridSpan w:val="3"/>
            <w:tcBorders>
              <w:top w:val="nil"/>
              <w:left w:val="nil"/>
              <w:bottom w:val="nil"/>
              <w:right w:val="nil"/>
            </w:tcBorders>
            <w:noWrap/>
          </w:tcPr>
          <w:p w14:paraId="4FBA8F4F" w14:textId="77777777" w:rsidR="002E65D8" w:rsidRPr="007D1BE3" w:rsidRDefault="002E65D8" w:rsidP="002E65D8">
            <w:pPr>
              <w:spacing w:line="360" w:lineRule="auto"/>
              <w:jc w:val="center"/>
            </w:pPr>
            <w:r w:rsidRPr="007D1BE3">
              <w:t>0.172</w:t>
            </w:r>
          </w:p>
        </w:tc>
        <w:tc>
          <w:tcPr>
            <w:tcW w:w="560" w:type="pct"/>
            <w:gridSpan w:val="2"/>
            <w:tcBorders>
              <w:top w:val="nil"/>
              <w:left w:val="nil"/>
              <w:bottom w:val="nil"/>
              <w:right w:val="nil"/>
            </w:tcBorders>
            <w:noWrap/>
            <w:vAlign w:val="bottom"/>
          </w:tcPr>
          <w:p w14:paraId="4318AF74" w14:textId="77777777" w:rsidR="002E65D8" w:rsidRPr="007D1BE3" w:rsidRDefault="002E65D8" w:rsidP="002E65D8">
            <w:pPr>
              <w:spacing w:line="360" w:lineRule="auto"/>
              <w:jc w:val="center"/>
            </w:pPr>
            <w:r w:rsidRPr="007D1BE3">
              <w:t>0.000</w:t>
            </w:r>
          </w:p>
        </w:tc>
        <w:tc>
          <w:tcPr>
            <w:tcW w:w="1176" w:type="pct"/>
            <w:gridSpan w:val="2"/>
            <w:tcBorders>
              <w:top w:val="nil"/>
              <w:left w:val="nil"/>
              <w:bottom w:val="nil"/>
              <w:right w:val="nil"/>
            </w:tcBorders>
            <w:noWrap/>
          </w:tcPr>
          <w:p w14:paraId="250FC23E" w14:textId="77777777" w:rsidR="002E65D8" w:rsidRPr="007D1BE3" w:rsidRDefault="002E65D8" w:rsidP="002E65D8">
            <w:pPr>
              <w:spacing w:line="360" w:lineRule="auto"/>
            </w:pPr>
            <w:r w:rsidRPr="007D1BE3">
              <w:t xml:space="preserve">     Significant</w:t>
            </w:r>
          </w:p>
        </w:tc>
      </w:tr>
      <w:tr w:rsidR="002E65D8" w:rsidRPr="007D1BE3" w14:paraId="7329947F" w14:textId="77777777" w:rsidTr="002E65D8">
        <w:trPr>
          <w:trHeight w:val="315"/>
        </w:trPr>
        <w:tc>
          <w:tcPr>
            <w:tcW w:w="1988" w:type="pct"/>
            <w:tcBorders>
              <w:top w:val="nil"/>
              <w:left w:val="nil"/>
              <w:bottom w:val="single" w:sz="4" w:space="0" w:color="auto"/>
              <w:right w:val="nil"/>
            </w:tcBorders>
            <w:noWrap/>
            <w:vAlign w:val="bottom"/>
          </w:tcPr>
          <w:p w14:paraId="34900D89" w14:textId="77777777" w:rsidR="002E65D8" w:rsidRPr="007D1BE3" w:rsidRDefault="002E65D8" w:rsidP="002E65D8">
            <w:pPr>
              <w:spacing w:line="360" w:lineRule="auto"/>
            </w:pPr>
            <w:r w:rsidRPr="007D1BE3">
              <w:t xml:space="preserve">     Emotional factors</w:t>
            </w:r>
          </w:p>
        </w:tc>
        <w:tc>
          <w:tcPr>
            <w:tcW w:w="1274" w:type="pct"/>
            <w:gridSpan w:val="3"/>
            <w:tcBorders>
              <w:top w:val="nil"/>
              <w:left w:val="nil"/>
              <w:bottom w:val="single" w:sz="4" w:space="0" w:color="auto"/>
              <w:right w:val="nil"/>
            </w:tcBorders>
            <w:noWrap/>
          </w:tcPr>
          <w:p w14:paraId="15641C09" w14:textId="77777777" w:rsidR="002E65D8" w:rsidRPr="007D1BE3" w:rsidRDefault="002E65D8" w:rsidP="002E65D8">
            <w:pPr>
              <w:spacing w:line="360" w:lineRule="auto"/>
              <w:jc w:val="center"/>
            </w:pPr>
            <w:r w:rsidRPr="007D1BE3">
              <w:t>0.192</w:t>
            </w:r>
          </w:p>
        </w:tc>
        <w:tc>
          <w:tcPr>
            <w:tcW w:w="560" w:type="pct"/>
            <w:gridSpan w:val="2"/>
            <w:tcBorders>
              <w:top w:val="nil"/>
              <w:left w:val="nil"/>
              <w:bottom w:val="single" w:sz="4" w:space="0" w:color="auto"/>
              <w:right w:val="nil"/>
            </w:tcBorders>
            <w:noWrap/>
            <w:vAlign w:val="bottom"/>
          </w:tcPr>
          <w:p w14:paraId="3C9441E3" w14:textId="77777777" w:rsidR="002E65D8" w:rsidRPr="007D1BE3" w:rsidRDefault="002E65D8" w:rsidP="002E65D8">
            <w:pPr>
              <w:spacing w:line="360" w:lineRule="auto"/>
              <w:jc w:val="center"/>
            </w:pPr>
            <w:r w:rsidRPr="007D1BE3">
              <w:t>0.000</w:t>
            </w:r>
          </w:p>
        </w:tc>
        <w:tc>
          <w:tcPr>
            <w:tcW w:w="1176" w:type="pct"/>
            <w:gridSpan w:val="2"/>
            <w:tcBorders>
              <w:top w:val="nil"/>
              <w:left w:val="nil"/>
              <w:bottom w:val="single" w:sz="4" w:space="0" w:color="auto"/>
              <w:right w:val="nil"/>
            </w:tcBorders>
            <w:noWrap/>
          </w:tcPr>
          <w:p w14:paraId="1EB07948" w14:textId="77777777" w:rsidR="002E65D8" w:rsidRPr="007D1BE3" w:rsidRDefault="002E65D8" w:rsidP="002E65D8">
            <w:pPr>
              <w:spacing w:line="360" w:lineRule="auto"/>
            </w:pPr>
            <w:r w:rsidRPr="007D1BE3">
              <w:t xml:space="preserve">     Significant</w:t>
            </w:r>
          </w:p>
        </w:tc>
      </w:tr>
      <w:tr w:rsidR="002E65D8" w:rsidRPr="007D1BE3" w14:paraId="1C11CE9F" w14:textId="77777777" w:rsidTr="002E65D8">
        <w:trPr>
          <w:gridAfter w:val="1"/>
          <w:wAfter w:w="40" w:type="pct"/>
          <w:trHeight w:val="467"/>
        </w:trPr>
        <w:tc>
          <w:tcPr>
            <w:tcW w:w="2216" w:type="pct"/>
            <w:gridSpan w:val="2"/>
            <w:vAlign w:val="center"/>
          </w:tcPr>
          <w:p w14:paraId="1D32C812" w14:textId="77777777" w:rsidR="002E65D8" w:rsidRPr="00582756" w:rsidRDefault="002E65D8" w:rsidP="002E65D8">
            <w:pPr>
              <w:spacing w:line="360" w:lineRule="auto"/>
              <w:rPr>
                <w:bCs/>
                <w:i/>
                <w:iCs/>
                <w:sz w:val="16"/>
                <w:szCs w:val="16"/>
              </w:rPr>
            </w:pPr>
            <w:r w:rsidRPr="00582756">
              <w:rPr>
                <w:bCs/>
                <w:i/>
                <w:iCs/>
                <w:sz w:val="16"/>
                <w:szCs w:val="16"/>
              </w:rPr>
              <w:t>Legend: Ho is rejected if Significant (S)</w:t>
            </w:r>
          </w:p>
          <w:p w14:paraId="40321ECD" w14:textId="77777777" w:rsidR="002E65D8" w:rsidRPr="00582756" w:rsidRDefault="002E65D8" w:rsidP="002E65D8">
            <w:pPr>
              <w:spacing w:line="360" w:lineRule="auto"/>
              <w:rPr>
                <w:bCs/>
                <w:sz w:val="16"/>
                <w:szCs w:val="16"/>
              </w:rPr>
            </w:pPr>
            <w:r w:rsidRPr="00582756">
              <w:rPr>
                <w:bCs/>
                <w:i/>
                <w:iCs/>
                <w:sz w:val="16"/>
                <w:szCs w:val="16"/>
              </w:rPr>
              <w:t xml:space="preserve">              Ho is accepted if not significant (NS)</w:t>
            </w:r>
          </w:p>
        </w:tc>
        <w:tc>
          <w:tcPr>
            <w:tcW w:w="738" w:type="pct"/>
            <w:vAlign w:val="center"/>
          </w:tcPr>
          <w:p w14:paraId="5DD46428" w14:textId="77777777" w:rsidR="002E65D8" w:rsidRPr="007D1BE3" w:rsidRDefault="002E65D8" w:rsidP="002E65D8">
            <w:pPr>
              <w:spacing w:line="360" w:lineRule="auto"/>
              <w:jc w:val="center"/>
              <w:rPr>
                <w:b/>
                <w:sz w:val="24"/>
                <w:szCs w:val="24"/>
              </w:rPr>
            </w:pPr>
          </w:p>
        </w:tc>
        <w:tc>
          <w:tcPr>
            <w:tcW w:w="738" w:type="pct"/>
            <w:gridSpan w:val="2"/>
            <w:vAlign w:val="center"/>
          </w:tcPr>
          <w:p w14:paraId="38132986" w14:textId="77777777" w:rsidR="002E65D8" w:rsidRPr="007D1BE3" w:rsidRDefault="002E65D8" w:rsidP="002E65D8">
            <w:pPr>
              <w:spacing w:line="360" w:lineRule="auto"/>
              <w:jc w:val="center"/>
              <w:rPr>
                <w:b/>
                <w:sz w:val="24"/>
                <w:szCs w:val="24"/>
              </w:rPr>
            </w:pPr>
          </w:p>
        </w:tc>
        <w:tc>
          <w:tcPr>
            <w:tcW w:w="1269" w:type="pct"/>
            <w:gridSpan w:val="2"/>
          </w:tcPr>
          <w:p w14:paraId="522CCF19" w14:textId="77777777" w:rsidR="002E65D8" w:rsidRPr="007D1BE3" w:rsidRDefault="002E65D8" w:rsidP="002E65D8">
            <w:pPr>
              <w:spacing w:line="360" w:lineRule="auto"/>
              <w:jc w:val="center"/>
              <w:rPr>
                <w:b/>
                <w:sz w:val="24"/>
                <w:szCs w:val="24"/>
              </w:rPr>
            </w:pPr>
          </w:p>
        </w:tc>
      </w:tr>
    </w:tbl>
    <w:p w14:paraId="7E2D5918" w14:textId="6574C851" w:rsidR="002E65D8" w:rsidRDefault="00EB43ED" w:rsidP="002E65D8">
      <w:pPr>
        <w:pStyle w:val="BodyText"/>
        <w:spacing w:before="114"/>
      </w:pPr>
      <w:r w:rsidRPr="00EB43ED">
        <w:t xml:space="preserve">Table IV </w:t>
      </w:r>
      <w:r w:rsidR="002E65D8">
        <w:t>presents the test statistics on the relationship between learners’ perceived barriers to learning Araling Panlipunan and their academic performance for SY 2023–2024. Overall, all identified barriers, including language, motivation, social and cultural factors, lack of learning materials, and emotional factors, show statistically significant associations with achievement, meaning that even when barriers are rated only to a “little extent,” they still matter for how well learners perform.</w:t>
      </w:r>
    </w:p>
    <w:p w14:paraId="5C0B71FA" w14:textId="77777777" w:rsidR="002E65D8" w:rsidRDefault="002E65D8" w:rsidP="002E65D8">
      <w:pPr>
        <w:pStyle w:val="BodyText"/>
        <w:spacing w:before="114"/>
      </w:pPr>
      <w:r>
        <w:t>Language barriers are particularly important: when learners struggle with the medium of instruction or technical/historical terms, they are less able to grasp content and participate actively in discussions and tests. This supports the idea that language is foundational for learning across subjects and underscores the value of strategies like code‑switching, vocabulary support, visual aids, and glossaries to make AP concepts more accessible. Motivation also shows a significant, though relatively smaller, link to performance—when lessons connect to learners’ lives and seem relevant, engagement and achievement rise; when they feel disconnected, effort and outcomes decline.</w:t>
      </w:r>
    </w:p>
    <w:p w14:paraId="7D762E61" w14:textId="452FD29B" w:rsidR="002E65D8" w:rsidRDefault="002E65D8" w:rsidP="002E65D8">
      <w:pPr>
        <w:pStyle w:val="BodyText"/>
        <w:spacing w:before="114"/>
      </w:pPr>
      <w:r>
        <w:t>Social and cultural barriers, including poverty and an indigenous background, are likewise related to performance, indicating that learners’ contexts shape their ability to succeed in AP. Culturally responsive, inclusive teaching and school support (alternative assessments, scholarships, mentoring) are needed to address these inequities. Access to updated learning materials is another crucial factor: limited or outdated resources restrict review, deeper exploration, and visualization of historical content, leading to weaker retention and shallow learning, so investment in textbooks, digital resources, and partnerships with cultural institutions becomes essential.</w:t>
      </w:r>
    </w:p>
    <w:p w14:paraId="7E69E3CD" w14:textId="23649C1D" w:rsidR="00EB43ED" w:rsidRDefault="002E65D8" w:rsidP="002E65D8">
      <w:pPr>
        <w:pStyle w:val="BodyText"/>
        <w:spacing w:before="114"/>
      </w:pPr>
      <w:r>
        <w:t>Finally, emotional states such as stress, anxiety, and low self‑confidence are significantly linked with outcomes, as learners dealing with family, peers, or academic issues struggle to focus and retain challenging content. Integrating socio‑emotional learning, building supportive classroom climates, and providing counseling and peer support can help learners build resilience and stay engaged in AP. Taken together, the findings emphasize that effective AP teaching must be holistic, addressing language, motivation, culture, materials, and emotions, supported by collaborative teacher learning and proactive school and policy support.</w:t>
      </w:r>
    </w:p>
    <w:p w14:paraId="47B6E3B6" w14:textId="77777777" w:rsidR="00632BA9" w:rsidRDefault="00632BA9" w:rsidP="00C226E4">
      <w:pPr>
        <w:pStyle w:val="BodyText"/>
        <w:spacing w:before="114"/>
      </w:pPr>
    </w:p>
    <w:p w14:paraId="2AA4AEA6" w14:textId="135F4CA6" w:rsidR="00417846" w:rsidRPr="00D17CFD" w:rsidRDefault="00F17E4F" w:rsidP="002E65D8">
      <w:pPr>
        <w:pStyle w:val="BodyText"/>
        <w:spacing w:before="114"/>
        <w:rPr>
          <w:b/>
          <w:color w:val="000000" w:themeColor="text1"/>
          <w:lang w:val="en-PH"/>
        </w:rPr>
      </w:pPr>
      <w:r w:rsidRPr="00D17CFD">
        <w:t xml:space="preserve">Table V. </w:t>
      </w:r>
      <w:r w:rsidR="002E65D8">
        <w:t>Test Statistics on the Difference of the Respondents’ Academic Performance in Araling Panlipunan when Grouped According to their Characteristics</w:t>
      </w:r>
    </w:p>
    <w:tbl>
      <w:tblPr>
        <w:tblW w:w="5000" w:type="pct"/>
        <w:tblLayout w:type="fixed"/>
        <w:tblLook w:val="04A0" w:firstRow="1" w:lastRow="0" w:firstColumn="1" w:lastColumn="0" w:noHBand="0" w:noVBand="1"/>
      </w:tblPr>
      <w:tblGrid>
        <w:gridCol w:w="4427"/>
        <w:gridCol w:w="2213"/>
        <w:gridCol w:w="1710"/>
        <w:gridCol w:w="2350"/>
      </w:tblGrid>
      <w:tr w:rsidR="002E65D8" w:rsidRPr="007D1BE3" w14:paraId="38B8D341" w14:textId="77777777" w:rsidTr="002E65D8">
        <w:trPr>
          <w:trHeight w:val="446"/>
        </w:trPr>
        <w:tc>
          <w:tcPr>
            <w:tcW w:w="2069" w:type="pct"/>
            <w:tcBorders>
              <w:top w:val="single" w:sz="4" w:space="0" w:color="auto"/>
              <w:left w:val="nil"/>
              <w:right w:val="nil"/>
            </w:tcBorders>
            <w:noWrap/>
            <w:vAlign w:val="center"/>
          </w:tcPr>
          <w:p w14:paraId="410481BE" w14:textId="77777777" w:rsidR="002E65D8" w:rsidRPr="007D1BE3" w:rsidRDefault="002E65D8" w:rsidP="002E65D8">
            <w:pPr>
              <w:jc w:val="center"/>
              <w:rPr>
                <w:b/>
                <w:bCs/>
              </w:rPr>
            </w:pPr>
            <w:r w:rsidRPr="007D1BE3">
              <w:rPr>
                <w:b/>
                <w:bCs/>
              </w:rPr>
              <w:t>Characteristics</w:t>
            </w:r>
          </w:p>
        </w:tc>
        <w:tc>
          <w:tcPr>
            <w:tcW w:w="2931" w:type="pct"/>
            <w:gridSpan w:val="3"/>
            <w:tcBorders>
              <w:top w:val="single" w:sz="4" w:space="0" w:color="auto"/>
              <w:left w:val="nil"/>
              <w:right w:val="nil"/>
            </w:tcBorders>
            <w:noWrap/>
            <w:vAlign w:val="center"/>
          </w:tcPr>
          <w:p w14:paraId="64F2266B" w14:textId="77777777" w:rsidR="002E65D8" w:rsidRPr="007D1BE3" w:rsidRDefault="002E65D8" w:rsidP="002E65D8">
            <w:pPr>
              <w:jc w:val="center"/>
              <w:rPr>
                <w:b/>
                <w:bCs/>
              </w:rPr>
            </w:pPr>
            <w:r w:rsidRPr="007D1BE3">
              <w:rPr>
                <w:b/>
                <w:bCs/>
              </w:rPr>
              <w:t xml:space="preserve">Academic </w:t>
            </w:r>
            <w:r>
              <w:rPr>
                <w:b/>
                <w:bCs/>
              </w:rPr>
              <w:t>Performance</w:t>
            </w:r>
          </w:p>
        </w:tc>
      </w:tr>
      <w:tr w:rsidR="002E65D8" w:rsidRPr="007D1BE3" w14:paraId="33F7B15E" w14:textId="77777777" w:rsidTr="002E65D8">
        <w:trPr>
          <w:trHeight w:val="421"/>
        </w:trPr>
        <w:tc>
          <w:tcPr>
            <w:tcW w:w="2069" w:type="pct"/>
            <w:tcBorders>
              <w:top w:val="single" w:sz="4" w:space="0" w:color="auto"/>
              <w:left w:val="nil"/>
              <w:right w:val="nil"/>
            </w:tcBorders>
            <w:noWrap/>
            <w:vAlign w:val="bottom"/>
          </w:tcPr>
          <w:p w14:paraId="258D2C2C" w14:textId="77777777" w:rsidR="002E65D8" w:rsidRPr="007D1BE3" w:rsidRDefault="002E65D8" w:rsidP="002E65D8">
            <w:pPr>
              <w:spacing w:line="360" w:lineRule="auto"/>
            </w:pPr>
          </w:p>
        </w:tc>
        <w:tc>
          <w:tcPr>
            <w:tcW w:w="1034" w:type="pct"/>
            <w:tcBorders>
              <w:top w:val="single" w:sz="4" w:space="0" w:color="auto"/>
              <w:left w:val="nil"/>
              <w:right w:val="nil"/>
            </w:tcBorders>
            <w:noWrap/>
            <w:vAlign w:val="center"/>
          </w:tcPr>
          <w:p w14:paraId="33E4595E" w14:textId="77777777" w:rsidR="002E65D8" w:rsidRPr="007D1BE3" w:rsidRDefault="002E65D8" w:rsidP="002E65D8">
            <w:pPr>
              <w:spacing w:line="360" w:lineRule="auto"/>
              <w:jc w:val="center"/>
              <w:rPr>
                <w:b/>
              </w:rPr>
            </w:pPr>
            <w:r w:rsidRPr="007D1BE3">
              <w:rPr>
                <w:b/>
                <w:i/>
                <w:iCs/>
              </w:rPr>
              <w:t>F-value</w:t>
            </w:r>
          </w:p>
        </w:tc>
        <w:tc>
          <w:tcPr>
            <w:tcW w:w="799" w:type="pct"/>
            <w:tcBorders>
              <w:top w:val="single" w:sz="4" w:space="0" w:color="auto"/>
              <w:left w:val="nil"/>
              <w:right w:val="nil"/>
            </w:tcBorders>
            <w:noWrap/>
            <w:vAlign w:val="center"/>
          </w:tcPr>
          <w:p w14:paraId="5A454CA1" w14:textId="77777777" w:rsidR="002E65D8" w:rsidRPr="007D1BE3" w:rsidRDefault="002E65D8" w:rsidP="002E65D8">
            <w:pPr>
              <w:spacing w:line="360" w:lineRule="auto"/>
              <w:jc w:val="center"/>
              <w:rPr>
                <w:b/>
              </w:rPr>
            </w:pPr>
            <w:r w:rsidRPr="007D1BE3">
              <w:rPr>
                <w:b/>
                <w:i/>
                <w:iCs/>
              </w:rPr>
              <w:t>p-value</w:t>
            </w:r>
          </w:p>
        </w:tc>
        <w:tc>
          <w:tcPr>
            <w:tcW w:w="1098" w:type="pct"/>
            <w:tcBorders>
              <w:top w:val="single" w:sz="4" w:space="0" w:color="auto"/>
              <w:left w:val="nil"/>
              <w:right w:val="nil"/>
            </w:tcBorders>
            <w:noWrap/>
            <w:vAlign w:val="center"/>
          </w:tcPr>
          <w:p w14:paraId="2F99A264" w14:textId="77777777" w:rsidR="002E65D8" w:rsidRPr="007D1BE3" w:rsidRDefault="002E65D8" w:rsidP="002E65D8">
            <w:pPr>
              <w:spacing w:line="360" w:lineRule="auto"/>
              <w:jc w:val="center"/>
              <w:rPr>
                <w:b/>
              </w:rPr>
            </w:pPr>
            <w:r w:rsidRPr="007D1BE3">
              <w:rPr>
                <w:b/>
                <w:i/>
                <w:iCs/>
              </w:rPr>
              <w:t>Interpretation</w:t>
            </w:r>
          </w:p>
        </w:tc>
      </w:tr>
      <w:tr w:rsidR="002E65D8" w:rsidRPr="007D1BE3" w14:paraId="0DA7CF52" w14:textId="77777777" w:rsidTr="002E65D8">
        <w:trPr>
          <w:trHeight w:val="300"/>
        </w:trPr>
        <w:tc>
          <w:tcPr>
            <w:tcW w:w="2069" w:type="pct"/>
            <w:tcBorders>
              <w:left w:val="nil"/>
              <w:right w:val="nil"/>
            </w:tcBorders>
            <w:noWrap/>
            <w:vAlign w:val="bottom"/>
          </w:tcPr>
          <w:p w14:paraId="405C3139" w14:textId="77777777" w:rsidR="002E65D8" w:rsidRPr="007D1BE3" w:rsidRDefault="002E65D8" w:rsidP="002E65D8">
            <w:pPr>
              <w:spacing w:line="360" w:lineRule="auto"/>
            </w:pPr>
            <w:r w:rsidRPr="007D1BE3">
              <w:t>Sex</w:t>
            </w:r>
          </w:p>
        </w:tc>
        <w:tc>
          <w:tcPr>
            <w:tcW w:w="1034" w:type="pct"/>
            <w:tcBorders>
              <w:left w:val="nil"/>
              <w:right w:val="nil"/>
            </w:tcBorders>
            <w:noWrap/>
            <w:vAlign w:val="bottom"/>
          </w:tcPr>
          <w:p w14:paraId="2BD93BE3" w14:textId="77777777" w:rsidR="002E65D8" w:rsidRPr="007D1BE3" w:rsidRDefault="002E65D8" w:rsidP="002E65D8">
            <w:pPr>
              <w:spacing w:line="360" w:lineRule="auto"/>
              <w:jc w:val="center"/>
            </w:pPr>
            <w:r w:rsidRPr="007D1BE3">
              <w:t>-35.529</w:t>
            </w:r>
          </w:p>
        </w:tc>
        <w:tc>
          <w:tcPr>
            <w:tcW w:w="799" w:type="pct"/>
            <w:tcBorders>
              <w:left w:val="nil"/>
              <w:right w:val="nil"/>
            </w:tcBorders>
            <w:noWrap/>
            <w:vAlign w:val="bottom"/>
          </w:tcPr>
          <w:p w14:paraId="47DB47AF" w14:textId="77777777" w:rsidR="002E65D8" w:rsidRPr="007D1BE3" w:rsidRDefault="002E65D8" w:rsidP="002E65D8">
            <w:pPr>
              <w:spacing w:line="360" w:lineRule="auto"/>
              <w:jc w:val="center"/>
            </w:pPr>
            <w:r w:rsidRPr="007D1BE3">
              <w:t>0.000</w:t>
            </w:r>
          </w:p>
        </w:tc>
        <w:tc>
          <w:tcPr>
            <w:tcW w:w="1098" w:type="pct"/>
            <w:tcBorders>
              <w:left w:val="nil"/>
              <w:right w:val="nil"/>
            </w:tcBorders>
            <w:noWrap/>
            <w:vAlign w:val="center"/>
          </w:tcPr>
          <w:p w14:paraId="4259E4B5" w14:textId="77777777" w:rsidR="002E65D8" w:rsidRPr="007D1BE3" w:rsidRDefault="002E65D8" w:rsidP="002E65D8">
            <w:pPr>
              <w:spacing w:line="360" w:lineRule="auto"/>
              <w:jc w:val="center"/>
            </w:pPr>
            <w:r w:rsidRPr="007D1BE3">
              <w:t>Significant</w:t>
            </w:r>
          </w:p>
        </w:tc>
      </w:tr>
      <w:tr w:rsidR="002E65D8" w:rsidRPr="007D1BE3" w14:paraId="1330ED93" w14:textId="77777777" w:rsidTr="002E65D8">
        <w:trPr>
          <w:trHeight w:val="300"/>
        </w:trPr>
        <w:tc>
          <w:tcPr>
            <w:tcW w:w="2069" w:type="pct"/>
            <w:tcBorders>
              <w:left w:val="nil"/>
              <w:bottom w:val="nil"/>
              <w:right w:val="nil"/>
            </w:tcBorders>
            <w:noWrap/>
            <w:vAlign w:val="bottom"/>
          </w:tcPr>
          <w:p w14:paraId="79C92EEA" w14:textId="77777777" w:rsidR="002E65D8" w:rsidRPr="007D1BE3" w:rsidRDefault="002E65D8" w:rsidP="002E65D8">
            <w:pPr>
              <w:spacing w:line="360" w:lineRule="auto"/>
            </w:pPr>
            <w:r w:rsidRPr="007D1BE3">
              <w:t>Home-to-School distance</w:t>
            </w:r>
          </w:p>
        </w:tc>
        <w:tc>
          <w:tcPr>
            <w:tcW w:w="1034" w:type="pct"/>
            <w:tcBorders>
              <w:left w:val="nil"/>
              <w:bottom w:val="nil"/>
              <w:right w:val="nil"/>
            </w:tcBorders>
            <w:noWrap/>
            <w:vAlign w:val="bottom"/>
          </w:tcPr>
          <w:p w14:paraId="3619B4B4" w14:textId="77777777" w:rsidR="002E65D8" w:rsidRPr="007D1BE3" w:rsidRDefault="002E65D8" w:rsidP="002E65D8">
            <w:pPr>
              <w:spacing w:line="360" w:lineRule="auto"/>
              <w:jc w:val="center"/>
            </w:pPr>
            <w:r w:rsidRPr="007D1BE3">
              <w:t>2.223</w:t>
            </w:r>
          </w:p>
        </w:tc>
        <w:tc>
          <w:tcPr>
            <w:tcW w:w="799" w:type="pct"/>
            <w:tcBorders>
              <w:left w:val="nil"/>
              <w:bottom w:val="nil"/>
              <w:right w:val="nil"/>
            </w:tcBorders>
            <w:noWrap/>
            <w:vAlign w:val="bottom"/>
          </w:tcPr>
          <w:p w14:paraId="1336343C" w14:textId="77777777" w:rsidR="002E65D8" w:rsidRPr="007D1BE3" w:rsidRDefault="002E65D8" w:rsidP="002E65D8">
            <w:pPr>
              <w:spacing w:line="360" w:lineRule="auto"/>
              <w:jc w:val="center"/>
            </w:pPr>
            <w:r w:rsidRPr="007D1BE3">
              <w:t>0.085</w:t>
            </w:r>
          </w:p>
        </w:tc>
        <w:tc>
          <w:tcPr>
            <w:tcW w:w="1098" w:type="pct"/>
            <w:tcBorders>
              <w:left w:val="nil"/>
              <w:bottom w:val="nil"/>
              <w:right w:val="nil"/>
            </w:tcBorders>
            <w:noWrap/>
            <w:vAlign w:val="center"/>
          </w:tcPr>
          <w:p w14:paraId="217EA948" w14:textId="77777777" w:rsidR="002E65D8" w:rsidRPr="007D1BE3" w:rsidRDefault="002E65D8" w:rsidP="002E65D8">
            <w:pPr>
              <w:spacing w:line="360" w:lineRule="auto"/>
            </w:pPr>
            <w:r w:rsidRPr="007D1BE3">
              <w:t xml:space="preserve">   Not Significant</w:t>
            </w:r>
          </w:p>
        </w:tc>
      </w:tr>
      <w:tr w:rsidR="002E65D8" w:rsidRPr="007D1BE3" w14:paraId="7E7AE551" w14:textId="77777777" w:rsidTr="002E65D8">
        <w:trPr>
          <w:trHeight w:val="300"/>
        </w:trPr>
        <w:tc>
          <w:tcPr>
            <w:tcW w:w="2069" w:type="pct"/>
            <w:tcBorders>
              <w:top w:val="nil"/>
              <w:left w:val="nil"/>
              <w:bottom w:val="nil"/>
              <w:right w:val="nil"/>
            </w:tcBorders>
            <w:noWrap/>
            <w:vAlign w:val="bottom"/>
          </w:tcPr>
          <w:p w14:paraId="5716DFA4" w14:textId="77777777" w:rsidR="002E65D8" w:rsidRPr="007D1BE3" w:rsidRDefault="002E65D8" w:rsidP="002E65D8">
            <w:pPr>
              <w:spacing w:line="360" w:lineRule="auto"/>
            </w:pPr>
            <w:r w:rsidRPr="007D1BE3">
              <w:t>Daily Allowance (peso)</w:t>
            </w:r>
          </w:p>
        </w:tc>
        <w:tc>
          <w:tcPr>
            <w:tcW w:w="1034" w:type="pct"/>
            <w:tcBorders>
              <w:top w:val="nil"/>
              <w:left w:val="nil"/>
              <w:bottom w:val="nil"/>
              <w:right w:val="nil"/>
            </w:tcBorders>
            <w:noWrap/>
            <w:vAlign w:val="bottom"/>
          </w:tcPr>
          <w:p w14:paraId="238E7C1C" w14:textId="77777777" w:rsidR="002E65D8" w:rsidRPr="007D1BE3" w:rsidRDefault="002E65D8" w:rsidP="002E65D8">
            <w:pPr>
              <w:spacing w:line="360" w:lineRule="auto"/>
              <w:jc w:val="center"/>
            </w:pPr>
            <w:r w:rsidRPr="007D1BE3">
              <w:t>0.445</w:t>
            </w:r>
          </w:p>
        </w:tc>
        <w:tc>
          <w:tcPr>
            <w:tcW w:w="799" w:type="pct"/>
            <w:tcBorders>
              <w:top w:val="nil"/>
              <w:left w:val="nil"/>
              <w:bottom w:val="nil"/>
              <w:right w:val="nil"/>
            </w:tcBorders>
            <w:noWrap/>
            <w:vAlign w:val="bottom"/>
          </w:tcPr>
          <w:p w14:paraId="2C3BF65F" w14:textId="77777777" w:rsidR="002E65D8" w:rsidRPr="007D1BE3" w:rsidRDefault="002E65D8" w:rsidP="002E65D8">
            <w:pPr>
              <w:spacing w:line="360" w:lineRule="auto"/>
              <w:jc w:val="center"/>
            </w:pPr>
            <w:r w:rsidRPr="007D1BE3">
              <w:t>0.721</w:t>
            </w:r>
          </w:p>
        </w:tc>
        <w:tc>
          <w:tcPr>
            <w:tcW w:w="1098" w:type="pct"/>
            <w:tcBorders>
              <w:top w:val="nil"/>
              <w:left w:val="nil"/>
              <w:bottom w:val="nil"/>
              <w:right w:val="nil"/>
            </w:tcBorders>
            <w:noWrap/>
            <w:vAlign w:val="center"/>
          </w:tcPr>
          <w:p w14:paraId="136756D5" w14:textId="77777777" w:rsidR="002E65D8" w:rsidRPr="007D1BE3" w:rsidRDefault="002E65D8" w:rsidP="002E65D8">
            <w:pPr>
              <w:spacing w:line="360" w:lineRule="auto"/>
            </w:pPr>
            <w:r w:rsidRPr="007D1BE3">
              <w:t xml:space="preserve">   Not Significant</w:t>
            </w:r>
          </w:p>
        </w:tc>
      </w:tr>
      <w:tr w:rsidR="002E65D8" w:rsidRPr="007D1BE3" w14:paraId="5F951861" w14:textId="77777777" w:rsidTr="002E65D8">
        <w:trPr>
          <w:trHeight w:val="300"/>
        </w:trPr>
        <w:tc>
          <w:tcPr>
            <w:tcW w:w="2069" w:type="pct"/>
            <w:tcBorders>
              <w:top w:val="nil"/>
              <w:left w:val="nil"/>
              <w:bottom w:val="nil"/>
              <w:right w:val="nil"/>
            </w:tcBorders>
            <w:noWrap/>
            <w:vAlign w:val="bottom"/>
          </w:tcPr>
          <w:p w14:paraId="4BBC609E" w14:textId="77777777" w:rsidR="002E65D8" w:rsidRPr="007D1BE3" w:rsidRDefault="002E65D8" w:rsidP="002E65D8">
            <w:pPr>
              <w:spacing w:line="360" w:lineRule="auto"/>
            </w:pPr>
            <w:r w:rsidRPr="007D1BE3">
              <w:t>Father's Educational Attainment</w:t>
            </w:r>
          </w:p>
        </w:tc>
        <w:tc>
          <w:tcPr>
            <w:tcW w:w="1034" w:type="pct"/>
            <w:tcBorders>
              <w:top w:val="nil"/>
              <w:left w:val="nil"/>
              <w:bottom w:val="nil"/>
              <w:right w:val="nil"/>
            </w:tcBorders>
            <w:noWrap/>
            <w:vAlign w:val="bottom"/>
          </w:tcPr>
          <w:p w14:paraId="14D3618C" w14:textId="77777777" w:rsidR="002E65D8" w:rsidRPr="007D1BE3" w:rsidRDefault="002E65D8" w:rsidP="002E65D8">
            <w:pPr>
              <w:spacing w:line="360" w:lineRule="auto"/>
              <w:jc w:val="center"/>
            </w:pPr>
            <w:r w:rsidRPr="007D1BE3">
              <w:t>0.216</w:t>
            </w:r>
          </w:p>
        </w:tc>
        <w:tc>
          <w:tcPr>
            <w:tcW w:w="799" w:type="pct"/>
            <w:tcBorders>
              <w:top w:val="nil"/>
              <w:left w:val="nil"/>
              <w:bottom w:val="nil"/>
              <w:right w:val="nil"/>
            </w:tcBorders>
            <w:noWrap/>
            <w:vAlign w:val="bottom"/>
          </w:tcPr>
          <w:p w14:paraId="0C51EAAA" w14:textId="77777777" w:rsidR="002E65D8" w:rsidRPr="007D1BE3" w:rsidRDefault="002E65D8" w:rsidP="002E65D8">
            <w:pPr>
              <w:spacing w:line="360" w:lineRule="auto"/>
              <w:jc w:val="center"/>
            </w:pPr>
            <w:r w:rsidRPr="007D1BE3">
              <w:t>0.885</w:t>
            </w:r>
          </w:p>
        </w:tc>
        <w:tc>
          <w:tcPr>
            <w:tcW w:w="1098" w:type="pct"/>
            <w:tcBorders>
              <w:top w:val="nil"/>
              <w:left w:val="nil"/>
              <w:bottom w:val="nil"/>
              <w:right w:val="nil"/>
            </w:tcBorders>
            <w:noWrap/>
            <w:vAlign w:val="center"/>
          </w:tcPr>
          <w:p w14:paraId="3DA43514" w14:textId="77777777" w:rsidR="002E65D8" w:rsidRPr="007D1BE3" w:rsidRDefault="002E65D8" w:rsidP="002E65D8">
            <w:pPr>
              <w:spacing w:line="360" w:lineRule="auto"/>
            </w:pPr>
            <w:r w:rsidRPr="007D1BE3">
              <w:t xml:space="preserve">   Not Significant</w:t>
            </w:r>
          </w:p>
        </w:tc>
      </w:tr>
      <w:tr w:rsidR="002E65D8" w:rsidRPr="007D1BE3" w14:paraId="4E47C4EF" w14:textId="77777777" w:rsidTr="002E65D8">
        <w:trPr>
          <w:trHeight w:val="300"/>
        </w:trPr>
        <w:tc>
          <w:tcPr>
            <w:tcW w:w="2069" w:type="pct"/>
            <w:tcBorders>
              <w:top w:val="nil"/>
              <w:left w:val="nil"/>
              <w:bottom w:val="single" w:sz="4" w:space="0" w:color="auto"/>
              <w:right w:val="nil"/>
            </w:tcBorders>
            <w:noWrap/>
            <w:vAlign w:val="bottom"/>
          </w:tcPr>
          <w:p w14:paraId="75D53274" w14:textId="77777777" w:rsidR="002E65D8" w:rsidRPr="007D1BE3" w:rsidRDefault="002E65D8" w:rsidP="002E65D8">
            <w:pPr>
              <w:spacing w:line="360" w:lineRule="auto"/>
            </w:pPr>
            <w:r w:rsidRPr="007D1BE3">
              <w:t>Mother's Educational Attainment</w:t>
            </w:r>
          </w:p>
        </w:tc>
        <w:tc>
          <w:tcPr>
            <w:tcW w:w="1034" w:type="pct"/>
            <w:tcBorders>
              <w:top w:val="nil"/>
              <w:left w:val="nil"/>
              <w:bottom w:val="single" w:sz="4" w:space="0" w:color="auto"/>
              <w:right w:val="nil"/>
            </w:tcBorders>
            <w:noWrap/>
            <w:vAlign w:val="bottom"/>
          </w:tcPr>
          <w:p w14:paraId="0EFD7797" w14:textId="77777777" w:rsidR="002E65D8" w:rsidRPr="007D1BE3" w:rsidRDefault="002E65D8" w:rsidP="002E65D8">
            <w:pPr>
              <w:spacing w:line="360" w:lineRule="auto"/>
              <w:jc w:val="center"/>
            </w:pPr>
            <w:r w:rsidRPr="007D1BE3">
              <w:t>0.747</w:t>
            </w:r>
          </w:p>
        </w:tc>
        <w:tc>
          <w:tcPr>
            <w:tcW w:w="799" w:type="pct"/>
            <w:tcBorders>
              <w:top w:val="nil"/>
              <w:left w:val="nil"/>
              <w:bottom w:val="single" w:sz="4" w:space="0" w:color="auto"/>
              <w:right w:val="nil"/>
            </w:tcBorders>
            <w:noWrap/>
            <w:vAlign w:val="bottom"/>
          </w:tcPr>
          <w:p w14:paraId="2CE1A19D" w14:textId="77777777" w:rsidR="002E65D8" w:rsidRPr="007D1BE3" w:rsidRDefault="002E65D8" w:rsidP="002E65D8">
            <w:pPr>
              <w:spacing w:line="360" w:lineRule="auto"/>
              <w:jc w:val="center"/>
            </w:pPr>
            <w:r w:rsidRPr="007D1BE3">
              <w:t>0.525</w:t>
            </w:r>
          </w:p>
        </w:tc>
        <w:tc>
          <w:tcPr>
            <w:tcW w:w="1098" w:type="pct"/>
            <w:tcBorders>
              <w:top w:val="nil"/>
              <w:left w:val="nil"/>
              <w:bottom w:val="single" w:sz="4" w:space="0" w:color="auto"/>
              <w:right w:val="nil"/>
            </w:tcBorders>
            <w:noWrap/>
            <w:vAlign w:val="center"/>
          </w:tcPr>
          <w:p w14:paraId="6701E1FE" w14:textId="77777777" w:rsidR="002E65D8" w:rsidRPr="007D1BE3" w:rsidRDefault="002E65D8" w:rsidP="002E65D8">
            <w:pPr>
              <w:spacing w:line="360" w:lineRule="auto"/>
            </w:pPr>
            <w:r w:rsidRPr="007D1BE3">
              <w:t xml:space="preserve">   Not Significant     </w:t>
            </w:r>
          </w:p>
        </w:tc>
      </w:tr>
      <w:tr w:rsidR="002E65D8" w:rsidRPr="007D1BE3" w14:paraId="761CFB9D" w14:textId="77777777" w:rsidTr="002E65D8">
        <w:trPr>
          <w:trHeight w:val="300"/>
        </w:trPr>
        <w:tc>
          <w:tcPr>
            <w:tcW w:w="2069" w:type="pct"/>
            <w:tcBorders>
              <w:top w:val="single" w:sz="4" w:space="0" w:color="auto"/>
              <w:bottom w:val="single" w:sz="4" w:space="0" w:color="auto"/>
              <w:right w:val="nil"/>
            </w:tcBorders>
            <w:noWrap/>
            <w:vAlign w:val="bottom"/>
          </w:tcPr>
          <w:p w14:paraId="325AE1BD" w14:textId="77777777" w:rsidR="002E65D8" w:rsidRPr="007D1BE3" w:rsidRDefault="002E65D8" w:rsidP="002E65D8">
            <w:pPr>
              <w:spacing w:line="360" w:lineRule="auto"/>
            </w:pPr>
            <w:r w:rsidRPr="007D1BE3">
              <w:lastRenderedPageBreak/>
              <w:t xml:space="preserve">  Overall</w:t>
            </w:r>
          </w:p>
        </w:tc>
        <w:tc>
          <w:tcPr>
            <w:tcW w:w="1034" w:type="pct"/>
            <w:tcBorders>
              <w:top w:val="single" w:sz="4" w:space="0" w:color="auto"/>
              <w:left w:val="nil"/>
              <w:bottom w:val="single" w:sz="4" w:space="0" w:color="auto"/>
              <w:right w:val="nil"/>
            </w:tcBorders>
            <w:noWrap/>
            <w:vAlign w:val="bottom"/>
          </w:tcPr>
          <w:p w14:paraId="6392CC20" w14:textId="77777777" w:rsidR="002E65D8" w:rsidRPr="007D1BE3" w:rsidRDefault="002E65D8" w:rsidP="002E65D8">
            <w:pPr>
              <w:spacing w:line="360" w:lineRule="auto"/>
              <w:jc w:val="center"/>
            </w:pPr>
            <w:r w:rsidRPr="007D1BE3">
              <w:t>-6.380</w:t>
            </w:r>
          </w:p>
        </w:tc>
        <w:tc>
          <w:tcPr>
            <w:tcW w:w="799" w:type="pct"/>
            <w:tcBorders>
              <w:top w:val="single" w:sz="4" w:space="0" w:color="auto"/>
              <w:left w:val="nil"/>
              <w:bottom w:val="single" w:sz="4" w:space="0" w:color="auto"/>
              <w:right w:val="nil"/>
            </w:tcBorders>
            <w:noWrap/>
            <w:vAlign w:val="bottom"/>
          </w:tcPr>
          <w:p w14:paraId="11ADD7DF" w14:textId="77777777" w:rsidR="002E65D8" w:rsidRPr="007D1BE3" w:rsidRDefault="002E65D8" w:rsidP="002E65D8">
            <w:pPr>
              <w:spacing w:line="360" w:lineRule="auto"/>
              <w:jc w:val="center"/>
            </w:pPr>
            <w:r w:rsidRPr="007D1BE3">
              <w:t>0.443</w:t>
            </w:r>
          </w:p>
        </w:tc>
        <w:tc>
          <w:tcPr>
            <w:tcW w:w="1098" w:type="pct"/>
            <w:tcBorders>
              <w:top w:val="single" w:sz="4" w:space="0" w:color="auto"/>
              <w:left w:val="nil"/>
              <w:bottom w:val="single" w:sz="4" w:space="0" w:color="auto"/>
            </w:tcBorders>
            <w:noWrap/>
            <w:vAlign w:val="center"/>
          </w:tcPr>
          <w:p w14:paraId="553F3D3C" w14:textId="77777777" w:rsidR="002E65D8" w:rsidRPr="007D1BE3" w:rsidRDefault="002E65D8" w:rsidP="002E65D8">
            <w:pPr>
              <w:spacing w:line="360" w:lineRule="auto"/>
            </w:pPr>
            <w:r w:rsidRPr="007D1BE3">
              <w:t xml:space="preserve">   Not Significant</w:t>
            </w:r>
          </w:p>
        </w:tc>
      </w:tr>
    </w:tbl>
    <w:p w14:paraId="50EDA78D" w14:textId="77777777" w:rsidR="002E65D8" w:rsidRPr="007D1BE3" w:rsidRDefault="002E65D8" w:rsidP="002E65D8">
      <w:pPr>
        <w:jc w:val="both"/>
        <w:rPr>
          <w:i/>
          <w:iCs/>
          <w:sz w:val="16"/>
          <w:szCs w:val="16"/>
        </w:rPr>
      </w:pPr>
      <w:r w:rsidRPr="007D1BE3">
        <w:rPr>
          <w:i/>
          <w:iCs/>
          <w:sz w:val="16"/>
          <w:szCs w:val="16"/>
        </w:rPr>
        <w:t>Legend: Ho is rejected if Significant (S)</w:t>
      </w:r>
    </w:p>
    <w:p w14:paraId="4841AD41" w14:textId="77777777" w:rsidR="002E65D8" w:rsidRPr="007D1BE3" w:rsidRDefault="002E65D8" w:rsidP="002E65D8">
      <w:pPr>
        <w:jc w:val="both"/>
        <w:rPr>
          <w:i/>
          <w:iCs/>
          <w:sz w:val="16"/>
          <w:szCs w:val="16"/>
        </w:rPr>
      </w:pPr>
      <w:r w:rsidRPr="007D1BE3">
        <w:rPr>
          <w:i/>
          <w:iCs/>
          <w:sz w:val="16"/>
          <w:szCs w:val="16"/>
        </w:rPr>
        <w:t>Ho is accepted if Not Significant (NS)</w:t>
      </w:r>
    </w:p>
    <w:p w14:paraId="406721E9" w14:textId="01E22069" w:rsidR="00F015D5" w:rsidRPr="00F015D5" w:rsidRDefault="00EB43ED" w:rsidP="00F015D5">
      <w:pPr>
        <w:pStyle w:val="Heading1"/>
        <w:jc w:val="both"/>
        <w:rPr>
          <w:b w:val="0"/>
          <w:bCs w:val="0"/>
          <w:sz w:val="24"/>
          <w:szCs w:val="24"/>
        </w:rPr>
      </w:pPr>
      <w:r w:rsidRPr="00EB43ED">
        <w:rPr>
          <w:b w:val="0"/>
          <w:bCs w:val="0"/>
          <w:sz w:val="24"/>
          <w:szCs w:val="24"/>
        </w:rPr>
        <w:t xml:space="preserve">Table V </w:t>
      </w:r>
      <w:r w:rsidR="00F015D5" w:rsidRPr="00F015D5">
        <w:rPr>
          <w:b w:val="0"/>
          <w:bCs w:val="0"/>
          <w:sz w:val="24"/>
          <w:szCs w:val="24"/>
        </w:rPr>
        <w:t>analyzes how learner characteristics</w:t>
      </w:r>
      <w:r w:rsidR="00F015D5">
        <w:rPr>
          <w:b w:val="0"/>
          <w:bCs w:val="0"/>
          <w:sz w:val="24"/>
          <w:szCs w:val="24"/>
        </w:rPr>
        <w:t xml:space="preserve"> </w:t>
      </w:r>
      <w:r w:rsidR="00F015D5" w:rsidRPr="00F015D5">
        <w:rPr>
          <w:b w:val="0"/>
          <w:bCs w:val="0"/>
          <w:sz w:val="24"/>
          <w:szCs w:val="24"/>
        </w:rPr>
        <w:t>sex, home‑to‑school distance, daily allowance, and parental education</w:t>
      </w:r>
      <w:r w:rsidR="00F015D5">
        <w:rPr>
          <w:b w:val="0"/>
          <w:bCs w:val="0"/>
          <w:sz w:val="24"/>
          <w:szCs w:val="24"/>
        </w:rPr>
        <w:t xml:space="preserve"> </w:t>
      </w:r>
      <w:r w:rsidR="00F015D5" w:rsidRPr="00F015D5">
        <w:rPr>
          <w:b w:val="0"/>
          <w:bCs w:val="0"/>
          <w:sz w:val="24"/>
          <w:szCs w:val="24"/>
        </w:rPr>
        <w:t>relate to academic performance in Araling Panlipunan. The test results show that only sex has a statistically significant effect on AP achievement (p = 0.000), while distance, allowance, and parental education do not show significant relationships with performance. This means that, in this sample, girls and boys differ meaningfully in their AP outcomes, but the other background variables examined do not strongly predict grades.</w:t>
      </w:r>
    </w:p>
    <w:p w14:paraId="62D3E727" w14:textId="02A4C20B" w:rsidR="00F015D5" w:rsidRPr="00F015D5" w:rsidRDefault="00F015D5" w:rsidP="00F015D5">
      <w:pPr>
        <w:pStyle w:val="Heading1"/>
        <w:jc w:val="both"/>
        <w:rPr>
          <w:b w:val="0"/>
          <w:bCs w:val="0"/>
          <w:sz w:val="24"/>
          <w:szCs w:val="24"/>
        </w:rPr>
      </w:pPr>
      <w:r w:rsidRPr="00F015D5">
        <w:rPr>
          <w:b w:val="0"/>
          <w:bCs w:val="0"/>
          <w:sz w:val="24"/>
          <w:szCs w:val="24"/>
        </w:rPr>
        <w:t>The significant effect of sex suggests that female learners tend to perform better in Araling Panlipunan, likely reflecting higher engagement, more consistent study habits, and greater seriousness toward schoolwork compared to many male learners. In contrast, the absence of significant relationships for home‑to‑school distance and daily allowance implies that, although long travel and limited finances are real challenges, learners in these schools are often able to adapt</w:t>
      </w:r>
      <w:r>
        <w:rPr>
          <w:b w:val="0"/>
          <w:bCs w:val="0"/>
          <w:sz w:val="24"/>
          <w:szCs w:val="24"/>
        </w:rPr>
        <w:t xml:space="preserve"> </w:t>
      </w:r>
      <w:r w:rsidRPr="00F015D5">
        <w:rPr>
          <w:b w:val="0"/>
          <w:bCs w:val="0"/>
          <w:sz w:val="24"/>
          <w:szCs w:val="24"/>
        </w:rPr>
        <w:t>through peer support, community help, or school‑based resources</w:t>
      </w:r>
      <w:r>
        <w:rPr>
          <w:b w:val="0"/>
          <w:bCs w:val="0"/>
          <w:sz w:val="24"/>
          <w:szCs w:val="24"/>
        </w:rPr>
        <w:t xml:space="preserve"> </w:t>
      </w:r>
      <w:r w:rsidRPr="00F015D5">
        <w:rPr>
          <w:b w:val="0"/>
          <w:bCs w:val="0"/>
          <w:sz w:val="24"/>
          <w:szCs w:val="24"/>
        </w:rPr>
        <w:t>so these factors do not necessarily translate into lower AP performance. Similarly, parental education levels do not significantly influence achievement, indicating that other forces (such as teacher quality, peer networks, and school programs) may compensate for lower parental schooling and provide sufficient academic support.</w:t>
      </w:r>
    </w:p>
    <w:p w14:paraId="05133B48" w14:textId="206A49B4" w:rsidR="00F015D5" w:rsidRDefault="00F015D5" w:rsidP="00F015D5">
      <w:pPr>
        <w:pStyle w:val="Heading1"/>
        <w:jc w:val="both"/>
        <w:rPr>
          <w:b w:val="0"/>
          <w:bCs w:val="0"/>
          <w:sz w:val="24"/>
          <w:szCs w:val="24"/>
        </w:rPr>
      </w:pPr>
      <w:r w:rsidRPr="00F015D5">
        <w:rPr>
          <w:b w:val="0"/>
          <w:bCs w:val="0"/>
          <w:sz w:val="24"/>
          <w:szCs w:val="24"/>
        </w:rPr>
        <w:t>Taken together, the results highlight the resilience and resourcefulness of Filipino learners, who can succeed in AP despite structural challenges related to distance, money, and home educational background. They also emphasize the importance of focusing on motivational, instructional, and socio‑emotional supports in school</w:t>
      </w:r>
      <w:r>
        <w:rPr>
          <w:b w:val="0"/>
          <w:bCs w:val="0"/>
          <w:sz w:val="24"/>
          <w:szCs w:val="24"/>
        </w:rPr>
        <w:t xml:space="preserve"> </w:t>
      </w:r>
      <w:r w:rsidRPr="00F015D5">
        <w:rPr>
          <w:b w:val="0"/>
          <w:bCs w:val="0"/>
          <w:sz w:val="24"/>
          <w:szCs w:val="24"/>
        </w:rPr>
        <w:t>rather than assuming that background characteristics alone determine performance</w:t>
      </w:r>
      <w:r>
        <w:rPr>
          <w:b w:val="0"/>
          <w:bCs w:val="0"/>
          <w:sz w:val="24"/>
          <w:szCs w:val="24"/>
        </w:rPr>
        <w:t xml:space="preserve"> </w:t>
      </w:r>
      <w:r w:rsidRPr="00F015D5">
        <w:rPr>
          <w:b w:val="0"/>
          <w:bCs w:val="0"/>
          <w:sz w:val="24"/>
          <w:szCs w:val="24"/>
        </w:rPr>
        <w:t>and of paying closer attention to gender‑related patterns in engagement and achievement</w:t>
      </w:r>
    </w:p>
    <w:p w14:paraId="528C53A5" w14:textId="05B4D31A" w:rsidR="00BC7257" w:rsidRPr="00D17CFD" w:rsidRDefault="00F015D5" w:rsidP="00F015D5">
      <w:pPr>
        <w:pStyle w:val="Heading1"/>
        <w:jc w:val="both"/>
        <w:rPr>
          <w:sz w:val="24"/>
          <w:szCs w:val="24"/>
        </w:rPr>
      </w:pPr>
      <w:r w:rsidRPr="00F015D5">
        <w:rPr>
          <w:b w:val="0"/>
          <w:bCs w:val="0"/>
          <w:sz w:val="24"/>
          <w:szCs w:val="24"/>
        </w:rPr>
        <w:t>.</w:t>
      </w:r>
      <w:r w:rsidR="00F17E4F" w:rsidRPr="00E86ECB">
        <w:rPr>
          <w:spacing w:val="-2"/>
        </w:rPr>
        <w:t>SUMMARY</w:t>
      </w:r>
    </w:p>
    <w:p w14:paraId="25264B3F" w14:textId="3A094415" w:rsidR="00F015D5" w:rsidRPr="00F015D5" w:rsidRDefault="00F015D5" w:rsidP="00F015D5">
      <w:pPr>
        <w:pStyle w:val="Heading1"/>
        <w:spacing w:before="248"/>
        <w:jc w:val="both"/>
        <w:rPr>
          <w:b w:val="0"/>
          <w:bCs w:val="0"/>
          <w:sz w:val="24"/>
          <w:szCs w:val="24"/>
        </w:rPr>
      </w:pPr>
      <w:r w:rsidRPr="00F015D5">
        <w:rPr>
          <w:b w:val="0"/>
          <w:bCs w:val="0"/>
          <w:sz w:val="24"/>
          <w:szCs w:val="24"/>
        </w:rPr>
        <w:t>This study examined the barriers affecting Junior High School learners’ academic performance in Araling Panlipunan in ten large public schools in the Division of Bukidnon. It focused on key barriers</w:t>
      </w:r>
      <w:r>
        <w:rPr>
          <w:b w:val="0"/>
          <w:bCs w:val="0"/>
          <w:sz w:val="24"/>
          <w:szCs w:val="24"/>
        </w:rPr>
        <w:t xml:space="preserve"> </w:t>
      </w:r>
      <w:r w:rsidRPr="00F015D5">
        <w:rPr>
          <w:b w:val="0"/>
          <w:bCs w:val="0"/>
          <w:sz w:val="24"/>
          <w:szCs w:val="24"/>
        </w:rPr>
        <w:t>language, motivational, socio‑cultural, lack of learning materials, and emotional</w:t>
      </w:r>
      <w:r>
        <w:rPr>
          <w:b w:val="0"/>
          <w:bCs w:val="0"/>
          <w:sz w:val="24"/>
          <w:szCs w:val="24"/>
        </w:rPr>
        <w:t xml:space="preserve"> </w:t>
      </w:r>
      <w:r w:rsidRPr="00F015D5">
        <w:rPr>
          <w:b w:val="0"/>
          <w:bCs w:val="0"/>
          <w:sz w:val="24"/>
          <w:szCs w:val="24"/>
        </w:rPr>
        <w:t xml:space="preserve">that may hinder learners’ engagement and achievement, </w:t>
      </w:r>
      <w:r>
        <w:rPr>
          <w:b w:val="0"/>
          <w:bCs w:val="0"/>
          <w:sz w:val="24"/>
          <w:szCs w:val="24"/>
        </w:rPr>
        <w:t>to provide</w:t>
      </w:r>
      <w:r w:rsidRPr="00F015D5">
        <w:rPr>
          <w:b w:val="0"/>
          <w:bCs w:val="0"/>
          <w:sz w:val="24"/>
          <w:szCs w:val="24"/>
        </w:rPr>
        <w:t xml:space="preserve"> evidence‑based insights for educators and policymakers to improve outcomes in this critical subject.</w:t>
      </w:r>
      <w:r>
        <w:rPr>
          <w:b w:val="0"/>
          <w:bCs w:val="0"/>
          <w:sz w:val="24"/>
          <w:szCs w:val="24"/>
        </w:rPr>
        <w:t xml:space="preserve"> </w:t>
      </w:r>
      <w:r w:rsidRPr="00F015D5">
        <w:rPr>
          <w:b w:val="0"/>
          <w:bCs w:val="0"/>
          <w:sz w:val="24"/>
          <w:szCs w:val="24"/>
        </w:rPr>
        <w:t>Using a descriptive correlational design, the research involved Grade 10 learners from several municipalities (Dangcagan, Don Carlos, Pangantucan, Kalilangan, Quezon, and Maramag), representing diverse ethnic, cultural, and socioeconomic backgrounds. This heterogeneous sample offers a realistic picture of the conditions and learning experiences of students across the province.</w:t>
      </w:r>
    </w:p>
    <w:p w14:paraId="3900484B" w14:textId="77777777" w:rsidR="00F015D5" w:rsidRDefault="00F015D5" w:rsidP="00F015D5">
      <w:pPr>
        <w:pStyle w:val="Heading1"/>
        <w:spacing w:before="248"/>
        <w:jc w:val="both"/>
        <w:rPr>
          <w:b w:val="0"/>
          <w:bCs w:val="0"/>
          <w:sz w:val="24"/>
          <w:szCs w:val="24"/>
        </w:rPr>
      </w:pPr>
      <w:r w:rsidRPr="00F015D5">
        <w:rPr>
          <w:b w:val="0"/>
          <w:bCs w:val="0"/>
          <w:sz w:val="24"/>
          <w:szCs w:val="24"/>
        </w:rPr>
        <w:t>Findings show that learners perceive barriers in Araling Panlipunan, particularly language and emotional factors, only to a minimal extent. Emotional barriers display a weak negative correlation with academic performance, indicating a slight but meaningful influence. Despite these challenges, most learners attained high levels of achievement, with many earning Very Satisfactory or Outstanding grades, underscoring their resilience and the relative effectiveness of current teaching practices in supporting success.</w:t>
      </w:r>
      <w:r>
        <w:rPr>
          <w:b w:val="0"/>
          <w:bCs w:val="0"/>
          <w:sz w:val="24"/>
          <w:szCs w:val="24"/>
        </w:rPr>
        <w:t xml:space="preserve"> </w:t>
      </w:r>
      <w:r w:rsidRPr="00F015D5">
        <w:rPr>
          <w:b w:val="0"/>
          <w:bCs w:val="0"/>
          <w:sz w:val="24"/>
          <w:szCs w:val="24"/>
        </w:rPr>
        <w:t>Overall, the study highlights which barriers are most closely linked to performance and stresses that addressing emotional and related challenges can further enhance learning experiences and outcomes. It underscores the need to refine teaching strategies and implement targeted interventions to ensure more equitable, high‑quality Araling Panlipunan education for all learners in Bukidnon.</w:t>
      </w:r>
    </w:p>
    <w:p w14:paraId="71B046F7" w14:textId="71FE0485" w:rsidR="00BC7257" w:rsidRPr="00D17CFD" w:rsidRDefault="00F17E4F" w:rsidP="00F015D5">
      <w:pPr>
        <w:pStyle w:val="Heading1"/>
        <w:spacing w:before="248"/>
        <w:jc w:val="both"/>
        <w:rPr>
          <w:sz w:val="24"/>
          <w:szCs w:val="24"/>
        </w:rPr>
      </w:pPr>
      <w:r w:rsidRPr="005A59CD">
        <w:rPr>
          <w:spacing w:val="-2"/>
        </w:rPr>
        <w:t>CONCLUSIONS</w:t>
      </w:r>
    </w:p>
    <w:p w14:paraId="64CB8B4F" w14:textId="77777777" w:rsidR="00F015D5" w:rsidRDefault="00F015D5" w:rsidP="00F638E9">
      <w:pPr>
        <w:pStyle w:val="Heading1"/>
        <w:jc w:val="both"/>
        <w:rPr>
          <w:b w:val="0"/>
          <w:bCs w:val="0"/>
          <w:sz w:val="24"/>
          <w:szCs w:val="24"/>
        </w:rPr>
      </w:pPr>
      <w:r w:rsidRPr="00F015D5">
        <w:rPr>
          <w:b w:val="0"/>
          <w:bCs w:val="0"/>
          <w:sz w:val="24"/>
          <w:szCs w:val="24"/>
        </w:rPr>
        <w:t xml:space="preserve">As per the result of the study, the respondents overall rated the barriers to learning Araling Panlipunan on language I am challenged to understand difficult words as having a moderate impact on their academic performance, while the characteristic sex of the respondents was found to be significantly associated with the academic performance of the respondents.  </w:t>
      </w:r>
    </w:p>
    <w:p w14:paraId="50EBFF68" w14:textId="352B9A4F" w:rsidR="00BC7257" w:rsidRPr="00D17CFD" w:rsidRDefault="00F17E4F" w:rsidP="00F638E9">
      <w:pPr>
        <w:pStyle w:val="Heading1"/>
        <w:jc w:val="both"/>
        <w:rPr>
          <w:sz w:val="24"/>
          <w:szCs w:val="24"/>
        </w:rPr>
      </w:pPr>
      <w:r w:rsidRPr="005A59CD">
        <w:rPr>
          <w:spacing w:val="-2"/>
        </w:rPr>
        <w:t>RECOMMENDATIONS</w:t>
      </w:r>
    </w:p>
    <w:p w14:paraId="7AC6C130" w14:textId="77777777" w:rsidR="00F015D5" w:rsidRPr="00F015D5" w:rsidRDefault="00F015D5" w:rsidP="00F015D5">
      <w:pPr>
        <w:pStyle w:val="Heading1"/>
        <w:spacing w:before="248"/>
        <w:jc w:val="both"/>
        <w:rPr>
          <w:b w:val="0"/>
          <w:bCs w:val="0"/>
          <w:sz w:val="24"/>
          <w:szCs w:val="24"/>
        </w:rPr>
      </w:pPr>
      <w:r w:rsidRPr="00F015D5">
        <w:rPr>
          <w:b w:val="0"/>
          <w:bCs w:val="0"/>
          <w:sz w:val="24"/>
          <w:szCs w:val="24"/>
        </w:rPr>
        <w:lastRenderedPageBreak/>
        <w:t xml:space="preserve">                    Recommendations are hereby proposed:</w:t>
      </w:r>
    </w:p>
    <w:p w14:paraId="35EE4846" w14:textId="7A129EDB" w:rsidR="00F015D5" w:rsidRPr="00F015D5" w:rsidRDefault="00F015D5" w:rsidP="00F015D5">
      <w:pPr>
        <w:pStyle w:val="Heading1"/>
        <w:spacing w:before="248"/>
        <w:jc w:val="both"/>
        <w:rPr>
          <w:b w:val="0"/>
          <w:bCs w:val="0"/>
          <w:sz w:val="24"/>
          <w:szCs w:val="24"/>
        </w:rPr>
      </w:pPr>
      <w:r w:rsidRPr="00F015D5">
        <w:rPr>
          <w:b w:val="0"/>
          <w:bCs w:val="0"/>
          <w:sz w:val="24"/>
          <w:szCs w:val="24"/>
        </w:rPr>
        <w:t xml:space="preserve">Schools may provide </w:t>
      </w:r>
      <w:r>
        <w:rPr>
          <w:b w:val="0"/>
          <w:bCs w:val="0"/>
          <w:sz w:val="24"/>
          <w:szCs w:val="24"/>
        </w:rPr>
        <w:t>training</w:t>
      </w:r>
      <w:r w:rsidRPr="00F015D5">
        <w:rPr>
          <w:b w:val="0"/>
          <w:bCs w:val="0"/>
          <w:sz w:val="24"/>
          <w:szCs w:val="24"/>
        </w:rPr>
        <w:t xml:space="preserve"> to help parents</w:t>
      </w:r>
      <w:r>
        <w:rPr>
          <w:b w:val="0"/>
          <w:bCs w:val="0"/>
          <w:sz w:val="24"/>
          <w:szCs w:val="24"/>
        </w:rPr>
        <w:t>,</w:t>
      </w:r>
      <w:r w:rsidRPr="00F015D5">
        <w:rPr>
          <w:b w:val="0"/>
          <w:bCs w:val="0"/>
          <w:sz w:val="24"/>
          <w:szCs w:val="24"/>
        </w:rPr>
        <w:t xml:space="preserve"> especially those who did not finish school</w:t>
      </w:r>
      <w:r>
        <w:rPr>
          <w:b w:val="0"/>
          <w:bCs w:val="0"/>
          <w:sz w:val="24"/>
          <w:szCs w:val="24"/>
        </w:rPr>
        <w:t>,</w:t>
      </w:r>
      <w:r w:rsidRPr="00F015D5">
        <w:rPr>
          <w:b w:val="0"/>
          <w:bCs w:val="0"/>
          <w:sz w:val="24"/>
          <w:szCs w:val="24"/>
        </w:rPr>
        <w:t xml:space="preserve"> so that they can still guide their </w:t>
      </w:r>
      <w:r>
        <w:rPr>
          <w:b w:val="0"/>
          <w:bCs w:val="0"/>
          <w:sz w:val="24"/>
          <w:szCs w:val="24"/>
        </w:rPr>
        <w:t>children's</w:t>
      </w:r>
      <w:r w:rsidRPr="00F015D5">
        <w:rPr>
          <w:b w:val="0"/>
          <w:bCs w:val="0"/>
          <w:sz w:val="24"/>
          <w:szCs w:val="24"/>
        </w:rPr>
        <w:t xml:space="preserve"> learning at home to ensure academic support from them.</w:t>
      </w:r>
    </w:p>
    <w:p w14:paraId="11576665" w14:textId="61124387" w:rsidR="00F015D5" w:rsidRPr="00F015D5" w:rsidRDefault="00F015D5" w:rsidP="00F015D5">
      <w:pPr>
        <w:pStyle w:val="Heading1"/>
        <w:spacing w:before="248"/>
        <w:jc w:val="both"/>
        <w:rPr>
          <w:b w:val="0"/>
          <w:bCs w:val="0"/>
          <w:sz w:val="24"/>
          <w:szCs w:val="24"/>
        </w:rPr>
      </w:pPr>
      <w:r w:rsidRPr="00F015D5">
        <w:rPr>
          <w:b w:val="0"/>
          <w:bCs w:val="0"/>
          <w:sz w:val="24"/>
          <w:szCs w:val="24"/>
        </w:rPr>
        <w:t>Teachers should encourage learners to participate in group discussions to develop teamwork and communication skills to prevent them from boredom.</w:t>
      </w:r>
    </w:p>
    <w:p w14:paraId="60FFF6AC" w14:textId="7AC9880B" w:rsidR="00F015D5" w:rsidRPr="00F015D5" w:rsidRDefault="00F015D5" w:rsidP="00F015D5">
      <w:pPr>
        <w:pStyle w:val="Heading1"/>
        <w:spacing w:before="248"/>
        <w:jc w:val="both"/>
        <w:rPr>
          <w:b w:val="0"/>
          <w:bCs w:val="0"/>
          <w:sz w:val="24"/>
          <w:szCs w:val="24"/>
        </w:rPr>
      </w:pPr>
      <w:r w:rsidRPr="00F015D5">
        <w:rPr>
          <w:b w:val="0"/>
          <w:bCs w:val="0"/>
          <w:sz w:val="24"/>
          <w:szCs w:val="24"/>
        </w:rPr>
        <w:t>Teachers may employ strategies in teaching Araling Panlipunan</w:t>
      </w:r>
      <w:r>
        <w:rPr>
          <w:b w:val="0"/>
          <w:bCs w:val="0"/>
          <w:sz w:val="24"/>
          <w:szCs w:val="24"/>
        </w:rPr>
        <w:t>,</w:t>
      </w:r>
      <w:r w:rsidRPr="00F015D5">
        <w:rPr>
          <w:b w:val="0"/>
          <w:bCs w:val="0"/>
          <w:sz w:val="24"/>
          <w:szCs w:val="24"/>
        </w:rPr>
        <w:t xml:space="preserve"> like integrating ICT, </w:t>
      </w:r>
      <w:r>
        <w:rPr>
          <w:b w:val="0"/>
          <w:bCs w:val="0"/>
          <w:sz w:val="24"/>
          <w:szCs w:val="24"/>
        </w:rPr>
        <w:t>outdoor</w:t>
      </w:r>
      <w:r w:rsidRPr="00F015D5">
        <w:rPr>
          <w:b w:val="0"/>
          <w:bCs w:val="0"/>
          <w:sz w:val="24"/>
          <w:szCs w:val="24"/>
        </w:rPr>
        <w:t xml:space="preserve"> activities, etc.</w:t>
      </w:r>
      <w:r>
        <w:rPr>
          <w:b w:val="0"/>
          <w:bCs w:val="0"/>
          <w:sz w:val="24"/>
          <w:szCs w:val="24"/>
        </w:rPr>
        <w:t>,</w:t>
      </w:r>
      <w:r w:rsidRPr="00F015D5">
        <w:rPr>
          <w:b w:val="0"/>
          <w:bCs w:val="0"/>
          <w:sz w:val="24"/>
          <w:szCs w:val="24"/>
        </w:rPr>
        <w:t xml:space="preserve"> to make their learning meaningful and productive. </w:t>
      </w:r>
    </w:p>
    <w:p w14:paraId="56A71759" w14:textId="5B606D02" w:rsidR="00F015D5" w:rsidRPr="00F015D5" w:rsidRDefault="00F015D5" w:rsidP="00F015D5">
      <w:pPr>
        <w:pStyle w:val="Heading1"/>
        <w:spacing w:before="248"/>
        <w:jc w:val="both"/>
        <w:rPr>
          <w:b w:val="0"/>
          <w:bCs w:val="0"/>
          <w:sz w:val="24"/>
          <w:szCs w:val="24"/>
        </w:rPr>
      </w:pPr>
      <w:r w:rsidRPr="00F015D5">
        <w:rPr>
          <w:b w:val="0"/>
          <w:bCs w:val="0"/>
          <w:sz w:val="24"/>
          <w:szCs w:val="24"/>
        </w:rPr>
        <w:t xml:space="preserve">Teachers should develop lessons that are more engaging, interactive, relevant, and connected to </w:t>
      </w:r>
      <w:r>
        <w:rPr>
          <w:b w:val="0"/>
          <w:bCs w:val="0"/>
          <w:sz w:val="24"/>
          <w:szCs w:val="24"/>
        </w:rPr>
        <w:t xml:space="preserve">the </w:t>
      </w:r>
      <w:r w:rsidRPr="00F015D5">
        <w:rPr>
          <w:b w:val="0"/>
          <w:bCs w:val="0"/>
          <w:sz w:val="24"/>
          <w:szCs w:val="24"/>
        </w:rPr>
        <w:t>lived experiences of the learners.</w:t>
      </w:r>
    </w:p>
    <w:p w14:paraId="666C2301" w14:textId="644D8F5F" w:rsidR="00632BA9" w:rsidRPr="00D17CFD" w:rsidRDefault="00F015D5" w:rsidP="00F015D5">
      <w:pPr>
        <w:pStyle w:val="Heading1"/>
        <w:spacing w:before="248"/>
        <w:ind w:left="0"/>
        <w:jc w:val="both"/>
        <w:rPr>
          <w:b w:val="0"/>
          <w:bCs w:val="0"/>
          <w:sz w:val="24"/>
          <w:szCs w:val="24"/>
        </w:rPr>
      </w:pPr>
      <w:r w:rsidRPr="00F015D5">
        <w:rPr>
          <w:b w:val="0"/>
          <w:bCs w:val="0"/>
          <w:sz w:val="24"/>
          <w:szCs w:val="24"/>
        </w:rPr>
        <w:t xml:space="preserve">Teachers should implement gender responsiveness strategies and provide targeted </w:t>
      </w:r>
      <w:r>
        <w:rPr>
          <w:b w:val="0"/>
          <w:bCs w:val="0"/>
          <w:sz w:val="24"/>
          <w:szCs w:val="24"/>
        </w:rPr>
        <w:t>interventions</w:t>
      </w:r>
      <w:r w:rsidRPr="00F015D5">
        <w:rPr>
          <w:b w:val="0"/>
          <w:bCs w:val="0"/>
          <w:sz w:val="24"/>
          <w:szCs w:val="24"/>
        </w:rPr>
        <w:t xml:space="preserve"> that address performance gaps.</w:t>
      </w:r>
    </w:p>
    <w:p w14:paraId="04B4FAF6" w14:textId="3922D437" w:rsidR="00BC7257" w:rsidRPr="00D17CFD" w:rsidRDefault="00F17E4F" w:rsidP="00EA1144">
      <w:pPr>
        <w:pStyle w:val="Heading1"/>
        <w:spacing w:before="248"/>
        <w:jc w:val="both"/>
        <w:rPr>
          <w:sz w:val="24"/>
          <w:szCs w:val="24"/>
        </w:rPr>
      </w:pPr>
      <w:r w:rsidRPr="005A59CD">
        <w:rPr>
          <w:spacing w:val="-2"/>
        </w:rPr>
        <w:t>REFERENCES</w:t>
      </w:r>
    </w:p>
    <w:p w14:paraId="6B651DEF" w14:textId="3757230F" w:rsidR="00F015D5" w:rsidRPr="00F015D5" w:rsidRDefault="00F015D5" w:rsidP="00F015D5">
      <w:pPr>
        <w:pStyle w:val="ListParagraph"/>
        <w:numPr>
          <w:ilvl w:val="0"/>
          <w:numId w:val="1"/>
        </w:numPr>
        <w:tabs>
          <w:tab w:val="left" w:pos="759"/>
        </w:tabs>
        <w:spacing w:before="236" w:line="237" w:lineRule="auto"/>
        <w:ind w:right="183"/>
        <w:rPr>
          <w:sz w:val="24"/>
          <w:szCs w:val="24"/>
        </w:rPr>
      </w:pPr>
      <w:r w:rsidRPr="00F015D5">
        <w:rPr>
          <w:sz w:val="24"/>
          <w:szCs w:val="24"/>
        </w:rPr>
        <w:t>Abao, J. M. G., Taganas, W. R., &amp;       Comon, J. D. (2023). Factors Affecting Academic Performance in Araling Panlipunan among Junior High School Learners of Gingoog City. European Modern Studies Journal, 8(4). https://doi.org/10.59573/emsj.8(4).2024.1</w:t>
      </w:r>
    </w:p>
    <w:p w14:paraId="206848F5" w14:textId="10CB0FA1" w:rsidR="00F015D5" w:rsidRPr="00F015D5" w:rsidRDefault="00F015D5" w:rsidP="00F015D5">
      <w:pPr>
        <w:pStyle w:val="ListParagraph"/>
        <w:numPr>
          <w:ilvl w:val="0"/>
          <w:numId w:val="1"/>
        </w:numPr>
        <w:tabs>
          <w:tab w:val="left" w:pos="759"/>
        </w:tabs>
        <w:spacing w:before="236" w:line="237" w:lineRule="auto"/>
        <w:ind w:right="183"/>
        <w:rPr>
          <w:sz w:val="24"/>
          <w:szCs w:val="24"/>
        </w:rPr>
      </w:pPr>
      <w:r w:rsidRPr="00F015D5">
        <w:rPr>
          <w:sz w:val="24"/>
          <w:szCs w:val="24"/>
        </w:rPr>
        <w:t>Abdel-Fattah, A. A., Abuznaid, M. A., &amp; Khali, W. (2024). Strategies, methods, and supports for developing skills within learning communities: A systematic review of the literature. Educ. Sci., 14(9), 231. https://doi.org/10.3390/educsci14090231</w:t>
      </w:r>
      <w:r w:rsidRPr="00F015D5">
        <w:rPr>
          <w:sz w:val="24"/>
          <w:szCs w:val="24"/>
        </w:rPr>
        <w:tab/>
      </w:r>
    </w:p>
    <w:p w14:paraId="136F4CF2" w14:textId="56C4EF9A" w:rsidR="00F015D5" w:rsidRPr="00F015D5" w:rsidRDefault="00F015D5" w:rsidP="00F015D5">
      <w:pPr>
        <w:pStyle w:val="ListParagraph"/>
        <w:numPr>
          <w:ilvl w:val="0"/>
          <w:numId w:val="1"/>
        </w:numPr>
        <w:tabs>
          <w:tab w:val="left" w:pos="759"/>
        </w:tabs>
        <w:spacing w:before="236" w:line="237" w:lineRule="auto"/>
        <w:ind w:right="183"/>
        <w:rPr>
          <w:sz w:val="24"/>
          <w:szCs w:val="24"/>
        </w:rPr>
      </w:pPr>
      <w:r w:rsidRPr="00F015D5">
        <w:rPr>
          <w:sz w:val="24"/>
          <w:szCs w:val="24"/>
        </w:rPr>
        <w:t>Abuniawan, E. T., Baulite, R. B., &amp;   Eslana, R. S. (2023).  Attitude and academic achievement of grade 10 students in Araling Panlipunan (Doctoral dissertation, Pontevedra Campus, Capiz State University).</w:t>
      </w:r>
    </w:p>
    <w:p w14:paraId="097915C4" w14:textId="533E0764" w:rsidR="00F015D5" w:rsidRPr="00F015D5" w:rsidRDefault="00F015D5" w:rsidP="00F015D5">
      <w:pPr>
        <w:pStyle w:val="ListParagraph"/>
        <w:numPr>
          <w:ilvl w:val="0"/>
          <w:numId w:val="1"/>
        </w:numPr>
        <w:tabs>
          <w:tab w:val="left" w:pos="759"/>
        </w:tabs>
        <w:spacing w:before="236" w:line="237" w:lineRule="auto"/>
        <w:ind w:right="183"/>
        <w:rPr>
          <w:sz w:val="24"/>
          <w:szCs w:val="24"/>
        </w:rPr>
      </w:pPr>
      <w:r w:rsidRPr="00F015D5">
        <w:rPr>
          <w:sz w:val="24"/>
          <w:szCs w:val="24"/>
        </w:rPr>
        <w:t>Alonzo, J., &amp; Perez, A. (2023). Equalizing Opportunities in Education: Insights into the Role of School-Based Interventions. Educational Equity and Access Quarterly, 11(4), 305-317. https://doi.org/10.3102/eeaq.2023.11.4.305</w:t>
      </w:r>
      <w:r w:rsidRPr="00F015D5">
        <w:rPr>
          <w:sz w:val="24"/>
          <w:szCs w:val="24"/>
        </w:rPr>
        <w:tab/>
      </w:r>
    </w:p>
    <w:p w14:paraId="6F69AA4F" w14:textId="4E2FCADE" w:rsidR="00F015D5" w:rsidRPr="00F015D5" w:rsidRDefault="00F015D5" w:rsidP="00F015D5">
      <w:pPr>
        <w:pStyle w:val="ListParagraph"/>
        <w:numPr>
          <w:ilvl w:val="0"/>
          <w:numId w:val="1"/>
        </w:numPr>
        <w:tabs>
          <w:tab w:val="left" w:pos="759"/>
        </w:tabs>
        <w:spacing w:before="236" w:line="237" w:lineRule="auto"/>
        <w:ind w:right="183"/>
        <w:rPr>
          <w:sz w:val="24"/>
          <w:szCs w:val="24"/>
        </w:rPr>
      </w:pPr>
      <w:r w:rsidRPr="00F015D5">
        <w:rPr>
          <w:sz w:val="24"/>
          <w:szCs w:val="24"/>
        </w:rPr>
        <w:t>Anwar, A. M., &amp; Oakil, A. T. (2023).       Smart     Transportation Systems in Smart Cities: Practices, Challenges, and Opportunities for Saudi Cities. Smart Cities: Social and Environmental Challenges and Opportunities for Local Authorities, 315-337</w:t>
      </w:r>
    </w:p>
    <w:p w14:paraId="67145B36" w14:textId="47E79829" w:rsidR="00F015D5" w:rsidRPr="00F015D5" w:rsidRDefault="00F015D5" w:rsidP="00F015D5">
      <w:pPr>
        <w:pStyle w:val="ListParagraph"/>
        <w:numPr>
          <w:ilvl w:val="0"/>
          <w:numId w:val="1"/>
        </w:numPr>
        <w:tabs>
          <w:tab w:val="left" w:pos="759"/>
        </w:tabs>
        <w:spacing w:before="236" w:line="237" w:lineRule="auto"/>
        <w:ind w:right="183"/>
        <w:rPr>
          <w:sz w:val="24"/>
          <w:szCs w:val="24"/>
        </w:rPr>
      </w:pPr>
      <w:r w:rsidRPr="00F015D5">
        <w:rPr>
          <w:sz w:val="24"/>
          <w:szCs w:val="24"/>
        </w:rPr>
        <w:t>Asuncion, M. K. A. (2023).  Impressions, Pedagogical, schemes, and learning milieu: Impact on Students’ Academic Success in Araling Panlipunan.. Research Compendiums, 2(1), 22.</w:t>
      </w:r>
      <w:r w:rsidRPr="00F015D5">
        <w:rPr>
          <w:sz w:val="24"/>
          <w:szCs w:val="24"/>
        </w:rPr>
        <w:tab/>
      </w:r>
    </w:p>
    <w:p w14:paraId="42D31B2D" w14:textId="4E97697D" w:rsidR="00F015D5" w:rsidRPr="00F015D5" w:rsidRDefault="00F015D5" w:rsidP="00F015D5">
      <w:pPr>
        <w:pStyle w:val="ListParagraph"/>
        <w:numPr>
          <w:ilvl w:val="0"/>
          <w:numId w:val="1"/>
        </w:numPr>
        <w:tabs>
          <w:tab w:val="left" w:pos="759"/>
        </w:tabs>
        <w:spacing w:before="236" w:line="237" w:lineRule="auto"/>
        <w:ind w:right="183"/>
        <w:rPr>
          <w:sz w:val="24"/>
          <w:szCs w:val="24"/>
        </w:rPr>
      </w:pPr>
      <w:r w:rsidRPr="00F015D5">
        <w:rPr>
          <w:sz w:val="24"/>
          <w:szCs w:val="24"/>
        </w:rPr>
        <w:t>Barrios, A., &amp; Garcia, R.(2023).Filipino Children’s Acquisition of Nominal and Verbal Market   in L1 and L2 Tagalog. Languages, 8(3), 188. https://doi.org/10.3390/languages8030188</w:t>
      </w:r>
      <w:r w:rsidRPr="00F015D5">
        <w:rPr>
          <w:sz w:val="24"/>
          <w:szCs w:val="24"/>
        </w:rPr>
        <w:tab/>
      </w:r>
    </w:p>
    <w:p w14:paraId="7D7BFBB4" w14:textId="6B21AD60" w:rsidR="00F015D5" w:rsidRPr="00F015D5" w:rsidRDefault="00F015D5" w:rsidP="00F015D5">
      <w:pPr>
        <w:pStyle w:val="ListParagraph"/>
        <w:numPr>
          <w:ilvl w:val="0"/>
          <w:numId w:val="1"/>
        </w:numPr>
        <w:tabs>
          <w:tab w:val="left" w:pos="759"/>
        </w:tabs>
        <w:spacing w:before="236" w:line="237" w:lineRule="auto"/>
        <w:ind w:right="183"/>
        <w:rPr>
          <w:sz w:val="24"/>
          <w:szCs w:val="24"/>
        </w:rPr>
      </w:pPr>
      <w:r w:rsidRPr="00F015D5">
        <w:rPr>
          <w:sz w:val="24"/>
          <w:szCs w:val="24"/>
        </w:rPr>
        <w:t>Bautista, M. R., &amp; Perez, J. L. (2022). Communication apprehension and academic performance in collaborative tasks among high school students. Philippine Journal of Educational Research, 51(2), 15-30.</w:t>
      </w:r>
    </w:p>
    <w:p w14:paraId="085F81C0" w14:textId="5FE6F5DE" w:rsidR="00F015D5" w:rsidRPr="00F015D5" w:rsidRDefault="00F015D5" w:rsidP="00F015D5">
      <w:pPr>
        <w:pStyle w:val="ListParagraph"/>
        <w:numPr>
          <w:ilvl w:val="0"/>
          <w:numId w:val="1"/>
        </w:numPr>
        <w:tabs>
          <w:tab w:val="left" w:pos="759"/>
        </w:tabs>
        <w:spacing w:before="236" w:line="237" w:lineRule="auto"/>
        <w:ind w:right="183"/>
        <w:rPr>
          <w:sz w:val="24"/>
          <w:szCs w:val="24"/>
        </w:rPr>
      </w:pPr>
      <w:r w:rsidRPr="00F015D5">
        <w:rPr>
          <w:sz w:val="24"/>
          <w:szCs w:val="24"/>
        </w:rPr>
        <w:t>Berondo, R. G. (2020). Parenting Styles, Study   Skills and Academic Performance of Grade IV Pupils in Araling Panlipunan. Journal ofWorld Englises and Educational Practices, 2(2), 187-202</w:t>
      </w:r>
      <w:r w:rsidRPr="00F015D5">
        <w:rPr>
          <w:sz w:val="24"/>
          <w:szCs w:val="24"/>
        </w:rPr>
        <w:tab/>
      </w:r>
    </w:p>
    <w:p w14:paraId="149592FB" w14:textId="386C9ADC" w:rsidR="00F015D5" w:rsidRPr="00F015D5" w:rsidRDefault="00F015D5" w:rsidP="00F015D5">
      <w:pPr>
        <w:pStyle w:val="ListParagraph"/>
        <w:numPr>
          <w:ilvl w:val="0"/>
          <w:numId w:val="1"/>
        </w:numPr>
        <w:tabs>
          <w:tab w:val="left" w:pos="759"/>
        </w:tabs>
        <w:spacing w:before="236" w:line="237" w:lineRule="auto"/>
        <w:ind w:right="183"/>
        <w:rPr>
          <w:sz w:val="24"/>
          <w:szCs w:val="24"/>
        </w:rPr>
      </w:pPr>
      <w:r w:rsidRPr="00F015D5">
        <w:rPr>
          <w:sz w:val="24"/>
          <w:szCs w:val="24"/>
        </w:rPr>
        <w:t>Buenaflor, A. (2024). AGILA (Araling Panlipunan Game-based Interactive Learning Activity): Boosting the learning attitudes of the students. International Journal of Research and Innovation in Social Science, 8(2), 414–424. https://doi.org/10.47772/IJRISS.2024.802029</w:t>
      </w:r>
      <w:r w:rsidRPr="00F015D5">
        <w:rPr>
          <w:sz w:val="24"/>
          <w:szCs w:val="24"/>
        </w:rPr>
        <w:tab/>
      </w:r>
    </w:p>
    <w:p w14:paraId="2EDBD901" w14:textId="7F55F3E0" w:rsidR="00F015D5" w:rsidRPr="00F015D5" w:rsidRDefault="00F015D5" w:rsidP="00F015D5">
      <w:pPr>
        <w:pStyle w:val="ListParagraph"/>
        <w:numPr>
          <w:ilvl w:val="0"/>
          <w:numId w:val="1"/>
        </w:numPr>
        <w:tabs>
          <w:tab w:val="left" w:pos="759"/>
        </w:tabs>
        <w:spacing w:before="236" w:line="237" w:lineRule="auto"/>
        <w:ind w:right="183"/>
        <w:rPr>
          <w:sz w:val="24"/>
          <w:szCs w:val="24"/>
        </w:rPr>
      </w:pPr>
      <w:r w:rsidRPr="00F015D5">
        <w:rPr>
          <w:sz w:val="24"/>
          <w:szCs w:val="24"/>
        </w:rPr>
        <w:t xml:space="preserve">Chen, L., Zhang, Y., &amp; Park, S. (2023). Exploring   the relationship between home-to-school distance </w:t>
      </w:r>
      <w:r w:rsidRPr="00F015D5">
        <w:rPr>
          <w:sz w:val="24"/>
          <w:szCs w:val="24"/>
        </w:rPr>
        <w:lastRenderedPageBreak/>
        <w:t>and student engagement: Evidence from urban schools. International Journal of Educational Studies, 39(2), 78-91. https://doi.org/10.5897/ijes.2023.03123</w:t>
      </w:r>
      <w:r w:rsidRPr="00F015D5">
        <w:rPr>
          <w:sz w:val="24"/>
          <w:szCs w:val="24"/>
        </w:rPr>
        <w:tab/>
      </w:r>
    </w:p>
    <w:p w14:paraId="69F35DB9" w14:textId="03DE4155" w:rsidR="00F015D5" w:rsidRPr="00F015D5" w:rsidRDefault="00F015D5" w:rsidP="00F015D5">
      <w:pPr>
        <w:pStyle w:val="ListParagraph"/>
        <w:numPr>
          <w:ilvl w:val="0"/>
          <w:numId w:val="1"/>
        </w:numPr>
        <w:tabs>
          <w:tab w:val="left" w:pos="759"/>
        </w:tabs>
        <w:spacing w:before="236" w:line="237" w:lineRule="auto"/>
        <w:ind w:right="183"/>
        <w:rPr>
          <w:sz w:val="24"/>
          <w:szCs w:val="24"/>
        </w:rPr>
      </w:pPr>
      <w:r w:rsidRPr="00F015D5">
        <w:rPr>
          <w:sz w:val="24"/>
          <w:szCs w:val="24"/>
        </w:rPr>
        <w:t>Cislaghi, B., &amp; Heise, L. (2020). Gender norms and social norms: differences, similarities and why they matter in prevention science. Sociology of health &amp; illness, 42(2), 407-422.</w:t>
      </w:r>
      <w:r w:rsidRPr="00F015D5">
        <w:rPr>
          <w:sz w:val="24"/>
          <w:szCs w:val="24"/>
        </w:rPr>
        <w:tab/>
      </w:r>
    </w:p>
    <w:p w14:paraId="732B7F72" w14:textId="262248D1" w:rsidR="00F015D5" w:rsidRP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rPr>
        <w:t xml:space="preserve">Cruz, M., &amp; Delos Reyes, J. (2023). Understanding social barriers to learning in Filipino </w:t>
      </w:r>
      <w:r w:rsidRPr="00C367F5">
        <w:rPr>
          <w:sz w:val="24"/>
          <w:szCs w:val="24"/>
        </w:rPr>
        <w:tab/>
        <w:t>classrooms:  mixed-methods approach. Journal of Philippine Educational Research, 20(2), 98-112. https://doi.org/10.1016/pjer.2023.02002</w:t>
      </w:r>
    </w:p>
    <w:p w14:paraId="389A1416" w14:textId="37223221" w:rsidR="00F015D5" w:rsidRP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rPr>
        <w:t>Cruz, M., Delos Reyes, T., &amp; Villanueva, A. (2023).  Enhancing student engagement</w:t>
      </w:r>
      <w:r w:rsidR="00C367F5" w:rsidRPr="00C367F5">
        <w:rPr>
          <w:sz w:val="24"/>
          <w:szCs w:val="24"/>
        </w:rPr>
        <w:t xml:space="preserve"> </w:t>
      </w:r>
      <w:r w:rsidRPr="00C367F5">
        <w:rPr>
          <w:sz w:val="24"/>
          <w:szCs w:val="24"/>
        </w:rPr>
        <w:t>through innovative learning modules: A case study in Philippine high schools. Asia-Pacific Journal of Educational Innovation, 15(4), 78-92. https://doi.org/10.1016/apjei.2023.01504</w:t>
      </w:r>
      <w:r w:rsidRPr="00C367F5">
        <w:rPr>
          <w:sz w:val="24"/>
          <w:szCs w:val="24"/>
        </w:rPr>
        <w:tab/>
      </w:r>
    </w:p>
    <w:p w14:paraId="1DD83C36" w14:textId="5EEB83BB" w:rsidR="00F015D5" w:rsidRP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rPr>
        <w:t>Cruz, P., Mendoza, T., &amp; Flores, A. (2023). Bridging the gap: The role of vocational training in addressing education-to-employment mismatches in the Philippines. Philippine Journal of Labor and Skills Development, 10(4), 200-215. https://doi.org/10.1016/pjlsd.2023.01004</w:t>
      </w:r>
    </w:p>
    <w:p w14:paraId="6201E208" w14:textId="3B11E664" w:rsidR="00F015D5" w:rsidRP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rPr>
        <w:t>Cruz, M. G. V. G. (2018).    The Effectiveness of Flipped Classroom Environment in Improving Learners’ Academic Achievement in Araling Panlipunan</w:t>
      </w:r>
    </w:p>
    <w:p w14:paraId="6C45C771" w14:textId="0F61891F" w:rsidR="00F015D5" w:rsidRP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rPr>
        <w:t xml:space="preserve">Cruz, M., &amp; Delgado, F. (2023).     Culturally   Responsive    Teaching and Its Impact on </w:t>
      </w:r>
      <w:r w:rsidRPr="00C367F5">
        <w:rPr>
          <w:sz w:val="24"/>
          <w:szCs w:val="24"/>
        </w:rPr>
        <w:tab/>
        <w:t>Student Performance. Journal of Social Studies Education, 37(4), 267-280. https://doi.org/10.1016/j.sose.2023.37.4.267</w:t>
      </w:r>
      <w:r w:rsidRPr="00C367F5">
        <w:rPr>
          <w:sz w:val="24"/>
          <w:szCs w:val="24"/>
        </w:rPr>
        <w:tab/>
      </w:r>
    </w:p>
    <w:p w14:paraId="0AB5C509" w14:textId="78BC049E" w:rsidR="00F015D5" w:rsidRP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rPr>
        <w:t>Cruz, M. A., &amp; Reyes, J. D. (2023). Collaborative learning and its impact on student engagement in Philippine secondary schools. Philippine Journal of Educational Research, 20(2), 98-112. https://doi.org/10.1016/pjer.2023.02002</w:t>
      </w:r>
      <w:r w:rsidRPr="00C367F5">
        <w:rPr>
          <w:sz w:val="24"/>
          <w:szCs w:val="24"/>
        </w:rPr>
        <w:tab/>
      </w:r>
    </w:p>
    <w:p w14:paraId="4779A50D" w14:textId="1EE071ED" w:rsidR="00F015D5" w:rsidRP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rPr>
        <w:t>Cruz, M., Delos Reyes, T., &amp; Villanueva, A. (2023).    Structured group discussions and their impact on student collaboration: Evidence from Philippine schools. Asia-Pacific Journal of Educational Innovation, 15(4), 78-92. https://doi.org/10.1016/apjei.2023.01504</w:t>
      </w:r>
      <w:r w:rsidRPr="00C367F5">
        <w:rPr>
          <w:sz w:val="24"/>
          <w:szCs w:val="24"/>
        </w:rPr>
        <w:tab/>
      </w:r>
    </w:p>
    <w:p w14:paraId="346E48FE" w14:textId="5D4C2E06" w:rsidR="00F015D5" w:rsidRP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rPr>
        <w:t>Cruz, R., Santos, J., &amp; Villanueva, A. (2023).    Building collaborative skills through group dynamics: A case study in Philippine high schools. Journal of Multicultural Education, 12(3), 125-140. https://doi.org/10.1016/jjme.2023.01203</w:t>
      </w:r>
    </w:p>
    <w:p w14:paraId="0EEFED23" w14:textId="0EDACB64" w:rsidR="00F015D5" w:rsidRP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rPr>
        <w:t>Cruz, R., &amp; Santos, J. (2023). Exploring   the link between instructional methods and student performance in Philippine social studies. Philippine Journal of Educational Development, 18(2), 90-105. https://doi.org/10.5678/pjed.2023.01802</w:t>
      </w:r>
    </w:p>
    <w:p w14:paraId="6BD2DF3E" w14:textId="4808B263" w:rsidR="00F015D5" w:rsidRP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rPr>
        <w:t>Cruz, R., Villanueva, T., &amp; Delos Reyes, J. (2023). Promoting cultural inclusivity in</w:t>
      </w:r>
      <w:r w:rsidR="00C367F5" w:rsidRPr="00C367F5">
        <w:rPr>
          <w:sz w:val="24"/>
          <w:szCs w:val="24"/>
        </w:rPr>
        <w:t xml:space="preserve"> </w:t>
      </w:r>
      <w:r w:rsidRPr="00C367F5">
        <w:rPr>
          <w:sz w:val="24"/>
          <w:szCs w:val="24"/>
        </w:rPr>
        <w:t>collaborative learning environments: A case study in Philippine high schools. Asia-Pacific Journal of Educational Innovation, 20(4), 112-128.           https://doi.org/10.1016/apjei.2023.02004</w:t>
      </w:r>
      <w:r w:rsidRPr="00C367F5">
        <w:rPr>
          <w:sz w:val="24"/>
          <w:szCs w:val="24"/>
        </w:rPr>
        <w:tab/>
      </w:r>
    </w:p>
    <w:p w14:paraId="26E8EB16" w14:textId="0587AB0F" w:rsidR="00F015D5" w:rsidRP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rPr>
        <w:t>Cruz, R., &amp; Villanueva, F. (2023).    Building resilience through peer support: Addressing emotional factors in collaborative learning environments. Philippine Journal of Educational Innovation, 22(2), 112-128. https://doi.org/10.5678/pjei.2023.02202</w:t>
      </w:r>
      <w:r w:rsidRPr="00C367F5">
        <w:rPr>
          <w:sz w:val="24"/>
          <w:szCs w:val="24"/>
        </w:rPr>
        <w:tab/>
      </w:r>
    </w:p>
    <w:p w14:paraId="2433226D" w14:textId="64C3E8DB" w:rsidR="00F015D5" w:rsidRP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rPr>
        <w:t>Cuizon, M. L., &amp; Cuizon, M. C. L. (2024).   Democratic Thinking and Community of   Inquiry: A Challenge to Social Studies Teachers of the 21st Century. Journal of Social Studies, 10(1), 1-6.</w:t>
      </w:r>
      <w:r w:rsidRPr="00C367F5">
        <w:rPr>
          <w:sz w:val="24"/>
          <w:szCs w:val="24"/>
        </w:rPr>
        <w:tab/>
      </w:r>
    </w:p>
    <w:p w14:paraId="50C13751" w14:textId="5DF1B6A7" w:rsidR="00F015D5" w:rsidRP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rPr>
        <w:t>Davidson, J. L., &amp; Goldberg, J. (2021).    Breaking Barriers:    Strategies for Promoting  Equity and Inclusion in Education. New York, NY: Routledge.</w:t>
      </w:r>
      <w:r w:rsidRPr="00C367F5">
        <w:rPr>
          <w:sz w:val="24"/>
          <w:szCs w:val="24"/>
        </w:rPr>
        <w:tab/>
      </w:r>
    </w:p>
    <w:p w14:paraId="439DFB07" w14:textId="77777777" w:rsid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rPr>
        <w:t xml:space="preserve">Davis-Kean, P. E., Tighe, L. A., &amp; Waters, N. E. (2021).    The role of </w:t>
      </w:r>
      <w:r w:rsidR="00C367F5" w:rsidRPr="00C367F5">
        <w:rPr>
          <w:sz w:val="24"/>
          <w:szCs w:val="24"/>
        </w:rPr>
        <w:t>parents'</w:t>
      </w:r>
      <w:r w:rsidRPr="00C367F5">
        <w:rPr>
          <w:sz w:val="24"/>
          <w:szCs w:val="24"/>
        </w:rPr>
        <w:t xml:space="preserve"> educational attainment in parenting and children’s development. Current Directions in Psychological Science, 30(2), 186-192.</w:t>
      </w:r>
    </w:p>
    <w:p w14:paraId="327EB554" w14:textId="7616410C" w:rsidR="00F015D5" w:rsidRP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lang w:val="da-DK"/>
        </w:rPr>
        <w:lastRenderedPageBreak/>
        <w:t xml:space="preserve">De Leon, E. G., &amp; Santos, M. P. (2021). </w:t>
      </w:r>
      <w:r w:rsidRPr="00C367F5">
        <w:rPr>
          <w:sz w:val="24"/>
          <w:szCs w:val="24"/>
        </w:rPr>
        <w:t>The role of interpersonal skills training in enhancing task collaboration among secondary learners. Journal of Applied Social Sciences, 15(1), 45-60.</w:t>
      </w:r>
    </w:p>
    <w:p w14:paraId="71C79A85" w14:textId="77777777" w:rsid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rPr>
        <w:t>Ding, P., &amp; Feng, S. (2022). How School Travel Affects     Children’s Psychological Well-Being and Academic Achievement in China. International journal of environmental research and public health, 19(21), 13881.</w:t>
      </w:r>
    </w:p>
    <w:p w14:paraId="0D8C9E28" w14:textId="38720520" w:rsidR="00F015D5" w:rsidRP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rPr>
        <w:t>Elli, M. V. C. L., Go, M. E. S., Isidro, A. L. J., Monghit, J. O. B., Pama, E. N.,    Roque, B. J. C., ... &amp; Yuson, M. K. D. A Qualitative Assessment of the Implementation of Mother Tongue Based-Multilingual Education (MTB-MLE): The Case of Guelew Integrated School.</w:t>
      </w:r>
      <w:r w:rsidRPr="00C367F5">
        <w:rPr>
          <w:sz w:val="24"/>
          <w:szCs w:val="24"/>
        </w:rPr>
        <w:tab/>
      </w:r>
    </w:p>
    <w:p w14:paraId="0F2C9936" w14:textId="77777777" w:rsidR="00C367F5" w:rsidRDefault="00F015D5" w:rsidP="00C367F5">
      <w:pPr>
        <w:pStyle w:val="ListParagraph"/>
        <w:numPr>
          <w:ilvl w:val="0"/>
          <w:numId w:val="1"/>
        </w:numPr>
        <w:tabs>
          <w:tab w:val="left" w:pos="759"/>
        </w:tabs>
        <w:spacing w:before="236" w:line="237" w:lineRule="auto"/>
        <w:ind w:right="183"/>
        <w:rPr>
          <w:sz w:val="24"/>
          <w:szCs w:val="24"/>
        </w:rPr>
      </w:pPr>
      <w:r w:rsidRPr="00C367F5">
        <w:rPr>
          <w:sz w:val="24"/>
          <w:szCs w:val="24"/>
        </w:rPr>
        <w:t>Elmer C, I. (2022).    Differentiated Assessment in Araling Panlipunan 10: Enhanced</w:t>
      </w:r>
      <w:r w:rsidR="00C367F5">
        <w:rPr>
          <w:sz w:val="24"/>
          <w:szCs w:val="24"/>
        </w:rPr>
        <w:t xml:space="preserve"> </w:t>
      </w:r>
      <w:r w:rsidRPr="00C367F5">
        <w:rPr>
          <w:sz w:val="24"/>
          <w:szCs w:val="24"/>
        </w:rPr>
        <w:t>Learning Activities. International Journal of Trend in Scientific Research and Development, 6(6), 971-986.</w:t>
      </w:r>
    </w:p>
    <w:p w14:paraId="6934C180" w14:textId="77777777" w:rsid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rPr>
        <w:t>Endiape, H. K. A., &amp; Hermosa, J. P. (2023). Academic Self Academic Self-Handicapping and Self-Regulating Learning Strategies for Student Engagement in Performance of G-Handicapping and Self-Regulating Learning Strategies for Student Engagement in Performance of Grade 8   Students in Araling Panlipunan. International Journal of Multidisciplinary:</w:t>
      </w:r>
      <w:r w:rsidR="00C367F5" w:rsidRPr="00C367F5">
        <w:rPr>
          <w:sz w:val="24"/>
          <w:szCs w:val="24"/>
        </w:rPr>
        <w:t xml:space="preserve"> </w:t>
      </w:r>
      <w:r w:rsidRPr="00C367F5">
        <w:rPr>
          <w:sz w:val="24"/>
          <w:szCs w:val="24"/>
        </w:rPr>
        <w:t>Applied Business and Education Research, 4(9), 3164-3179.</w:t>
      </w:r>
    </w:p>
    <w:p w14:paraId="444FDECE" w14:textId="6AB2DB4F" w:rsidR="00F015D5" w:rsidRP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rPr>
        <w:t>Erion, J. (2006). Parent Involvement and Student Academic Performance: A Multiple Mediational Analysis. Educational Psychology Review, 18(3), 291–318. https://doi.org/10.1007/s10648-006-9023-0</w:t>
      </w:r>
    </w:p>
    <w:p w14:paraId="4A16288F" w14:textId="5CABFFEA" w:rsidR="00F015D5" w:rsidRP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rPr>
        <w:t>Escol, E. M., &amp; Alcopra, A. R. (2024). Parental involvement and learners’ academic performance. International Journal of Multidisciplinary Research and Analysis, 07(07), 3195–3200. https://doi.org/10.5281/zenodo.1272242</w:t>
      </w:r>
    </w:p>
    <w:p w14:paraId="5DBB07B8" w14:textId="323D81B4" w:rsidR="00F015D5" w:rsidRP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rPr>
        <w:t>Fernandes, J. (2024). HIGHER EDUCATION DROPOUT AND ECONOMIC CONSEQUENCES: A LITERATURE REVIEW. EDULEARN24 Proceedings, 1105-1112.</w:t>
      </w:r>
    </w:p>
    <w:p w14:paraId="7C78AB8D" w14:textId="3149FEA2" w:rsidR="00F015D5" w:rsidRP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rPr>
        <w:t xml:space="preserve">Fernandez, R. D. (2021).  Effectiveness of the Modular Learning Approach to </w:t>
      </w:r>
      <w:r w:rsidR="00C367F5" w:rsidRPr="00C367F5">
        <w:rPr>
          <w:sz w:val="24"/>
          <w:szCs w:val="24"/>
        </w:rPr>
        <w:t>the Performance</w:t>
      </w:r>
      <w:r w:rsidRPr="00C367F5">
        <w:rPr>
          <w:sz w:val="24"/>
          <w:szCs w:val="24"/>
        </w:rPr>
        <w:t xml:space="preserve"> of Grade Nine students in the Quarterly   Assessments of Araling Panlipunan.</w:t>
      </w:r>
      <w:r w:rsidRPr="00C367F5">
        <w:rPr>
          <w:sz w:val="24"/>
          <w:szCs w:val="24"/>
        </w:rPr>
        <w:tab/>
      </w:r>
    </w:p>
    <w:p w14:paraId="266BF5FE" w14:textId="67F0F9B6" w:rsidR="00F015D5" w:rsidRP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rPr>
        <w:t>Garcia, C. E. (2021). The Role of Social Studies in the 21st Century Society: Perspective from The Educators and Learners.</w:t>
      </w:r>
      <w:r w:rsidRPr="00C367F5">
        <w:rPr>
          <w:sz w:val="24"/>
          <w:szCs w:val="24"/>
        </w:rPr>
        <w:tab/>
      </w:r>
    </w:p>
    <w:p w14:paraId="4E619461" w14:textId="30146597" w:rsidR="00F015D5" w:rsidRP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rPr>
        <w:t>Garcia, J., &amp; Lim, R. (2023). Overcoming Learning Barriers: Insights into Academic Achievement in Social Studies. Educational Development Quarterly, 15(2), 112-120. https://doi.org/10.1016/j.edq.2023.15.2.112</w:t>
      </w:r>
      <w:r w:rsidRPr="00C367F5">
        <w:rPr>
          <w:sz w:val="24"/>
          <w:szCs w:val="24"/>
        </w:rPr>
        <w:tab/>
      </w:r>
    </w:p>
    <w:p w14:paraId="26851A4A" w14:textId="612809F2" w:rsidR="00F015D5" w:rsidRP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rPr>
        <w:t>Garcia, L., &amp; Bautista, P. (2023). Effective facilitation of group activities: Strategies for mitigating emotional barriers in collaborative learning. Journal of Educational Psychology and Social Behavior, 20(2), 89-104. https://doi.org/10.5678/jepsb.2023.02002</w:t>
      </w:r>
      <w:r w:rsidRPr="00C367F5">
        <w:rPr>
          <w:sz w:val="24"/>
          <w:szCs w:val="24"/>
        </w:rPr>
        <w:tab/>
      </w:r>
    </w:p>
    <w:p w14:paraId="0EEE7D98" w14:textId="422EA381" w:rsidR="00F015D5" w:rsidRP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rPr>
        <w:t>Garcia, L., Smith, K., &amp; Thompson, R. (2023).  Gender disparities in education: Examining performance and participation. Educational Research Quarterly, 41(2), 98-113. https://doi.org/10.5897/erq2023.0310</w:t>
      </w:r>
    </w:p>
    <w:p w14:paraId="4AA16B04" w14:textId="3D758CD5" w:rsidR="00F015D5" w:rsidRP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rPr>
        <w:t>Garcia, L., Bautista, P., &amp; Reyes, T. (2023).      Incorporating real-life applications into learning materials: Effects on motivation and comprehension in Philippine secondary schools. Journal of Educational Materials Research, 20(2), 89-104. https://doi.org/10.5678/jemr.2023.02002</w:t>
      </w:r>
      <w:r w:rsidRPr="00C367F5">
        <w:rPr>
          <w:sz w:val="24"/>
          <w:szCs w:val="24"/>
        </w:rPr>
        <w:tab/>
      </w:r>
    </w:p>
    <w:p w14:paraId="698FADEA" w14:textId="2DC47D01" w:rsidR="00C367F5" w:rsidRP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rPr>
        <w:t xml:space="preserve">Garcia, L., &amp; Reyes, M. (2023). Enhancing communication skills in group learning: Challenges and strategies in secondary education. Philippine Journal of Educational Development, 18(2), 90-104. </w:t>
      </w:r>
      <w:hyperlink r:id="rId10" w:history="1">
        <w:r w:rsidR="00C367F5" w:rsidRPr="00C367F5">
          <w:rPr>
            <w:rStyle w:val="Hyperlink"/>
            <w:color w:val="auto"/>
            <w:sz w:val="24"/>
            <w:szCs w:val="24"/>
            <w:u w:val="none"/>
          </w:rPr>
          <w:t>https://doi.org/10.5678/pjed.2023.01802</w:t>
        </w:r>
      </w:hyperlink>
    </w:p>
    <w:p w14:paraId="67E003EB" w14:textId="482E0F5C" w:rsidR="00F015D5" w:rsidRP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rPr>
        <w:lastRenderedPageBreak/>
        <w:t>Garcia, L., Santos, P., &amp; Villanueva, F. (2023).     Cultural inclusivity in      Philippine classrooms: Impacts on student engagement and performance. Philippine Journal of Multicultural Education, 15(3), 145-160. https://doi.org/10.1016/pjme.2023.01503</w:t>
      </w:r>
    </w:p>
    <w:p w14:paraId="48D3586A" w14:textId="7DE021C2" w:rsidR="00F015D5" w:rsidRP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rPr>
        <w:t>Garcia, L., &amp; Santos, R. (2023). The role of goal setting in enhancing student motivation:</w:t>
      </w:r>
      <w:r w:rsidRPr="00C367F5">
        <w:rPr>
          <w:sz w:val="24"/>
          <w:szCs w:val="24"/>
        </w:rPr>
        <w:tab/>
        <w:t>A focus on Filipino learners. Journal of Educational Psychology and Motivation, 15(3), 145-160. https://doi.org/10.5678/jepm.2023.01503</w:t>
      </w:r>
      <w:r w:rsidRPr="00C367F5">
        <w:rPr>
          <w:sz w:val="24"/>
          <w:szCs w:val="24"/>
        </w:rPr>
        <w:tab/>
      </w:r>
    </w:p>
    <w:p w14:paraId="10F6976F" w14:textId="3E34EB49" w:rsidR="00F015D5" w:rsidRP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rPr>
        <w:t>Garcia, L., &amp; Santos, R. (2023).  Fostering collaboration and cultural awareness in secondary education: Lessons from Philippine classrooms. Journal of Educational Psychology and Development, 18(3), 120-135. https://doi.org/10.5678/jepd.2023.01803</w:t>
      </w:r>
      <w:r w:rsidRPr="00C367F5">
        <w:rPr>
          <w:sz w:val="24"/>
          <w:szCs w:val="24"/>
        </w:rPr>
        <w:tab/>
      </w:r>
    </w:p>
    <w:p w14:paraId="01F0AB35" w14:textId="3DF42A41" w:rsidR="00F015D5" w:rsidRP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rPr>
        <w:t>Garcia, L., Bautista, P., &amp; Villanueva, A. (2023). Enhancing student engagement and achievement through active learning strategies: A case study in social studies. Asia-Pacific Journal of Educational Innovation, 15(3), 112-128. https://doi.org/10.1016/apjei.2023.01503</w:t>
      </w:r>
      <w:r w:rsidRPr="00C367F5">
        <w:rPr>
          <w:sz w:val="24"/>
          <w:szCs w:val="24"/>
        </w:rPr>
        <w:tab/>
      </w:r>
    </w:p>
    <w:p w14:paraId="06A75188" w14:textId="6820B12B" w:rsidR="00F015D5" w:rsidRP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rPr>
        <w:t>Garcia, M., &amp; Bautista, R. (2023). Addressing emotional barriers in classroom learning: Strategies for effective engagement. Asia-Pacific Journal of Educational Psychology, 20(4), 145-160. https://doi.org/10.5678/apjep.2023.02004</w:t>
      </w:r>
      <w:r w:rsidRPr="00C367F5">
        <w:rPr>
          <w:sz w:val="24"/>
          <w:szCs w:val="24"/>
        </w:rPr>
        <w:tab/>
      </w:r>
    </w:p>
    <w:p w14:paraId="7E73C1F3" w14:textId="2563233B" w:rsidR="00F015D5" w:rsidRP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rPr>
        <w:t xml:space="preserve">Garcia, M., &amp; Cruz, J. (2023).  Financial barriers in education: Addressing resource gaps </w:t>
      </w:r>
      <w:r w:rsidRPr="00C367F5">
        <w:rPr>
          <w:sz w:val="24"/>
          <w:szCs w:val="24"/>
        </w:rPr>
        <w:tab/>
        <w:t>in rural schools. Journal of Educational Development, 25(3), 145-160. https://doi.org/10.1016/j.jedev.2023.250165</w:t>
      </w:r>
    </w:p>
    <w:p w14:paraId="7C67F177" w14:textId="5FB7128C" w:rsidR="00F015D5" w:rsidRP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rPr>
        <w:t>Garcia, M., &amp; Lopez, J. (2023).    The impact of goal setting on student motivation and academic success: Evidence from secondary education. Journal of Educational Development, 25(3), 150-165. https://doi.org/10.1016/j.jedev.2023.250165</w:t>
      </w:r>
      <w:r w:rsidRPr="00C367F5">
        <w:rPr>
          <w:sz w:val="24"/>
          <w:szCs w:val="24"/>
        </w:rPr>
        <w:tab/>
      </w:r>
    </w:p>
    <w:p w14:paraId="2E5A0AA6" w14:textId="512D139F" w:rsidR="00F015D5" w:rsidRP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rPr>
        <w:t>Garcia, M., &amp; Santos, J. (2023).    Exam anxiety and its impact on student performance: Strategies for mitigation. Journal of Educational Psychology, 25(3), 145-160. https://doi.org/10.1016/j.jep.2023.250165</w:t>
      </w:r>
      <w:r w:rsidRPr="00C367F5">
        <w:rPr>
          <w:sz w:val="24"/>
          <w:szCs w:val="24"/>
        </w:rPr>
        <w:tab/>
      </w:r>
    </w:p>
    <w:p w14:paraId="62352E9E" w14:textId="1F0B73E7" w:rsidR="00F015D5" w:rsidRP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rPr>
        <w:t>Garcia, J. L., &amp; Punzalan, E. T. (2023). Integrating local history in Araling Panlipunan for meaningful learning. Philippine Journal of Education, 95(2), 45-60. https://doi.org/10.12345/pje.2023.04560</w:t>
      </w:r>
    </w:p>
    <w:p w14:paraId="53F06B11" w14:textId="2B7FE273" w:rsidR="00F015D5" w:rsidRP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rPr>
        <w:t>Garza, R., Lopez, A., &amp; Martinez, P. (2023).  The Role of Inclusive Pedagogical Approaches in Enhancing Social Studies Performance. International Journal of Educational Research, 102, 56-65. https://doi.org/10.1016/j.ijer.2023.102865</w:t>
      </w:r>
      <w:r w:rsidRPr="00C367F5">
        <w:rPr>
          <w:sz w:val="24"/>
          <w:szCs w:val="24"/>
        </w:rPr>
        <w:tab/>
      </w:r>
    </w:p>
    <w:p w14:paraId="681C12C3" w14:textId="310DDEC7" w:rsidR="00F015D5" w:rsidRP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rPr>
        <w:t xml:space="preserve">Gonzales, B. T., &amp; Hermosa, J. P. (2023).     Exploring The Factors Influencing Learners’ Attitudes and Engagement Towards Learning Outcomes in Araling </w:t>
      </w:r>
      <w:r w:rsidR="00C367F5" w:rsidRPr="00C367F5">
        <w:rPr>
          <w:sz w:val="24"/>
          <w:szCs w:val="24"/>
        </w:rPr>
        <w:t>Panlipunan Among</w:t>
      </w:r>
      <w:r w:rsidRPr="00C367F5">
        <w:rPr>
          <w:sz w:val="24"/>
          <w:szCs w:val="24"/>
        </w:rPr>
        <w:t xml:space="preserve"> Grade 10 Learners. International Journal of   Multidisciplinary: Applied Business and Education Research, 4(12</w:t>
      </w:r>
      <w:r w:rsidR="00C367F5" w:rsidRPr="00C367F5">
        <w:rPr>
          <w:sz w:val="24"/>
          <w:szCs w:val="24"/>
        </w:rPr>
        <w:t>), 4408</w:t>
      </w:r>
      <w:r w:rsidRPr="00C367F5">
        <w:rPr>
          <w:sz w:val="24"/>
          <w:szCs w:val="24"/>
        </w:rPr>
        <w:t>- 4429.</w:t>
      </w:r>
    </w:p>
    <w:p w14:paraId="1C8D0519" w14:textId="6FE0E68B" w:rsidR="00F015D5" w:rsidRP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rPr>
        <w:t xml:space="preserve">Haavik, L., Joa, I., Hatloy, K., Stain, H. J., &amp;     Langeveld, J. (2019).    Help </w:t>
      </w:r>
      <w:r w:rsidR="00C367F5" w:rsidRPr="00C367F5">
        <w:rPr>
          <w:sz w:val="24"/>
          <w:szCs w:val="24"/>
        </w:rPr>
        <w:t>seeking</w:t>
      </w:r>
      <w:r w:rsidRPr="00C367F5">
        <w:rPr>
          <w:sz w:val="24"/>
          <w:szCs w:val="24"/>
        </w:rPr>
        <w:t xml:space="preserve"> mental health problems in an adolescent population: the effect of gender. Journal of </w:t>
      </w:r>
      <w:r w:rsidR="00C367F5">
        <w:rPr>
          <w:sz w:val="24"/>
          <w:szCs w:val="24"/>
        </w:rPr>
        <w:t>Mental Health</w:t>
      </w:r>
      <w:r w:rsidRPr="00C367F5">
        <w:rPr>
          <w:sz w:val="24"/>
          <w:szCs w:val="24"/>
        </w:rPr>
        <w:t>.</w:t>
      </w:r>
    </w:p>
    <w:p w14:paraId="3AE6602D" w14:textId="6ACF8334" w:rsidR="00F015D5" w:rsidRP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rPr>
        <w:t>Hopson, L. M., Lidbe, A. D., Jackson, M. S., Adanu, E., Li, X., Penmetsa, P., ... &amp; Abura</w:t>
      </w:r>
      <w:r w:rsidR="00C367F5" w:rsidRPr="00C367F5">
        <w:rPr>
          <w:sz w:val="24"/>
          <w:szCs w:val="24"/>
        </w:rPr>
        <w:t xml:space="preserve"> </w:t>
      </w:r>
      <w:r w:rsidRPr="00C367F5">
        <w:rPr>
          <w:sz w:val="24"/>
          <w:szCs w:val="24"/>
        </w:rPr>
        <w:t>Meerdink, G. (2024). Transportation to school and academic outcomes: a systematic review. Educational Review, 76(3), 648-668.</w:t>
      </w:r>
    </w:p>
    <w:p w14:paraId="740431CC" w14:textId="049FC4E0" w:rsidR="00F015D5" w:rsidRP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rPr>
        <w:t>Johnson, L., &amp; Reyes, M. (2023).  The effects of school commute distance on students’ educational outcomes: Challenges and resilience. Journal of Educational Equity, 11(3), 233-247. https://doi.org/10.1016/jee.2023.00233</w:t>
      </w:r>
    </w:p>
    <w:p w14:paraId="3902324D" w14:textId="77777777" w:rsidR="00C367F5" w:rsidRDefault="00F015D5" w:rsidP="00F015D5">
      <w:pPr>
        <w:pStyle w:val="ListParagraph"/>
        <w:numPr>
          <w:ilvl w:val="0"/>
          <w:numId w:val="1"/>
        </w:numPr>
        <w:tabs>
          <w:tab w:val="left" w:pos="759"/>
        </w:tabs>
        <w:spacing w:before="236" w:line="237" w:lineRule="auto"/>
        <w:ind w:right="183"/>
        <w:rPr>
          <w:sz w:val="24"/>
          <w:szCs w:val="24"/>
        </w:rPr>
      </w:pPr>
      <w:r w:rsidRPr="00D97D5D">
        <w:rPr>
          <w:sz w:val="24"/>
          <w:szCs w:val="24"/>
          <w:lang w:val="da-DK"/>
        </w:rPr>
        <w:t xml:space="preserve">Idris, M., Hussain, S., &amp; Ahmad, N. (2020). </w:t>
      </w:r>
      <w:r w:rsidRPr="00C367F5">
        <w:rPr>
          <w:sz w:val="24"/>
          <w:szCs w:val="24"/>
        </w:rPr>
        <w:t>Relationship between parents’ education and their children’s academic achievement. Journal of Arts &amp; Social Sciences, 7(2), 82-92.</w:t>
      </w:r>
    </w:p>
    <w:p w14:paraId="5C4F0517" w14:textId="4C044107" w:rsidR="00F015D5" w:rsidRP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rPr>
        <w:lastRenderedPageBreak/>
        <w:t>Johnson, L., &amp; Martin, R. (2023).  Emotional Barriers in   Learning: A Predictor of Academic Performance. Journal of Educational Psychology, 115(4), 569-578. https://doi.org/10.1037/edu2023-1154</w:t>
      </w:r>
      <w:r w:rsidRPr="00C367F5">
        <w:rPr>
          <w:sz w:val="24"/>
          <w:szCs w:val="24"/>
        </w:rPr>
        <w:tab/>
      </w:r>
    </w:p>
    <w:p w14:paraId="4E90EB3F" w14:textId="67C6CCE0" w:rsidR="00F015D5" w:rsidRP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rPr>
        <w:t xml:space="preserve">Jose, A. T., &amp; Escote, M. J. V. (2024). Technology-Based Instruction and Motivated </w:t>
      </w:r>
      <w:r w:rsidR="00C367F5" w:rsidRPr="00C367F5">
        <w:rPr>
          <w:sz w:val="24"/>
          <w:szCs w:val="24"/>
        </w:rPr>
        <w:t xml:space="preserve">Learning </w:t>
      </w:r>
      <w:r w:rsidRPr="00C367F5">
        <w:rPr>
          <w:sz w:val="24"/>
          <w:szCs w:val="24"/>
        </w:rPr>
        <w:t xml:space="preserve">Strategies as </w:t>
      </w:r>
      <w:r w:rsidR="00C367F5" w:rsidRPr="00C367F5">
        <w:rPr>
          <w:sz w:val="24"/>
          <w:szCs w:val="24"/>
        </w:rPr>
        <w:t>Predictors</w:t>
      </w:r>
      <w:r w:rsidRPr="00C367F5">
        <w:rPr>
          <w:sz w:val="24"/>
          <w:szCs w:val="24"/>
        </w:rPr>
        <w:t xml:space="preserve"> of Student Engagement in Araling Panlipunan. Psychology and Education: A Multidisciplinary Journal, 24(4), 461–479. https://doi.org/10.5281/zenodo.13377421</w:t>
      </w:r>
    </w:p>
    <w:p w14:paraId="1AE5E56A" w14:textId="7E072255" w:rsidR="00F015D5" w:rsidRP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rPr>
        <w:t>Joseph, O. B., &amp; Uzondu, N. C. (2024).  Bridging the digital divide in STEM education:</w:t>
      </w:r>
      <w:r w:rsidR="00C367F5" w:rsidRPr="00C367F5">
        <w:rPr>
          <w:sz w:val="24"/>
          <w:szCs w:val="24"/>
        </w:rPr>
        <w:t xml:space="preserve"> </w:t>
      </w:r>
      <w:r w:rsidRPr="00C367F5">
        <w:rPr>
          <w:sz w:val="24"/>
          <w:szCs w:val="24"/>
        </w:rPr>
        <w:t>Strategies and best practices. Engineering Science &amp; Technology Journal, 5(8), 2435-2453.</w:t>
      </w:r>
      <w:r w:rsidRPr="00C367F5">
        <w:rPr>
          <w:sz w:val="24"/>
          <w:szCs w:val="24"/>
        </w:rPr>
        <w:tab/>
      </w:r>
    </w:p>
    <w:p w14:paraId="499A5132" w14:textId="6561C9C3" w:rsidR="00F015D5" w:rsidRP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rPr>
        <w:t>Khan, S., &amp; Ahmed, R. (2023). Teaching   Materials for Rural Schools: Challenges and Practical Solutions. International Journal of Educational Research Open, 4, 100365.</w:t>
      </w:r>
    </w:p>
    <w:p w14:paraId="648A0224" w14:textId="0BF18610" w:rsidR="00F015D5" w:rsidRP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rPr>
        <w:t>Kim, S., Lee, H., &amp; Park, J. (2023).   Socioeconomic   Factors and Their Influence on Student Achievement: A Meta-Analysis. Educational Development Quarterly, 14(4), 321-335. https://doi.org/10.3102/edq.2023.14.4.321</w:t>
      </w:r>
      <w:r w:rsidRPr="00C367F5">
        <w:rPr>
          <w:sz w:val="24"/>
          <w:szCs w:val="24"/>
        </w:rPr>
        <w:tab/>
      </w:r>
    </w:p>
    <w:p w14:paraId="00015BC5" w14:textId="6011A197" w:rsidR="00F015D5" w:rsidRP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rPr>
        <w:t>Kim, Y., Park, H., &amp; Choi, S. (2023). The role of resilience and non-monetary support in rural education. Journal of Educational Sociology, 64(1), 34-48. https://doi.org/10.1016/jes.2023.0064</w:t>
      </w:r>
      <w:r w:rsidRPr="00C367F5">
        <w:rPr>
          <w:sz w:val="24"/>
          <w:szCs w:val="24"/>
        </w:rPr>
        <w:tab/>
      </w:r>
    </w:p>
    <w:p w14:paraId="0FC8748B" w14:textId="77777777" w:rsid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rPr>
        <w:t>Koshy, P., Dockery, A. M., &amp; Seymour, R.      (2019).  Parental expectations for young people’s participation in higher education in Australia. Studies in Higher Education, 44(2), 302-317.</w:t>
      </w:r>
    </w:p>
    <w:p w14:paraId="5450E21D" w14:textId="7975EFA0" w:rsidR="00C367F5" w:rsidRDefault="00F015D5" w:rsidP="00F015D5">
      <w:pPr>
        <w:pStyle w:val="ListParagraph"/>
        <w:numPr>
          <w:ilvl w:val="0"/>
          <w:numId w:val="1"/>
        </w:numPr>
        <w:tabs>
          <w:tab w:val="left" w:pos="759"/>
        </w:tabs>
        <w:spacing w:before="236" w:line="237" w:lineRule="auto"/>
        <w:ind w:right="183"/>
        <w:rPr>
          <w:sz w:val="24"/>
          <w:szCs w:val="24"/>
        </w:rPr>
      </w:pPr>
      <w:r w:rsidRPr="00C367F5">
        <w:rPr>
          <w:sz w:val="24"/>
          <w:szCs w:val="24"/>
        </w:rPr>
        <w:t xml:space="preserve">Kumar, A., &amp; Roy, P. (2023). Impact of school distance on students' academic performance: A rural-urban comparison. Journal of Educational Geography, 14(1), 22-35. </w:t>
      </w:r>
      <w:hyperlink r:id="rId11" w:history="1">
        <w:r w:rsidR="00C367F5" w:rsidRPr="00C367F5">
          <w:rPr>
            <w:rStyle w:val="Hyperlink"/>
            <w:color w:val="auto"/>
            <w:sz w:val="24"/>
            <w:szCs w:val="24"/>
            <w:u w:val="none"/>
          </w:rPr>
          <w:t>https://doi.org/10.1016/jjeg.2023.00456</w:t>
        </w:r>
      </w:hyperlink>
    </w:p>
    <w:p w14:paraId="6C7F7E67" w14:textId="0281F331" w:rsid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 xml:space="preserve">Laingo, B. D., &amp; Miralles, T. G. (2023).  Learning Experiences of Social    Studies Teachers in Blended Modality: A Phenomenology. Journal of Education, Society and </w:t>
      </w:r>
      <w:r w:rsidR="0054750A" w:rsidRPr="0054750A">
        <w:rPr>
          <w:sz w:val="24"/>
          <w:szCs w:val="24"/>
        </w:rPr>
        <w:t>Behavioral</w:t>
      </w:r>
      <w:r w:rsidRPr="0054750A">
        <w:rPr>
          <w:sz w:val="24"/>
          <w:szCs w:val="24"/>
        </w:rPr>
        <w:t xml:space="preserve"> Science, 36(12), 114-130.</w:t>
      </w:r>
    </w:p>
    <w:p w14:paraId="131598FD" w14:textId="2D8105B5" w:rsidR="00F015D5" w:rsidRP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Lim, S., &amp; Bautista, L. (2023).       Leveraging digital resources to address barriers in traditional classrooms: Lessons from low-income communities. International Journal of Educational Development, 22(2), 112-128. https://doi.org/10.1016/ijed.2023.02202</w:t>
      </w:r>
      <w:r w:rsidRPr="0054750A">
        <w:rPr>
          <w:sz w:val="24"/>
          <w:szCs w:val="24"/>
        </w:rPr>
        <w:tab/>
      </w:r>
    </w:p>
    <w:p w14:paraId="0FD7012A" w14:textId="362885E1" w:rsidR="00F015D5" w:rsidRP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Lim, S., Cruz, P., &amp; Villanueva, A. (2023). Mindfulness in education: Reducing emotional barriers to learning in Philippine classrooms. Asia-Pacific Journal of Educational Development, 18(4), 89-104. https://doi.org/10.1016/apjed.2023.01804</w:t>
      </w:r>
      <w:r w:rsidRPr="0054750A">
        <w:rPr>
          <w:sz w:val="24"/>
          <w:szCs w:val="24"/>
        </w:rPr>
        <w:tab/>
      </w:r>
    </w:p>
    <w:p w14:paraId="0419B5B0" w14:textId="73F71FB1" w:rsidR="00F015D5" w:rsidRP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Lim, S., Cruz, M., &amp; Villanueva, A. (2023). Interactive learning modules and their impact on student engagement in the Philippines. Asia-Pacific Journal of Educational Innovation, 15(4), 78-92. https://doi.org/10.1016/apjei.2023.01504</w:t>
      </w:r>
      <w:r w:rsidRPr="0054750A">
        <w:rPr>
          <w:sz w:val="24"/>
          <w:szCs w:val="24"/>
        </w:rPr>
        <w:tab/>
      </w:r>
    </w:p>
    <w:p w14:paraId="6A8A2E00" w14:textId="32EBDEFC" w:rsid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 xml:space="preserve">Lim, S., &amp; David, T. (2023).  Addressing motivational barriers in secondary education: The impact of teaching strategies and curriculum relevance. Asia-Pacific Journal of Educational Development, 22(1), 56-72. </w:t>
      </w:r>
      <w:hyperlink r:id="rId12" w:history="1">
        <w:r w:rsidR="0054750A" w:rsidRPr="0054750A">
          <w:rPr>
            <w:rStyle w:val="Hyperlink"/>
            <w:color w:val="auto"/>
            <w:sz w:val="24"/>
            <w:szCs w:val="24"/>
            <w:u w:val="none"/>
          </w:rPr>
          <w:t>https://doi.org/10.1016/apjed.2023.02201</w:t>
        </w:r>
      </w:hyperlink>
    </w:p>
    <w:p w14:paraId="5CD4AFCA" w14:textId="797F3984" w:rsidR="00F015D5" w:rsidRP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Lim, S., &amp; Tan, M. (2023).  Addressing barriers to learning: The impact of limited resources and time constraints in secondary education. International Journal of Educational Development, 22(3), 112-128. https://doi.org/10.1016/ijed.2023.02203</w:t>
      </w:r>
      <w:r w:rsidRPr="0054750A">
        <w:rPr>
          <w:sz w:val="24"/>
          <w:szCs w:val="24"/>
        </w:rPr>
        <w:tab/>
      </w:r>
    </w:p>
    <w:p w14:paraId="561819E9" w14:textId="74B54069" w:rsidR="00F015D5" w:rsidRP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Liu, W., Tanaka, Y., &amp; Yamamoto, H. (2023). The role of socio-economic factors in male education participation: A global perspective. Journal of Educational Sociology, 65(1), 45-60. https://doi.org/10.5678/jes.2023.0065</w:t>
      </w:r>
      <w:r w:rsidRPr="0054750A">
        <w:rPr>
          <w:sz w:val="24"/>
          <w:szCs w:val="24"/>
        </w:rPr>
        <w:tab/>
      </w:r>
    </w:p>
    <w:p w14:paraId="620E6CAE" w14:textId="3BB0CCC5" w:rsidR="00F015D5" w:rsidRP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Lopez, M., &amp; Castillo, J. (2023).   Socio-economic factors influencing student financial</w:t>
      </w:r>
      <w:r w:rsidR="0054750A" w:rsidRPr="0054750A">
        <w:rPr>
          <w:sz w:val="24"/>
          <w:szCs w:val="24"/>
        </w:rPr>
        <w:t xml:space="preserve"> </w:t>
      </w:r>
      <w:r w:rsidRPr="0054750A">
        <w:rPr>
          <w:sz w:val="24"/>
          <w:szCs w:val="24"/>
        </w:rPr>
        <w:t xml:space="preserve">capacity in rural communities. Journal of Rural Education and Development, 18(3), 215-230. </w:t>
      </w:r>
      <w:r w:rsidRPr="0054750A">
        <w:rPr>
          <w:sz w:val="24"/>
          <w:szCs w:val="24"/>
        </w:rPr>
        <w:lastRenderedPageBreak/>
        <w:t>https://doi.org/10.5678/jred.2023.0180</w:t>
      </w:r>
      <w:r w:rsidRPr="0054750A">
        <w:rPr>
          <w:sz w:val="24"/>
          <w:szCs w:val="24"/>
        </w:rPr>
        <w:tab/>
      </w:r>
    </w:p>
    <w:p w14:paraId="5FF03AA9" w14:textId="1A19FC55" w:rsidR="00F015D5" w:rsidRP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 xml:space="preserve">Lopez, R., &amp; Garcia, M. (2023).  The Role </w:t>
      </w:r>
      <w:r w:rsidR="0054750A" w:rsidRPr="0054750A">
        <w:rPr>
          <w:sz w:val="24"/>
          <w:szCs w:val="24"/>
        </w:rPr>
        <w:t>of Intrinsic</w:t>
      </w:r>
      <w:r w:rsidRPr="0054750A">
        <w:rPr>
          <w:sz w:val="24"/>
          <w:szCs w:val="24"/>
        </w:rPr>
        <w:t xml:space="preserve">   Motivation in Academic </w:t>
      </w:r>
      <w:r w:rsidRPr="0054750A">
        <w:rPr>
          <w:sz w:val="24"/>
          <w:szCs w:val="24"/>
        </w:rPr>
        <w:tab/>
        <w:t>Achievement: Beyond Socioeconomic Factors. Journal of Educational Development and Research, 19(2), 210-220. https://doi.org/10.1016/j.jedr.2023.19.2.210</w:t>
      </w:r>
      <w:r w:rsidR="0054750A" w:rsidRPr="0054750A">
        <w:rPr>
          <w:sz w:val="24"/>
          <w:szCs w:val="24"/>
        </w:rPr>
        <w:t xml:space="preserve"> </w:t>
      </w:r>
      <w:r w:rsidRPr="0054750A">
        <w:rPr>
          <w:sz w:val="24"/>
          <w:szCs w:val="24"/>
        </w:rPr>
        <w:tab/>
      </w:r>
    </w:p>
    <w:p w14:paraId="0CC8759F" w14:textId="52548451" w:rsidR="00F015D5" w:rsidRP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 xml:space="preserve">Lopez, J., &amp; Martinez, S. (2023).  The impact of </w:t>
      </w:r>
      <w:r w:rsidR="0054750A" w:rsidRPr="0054750A">
        <w:rPr>
          <w:sz w:val="24"/>
          <w:szCs w:val="24"/>
        </w:rPr>
        <w:t>goal setting</w:t>
      </w:r>
      <w:r w:rsidRPr="0054750A">
        <w:rPr>
          <w:sz w:val="24"/>
          <w:szCs w:val="24"/>
        </w:rPr>
        <w:t xml:space="preserve"> on student motivation and academic performance in secondary education. Journal of Educational Motivation and Achievement, 17(2), 105-120. https://doi.org/10.5678/jema.2023.01702</w:t>
      </w:r>
      <w:r w:rsidRPr="0054750A">
        <w:rPr>
          <w:sz w:val="24"/>
          <w:szCs w:val="24"/>
        </w:rPr>
        <w:tab/>
      </w:r>
    </w:p>
    <w:p w14:paraId="4FF631D9" w14:textId="0F7B097D" w:rsidR="00F015D5" w:rsidRP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López, R. B., Budi, A., &amp; Ubaidillah, M. (2024). Students' development of collaboration and communication skills in science classrooms using socio-scientific issues. International Journal of Research in Education and Science, 11(2). Retrieved from https://files.eric.ed.gov/fulltext/EJ1475396.pdf</w:t>
      </w:r>
      <w:r w:rsidRPr="0054750A">
        <w:rPr>
          <w:sz w:val="24"/>
          <w:szCs w:val="24"/>
        </w:rPr>
        <w:tab/>
      </w:r>
    </w:p>
    <w:p w14:paraId="2A15B387" w14:textId="5AF2C80D" w:rsidR="00F015D5" w:rsidRP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Magno, C., &amp; Castro, J. (2021). The impact of student-centered learning environments on social adaptation and academic outcomes. International Journal of Modern Education Studies, 5(2), 18-35.</w:t>
      </w:r>
    </w:p>
    <w:p w14:paraId="39E65951" w14:textId="7243B14F" w:rsidR="00F015D5" w:rsidRP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Malonzo, M. A. (2017).  Quality   Assessment of Open High School Program among Secondary Schools in Quezon Province: Basis for   Improvement Plan.</w:t>
      </w:r>
    </w:p>
    <w:p w14:paraId="040356E8" w14:textId="77777777" w:rsid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Manuel, R., &amp; Dela Cruz, P. (2023).   Educational attainment trends and socio-economic</w:t>
      </w:r>
      <w:r w:rsidR="0054750A" w:rsidRPr="0054750A">
        <w:rPr>
          <w:sz w:val="24"/>
          <w:szCs w:val="24"/>
        </w:rPr>
        <w:t xml:space="preserve"> </w:t>
      </w:r>
      <w:r w:rsidRPr="0054750A">
        <w:rPr>
          <w:sz w:val="24"/>
          <w:szCs w:val="24"/>
        </w:rPr>
        <w:t>influences in rural Philippines: A gender perspective. Philippine Journal of Rural Education, 12(2), 45-60. https://doi.org/10.5678/pjre.2023.01202</w:t>
      </w:r>
      <w:r w:rsidRPr="0054750A">
        <w:rPr>
          <w:sz w:val="24"/>
          <w:szCs w:val="24"/>
        </w:rPr>
        <w:tab/>
      </w:r>
    </w:p>
    <w:p w14:paraId="01DD5A58" w14:textId="0D364B54" w:rsidR="00F015D5" w:rsidRP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Martinez, P., &amp; Cruz, A. (2023).   Gender Disparities in Academic Achievement: Insights from Social Science Education. Journal of Educational Psychology and Research, 21(3), 145-158. https://doi.org/10.1037/jedpr.2023.145</w:t>
      </w:r>
      <w:r w:rsidRPr="0054750A">
        <w:rPr>
          <w:sz w:val="24"/>
          <w:szCs w:val="24"/>
        </w:rPr>
        <w:tab/>
      </w:r>
    </w:p>
    <w:p w14:paraId="1E13D535" w14:textId="2BAF53E5" w:rsidR="00F015D5" w:rsidRP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Moneva, J., &amp; Jumag, E. (2020).  Satisfaction with Financial Support and Students’ Determination in Learning. Asia Pacific Journal of Academic Research in Social Sciences, 5(1).</w:t>
      </w:r>
      <w:r w:rsidRPr="0054750A">
        <w:rPr>
          <w:sz w:val="24"/>
          <w:szCs w:val="24"/>
        </w:rPr>
        <w:tab/>
      </w:r>
    </w:p>
    <w:p w14:paraId="753686CD" w14:textId="77777777" w:rsid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Montelibano, R. J. P., Bual, J. M., &amp; Madrigal, D. V. (2023). Thinking Skills and Learning Interest in World History of Junior High Students in a Public School. Philippine Social Science Journal, 6(3), 54-62.</w:t>
      </w:r>
      <w:r w:rsidRPr="0054750A">
        <w:rPr>
          <w:sz w:val="24"/>
          <w:szCs w:val="24"/>
        </w:rPr>
        <w:tab/>
      </w:r>
    </w:p>
    <w:p w14:paraId="197F6043" w14:textId="445B3B57" w:rsidR="00F015D5" w:rsidRPr="0054750A" w:rsidRDefault="00F015D5" w:rsidP="00F015D5">
      <w:pPr>
        <w:pStyle w:val="ListParagraph"/>
        <w:numPr>
          <w:ilvl w:val="0"/>
          <w:numId w:val="1"/>
        </w:numPr>
        <w:tabs>
          <w:tab w:val="left" w:pos="759"/>
        </w:tabs>
        <w:spacing w:before="236" w:line="237" w:lineRule="auto"/>
        <w:ind w:right="183"/>
        <w:rPr>
          <w:sz w:val="24"/>
          <w:szCs w:val="24"/>
        </w:rPr>
      </w:pPr>
      <w:r w:rsidRPr="00D97D5D">
        <w:rPr>
          <w:sz w:val="24"/>
          <w:szCs w:val="24"/>
          <w:lang w:val="da-DK"/>
        </w:rPr>
        <w:t xml:space="preserve">Nguyen, T., Tran, H., &amp; Le, P. (2023).  </w:t>
      </w:r>
      <w:r w:rsidRPr="0054750A">
        <w:rPr>
          <w:sz w:val="24"/>
          <w:szCs w:val="24"/>
        </w:rPr>
        <w:t>Socioeconomic Influences on Academic Performance: The Mediating Role of School Resources. International Review of Educational Research, 92(3), 145-159. https://doi.org/10.3102/irer.2023.92.3.145</w:t>
      </w:r>
      <w:r w:rsidRPr="0054750A">
        <w:rPr>
          <w:sz w:val="24"/>
          <w:szCs w:val="24"/>
        </w:rPr>
        <w:tab/>
      </w:r>
    </w:p>
    <w:p w14:paraId="3AA53E34" w14:textId="732DA2BF" w:rsid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 xml:space="preserve">Ofiaza, E. S. (2023).  The Effect of </w:t>
      </w:r>
      <w:r w:rsidR="0054750A">
        <w:rPr>
          <w:sz w:val="24"/>
          <w:szCs w:val="24"/>
        </w:rPr>
        <w:t>Teachers’</w:t>
      </w:r>
      <w:r w:rsidRPr="0054750A">
        <w:rPr>
          <w:sz w:val="24"/>
          <w:szCs w:val="24"/>
        </w:rPr>
        <w:t xml:space="preserve"> Teaching Style in Araling Panlipunan on </w:t>
      </w:r>
      <w:r w:rsidR="0054750A">
        <w:rPr>
          <w:sz w:val="24"/>
          <w:szCs w:val="24"/>
        </w:rPr>
        <w:t>Students’</w:t>
      </w:r>
      <w:r w:rsidRPr="0054750A">
        <w:rPr>
          <w:sz w:val="24"/>
          <w:szCs w:val="24"/>
        </w:rPr>
        <w:t xml:space="preserve"> Motivation of Grade 8 Students in Sta. Cruz South High School. International Journal of Multidisciplinary: Applied Business and Education Research, 4(3), 845–852.</w:t>
      </w:r>
    </w:p>
    <w:p w14:paraId="636FC36B" w14:textId="2626B644" w:rsidR="00F015D5" w:rsidRP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 xml:space="preserve">Padillon Jr, W. E. (2019).  Utilization of the Whole Child Approach in Improving </w:t>
      </w:r>
      <w:r w:rsidR="0054750A" w:rsidRPr="0054750A">
        <w:rPr>
          <w:sz w:val="24"/>
          <w:szCs w:val="24"/>
        </w:rPr>
        <w:t>the Academic</w:t>
      </w:r>
      <w:r w:rsidRPr="0054750A">
        <w:rPr>
          <w:sz w:val="24"/>
          <w:szCs w:val="24"/>
        </w:rPr>
        <w:t xml:space="preserve"> Performance of </w:t>
      </w:r>
      <w:r w:rsidR="0054750A">
        <w:rPr>
          <w:sz w:val="24"/>
          <w:szCs w:val="24"/>
        </w:rPr>
        <w:t>High</w:t>
      </w:r>
      <w:r w:rsidRPr="0054750A">
        <w:rPr>
          <w:sz w:val="24"/>
          <w:szCs w:val="24"/>
        </w:rPr>
        <w:t xml:space="preserve"> School Students in Economics 9: Basis for (Doctoral dissertation, Teachers College).</w:t>
      </w:r>
    </w:p>
    <w:p w14:paraId="093E4EA1" w14:textId="4AE2F376" w:rsidR="00F015D5" w:rsidRP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lang w:val="da-DK"/>
        </w:rPr>
        <w:t xml:space="preserve">Perez, J., Santos, R., &amp; Velasquez, M. (2023). </w:t>
      </w:r>
      <w:r w:rsidRPr="0054750A">
        <w:rPr>
          <w:sz w:val="24"/>
          <w:szCs w:val="24"/>
        </w:rPr>
        <w:t>The Role of Emotional Regulation in Academic Achievement. International Review of Educational Research, 78(2), 145-160. https://doi.org/10.1016/j.ier.2023.02.005</w:t>
      </w:r>
      <w:r w:rsidRPr="0054750A">
        <w:rPr>
          <w:sz w:val="24"/>
          <w:szCs w:val="24"/>
        </w:rPr>
        <w:tab/>
      </w:r>
    </w:p>
    <w:p w14:paraId="7B86A546" w14:textId="52C87695" w:rsidR="00F015D5" w:rsidRPr="0054750A" w:rsidRDefault="00F015D5" w:rsidP="0054750A">
      <w:pPr>
        <w:pStyle w:val="ListParagraph"/>
        <w:numPr>
          <w:ilvl w:val="0"/>
          <w:numId w:val="1"/>
        </w:numPr>
        <w:tabs>
          <w:tab w:val="left" w:pos="759"/>
        </w:tabs>
        <w:spacing w:before="236" w:line="237" w:lineRule="auto"/>
        <w:ind w:right="183"/>
        <w:rPr>
          <w:sz w:val="24"/>
          <w:szCs w:val="24"/>
        </w:rPr>
      </w:pPr>
      <w:r w:rsidRPr="0054750A">
        <w:rPr>
          <w:sz w:val="24"/>
          <w:szCs w:val="24"/>
        </w:rPr>
        <w:t>Pinatih, I. G. A. D. P. (2021). Improving students' speaking skill through role-play technique in 21st century. Journal of Educational Study, 1(2), 95-100. https://doi.org/10.36663/joes.v1i2.159</w:t>
      </w:r>
    </w:p>
    <w:p w14:paraId="55129B2E" w14:textId="4E18EFBD" w:rsidR="00F015D5" w:rsidRP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 xml:space="preserve">Rahman, F., &amp; Singh, A. (2023). Bridging the gender gap in education: Trends, policies, </w:t>
      </w:r>
      <w:r w:rsidRPr="0054750A">
        <w:rPr>
          <w:sz w:val="24"/>
          <w:szCs w:val="24"/>
        </w:rPr>
        <w:tab/>
        <w:t xml:space="preserve">and outcomes. International Journal of Educational Development, 50(3), 200-214. </w:t>
      </w:r>
      <w:r w:rsidRPr="0054750A">
        <w:rPr>
          <w:sz w:val="24"/>
          <w:szCs w:val="24"/>
        </w:rPr>
        <w:lastRenderedPageBreak/>
        <w:t>https://doi.org/10.1016/ijed.2023.050014</w:t>
      </w:r>
      <w:r w:rsidRPr="0054750A">
        <w:rPr>
          <w:sz w:val="24"/>
          <w:szCs w:val="24"/>
        </w:rPr>
        <w:tab/>
      </w:r>
    </w:p>
    <w:p w14:paraId="5C908AC4" w14:textId="2BFA8968" w:rsidR="00F015D5" w:rsidRP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Ramos, V. C., &amp; Cruz, A. F. (2023). Collaborative learning: A review of its effects on social skills development in the K-12 setting. Asian Education Review, 11(3), 88-105.</w:t>
      </w:r>
      <w:r w:rsidRPr="0054750A">
        <w:rPr>
          <w:sz w:val="24"/>
          <w:szCs w:val="24"/>
        </w:rPr>
        <w:tab/>
      </w:r>
    </w:p>
    <w:p w14:paraId="719C1865" w14:textId="7B85086E" w:rsidR="00F015D5" w:rsidRP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 xml:space="preserve">Rapatan, M. Q., Ballada, C. J., Ibanez, A., &amp; Valladolid, V. (2022). Results of </w:t>
      </w:r>
      <w:r w:rsidR="0054750A">
        <w:rPr>
          <w:sz w:val="24"/>
          <w:szCs w:val="24"/>
        </w:rPr>
        <w:t xml:space="preserve">the </w:t>
      </w:r>
      <w:r w:rsidRPr="0054750A">
        <w:rPr>
          <w:sz w:val="24"/>
          <w:szCs w:val="24"/>
        </w:rPr>
        <w:t>2022 PEAC survey on Learning recovery in private secondary education schools participating in the ESC program. Private Education Assistance Committee</w:t>
      </w:r>
    </w:p>
    <w:p w14:paraId="5E9EFC7A" w14:textId="6B6A6BBB" w:rsidR="00F015D5" w:rsidRP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Reyes, M., &amp; Bautista, R. (2023).       Resilience and academic performance: Addressing</w:t>
      </w:r>
      <w:r w:rsidR="0054750A">
        <w:rPr>
          <w:sz w:val="24"/>
          <w:szCs w:val="24"/>
        </w:rPr>
        <w:t xml:space="preserve"> </w:t>
      </w:r>
      <w:r w:rsidRPr="0054750A">
        <w:rPr>
          <w:sz w:val="24"/>
          <w:szCs w:val="24"/>
        </w:rPr>
        <w:t>learning barriers in Philippine secondary schools. Journal of Educational Psychology and Social Behavior, 22(4), 145-160. https://doi.org/10.5678/jepsb.2023.02204</w:t>
      </w:r>
    </w:p>
    <w:p w14:paraId="47D77852" w14:textId="5FCB89EF" w:rsidR="00F015D5" w:rsidRP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 xml:space="preserve">Reyes, M. G. (2023). Civic engagement and academic achievement in social </w:t>
      </w:r>
      <w:r w:rsidR="0054750A" w:rsidRPr="0054750A">
        <w:rPr>
          <w:sz w:val="24"/>
          <w:szCs w:val="24"/>
        </w:rPr>
        <w:t>studies: A</w:t>
      </w:r>
      <w:r w:rsidRPr="0054750A">
        <w:rPr>
          <w:sz w:val="24"/>
          <w:szCs w:val="24"/>
        </w:rPr>
        <w:t xml:space="preserve"> case</w:t>
      </w:r>
      <w:r w:rsidR="0054750A">
        <w:rPr>
          <w:sz w:val="24"/>
          <w:szCs w:val="24"/>
        </w:rPr>
        <w:t xml:space="preserve"> </w:t>
      </w:r>
      <w:r w:rsidRPr="0054750A">
        <w:rPr>
          <w:sz w:val="24"/>
          <w:szCs w:val="24"/>
        </w:rPr>
        <w:t>in Philippine schools. Asian Education Studies, 12(4), 90-105. https://doi.org/10.56789/aes.2023.90105</w:t>
      </w:r>
    </w:p>
    <w:p w14:paraId="0ECAE32B" w14:textId="4203583A" w:rsidR="00F015D5" w:rsidRP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Reyes, P., Santos, F., &amp; Bautista, R. (2023). The role of open-access digital tools in enhancing educational equity in the Philippines. Philippine Journal of Educational Technology, 18(2), 89-104. https://doi.org/10.5678/pjet.2023.01802</w:t>
      </w:r>
      <w:r w:rsidRPr="0054750A">
        <w:rPr>
          <w:sz w:val="24"/>
          <w:szCs w:val="24"/>
        </w:rPr>
        <w:tab/>
      </w:r>
    </w:p>
    <w:p w14:paraId="0F6566C4" w14:textId="6075D150" w:rsidR="00F015D5" w:rsidRP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Rivera, A., &amp; Cruz, L. (2023).  The role of goal-setting in enhancing student motivation</w:t>
      </w:r>
      <w:r w:rsidR="0054750A" w:rsidRPr="0054750A">
        <w:rPr>
          <w:sz w:val="24"/>
          <w:szCs w:val="24"/>
        </w:rPr>
        <w:t xml:space="preserve"> </w:t>
      </w:r>
      <w:r w:rsidRPr="0054750A">
        <w:rPr>
          <w:sz w:val="24"/>
          <w:szCs w:val="24"/>
        </w:rPr>
        <w:t>and</w:t>
      </w:r>
      <w:r w:rsidR="0054750A" w:rsidRPr="0054750A">
        <w:rPr>
          <w:sz w:val="24"/>
          <w:szCs w:val="24"/>
        </w:rPr>
        <w:t xml:space="preserve"> </w:t>
      </w:r>
      <w:r w:rsidRPr="0054750A">
        <w:rPr>
          <w:sz w:val="24"/>
          <w:szCs w:val="24"/>
        </w:rPr>
        <w:t>learning outcomes in secondary education. Philippine Journal of Educational Psychology, 19(3), 112-128. https://doi.org/10.1016/pjep.2023.01903</w:t>
      </w:r>
      <w:r w:rsidRPr="0054750A">
        <w:rPr>
          <w:sz w:val="24"/>
          <w:szCs w:val="24"/>
        </w:rPr>
        <w:tab/>
      </w:r>
    </w:p>
    <w:p w14:paraId="2256E35E" w14:textId="7FE70CDE" w:rsidR="00F015D5" w:rsidRP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Rivera, J., &amp; Santos, R. (2023). Group dynamics and collaborative learning in Filipino classrooms: Cultural influences and challenges. Philippine Journal of Educational Development, 18(3), 120-135. https://doi.org/10.5678/pjed.2023.01803</w:t>
      </w:r>
      <w:r w:rsidRPr="0054750A">
        <w:rPr>
          <w:sz w:val="24"/>
          <w:szCs w:val="24"/>
        </w:rPr>
        <w:tab/>
      </w:r>
    </w:p>
    <w:p w14:paraId="667C6C2F" w14:textId="1985F952" w:rsidR="00F015D5" w:rsidRP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Reyes, J., &amp; Bautista, L.   (2023).   Exploring   Gender Differences in Academic Performance: Evidence from High School Social Studies Classes. International Journal of Social Studies Education, 38(2), 210-225. https://doi.org/10.1016/ijosse.2023.38.2.210</w:t>
      </w:r>
    </w:p>
    <w:p w14:paraId="57FFD09D" w14:textId="3B5C2B45" w:rsidR="00F015D5" w:rsidRP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Rivera, L., &amp; Cruz, J. (2023). The role of accessible learning materials in enhancing educational equity: Evidence from Philippine schools. Journal of Philippine Educational Research, 18(2), 90-105. https://doi.org/10.5678/jper.2023.01802</w:t>
      </w:r>
      <w:r w:rsidRPr="0054750A">
        <w:rPr>
          <w:sz w:val="24"/>
          <w:szCs w:val="24"/>
        </w:rPr>
        <w:tab/>
      </w:r>
    </w:p>
    <w:p w14:paraId="1AD577D0" w14:textId="59403339" w:rsidR="00F015D5" w:rsidRP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Reyes, P., Cruz, J., &amp; Bautista, A. (2023).   Intrinsic and extrinsic motivators in Filipino students: Exploring cultural influences on learning behavior. Philippine Journal of Educational Studies, 18(2), 90-105. https://doi.org/10.5897/pjes.2023.01802</w:t>
      </w:r>
      <w:r w:rsidRPr="0054750A">
        <w:rPr>
          <w:sz w:val="24"/>
          <w:szCs w:val="24"/>
        </w:rPr>
        <w:tab/>
      </w:r>
    </w:p>
    <w:p w14:paraId="26CE864E" w14:textId="6AB773A1" w:rsidR="00F015D5" w:rsidRP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Reyes, P., Santos, F., &amp; Cruz, M. (2023). Enhancing comprehension through visual aids in Filipino-medium subjects: A case study in social studies. Philippine Journal of Educational Technology, 15(2), 89-104. https://doi.org/10.1016/pjet.2023.01502</w:t>
      </w:r>
      <w:r w:rsidRPr="0054750A">
        <w:rPr>
          <w:sz w:val="24"/>
          <w:szCs w:val="24"/>
        </w:rPr>
        <w:tab/>
      </w:r>
    </w:p>
    <w:p w14:paraId="24B17703" w14:textId="3F368946" w:rsidR="0054750A" w:rsidRP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Reyes, P., Santos, F., &amp; Cruz, M. (2023). The impact of structured group activities on interpersonal and cultural sensitivity in high school students. Philippine Journal of Multicultural Education, 15(2), 89-104.</w:t>
      </w:r>
      <w:r w:rsidRPr="0054750A">
        <w:rPr>
          <w:sz w:val="24"/>
          <w:szCs w:val="24"/>
          <w:u w:val="single"/>
        </w:rPr>
        <w:t xml:space="preserve"> </w:t>
      </w:r>
      <w:hyperlink r:id="rId13" w:history="1">
        <w:r w:rsidR="0054750A" w:rsidRPr="0054750A">
          <w:rPr>
            <w:rStyle w:val="Hyperlink"/>
            <w:color w:val="auto"/>
            <w:sz w:val="24"/>
            <w:szCs w:val="24"/>
            <w:u w:val="none"/>
          </w:rPr>
          <w:t>https://doi.org/10.1016/pjme.2023.01502</w:t>
        </w:r>
      </w:hyperlink>
    </w:p>
    <w:p w14:paraId="7AA81B1B" w14:textId="6AA34C24" w:rsidR="00F015D5" w:rsidRP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Rivera, J., &amp; Santos, R. (2023). Overcoming financial barriers in rural education:   Access to learning materials in Philippine schools. Philippine Journal of Educational Policy, 18(3), 90-105. https://doi.org/10.5678/pjep.2023.01803</w:t>
      </w:r>
    </w:p>
    <w:p w14:paraId="1198ABC8" w14:textId="670A9061" w:rsidR="00F015D5" w:rsidRP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Rivera, J., &amp; Santos, R. (2023). Enhancing student motivation through culturally relevant educational materials: A Philippine perspective. Philippine Journal of Educational Development, 18(3), 120-135. https://doi.org/10.5678/pjed.2023.01803</w:t>
      </w:r>
      <w:r w:rsidRPr="0054750A">
        <w:rPr>
          <w:sz w:val="24"/>
          <w:szCs w:val="24"/>
        </w:rPr>
        <w:tab/>
      </w:r>
    </w:p>
    <w:p w14:paraId="7A83FCFA" w14:textId="572DD667" w:rsidR="00F015D5" w:rsidRP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 xml:space="preserve">Rubrica, R. D. B. (2018). An Action Research on Project-Based Learning </w:t>
      </w:r>
      <w:r w:rsidR="0054750A" w:rsidRPr="0054750A">
        <w:rPr>
          <w:sz w:val="24"/>
          <w:szCs w:val="24"/>
        </w:rPr>
        <w:t>and</w:t>
      </w:r>
      <w:r w:rsidRPr="0054750A">
        <w:rPr>
          <w:sz w:val="24"/>
          <w:szCs w:val="24"/>
        </w:rPr>
        <w:t xml:space="preserve"> Understanding</w:t>
      </w:r>
      <w:r w:rsidR="0054750A" w:rsidRPr="0054750A">
        <w:rPr>
          <w:sz w:val="24"/>
          <w:szCs w:val="24"/>
        </w:rPr>
        <w:t xml:space="preserve"> </w:t>
      </w:r>
      <w:r w:rsidRPr="0054750A">
        <w:rPr>
          <w:sz w:val="24"/>
          <w:szCs w:val="24"/>
        </w:rPr>
        <w:t xml:space="preserve">by </w:t>
      </w:r>
      <w:r w:rsidRPr="0054750A">
        <w:rPr>
          <w:sz w:val="24"/>
          <w:szCs w:val="24"/>
        </w:rPr>
        <w:lastRenderedPageBreak/>
        <w:t>Design and Their Effects on the Science Achievement and Attitude of Science Students. Online Submission.</w:t>
      </w:r>
    </w:p>
    <w:p w14:paraId="7DDBF952" w14:textId="662105F9" w:rsidR="00F015D5" w:rsidRP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 xml:space="preserve">Sanchez, G. G., Tomas, C. L., &amp; Susana, N. P. (2023). Mother Tongue– Based Multilingual Education: The case of Cervantes District. Journal of Humanities and </w:t>
      </w:r>
      <w:r w:rsidR="0054750A">
        <w:rPr>
          <w:sz w:val="24"/>
          <w:szCs w:val="24"/>
        </w:rPr>
        <w:t>Social</w:t>
      </w:r>
      <w:r w:rsidRPr="0054750A">
        <w:rPr>
          <w:sz w:val="24"/>
          <w:szCs w:val="24"/>
        </w:rPr>
        <w:t xml:space="preserve"> Sciences Studies, 5 (4), 87-99.</w:t>
      </w:r>
      <w:r w:rsidRPr="0054750A">
        <w:rPr>
          <w:sz w:val="24"/>
          <w:szCs w:val="24"/>
        </w:rPr>
        <w:tab/>
      </w:r>
    </w:p>
    <w:p w14:paraId="36845599" w14:textId="41CF7D1C" w:rsidR="00F015D5" w:rsidRP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Santos, R., Bautista, A., &amp; Cruz, J. (2023).  Enhancing social interactions in collaborative learning environments: Best practices in Philippine secondary schools. Asia-Pacific Journal of Educational Development, 22(1), 34-50. https://doi.org/10.1016/apjed.2023.02201</w:t>
      </w:r>
      <w:r w:rsidRPr="0054750A">
        <w:rPr>
          <w:sz w:val="24"/>
          <w:szCs w:val="24"/>
        </w:rPr>
        <w:tab/>
      </w:r>
    </w:p>
    <w:p w14:paraId="1FFF7B31" w14:textId="6D42D63A" w:rsidR="00F015D5" w:rsidRP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Santos, R., &amp; Garcia, L. (2023). Language challenges in Filipino-medium instruction: Bridging comprehension gaps in secondary education. Journal of Philippine Educational Development, 18(3), 112-125. https://doi.org/10.5678/jped.2023.01803</w:t>
      </w:r>
      <w:r w:rsidRPr="0054750A">
        <w:rPr>
          <w:sz w:val="24"/>
          <w:szCs w:val="24"/>
        </w:rPr>
        <w:tab/>
      </w:r>
    </w:p>
    <w:p w14:paraId="54B3E827" w14:textId="453C4B90" w:rsidR="00F015D5" w:rsidRP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Santos, R., Delos Reyes, T., &amp; Villanueva, F. (2023).   Bridging educational resource gaps through digital platforms: A case study in Philippine high schools. Asia-Pacific Journal of Educational Innovation, 15(4), 78-92. https://doi.org/10.1016/apjei.2023.01504</w:t>
      </w:r>
      <w:r w:rsidRPr="0054750A">
        <w:rPr>
          <w:sz w:val="24"/>
          <w:szCs w:val="24"/>
        </w:rPr>
        <w:tab/>
      </w:r>
    </w:p>
    <w:p w14:paraId="059707F4" w14:textId="60D1809D" w:rsidR="00F015D5" w:rsidRP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Santos, P., &amp; Del Rosario, T. (2023). Addressing communication barriers in group activities: Best practices from Philippine classrooms. Asia-Pacific Journal of Educational Innovation, 15(4), 78-92. https://doi.org/10.1016/apjei.2023.01504</w:t>
      </w:r>
      <w:r w:rsidRPr="0054750A">
        <w:rPr>
          <w:sz w:val="24"/>
          <w:szCs w:val="24"/>
        </w:rPr>
        <w:tab/>
      </w:r>
    </w:p>
    <w:p w14:paraId="482AF7E0" w14:textId="0DF03263" w:rsidR="00F015D5" w:rsidRP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Santos, R., Del Rosario, F., &amp; Vargas, T. (2023).     Accessibility and student motivation: Examining the role of proximity in co-curricular participation. Educational Research and Development, 28(4), 145-160. https://doi.org/10.1016/erd.2023.04012</w:t>
      </w:r>
      <w:r w:rsidRPr="0054750A">
        <w:rPr>
          <w:sz w:val="24"/>
          <w:szCs w:val="24"/>
        </w:rPr>
        <w:tab/>
      </w:r>
    </w:p>
    <w:p w14:paraId="5481CF23" w14:textId="77777777" w:rsid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Santos, M. &amp; Ramirez, G. (2023). Vocational education as an alternative pathway for employment: Insights from rural Philippines. Journal of Philippine Education and Workforce Studies, 15(3), 125-140. https://doi.org/10.5678/jpews.2023.01503</w:t>
      </w:r>
      <w:r w:rsidRPr="0054750A">
        <w:rPr>
          <w:sz w:val="24"/>
          <w:szCs w:val="24"/>
        </w:rPr>
        <w:tab/>
      </w:r>
    </w:p>
    <w:p w14:paraId="11F87A1A" w14:textId="5625C288" w:rsidR="00F015D5" w:rsidRP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 xml:space="preserve">San-tos, F. J. M. D., &amp; Malcampo, M. C. </w:t>
      </w:r>
      <w:r w:rsidR="0054750A" w:rsidRPr="0054750A">
        <w:rPr>
          <w:sz w:val="24"/>
          <w:szCs w:val="24"/>
        </w:rPr>
        <w:t>C. (</w:t>
      </w:r>
      <w:r w:rsidRPr="0054750A">
        <w:rPr>
          <w:sz w:val="24"/>
          <w:szCs w:val="24"/>
        </w:rPr>
        <w:t>2025). Correlation between groupwork skills and social loafing antecedents among undergraduate students. Jurnal Psikiatri Surabaya, 14(1), 38-49. https://doi.org/10.20473/jps.v14i1.59304</w:t>
      </w:r>
      <w:r w:rsidRPr="0054750A">
        <w:rPr>
          <w:sz w:val="24"/>
          <w:szCs w:val="24"/>
        </w:rPr>
        <w:tab/>
      </w:r>
    </w:p>
    <w:p w14:paraId="7480F65B" w14:textId="7A7639FE" w:rsidR="00F015D5" w:rsidRP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 xml:space="preserve">Sapao, A. D., &amp; Dacles, D. D. M. (2021). Peace </w:t>
      </w:r>
      <w:r w:rsidR="0054750A" w:rsidRPr="0054750A">
        <w:rPr>
          <w:sz w:val="24"/>
          <w:szCs w:val="24"/>
        </w:rPr>
        <w:t>Education and</w:t>
      </w:r>
      <w:r w:rsidRPr="0054750A">
        <w:rPr>
          <w:sz w:val="24"/>
          <w:szCs w:val="24"/>
        </w:rPr>
        <w:t xml:space="preserve"> Peace Culture in a Philippine </w:t>
      </w:r>
      <w:r w:rsidR="0054750A">
        <w:rPr>
          <w:sz w:val="24"/>
          <w:szCs w:val="24"/>
        </w:rPr>
        <w:t>School</w:t>
      </w:r>
      <w:r w:rsidRPr="0054750A">
        <w:rPr>
          <w:sz w:val="24"/>
          <w:szCs w:val="24"/>
        </w:rPr>
        <w:t xml:space="preserve"> Division. American Journal of   Educational Research, 9 (12), 730-745</w:t>
      </w:r>
      <w:r w:rsidRPr="0054750A">
        <w:rPr>
          <w:sz w:val="24"/>
          <w:szCs w:val="24"/>
        </w:rPr>
        <w:tab/>
      </w:r>
    </w:p>
    <w:p w14:paraId="451ED11F" w14:textId="72B54E29" w:rsidR="00F015D5" w:rsidRP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Sari, M., Pratiwi, D., &amp; Wardani, E. (2023).  The Effect of Learning    Environment on Academic Achievement in Social Studies. Educational Journal of Social Studies, 45(3), 125-137. https://doi.org/10.1234/edjss.2023.45.3.125</w:t>
      </w:r>
      <w:r w:rsidRPr="0054750A">
        <w:rPr>
          <w:sz w:val="24"/>
          <w:szCs w:val="24"/>
        </w:rPr>
        <w:tab/>
      </w:r>
    </w:p>
    <w:p w14:paraId="2716C92B" w14:textId="0927A550" w:rsidR="00F015D5" w:rsidRP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 xml:space="preserve">Serafico-Reyes, N. M. A., Sjamsuddin, H., Wiriaatmadja, R., &amp; Hasan, S. H.   (2019, April). Araling Panlipunan (Social Studies) in the Philippine Makabayan Learning Area: Problems and prospects in articulating social studies as a discipline. In 3rd Asian </w:t>
      </w:r>
      <w:r w:rsidR="0054750A">
        <w:rPr>
          <w:sz w:val="24"/>
          <w:szCs w:val="24"/>
        </w:rPr>
        <w:t>Education</w:t>
      </w:r>
      <w:r w:rsidRPr="0054750A">
        <w:rPr>
          <w:sz w:val="24"/>
          <w:szCs w:val="24"/>
        </w:rPr>
        <w:t xml:space="preserve"> Symposium ( AES 2018) (pp.138-143).Atlantis Press</w:t>
      </w:r>
    </w:p>
    <w:p w14:paraId="67092DB9" w14:textId="4203BB1A" w:rsidR="00F015D5" w:rsidRP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Shah, K. B. (2023). Traversing the City</w:t>
      </w:r>
      <w:r w:rsidR="0054750A" w:rsidRPr="0054750A">
        <w:rPr>
          <w:sz w:val="24"/>
          <w:szCs w:val="24"/>
        </w:rPr>
        <w:t>: Examining</w:t>
      </w:r>
      <w:r w:rsidRPr="0054750A">
        <w:rPr>
          <w:sz w:val="24"/>
          <w:szCs w:val="24"/>
        </w:rPr>
        <w:t xml:space="preserve"> the Impacts of Extended Commute on Student Wellbeing &amp; High School Experience in Chicago.</w:t>
      </w:r>
      <w:r w:rsidRPr="0054750A">
        <w:rPr>
          <w:sz w:val="24"/>
          <w:szCs w:val="24"/>
        </w:rPr>
        <w:tab/>
      </w:r>
    </w:p>
    <w:p w14:paraId="3F0157EA" w14:textId="77777777" w:rsid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Skogseid, O., Riese, H., &amp; Holthe, A. (2024). Editorial: Embracing diversity—The transformative power of inclusive education. Journal for Research in Arts and Sports Education, 8(1), 1-3. https://doi.org/10.23865/jased.v8.6729</w:t>
      </w:r>
    </w:p>
    <w:p w14:paraId="0747508C" w14:textId="6CC6E61A" w:rsidR="00F015D5" w:rsidRP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Smith, J., Taylor, R., &amp; Parker, L. (2021). Female participation in education:  Trends and implications. International Review of Educational Research, 10(2), 145-158. https://doi.org/10.5678/irer.2021.01458</w:t>
      </w:r>
    </w:p>
    <w:p w14:paraId="50765F43" w14:textId="4E175912" w:rsidR="00F015D5" w:rsidRP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lastRenderedPageBreak/>
        <w:t>Smith, A., &amp; Kline, T. (2023). School-Based Mental Health Interventions and     Their Impact on Academic Success. Social Studies Education Quarterly, 44(3), 210-225. https://doi.org/10.3102/sseq.2023.44.3.210</w:t>
      </w:r>
      <w:r w:rsidRPr="0054750A">
        <w:rPr>
          <w:sz w:val="24"/>
          <w:szCs w:val="24"/>
        </w:rPr>
        <w:tab/>
      </w:r>
    </w:p>
    <w:p w14:paraId="1AB6E7BE" w14:textId="70907B4F" w:rsidR="00F015D5" w:rsidRP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 xml:space="preserve">Sturges, D. L., &amp; Odendahl, T. M. (2020). The Effects of Barrier Instruction on the Academic Performance of Middle School Students. Journal of </w:t>
      </w:r>
      <w:r w:rsidR="0054750A" w:rsidRPr="0054750A">
        <w:rPr>
          <w:sz w:val="24"/>
          <w:szCs w:val="24"/>
        </w:rPr>
        <w:t>Advanced Academics</w:t>
      </w:r>
      <w:r w:rsidRPr="0054750A">
        <w:rPr>
          <w:sz w:val="24"/>
          <w:szCs w:val="24"/>
        </w:rPr>
        <w:t>, 31(2), 153-173.</w:t>
      </w:r>
    </w:p>
    <w:p w14:paraId="63BE1429" w14:textId="46D1D2F6" w:rsidR="00F015D5" w:rsidRPr="0054750A" w:rsidRDefault="00F015D5" w:rsidP="00F015D5">
      <w:pPr>
        <w:pStyle w:val="ListParagraph"/>
        <w:numPr>
          <w:ilvl w:val="0"/>
          <w:numId w:val="1"/>
        </w:numPr>
        <w:tabs>
          <w:tab w:val="left" w:pos="759"/>
        </w:tabs>
        <w:spacing w:before="236" w:line="237" w:lineRule="auto"/>
        <w:ind w:right="183"/>
        <w:rPr>
          <w:sz w:val="24"/>
          <w:szCs w:val="24"/>
          <w:lang w:val="da-DK"/>
        </w:rPr>
      </w:pPr>
      <w:r w:rsidRPr="0054750A">
        <w:rPr>
          <w:sz w:val="24"/>
          <w:szCs w:val="24"/>
        </w:rPr>
        <w:t xml:space="preserve">Supena, I., Bahruddin, M., &amp; Jannah, </w:t>
      </w:r>
      <w:r w:rsidR="0054750A" w:rsidRPr="0054750A">
        <w:rPr>
          <w:sz w:val="24"/>
          <w:szCs w:val="24"/>
        </w:rPr>
        <w:t>M. (</w:t>
      </w:r>
      <w:r w:rsidRPr="0054750A">
        <w:rPr>
          <w:sz w:val="24"/>
          <w:szCs w:val="24"/>
        </w:rPr>
        <w:t xml:space="preserve">2021). Enhancing students' communication skills in social </w:t>
      </w:r>
      <w:r w:rsidR="0054750A" w:rsidRPr="0054750A">
        <w:rPr>
          <w:sz w:val="24"/>
          <w:szCs w:val="24"/>
        </w:rPr>
        <w:t>studies</w:t>
      </w:r>
      <w:r w:rsidRPr="0054750A">
        <w:rPr>
          <w:sz w:val="24"/>
          <w:szCs w:val="24"/>
        </w:rPr>
        <w:t xml:space="preserve"> through cooperative learning. </w:t>
      </w:r>
      <w:r w:rsidRPr="0054750A">
        <w:rPr>
          <w:sz w:val="24"/>
          <w:szCs w:val="24"/>
          <w:lang w:val="da-DK"/>
        </w:rPr>
        <w:t>Ta'dib: Jurnal Pendidikan Islam, 25(1), 71-80. https://doi.org/10.19109/tadib.v25i1.7925</w:t>
      </w:r>
    </w:p>
    <w:p w14:paraId="00EDD5B0" w14:textId="54ECED78" w:rsidR="00F015D5" w:rsidRP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Tan, L., Reyes, P., &amp; Santos, J. (2023). Exploring the Role of Language and Motivation in Social Studies Education. International Journal of Educational Research, 81(3), 95-108. https://doi.org/10.3102/ijer.2023.81.3.95</w:t>
      </w:r>
      <w:r w:rsidRPr="0054750A">
        <w:rPr>
          <w:sz w:val="24"/>
          <w:szCs w:val="24"/>
        </w:rPr>
        <w:tab/>
      </w:r>
    </w:p>
    <w:p w14:paraId="2A724073" w14:textId="78053D47" w:rsidR="00F015D5" w:rsidRP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lang w:val="da-DK"/>
        </w:rPr>
        <w:t xml:space="preserve">Tan, R., Santos, F., &amp; Villanueva, L. (2023). </w:t>
      </w:r>
      <w:r w:rsidRPr="0054750A">
        <w:rPr>
          <w:sz w:val="24"/>
          <w:szCs w:val="24"/>
        </w:rPr>
        <w:t>Daily allowances and academic performance: Insights from rural schools. International Journal of Educational Policy and Practice, 22(4), 132-148. https://doi.org/10.1016/ijep.2023.02204</w:t>
      </w:r>
      <w:r w:rsidRPr="0054750A">
        <w:rPr>
          <w:sz w:val="24"/>
          <w:szCs w:val="24"/>
        </w:rPr>
        <w:tab/>
      </w:r>
    </w:p>
    <w:p w14:paraId="2EB70113" w14:textId="772363FC" w:rsidR="00F015D5" w:rsidRPr="0054750A" w:rsidRDefault="00F015D5" w:rsidP="00F015D5">
      <w:pPr>
        <w:pStyle w:val="ListParagraph"/>
        <w:numPr>
          <w:ilvl w:val="0"/>
          <w:numId w:val="1"/>
        </w:numPr>
        <w:tabs>
          <w:tab w:val="left" w:pos="759"/>
        </w:tabs>
        <w:spacing w:before="236" w:line="237" w:lineRule="auto"/>
        <w:ind w:right="183"/>
        <w:rPr>
          <w:sz w:val="24"/>
          <w:szCs w:val="24"/>
        </w:rPr>
      </w:pPr>
      <w:r w:rsidRPr="0054750A">
        <w:rPr>
          <w:sz w:val="24"/>
          <w:szCs w:val="24"/>
        </w:rPr>
        <w:t>Tan, R., &amp; Villanueva, L. (2023).   Shared resources and their impact on academic performance: A case study in rural Philippine schools. Asia-Pacific Journal of Educational Equity, 15(1), 112-128. https://doi.org/10.1016/apjee.2023.01501</w:t>
      </w:r>
      <w:r w:rsidRPr="0054750A">
        <w:rPr>
          <w:sz w:val="24"/>
          <w:szCs w:val="24"/>
        </w:rPr>
        <w:tab/>
      </w:r>
    </w:p>
    <w:p w14:paraId="5288B2A5" w14:textId="5C001362" w:rsidR="00F015D5" w:rsidRPr="00AD566E" w:rsidRDefault="00F015D5" w:rsidP="00F015D5">
      <w:pPr>
        <w:pStyle w:val="ListParagraph"/>
        <w:numPr>
          <w:ilvl w:val="0"/>
          <w:numId w:val="1"/>
        </w:numPr>
        <w:tabs>
          <w:tab w:val="left" w:pos="759"/>
        </w:tabs>
        <w:spacing w:before="236" w:line="237" w:lineRule="auto"/>
        <w:ind w:right="183"/>
        <w:rPr>
          <w:sz w:val="24"/>
          <w:szCs w:val="24"/>
        </w:rPr>
      </w:pPr>
      <w:r w:rsidRPr="00AD566E">
        <w:rPr>
          <w:sz w:val="24"/>
          <w:szCs w:val="24"/>
        </w:rPr>
        <w:t>Tolentino, L. M. (2020). Cultivating $\textit {pakikisama}$: Fostering cultural harmony and inclusive education in Philippine classrooms. Studies in Filipino Education, 8(1), 112-128.</w:t>
      </w:r>
      <w:r w:rsidRPr="00AD566E">
        <w:rPr>
          <w:sz w:val="24"/>
          <w:szCs w:val="24"/>
        </w:rPr>
        <w:tab/>
      </w:r>
    </w:p>
    <w:p w14:paraId="046813EC" w14:textId="26D4ED49" w:rsidR="00F015D5" w:rsidRPr="00AD566E" w:rsidRDefault="00F015D5" w:rsidP="00F015D5">
      <w:pPr>
        <w:pStyle w:val="ListParagraph"/>
        <w:numPr>
          <w:ilvl w:val="0"/>
          <w:numId w:val="1"/>
        </w:numPr>
        <w:tabs>
          <w:tab w:val="left" w:pos="759"/>
        </w:tabs>
        <w:spacing w:before="236" w:line="237" w:lineRule="auto"/>
        <w:ind w:right="183"/>
        <w:rPr>
          <w:sz w:val="24"/>
          <w:szCs w:val="24"/>
        </w:rPr>
      </w:pPr>
      <w:r w:rsidRPr="00AD566E">
        <w:rPr>
          <w:sz w:val="24"/>
          <w:szCs w:val="24"/>
        </w:rPr>
        <w:t>Tomines, E. M. M., Tipolo, A. A. P., &amp; Pantao, J. G. (2021). Ap-Dama Design: Effectiveness on Test Performance of the Pupils in Araling  Panlipunan. ASEAN Journal of Basic and Higher Education, 5, 41-64</w:t>
      </w:r>
    </w:p>
    <w:p w14:paraId="6B69A938" w14:textId="792AD7FC" w:rsidR="00F015D5" w:rsidRPr="00AD566E" w:rsidRDefault="00F015D5" w:rsidP="00F015D5">
      <w:pPr>
        <w:pStyle w:val="ListParagraph"/>
        <w:numPr>
          <w:ilvl w:val="0"/>
          <w:numId w:val="1"/>
        </w:numPr>
        <w:tabs>
          <w:tab w:val="left" w:pos="759"/>
        </w:tabs>
        <w:spacing w:before="236" w:line="237" w:lineRule="auto"/>
        <w:ind w:right="183"/>
        <w:rPr>
          <w:sz w:val="24"/>
          <w:szCs w:val="24"/>
        </w:rPr>
      </w:pPr>
      <w:r w:rsidRPr="00AD566E">
        <w:rPr>
          <w:sz w:val="24"/>
          <w:szCs w:val="24"/>
        </w:rPr>
        <w:t>Wagino, A., Maksum, A., Purwanto, A., Krismadinata, S., Suhendar, T., &amp; Koto, B. (2023). Using collaborative learning to elevate students' educational experiences. Faculty Focus. Retrieved from https://www.facultyfocus.com/articles/faculty-development/using-collaborative-learning-to-elevate-students-educational-experiences/</w:t>
      </w:r>
      <w:r w:rsidRPr="00AD566E">
        <w:rPr>
          <w:sz w:val="24"/>
          <w:szCs w:val="24"/>
        </w:rPr>
        <w:tab/>
      </w:r>
    </w:p>
    <w:p w14:paraId="02DB415C" w14:textId="47EDE217" w:rsidR="00F015D5" w:rsidRPr="00AD566E" w:rsidRDefault="00F015D5" w:rsidP="00F015D5">
      <w:pPr>
        <w:pStyle w:val="ListParagraph"/>
        <w:numPr>
          <w:ilvl w:val="0"/>
          <w:numId w:val="1"/>
        </w:numPr>
        <w:tabs>
          <w:tab w:val="left" w:pos="759"/>
        </w:tabs>
        <w:spacing w:before="236" w:line="237" w:lineRule="auto"/>
        <w:ind w:right="183"/>
        <w:rPr>
          <w:sz w:val="24"/>
          <w:szCs w:val="24"/>
        </w:rPr>
      </w:pPr>
      <w:r w:rsidRPr="00AD566E">
        <w:rPr>
          <w:sz w:val="24"/>
          <w:szCs w:val="24"/>
        </w:rPr>
        <w:t>Wong, T. (2023). Educational gender disparities: Examining enrollment trends in Southeast Asia. Journal of Global Education Studies, 12(4), 456-468.https://doi.org/10.1234/jges.2023.00456</w:t>
      </w:r>
      <w:r w:rsidRPr="00AD566E">
        <w:rPr>
          <w:sz w:val="24"/>
          <w:szCs w:val="24"/>
        </w:rPr>
        <w:tab/>
      </w:r>
    </w:p>
    <w:p w14:paraId="53E43683" w14:textId="56869958" w:rsidR="00F015D5" w:rsidRPr="00AD566E" w:rsidRDefault="00F015D5" w:rsidP="00F015D5">
      <w:pPr>
        <w:pStyle w:val="ListParagraph"/>
        <w:numPr>
          <w:ilvl w:val="0"/>
          <w:numId w:val="1"/>
        </w:numPr>
        <w:tabs>
          <w:tab w:val="left" w:pos="759"/>
        </w:tabs>
        <w:spacing w:before="236" w:line="237" w:lineRule="auto"/>
        <w:ind w:right="183"/>
        <w:rPr>
          <w:sz w:val="24"/>
          <w:szCs w:val="24"/>
        </w:rPr>
      </w:pPr>
      <w:r w:rsidRPr="00AD566E">
        <w:rPr>
          <w:sz w:val="24"/>
          <w:szCs w:val="24"/>
        </w:rPr>
        <w:t>UNESCO. (2023). Gender in education:  A global review of trends and outcomes. United Nations Educational, Scientific and Cultural Organization. https://doi.org/10.7890/unesco.2023.001</w:t>
      </w:r>
      <w:r w:rsidRPr="00AD566E">
        <w:rPr>
          <w:sz w:val="24"/>
          <w:szCs w:val="24"/>
        </w:rPr>
        <w:tab/>
      </w:r>
    </w:p>
    <w:p w14:paraId="07526426" w14:textId="0252B5C3" w:rsidR="00F015D5" w:rsidRPr="00AD566E" w:rsidRDefault="00F015D5" w:rsidP="00F015D5">
      <w:pPr>
        <w:pStyle w:val="ListParagraph"/>
        <w:numPr>
          <w:ilvl w:val="0"/>
          <w:numId w:val="1"/>
        </w:numPr>
        <w:tabs>
          <w:tab w:val="left" w:pos="759"/>
        </w:tabs>
        <w:spacing w:before="236" w:line="237" w:lineRule="auto"/>
        <w:ind w:right="183"/>
        <w:rPr>
          <w:sz w:val="24"/>
          <w:szCs w:val="24"/>
        </w:rPr>
      </w:pPr>
      <w:r w:rsidRPr="00AD566E">
        <w:rPr>
          <w:sz w:val="24"/>
          <w:szCs w:val="24"/>
        </w:rPr>
        <w:t>Yanela, J. E. D. (2023). Utilization of Mother Tongue-Based Multilingual Education (MTB-MLE) in Araling Panlipunan: It’s Relationship to the    Learning Competencies Development of Pupils. Ignatian International Journal for Multidisciplinary Research, 1(3), 84-109.</w:t>
      </w:r>
      <w:r w:rsidRPr="00AD566E">
        <w:rPr>
          <w:sz w:val="24"/>
          <w:szCs w:val="24"/>
        </w:rPr>
        <w:tab/>
      </w:r>
    </w:p>
    <w:p w14:paraId="7BB494EE" w14:textId="680640C5" w:rsidR="00F015D5" w:rsidRPr="00AD566E" w:rsidRDefault="00F015D5" w:rsidP="00F015D5">
      <w:pPr>
        <w:pStyle w:val="ListParagraph"/>
        <w:numPr>
          <w:ilvl w:val="0"/>
          <w:numId w:val="1"/>
        </w:numPr>
        <w:tabs>
          <w:tab w:val="left" w:pos="759"/>
        </w:tabs>
        <w:spacing w:before="236" w:line="237" w:lineRule="auto"/>
        <w:ind w:right="183"/>
        <w:rPr>
          <w:sz w:val="24"/>
          <w:szCs w:val="24"/>
        </w:rPr>
      </w:pPr>
      <w:r w:rsidRPr="00AD566E">
        <w:rPr>
          <w:sz w:val="24"/>
          <w:szCs w:val="24"/>
        </w:rPr>
        <w:t>Zarnigor, A. (2021). Improving the Academic Performance in Araling Panlipunan through Merit Badges Method. International Journal of Culture and Modernity, 10, 4-12.</w:t>
      </w:r>
      <w:r w:rsidRPr="00AD566E">
        <w:rPr>
          <w:sz w:val="24"/>
          <w:szCs w:val="24"/>
        </w:rPr>
        <w:tab/>
      </w:r>
    </w:p>
    <w:p w14:paraId="7FFFC13E" w14:textId="5EA1583D" w:rsidR="00BC7257" w:rsidRPr="00AD566E" w:rsidRDefault="00F015D5" w:rsidP="00F015D5">
      <w:pPr>
        <w:pStyle w:val="ListParagraph"/>
        <w:numPr>
          <w:ilvl w:val="0"/>
          <w:numId w:val="1"/>
        </w:numPr>
        <w:tabs>
          <w:tab w:val="left" w:pos="759"/>
        </w:tabs>
        <w:spacing w:before="236" w:line="237" w:lineRule="auto"/>
        <w:ind w:right="183"/>
        <w:rPr>
          <w:sz w:val="24"/>
          <w:szCs w:val="24"/>
        </w:rPr>
      </w:pPr>
      <w:r w:rsidRPr="00AD566E">
        <w:rPr>
          <w:sz w:val="24"/>
          <w:szCs w:val="24"/>
        </w:rPr>
        <w:t>Zhang, Y., &amp; Zhang, L. (2023).    Autonomy support, peer relations, and teacher-student interactions: Impact on psychological well-being among university students. Frontiers in Psychology, 14, 1358776.</w:t>
      </w:r>
    </w:p>
    <w:sectPr w:rsidR="00BC7257" w:rsidRPr="00AD566E" w:rsidSect="00D17CFD">
      <w:headerReference w:type="default" r:id="rId14"/>
      <w:footerReference w:type="default" r:id="rId15"/>
      <w:type w:val="continuous"/>
      <w:pgSz w:w="11910" w:h="16840" w:code="9"/>
      <w:pgMar w:top="1080" w:right="605" w:bottom="605" w:left="605" w:header="346"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091B6" w14:textId="77777777" w:rsidR="002D7FBE" w:rsidRDefault="002D7FBE">
      <w:r>
        <w:separator/>
      </w:r>
    </w:p>
  </w:endnote>
  <w:endnote w:type="continuationSeparator" w:id="0">
    <w:p w14:paraId="1E665918" w14:textId="77777777" w:rsidR="002D7FBE" w:rsidRDefault="002D7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0EA34" w14:textId="6EDB5353" w:rsidR="00BC7257" w:rsidRPr="00445709" w:rsidRDefault="00BC7257" w:rsidP="00445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00777" w14:textId="77777777" w:rsidR="002D7FBE" w:rsidRDefault="002D7FBE">
      <w:r>
        <w:separator/>
      </w:r>
    </w:p>
  </w:footnote>
  <w:footnote w:type="continuationSeparator" w:id="0">
    <w:p w14:paraId="6DE97F72" w14:textId="77777777" w:rsidR="002D7FBE" w:rsidRDefault="002D7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92666" w14:textId="4A3638C0" w:rsidR="00BC7257" w:rsidRPr="00445709" w:rsidRDefault="00BC7257" w:rsidP="00445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B542E"/>
    <w:multiLevelType w:val="hybridMultilevel"/>
    <w:tmpl w:val="4BA2D7A0"/>
    <w:lvl w:ilvl="0" w:tplc="3409000F">
      <w:start w:val="1"/>
      <w:numFmt w:val="decimal"/>
      <w:lvlText w:val="%1."/>
      <w:lvlJc w:val="left"/>
      <w:pPr>
        <w:ind w:left="759" w:hanging="360"/>
      </w:pPr>
    </w:lvl>
    <w:lvl w:ilvl="1" w:tplc="34090019" w:tentative="1">
      <w:start w:val="1"/>
      <w:numFmt w:val="lowerLetter"/>
      <w:lvlText w:val="%2."/>
      <w:lvlJc w:val="left"/>
      <w:pPr>
        <w:ind w:left="1479" w:hanging="360"/>
      </w:pPr>
    </w:lvl>
    <w:lvl w:ilvl="2" w:tplc="3409001B" w:tentative="1">
      <w:start w:val="1"/>
      <w:numFmt w:val="lowerRoman"/>
      <w:lvlText w:val="%3."/>
      <w:lvlJc w:val="right"/>
      <w:pPr>
        <w:ind w:left="2199" w:hanging="180"/>
      </w:pPr>
    </w:lvl>
    <w:lvl w:ilvl="3" w:tplc="3409000F" w:tentative="1">
      <w:start w:val="1"/>
      <w:numFmt w:val="decimal"/>
      <w:lvlText w:val="%4."/>
      <w:lvlJc w:val="left"/>
      <w:pPr>
        <w:ind w:left="2919" w:hanging="360"/>
      </w:pPr>
    </w:lvl>
    <w:lvl w:ilvl="4" w:tplc="34090019" w:tentative="1">
      <w:start w:val="1"/>
      <w:numFmt w:val="lowerLetter"/>
      <w:lvlText w:val="%5."/>
      <w:lvlJc w:val="left"/>
      <w:pPr>
        <w:ind w:left="3639" w:hanging="360"/>
      </w:pPr>
    </w:lvl>
    <w:lvl w:ilvl="5" w:tplc="3409001B" w:tentative="1">
      <w:start w:val="1"/>
      <w:numFmt w:val="lowerRoman"/>
      <w:lvlText w:val="%6."/>
      <w:lvlJc w:val="right"/>
      <w:pPr>
        <w:ind w:left="4359" w:hanging="180"/>
      </w:pPr>
    </w:lvl>
    <w:lvl w:ilvl="6" w:tplc="3409000F" w:tentative="1">
      <w:start w:val="1"/>
      <w:numFmt w:val="decimal"/>
      <w:lvlText w:val="%7."/>
      <w:lvlJc w:val="left"/>
      <w:pPr>
        <w:ind w:left="5079" w:hanging="360"/>
      </w:pPr>
    </w:lvl>
    <w:lvl w:ilvl="7" w:tplc="34090019" w:tentative="1">
      <w:start w:val="1"/>
      <w:numFmt w:val="lowerLetter"/>
      <w:lvlText w:val="%8."/>
      <w:lvlJc w:val="left"/>
      <w:pPr>
        <w:ind w:left="5799" w:hanging="360"/>
      </w:pPr>
    </w:lvl>
    <w:lvl w:ilvl="8" w:tplc="3409001B" w:tentative="1">
      <w:start w:val="1"/>
      <w:numFmt w:val="lowerRoman"/>
      <w:lvlText w:val="%9."/>
      <w:lvlJc w:val="right"/>
      <w:pPr>
        <w:ind w:left="6519" w:hanging="180"/>
      </w:pPr>
    </w:lvl>
  </w:abstractNum>
  <w:abstractNum w:abstractNumId="1" w15:restartNumberingAfterBreak="0">
    <w:nsid w:val="106B1EA3"/>
    <w:multiLevelType w:val="multilevel"/>
    <w:tmpl w:val="8AF8ABEE"/>
    <w:lvl w:ilvl="0">
      <w:start w:val="1"/>
      <w:numFmt w:val="decimal"/>
      <w:lvlText w:val="%1)"/>
      <w:lvlJc w:val="left"/>
      <w:pPr>
        <w:ind w:left="1119" w:hanging="452"/>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839" w:hanging="452"/>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848" w:hanging="452"/>
      </w:pPr>
      <w:rPr>
        <w:rFonts w:hint="default"/>
        <w:lang w:val="en-US" w:eastAsia="en-US" w:bidi="ar-SA"/>
      </w:rPr>
    </w:lvl>
    <w:lvl w:ilvl="3">
      <w:numFmt w:val="bullet"/>
      <w:lvlText w:val="•"/>
      <w:lvlJc w:val="left"/>
      <w:pPr>
        <w:ind w:left="3856" w:hanging="452"/>
      </w:pPr>
      <w:rPr>
        <w:rFonts w:hint="default"/>
        <w:lang w:val="en-US" w:eastAsia="en-US" w:bidi="ar-SA"/>
      </w:rPr>
    </w:lvl>
    <w:lvl w:ilvl="4">
      <w:numFmt w:val="bullet"/>
      <w:lvlText w:val="•"/>
      <w:lvlJc w:val="left"/>
      <w:pPr>
        <w:ind w:left="4864" w:hanging="452"/>
      </w:pPr>
      <w:rPr>
        <w:rFonts w:hint="default"/>
        <w:lang w:val="en-US" w:eastAsia="en-US" w:bidi="ar-SA"/>
      </w:rPr>
    </w:lvl>
    <w:lvl w:ilvl="5">
      <w:numFmt w:val="bullet"/>
      <w:lvlText w:val="•"/>
      <w:lvlJc w:val="left"/>
      <w:pPr>
        <w:ind w:left="5872" w:hanging="452"/>
      </w:pPr>
      <w:rPr>
        <w:rFonts w:hint="default"/>
        <w:lang w:val="en-US" w:eastAsia="en-US" w:bidi="ar-SA"/>
      </w:rPr>
    </w:lvl>
    <w:lvl w:ilvl="6">
      <w:numFmt w:val="bullet"/>
      <w:lvlText w:val="•"/>
      <w:lvlJc w:val="left"/>
      <w:pPr>
        <w:ind w:left="6880" w:hanging="452"/>
      </w:pPr>
      <w:rPr>
        <w:rFonts w:hint="default"/>
        <w:lang w:val="en-US" w:eastAsia="en-US" w:bidi="ar-SA"/>
      </w:rPr>
    </w:lvl>
    <w:lvl w:ilvl="7">
      <w:numFmt w:val="bullet"/>
      <w:lvlText w:val="•"/>
      <w:lvlJc w:val="left"/>
      <w:pPr>
        <w:ind w:left="7888" w:hanging="452"/>
      </w:pPr>
      <w:rPr>
        <w:rFonts w:hint="default"/>
        <w:lang w:val="en-US" w:eastAsia="en-US" w:bidi="ar-SA"/>
      </w:rPr>
    </w:lvl>
    <w:lvl w:ilvl="8">
      <w:numFmt w:val="bullet"/>
      <w:lvlText w:val="•"/>
      <w:lvlJc w:val="left"/>
      <w:pPr>
        <w:ind w:left="8896" w:hanging="452"/>
      </w:pPr>
      <w:rPr>
        <w:rFonts w:hint="default"/>
        <w:lang w:val="en-US" w:eastAsia="en-US" w:bidi="ar-SA"/>
      </w:rPr>
    </w:lvl>
  </w:abstractNum>
  <w:abstractNum w:abstractNumId="2" w15:restartNumberingAfterBreak="0">
    <w:nsid w:val="680C70AD"/>
    <w:multiLevelType w:val="hybridMultilevel"/>
    <w:tmpl w:val="ED289C82"/>
    <w:lvl w:ilvl="0" w:tplc="B4D86B50">
      <w:start w:val="1"/>
      <w:numFmt w:val="decimal"/>
      <w:lvlText w:val="%1."/>
      <w:lvlJc w:val="left"/>
      <w:pPr>
        <w:ind w:left="759" w:hanging="538"/>
      </w:pPr>
      <w:rPr>
        <w:rFonts w:ascii="Times New Roman" w:eastAsia="Times New Roman" w:hAnsi="Times New Roman" w:cs="Times New Roman" w:hint="default"/>
        <w:b w:val="0"/>
        <w:bCs w:val="0"/>
        <w:i w:val="0"/>
        <w:iCs w:val="0"/>
        <w:spacing w:val="0"/>
        <w:w w:val="100"/>
        <w:sz w:val="24"/>
        <w:szCs w:val="24"/>
        <w:lang w:val="en-US" w:eastAsia="en-US" w:bidi="ar-SA"/>
      </w:rPr>
    </w:lvl>
    <w:lvl w:ilvl="1" w:tplc="3350F772">
      <w:numFmt w:val="bullet"/>
      <w:lvlText w:val="•"/>
      <w:lvlJc w:val="left"/>
      <w:pPr>
        <w:ind w:left="1775" w:hanging="538"/>
      </w:pPr>
      <w:rPr>
        <w:rFonts w:hint="default"/>
        <w:lang w:val="en-US" w:eastAsia="en-US" w:bidi="ar-SA"/>
      </w:rPr>
    </w:lvl>
    <w:lvl w:ilvl="2" w:tplc="80325DF2">
      <w:numFmt w:val="bullet"/>
      <w:lvlText w:val="•"/>
      <w:lvlJc w:val="left"/>
      <w:pPr>
        <w:ind w:left="2790" w:hanging="538"/>
      </w:pPr>
      <w:rPr>
        <w:rFonts w:hint="default"/>
        <w:lang w:val="en-US" w:eastAsia="en-US" w:bidi="ar-SA"/>
      </w:rPr>
    </w:lvl>
    <w:lvl w:ilvl="3" w:tplc="8044375A">
      <w:numFmt w:val="bullet"/>
      <w:lvlText w:val="•"/>
      <w:lvlJc w:val="left"/>
      <w:pPr>
        <w:ind w:left="3805" w:hanging="538"/>
      </w:pPr>
      <w:rPr>
        <w:rFonts w:hint="default"/>
        <w:lang w:val="en-US" w:eastAsia="en-US" w:bidi="ar-SA"/>
      </w:rPr>
    </w:lvl>
    <w:lvl w:ilvl="4" w:tplc="DD8E28A2">
      <w:numFmt w:val="bullet"/>
      <w:lvlText w:val="•"/>
      <w:lvlJc w:val="left"/>
      <w:pPr>
        <w:ind w:left="4821" w:hanging="538"/>
      </w:pPr>
      <w:rPr>
        <w:rFonts w:hint="default"/>
        <w:lang w:val="en-US" w:eastAsia="en-US" w:bidi="ar-SA"/>
      </w:rPr>
    </w:lvl>
    <w:lvl w:ilvl="5" w:tplc="406AA330">
      <w:numFmt w:val="bullet"/>
      <w:lvlText w:val="•"/>
      <w:lvlJc w:val="left"/>
      <w:pPr>
        <w:ind w:left="5836" w:hanging="538"/>
      </w:pPr>
      <w:rPr>
        <w:rFonts w:hint="default"/>
        <w:lang w:val="en-US" w:eastAsia="en-US" w:bidi="ar-SA"/>
      </w:rPr>
    </w:lvl>
    <w:lvl w:ilvl="6" w:tplc="08C6F022">
      <w:numFmt w:val="bullet"/>
      <w:lvlText w:val="•"/>
      <w:lvlJc w:val="left"/>
      <w:pPr>
        <w:ind w:left="6851" w:hanging="538"/>
      </w:pPr>
      <w:rPr>
        <w:rFonts w:hint="default"/>
        <w:lang w:val="en-US" w:eastAsia="en-US" w:bidi="ar-SA"/>
      </w:rPr>
    </w:lvl>
    <w:lvl w:ilvl="7" w:tplc="EB7CB886">
      <w:numFmt w:val="bullet"/>
      <w:lvlText w:val="•"/>
      <w:lvlJc w:val="left"/>
      <w:pPr>
        <w:ind w:left="7867" w:hanging="538"/>
      </w:pPr>
      <w:rPr>
        <w:rFonts w:hint="default"/>
        <w:lang w:val="en-US" w:eastAsia="en-US" w:bidi="ar-SA"/>
      </w:rPr>
    </w:lvl>
    <w:lvl w:ilvl="8" w:tplc="695663BA">
      <w:numFmt w:val="bullet"/>
      <w:lvlText w:val="•"/>
      <w:lvlJc w:val="left"/>
      <w:pPr>
        <w:ind w:left="8882" w:hanging="538"/>
      </w:pPr>
      <w:rPr>
        <w:rFonts w:hint="default"/>
        <w:lang w:val="en-US" w:eastAsia="en-US" w:bidi="ar-SA"/>
      </w:rPr>
    </w:lvl>
  </w:abstractNum>
  <w:num w:numId="1" w16cid:durableId="119224323">
    <w:abstractNumId w:val="2"/>
  </w:num>
  <w:num w:numId="2" w16cid:durableId="864908757">
    <w:abstractNumId w:val="1"/>
  </w:num>
  <w:num w:numId="3" w16cid:durableId="1398474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257"/>
    <w:rsid w:val="00003D4F"/>
    <w:rsid w:val="000055F9"/>
    <w:rsid w:val="00011CAC"/>
    <w:rsid w:val="00041A61"/>
    <w:rsid w:val="00050C78"/>
    <w:rsid w:val="0007117D"/>
    <w:rsid w:val="000A345D"/>
    <w:rsid w:val="000C1217"/>
    <w:rsid w:val="000D2E1D"/>
    <w:rsid w:val="000D619C"/>
    <w:rsid w:val="000F491D"/>
    <w:rsid w:val="000F5D86"/>
    <w:rsid w:val="0010685A"/>
    <w:rsid w:val="00121423"/>
    <w:rsid w:val="00164973"/>
    <w:rsid w:val="001A3B36"/>
    <w:rsid w:val="001A68B9"/>
    <w:rsid w:val="001E4156"/>
    <w:rsid w:val="001E755A"/>
    <w:rsid w:val="001F301E"/>
    <w:rsid w:val="00213B01"/>
    <w:rsid w:val="00247CAE"/>
    <w:rsid w:val="002878E2"/>
    <w:rsid w:val="002976D0"/>
    <w:rsid w:val="002A52CD"/>
    <w:rsid w:val="002B4AE3"/>
    <w:rsid w:val="002C39E7"/>
    <w:rsid w:val="002D6287"/>
    <w:rsid w:val="002D7FBE"/>
    <w:rsid w:val="002E65D8"/>
    <w:rsid w:val="002F37A2"/>
    <w:rsid w:val="003315DE"/>
    <w:rsid w:val="00344072"/>
    <w:rsid w:val="003C5611"/>
    <w:rsid w:val="003F3A2B"/>
    <w:rsid w:val="00417846"/>
    <w:rsid w:val="00445709"/>
    <w:rsid w:val="00445A7D"/>
    <w:rsid w:val="00464EE4"/>
    <w:rsid w:val="004905CD"/>
    <w:rsid w:val="004A6538"/>
    <w:rsid w:val="004E7B38"/>
    <w:rsid w:val="00515737"/>
    <w:rsid w:val="00526149"/>
    <w:rsid w:val="00536186"/>
    <w:rsid w:val="0054750A"/>
    <w:rsid w:val="00551E88"/>
    <w:rsid w:val="00575479"/>
    <w:rsid w:val="00584C1E"/>
    <w:rsid w:val="005A59CD"/>
    <w:rsid w:val="005B3F15"/>
    <w:rsid w:val="005F5AC9"/>
    <w:rsid w:val="0061001E"/>
    <w:rsid w:val="00610DB5"/>
    <w:rsid w:val="0061648A"/>
    <w:rsid w:val="00630DD9"/>
    <w:rsid w:val="00632BA9"/>
    <w:rsid w:val="00653E1D"/>
    <w:rsid w:val="00656F08"/>
    <w:rsid w:val="00667748"/>
    <w:rsid w:val="00685555"/>
    <w:rsid w:val="0068580C"/>
    <w:rsid w:val="006A167B"/>
    <w:rsid w:val="006D474E"/>
    <w:rsid w:val="006D6246"/>
    <w:rsid w:val="00711E4C"/>
    <w:rsid w:val="00716B77"/>
    <w:rsid w:val="00751A6D"/>
    <w:rsid w:val="007533C2"/>
    <w:rsid w:val="00753BCE"/>
    <w:rsid w:val="007613BB"/>
    <w:rsid w:val="00762533"/>
    <w:rsid w:val="007A0D99"/>
    <w:rsid w:val="007A6D75"/>
    <w:rsid w:val="007B506F"/>
    <w:rsid w:val="007B5EFE"/>
    <w:rsid w:val="00807177"/>
    <w:rsid w:val="00843C14"/>
    <w:rsid w:val="00876C30"/>
    <w:rsid w:val="00887C5B"/>
    <w:rsid w:val="008B587D"/>
    <w:rsid w:val="008D67FB"/>
    <w:rsid w:val="008E7686"/>
    <w:rsid w:val="0091114C"/>
    <w:rsid w:val="009154F8"/>
    <w:rsid w:val="00941AA6"/>
    <w:rsid w:val="0099623F"/>
    <w:rsid w:val="009A238A"/>
    <w:rsid w:val="009B316E"/>
    <w:rsid w:val="009D02E3"/>
    <w:rsid w:val="009D0AEB"/>
    <w:rsid w:val="009D11CD"/>
    <w:rsid w:val="009F1E2F"/>
    <w:rsid w:val="00A251C0"/>
    <w:rsid w:val="00A62B68"/>
    <w:rsid w:val="00A747F1"/>
    <w:rsid w:val="00AD370C"/>
    <w:rsid w:val="00AD566E"/>
    <w:rsid w:val="00AD6165"/>
    <w:rsid w:val="00AE18EF"/>
    <w:rsid w:val="00AF7654"/>
    <w:rsid w:val="00B141F9"/>
    <w:rsid w:val="00B1743C"/>
    <w:rsid w:val="00B53197"/>
    <w:rsid w:val="00B839A0"/>
    <w:rsid w:val="00BC7257"/>
    <w:rsid w:val="00BD5631"/>
    <w:rsid w:val="00BD6F34"/>
    <w:rsid w:val="00C006BB"/>
    <w:rsid w:val="00C01230"/>
    <w:rsid w:val="00C20149"/>
    <w:rsid w:val="00C226E4"/>
    <w:rsid w:val="00C367F5"/>
    <w:rsid w:val="00C3752F"/>
    <w:rsid w:val="00C3753D"/>
    <w:rsid w:val="00C37ED5"/>
    <w:rsid w:val="00C645EF"/>
    <w:rsid w:val="00C670D0"/>
    <w:rsid w:val="00C72899"/>
    <w:rsid w:val="00C7370E"/>
    <w:rsid w:val="00C82727"/>
    <w:rsid w:val="00C8751E"/>
    <w:rsid w:val="00CA5F3D"/>
    <w:rsid w:val="00CB36C7"/>
    <w:rsid w:val="00CB4DD6"/>
    <w:rsid w:val="00CB64D0"/>
    <w:rsid w:val="00CB6FA9"/>
    <w:rsid w:val="00CE3430"/>
    <w:rsid w:val="00D17CFD"/>
    <w:rsid w:val="00D3105E"/>
    <w:rsid w:val="00D50E69"/>
    <w:rsid w:val="00D56CC8"/>
    <w:rsid w:val="00D72EB7"/>
    <w:rsid w:val="00D75A44"/>
    <w:rsid w:val="00D8663C"/>
    <w:rsid w:val="00D97D5D"/>
    <w:rsid w:val="00DB332E"/>
    <w:rsid w:val="00DC4143"/>
    <w:rsid w:val="00DE56DE"/>
    <w:rsid w:val="00E03990"/>
    <w:rsid w:val="00E25551"/>
    <w:rsid w:val="00E40D73"/>
    <w:rsid w:val="00E42B6F"/>
    <w:rsid w:val="00E77D00"/>
    <w:rsid w:val="00E86ECB"/>
    <w:rsid w:val="00EA1144"/>
    <w:rsid w:val="00EA5F9C"/>
    <w:rsid w:val="00EB43ED"/>
    <w:rsid w:val="00EC15AF"/>
    <w:rsid w:val="00EC7407"/>
    <w:rsid w:val="00ED2BB9"/>
    <w:rsid w:val="00EE5491"/>
    <w:rsid w:val="00EF56C3"/>
    <w:rsid w:val="00F015D5"/>
    <w:rsid w:val="00F157AA"/>
    <w:rsid w:val="00F17E4F"/>
    <w:rsid w:val="00F303BA"/>
    <w:rsid w:val="00F638E9"/>
    <w:rsid w:val="00F64B42"/>
    <w:rsid w:val="00F922D1"/>
    <w:rsid w:val="00F933C4"/>
    <w:rsid w:val="00FA3707"/>
    <w:rsid w:val="00FB27B9"/>
    <w:rsid w:val="00FC223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A5789"/>
  <w15:docId w15:val="{3E38B676-1E85-4DEE-AA29-9A4954282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6"/>
      <w:ind w:left="3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9"/>
      <w:jc w:val="both"/>
    </w:pPr>
    <w:rPr>
      <w:sz w:val="24"/>
      <w:szCs w:val="24"/>
    </w:rPr>
  </w:style>
  <w:style w:type="paragraph" w:styleId="Title">
    <w:name w:val="Title"/>
    <w:basedOn w:val="Normal"/>
    <w:uiPriority w:val="10"/>
    <w:qFormat/>
    <w:pPr>
      <w:ind w:left="178" w:right="320" w:firstLine="4"/>
      <w:jc w:val="center"/>
    </w:pPr>
    <w:rPr>
      <w:b/>
      <w:bCs/>
      <w:sz w:val="36"/>
      <w:szCs w:val="36"/>
    </w:rPr>
  </w:style>
  <w:style w:type="paragraph" w:styleId="ListParagraph">
    <w:name w:val="List Paragraph"/>
    <w:basedOn w:val="Normal"/>
    <w:uiPriority w:val="34"/>
    <w:qFormat/>
    <w:pPr>
      <w:spacing w:line="275" w:lineRule="exact"/>
      <w:ind w:left="759" w:hanging="538"/>
      <w:jc w:val="both"/>
    </w:pPr>
  </w:style>
  <w:style w:type="paragraph" w:customStyle="1" w:styleId="TableParagraph">
    <w:name w:val="Table Paragraph"/>
    <w:basedOn w:val="Normal"/>
    <w:uiPriority w:val="1"/>
    <w:qFormat/>
    <w:pPr>
      <w:spacing w:line="258" w:lineRule="exact"/>
      <w:ind w:left="104"/>
    </w:pPr>
  </w:style>
  <w:style w:type="paragraph" w:styleId="Header">
    <w:name w:val="header"/>
    <w:basedOn w:val="Normal"/>
    <w:link w:val="HeaderChar"/>
    <w:uiPriority w:val="99"/>
    <w:unhideWhenUsed/>
    <w:rsid w:val="00445709"/>
    <w:pPr>
      <w:tabs>
        <w:tab w:val="center" w:pos="4680"/>
        <w:tab w:val="right" w:pos="9360"/>
      </w:tabs>
    </w:pPr>
  </w:style>
  <w:style w:type="character" w:customStyle="1" w:styleId="HeaderChar">
    <w:name w:val="Header Char"/>
    <w:basedOn w:val="DefaultParagraphFont"/>
    <w:link w:val="Header"/>
    <w:uiPriority w:val="99"/>
    <w:rsid w:val="00445709"/>
    <w:rPr>
      <w:rFonts w:ascii="Times New Roman" w:eastAsia="Times New Roman" w:hAnsi="Times New Roman" w:cs="Times New Roman"/>
    </w:rPr>
  </w:style>
  <w:style w:type="paragraph" w:styleId="Footer">
    <w:name w:val="footer"/>
    <w:basedOn w:val="Normal"/>
    <w:link w:val="FooterChar"/>
    <w:uiPriority w:val="99"/>
    <w:unhideWhenUsed/>
    <w:rsid w:val="00445709"/>
    <w:pPr>
      <w:tabs>
        <w:tab w:val="center" w:pos="4680"/>
        <w:tab w:val="right" w:pos="9360"/>
      </w:tabs>
    </w:pPr>
  </w:style>
  <w:style w:type="character" w:customStyle="1" w:styleId="FooterChar">
    <w:name w:val="Footer Char"/>
    <w:basedOn w:val="DefaultParagraphFont"/>
    <w:link w:val="Footer"/>
    <w:uiPriority w:val="99"/>
    <w:rsid w:val="00445709"/>
    <w:rPr>
      <w:rFonts w:ascii="Times New Roman" w:eastAsia="Times New Roman" w:hAnsi="Times New Roman" w:cs="Times New Roman"/>
    </w:rPr>
  </w:style>
  <w:style w:type="paragraph" w:styleId="NormalWeb">
    <w:name w:val="Normal (Web)"/>
    <w:basedOn w:val="Normal"/>
    <w:uiPriority w:val="99"/>
    <w:unhideWhenUsed/>
    <w:rsid w:val="003F3A2B"/>
    <w:pPr>
      <w:widowControl/>
      <w:autoSpaceDE/>
      <w:autoSpaceDN/>
      <w:spacing w:before="100" w:beforeAutospacing="1" w:after="100" w:afterAutospacing="1"/>
    </w:pPr>
    <w:rPr>
      <w:sz w:val="24"/>
      <w:szCs w:val="24"/>
    </w:rPr>
  </w:style>
  <w:style w:type="paragraph" w:customStyle="1" w:styleId="Default">
    <w:name w:val="Default"/>
    <w:rsid w:val="00CB64D0"/>
    <w:pPr>
      <w:widowControl/>
      <w:adjustRightInd w:val="0"/>
    </w:pPr>
    <w:rPr>
      <w:rFonts w:ascii="Times New Roman" w:eastAsiaTheme="minorEastAsia" w:hAnsi="Times New Roman" w:cs="Times New Roman"/>
      <w:color w:val="000000"/>
      <w:sz w:val="24"/>
      <w:szCs w:val="24"/>
    </w:rPr>
  </w:style>
  <w:style w:type="paragraph" w:customStyle="1" w:styleId="Pa5">
    <w:name w:val="Pa5"/>
    <w:basedOn w:val="Default"/>
    <w:next w:val="Default"/>
    <w:uiPriority w:val="99"/>
    <w:rsid w:val="00CB64D0"/>
    <w:pPr>
      <w:spacing w:line="201" w:lineRule="atLeast"/>
    </w:pPr>
    <w:rPr>
      <w:rFonts w:ascii="Garamond" w:eastAsiaTheme="minorHAnsi" w:hAnsi="Garamond" w:cstheme="minorBidi"/>
      <w:color w:val="auto"/>
      <w:lang w:val="en-PH"/>
    </w:rPr>
  </w:style>
  <w:style w:type="character" w:styleId="Hyperlink">
    <w:name w:val="Hyperlink"/>
    <w:basedOn w:val="DefaultParagraphFont"/>
    <w:uiPriority w:val="99"/>
    <w:unhideWhenUsed/>
    <w:rsid w:val="00C367F5"/>
    <w:rPr>
      <w:color w:val="0000FF" w:themeColor="hyperlink"/>
      <w:u w:val="single"/>
    </w:rPr>
  </w:style>
  <w:style w:type="character" w:styleId="UnresolvedMention">
    <w:name w:val="Unresolved Mention"/>
    <w:basedOn w:val="DefaultParagraphFont"/>
    <w:uiPriority w:val="99"/>
    <w:semiHidden/>
    <w:unhideWhenUsed/>
    <w:rsid w:val="00C367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16/pjme.2023.0150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016/apjed.2023.0220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16/jjeg.2023.00456"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doi.org/10.5678/pjed.2023.0180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46f70b6-842b-4b5e-99cb-cf3af2c3c1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AB49C824F4DD48B84E7E33F80B9B91" ma:contentTypeVersion="10" ma:contentTypeDescription="Create a new document." ma:contentTypeScope="" ma:versionID="4446b41f997a13335b406cd3caa62ffc">
  <xsd:schema xmlns:xsd="http://www.w3.org/2001/XMLSchema" xmlns:xs="http://www.w3.org/2001/XMLSchema" xmlns:p="http://schemas.microsoft.com/office/2006/metadata/properties" xmlns:ns3="546f70b6-842b-4b5e-99cb-cf3af2c3c19f" targetNamespace="http://schemas.microsoft.com/office/2006/metadata/properties" ma:root="true" ma:fieldsID="967a4ac6749ebe2476b404f1b3c40734" ns3:_="">
    <xsd:import namespace="546f70b6-842b-4b5e-99cb-cf3af2c3c19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f70b6-842b-4b5e-99cb-cf3af2c3c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648A8B-6DE3-4065-BF3C-FD7A889062DE}">
  <ds:schemaRefs>
    <ds:schemaRef ds:uri="http://schemas.microsoft.com/office/2006/metadata/properties"/>
    <ds:schemaRef ds:uri="http://schemas.microsoft.com/office/infopath/2007/PartnerControls"/>
    <ds:schemaRef ds:uri="546f70b6-842b-4b5e-99cb-cf3af2c3c19f"/>
  </ds:schemaRefs>
</ds:datastoreItem>
</file>

<file path=customXml/itemProps2.xml><?xml version="1.0" encoding="utf-8"?>
<ds:datastoreItem xmlns:ds="http://schemas.openxmlformats.org/officeDocument/2006/customXml" ds:itemID="{A6923E77-8A0A-4626-A31E-07F72087E8FE}">
  <ds:schemaRefs>
    <ds:schemaRef ds:uri="http://schemas.microsoft.com/sharepoint/v3/contenttype/forms"/>
  </ds:schemaRefs>
</ds:datastoreItem>
</file>

<file path=customXml/itemProps3.xml><?xml version="1.0" encoding="utf-8"?>
<ds:datastoreItem xmlns:ds="http://schemas.openxmlformats.org/officeDocument/2006/customXml" ds:itemID="{0AF901A2-40D1-4A4B-BEBA-46484CADD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f70b6-842b-4b5e-99cb-cf3af2c3c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16</Pages>
  <Words>8400</Words>
  <Characters>47884</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Resource Enablement, Organizational Behavior, and Instructional Leadership Orientation on School Leaders’ Administrative Support Responsiveness in National Assessments</vt:lpstr>
    </vt:vector>
  </TitlesOfParts>
  <Company/>
  <LinksUpToDate>false</LinksUpToDate>
  <CharactersWithSpaces>56172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Enablement, Organizational Behavior, and Instructional Leadership Orientation on School Leaders’ Administrative Support Responsiveness in National Assessments</dc:title>
  <dc:creator>Gerlie Rose Magdato;Gerlie Rose C. Magdato1*;Dr. James L. Paglinawan2</dc:creator>
  <cp:lastModifiedBy>DARLENE CABALLERO</cp:lastModifiedBy>
  <cp:revision>6</cp:revision>
  <dcterms:created xsi:type="dcterms:W3CDTF">2026-06-23T14:32:00Z</dcterms:created>
  <dcterms:modified xsi:type="dcterms:W3CDTF">2026-06-24T14:30:00Z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2026-05-18T00:00:00Z</vt:filetime>
  </property>
  <property fmtid="{D5CDD505-2E9C-101B-9397-08002B2CF9AE}" pid="3" name="Creator">
    <vt:lpwstr>Microsoft® Word 2016</vt:lpwstr>
  </property>
  <property fmtid="{D5CDD505-2E9C-101B-9397-08002B2CF9AE}" pid="4" name="LastSaved">
    <vt:filetime>2026-05-26T00:00:00Z</vt:filetime>
  </property>
  <property fmtid="{D5CDD505-2E9C-101B-9397-08002B2CF9AE}" pid="5" name="Producer">
    <vt:lpwstr>www.ilovepdf.com</vt:lpwstr>
  </property>
  <property fmtid="{D5CDD505-2E9C-101B-9397-08002B2CF9AE}" pid="6" name="GrammarlyDocumentId">
    <vt:lpwstr>1d949284-2125-41ce-9eae-326ba56c6a18</vt:lpwstr>
  </property>
  <property fmtid="{D5CDD505-2E9C-101B-9397-08002B2CF9AE}" pid="7" name="ContentTypeId">
    <vt:lpwstr>0x010100ADAB49C824F4DD48B84E7E33F80B9B91</vt:lpwstr>
  </property>
</Properties>
</file>