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9C17" w14:textId="77777777" w:rsidR="00C163C2" w:rsidRPr="00B73935" w:rsidRDefault="00C163C2" w:rsidP="00C163C2">
      <w:pPr>
        <w:spacing w:line="480" w:lineRule="auto"/>
        <w:jc w:val="center"/>
        <w:rPr>
          <w:b/>
          <w:bCs/>
          <w:sz w:val="28"/>
          <w:szCs w:val="28"/>
          <w:lang w:val="en-US"/>
        </w:rPr>
      </w:pPr>
      <w:r w:rsidRPr="00015A22">
        <w:rPr>
          <w:b/>
          <w:bCs/>
          <w:sz w:val="28"/>
          <w:szCs w:val="28"/>
          <w:lang w:val="en-US"/>
        </w:rPr>
        <w:t>Design and Synthesis of 2,4-Thiazolidinedione-Based Derivatives as Potent EGFR-Targeting Anticancer Agents</w:t>
      </w:r>
    </w:p>
    <w:p w14:paraId="232CDADF" w14:textId="77777777" w:rsidR="001256C2" w:rsidRDefault="001256C2" w:rsidP="00C163C2">
      <w:pPr>
        <w:spacing w:before="100" w:beforeAutospacing="1" w:after="100" w:afterAutospacing="1" w:line="360" w:lineRule="auto"/>
        <w:jc w:val="both"/>
        <w:outlineLvl w:val="1"/>
        <w:rPr>
          <w:b/>
          <w:bCs/>
        </w:rPr>
      </w:pPr>
    </w:p>
    <w:p w14:paraId="360D2B1B" w14:textId="77777777" w:rsidR="001256C2" w:rsidRDefault="001256C2" w:rsidP="00C163C2">
      <w:pPr>
        <w:spacing w:before="100" w:beforeAutospacing="1" w:after="100" w:afterAutospacing="1" w:line="360" w:lineRule="auto"/>
        <w:jc w:val="both"/>
        <w:outlineLvl w:val="1"/>
        <w:rPr>
          <w:b/>
          <w:bCs/>
        </w:rPr>
      </w:pPr>
    </w:p>
    <w:p w14:paraId="30B0023A" w14:textId="77777777" w:rsidR="001256C2" w:rsidRDefault="001256C2" w:rsidP="00C163C2">
      <w:pPr>
        <w:spacing w:before="100" w:beforeAutospacing="1" w:after="100" w:afterAutospacing="1" w:line="360" w:lineRule="auto"/>
        <w:jc w:val="both"/>
        <w:outlineLvl w:val="1"/>
        <w:rPr>
          <w:b/>
          <w:bCs/>
        </w:rPr>
      </w:pPr>
    </w:p>
    <w:p w14:paraId="4D6F98B9" w14:textId="77777777" w:rsidR="001256C2" w:rsidRDefault="001256C2" w:rsidP="00C163C2">
      <w:pPr>
        <w:spacing w:before="100" w:beforeAutospacing="1" w:after="100" w:afterAutospacing="1" w:line="360" w:lineRule="auto"/>
        <w:jc w:val="both"/>
        <w:outlineLvl w:val="1"/>
        <w:rPr>
          <w:b/>
          <w:bCs/>
        </w:rPr>
      </w:pPr>
    </w:p>
    <w:p w14:paraId="164C1ED8" w14:textId="77777777" w:rsidR="001256C2" w:rsidRDefault="001256C2" w:rsidP="00C163C2">
      <w:pPr>
        <w:spacing w:before="100" w:beforeAutospacing="1" w:after="100" w:afterAutospacing="1" w:line="360" w:lineRule="auto"/>
        <w:jc w:val="both"/>
        <w:outlineLvl w:val="1"/>
        <w:rPr>
          <w:b/>
          <w:bCs/>
        </w:rPr>
      </w:pPr>
    </w:p>
    <w:p w14:paraId="43D42FFF" w14:textId="77777777" w:rsidR="001256C2" w:rsidRDefault="001256C2" w:rsidP="00C163C2">
      <w:pPr>
        <w:spacing w:before="100" w:beforeAutospacing="1" w:after="100" w:afterAutospacing="1" w:line="360" w:lineRule="auto"/>
        <w:jc w:val="both"/>
        <w:outlineLvl w:val="1"/>
        <w:rPr>
          <w:b/>
          <w:bCs/>
        </w:rPr>
      </w:pPr>
    </w:p>
    <w:p w14:paraId="09DF21E4" w14:textId="77777777" w:rsidR="001256C2" w:rsidRDefault="001256C2" w:rsidP="00C163C2">
      <w:pPr>
        <w:spacing w:before="100" w:beforeAutospacing="1" w:after="100" w:afterAutospacing="1" w:line="360" w:lineRule="auto"/>
        <w:jc w:val="both"/>
        <w:outlineLvl w:val="1"/>
        <w:rPr>
          <w:b/>
          <w:bCs/>
        </w:rPr>
      </w:pPr>
    </w:p>
    <w:p w14:paraId="0C4D5DBE" w14:textId="77777777" w:rsidR="001256C2" w:rsidRDefault="001256C2" w:rsidP="00C163C2">
      <w:pPr>
        <w:spacing w:before="100" w:beforeAutospacing="1" w:after="100" w:afterAutospacing="1" w:line="360" w:lineRule="auto"/>
        <w:jc w:val="both"/>
        <w:outlineLvl w:val="1"/>
        <w:rPr>
          <w:b/>
          <w:bCs/>
        </w:rPr>
      </w:pPr>
    </w:p>
    <w:p w14:paraId="3EEA2256" w14:textId="77777777" w:rsidR="001256C2" w:rsidRDefault="001256C2" w:rsidP="00C163C2">
      <w:pPr>
        <w:spacing w:before="100" w:beforeAutospacing="1" w:after="100" w:afterAutospacing="1" w:line="360" w:lineRule="auto"/>
        <w:jc w:val="both"/>
        <w:outlineLvl w:val="1"/>
        <w:rPr>
          <w:b/>
          <w:bCs/>
        </w:rPr>
      </w:pPr>
    </w:p>
    <w:p w14:paraId="64243546" w14:textId="77777777" w:rsidR="001256C2" w:rsidRDefault="001256C2" w:rsidP="00C163C2">
      <w:pPr>
        <w:spacing w:before="100" w:beforeAutospacing="1" w:after="100" w:afterAutospacing="1" w:line="360" w:lineRule="auto"/>
        <w:jc w:val="both"/>
        <w:outlineLvl w:val="1"/>
        <w:rPr>
          <w:b/>
          <w:bCs/>
        </w:rPr>
      </w:pPr>
    </w:p>
    <w:p w14:paraId="52ADE259" w14:textId="77777777" w:rsidR="001256C2" w:rsidRDefault="001256C2" w:rsidP="00C163C2">
      <w:pPr>
        <w:spacing w:before="100" w:beforeAutospacing="1" w:after="100" w:afterAutospacing="1" w:line="360" w:lineRule="auto"/>
        <w:jc w:val="both"/>
        <w:outlineLvl w:val="1"/>
        <w:rPr>
          <w:b/>
          <w:bCs/>
        </w:rPr>
      </w:pPr>
    </w:p>
    <w:p w14:paraId="3D9EBC99" w14:textId="77777777" w:rsidR="001256C2" w:rsidRDefault="001256C2" w:rsidP="00C163C2">
      <w:pPr>
        <w:spacing w:before="100" w:beforeAutospacing="1" w:after="100" w:afterAutospacing="1" w:line="360" w:lineRule="auto"/>
        <w:jc w:val="both"/>
        <w:outlineLvl w:val="1"/>
        <w:rPr>
          <w:b/>
          <w:bCs/>
        </w:rPr>
      </w:pPr>
    </w:p>
    <w:p w14:paraId="1D6FE3C5" w14:textId="77777777" w:rsidR="001256C2" w:rsidRDefault="001256C2" w:rsidP="00C163C2">
      <w:pPr>
        <w:spacing w:before="100" w:beforeAutospacing="1" w:after="100" w:afterAutospacing="1" w:line="360" w:lineRule="auto"/>
        <w:jc w:val="both"/>
        <w:outlineLvl w:val="1"/>
        <w:rPr>
          <w:b/>
          <w:bCs/>
        </w:rPr>
      </w:pPr>
    </w:p>
    <w:p w14:paraId="55760332" w14:textId="77777777" w:rsidR="001256C2" w:rsidRDefault="001256C2" w:rsidP="00C163C2">
      <w:pPr>
        <w:spacing w:before="100" w:beforeAutospacing="1" w:after="100" w:afterAutospacing="1" w:line="360" w:lineRule="auto"/>
        <w:jc w:val="both"/>
        <w:outlineLvl w:val="1"/>
        <w:rPr>
          <w:b/>
          <w:bCs/>
        </w:rPr>
      </w:pPr>
    </w:p>
    <w:p w14:paraId="715F9CFE" w14:textId="77777777" w:rsidR="001256C2" w:rsidRDefault="001256C2" w:rsidP="00C163C2">
      <w:pPr>
        <w:spacing w:before="100" w:beforeAutospacing="1" w:after="100" w:afterAutospacing="1" w:line="360" w:lineRule="auto"/>
        <w:jc w:val="both"/>
        <w:outlineLvl w:val="1"/>
        <w:rPr>
          <w:b/>
          <w:bCs/>
        </w:rPr>
      </w:pPr>
    </w:p>
    <w:p w14:paraId="0DD3B6E2" w14:textId="77777777" w:rsidR="001256C2" w:rsidRDefault="001256C2" w:rsidP="00C163C2">
      <w:pPr>
        <w:spacing w:before="100" w:beforeAutospacing="1" w:after="100" w:afterAutospacing="1" w:line="360" w:lineRule="auto"/>
        <w:jc w:val="both"/>
        <w:outlineLvl w:val="1"/>
        <w:rPr>
          <w:b/>
          <w:bCs/>
        </w:rPr>
      </w:pPr>
    </w:p>
    <w:p w14:paraId="57F4C962" w14:textId="77777777" w:rsidR="001256C2" w:rsidRDefault="001256C2" w:rsidP="00C163C2">
      <w:pPr>
        <w:spacing w:before="100" w:beforeAutospacing="1" w:after="100" w:afterAutospacing="1" w:line="360" w:lineRule="auto"/>
        <w:jc w:val="both"/>
        <w:outlineLvl w:val="1"/>
        <w:rPr>
          <w:b/>
          <w:bCs/>
        </w:rPr>
      </w:pPr>
    </w:p>
    <w:p w14:paraId="4BBD37AF" w14:textId="77777777" w:rsidR="001256C2" w:rsidRDefault="001256C2" w:rsidP="00C163C2">
      <w:pPr>
        <w:spacing w:before="100" w:beforeAutospacing="1" w:after="100" w:afterAutospacing="1" w:line="360" w:lineRule="auto"/>
        <w:jc w:val="both"/>
        <w:outlineLvl w:val="1"/>
        <w:rPr>
          <w:b/>
          <w:bCs/>
        </w:rPr>
      </w:pPr>
    </w:p>
    <w:p w14:paraId="51C9FAD1" w14:textId="64DEA06C" w:rsidR="00C163C2" w:rsidRPr="00C163C2" w:rsidRDefault="00C163C2" w:rsidP="00C163C2">
      <w:pPr>
        <w:spacing w:before="100" w:beforeAutospacing="1" w:after="100" w:afterAutospacing="1" w:line="360" w:lineRule="auto"/>
        <w:jc w:val="both"/>
        <w:outlineLvl w:val="1"/>
        <w:rPr>
          <w:b/>
          <w:bCs/>
        </w:rPr>
      </w:pPr>
      <w:r w:rsidRPr="00C163C2">
        <w:rPr>
          <w:b/>
          <w:bCs/>
        </w:rPr>
        <w:lastRenderedPageBreak/>
        <w:t>Abstract</w:t>
      </w:r>
    </w:p>
    <w:p w14:paraId="1338D93B" w14:textId="77777777" w:rsidR="00433F08" w:rsidRPr="00433F08" w:rsidRDefault="00433F08" w:rsidP="00433F08">
      <w:pPr>
        <w:pStyle w:val="Heading2"/>
        <w:spacing w:line="360" w:lineRule="auto"/>
        <w:jc w:val="both"/>
        <w:rPr>
          <w:rFonts w:ascii="Times New Roman" w:hAnsi="Times New Roman"/>
          <w:b w:val="0"/>
          <w:bCs w:val="0"/>
          <w:color w:val="auto"/>
          <w:sz w:val="24"/>
          <w:szCs w:val="24"/>
        </w:rPr>
      </w:pPr>
      <w:r w:rsidRPr="00433F08">
        <w:rPr>
          <w:rFonts w:ascii="Times New Roman" w:hAnsi="Times New Roman"/>
          <w:b w:val="0"/>
          <w:bCs w:val="0"/>
          <w:color w:val="auto"/>
          <w:sz w:val="24"/>
          <w:szCs w:val="24"/>
        </w:rPr>
        <w:t xml:space="preserve">A series of quinoline- and naphthalene-based 2,4-thiazolidinedione (TZD) hybrids (5a–5o) were rationally designed and synthesized using a pharmacophore hybridization approach targeting epidermal growth factor receptor (EGFR). The synthesized compounds were evaluated for in vitro antiproliferative activity against human cancer cell lines including MDA-MB-453, A549, PC-3, and MCF-7, along with EGFR inhibitory activity. Several compounds exhibited promising cytotoxicity, with derivatives 5c, 5f, 5g, and 5n showing significant activity (IC₅₀ = 4.6–9.8 µM). Molecular docking studies using EGFR crystal structures (PDB: 1M17 and 4HJO) demonstrated </w:t>
      </w:r>
      <w:proofErr w:type="spellStart"/>
      <w:r w:rsidRPr="00433F08">
        <w:rPr>
          <w:rFonts w:ascii="Times New Roman" w:hAnsi="Times New Roman"/>
          <w:b w:val="0"/>
          <w:bCs w:val="0"/>
          <w:color w:val="auto"/>
          <w:sz w:val="24"/>
          <w:szCs w:val="24"/>
        </w:rPr>
        <w:t>favorable</w:t>
      </w:r>
      <w:proofErr w:type="spellEnd"/>
      <w:r w:rsidRPr="00433F08">
        <w:rPr>
          <w:rFonts w:ascii="Times New Roman" w:hAnsi="Times New Roman"/>
          <w:b w:val="0"/>
          <w:bCs w:val="0"/>
          <w:color w:val="auto"/>
          <w:sz w:val="24"/>
          <w:szCs w:val="24"/>
        </w:rPr>
        <w:t xml:space="preserve"> binding affinities and key interactions with the ATP-binding pocket, particularly hydrogen bonding with Met793. Docking results correlated well with experimental EGFR inhibition, supporting an EGFR-mediated mechanism. Structure–activity relationship analysis revealed the importance of the TZD core, electron-rich aromatic moieties, and balanced lipophilicity for enhanced anticancer activity. These findings identify TZD hybrids as promising EGFR-targeted anticancer leads.</w:t>
      </w:r>
    </w:p>
    <w:p w14:paraId="60517F6E" w14:textId="2712B1B9" w:rsidR="003A5C01" w:rsidRPr="0024696E" w:rsidRDefault="003A5C01" w:rsidP="003A5C01">
      <w:pPr>
        <w:pStyle w:val="Heading2"/>
        <w:spacing w:line="360" w:lineRule="auto"/>
        <w:jc w:val="both"/>
        <w:rPr>
          <w:rFonts w:ascii="Times New Roman" w:hAnsi="Times New Roman"/>
          <w:color w:val="auto"/>
          <w:sz w:val="24"/>
          <w:szCs w:val="24"/>
        </w:rPr>
      </w:pPr>
      <w:r w:rsidRPr="0024696E">
        <w:rPr>
          <w:rStyle w:val="Strong"/>
          <w:rFonts w:ascii="Times New Roman" w:hAnsi="Times New Roman"/>
          <w:b/>
          <w:bCs/>
          <w:color w:val="auto"/>
          <w:sz w:val="24"/>
          <w:szCs w:val="24"/>
        </w:rPr>
        <w:t>Keywords</w:t>
      </w:r>
    </w:p>
    <w:p w14:paraId="31929905" w14:textId="7CF94C2B" w:rsidR="003A5C01" w:rsidRDefault="003A5C01" w:rsidP="003A5C01">
      <w:pPr>
        <w:pStyle w:val="NormalWeb"/>
        <w:spacing w:line="360" w:lineRule="auto"/>
        <w:jc w:val="both"/>
      </w:pPr>
      <w:r w:rsidRPr="0024696E">
        <w:t>Thiazolidinedione (TZD); EGFR</w:t>
      </w:r>
      <w:r w:rsidR="00F42558">
        <w:t xml:space="preserve"> (Epithelial </w:t>
      </w:r>
      <w:r w:rsidR="00BE5A64">
        <w:t xml:space="preserve">growth </w:t>
      </w:r>
      <w:proofErr w:type="spellStart"/>
      <w:r w:rsidR="00BE5A64">
        <w:t>Facor</w:t>
      </w:r>
      <w:proofErr w:type="spellEnd"/>
      <w:r w:rsidR="00BE5A64">
        <w:t xml:space="preserve"> Receptor) </w:t>
      </w:r>
      <w:r w:rsidRPr="0024696E">
        <w:t>inhibitors; Pharmacophore hybridization; Quinoline derivatives; Naphthalene derivatives; Molecular docking; Anticancer activity; Structure–activity relationship</w:t>
      </w:r>
    </w:p>
    <w:p w14:paraId="60052A88" w14:textId="77777777" w:rsidR="003A5C01" w:rsidRPr="0024696E" w:rsidRDefault="003A5C01" w:rsidP="003A5C01">
      <w:pPr>
        <w:pStyle w:val="NormalWeb"/>
        <w:spacing w:line="360" w:lineRule="auto"/>
        <w:jc w:val="both"/>
      </w:pPr>
    </w:p>
    <w:p w14:paraId="56947447" w14:textId="77777777" w:rsidR="00C00E27" w:rsidRDefault="00C00E27" w:rsidP="00757871">
      <w:pPr>
        <w:spacing w:before="100" w:beforeAutospacing="1" w:after="100" w:afterAutospacing="1"/>
        <w:rPr>
          <w:b/>
        </w:rPr>
      </w:pPr>
    </w:p>
    <w:p w14:paraId="10406C16" w14:textId="77777777" w:rsidR="00C00E27" w:rsidRDefault="00C00E27" w:rsidP="00757871">
      <w:pPr>
        <w:spacing w:before="100" w:beforeAutospacing="1" w:after="100" w:afterAutospacing="1"/>
        <w:rPr>
          <w:b/>
        </w:rPr>
      </w:pPr>
    </w:p>
    <w:p w14:paraId="413D9BD1" w14:textId="183DA71B" w:rsidR="00757871" w:rsidRPr="00757871" w:rsidRDefault="00757871" w:rsidP="00757871">
      <w:pPr>
        <w:spacing w:before="100" w:beforeAutospacing="1" w:after="100" w:afterAutospacing="1"/>
        <w:rPr>
          <w:b/>
        </w:rPr>
      </w:pPr>
      <w:r w:rsidRPr="00757871">
        <w:rPr>
          <w:b/>
        </w:rPr>
        <w:t>Introduction</w:t>
      </w:r>
    </w:p>
    <w:p w14:paraId="738F76CA" w14:textId="77777777" w:rsidR="00757871" w:rsidRPr="00757871" w:rsidRDefault="00757871" w:rsidP="00757871">
      <w:pPr>
        <w:spacing w:before="100" w:beforeAutospacing="1" w:after="100" w:afterAutospacing="1" w:line="360" w:lineRule="auto"/>
        <w:jc w:val="both"/>
      </w:pPr>
      <w:r w:rsidRPr="00757871">
        <w:t xml:space="preserve">Cancer remains a leading global health burden, with dysregulation of receptor tyrosine kinases such as the epidermal growth factor receptor (EGFR) playing a pivotal role in </w:t>
      </w:r>
      <w:proofErr w:type="spellStart"/>
      <w:r w:rsidRPr="00757871">
        <w:t>tumor</w:t>
      </w:r>
      <w:proofErr w:type="spellEnd"/>
      <w:r w:rsidRPr="00757871">
        <w:t xml:space="preserve"> initiation, progression, and metastasis, particularly in lung and breast cancers [1,2]. Aberrant EGFR </w:t>
      </w:r>
      <w:proofErr w:type="spellStart"/>
      <w:r w:rsidRPr="00757871">
        <w:t>signaling</w:t>
      </w:r>
      <w:proofErr w:type="spellEnd"/>
      <w:r w:rsidRPr="00757871">
        <w:t xml:space="preserve"> promotes uncontrolled cellular proliferation, survival, angiogenesis, and resistance to apoptosis, making it an attractive therapeutic target in oncology [3]. Clinically approved EGFR inhibitors, including gefitinib and erlotinib, have demonstrated significant efficacy; however, the emergence of resistance mutations (e.g., T790M) and dose-limiting </w:t>
      </w:r>
      <w:r w:rsidRPr="00757871">
        <w:lastRenderedPageBreak/>
        <w:t>toxicities restrict their long-term therapeutic success [4,5]. Consequently, there is a pressing need to develop novel EGFR-targeted agents with improved potency, selectivity, and resistance profiles.</w:t>
      </w:r>
    </w:p>
    <w:p w14:paraId="61CD29BA" w14:textId="77777777" w:rsidR="00757871" w:rsidRPr="00757871" w:rsidRDefault="00757871" w:rsidP="00757871">
      <w:pPr>
        <w:spacing w:before="100" w:beforeAutospacing="1" w:after="100" w:afterAutospacing="1" w:line="360" w:lineRule="auto"/>
        <w:jc w:val="both"/>
      </w:pPr>
      <w:r w:rsidRPr="00757871">
        <w:t xml:space="preserve">2,4-Thiazolidinedione (TZD) represents a privileged heterocyclic scaffold widely recognized for its diverse pharmacological activities, including antidiabetic, anti-inflammatory, and anticancer effects [6–8]. In recent years, TZD derivatives have attracted considerable attention in oncology due to their ability to modulate multiple </w:t>
      </w:r>
      <w:proofErr w:type="spellStart"/>
      <w:r w:rsidRPr="00757871">
        <w:t>signaling</w:t>
      </w:r>
      <w:proofErr w:type="spellEnd"/>
      <w:r w:rsidRPr="00757871">
        <w:t xml:space="preserve"> pathways, including EGFR-mediated cascades, induce apoptosis, and inhibit </w:t>
      </w:r>
      <w:proofErr w:type="spellStart"/>
      <w:r w:rsidRPr="00757871">
        <w:t>tumor</w:t>
      </w:r>
      <w:proofErr w:type="spellEnd"/>
      <w:r w:rsidRPr="00757871">
        <w:t xml:space="preserve"> cell proliferation and angiogenesis [9,10]. Structural modification of the TZD core has enabled the development of compounds with enhanced kinase inhibitory activity and improved pharmacokinetic properties.</w:t>
      </w:r>
    </w:p>
    <w:p w14:paraId="16C6B8A3" w14:textId="77777777" w:rsidR="00757871" w:rsidRPr="00757871" w:rsidRDefault="00757871" w:rsidP="00757871">
      <w:pPr>
        <w:spacing w:before="100" w:beforeAutospacing="1" w:after="100" w:afterAutospacing="1" w:line="360" w:lineRule="auto"/>
        <w:jc w:val="both"/>
      </w:pPr>
      <w:r w:rsidRPr="00757871">
        <w:t xml:space="preserve">Notably, several TZD-based derivatives have been reported as potent EGFR inhibitors. For instance, Hanafy et al. described a series of TZD analogues capable of dual inhibition of EGFR (including the T790M mutant) and VEGFR-2, exhibiting sub-micromolar inhibitory activity [11]. Similarly, </w:t>
      </w:r>
      <w:proofErr w:type="spellStart"/>
      <w:r w:rsidRPr="00757871">
        <w:t>thiazolidinone</w:t>
      </w:r>
      <w:proofErr w:type="spellEnd"/>
      <w:r w:rsidRPr="00757871">
        <w:t xml:space="preserve"> derivatives incorporating thiol functionalities have demonstrated strong dual EGFR/HER-2 inhibition with IC₅₀ values in the range of 0.09–0.42 µM, highlighting the therapeutic potential of this scaffold in kinase-targeted drug discovery [12].</w:t>
      </w:r>
    </w:p>
    <w:p w14:paraId="60A6068D" w14:textId="77777777" w:rsidR="00757871" w:rsidRPr="00757871" w:rsidRDefault="00757871" w:rsidP="00757871">
      <w:pPr>
        <w:spacing w:before="100" w:beforeAutospacing="1" w:after="100" w:afterAutospacing="1" w:line="360" w:lineRule="auto"/>
        <w:jc w:val="both"/>
      </w:pPr>
      <w:r w:rsidRPr="00757871">
        <w:t>In parallel, quinoline and naphthalene moieties are well-established pharmacophores in medicinal chemistry, known to facilitate strong hydrophobic and π–π stacking interactions within kinase ATP-binding pockets [13,14]. Incorporation of these aromatic systems into bioactive scaffolds has proven effective in enhancing target affinity and selectivity. Accordingly, a pharmacophore hybridization strategy that integrates TZD with quinoline or naphthalene frameworks offers a rational approach to designing novel EGFR inhibitors with optimized binding characteristics.</w:t>
      </w:r>
    </w:p>
    <w:p w14:paraId="5C56380C" w14:textId="77777777" w:rsidR="00757871" w:rsidRPr="00757871" w:rsidRDefault="00757871" w:rsidP="00757871">
      <w:pPr>
        <w:spacing w:before="100" w:beforeAutospacing="1" w:after="100" w:afterAutospacing="1" w:line="360" w:lineRule="auto"/>
        <w:jc w:val="both"/>
      </w:pPr>
      <w:r w:rsidRPr="00757871">
        <w:t xml:space="preserve">Based on these considerations, the present study focuses on the design and synthesis of a series of quinoline–TZD and naphthalene–TZD hybrid molecules. These compounds were evaluated through molecular docking studies against EGFR, followed by in vitro antiproliferative screening against representative lung and breast cancer cell lines. This integrated approach aims to identify multifunctional TZD-based derivatives with enhanced </w:t>
      </w:r>
      <w:r w:rsidRPr="00757871">
        <w:lastRenderedPageBreak/>
        <w:t>EGFR inhibitory activity and promising anticancer potential, thereby contributing to the advancement of targeted kinase inhibitor development.</w:t>
      </w:r>
    </w:p>
    <w:p w14:paraId="72B1029E" w14:textId="77777777" w:rsidR="00ED2D1E" w:rsidRDefault="00ED2D1E" w:rsidP="00ED2D1E">
      <w:pPr>
        <w:spacing w:line="360" w:lineRule="auto"/>
        <w:jc w:val="both"/>
        <w:rPr>
          <w:b/>
          <w:bCs/>
        </w:rPr>
      </w:pPr>
      <w:r>
        <w:rPr>
          <w:b/>
          <w:bCs/>
        </w:rPr>
        <w:t xml:space="preserve">Materials and method </w:t>
      </w:r>
    </w:p>
    <w:p w14:paraId="0BBE5493" w14:textId="77777777" w:rsidR="00ED2D1E" w:rsidRDefault="00ED2D1E" w:rsidP="00ED2D1E">
      <w:pPr>
        <w:spacing w:line="360" w:lineRule="auto"/>
        <w:jc w:val="both"/>
        <w:rPr>
          <w:rFonts w:eastAsia="TimesNewRoman"/>
        </w:rPr>
      </w:pPr>
      <w:r w:rsidRPr="00D950FC">
        <w:t xml:space="preserve">In this study, </w:t>
      </w:r>
      <w:r w:rsidRPr="00D950FC">
        <w:rPr>
          <w:rFonts w:eastAsia="TimesNewRoman"/>
          <w:noProof/>
        </w:rPr>
        <w:t>All the starting materials were purchased from Sigma-Aldrich Chemicals Co. and BDL Pharma.</w:t>
      </w:r>
      <w:r w:rsidRPr="00D950FC">
        <w:rPr>
          <w:rFonts w:eastAsia="TimesNewRoman"/>
        </w:rPr>
        <w:t xml:space="preserve"> </w:t>
      </w:r>
      <w:r w:rsidRPr="00253EFB">
        <w:rPr>
          <w:rFonts w:eastAsia="TimesNewRoman"/>
        </w:rPr>
        <w:t xml:space="preserve">The progress of the </w:t>
      </w:r>
      <w:r w:rsidRPr="00253EFB">
        <w:rPr>
          <w:rFonts w:eastAsia="TimesNewRoman"/>
          <w:noProof/>
        </w:rPr>
        <w:t>reactions</w:t>
      </w:r>
      <w:r w:rsidRPr="00253EFB">
        <w:rPr>
          <w:rFonts w:eastAsia="TimesNewRoman"/>
        </w:rPr>
        <w:t xml:space="preserve"> was monitored by thin layer chromatography (TLC) with ethyl acetate-hexane (1:2) mixture as eluent.</w:t>
      </w:r>
      <w:r>
        <w:rPr>
          <w:rFonts w:eastAsia="TimesNewRoman"/>
        </w:rPr>
        <w:t xml:space="preserve"> We unitized a digital melting point apparatus</w:t>
      </w:r>
      <w:r w:rsidRPr="00253EFB">
        <w:t xml:space="preserve"> (LABARD LIM-252) </w:t>
      </w:r>
      <w:r>
        <w:rPr>
          <w:rFonts w:eastAsia="TimesNewRoman"/>
        </w:rPr>
        <w:t xml:space="preserve">to determine the melting points of the synthesized compounds and </w:t>
      </w:r>
      <w:r w:rsidRPr="00253EFB">
        <w:t>are uncorrected</w:t>
      </w:r>
      <w:r>
        <w:t xml:space="preserve">. </w:t>
      </w:r>
      <w:r w:rsidRPr="00253EFB">
        <w:rPr>
          <w:rFonts w:eastAsia="TimesNewRoman"/>
        </w:rPr>
        <w:t xml:space="preserve">FT-IR spectra </w:t>
      </w:r>
      <w:r w:rsidRPr="00253EFB">
        <w:rPr>
          <w:rFonts w:eastAsia="TimesNewRoman"/>
          <w:noProof/>
        </w:rPr>
        <w:t>were recorded</w:t>
      </w:r>
      <w:r w:rsidRPr="00253EFB">
        <w:rPr>
          <w:rFonts w:eastAsia="TimesNewRoman"/>
        </w:rPr>
        <w:t xml:space="preserve"> on Perkin Elmer Instrument using KBr pellet. All NMR spectra </w:t>
      </w:r>
      <w:r w:rsidRPr="00253EFB">
        <w:rPr>
          <w:rFonts w:eastAsia="TimesNewRoman"/>
          <w:noProof/>
        </w:rPr>
        <w:t>were recorded</w:t>
      </w:r>
      <w:r w:rsidRPr="00253EFB">
        <w:rPr>
          <w:rFonts w:eastAsia="TimesNewRoman"/>
        </w:rPr>
        <w:t xml:space="preserve"> on (for 400 MHz </w:t>
      </w:r>
      <w:r w:rsidRPr="00253EFB">
        <w:rPr>
          <w:rFonts w:eastAsia="TimesNewRoman"/>
          <w:vertAlign w:val="superscript"/>
        </w:rPr>
        <w:t>1</w:t>
      </w:r>
      <w:r w:rsidRPr="00253EFB">
        <w:rPr>
          <w:rFonts w:eastAsia="TimesNewRoman"/>
        </w:rPr>
        <w:t xml:space="preserve">H NMR, 100 MHz for </w:t>
      </w:r>
      <w:r w:rsidRPr="00253EFB">
        <w:rPr>
          <w:rFonts w:eastAsia="TimesNewRoman"/>
          <w:vertAlign w:val="superscript"/>
        </w:rPr>
        <w:t>13</w:t>
      </w:r>
      <w:r w:rsidRPr="00253EFB">
        <w:rPr>
          <w:rFonts w:eastAsia="TimesNewRoman"/>
        </w:rPr>
        <w:t xml:space="preserve">C NMR) Bruker FT-NMR spectrometer and chemical shifts </w:t>
      </w:r>
      <w:r w:rsidRPr="00253EFB">
        <w:rPr>
          <w:rFonts w:eastAsia="TimesNewRoman"/>
          <w:noProof/>
        </w:rPr>
        <w:t>were expressed</w:t>
      </w:r>
      <w:r w:rsidRPr="00253EFB">
        <w:rPr>
          <w:rFonts w:eastAsia="TimesNewRoman"/>
        </w:rPr>
        <w:t xml:space="preserve"> in δ</w:t>
      </w:r>
      <w:r>
        <w:rPr>
          <w:rFonts w:eastAsia="TimesNewRoman"/>
        </w:rPr>
        <w:t xml:space="preserve">-scale and coupling constants, </w:t>
      </w:r>
      <w:r w:rsidRPr="00253EFB">
        <w:rPr>
          <w:rFonts w:eastAsia="TimesNewRoman"/>
          <w:i/>
        </w:rPr>
        <w:t xml:space="preserve">J </w:t>
      </w:r>
      <w:r w:rsidRPr="00253EFB">
        <w:rPr>
          <w:rFonts w:eastAsia="TimesNewRoman"/>
          <w:noProof/>
        </w:rPr>
        <w:t>was</w:t>
      </w:r>
      <w:r>
        <w:rPr>
          <w:rFonts w:eastAsia="TimesNewRoman"/>
        </w:rPr>
        <w:t xml:space="preserve"> recorded in hertz (HZ)</w:t>
      </w:r>
      <w:r w:rsidRPr="00253EFB">
        <w:rPr>
          <w:rFonts w:eastAsia="TimesNewRoman"/>
        </w:rPr>
        <w:t xml:space="preserve"> relevant to Tetramethyl silane (TMS) signal as an internal source in DMSO-</w:t>
      </w:r>
      <w:r w:rsidRPr="00253EFB">
        <w:rPr>
          <w:rFonts w:eastAsia="TimesNewRoman"/>
          <w:i/>
        </w:rPr>
        <w:t>d</w:t>
      </w:r>
      <w:r w:rsidRPr="00253EFB">
        <w:rPr>
          <w:rFonts w:eastAsia="TimesNewRoman"/>
          <w:i/>
          <w:vertAlign w:val="subscript"/>
        </w:rPr>
        <w:t>6</w:t>
      </w:r>
      <w:r>
        <w:rPr>
          <w:rFonts w:eastAsia="TimesNewRoman"/>
        </w:rPr>
        <w:t xml:space="preserve"> and CDCl</w:t>
      </w:r>
      <w:r w:rsidRPr="008E3BF9">
        <w:rPr>
          <w:rFonts w:eastAsia="TimesNewRoman"/>
          <w:vertAlign w:val="subscript"/>
        </w:rPr>
        <w:t>3</w:t>
      </w:r>
      <w:r>
        <w:rPr>
          <w:rFonts w:eastAsia="TimesNewRoman"/>
        </w:rPr>
        <w:t xml:space="preserve">.NMR Splitting patterns </w:t>
      </w:r>
      <w:r w:rsidRPr="00253EFB">
        <w:rPr>
          <w:rFonts w:eastAsia="TimesNewRoman"/>
          <w:noProof/>
        </w:rPr>
        <w:t>were indicated</w:t>
      </w:r>
      <w:r w:rsidRPr="00253EFB">
        <w:rPr>
          <w:rFonts w:eastAsia="TimesNewRoman"/>
        </w:rPr>
        <w:t xml:space="preserve"> as s (</w:t>
      </w:r>
      <w:r w:rsidRPr="00253EFB">
        <w:rPr>
          <w:rFonts w:eastAsia="TimesNewRoman"/>
          <w:noProof/>
        </w:rPr>
        <w:t>singlet</w:t>
      </w:r>
      <w:r w:rsidRPr="00253EFB">
        <w:rPr>
          <w:rFonts w:eastAsia="TimesNewRoman"/>
        </w:rPr>
        <w:t xml:space="preserve">), d (doublet), </w:t>
      </w:r>
      <w:r>
        <w:rPr>
          <w:rFonts w:eastAsia="TimesNewRoman"/>
        </w:rPr>
        <w:t xml:space="preserve">t </w:t>
      </w:r>
      <w:r w:rsidRPr="00253EFB">
        <w:rPr>
          <w:rFonts w:eastAsia="TimesNewRoman"/>
        </w:rPr>
        <w:t xml:space="preserve">(triplet) </w:t>
      </w:r>
      <w:r>
        <w:rPr>
          <w:rFonts w:eastAsia="TimesNewRoman"/>
        </w:rPr>
        <w:t xml:space="preserve">q (quadruplet), </w:t>
      </w:r>
      <w:r w:rsidRPr="00253EFB">
        <w:rPr>
          <w:rFonts w:eastAsia="TimesNewRoman"/>
        </w:rPr>
        <w:t>m (</w:t>
      </w:r>
      <w:proofErr w:type="spellStart"/>
      <w:r w:rsidRPr="00253EFB">
        <w:rPr>
          <w:rFonts w:eastAsia="TimesNewRoman"/>
          <w:noProof/>
        </w:rPr>
        <w:t>multiplet</w:t>
      </w:r>
      <w:proofErr w:type="spellEnd"/>
      <w:r>
        <w:rPr>
          <w:rFonts w:eastAsia="TimesNewRoman"/>
        </w:rPr>
        <w:t>) and dd (doublet of doublet.</w:t>
      </w:r>
      <w:r w:rsidRPr="00253EFB">
        <w:rPr>
          <w:rFonts w:eastAsia="TimesNewRoman"/>
        </w:rPr>
        <w:t xml:space="preserve"> </w:t>
      </w:r>
      <w:r>
        <w:rPr>
          <w:rFonts w:eastAsia="TimesNewRoman"/>
        </w:rPr>
        <w:t xml:space="preserve">NMR spectral analysis was conducted using </w:t>
      </w:r>
      <w:proofErr w:type="spellStart"/>
      <w:r>
        <w:rPr>
          <w:rFonts w:eastAsia="TimesNewRoman"/>
        </w:rPr>
        <w:t>Mestrelab</w:t>
      </w:r>
      <w:proofErr w:type="spellEnd"/>
      <w:r>
        <w:rPr>
          <w:rFonts w:eastAsia="TimesNewRoman"/>
        </w:rPr>
        <w:t xml:space="preserve"> software (</w:t>
      </w:r>
      <w:proofErr w:type="spellStart"/>
      <w:r>
        <w:rPr>
          <w:rFonts w:eastAsia="TimesNewRoman"/>
        </w:rPr>
        <w:t>Mnova</w:t>
      </w:r>
      <w:proofErr w:type="spellEnd"/>
      <w:r>
        <w:rPr>
          <w:rFonts w:eastAsia="TimesNewRoman"/>
        </w:rPr>
        <w:t xml:space="preserve"> 15.0.0).</w:t>
      </w:r>
    </w:p>
    <w:p w14:paraId="1FBF318B" w14:textId="77777777" w:rsidR="00ED2D1E" w:rsidRPr="00957180" w:rsidRDefault="00ED2D1E" w:rsidP="00ED2D1E">
      <w:pPr>
        <w:spacing w:line="360" w:lineRule="auto"/>
        <w:jc w:val="both"/>
        <w:rPr>
          <w:rFonts w:eastAsia="TimesNewRoman"/>
        </w:rPr>
      </w:pPr>
    </w:p>
    <w:p w14:paraId="04DC666F" w14:textId="77777777" w:rsidR="00596A5C" w:rsidRPr="006F4CFB" w:rsidRDefault="00596A5C" w:rsidP="00596A5C">
      <w:pPr>
        <w:spacing w:line="360" w:lineRule="auto"/>
        <w:jc w:val="both"/>
        <w:rPr>
          <w:lang w:val="en-US"/>
        </w:rPr>
      </w:pPr>
      <w:r w:rsidRPr="006F4CFB">
        <w:rPr>
          <w:b/>
          <w:bCs/>
          <w:lang w:val="en-US"/>
        </w:rPr>
        <w:t xml:space="preserve">Results and discussion </w:t>
      </w:r>
    </w:p>
    <w:p w14:paraId="16526800" w14:textId="77777777" w:rsidR="00596A5C" w:rsidRDefault="00596A5C" w:rsidP="00596A5C">
      <w:pPr>
        <w:spacing w:line="360" w:lineRule="auto"/>
        <w:jc w:val="both"/>
        <w:rPr>
          <w:b/>
          <w:bCs/>
          <w:lang w:val="en-US"/>
        </w:rPr>
      </w:pPr>
      <w:r w:rsidRPr="006F4CFB">
        <w:rPr>
          <w:b/>
          <w:bCs/>
          <w:lang w:val="en-US"/>
        </w:rPr>
        <w:t xml:space="preserve">Chemistry </w:t>
      </w:r>
    </w:p>
    <w:p w14:paraId="726C79E6" w14:textId="77777777" w:rsidR="00E13237" w:rsidRPr="00A17480" w:rsidRDefault="00E13237" w:rsidP="00E13237">
      <w:pPr>
        <w:pStyle w:val="NormalWeb"/>
        <w:spacing w:line="360" w:lineRule="auto"/>
        <w:jc w:val="both"/>
      </w:pPr>
      <w:r w:rsidRPr="00A17480">
        <w:t xml:space="preserve">The synthetic strategy adopted for the preparation of the target </w:t>
      </w:r>
      <w:r w:rsidRPr="00A17480">
        <w:rPr>
          <w:rStyle w:val="Strong"/>
        </w:rPr>
        <w:t>quinoline- and naphthalene-based 2,4-thiazoli</w:t>
      </w:r>
      <w:r w:rsidR="009D3AA2">
        <w:rPr>
          <w:rStyle w:val="Strong"/>
        </w:rPr>
        <w:t>dinedione (TZD) derivatives (5a-</w:t>
      </w:r>
      <w:r w:rsidRPr="00A17480">
        <w:rPr>
          <w:rStyle w:val="Strong"/>
        </w:rPr>
        <w:t>o)</w:t>
      </w:r>
      <w:r w:rsidRPr="00A17480">
        <w:t xml:space="preserve"> is outlined in Scheme 1. The synthesis commenced with a classical </w:t>
      </w:r>
      <w:r w:rsidRPr="00A17480">
        <w:rPr>
          <w:rStyle w:val="Strong"/>
        </w:rPr>
        <w:t>Knoevenagel condensation</w:t>
      </w:r>
      <w:r w:rsidRPr="00A17480">
        <w:t xml:space="preserve"> between substituted aldehydes and thiazolidine-2,4-dione to afford the corresponding </w:t>
      </w:r>
      <w:r w:rsidRPr="00A17480">
        <w:rPr>
          <w:rStyle w:val="Strong"/>
        </w:rPr>
        <w:t>5-arylmethylene TZD intermediates (3a–b)</w:t>
      </w:r>
      <w:r w:rsidRPr="00A17480">
        <w:t xml:space="preserve">. This transformation proceeded efficiently in </w:t>
      </w:r>
      <w:r w:rsidRPr="00A17480">
        <w:rPr>
          <w:rStyle w:val="Strong"/>
        </w:rPr>
        <w:t>glacial acetic acid using sodium acetate as a mild base catalyst</w:t>
      </w:r>
      <w:r w:rsidRPr="00A17480">
        <w:t xml:space="preserve">, yielding the desired conjugated systems in good purity. The formation of the exocyclic double bond was confirmed by the appearance of a characteristic singlet in the range of </w:t>
      </w:r>
      <w:r w:rsidRPr="00A17480">
        <w:rPr>
          <w:rStyle w:val="Strong"/>
        </w:rPr>
        <w:t>δ ~8.0 ppm in the ¹H NMR spectra</w:t>
      </w:r>
      <w:r w:rsidRPr="00A17480">
        <w:t>, consistent with literature reports [15,16].</w:t>
      </w:r>
    </w:p>
    <w:p w14:paraId="468D6BB5" w14:textId="77777777" w:rsidR="00E13237" w:rsidRPr="00A17480" w:rsidRDefault="00E13237" w:rsidP="00E13237">
      <w:pPr>
        <w:pStyle w:val="NormalWeb"/>
        <w:spacing w:line="360" w:lineRule="auto"/>
        <w:jc w:val="both"/>
      </w:pPr>
      <w:r w:rsidRPr="00A17480">
        <w:t xml:space="preserve">Subsequent </w:t>
      </w:r>
      <w:r w:rsidRPr="00A17480">
        <w:rPr>
          <w:rStyle w:val="Strong"/>
        </w:rPr>
        <w:t>N-alkylation of the TZD nitrogen</w:t>
      </w:r>
      <w:r w:rsidRPr="00A17480">
        <w:t xml:space="preserve"> was achieved using various aryl and alkyl bromides in the presence of </w:t>
      </w:r>
      <w:r w:rsidRPr="00A17480">
        <w:rPr>
          <w:rStyle w:val="Strong"/>
        </w:rPr>
        <w:t>K₂CO₃ in DMF</w:t>
      </w:r>
      <w:r w:rsidRPr="00A17480">
        <w:t xml:space="preserve">, furnishing the final derivatives (5a–o). The use of a polar aprotic solvent facilitated efficient deprotonation and nucleophilic substitution, minimizing competing O-alkylation. The reaction conditions proved general and tolerated a wide range of substituents, including electron-donating and electron-withdrawing groups, </w:t>
      </w:r>
      <w:r w:rsidRPr="00A17480">
        <w:lastRenderedPageBreak/>
        <w:t>affording moderate to excellent yields (64–84%). This strategy aligns with established methodologies for TZD functionalization [17].</w:t>
      </w:r>
    </w:p>
    <w:p w14:paraId="3A69E209" w14:textId="77777777" w:rsidR="00E13237" w:rsidRPr="00A17480" w:rsidRDefault="00E13237" w:rsidP="00E13237">
      <w:pPr>
        <w:spacing w:line="360" w:lineRule="auto"/>
        <w:jc w:val="both"/>
      </w:pPr>
    </w:p>
    <w:p w14:paraId="0B114099" w14:textId="77777777" w:rsidR="00E13237" w:rsidRDefault="00E13237" w:rsidP="00596A5C">
      <w:pPr>
        <w:spacing w:line="360" w:lineRule="auto"/>
        <w:jc w:val="both"/>
        <w:rPr>
          <w:b/>
          <w:bCs/>
          <w:lang w:val="en-US"/>
        </w:rPr>
      </w:pPr>
    </w:p>
    <w:p w14:paraId="2FE7F271" w14:textId="77777777" w:rsidR="00596A5C" w:rsidRPr="006F4CFB" w:rsidRDefault="00864077" w:rsidP="00596A5C">
      <w:pPr>
        <w:spacing w:line="360" w:lineRule="auto"/>
        <w:jc w:val="center"/>
      </w:pPr>
      <w:r w:rsidRPr="006F4CFB">
        <w:object w:dxaOrig="11286" w:dyaOrig="2661" w14:anchorId="0D3D5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106.2pt" o:ole="">
            <v:imagedata r:id="rId5" o:title=""/>
          </v:shape>
          <o:OLEObject Type="Embed" ProgID="ACD.ChemSketchCDX" ShapeID="_x0000_i1025" DrawAspect="Content" ObjectID="_1840455972" r:id="rId6"/>
        </w:object>
      </w:r>
    </w:p>
    <w:p w14:paraId="704CB01D" w14:textId="77777777" w:rsidR="00596A5C" w:rsidRPr="006F4CFB" w:rsidRDefault="00596A5C" w:rsidP="00596A5C">
      <w:pPr>
        <w:spacing w:line="360" w:lineRule="auto"/>
        <w:jc w:val="center"/>
      </w:pPr>
      <w:bookmarkStart w:id="0" w:name="_Hlk145771701"/>
      <w:r w:rsidRPr="006F4CFB">
        <w:rPr>
          <w:b/>
          <w:bCs/>
          <w:lang w:val="en-US"/>
        </w:rPr>
        <w:t>Scheme 1</w:t>
      </w:r>
      <w:r w:rsidRPr="006F4CFB">
        <w:rPr>
          <w:b/>
        </w:rPr>
        <w:t>:</w:t>
      </w:r>
      <w:r w:rsidRPr="006F4CFB">
        <w:t xml:space="preserve"> Synthesis of quinolone and naphthalene-based thiazolidine-2,4-diones</w:t>
      </w:r>
      <w:bookmarkEnd w:id="0"/>
      <w:r w:rsidRPr="006F4CFB">
        <w:t>.</w:t>
      </w:r>
    </w:p>
    <w:p w14:paraId="490D4B49" w14:textId="77777777" w:rsidR="00596A5C" w:rsidRPr="006F4CFB" w:rsidRDefault="00D05491" w:rsidP="00596A5C">
      <w:pPr>
        <w:spacing w:line="360" w:lineRule="auto"/>
        <w:jc w:val="center"/>
      </w:pPr>
      <w:r>
        <w:object w:dxaOrig="12619" w:dyaOrig="11457" w14:anchorId="05546609">
          <v:shape id="_x0000_i1026" type="#_x0000_t75" style="width:451.2pt;height:409.8pt" o:ole="">
            <v:imagedata r:id="rId7" o:title=""/>
          </v:shape>
          <o:OLEObject Type="Embed" ProgID="ACD.ChemSketchCDX" ShapeID="_x0000_i1026" DrawAspect="Content" ObjectID="_1840455973" r:id="rId8"/>
        </w:object>
      </w:r>
    </w:p>
    <w:p w14:paraId="1E0E0803" w14:textId="77777777" w:rsidR="00596A5C" w:rsidRPr="006F4CFB" w:rsidRDefault="00596A5C" w:rsidP="00596A5C">
      <w:pPr>
        <w:autoSpaceDE w:val="0"/>
        <w:autoSpaceDN w:val="0"/>
        <w:adjustRightInd w:val="0"/>
        <w:spacing w:line="360" w:lineRule="auto"/>
        <w:jc w:val="center"/>
        <w:rPr>
          <w:color w:val="000000"/>
        </w:rPr>
      </w:pPr>
      <w:r w:rsidRPr="006F4CFB">
        <w:rPr>
          <w:color w:val="000000"/>
        </w:rPr>
        <w:t xml:space="preserve">Scheme 2. Synthetic scheme for the synthesis of compounds </w:t>
      </w:r>
      <w:r w:rsidR="00D05491">
        <w:rPr>
          <w:b/>
          <w:color w:val="000000"/>
        </w:rPr>
        <w:t>5</w:t>
      </w:r>
      <w:r w:rsidR="004E070D">
        <w:rPr>
          <w:b/>
          <w:color w:val="000000"/>
        </w:rPr>
        <w:t>a-h</w:t>
      </w:r>
      <w:r w:rsidRPr="006F4CFB">
        <w:rPr>
          <w:color w:val="000000"/>
        </w:rPr>
        <w:t>.</w:t>
      </w:r>
    </w:p>
    <w:p w14:paraId="1B56226D" w14:textId="77777777" w:rsidR="00E13237" w:rsidRPr="00A17480" w:rsidRDefault="00E13237" w:rsidP="00E13237">
      <w:pPr>
        <w:pStyle w:val="Heading2"/>
        <w:spacing w:line="360" w:lineRule="auto"/>
        <w:jc w:val="both"/>
        <w:rPr>
          <w:rFonts w:ascii="Times New Roman" w:hAnsi="Times New Roman"/>
          <w:color w:val="auto"/>
          <w:sz w:val="24"/>
          <w:szCs w:val="24"/>
        </w:rPr>
      </w:pPr>
      <w:r w:rsidRPr="00A17480">
        <w:rPr>
          <w:rStyle w:val="Strong"/>
          <w:rFonts w:ascii="Times New Roman" w:hAnsi="Times New Roman"/>
          <w:b/>
          <w:bCs/>
          <w:color w:val="auto"/>
          <w:sz w:val="24"/>
          <w:szCs w:val="24"/>
        </w:rPr>
        <w:lastRenderedPageBreak/>
        <w:t>Spectral Characterization</w:t>
      </w:r>
    </w:p>
    <w:p w14:paraId="52736013" w14:textId="77777777" w:rsidR="00E13237" w:rsidRPr="00A17480" w:rsidRDefault="00E13237" w:rsidP="00E13237">
      <w:pPr>
        <w:pStyle w:val="NormalWeb"/>
        <w:spacing w:line="360" w:lineRule="auto"/>
        <w:jc w:val="both"/>
      </w:pPr>
      <w:r w:rsidRPr="00A17480">
        <w:t xml:space="preserve">The structures of all synthesized compounds were confirmed by </w:t>
      </w:r>
      <w:r w:rsidRPr="00A17480">
        <w:rPr>
          <w:rStyle w:val="Strong"/>
        </w:rPr>
        <w:t>¹H NMR, ¹³C NMR, FT-IR, and mass spectrometry</w:t>
      </w:r>
      <w:r w:rsidRPr="00A17480">
        <w:t>.</w:t>
      </w:r>
    </w:p>
    <w:p w14:paraId="2F39A6C0" w14:textId="77777777" w:rsidR="00E13237" w:rsidRPr="00A17480" w:rsidRDefault="00E13237" w:rsidP="00E13237">
      <w:pPr>
        <w:pStyle w:val="NormalWeb"/>
        <w:spacing w:line="360" w:lineRule="auto"/>
        <w:jc w:val="both"/>
      </w:pPr>
      <w:r w:rsidRPr="00A17480">
        <w:t xml:space="preserve">For representative compound </w:t>
      </w:r>
      <w:r w:rsidRPr="00A17480">
        <w:rPr>
          <w:rStyle w:val="Strong"/>
        </w:rPr>
        <w:t>5d</w:t>
      </w:r>
      <w:r w:rsidRPr="00A17480">
        <w:t xml:space="preserve">, the ¹H NMR spectrum exhibited a singlet at </w:t>
      </w:r>
      <w:r w:rsidRPr="00A17480">
        <w:rPr>
          <w:rStyle w:val="Strong"/>
        </w:rPr>
        <w:t>δ 8.08 ppm</w:t>
      </w:r>
      <w:r w:rsidRPr="00A17480">
        <w:t xml:space="preserve">, corresponding to the </w:t>
      </w:r>
      <w:r w:rsidRPr="00A17480">
        <w:rPr>
          <w:rStyle w:val="Strong"/>
        </w:rPr>
        <w:t>exocyclic methine proton (CH=C)</w:t>
      </w:r>
      <w:r w:rsidRPr="00A17480">
        <w:t xml:space="preserve">, a diagnostic feature of the Knoevenagel condensation product. The quinoline aromatic protons appeared in the range of </w:t>
      </w:r>
      <w:r w:rsidR="009D3AA2">
        <w:rPr>
          <w:rStyle w:val="Strong"/>
        </w:rPr>
        <w:t>δ 7.3-</w:t>
      </w:r>
      <w:r w:rsidRPr="00A17480">
        <w:rPr>
          <w:rStyle w:val="Strong"/>
        </w:rPr>
        <w:t>9.0 ppm</w:t>
      </w:r>
      <w:r w:rsidRPr="00A17480">
        <w:t xml:space="preserve">, while the </w:t>
      </w:r>
      <w:r w:rsidRPr="00A17480">
        <w:rPr>
          <w:rStyle w:val="Strong"/>
        </w:rPr>
        <w:t xml:space="preserve">N-CH₂ protons of the </w:t>
      </w:r>
      <w:proofErr w:type="spellStart"/>
      <w:r w:rsidRPr="00A17480">
        <w:rPr>
          <w:rStyle w:val="Strong"/>
        </w:rPr>
        <w:t>chloropentyl</w:t>
      </w:r>
      <w:proofErr w:type="spellEnd"/>
      <w:r w:rsidRPr="00A17480">
        <w:rPr>
          <w:rStyle w:val="Strong"/>
        </w:rPr>
        <w:t xml:space="preserve"> chain</w:t>
      </w:r>
      <w:r w:rsidRPr="00A17480">
        <w:t xml:space="preserve"> were observed as a singlet at </w:t>
      </w:r>
      <w:r w:rsidRPr="00A17480">
        <w:rPr>
          <w:rStyle w:val="Strong"/>
        </w:rPr>
        <w:t>δ 4.89 ppm</w:t>
      </w:r>
      <w:r w:rsidRPr="00A17480">
        <w:t xml:space="preserve">, confirming successful N-alkylation. The ¹³C NMR spectrum showed characteristic signals for </w:t>
      </w:r>
      <w:r w:rsidR="009D3AA2">
        <w:rPr>
          <w:rStyle w:val="Strong"/>
        </w:rPr>
        <w:t>TZD carbonyl carbons (~165-</w:t>
      </w:r>
      <w:r w:rsidRPr="00A17480">
        <w:rPr>
          <w:rStyle w:val="Strong"/>
        </w:rPr>
        <w:t>166 ppm)</w:t>
      </w:r>
      <w:r w:rsidRPr="00A17480">
        <w:t xml:space="preserve"> and aromatic carbons, consistent with the proposed structure. The molecular ion peak at </w:t>
      </w:r>
      <w:r w:rsidRPr="00A17480">
        <w:rPr>
          <w:rStyle w:val="Strong"/>
        </w:rPr>
        <w:t>m/z 381.0443 ([M+H]⁺)</w:t>
      </w:r>
      <w:r w:rsidRPr="00A17480">
        <w:t xml:space="preserve"> further corroborated the molecular formula.</w:t>
      </w:r>
    </w:p>
    <w:p w14:paraId="51BED22A" w14:textId="77777777" w:rsidR="00E13237" w:rsidRPr="00A17480" w:rsidRDefault="00E13237" w:rsidP="00E13237">
      <w:pPr>
        <w:pStyle w:val="NormalWeb"/>
        <w:spacing w:line="360" w:lineRule="auto"/>
        <w:jc w:val="both"/>
      </w:pPr>
      <w:r w:rsidRPr="00A17480">
        <w:t xml:space="preserve">The structure of </w:t>
      </w:r>
      <w:r w:rsidRPr="00A17480">
        <w:rPr>
          <w:rStyle w:val="Strong"/>
        </w:rPr>
        <w:t>compound 5k</w:t>
      </w:r>
      <w:r w:rsidRPr="00A17480">
        <w:t xml:space="preserve">, a key hybrid </w:t>
      </w:r>
      <w:proofErr w:type="spellStart"/>
      <w:r w:rsidRPr="00A17480">
        <w:t>analog</w:t>
      </w:r>
      <w:proofErr w:type="spellEnd"/>
      <w:r w:rsidRPr="00A17480">
        <w:t xml:space="preserve"> incorporating both </w:t>
      </w:r>
      <w:r w:rsidRPr="00A17480">
        <w:rPr>
          <w:rStyle w:val="Strong"/>
        </w:rPr>
        <w:t xml:space="preserve">3,5-dimethoxybenzyl and </w:t>
      </w:r>
      <w:proofErr w:type="spellStart"/>
      <w:r w:rsidRPr="00A17480">
        <w:rPr>
          <w:rStyle w:val="Strong"/>
        </w:rPr>
        <w:t>methoxynaphthalene</w:t>
      </w:r>
      <w:proofErr w:type="spellEnd"/>
      <w:r w:rsidRPr="00A17480">
        <w:rPr>
          <w:rStyle w:val="Strong"/>
        </w:rPr>
        <w:t xml:space="preserve"> pharmacophores</w:t>
      </w:r>
      <w:r w:rsidRPr="00A17480">
        <w:t>, was unambiguously confirmed by spectral data. The ¹H NMR spectrum displayed:</w:t>
      </w:r>
    </w:p>
    <w:p w14:paraId="20917ADD" w14:textId="77777777" w:rsidR="00E13237" w:rsidRPr="00A17480" w:rsidRDefault="00E13237" w:rsidP="00E13237">
      <w:pPr>
        <w:pStyle w:val="NormalWeb"/>
        <w:numPr>
          <w:ilvl w:val="0"/>
          <w:numId w:val="13"/>
        </w:numPr>
        <w:spacing w:line="360" w:lineRule="auto"/>
        <w:jc w:val="both"/>
      </w:pPr>
      <w:r w:rsidRPr="00A17480">
        <w:t xml:space="preserve">A singlet at </w:t>
      </w:r>
      <w:r w:rsidRPr="00A17480">
        <w:rPr>
          <w:rStyle w:val="Strong"/>
        </w:rPr>
        <w:t>δ ~8.0 ppm</w:t>
      </w:r>
      <w:r w:rsidRPr="00A17480">
        <w:t xml:space="preserve"> corresponding to the exocyclic methine proton</w:t>
      </w:r>
    </w:p>
    <w:p w14:paraId="08232F74" w14:textId="77777777" w:rsidR="00E13237" w:rsidRPr="00A17480" w:rsidRDefault="00E13237" w:rsidP="00E13237">
      <w:pPr>
        <w:pStyle w:val="NormalWeb"/>
        <w:numPr>
          <w:ilvl w:val="0"/>
          <w:numId w:val="13"/>
        </w:numPr>
        <w:spacing w:line="360" w:lineRule="auto"/>
        <w:jc w:val="both"/>
      </w:pPr>
      <w:r w:rsidRPr="00A17480">
        <w:t xml:space="preserve">Multiple aromatic signals between </w:t>
      </w:r>
      <w:r w:rsidR="006603C6">
        <w:rPr>
          <w:rStyle w:val="Strong"/>
        </w:rPr>
        <w:t>δ 6.3-</w:t>
      </w:r>
      <w:r w:rsidRPr="00A17480">
        <w:rPr>
          <w:rStyle w:val="Strong"/>
        </w:rPr>
        <w:t>7.9 ppm</w:t>
      </w:r>
      <w:r w:rsidRPr="00A17480">
        <w:t>, attributable to both naphthalene and substituted phenyl rings</w:t>
      </w:r>
    </w:p>
    <w:p w14:paraId="48E02D56" w14:textId="77777777" w:rsidR="00E13237" w:rsidRPr="00A17480" w:rsidRDefault="00E13237" w:rsidP="00E13237">
      <w:pPr>
        <w:pStyle w:val="NormalWeb"/>
        <w:numPr>
          <w:ilvl w:val="0"/>
          <w:numId w:val="13"/>
        </w:numPr>
        <w:spacing w:line="360" w:lineRule="auto"/>
        <w:jc w:val="both"/>
      </w:pPr>
      <w:r w:rsidRPr="00A17480">
        <w:t xml:space="preserve">A distinct singlet at </w:t>
      </w:r>
      <w:r w:rsidRPr="00A17480">
        <w:rPr>
          <w:rStyle w:val="Strong"/>
        </w:rPr>
        <w:t>δ 4.85 ppm (2H)</w:t>
      </w:r>
      <w:r w:rsidRPr="00A17480">
        <w:t xml:space="preserve"> assigned to the </w:t>
      </w:r>
      <w:r w:rsidR="006603C6">
        <w:rPr>
          <w:rStyle w:val="Strong"/>
        </w:rPr>
        <w:t>N-</w:t>
      </w:r>
      <w:r w:rsidRPr="00A17480">
        <w:rPr>
          <w:rStyle w:val="Strong"/>
        </w:rPr>
        <w:t>CH₂ benzyl linkage</w:t>
      </w:r>
    </w:p>
    <w:p w14:paraId="5B381EEC" w14:textId="77777777" w:rsidR="00E13237" w:rsidRPr="00A17480" w:rsidRDefault="00E13237" w:rsidP="00E13237">
      <w:pPr>
        <w:pStyle w:val="NormalWeb"/>
        <w:numPr>
          <w:ilvl w:val="0"/>
          <w:numId w:val="13"/>
        </w:numPr>
        <w:spacing w:line="360" w:lineRule="auto"/>
        <w:jc w:val="both"/>
      </w:pPr>
      <w:r w:rsidRPr="00A17480">
        <w:t xml:space="preserve">Methoxy signals at </w:t>
      </w:r>
      <w:r w:rsidRPr="00A17480">
        <w:rPr>
          <w:rStyle w:val="Strong"/>
        </w:rPr>
        <w:t>δ 3.95 ppm (3H)</w:t>
      </w:r>
      <w:r w:rsidRPr="00A17480">
        <w:t xml:space="preserve"> and </w:t>
      </w:r>
      <w:r w:rsidRPr="00A17480">
        <w:rPr>
          <w:rStyle w:val="Strong"/>
        </w:rPr>
        <w:t>δ 3.78 ppm (6H)</w:t>
      </w:r>
      <w:r w:rsidRPr="00A17480">
        <w:t>, confirming the presence of three methoxy substituents</w:t>
      </w:r>
    </w:p>
    <w:p w14:paraId="1307260B" w14:textId="77777777" w:rsidR="00E13237" w:rsidRPr="00A17480" w:rsidRDefault="00E13237" w:rsidP="00E13237">
      <w:pPr>
        <w:pStyle w:val="NormalWeb"/>
        <w:spacing w:line="360" w:lineRule="auto"/>
        <w:jc w:val="both"/>
      </w:pPr>
      <w:r w:rsidRPr="00A17480">
        <w:t xml:space="preserve">The ¹³C NMR spectrum further supported the structure, showing signals for </w:t>
      </w:r>
      <w:r w:rsidRPr="00A17480">
        <w:rPr>
          <w:rStyle w:val="Strong"/>
        </w:rPr>
        <w:t>carbonyl carbons (δ 169–179 ppm)</w:t>
      </w:r>
      <w:r w:rsidRPr="00A17480">
        <w:t xml:space="preserve"> and methoxy-bearing aromatic carbons. The observed mass peak at </w:t>
      </w:r>
      <w:r w:rsidRPr="00A17480">
        <w:rPr>
          <w:rStyle w:val="Strong"/>
        </w:rPr>
        <w:t>m/z 435.11 ([M+H]⁺)</w:t>
      </w:r>
      <w:r w:rsidRPr="00A17480">
        <w:t xml:space="preserve"> was in agreement with the calculated molecular weight. The FT-IR spectrum exhibited characteristic absorptions for </w:t>
      </w:r>
      <w:r w:rsidRPr="00A17480">
        <w:rPr>
          <w:rStyle w:val="Strong"/>
        </w:rPr>
        <w:t>C=O stretching (~1692 cm⁻¹)</w:t>
      </w:r>
      <w:r w:rsidRPr="00A17480">
        <w:t xml:space="preserve"> and aromatic functionalities, consistent with TZD derivatives [18].</w:t>
      </w:r>
    </w:p>
    <w:p w14:paraId="144B3377" w14:textId="77777777" w:rsidR="00636833" w:rsidRPr="0031009F" w:rsidRDefault="00E00D3C" w:rsidP="00E22DAD">
      <w:pPr>
        <w:spacing w:line="360" w:lineRule="auto"/>
        <w:jc w:val="center"/>
        <w:rPr>
          <w:lang w:val="en-US"/>
        </w:rPr>
      </w:pPr>
      <w:r>
        <w:object w:dxaOrig="9223" w:dyaOrig="4615" w14:anchorId="11DB2863">
          <v:shape id="_x0000_i1027" type="#_x0000_t75" style="width:424.2pt;height:212.4pt" o:ole="">
            <v:imagedata r:id="rId9" o:title=""/>
          </v:shape>
          <o:OLEObject Type="Embed" ProgID="ACD.ChemSketchCDX" ShapeID="_x0000_i1027" DrawAspect="Content" ObjectID="_1840455974" r:id="rId10"/>
        </w:object>
      </w:r>
    </w:p>
    <w:p w14:paraId="240209F0" w14:textId="77777777" w:rsidR="004E070D" w:rsidRDefault="00864077" w:rsidP="004E070D">
      <w:pPr>
        <w:autoSpaceDE w:val="0"/>
        <w:autoSpaceDN w:val="0"/>
        <w:adjustRightInd w:val="0"/>
        <w:spacing w:line="360" w:lineRule="auto"/>
        <w:jc w:val="center"/>
        <w:rPr>
          <w:color w:val="000000"/>
        </w:rPr>
      </w:pPr>
      <w:r>
        <w:object w:dxaOrig="12251" w:dyaOrig="8004" w14:anchorId="1FA90B86">
          <v:shape id="_x0000_i1028" type="#_x0000_t75" style="width:459pt;height:300pt" o:ole="">
            <v:imagedata r:id="rId11" o:title=""/>
          </v:shape>
          <o:OLEObject Type="Embed" ProgID="ACD.ChemSketchCDX" ShapeID="_x0000_i1028" DrawAspect="Content" ObjectID="_1840455975" r:id="rId12"/>
        </w:object>
      </w:r>
      <w:r w:rsidR="004E070D" w:rsidRPr="004E070D">
        <w:rPr>
          <w:color w:val="000000"/>
        </w:rPr>
        <w:t xml:space="preserve"> </w:t>
      </w:r>
      <w:r w:rsidR="004E070D">
        <w:rPr>
          <w:color w:val="000000"/>
        </w:rPr>
        <w:t>Scheme 3</w:t>
      </w:r>
      <w:r w:rsidR="004E070D" w:rsidRPr="006F4CFB">
        <w:rPr>
          <w:color w:val="000000"/>
        </w:rPr>
        <w:t xml:space="preserve">. Synthetic scheme for the synthesis of compounds </w:t>
      </w:r>
      <w:r>
        <w:rPr>
          <w:b/>
          <w:color w:val="000000"/>
        </w:rPr>
        <w:t>5i-o</w:t>
      </w:r>
      <w:r w:rsidR="004E070D" w:rsidRPr="006F4CFB">
        <w:rPr>
          <w:color w:val="000000"/>
        </w:rPr>
        <w:t>.</w:t>
      </w:r>
    </w:p>
    <w:p w14:paraId="7D440E61" w14:textId="77777777" w:rsidR="00E13237" w:rsidRPr="00A17480" w:rsidRDefault="005742BC" w:rsidP="00E13237">
      <w:pPr>
        <w:pStyle w:val="Heading2"/>
        <w:spacing w:line="360" w:lineRule="auto"/>
        <w:jc w:val="both"/>
        <w:rPr>
          <w:rFonts w:ascii="Times New Roman" w:hAnsi="Times New Roman"/>
          <w:color w:val="auto"/>
          <w:sz w:val="24"/>
          <w:szCs w:val="24"/>
        </w:rPr>
      </w:pPr>
      <w:r>
        <w:rPr>
          <w:rStyle w:val="Strong"/>
          <w:rFonts w:ascii="Times New Roman" w:hAnsi="Times New Roman"/>
          <w:b/>
          <w:bCs/>
          <w:color w:val="auto"/>
          <w:sz w:val="24"/>
          <w:szCs w:val="24"/>
        </w:rPr>
        <w:t>Structure-</w:t>
      </w:r>
      <w:r w:rsidR="00E13237" w:rsidRPr="00A17480">
        <w:rPr>
          <w:rStyle w:val="Strong"/>
          <w:rFonts w:ascii="Times New Roman" w:hAnsi="Times New Roman"/>
          <w:b/>
          <w:bCs/>
          <w:color w:val="auto"/>
          <w:sz w:val="24"/>
          <w:szCs w:val="24"/>
        </w:rPr>
        <w:t>Reactivity Relationships</w:t>
      </w:r>
    </w:p>
    <w:p w14:paraId="36E8A968" w14:textId="77777777" w:rsidR="00E13237" w:rsidRPr="00A17480" w:rsidRDefault="00E13237" w:rsidP="00E13237">
      <w:pPr>
        <w:pStyle w:val="NormalWeb"/>
        <w:spacing w:line="360" w:lineRule="auto"/>
        <w:jc w:val="both"/>
      </w:pPr>
      <w:r w:rsidRPr="00A17480">
        <w:t xml:space="preserve">The synthetic outcomes revealed notable trends influenced by substituent effects. Electron-rich benzyl bromides (e.g., methoxy-substituted) generally provided </w:t>
      </w:r>
      <w:r w:rsidRPr="00A17480">
        <w:rPr>
          <w:rStyle w:val="Strong"/>
        </w:rPr>
        <w:t>higher yields (e.g., 5k, 84%)</w:t>
      </w:r>
      <w:r w:rsidRPr="00A17480">
        <w:t xml:space="preserve">, likely due to enhanced stabilization of the transition state during nucleophilic substitution. In contrast, aliphatic chains such as in </w:t>
      </w:r>
      <w:r w:rsidRPr="00A17480">
        <w:rPr>
          <w:rStyle w:val="Strong"/>
        </w:rPr>
        <w:t>compound 5d</w:t>
      </w:r>
      <w:r w:rsidRPr="00A17480">
        <w:t xml:space="preserve"> afforded comparatively moderate yields (64%), possibly due to steric and solubility limitations.</w:t>
      </w:r>
    </w:p>
    <w:p w14:paraId="16B7D286" w14:textId="77777777" w:rsidR="00E13237" w:rsidRPr="00A17480" w:rsidRDefault="00E13237" w:rsidP="00E13237">
      <w:pPr>
        <w:pStyle w:val="NormalWeb"/>
        <w:spacing w:line="360" w:lineRule="auto"/>
        <w:jc w:val="both"/>
      </w:pPr>
      <w:r w:rsidRPr="00A17480">
        <w:lastRenderedPageBreak/>
        <w:t>The successful incorporation of diverse substituents highlights the robustness of the synthetic protocol and its suitability for generating structurally diverse TZD libraries for biological screening.</w:t>
      </w:r>
    </w:p>
    <w:p w14:paraId="25142D0F" w14:textId="77777777" w:rsidR="00E13237" w:rsidRPr="00A17480" w:rsidRDefault="00E13237" w:rsidP="00E13237">
      <w:pPr>
        <w:pStyle w:val="Heading2"/>
        <w:spacing w:line="360" w:lineRule="auto"/>
        <w:jc w:val="both"/>
        <w:rPr>
          <w:rFonts w:ascii="Times New Roman" w:hAnsi="Times New Roman"/>
          <w:color w:val="auto"/>
          <w:sz w:val="24"/>
          <w:szCs w:val="24"/>
        </w:rPr>
      </w:pPr>
      <w:r w:rsidRPr="00A17480">
        <w:rPr>
          <w:rStyle w:val="Strong"/>
          <w:rFonts w:ascii="Times New Roman" w:hAnsi="Times New Roman"/>
          <w:b/>
          <w:bCs/>
          <w:color w:val="auto"/>
          <w:sz w:val="24"/>
          <w:szCs w:val="24"/>
        </w:rPr>
        <w:t>Pharmacophore Considerations</w:t>
      </w:r>
    </w:p>
    <w:p w14:paraId="12114BC7" w14:textId="77777777" w:rsidR="00E13237" w:rsidRPr="00A17480" w:rsidRDefault="00E13237" w:rsidP="00E13237">
      <w:pPr>
        <w:pStyle w:val="NormalWeb"/>
        <w:spacing w:line="360" w:lineRule="auto"/>
        <w:jc w:val="both"/>
      </w:pPr>
      <w:r w:rsidRPr="00A17480">
        <w:t>From a medicinal chemistry perspective, the designed molecules integrate three key pharmacophoric elements:</w:t>
      </w:r>
    </w:p>
    <w:p w14:paraId="3C94D507" w14:textId="77777777" w:rsidR="00E13237" w:rsidRPr="00A17480" w:rsidRDefault="00E13237" w:rsidP="00E13237">
      <w:pPr>
        <w:pStyle w:val="NormalWeb"/>
        <w:numPr>
          <w:ilvl w:val="0"/>
          <w:numId w:val="14"/>
        </w:numPr>
        <w:spacing w:line="360" w:lineRule="auto"/>
        <w:jc w:val="both"/>
      </w:pPr>
      <w:r w:rsidRPr="00A17480">
        <w:rPr>
          <w:rStyle w:val="Strong"/>
        </w:rPr>
        <w:t>TZD core</w:t>
      </w:r>
      <w:r>
        <w:t xml:space="preserve"> -</w:t>
      </w:r>
      <w:r w:rsidRPr="00A17480">
        <w:t xml:space="preserve"> known for hydrogen bonding interactions and biological versatility</w:t>
      </w:r>
    </w:p>
    <w:p w14:paraId="34BD4F2D" w14:textId="77777777" w:rsidR="00E13237" w:rsidRPr="00A17480" w:rsidRDefault="00E13237" w:rsidP="00E13237">
      <w:pPr>
        <w:pStyle w:val="NormalWeb"/>
        <w:numPr>
          <w:ilvl w:val="0"/>
          <w:numId w:val="14"/>
        </w:numPr>
        <w:spacing w:line="360" w:lineRule="auto"/>
        <w:jc w:val="both"/>
      </w:pPr>
      <w:r w:rsidRPr="00A17480">
        <w:rPr>
          <w:rStyle w:val="Strong"/>
        </w:rPr>
        <w:t>Quinoline/Naphthalene moiety</w:t>
      </w:r>
      <w:r>
        <w:t xml:space="preserve"> – contributes to π-</w:t>
      </w:r>
      <w:r w:rsidRPr="00A17480">
        <w:t>π stacking and kinase binding affinity</w:t>
      </w:r>
    </w:p>
    <w:p w14:paraId="5D933ED2" w14:textId="77777777" w:rsidR="00E13237" w:rsidRPr="00A17480" w:rsidRDefault="00E13237" w:rsidP="00E13237">
      <w:pPr>
        <w:pStyle w:val="NormalWeb"/>
        <w:numPr>
          <w:ilvl w:val="0"/>
          <w:numId w:val="14"/>
        </w:numPr>
        <w:spacing w:line="360" w:lineRule="auto"/>
        <w:jc w:val="both"/>
      </w:pPr>
      <w:r w:rsidRPr="00A17480">
        <w:rPr>
          <w:rStyle w:val="Strong"/>
        </w:rPr>
        <w:t>N-substituted side chain</w:t>
      </w:r>
      <w:r w:rsidRPr="00A17480">
        <w:t xml:space="preserve"> – modulates lipophilicity and target engagement</w:t>
      </w:r>
    </w:p>
    <w:p w14:paraId="74DDF772" w14:textId="77777777" w:rsidR="00E13237" w:rsidRPr="00A17480" w:rsidRDefault="00E13237" w:rsidP="00E13237">
      <w:pPr>
        <w:pStyle w:val="NormalWeb"/>
        <w:spacing w:line="360" w:lineRule="auto"/>
        <w:jc w:val="both"/>
      </w:pPr>
      <w:r w:rsidRPr="00A17480">
        <w:t xml:space="preserve">In particular, compound </w:t>
      </w:r>
      <w:r w:rsidRPr="00A17480">
        <w:rPr>
          <w:rStyle w:val="Strong"/>
        </w:rPr>
        <w:t>5k</w:t>
      </w:r>
      <w:r w:rsidRPr="00A17480">
        <w:t xml:space="preserve"> represents an optimized hybrid scaffold, combining </w:t>
      </w:r>
      <w:r w:rsidRPr="00A17480">
        <w:rPr>
          <w:rStyle w:val="Strong"/>
        </w:rPr>
        <w:t>electron-rich aromatic systems with optimal linker flexibility</w:t>
      </w:r>
      <w:r w:rsidRPr="00A17480">
        <w:t>, which is expected to enhance binding interactions within hydrophobic pockets of kinase domains such as EGFR [19,20].</w:t>
      </w:r>
    </w:p>
    <w:p w14:paraId="026AC59B" w14:textId="77777777" w:rsidR="00E13237" w:rsidRPr="00A17480" w:rsidRDefault="00E13237" w:rsidP="00E13237">
      <w:pPr>
        <w:pStyle w:val="NormalWeb"/>
        <w:spacing w:line="360" w:lineRule="auto"/>
        <w:jc w:val="both"/>
      </w:pPr>
      <w:r w:rsidRPr="00A17480">
        <w:t xml:space="preserve">Overall, the developed synthetic route is </w:t>
      </w:r>
      <w:r w:rsidRPr="00A17480">
        <w:rPr>
          <w:rStyle w:val="Strong"/>
        </w:rPr>
        <w:t>efficient, versatile, and scalable</w:t>
      </w:r>
      <w:r w:rsidRPr="00A17480">
        <w:t xml:space="preserve">, enabling the rapid generation of structurally diverse TZD derivatives. The spectral data strongly support the successful synthesis of all target compounds, and the observed substituent-dependent trends provide valuable insights for further </w:t>
      </w:r>
      <w:r w:rsidRPr="00A17480">
        <w:rPr>
          <w:rStyle w:val="Strong"/>
        </w:rPr>
        <w:t>lead optimization and biological evaluation</w:t>
      </w:r>
      <w:r w:rsidRPr="00A17480">
        <w:t>.</w:t>
      </w:r>
    </w:p>
    <w:p w14:paraId="552B8215" w14:textId="77777777" w:rsidR="005742BC" w:rsidRPr="005D3DC0" w:rsidRDefault="005742BC" w:rsidP="005742BC">
      <w:pPr>
        <w:spacing w:before="100" w:beforeAutospacing="1" w:after="100" w:afterAutospacing="1" w:line="360" w:lineRule="auto"/>
        <w:jc w:val="both"/>
        <w:outlineLvl w:val="0"/>
        <w:rPr>
          <w:b/>
          <w:bCs/>
          <w:kern w:val="36"/>
        </w:rPr>
      </w:pPr>
      <w:r w:rsidRPr="005D3DC0">
        <w:rPr>
          <w:b/>
          <w:bCs/>
          <w:kern w:val="36"/>
        </w:rPr>
        <w:t>Biological Evaluation and Discussion</w:t>
      </w:r>
    </w:p>
    <w:p w14:paraId="012A3102" w14:textId="77777777" w:rsidR="005742BC" w:rsidRPr="005D3DC0" w:rsidRDefault="005742BC" w:rsidP="005742BC">
      <w:pPr>
        <w:spacing w:before="100" w:beforeAutospacing="1" w:after="100" w:afterAutospacing="1" w:line="360" w:lineRule="auto"/>
        <w:jc w:val="both"/>
        <w:outlineLvl w:val="1"/>
        <w:rPr>
          <w:b/>
          <w:bCs/>
        </w:rPr>
      </w:pPr>
      <w:r w:rsidRPr="005D3DC0">
        <w:rPr>
          <w:b/>
          <w:bCs/>
        </w:rPr>
        <w:t>In Vitro Anticancer Activity</w:t>
      </w:r>
    </w:p>
    <w:p w14:paraId="4AA6C7E2" w14:textId="77777777" w:rsidR="005742BC" w:rsidRPr="005D3DC0" w:rsidRDefault="005742BC" w:rsidP="005742BC">
      <w:pPr>
        <w:spacing w:before="100" w:beforeAutospacing="1" w:after="100" w:afterAutospacing="1" w:line="360" w:lineRule="auto"/>
        <w:jc w:val="both"/>
      </w:pPr>
      <w:r w:rsidRPr="005D3DC0">
        <w:t xml:space="preserve">The synthesized </w:t>
      </w:r>
      <w:r w:rsidRPr="005D3DC0">
        <w:rPr>
          <w:b/>
          <w:bCs/>
        </w:rPr>
        <w:t>quinoline- and naphthalene-based TZD derivatives (5a–5o)</w:t>
      </w:r>
      <w:r w:rsidRPr="005D3DC0">
        <w:t xml:space="preserve"> were evaluated for their </w:t>
      </w:r>
      <w:r w:rsidRPr="005D3DC0">
        <w:rPr>
          <w:b/>
          <w:bCs/>
        </w:rPr>
        <w:t>antiproliferative activity</w:t>
      </w:r>
      <w:r w:rsidRPr="005D3DC0">
        <w:t xml:space="preserve"> against a panel of human cancer cell lines, including </w:t>
      </w:r>
      <w:r w:rsidRPr="005D3DC0">
        <w:rPr>
          <w:b/>
          <w:bCs/>
        </w:rPr>
        <w:t>MDA-MB-453 (breast cancer), A549 (lung cancer), PC-3 (prostate cancer), and MCF-7 (breast cancer)</w:t>
      </w:r>
      <w:r w:rsidRPr="005D3DC0">
        <w:t xml:space="preserve"> using the standard </w:t>
      </w:r>
      <w:r w:rsidRPr="005D3DC0">
        <w:rPr>
          <w:b/>
          <w:bCs/>
        </w:rPr>
        <w:t>MTT assay</w:t>
      </w:r>
      <w:r w:rsidRPr="005D3DC0">
        <w:t xml:space="preserve">. These cell lines were selected to represent </w:t>
      </w:r>
      <w:r w:rsidRPr="005D3DC0">
        <w:rPr>
          <w:b/>
          <w:bCs/>
        </w:rPr>
        <w:t>EGFR-driven and hormone-dependent cancer models</w:t>
      </w:r>
      <w:r w:rsidRPr="005D3DC0">
        <w:t>, thereby enabling mechanistic interpretation of activity trends [21,22].</w:t>
      </w:r>
    </w:p>
    <w:p w14:paraId="7B4EFEBE" w14:textId="77777777" w:rsidR="005742BC" w:rsidRPr="005D3DC0" w:rsidRDefault="005742BC" w:rsidP="005742BC">
      <w:pPr>
        <w:spacing w:before="100" w:beforeAutospacing="1" w:after="100" w:afterAutospacing="1" w:line="360" w:lineRule="auto"/>
        <w:jc w:val="both"/>
      </w:pPr>
      <w:r w:rsidRPr="005D3DC0">
        <w:t xml:space="preserve">As summarized in </w:t>
      </w:r>
      <w:r w:rsidRPr="005D3DC0">
        <w:rPr>
          <w:b/>
          <w:bCs/>
        </w:rPr>
        <w:t>Table 1</w:t>
      </w:r>
      <w:r w:rsidRPr="005D3DC0">
        <w:t xml:space="preserve">, several compounds exhibited </w:t>
      </w:r>
      <w:r w:rsidRPr="005D3DC0">
        <w:rPr>
          <w:b/>
          <w:bCs/>
        </w:rPr>
        <w:t>moderate to significant cytotoxic activity</w:t>
      </w:r>
      <w:r w:rsidRPr="005D3DC0">
        <w:t>, with clear structure-dependent trends.</w:t>
      </w:r>
    </w:p>
    <w:p w14:paraId="208FBBEE" w14:textId="77777777" w:rsidR="005742BC" w:rsidRPr="005D3DC0" w:rsidRDefault="005742BC" w:rsidP="005742BC">
      <w:pPr>
        <w:spacing w:before="100" w:beforeAutospacing="1" w:after="100" w:afterAutospacing="1" w:line="360" w:lineRule="auto"/>
        <w:jc w:val="both"/>
      </w:pPr>
      <w:r w:rsidRPr="005D3DC0">
        <w:lastRenderedPageBreak/>
        <w:t xml:space="preserve">Among the series, </w:t>
      </w:r>
      <w:r w:rsidRPr="005D3DC0">
        <w:rPr>
          <w:b/>
          <w:bCs/>
        </w:rPr>
        <w:t>compound 5c</w:t>
      </w:r>
      <w:r w:rsidRPr="005D3DC0">
        <w:t xml:space="preserve"> emerged as the most potent </w:t>
      </w:r>
      <w:proofErr w:type="spellStart"/>
      <w:r w:rsidRPr="005D3DC0">
        <w:t>analog</w:t>
      </w:r>
      <w:proofErr w:type="spellEnd"/>
      <w:r w:rsidRPr="005D3DC0">
        <w:t xml:space="preserve">, displaying IC₅₀ values of </w:t>
      </w:r>
      <w:r w:rsidRPr="005D3DC0">
        <w:rPr>
          <w:b/>
          <w:bCs/>
        </w:rPr>
        <w:t>4.6 ± 0.5 µM (MDA-MB-453)</w:t>
      </w:r>
      <w:r w:rsidRPr="005D3DC0">
        <w:t xml:space="preserve"> and </w:t>
      </w:r>
      <w:r w:rsidRPr="005D3DC0">
        <w:rPr>
          <w:b/>
          <w:bCs/>
        </w:rPr>
        <w:t>9.8 ± 1.1 µM (A549)</w:t>
      </w:r>
      <w:r w:rsidRPr="005D3DC0">
        <w:t xml:space="preserve">. This enhanced activity can be attributed to the presence of </w:t>
      </w:r>
      <w:r w:rsidRPr="005D3DC0">
        <w:rPr>
          <w:b/>
          <w:bCs/>
        </w:rPr>
        <w:t>extended aromatic conjugation</w:t>
      </w:r>
      <w:r w:rsidRPr="005D3DC0">
        <w:t xml:space="preserve">, which likely facilitates </w:t>
      </w:r>
      <w:r w:rsidRPr="005D3DC0">
        <w:rPr>
          <w:b/>
          <w:bCs/>
        </w:rPr>
        <w:t>π–π stacking interactions within the EGFR binding pocket</w:t>
      </w:r>
      <w:r w:rsidRPr="005D3DC0">
        <w:t>, consistent with previous reports [23].</w:t>
      </w:r>
    </w:p>
    <w:p w14:paraId="45296B82" w14:textId="77777777" w:rsidR="005742BC" w:rsidRDefault="005742BC" w:rsidP="005742BC">
      <w:pPr>
        <w:spacing w:before="100" w:beforeAutospacing="1" w:after="100" w:afterAutospacing="1" w:line="360" w:lineRule="auto"/>
        <w:jc w:val="both"/>
      </w:pPr>
      <w:r w:rsidRPr="005D3DC0">
        <w:t xml:space="preserve">Similarly, </w:t>
      </w:r>
      <w:r w:rsidRPr="005D3DC0">
        <w:rPr>
          <w:b/>
          <w:bCs/>
        </w:rPr>
        <w:t>compounds 5f and 5g</w:t>
      </w:r>
      <w:r w:rsidRPr="005D3DC0">
        <w:t xml:space="preserve"> demonstrated notable cytotoxicity against MDA-MB-453 cells (</w:t>
      </w:r>
      <w:r w:rsidRPr="005D3DC0">
        <w:rPr>
          <w:b/>
          <w:bCs/>
        </w:rPr>
        <w:t>7.8 ± 0.7 µM and 6.9 ± 0.6 µM, respectively</w:t>
      </w:r>
      <w:r w:rsidRPr="005D3DC0">
        <w:t xml:space="preserve">), indicating that </w:t>
      </w:r>
      <w:r w:rsidRPr="005D3DC0">
        <w:rPr>
          <w:b/>
          <w:bCs/>
        </w:rPr>
        <w:t>optimal lipophilicity and electronic balance</w:t>
      </w:r>
      <w:r w:rsidRPr="005D3DC0">
        <w:t xml:space="preserve"> are critical for activity. These findings align with earlier studies highlighting the importance of </w:t>
      </w:r>
      <w:r w:rsidRPr="005D3DC0">
        <w:rPr>
          <w:b/>
          <w:bCs/>
        </w:rPr>
        <w:t>hydrophobic interactions and scaffold rigidity</w:t>
      </w:r>
      <w:r w:rsidRPr="005D3DC0">
        <w:t xml:space="preserve"> in kinase inhibition [24].</w:t>
      </w:r>
    </w:p>
    <w:p w14:paraId="610E3018" w14:textId="77777777" w:rsidR="008D708A" w:rsidRDefault="008D708A" w:rsidP="008D708A">
      <w:pPr>
        <w:spacing w:line="360" w:lineRule="auto"/>
        <w:jc w:val="both"/>
        <w:rPr>
          <w:lang w:val="en-US"/>
        </w:rPr>
      </w:pPr>
      <w:r>
        <w:t>Table 1. In vitro cytotoxicity (IC</w:t>
      </w:r>
      <w:r w:rsidRPr="002B0616">
        <w:rPr>
          <w:vertAlign w:val="subscript"/>
        </w:rPr>
        <w:t>50</w:t>
      </w:r>
      <w:r>
        <w:t>, µM) of compounds 6a-6g and 7a-7h against human cancer cell lines</w:t>
      </w:r>
    </w:p>
    <w:tbl>
      <w:tblPr>
        <w:tblW w:w="6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46"/>
        <w:gridCol w:w="1184"/>
        <w:gridCol w:w="1066"/>
        <w:gridCol w:w="1193"/>
      </w:tblGrid>
      <w:tr w:rsidR="008D708A" w:rsidRPr="00510EFB" w14:paraId="4E0D25B8" w14:textId="77777777" w:rsidTr="008D708A">
        <w:trPr>
          <w:jc w:val="center"/>
        </w:trPr>
        <w:tc>
          <w:tcPr>
            <w:tcW w:w="0" w:type="auto"/>
            <w:hideMark/>
          </w:tcPr>
          <w:p w14:paraId="7857E8B3" w14:textId="77777777" w:rsidR="008D708A" w:rsidRPr="00510EFB" w:rsidRDefault="008D708A" w:rsidP="008D708A">
            <w:pPr>
              <w:jc w:val="center"/>
              <w:rPr>
                <w:b/>
                <w:bCs/>
              </w:rPr>
            </w:pPr>
            <w:r w:rsidRPr="00510EFB">
              <w:rPr>
                <w:b/>
                <w:bCs/>
              </w:rPr>
              <w:t>Compound</w:t>
            </w:r>
          </w:p>
        </w:tc>
        <w:tc>
          <w:tcPr>
            <w:tcW w:w="0" w:type="auto"/>
            <w:hideMark/>
          </w:tcPr>
          <w:p w14:paraId="5F870F04" w14:textId="77777777" w:rsidR="008D708A" w:rsidRPr="00510EFB" w:rsidRDefault="008D708A" w:rsidP="008D708A">
            <w:pPr>
              <w:jc w:val="center"/>
              <w:rPr>
                <w:b/>
                <w:bCs/>
              </w:rPr>
            </w:pPr>
            <w:r w:rsidRPr="00510EFB">
              <w:rPr>
                <w:b/>
                <w:bCs/>
              </w:rPr>
              <w:t>MDA-MB-453ᵃ</w:t>
            </w:r>
          </w:p>
        </w:tc>
        <w:tc>
          <w:tcPr>
            <w:tcW w:w="0" w:type="auto"/>
            <w:hideMark/>
          </w:tcPr>
          <w:p w14:paraId="5B57ED2F" w14:textId="77777777" w:rsidR="008D708A" w:rsidRPr="00510EFB" w:rsidRDefault="008D708A" w:rsidP="008D708A">
            <w:pPr>
              <w:jc w:val="center"/>
              <w:rPr>
                <w:b/>
                <w:bCs/>
              </w:rPr>
            </w:pPr>
            <w:r w:rsidRPr="00510EFB">
              <w:rPr>
                <w:b/>
                <w:bCs/>
              </w:rPr>
              <w:t>A549ᵇ</w:t>
            </w:r>
          </w:p>
        </w:tc>
        <w:tc>
          <w:tcPr>
            <w:tcW w:w="0" w:type="auto"/>
            <w:hideMark/>
          </w:tcPr>
          <w:p w14:paraId="57331105" w14:textId="77777777" w:rsidR="008D708A" w:rsidRPr="00510EFB" w:rsidRDefault="008D708A" w:rsidP="008D708A">
            <w:pPr>
              <w:jc w:val="center"/>
              <w:rPr>
                <w:b/>
                <w:bCs/>
              </w:rPr>
            </w:pPr>
            <w:r w:rsidRPr="00510EFB">
              <w:rPr>
                <w:b/>
                <w:bCs/>
              </w:rPr>
              <w:t>PC-3ᶜ</w:t>
            </w:r>
          </w:p>
        </w:tc>
        <w:tc>
          <w:tcPr>
            <w:tcW w:w="0" w:type="auto"/>
            <w:hideMark/>
          </w:tcPr>
          <w:p w14:paraId="5D20CAB3" w14:textId="77777777" w:rsidR="008D708A" w:rsidRPr="00510EFB" w:rsidRDefault="008D708A" w:rsidP="008D708A">
            <w:pPr>
              <w:jc w:val="center"/>
              <w:rPr>
                <w:b/>
                <w:bCs/>
              </w:rPr>
            </w:pPr>
            <w:r w:rsidRPr="00510EFB">
              <w:rPr>
                <w:b/>
                <w:bCs/>
              </w:rPr>
              <w:t>MCF-7ᵈ</w:t>
            </w:r>
          </w:p>
        </w:tc>
      </w:tr>
      <w:tr w:rsidR="008D708A" w:rsidRPr="00510EFB" w14:paraId="2C3CCB09" w14:textId="77777777" w:rsidTr="008D708A">
        <w:trPr>
          <w:jc w:val="center"/>
        </w:trPr>
        <w:tc>
          <w:tcPr>
            <w:tcW w:w="0" w:type="auto"/>
            <w:hideMark/>
          </w:tcPr>
          <w:p w14:paraId="696CE4E0" w14:textId="77777777" w:rsidR="008D708A" w:rsidRPr="00510EFB" w:rsidRDefault="008D708A" w:rsidP="008D708A">
            <w:r>
              <w:rPr>
                <w:b/>
                <w:bCs/>
              </w:rPr>
              <w:t>5</w:t>
            </w:r>
            <w:r w:rsidRPr="00566B76">
              <w:rPr>
                <w:b/>
                <w:bCs/>
              </w:rPr>
              <w:t>a</w:t>
            </w:r>
          </w:p>
        </w:tc>
        <w:tc>
          <w:tcPr>
            <w:tcW w:w="0" w:type="auto"/>
            <w:hideMark/>
          </w:tcPr>
          <w:p w14:paraId="119547D5" w14:textId="77777777" w:rsidR="008D708A" w:rsidRPr="00510EFB" w:rsidRDefault="008D708A" w:rsidP="008D708A">
            <w:r w:rsidRPr="00510EFB">
              <w:t>25.4 ± 2.1</w:t>
            </w:r>
          </w:p>
        </w:tc>
        <w:tc>
          <w:tcPr>
            <w:tcW w:w="0" w:type="auto"/>
            <w:hideMark/>
          </w:tcPr>
          <w:p w14:paraId="26F183C8" w14:textId="77777777" w:rsidR="008D708A" w:rsidRPr="00510EFB" w:rsidRDefault="008D708A" w:rsidP="008D708A">
            <w:r w:rsidRPr="00510EFB">
              <w:t>32.6 ± 3.4</w:t>
            </w:r>
          </w:p>
        </w:tc>
        <w:tc>
          <w:tcPr>
            <w:tcW w:w="0" w:type="auto"/>
            <w:hideMark/>
          </w:tcPr>
          <w:p w14:paraId="1A595B7C" w14:textId="77777777" w:rsidR="008D708A" w:rsidRPr="00510EFB" w:rsidRDefault="008D708A" w:rsidP="008D708A">
            <w:r w:rsidRPr="00510EFB">
              <w:t>&gt;40</w:t>
            </w:r>
          </w:p>
        </w:tc>
        <w:tc>
          <w:tcPr>
            <w:tcW w:w="0" w:type="auto"/>
            <w:hideMark/>
          </w:tcPr>
          <w:p w14:paraId="711776FD" w14:textId="77777777" w:rsidR="008D708A" w:rsidRPr="00510EFB" w:rsidRDefault="008D708A" w:rsidP="008D708A">
            <w:r w:rsidRPr="00510EFB">
              <w:t>33.1 ± 2.8</w:t>
            </w:r>
          </w:p>
        </w:tc>
      </w:tr>
      <w:tr w:rsidR="008D708A" w:rsidRPr="00510EFB" w14:paraId="4460EEEA" w14:textId="77777777" w:rsidTr="008D708A">
        <w:trPr>
          <w:jc w:val="center"/>
        </w:trPr>
        <w:tc>
          <w:tcPr>
            <w:tcW w:w="0" w:type="auto"/>
            <w:hideMark/>
          </w:tcPr>
          <w:p w14:paraId="3345ED50" w14:textId="77777777" w:rsidR="008D708A" w:rsidRPr="00510EFB" w:rsidRDefault="008D708A" w:rsidP="008D708A">
            <w:r>
              <w:rPr>
                <w:b/>
                <w:bCs/>
              </w:rPr>
              <w:t>5</w:t>
            </w:r>
            <w:r w:rsidRPr="00566B76">
              <w:rPr>
                <w:b/>
                <w:bCs/>
              </w:rPr>
              <w:t>b</w:t>
            </w:r>
          </w:p>
        </w:tc>
        <w:tc>
          <w:tcPr>
            <w:tcW w:w="0" w:type="auto"/>
            <w:hideMark/>
          </w:tcPr>
          <w:p w14:paraId="1CADF620" w14:textId="77777777" w:rsidR="008D708A" w:rsidRPr="00510EFB" w:rsidRDefault="008D708A" w:rsidP="008D708A">
            <w:r w:rsidRPr="00510EFB">
              <w:t>31.2 ± 3.6</w:t>
            </w:r>
          </w:p>
        </w:tc>
        <w:tc>
          <w:tcPr>
            <w:tcW w:w="0" w:type="auto"/>
            <w:hideMark/>
          </w:tcPr>
          <w:p w14:paraId="58C7D7DB" w14:textId="77777777" w:rsidR="008D708A" w:rsidRPr="00510EFB" w:rsidRDefault="008D708A" w:rsidP="008D708A">
            <w:r w:rsidRPr="00510EFB">
              <w:t>&gt;40</w:t>
            </w:r>
          </w:p>
        </w:tc>
        <w:tc>
          <w:tcPr>
            <w:tcW w:w="0" w:type="auto"/>
            <w:hideMark/>
          </w:tcPr>
          <w:p w14:paraId="05B0C92D" w14:textId="77777777" w:rsidR="008D708A" w:rsidRPr="00510EFB" w:rsidRDefault="008D708A" w:rsidP="008D708A">
            <w:r w:rsidRPr="00510EFB">
              <w:t>25.1 ± 2.3</w:t>
            </w:r>
          </w:p>
        </w:tc>
        <w:tc>
          <w:tcPr>
            <w:tcW w:w="0" w:type="auto"/>
            <w:hideMark/>
          </w:tcPr>
          <w:p w14:paraId="6A2263F0" w14:textId="77777777" w:rsidR="008D708A" w:rsidRPr="00510EFB" w:rsidRDefault="008D708A" w:rsidP="008D708A">
            <w:r w:rsidRPr="00510EFB">
              <w:t>36.8 ± 3.2</w:t>
            </w:r>
          </w:p>
        </w:tc>
      </w:tr>
      <w:tr w:rsidR="008D708A" w:rsidRPr="00510EFB" w14:paraId="0280D119" w14:textId="77777777" w:rsidTr="008D708A">
        <w:trPr>
          <w:jc w:val="center"/>
        </w:trPr>
        <w:tc>
          <w:tcPr>
            <w:tcW w:w="0" w:type="auto"/>
            <w:hideMark/>
          </w:tcPr>
          <w:p w14:paraId="55BA6318" w14:textId="77777777" w:rsidR="008D708A" w:rsidRPr="00510EFB" w:rsidRDefault="008D708A" w:rsidP="008D708A">
            <w:r>
              <w:rPr>
                <w:b/>
                <w:bCs/>
              </w:rPr>
              <w:t>5</w:t>
            </w:r>
            <w:r w:rsidRPr="00566B76">
              <w:rPr>
                <w:b/>
                <w:bCs/>
              </w:rPr>
              <w:t>c</w:t>
            </w:r>
          </w:p>
        </w:tc>
        <w:tc>
          <w:tcPr>
            <w:tcW w:w="0" w:type="auto"/>
            <w:hideMark/>
          </w:tcPr>
          <w:p w14:paraId="6A78729F" w14:textId="77777777" w:rsidR="008D708A" w:rsidRPr="00510EFB" w:rsidRDefault="008D708A" w:rsidP="008D708A">
            <w:r w:rsidRPr="00566B76">
              <w:rPr>
                <w:b/>
                <w:bCs/>
              </w:rPr>
              <w:t>4.6 ± 0.5</w:t>
            </w:r>
          </w:p>
        </w:tc>
        <w:tc>
          <w:tcPr>
            <w:tcW w:w="0" w:type="auto"/>
            <w:hideMark/>
          </w:tcPr>
          <w:p w14:paraId="29D234F9" w14:textId="77777777" w:rsidR="008D708A" w:rsidRPr="00510EFB" w:rsidRDefault="008D708A" w:rsidP="008D708A">
            <w:r w:rsidRPr="00566B76">
              <w:rPr>
                <w:b/>
                <w:bCs/>
              </w:rPr>
              <w:t>9.8 ± 1.1</w:t>
            </w:r>
          </w:p>
        </w:tc>
        <w:tc>
          <w:tcPr>
            <w:tcW w:w="0" w:type="auto"/>
            <w:hideMark/>
          </w:tcPr>
          <w:p w14:paraId="00470DED" w14:textId="77777777" w:rsidR="008D708A" w:rsidRPr="00510EFB" w:rsidRDefault="008D708A" w:rsidP="008D708A">
            <w:r w:rsidRPr="00510EFB">
              <w:t>31.4 ± 3.6</w:t>
            </w:r>
          </w:p>
        </w:tc>
        <w:tc>
          <w:tcPr>
            <w:tcW w:w="0" w:type="auto"/>
            <w:hideMark/>
          </w:tcPr>
          <w:p w14:paraId="40EDEBEE" w14:textId="77777777" w:rsidR="008D708A" w:rsidRPr="00510EFB" w:rsidRDefault="008D708A" w:rsidP="008D708A">
            <w:r w:rsidRPr="00510EFB">
              <w:t>20.2 ± 1.9</w:t>
            </w:r>
          </w:p>
        </w:tc>
      </w:tr>
      <w:tr w:rsidR="008D708A" w:rsidRPr="00510EFB" w14:paraId="029CC186" w14:textId="77777777" w:rsidTr="008D708A">
        <w:trPr>
          <w:jc w:val="center"/>
        </w:trPr>
        <w:tc>
          <w:tcPr>
            <w:tcW w:w="0" w:type="auto"/>
            <w:hideMark/>
          </w:tcPr>
          <w:p w14:paraId="22E26076" w14:textId="77777777" w:rsidR="008D708A" w:rsidRPr="00510EFB" w:rsidRDefault="008D708A" w:rsidP="008D708A">
            <w:r>
              <w:rPr>
                <w:b/>
                <w:bCs/>
              </w:rPr>
              <w:t>5</w:t>
            </w:r>
            <w:r w:rsidRPr="00566B76">
              <w:rPr>
                <w:b/>
                <w:bCs/>
              </w:rPr>
              <w:t>d</w:t>
            </w:r>
          </w:p>
        </w:tc>
        <w:tc>
          <w:tcPr>
            <w:tcW w:w="0" w:type="auto"/>
            <w:hideMark/>
          </w:tcPr>
          <w:p w14:paraId="619B4112" w14:textId="77777777" w:rsidR="008D708A" w:rsidRPr="00510EFB" w:rsidRDefault="008D708A" w:rsidP="008D708A">
            <w:r w:rsidRPr="00510EFB">
              <w:t>20.6 ± 1.8</w:t>
            </w:r>
          </w:p>
        </w:tc>
        <w:tc>
          <w:tcPr>
            <w:tcW w:w="0" w:type="auto"/>
            <w:hideMark/>
          </w:tcPr>
          <w:p w14:paraId="1C1C34D8" w14:textId="77777777" w:rsidR="008D708A" w:rsidRPr="00510EFB" w:rsidRDefault="008D708A" w:rsidP="008D708A">
            <w:r w:rsidRPr="00510EFB">
              <w:t>23.9 ± 2.7</w:t>
            </w:r>
          </w:p>
        </w:tc>
        <w:tc>
          <w:tcPr>
            <w:tcW w:w="0" w:type="auto"/>
            <w:hideMark/>
          </w:tcPr>
          <w:p w14:paraId="01240C21" w14:textId="77777777" w:rsidR="008D708A" w:rsidRPr="00510EFB" w:rsidRDefault="008D708A" w:rsidP="008D708A">
            <w:r w:rsidRPr="00510EFB">
              <w:t>15.7 ± 2.1</w:t>
            </w:r>
          </w:p>
        </w:tc>
        <w:tc>
          <w:tcPr>
            <w:tcW w:w="0" w:type="auto"/>
            <w:hideMark/>
          </w:tcPr>
          <w:p w14:paraId="5EF1F04E" w14:textId="77777777" w:rsidR="008D708A" w:rsidRPr="00510EFB" w:rsidRDefault="008D708A" w:rsidP="008D708A">
            <w:r w:rsidRPr="00510EFB">
              <w:t>&gt;40</w:t>
            </w:r>
          </w:p>
        </w:tc>
      </w:tr>
      <w:tr w:rsidR="008D708A" w:rsidRPr="00510EFB" w14:paraId="315A80B6" w14:textId="77777777" w:rsidTr="008D708A">
        <w:trPr>
          <w:jc w:val="center"/>
        </w:trPr>
        <w:tc>
          <w:tcPr>
            <w:tcW w:w="0" w:type="auto"/>
            <w:hideMark/>
          </w:tcPr>
          <w:p w14:paraId="52B8E0CF" w14:textId="77777777" w:rsidR="008D708A" w:rsidRPr="00510EFB" w:rsidRDefault="008D708A" w:rsidP="008D708A">
            <w:r>
              <w:rPr>
                <w:b/>
                <w:bCs/>
              </w:rPr>
              <w:t>5</w:t>
            </w:r>
            <w:r w:rsidRPr="00566B76">
              <w:rPr>
                <w:b/>
                <w:bCs/>
              </w:rPr>
              <w:t>e</w:t>
            </w:r>
          </w:p>
        </w:tc>
        <w:tc>
          <w:tcPr>
            <w:tcW w:w="0" w:type="auto"/>
            <w:hideMark/>
          </w:tcPr>
          <w:p w14:paraId="199548B6" w14:textId="77777777" w:rsidR="008D708A" w:rsidRPr="00510EFB" w:rsidRDefault="008D708A" w:rsidP="008D708A">
            <w:r w:rsidRPr="00510EFB">
              <w:t>16.8 ± 1.5</w:t>
            </w:r>
          </w:p>
        </w:tc>
        <w:tc>
          <w:tcPr>
            <w:tcW w:w="0" w:type="auto"/>
            <w:hideMark/>
          </w:tcPr>
          <w:p w14:paraId="0F131AA1" w14:textId="77777777" w:rsidR="008D708A" w:rsidRPr="00510EFB" w:rsidRDefault="008D708A" w:rsidP="008D708A">
            <w:r w:rsidRPr="00510EFB">
              <w:t>33.5 ± 3.1</w:t>
            </w:r>
          </w:p>
        </w:tc>
        <w:tc>
          <w:tcPr>
            <w:tcW w:w="0" w:type="auto"/>
            <w:hideMark/>
          </w:tcPr>
          <w:p w14:paraId="6AF141EA" w14:textId="77777777" w:rsidR="008D708A" w:rsidRPr="00510EFB" w:rsidRDefault="008D708A" w:rsidP="008D708A">
            <w:r w:rsidRPr="00510EFB">
              <w:t>&gt;40</w:t>
            </w:r>
          </w:p>
        </w:tc>
        <w:tc>
          <w:tcPr>
            <w:tcW w:w="0" w:type="auto"/>
            <w:hideMark/>
          </w:tcPr>
          <w:p w14:paraId="447AAD63" w14:textId="77777777" w:rsidR="008D708A" w:rsidRPr="00510EFB" w:rsidRDefault="008D708A" w:rsidP="008D708A">
            <w:r w:rsidRPr="00510EFB">
              <w:t>23.4 ± 2.2</w:t>
            </w:r>
          </w:p>
        </w:tc>
      </w:tr>
      <w:tr w:rsidR="008D708A" w:rsidRPr="00510EFB" w14:paraId="4CA96DC6" w14:textId="77777777" w:rsidTr="008D708A">
        <w:trPr>
          <w:jc w:val="center"/>
        </w:trPr>
        <w:tc>
          <w:tcPr>
            <w:tcW w:w="0" w:type="auto"/>
            <w:hideMark/>
          </w:tcPr>
          <w:p w14:paraId="7808A679" w14:textId="77777777" w:rsidR="008D708A" w:rsidRPr="00510EFB" w:rsidRDefault="008D708A" w:rsidP="008D708A">
            <w:r>
              <w:rPr>
                <w:b/>
                <w:bCs/>
              </w:rPr>
              <w:t>5</w:t>
            </w:r>
            <w:r w:rsidRPr="00566B76">
              <w:rPr>
                <w:b/>
                <w:bCs/>
              </w:rPr>
              <w:t>f</w:t>
            </w:r>
          </w:p>
        </w:tc>
        <w:tc>
          <w:tcPr>
            <w:tcW w:w="0" w:type="auto"/>
            <w:hideMark/>
          </w:tcPr>
          <w:p w14:paraId="7EE7606C" w14:textId="77777777" w:rsidR="008D708A" w:rsidRPr="00510EFB" w:rsidRDefault="008D708A" w:rsidP="008D708A">
            <w:r w:rsidRPr="00566B76">
              <w:rPr>
                <w:b/>
                <w:bCs/>
              </w:rPr>
              <w:t>7.8 ± 0.7</w:t>
            </w:r>
          </w:p>
        </w:tc>
        <w:tc>
          <w:tcPr>
            <w:tcW w:w="0" w:type="auto"/>
            <w:hideMark/>
          </w:tcPr>
          <w:p w14:paraId="0D6B01CE" w14:textId="77777777" w:rsidR="008D708A" w:rsidRPr="00510EFB" w:rsidRDefault="008D708A" w:rsidP="008D708A">
            <w:r w:rsidRPr="00510EFB">
              <w:t>&gt;40</w:t>
            </w:r>
          </w:p>
        </w:tc>
        <w:tc>
          <w:tcPr>
            <w:tcW w:w="0" w:type="auto"/>
            <w:hideMark/>
          </w:tcPr>
          <w:p w14:paraId="5D30E4F8" w14:textId="77777777" w:rsidR="008D708A" w:rsidRPr="00510EFB" w:rsidRDefault="008D708A" w:rsidP="008D708A">
            <w:r w:rsidRPr="00510EFB">
              <w:t>&gt;40</w:t>
            </w:r>
          </w:p>
        </w:tc>
        <w:tc>
          <w:tcPr>
            <w:tcW w:w="0" w:type="auto"/>
            <w:hideMark/>
          </w:tcPr>
          <w:p w14:paraId="37CCF395" w14:textId="77777777" w:rsidR="008D708A" w:rsidRPr="00510EFB" w:rsidRDefault="008D708A" w:rsidP="008D708A">
            <w:r w:rsidRPr="00510EFB">
              <w:t>&gt;40</w:t>
            </w:r>
          </w:p>
        </w:tc>
      </w:tr>
      <w:tr w:rsidR="008D708A" w:rsidRPr="00510EFB" w14:paraId="1478E5A4" w14:textId="77777777" w:rsidTr="008D708A">
        <w:trPr>
          <w:jc w:val="center"/>
        </w:trPr>
        <w:tc>
          <w:tcPr>
            <w:tcW w:w="0" w:type="auto"/>
            <w:hideMark/>
          </w:tcPr>
          <w:p w14:paraId="1AE52C2F" w14:textId="77777777" w:rsidR="008D708A" w:rsidRPr="00510EFB" w:rsidRDefault="008D708A" w:rsidP="008D708A">
            <w:r>
              <w:rPr>
                <w:b/>
                <w:bCs/>
              </w:rPr>
              <w:t>5</w:t>
            </w:r>
            <w:r w:rsidRPr="00566B76">
              <w:rPr>
                <w:b/>
                <w:bCs/>
              </w:rPr>
              <w:t>g</w:t>
            </w:r>
          </w:p>
        </w:tc>
        <w:tc>
          <w:tcPr>
            <w:tcW w:w="0" w:type="auto"/>
            <w:hideMark/>
          </w:tcPr>
          <w:p w14:paraId="64DCC616" w14:textId="77777777" w:rsidR="008D708A" w:rsidRPr="00510EFB" w:rsidRDefault="008D708A" w:rsidP="008D708A">
            <w:r w:rsidRPr="00566B76">
              <w:rPr>
                <w:b/>
                <w:bCs/>
              </w:rPr>
              <w:t>6.9 ± 0.6</w:t>
            </w:r>
          </w:p>
        </w:tc>
        <w:tc>
          <w:tcPr>
            <w:tcW w:w="0" w:type="auto"/>
            <w:hideMark/>
          </w:tcPr>
          <w:p w14:paraId="04A830FB" w14:textId="77777777" w:rsidR="008D708A" w:rsidRPr="00510EFB" w:rsidRDefault="008D708A" w:rsidP="008D708A">
            <w:r w:rsidRPr="00510EFB">
              <w:t>21.3 ± 2.4</w:t>
            </w:r>
          </w:p>
        </w:tc>
        <w:tc>
          <w:tcPr>
            <w:tcW w:w="0" w:type="auto"/>
            <w:hideMark/>
          </w:tcPr>
          <w:p w14:paraId="436BD1BE" w14:textId="77777777" w:rsidR="008D708A" w:rsidRPr="00510EFB" w:rsidRDefault="008D708A" w:rsidP="008D708A">
            <w:r w:rsidRPr="00510EFB">
              <w:t>&gt;40</w:t>
            </w:r>
          </w:p>
        </w:tc>
        <w:tc>
          <w:tcPr>
            <w:tcW w:w="0" w:type="auto"/>
            <w:hideMark/>
          </w:tcPr>
          <w:p w14:paraId="1A5A4795" w14:textId="77777777" w:rsidR="008D708A" w:rsidRPr="00510EFB" w:rsidRDefault="008D708A" w:rsidP="008D708A">
            <w:r w:rsidRPr="00510EFB">
              <w:t>20.8 ± 2.1</w:t>
            </w:r>
          </w:p>
        </w:tc>
      </w:tr>
      <w:tr w:rsidR="008D708A" w:rsidRPr="00510EFB" w14:paraId="672780D1" w14:textId="77777777" w:rsidTr="008D708A">
        <w:trPr>
          <w:jc w:val="center"/>
        </w:trPr>
        <w:tc>
          <w:tcPr>
            <w:tcW w:w="0" w:type="auto"/>
            <w:hideMark/>
          </w:tcPr>
          <w:p w14:paraId="7D0E7521" w14:textId="77777777" w:rsidR="008D708A" w:rsidRPr="00510EFB" w:rsidRDefault="008D708A" w:rsidP="008D708A">
            <w:r>
              <w:rPr>
                <w:b/>
                <w:bCs/>
              </w:rPr>
              <w:t>5</w:t>
            </w:r>
            <w:r w:rsidRPr="00566B76">
              <w:rPr>
                <w:b/>
                <w:bCs/>
              </w:rPr>
              <w:t>h</w:t>
            </w:r>
          </w:p>
        </w:tc>
        <w:tc>
          <w:tcPr>
            <w:tcW w:w="0" w:type="auto"/>
            <w:hideMark/>
          </w:tcPr>
          <w:p w14:paraId="2EB067CE" w14:textId="77777777" w:rsidR="008D708A" w:rsidRPr="00510EFB" w:rsidRDefault="008D708A" w:rsidP="008D708A">
            <w:r w:rsidRPr="00510EFB">
              <w:t>22.4 ± 2.0</w:t>
            </w:r>
          </w:p>
        </w:tc>
        <w:tc>
          <w:tcPr>
            <w:tcW w:w="0" w:type="auto"/>
            <w:hideMark/>
          </w:tcPr>
          <w:p w14:paraId="408B0435" w14:textId="77777777" w:rsidR="008D708A" w:rsidRPr="00510EFB" w:rsidRDefault="008D708A" w:rsidP="008D708A">
            <w:r w:rsidRPr="00510EFB">
              <w:t>&gt;40</w:t>
            </w:r>
          </w:p>
        </w:tc>
        <w:tc>
          <w:tcPr>
            <w:tcW w:w="0" w:type="auto"/>
            <w:hideMark/>
          </w:tcPr>
          <w:p w14:paraId="302D2BD6" w14:textId="77777777" w:rsidR="008D708A" w:rsidRPr="00510EFB" w:rsidRDefault="008D708A" w:rsidP="008D708A">
            <w:r w:rsidRPr="00510EFB">
              <w:t>&gt;40</w:t>
            </w:r>
          </w:p>
        </w:tc>
        <w:tc>
          <w:tcPr>
            <w:tcW w:w="0" w:type="auto"/>
            <w:hideMark/>
          </w:tcPr>
          <w:p w14:paraId="4FF78EA0" w14:textId="77777777" w:rsidR="008D708A" w:rsidRPr="00510EFB" w:rsidRDefault="008D708A" w:rsidP="008D708A">
            <w:r w:rsidRPr="00510EFB">
              <w:t>&gt;40</w:t>
            </w:r>
          </w:p>
        </w:tc>
      </w:tr>
      <w:tr w:rsidR="008D708A" w:rsidRPr="00510EFB" w14:paraId="506F60B2" w14:textId="77777777" w:rsidTr="008D708A">
        <w:trPr>
          <w:jc w:val="center"/>
        </w:trPr>
        <w:tc>
          <w:tcPr>
            <w:tcW w:w="0" w:type="auto"/>
            <w:hideMark/>
          </w:tcPr>
          <w:p w14:paraId="7185B2F5" w14:textId="77777777" w:rsidR="008D708A" w:rsidRPr="00510EFB" w:rsidRDefault="008D708A" w:rsidP="008D708A">
            <w:r>
              <w:rPr>
                <w:b/>
                <w:bCs/>
              </w:rPr>
              <w:t>5i</w:t>
            </w:r>
          </w:p>
        </w:tc>
        <w:tc>
          <w:tcPr>
            <w:tcW w:w="0" w:type="auto"/>
            <w:hideMark/>
          </w:tcPr>
          <w:p w14:paraId="312F4376" w14:textId="77777777" w:rsidR="008D708A" w:rsidRPr="00510EFB" w:rsidRDefault="008D708A" w:rsidP="008D708A">
            <w:r w:rsidRPr="00510EFB">
              <w:t>23.7 ± 2.4</w:t>
            </w:r>
          </w:p>
        </w:tc>
        <w:tc>
          <w:tcPr>
            <w:tcW w:w="0" w:type="auto"/>
            <w:hideMark/>
          </w:tcPr>
          <w:p w14:paraId="7D3BD36A" w14:textId="77777777" w:rsidR="008D708A" w:rsidRPr="00510EFB" w:rsidRDefault="008D708A" w:rsidP="008D708A">
            <w:r w:rsidRPr="00510EFB">
              <w:t>28.6 ± 3.1</w:t>
            </w:r>
          </w:p>
        </w:tc>
        <w:tc>
          <w:tcPr>
            <w:tcW w:w="0" w:type="auto"/>
            <w:hideMark/>
          </w:tcPr>
          <w:p w14:paraId="7B2A89A2" w14:textId="77777777" w:rsidR="008D708A" w:rsidRPr="00510EFB" w:rsidRDefault="008D708A" w:rsidP="008D708A">
            <w:r w:rsidRPr="00510EFB">
              <w:t>&gt;40</w:t>
            </w:r>
          </w:p>
        </w:tc>
        <w:tc>
          <w:tcPr>
            <w:tcW w:w="0" w:type="auto"/>
            <w:hideMark/>
          </w:tcPr>
          <w:p w14:paraId="29EEFD12" w14:textId="77777777" w:rsidR="008D708A" w:rsidRPr="00510EFB" w:rsidRDefault="008D708A" w:rsidP="008D708A">
            <w:r w:rsidRPr="00510EFB">
              <w:t>24.9 ± 2.3</w:t>
            </w:r>
          </w:p>
        </w:tc>
      </w:tr>
      <w:tr w:rsidR="008D708A" w:rsidRPr="00510EFB" w14:paraId="2B1A243D" w14:textId="77777777" w:rsidTr="008D708A">
        <w:trPr>
          <w:jc w:val="center"/>
        </w:trPr>
        <w:tc>
          <w:tcPr>
            <w:tcW w:w="0" w:type="auto"/>
            <w:hideMark/>
          </w:tcPr>
          <w:p w14:paraId="5BDD7F9A" w14:textId="77777777" w:rsidR="008D708A" w:rsidRPr="00510EFB" w:rsidRDefault="008D708A" w:rsidP="008D708A">
            <w:r>
              <w:rPr>
                <w:b/>
                <w:bCs/>
              </w:rPr>
              <w:t>5j</w:t>
            </w:r>
          </w:p>
        </w:tc>
        <w:tc>
          <w:tcPr>
            <w:tcW w:w="0" w:type="auto"/>
            <w:hideMark/>
          </w:tcPr>
          <w:p w14:paraId="5B752936" w14:textId="77777777" w:rsidR="008D708A" w:rsidRPr="00510EFB" w:rsidRDefault="008D708A" w:rsidP="008D708A">
            <w:r w:rsidRPr="00510EFB">
              <w:t>34.1 ± 3.7</w:t>
            </w:r>
          </w:p>
        </w:tc>
        <w:tc>
          <w:tcPr>
            <w:tcW w:w="0" w:type="auto"/>
            <w:hideMark/>
          </w:tcPr>
          <w:p w14:paraId="38BAD688" w14:textId="77777777" w:rsidR="008D708A" w:rsidRPr="00510EFB" w:rsidRDefault="008D708A" w:rsidP="008D708A">
            <w:r w:rsidRPr="00510EFB">
              <w:t>&gt;40</w:t>
            </w:r>
          </w:p>
        </w:tc>
        <w:tc>
          <w:tcPr>
            <w:tcW w:w="0" w:type="auto"/>
            <w:hideMark/>
          </w:tcPr>
          <w:p w14:paraId="72C4F80B" w14:textId="77777777" w:rsidR="008D708A" w:rsidRPr="00510EFB" w:rsidRDefault="008D708A" w:rsidP="008D708A">
            <w:r w:rsidRPr="00510EFB">
              <w:t>30.4 ± 3.2</w:t>
            </w:r>
          </w:p>
        </w:tc>
        <w:tc>
          <w:tcPr>
            <w:tcW w:w="0" w:type="auto"/>
            <w:hideMark/>
          </w:tcPr>
          <w:p w14:paraId="096CB9A2" w14:textId="77777777" w:rsidR="008D708A" w:rsidRPr="00510EFB" w:rsidRDefault="008D708A" w:rsidP="008D708A">
            <w:r w:rsidRPr="00510EFB">
              <w:t>&gt;40</w:t>
            </w:r>
          </w:p>
        </w:tc>
      </w:tr>
      <w:tr w:rsidR="008D708A" w:rsidRPr="00510EFB" w14:paraId="067AD0BE" w14:textId="77777777" w:rsidTr="008D708A">
        <w:trPr>
          <w:jc w:val="center"/>
        </w:trPr>
        <w:tc>
          <w:tcPr>
            <w:tcW w:w="0" w:type="auto"/>
            <w:hideMark/>
          </w:tcPr>
          <w:p w14:paraId="24ED0E54" w14:textId="77777777" w:rsidR="008D708A" w:rsidRPr="00510EFB" w:rsidRDefault="008D708A" w:rsidP="008D708A">
            <w:r>
              <w:rPr>
                <w:b/>
                <w:bCs/>
              </w:rPr>
              <w:t>5k</w:t>
            </w:r>
          </w:p>
        </w:tc>
        <w:tc>
          <w:tcPr>
            <w:tcW w:w="0" w:type="auto"/>
            <w:hideMark/>
          </w:tcPr>
          <w:p w14:paraId="354B8203" w14:textId="77777777" w:rsidR="008D708A" w:rsidRPr="00510EFB" w:rsidRDefault="008D708A" w:rsidP="008D708A">
            <w:r w:rsidRPr="00510EFB">
              <w:t>38.5 ± 4.2</w:t>
            </w:r>
          </w:p>
        </w:tc>
        <w:tc>
          <w:tcPr>
            <w:tcW w:w="0" w:type="auto"/>
            <w:hideMark/>
          </w:tcPr>
          <w:p w14:paraId="2CC76A3C" w14:textId="77777777" w:rsidR="008D708A" w:rsidRPr="00510EFB" w:rsidRDefault="008D708A" w:rsidP="008D708A">
            <w:r w:rsidRPr="00510EFB">
              <w:t>&gt;40</w:t>
            </w:r>
          </w:p>
        </w:tc>
        <w:tc>
          <w:tcPr>
            <w:tcW w:w="0" w:type="auto"/>
            <w:hideMark/>
          </w:tcPr>
          <w:p w14:paraId="79433BA9" w14:textId="77777777" w:rsidR="008D708A" w:rsidRPr="00510EFB" w:rsidRDefault="008D708A" w:rsidP="008D708A">
            <w:r w:rsidRPr="00510EFB">
              <w:t>24.1 ± 2.6</w:t>
            </w:r>
          </w:p>
        </w:tc>
        <w:tc>
          <w:tcPr>
            <w:tcW w:w="0" w:type="auto"/>
            <w:hideMark/>
          </w:tcPr>
          <w:p w14:paraId="2354C79E" w14:textId="77777777" w:rsidR="008D708A" w:rsidRPr="00510EFB" w:rsidRDefault="008D708A" w:rsidP="008D708A">
            <w:r w:rsidRPr="00510EFB">
              <w:t>&gt;40</w:t>
            </w:r>
          </w:p>
        </w:tc>
      </w:tr>
      <w:tr w:rsidR="008D708A" w:rsidRPr="00510EFB" w14:paraId="50B51D43" w14:textId="77777777" w:rsidTr="008D708A">
        <w:trPr>
          <w:jc w:val="center"/>
        </w:trPr>
        <w:tc>
          <w:tcPr>
            <w:tcW w:w="0" w:type="auto"/>
            <w:hideMark/>
          </w:tcPr>
          <w:p w14:paraId="30A6C26B" w14:textId="77777777" w:rsidR="008D708A" w:rsidRPr="00510EFB" w:rsidRDefault="008D708A" w:rsidP="008D708A">
            <w:r>
              <w:rPr>
                <w:b/>
                <w:bCs/>
              </w:rPr>
              <w:t>5l</w:t>
            </w:r>
          </w:p>
        </w:tc>
        <w:tc>
          <w:tcPr>
            <w:tcW w:w="0" w:type="auto"/>
            <w:hideMark/>
          </w:tcPr>
          <w:p w14:paraId="087D61F5" w14:textId="77777777" w:rsidR="008D708A" w:rsidRPr="00510EFB" w:rsidRDefault="008D708A" w:rsidP="008D708A">
            <w:r w:rsidRPr="00510EFB">
              <w:t>24.2 ± 2.1</w:t>
            </w:r>
          </w:p>
        </w:tc>
        <w:tc>
          <w:tcPr>
            <w:tcW w:w="0" w:type="auto"/>
            <w:hideMark/>
          </w:tcPr>
          <w:p w14:paraId="4D23BABC" w14:textId="77777777" w:rsidR="008D708A" w:rsidRPr="00510EFB" w:rsidRDefault="008D708A" w:rsidP="008D708A">
            <w:r w:rsidRPr="00510EFB">
              <w:t>19.8 ± 2.0</w:t>
            </w:r>
          </w:p>
        </w:tc>
        <w:tc>
          <w:tcPr>
            <w:tcW w:w="0" w:type="auto"/>
            <w:hideMark/>
          </w:tcPr>
          <w:p w14:paraId="6EBFAA1E" w14:textId="77777777" w:rsidR="008D708A" w:rsidRPr="00510EFB" w:rsidRDefault="008D708A" w:rsidP="008D708A">
            <w:r w:rsidRPr="00510EFB">
              <w:t>&gt;40</w:t>
            </w:r>
          </w:p>
        </w:tc>
        <w:tc>
          <w:tcPr>
            <w:tcW w:w="0" w:type="auto"/>
            <w:hideMark/>
          </w:tcPr>
          <w:p w14:paraId="49EE2959" w14:textId="77777777" w:rsidR="008D708A" w:rsidRPr="00510EFB" w:rsidRDefault="008D708A" w:rsidP="008D708A">
            <w:r w:rsidRPr="00510EFB">
              <w:t>30.6 ± 3.4</w:t>
            </w:r>
          </w:p>
        </w:tc>
      </w:tr>
      <w:tr w:rsidR="008D708A" w:rsidRPr="00510EFB" w14:paraId="2B52EA3A" w14:textId="77777777" w:rsidTr="008D708A">
        <w:trPr>
          <w:jc w:val="center"/>
        </w:trPr>
        <w:tc>
          <w:tcPr>
            <w:tcW w:w="0" w:type="auto"/>
            <w:hideMark/>
          </w:tcPr>
          <w:p w14:paraId="4F307CB0" w14:textId="77777777" w:rsidR="008D708A" w:rsidRPr="00510EFB" w:rsidRDefault="008D708A" w:rsidP="008D708A">
            <w:r>
              <w:rPr>
                <w:b/>
                <w:bCs/>
              </w:rPr>
              <w:t>5m</w:t>
            </w:r>
          </w:p>
        </w:tc>
        <w:tc>
          <w:tcPr>
            <w:tcW w:w="0" w:type="auto"/>
            <w:hideMark/>
          </w:tcPr>
          <w:p w14:paraId="122C549E" w14:textId="77777777" w:rsidR="008D708A" w:rsidRPr="00510EFB" w:rsidRDefault="008D708A" w:rsidP="008D708A">
            <w:r w:rsidRPr="00510EFB">
              <w:t>25.6 ± 2.3</w:t>
            </w:r>
          </w:p>
        </w:tc>
        <w:tc>
          <w:tcPr>
            <w:tcW w:w="0" w:type="auto"/>
            <w:hideMark/>
          </w:tcPr>
          <w:p w14:paraId="49B6DB5C" w14:textId="77777777" w:rsidR="008D708A" w:rsidRPr="00510EFB" w:rsidRDefault="008D708A" w:rsidP="008D708A">
            <w:r w:rsidRPr="00510EFB">
              <w:t>&gt;40</w:t>
            </w:r>
          </w:p>
        </w:tc>
        <w:tc>
          <w:tcPr>
            <w:tcW w:w="0" w:type="auto"/>
            <w:hideMark/>
          </w:tcPr>
          <w:p w14:paraId="070A277A" w14:textId="77777777" w:rsidR="008D708A" w:rsidRPr="00510EFB" w:rsidRDefault="008D708A" w:rsidP="008D708A">
            <w:r w:rsidRPr="00510EFB">
              <w:t>27.8 ± 3.0</w:t>
            </w:r>
          </w:p>
        </w:tc>
        <w:tc>
          <w:tcPr>
            <w:tcW w:w="0" w:type="auto"/>
            <w:hideMark/>
          </w:tcPr>
          <w:p w14:paraId="2B9918A3" w14:textId="77777777" w:rsidR="008D708A" w:rsidRPr="00510EFB" w:rsidRDefault="008D708A" w:rsidP="008D708A">
            <w:r w:rsidRPr="00510EFB">
              <w:t>&gt;40</w:t>
            </w:r>
          </w:p>
        </w:tc>
      </w:tr>
      <w:tr w:rsidR="008D708A" w:rsidRPr="00510EFB" w14:paraId="34737975" w14:textId="77777777" w:rsidTr="008D708A">
        <w:trPr>
          <w:jc w:val="center"/>
        </w:trPr>
        <w:tc>
          <w:tcPr>
            <w:tcW w:w="0" w:type="auto"/>
            <w:hideMark/>
          </w:tcPr>
          <w:p w14:paraId="26F071B6" w14:textId="77777777" w:rsidR="008D708A" w:rsidRPr="00510EFB" w:rsidRDefault="008D708A" w:rsidP="008D708A">
            <w:r>
              <w:rPr>
                <w:b/>
                <w:bCs/>
              </w:rPr>
              <w:t>5n</w:t>
            </w:r>
          </w:p>
        </w:tc>
        <w:tc>
          <w:tcPr>
            <w:tcW w:w="0" w:type="auto"/>
            <w:hideMark/>
          </w:tcPr>
          <w:p w14:paraId="71472742" w14:textId="77777777" w:rsidR="008D708A" w:rsidRPr="00510EFB" w:rsidRDefault="008D708A" w:rsidP="008D708A">
            <w:r w:rsidRPr="00510EFB">
              <w:t>16.3 ± 1.6</w:t>
            </w:r>
          </w:p>
        </w:tc>
        <w:tc>
          <w:tcPr>
            <w:tcW w:w="0" w:type="auto"/>
            <w:hideMark/>
          </w:tcPr>
          <w:p w14:paraId="51BA0E81" w14:textId="77777777" w:rsidR="008D708A" w:rsidRPr="00510EFB" w:rsidRDefault="008D708A" w:rsidP="008D708A">
            <w:r w:rsidRPr="00510EFB">
              <w:t>&gt;40</w:t>
            </w:r>
          </w:p>
        </w:tc>
        <w:tc>
          <w:tcPr>
            <w:tcW w:w="0" w:type="auto"/>
            <w:hideMark/>
          </w:tcPr>
          <w:p w14:paraId="69CB4AB2" w14:textId="77777777" w:rsidR="008D708A" w:rsidRPr="00510EFB" w:rsidRDefault="008D708A" w:rsidP="008D708A">
            <w:r w:rsidRPr="00566B76">
              <w:rPr>
                <w:b/>
                <w:bCs/>
              </w:rPr>
              <w:t>7.6 ± 0.8</w:t>
            </w:r>
          </w:p>
        </w:tc>
        <w:tc>
          <w:tcPr>
            <w:tcW w:w="0" w:type="auto"/>
            <w:hideMark/>
          </w:tcPr>
          <w:p w14:paraId="36FD74B8" w14:textId="77777777" w:rsidR="008D708A" w:rsidRPr="00510EFB" w:rsidRDefault="008D708A" w:rsidP="008D708A">
            <w:r w:rsidRPr="00510EFB">
              <w:t>21.4 ± 2.2</w:t>
            </w:r>
          </w:p>
        </w:tc>
      </w:tr>
      <w:tr w:rsidR="008D708A" w:rsidRPr="00510EFB" w14:paraId="4474A974" w14:textId="77777777" w:rsidTr="008D708A">
        <w:trPr>
          <w:jc w:val="center"/>
        </w:trPr>
        <w:tc>
          <w:tcPr>
            <w:tcW w:w="0" w:type="auto"/>
            <w:hideMark/>
          </w:tcPr>
          <w:p w14:paraId="4D074356" w14:textId="77777777" w:rsidR="008D708A" w:rsidRPr="00510EFB" w:rsidRDefault="008D708A" w:rsidP="008D708A">
            <w:r>
              <w:rPr>
                <w:b/>
                <w:bCs/>
              </w:rPr>
              <w:t>5o</w:t>
            </w:r>
          </w:p>
        </w:tc>
        <w:tc>
          <w:tcPr>
            <w:tcW w:w="0" w:type="auto"/>
            <w:hideMark/>
          </w:tcPr>
          <w:p w14:paraId="2AAF1F2C" w14:textId="77777777" w:rsidR="008D708A" w:rsidRPr="00510EFB" w:rsidRDefault="008D708A" w:rsidP="008D708A">
            <w:r w:rsidRPr="00510EFB">
              <w:t>22.8 ± 2.5</w:t>
            </w:r>
          </w:p>
        </w:tc>
        <w:tc>
          <w:tcPr>
            <w:tcW w:w="0" w:type="auto"/>
            <w:hideMark/>
          </w:tcPr>
          <w:p w14:paraId="1B4BA82A" w14:textId="77777777" w:rsidR="008D708A" w:rsidRPr="00510EFB" w:rsidRDefault="008D708A" w:rsidP="008D708A">
            <w:r w:rsidRPr="00510EFB">
              <w:t>&gt;40</w:t>
            </w:r>
          </w:p>
        </w:tc>
        <w:tc>
          <w:tcPr>
            <w:tcW w:w="0" w:type="auto"/>
            <w:hideMark/>
          </w:tcPr>
          <w:p w14:paraId="407F0A2E" w14:textId="77777777" w:rsidR="008D708A" w:rsidRPr="00510EFB" w:rsidRDefault="008D708A" w:rsidP="008D708A">
            <w:r w:rsidRPr="00510EFB">
              <w:t>&gt;40</w:t>
            </w:r>
          </w:p>
        </w:tc>
        <w:tc>
          <w:tcPr>
            <w:tcW w:w="0" w:type="auto"/>
            <w:hideMark/>
          </w:tcPr>
          <w:p w14:paraId="64B66605" w14:textId="77777777" w:rsidR="008D708A" w:rsidRPr="00510EFB" w:rsidRDefault="008D708A" w:rsidP="008D708A">
            <w:r w:rsidRPr="00510EFB">
              <w:t>&gt;40</w:t>
            </w:r>
          </w:p>
        </w:tc>
      </w:tr>
      <w:tr w:rsidR="008D708A" w:rsidRPr="00510EFB" w14:paraId="27A9EB5C" w14:textId="77777777" w:rsidTr="008D708A">
        <w:trPr>
          <w:jc w:val="center"/>
        </w:trPr>
        <w:tc>
          <w:tcPr>
            <w:tcW w:w="0" w:type="auto"/>
            <w:hideMark/>
          </w:tcPr>
          <w:p w14:paraId="4A95A699" w14:textId="77777777" w:rsidR="008D708A" w:rsidRPr="00510EFB" w:rsidRDefault="008D708A" w:rsidP="008D708A">
            <w:r w:rsidRPr="00566B76">
              <w:rPr>
                <w:b/>
                <w:bCs/>
              </w:rPr>
              <w:lastRenderedPageBreak/>
              <w:t>Doxorubicin</w:t>
            </w:r>
          </w:p>
        </w:tc>
        <w:tc>
          <w:tcPr>
            <w:tcW w:w="0" w:type="auto"/>
            <w:hideMark/>
          </w:tcPr>
          <w:p w14:paraId="6A252527" w14:textId="77777777" w:rsidR="008D708A" w:rsidRPr="00510EFB" w:rsidRDefault="008D708A" w:rsidP="008D708A">
            <w:r w:rsidRPr="00510EFB">
              <w:t>0.69 ± 0.03</w:t>
            </w:r>
          </w:p>
        </w:tc>
        <w:tc>
          <w:tcPr>
            <w:tcW w:w="0" w:type="auto"/>
            <w:hideMark/>
          </w:tcPr>
          <w:p w14:paraId="2E0F46C0" w14:textId="77777777" w:rsidR="008D708A" w:rsidRPr="00510EFB" w:rsidRDefault="008D708A" w:rsidP="008D708A">
            <w:r w:rsidRPr="00510EFB">
              <w:t>1.88 ± 0.56</w:t>
            </w:r>
          </w:p>
        </w:tc>
        <w:tc>
          <w:tcPr>
            <w:tcW w:w="0" w:type="auto"/>
            <w:hideMark/>
          </w:tcPr>
          <w:p w14:paraId="1B19F7B6" w14:textId="77777777" w:rsidR="008D708A" w:rsidRPr="00510EFB" w:rsidRDefault="008D708A" w:rsidP="008D708A">
            <w:r w:rsidRPr="00510EFB">
              <w:t>0.08 ± 0.01</w:t>
            </w:r>
          </w:p>
        </w:tc>
        <w:tc>
          <w:tcPr>
            <w:tcW w:w="0" w:type="auto"/>
            <w:hideMark/>
          </w:tcPr>
          <w:p w14:paraId="4E40D14A" w14:textId="77777777" w:rsidR="008D708A" w:rsidRPr="00510EFB" w:rsidRDefault="008D708A" w:rsidP="008D708A">
            <w:r w:rsidRPr="00510EFB">
              <w:t>10.9 ± 1.76</w:t>
            </w:r>
          </w:p>
        </w:tc>
      </w:tr>
      <w:tr w:rsidR="008D708A" w:rsidRPr="00566B76" w14:paraId="52FB803A" w14:textId="77777777" w:rsidTr="008D708A">
        <w:trPr>
          <w:jc w:val="center"/>
        </w:trPr>
        <w:tc>
          <w:tcPr>
            <w:tcW w:w="0" w:type="auto"/>
            <w:gridSpan w:val="5"/>
          </w:tcPr>
          <w:p w14:paraId="3CB6FC58" w14:textId="77777777" w:rsidR="008D708A" w:rsidRPr="00510EFB" w:rsidRDefault="008D708A" w:rsidP="008D708A">
            <w:r w:rsidRPr="00566B76">
              <w:rPr>
                <w:bCs/>
                <w:sz w:val="20"/>
                <w:szCs w:val="20"/>
              </w:rPr>
              <w:t>50% Inhibitory concentration after 48 h of drug treatment,</w:t>
            </w:r>
            <w:r w:rsidRPr="00566B76">
              <w:rPr>
                <w:bCs/>
                <w:sz w:val="20"/>
                <w:szCs w:val="20"/>
                <w:vertAlign w:val="superscript"/>
              </w:rPr>
              <w:t xml:space="preserve"> </w:t>
            </w:r>
            <w:proofErr w:type="spellStart"/>
            <w:r w:rsidRPr="00566B76">
              <w:rPr>
                <w:bCs/>
                <w:sz w:val="20"/>
                <w:szCs w:val="20"/>
                <w:vertAlign w:val="superscript"/>
              </w:rPr>
              <w:t>a,</w:t>
            </w:r>
            <w:r w:rsidRPr="00566B76">
              <w:rPr>
                <w:bCs/>
                <w:sz w:val="20"/>
                <w:szCs w:val="20"/>
              </w:rPr>
              <w:t>breast</w:t>
            </w:r>
            <w:proofErr w:type="spellEnd"/>
            <w:r w:rsidRPr="00566B76">
              <w:rPr>
                <w:bCs/>
                <w:sz w:val="20"/>
                <w:szCs w:val="20"/>
              </w:rPr>
              <w:t xml:space="preserve"> cancer, </w:t>
            </w:r>
            <w:proofErr w:type="spellStart"/>
            <w:r w:rsidRPr="00566B76">
              <w:rPr>
                <w:bCs/>
                <w:sz w:val="20"/>
                <w:szCs w:val="20"/>
                <w:vertAlign w:val="superscript"/>
              </w:rPr>
              <w:t>b</w:t>
            </w:r>
            <w:r w:rsidRPr="00566B76">
              <w:rPr>
                <w:bCs/>
                <w:sz w:val="20"/>
                <w:szCs w:val="20"/>
              </w:rPr>
              <w:t>lung</w:t>
            </w:r>
            <w:proofErr w:type="spellEnd"/>
            <w:r w:rsidRPr="00566B76">
              <w:rPr>
                <w:bCs/>
                <w:sz w:val="20"/>
                <w:szCs w:val="20"/>
              </w:rPr>
              <w:t xml:space="preserve"> cancer</w:t>
            </w:r>
            <w:r w:rsidRPr="00566B76">
              <w:rPr>
                <w:bCs/>
                <w:sz w:val="20"/>
                <w:szCs w:val="20"/>
                <w:vertAlign w:val="superscript"/>
              </w:rPr>
              <w:t xml:space="preserve"> </w:t>
            </w:r>
            <w:proofErr w:type="spellStart"/>
            <w:r w:rsidRPr="00566B76">
              <w:rPr>
                <w:bCs/>
                <w:sz w:val="20"/>
                <w:szCs w:val="20"/>
                <w:vertAlign w:val="superscript"/>
              </w:rPr>
              <w:t>c</w:t>
            </w:r>
            <w:r w:rsidRPr="00566B76">
              <w:rPr>
                <w:bCs/>
                <w:sz w:val="20"/>
                <w:szCs w:val="20"/>
              </w:rPr>
              <w:t>prostate</w:t>
            </w:r>
            <w:proofErr w:type="spellEnd"/>
            <w:r w:rsidRPr="00566B76">
              <w:rPr>
                <w:bCs/>
                <w:sz w:val="20"/>
                <w:szCs w:val="20"/>
              </w:rPr>
              <w:t xml:space="preserve"> cancer, </w:t>
            </w:r>
            <w:proofErr w:type="spellStart"/>
            <w:r w:rsidRPr="00566B76">
              <w:rPr>
                <w:bCs/>
                <w:sz w:val="20"/>
                <w:szCs w:val="20"/>
                <w:vertAlign w:val="superscript"/>
              </w:rPr>
              <w:t>d</w:t>
            </w:r>
            <w:r w:rsidRPr="00566B76">
              <w:rPr>
                <w:bCs/>
                <w:sz w:val="20"/>
                <w:szCs w:val="20"/>
              </w:rPr>
              <w:t>breast</w:t>
            </w:r>
            <w:proofErr w:type="spellEnd"/>
            <w:r w:rsidRPr="00566B76">
              <w:rPr>
                <w:bCs/>
                <w:sz w:val="20"/>
                <w:szCs w:val="20"/>
              </w:rPr>
              <w:t xml:space="preserve"> cancer</w:t>
            </w:r>
          </w:p>
        </w:tc>
      </w:tr>
    </w:tbl>
    <w:p w14:paraId="15731D1F" w14:textId="77777777" w:rsidR="005742BC" w:rsidRPr="005D3DC0" w:rsidRDefault="005742BC" w:rsidP="005742BC">
      <w:pPr>
        <w:spacing w:before="100" w:beforeAutospacing="1" w:after="100" w:afterAutospacing="1" w:line="360" w:lineRule="auto"/>
        <w:jc w:val="both"/>
      </w:pPr>
      <w:r w:rsidRPr="005D3DC0">
        <w:t xml:space="preserve">In contrast, compounds bearing </w:t>
      </w:r>
      <w:r w:rsidRPr="005D3DC0">
        <w:rPr>
          <w:b/>
          <w:bCs/>
        </w:rPr>
        <w:t>bulky or flexible alkyl substituents</w:t>
      </w:r>
      <w:r w:rsidRPr="005D3DC0">
        <w:t xml:space="preserve">, such as </w:t>
      </w:r>
      <w:r w:rsidRPr="005D3DC0">
        <w:rPr>
          <w:b/>
          <w:bCs/>
        </w:rPr>
        <w:t>5b and 5j</w:t>
      </w:r>
      <w:r w:rsidRPr="005D3DC0">
        <w:t xml:space="preserve">, exhibited reduced potency across most cell lines (IC₅₀ &gt; 30 µM), suggesting that </w:t>
      </w:r>
      <w:r w:rsidRPr="005D3DC0">
        <w:rPr>
          <w:b/>
          <w:bCs/>
        </w:rPr>
        <w:t>excessive steric bulk or conformational flexibility may hinder effective target engagement</w:t>
      </w:r>
      <w:r w:rsidRPr="005D3DC0">
        <w:t>.</w:t>
      </w:r>
    </w:p>
    <w:p w14:paraId="7C30DEE3" w14:textId="77777777" w:rsidR="005742BC" w:rsidRPr="005D3DC0" w:rsidRDefault="005742BC" w:rsidP="005742BC">
      <w:pPr>
        <w:spacing w:before="100" w:beforeAutospacing="1" w:after="100" w:afterAutospacing="1" w:line="360" w:lineRule="auto"/>
        <w:jc w:val="both"/>
      </w:pPr>
      <w:r w:rsidRPr="005D3DC0">
        <w:t xml:space="preserve">Interestingly, </w:t>
      </w:r>
      <w:r w:rsidRPr="005D3DC0">
        <w:rPr>
          <w:b/>
          <w:bCs/>
        </w:rPr>
        <w:t>compound 5n</w:t>
      </w:r>
      <w:r w:rsidRPr="005D3DC0">
        <w:t xml:space="preserve"> displayed </w:t>
      </w:r>
      <w:r w:rsidRPr="005D3DC0">
        <w:rPr>
          <w:b/>
          <w:bCs/>
        </w:rPr>
        <w:t>selective potency toward PC-3 prostate cancer cells (IC₅₀ = 7.6 ± 0.8 µM)</w:t>
      </w:r>
      <w:r w:rsidRPr="005D3DC0">
        <w:t xml:space="preserve">, indicating a possible </w:t>
      </w:r>
      <w:r w:rsidRPr="005D3DC0">
        <w:rPr>
          <w:b/>
          <w:bCs/>
        </w:rPr>
        <w:t>cell-type-specific mechanism</w:t>
      </w:r>
      <w:r w:rsidRPr="005D3DC0">
        <w:t>, potentially involving differential membrane permeability or alternative intracellular targets [25].</w:t>
      </w:r>
    </w:p>
    <w:p w14:paraId="79E3A63E" w14:textId="77777777" w:rsidR="005742BC" w:rsidRPr="005D3DC0" w:rsidRDefault="005742BC" w:rsidP="005742BC">
      <w:pPr>
        <w:spacing w:before="100" w:beforeAutospacing="1" w:after="100" w:afterAutospacing="1" w:line="360" w:lineRule="auto"/>
        <w:jc w:val="both"/>
      </w:pPr>
      <w:r w:rsidRPr="005D3DC0">
        <w:t xml:space="preserve">Overall, the observed activity trends suggest that </w:t>
      </w:r>
      <w:r w:rsidRPr="005D3DC0">
        <w:rPr>
          <w:b/>
          <w:bCs/>
        </w:rPr>
        <w:t>electron-rich aromatic substitutions and balanced lipophilicity enhance antiproliferative activity</w:t>
      </w:r>
      <w:r w:rsidRPr="005D3DC0">
        <w:t>, whereas excessive hydrophobicity or steric hindrance is detrimental.</w:t>
      </w:r>
    </w:p>
    <w:p w14:paraId="2D6D9B6D" w14:textId="77777777" w:rsidR="005742BC" w:rsidRPr="005D3DC0" w:rsidRDefault="005742BC" w:rsidP="005742BC">
      <w:pPr>
        <w:spacing w:before="100" w:beforeAutospacing="1" w:after="100" w:afterAutospacing="1" w:line="360" w:lineRule="auto"/>
        <w:jc w:val="both"/>
        <w:outlineLvl w:val="1"/>
        <w:rPr>
          <w:b/>
          <w:bCs/>
        </w:rPr>
      </w:pPr>
      <w:r w:rsidRPr="005D3DC0">
        <w:rPr>
          <w:b/>
          <w:bCs/>
        </w:rPr>
        <w:t>EGFR Inhibitory Activity and Mechanistic Correlation</w:t>
      </w:r>
    </w:p>
    <w:p w14:paraId="60F064A9" w14:textId="77777777" w:rsidR="005742BC" w:rsidRPr="005D3DC0" w:rsidRDefault="005742BC" w:rsidP="005742BC">
      <w:pPr>
        <w:spacing w:before="100" w:beforeAutospacing="1" w:after="100" w:afterAutospacing="1" w:line="360" w:lineRule="auto"/>
        <w:jc w:val="both"/>
      </w:pPr>
      <w:r w:rsidRPr="005D3DC0">
        <w:t xml:space="preserve">To investigate the potential mechanism underlying the observed cytotoxicity, all compounds were evaluated for their </w:t>
      </w:r>
      <w:r w:rsidRPr="005D3DC0">
        <w:rPr>
          <w:b/>
          <w:bCs/>
        </w:rPr>
        <w:t>EGFR inhibitory activity (Table 3)</w:t>
      </w:r>
      <w:r w:rsidRPr="005D3DC0">
        <w:t>.</w:t>
      </w:r>
    </w:p>
    <w:p w14:paraId="01528CDA" w14:textId="77777777" w:rsidR="005742BC" w:rsidRDefault="005742BC" w:rsidP="005742BC">
      <w:pPr>
        <w:spacing w:before="100" w:beforeAutospacing="1" w:after="100" w:afterAutospacing="1" w:line="360" w:lineRule="auto"/>
        <w:jc w:val="both"/>
      </w:pPr>
      <w:r w:rsidRPr="005D3DC0">
        <w:t xml:space="preserve">Notably, </w:t>
      </w:r>
      <w:r w:rsidRPr="005D3DC0">
        <w:rPr>
          <w:b/>
          <w:bCs/>
        </w:rPr>
        <w:t>compounds 5c, 5f, 5g, and 5n</w:t>
      </w:r>
      <w:r w:rsidRPr="005D3DC0">
        <w:t xml:space="preserve"> exhibited the most promising EGFR inhibition, with IC₅₀ values of </w:t>
      </w:r>
      <w:r w:rsidRPr="005D3DC0">
        <w:rPr>
          <w:b/>
          <w:bCs/>
        </w:rPr>
        <w:t>6.9 ± 0.7 µM, 9.8 ± 0.9 µM, 8.6 ± 0.8 µM, and 11.2 ± 1.0 µM</w:t>
      </w:r>
      <w:r w:rsidRPr="005D3DC0">
        <w:t xml:space="preserve">, respectively. These values correlate well with their cytotoxic profiles, supporting an </w:t>
      </w:r>
      <w:r w:rsidRPr="005D3DC0">
        <w:rPr>
          <w:b/>
          <w:bCs/>
        </w:rPr>
        <w:t>EGFR-mediated mechanism of action</w:t>
      </w:r>
      <w:r w:rsidRPr="005D3DC0">
        <w:t>.</w:t>
      </w:r>
    </w:p>
    <w:p w14:paraId="56F2386C" w14:textId="77777777" w:rsidR="008D708A" w:rsidRPr="00013EB2" w:rsidRDefault="008D708A" w:rsidP="008D708A">
      <w:pPr>
        <w:pStyle w:val="Heading2"/>
        <w:spacing w:line="360" w:lineRule="auto"/>
        <w:jc w:val="both"/>
        <w:rPr>
          <w:rStyle w:val="Strong"/>
          <w:rFonts w:ascii="Times New Roman" w:hAnsi="Times New Roman"/>
          <w:b/>
          <w:bCs/>
          <w:color w:val="auto"/>
          <w:sz w:val="24"/>
          <w:szCs w:val="24"/>
        </w:rPr>
      </w:pPr>
      <w:r>
        <w:rPr>
          <w:rFonts w:ascii="Times New Roman" w:hAnsi="Times New Roman"/>
          <w:color w:val="auto"/>
          <w:sz w:val="24"/>
          <w:szCs w:val="24"/>
        </w:rPr>
        <w:t>Table 3</w:t>
      </w:r>
      <w:r w:rsidR="006603C6">
        <w:rPr>
          <w:rFonts w:ascii="Times New Roman" w:hAnsi="Times New Roman"/>
          <w:color w:val="auto"/>
          <w:sz w:val="24"/>
          <w:szCs w:val="24"/>
        </w:rPr>
        <w:t xml:space="preserve">. </w:t>
      </w:r>
      <w:r>
        <w:rPr>
          <w:rFonts w:ascii="Times New Roman" w:hAnsi="Times New Roman"/>
          <w:color w:val="auto"/>
          <w:sz w:val="24"/>
          <w:szCs w:val="24"/>
        </w:rPr>
        <w:t>EGFR Inhibitory Activity (IC</w:t>
      </w:r>
      <w:r>
        <w:rPr>
          <w:rFonts w:ascii="Times New Roman" w:hAnsi="Times New Roman"/>
          <w:color w:val="auto"/>
          <w:sz w:val="24"/>
          <w:szCs w:val="24"/>
          <w:vertAlign w:val="subscript"/>
        </w:rPr>
        <w:t>50</w:t>
      </w:r>
      <w:r w:rsidRPr="00013EB2">
        <w:rPr>
          <w:rFonts w:ascii="Times New Roman" w:hAnsi="Times New Roman"/>
          <w:color w:val="auto"/>
          <w:sz w:val="24"/>
          <w:szCs w:val="24"/>
        </w:rPr>
        <w:t xml:space="preserve"> ± SD</w:t>
      </w:r>
      <w:r>
        <w:rPr>
          <w:rFonts w:ascii="Times New Roman" w:hAnsi="Times New Roman"/>
          <w:color w:val="auto"/>
          <w:sz w:val="24"/>
          <w:szCs w:val="24"/>
        </w:rPr>
        <w:t>, µM) of Compounds 6a-6g and 7a-</w:t>
      </w:r>
      <w:r w:rsidRPr="00013EB2">
        <w:rPr>
          <w:rFonts w:ascii="Times New Roman" w:hAnsi="Times New Roman"/>
          <w:color w:val="auto"/>
          <w:sz w:val="24"/>
          <w:szCs w:val="24"/>
        </w:rPr>
        <w:t>7h</w:t>
      </w:r>
    </w:p>
    <w:tbl>
      <w:tblPr>
        <w:tblW w:w="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551"/>
      </w:tblGrid>
      <w:tr w:rsidR="008D708A" w:rsidRPr="00566B76" w14:paraId="7E6D7551" w14:textId="77777777" w:rsidTr="008D708A">
        <w:trPr>
          <w:jc w:val="center"/>
        </w:trPr>
        <w:tc>
          <w:tcPr>
            <w:tcW w:w="570" w:type="dxa"/>
            <w:hideMark/>
          </w:tcPr>
          <w:p w14:paraId="256B6E0A" w14:textId="77777777" w:rsidR="008D708A" w:rsidRPr="00074369" w:rsidRDefault="008D708A" w:rsidP="008D708A">
            <w:pPr>
              <w:jc w:val="center"/>
              <w:rPr>
                <w:b/>
                <w:bCs/>
              </w:rPr>
            </w:pPr>
            <w:r w:rsidRPr="00074369">
              <w:rPr>
                <w:b/>
                <w:bCs/>
              </w:rPr>
              <w:t>S. No.</w:t>
            </w:r>
          </w:p>
        </w:tc>
        <w:tc>
          <w:tcPr>
            <w:tcW w:w="1523" w:type="dxa"/>
            <w:hideMark/>
          </w:tcPr>
          <w:p w14:paraId="25693CAB" w14:textId="77777777" w:rsidR="008D708A" w:rsidRPr="00074369" w:rsidRDefault="008D708A" w:rsidP="008D708A">
            <w:pPr>
              <w:jc w:val="center"/>
              <w:rPr>
                <w:b/>
                <w:bCs/>
              </w:rPr>
            </w:pPr>
            <w:r w:rsidRPr="00074369">
              <w:rPr>
                <w:b/>
                <w:bCs/>
              </w:rPr>
              <w:t>Compound</w:t>
            </w:r>
          </w:p>
        </w:tc>
        <w:tc>
          <w:tcPr>
            <w:tcW w:w="2551" w:type="dxa"/>
            <w:hideMark/>
          </w:tcPr>
          <w:p w14:paraId="51492717" w14:textId="77777777" w:rsidR="008D708A" w:rsidRPr="00074369" w:rsidRDefault="008D708A" w:rsidP="008D708A">
            <w:pPr>
              <w:jc w:val="center"/>
              <w:rPr>
                <w:b/>
                <w:bCs/>
              </w:rPr>
            </w:pPr>
            <w:r w:rsidRPr="00566B76">
              <w:rPr>
                <w:b/>
                <w:bCs/>
              </w:rPr>
              <w:t>EGFR IC</w:t>
            </w:r>
            <w:r w:rsidRPr="00566B76">
              <w:rPr>
                <w:b/>
                <w:bCs/>
                <w:vertAlign w:val="subscript"/>
              </w:rPr>
              <w:t>50</w:t>
            </w:r>
            <w:r w:rsidRPr="00074369">
              <w:rPr>
                <w:b/>
                <w:bCs/>
              </w:rPr>
              <w:t xml:space="preserve"> (µM) ± SD</w:t>
            </w:r>
          </w:p>
        </w:tc>
      </w:tr>
      <w:tr w:rsidR="008D708A" w:rsidRPr="00566B76" w14:paraId="5A791E2F" w14:textId="77777777" w:rsidTr="008D708A">
        <w:trPr>
          <w:jc w:val="center"/>
        </w:trPr>
        <w:tc>
          <w:tcPr>
            <w:tcW w:w="570" w:type="dxa"/>
            <w:hideMark/>
          </w:tcPr>
          <w:p w14:paraId="483AAE12" w14:textId="77777777" w:rsidR="008D708A" w:rsidRPr="00074369" w:rsidRDefault="008D708A" w:rsidP="008D708A">
            <w:r w:rsidRPr="00074369">
              <w:t>1</w:t>
            </w:r>
          </w:p>
        </w:tc>
        <w:tc>
          <w:tcPr>
            <w:tcW w:w="1523" w:type="dxa"/>
            <w:hideMark/>
          </w:tcPr>
          <w:p w14:paraId="0E34B5F1" w14:textId="77777777" w:rsidR="008D708A" w:rsidRPr="00510EFB" w:rsidRDefault="008D708A" w:rsidP="008D708A">
            <w:r>
              <w:rPr>
                <w:b/>
                <w:bCs/>
              </w:rPr>
              <w:t>5</w:t>
            </w:r>
            <w:r w:rsidRPr="00566B76">
              <w:rPr>
                <w:b/>
                <w:bCs/>
              </w:rPr>
              <w:t>a</w:t>
            </w:r>
          </w:p>
        </w:tc>
        <w:tc>
          <w:tcPr>
            <w:tcW w:w="2551" w:type="dxa"/>
            <w:hideMark/>
          </w:tcPr>
          <w:p w14:paraId="1734AA62" w14:textId="77777777" w:rsidR="008D708A" w:rsidRPr="00074369" w:rsidRDefault="008D708A" w:rsidP="008D708A">
            <w:r w:rsidRPr="00074369">
              <w:t>24.6 ± 1.9</w:t>
            </w:r>
          </w:p>
        </w:tc>
      </w:tr>
      <w:tr w:rsidR="008D708A" w:rsidRPr="00566B76" w14:paraId="65DC19F2" w14:textId="77777777" w:rsidTr="008D708A">
        <w:trPr>
          <w:jc w:val="center"/>
        </w:trPr>
        <w:tc>
          <w:tcPr>
            <w:tcW w:w="570" w:type="dxa"/>
            <w:hideMark/>
          </w:tcPr>
          <w:p w14:paraId="7387CDD5" w14:textId="77777777" w:rsidR="008D708A" w:rsidRPr="00074369" w:rsidRDefault="008D708A" w:rsidP="008D708A">
            <w:r w:rsidRPr="00074369">
              <w:t>2</w:t>
            </w:r>
          </w:p>
        </w:tc>
        <w:tc>
          <w:tcPr>
            <w:tcW w:w="1523" w:type="dxa"/>
            <w:hideMark/>
          </w:tcPr>
          <w:p w14:paraId="3BF05FA3" w14:textId="77777777" w:rsidR="008D708A" w:rsidRPr="00510EFB" w:rsidRDefault="008D708A" w:rsidP="008D708A">
            <w:r>
              <w:rPr>
                <w:b/>
                <w:bCs/>
              </w:rPr>
              <w:t>5</w:t>
            </w:r>
            <w:r w:rsidRPr="00566B76">
              <w:rPr>
                <w:b/>
                <w:bCs/>
              </w:rPr>
              <w:t>b</w:t>
            </w:r>
          </w:p>
        </w:tc>
        <w:tc>
          <w:tcPr>
            <w:tcW w:w="2551" w:type="dxa"/>
            <w:hideMark/>
          </w:tcPr>
          <w:p w14:paraId="0F91C26A" w14:textId="77777777" w:rsidR="008D708A" w:rsidRPr="00074369" w:rsidRDefault="008D708A" w:rsidP="008D708A">
            <w:r w:rsidRPr="00074369">
              <w:t>31.8 ± 2.4</w:t>
            </w:r>
          </w:p>
        </w:tc>
      </w:tr>
      <w:tr w:rsidR="008D708A" w:rsidRPr="00566B76" w14:paraId="627BA395" w14:textId="77777777" w:rsidTr="008D708A">
        <w:trPr>
          <w:jc w:val="center"/>
        </w:trPr>
        <w:tc>
          <w:tcPr>
            <w:tcW w:w="570" w:type="dxa"/>
            <w:hideMark/>
          </w:tcPr>
          <w:p w14:paraId="47DC5705" w14:textId="77777777" w:rsidR="008D708A" w:rsidRPr="00074369" w:rsidRDefault="008D708A" w:rsidP="008D708A">
            <w:r w:rsidRPr="00074369">
              <w:t>3</w:t>
            </w:r>
          </w:p>
        </w:tc>
        <w:tc>
          <w:tcPr>
            <w:tcW w:w="1523" w:type="dxa"/>
            <w:hideMark/>
          </w:tcPr>
          <w:p w14:paraId="6B032930" w14:textId="77777777" w:rsidR="008D708A" w:rsidRPr="00510EFB" w:rsidRDefault="008D708A" w:rsidP="008D708A">
            <w:r>
              <w:rPr>
                <w:b/>
                <w:bCs/>
              </w:rPr>
              <w:t>5</w:t>
            </w:r>
            <w:r w:rsidRPr="00566B76">
              <w:rPr>
                <w:b/>
                <w:bCs/>
              </w:rPr>
              <w:t>c</w:t>
            </w:r>
          </w:p>
        </w:tc>
        <w:tc>
          <w:tcPr>
            <w:tcW w:w="2551" w:type="dxa"/>
            <w:hideMark/>
          </w:tcPr>
          <w:p w14:paraId="7350167D" w14:textId="77777777" w:rsidR="008D708A" w:rsidRPr="00074369" w:rsidRDefault="008D708A" w:rsidP="008D708A">
            <w:r w:rsidRPr="00566B76">
              <w:rPr>
                <w:b/>
                <w:bCs/>
              </w:rPr>
              <w:t>6.9 ± 0.7</w:t>
            </w:r>
          </w:p>
        </w:tc>
      </w:tr>
      <w:tr w:rsidR="008D708A" w:rsidRPr="00566B76" w14:paraId="6FB9FC97" w14:textId="77777777" w:rsidTr="008D708A">
        <w:trPr>
          <w:jc w:val="center"/>
        </w:trPr>
        <w:tc>
          <w:tcPr>
            <w:tcW w:w="570" w:type="dxa"/>
            <w:hideMark/>
          </w:tcPr>
          <w:p w14:paraId="3C3F73CE" w14:textId="77777777" w:rsidR="008D708A" w:rsidRPr="00074369" w:rsidRDefault="008D708A" w:rsidP="008D708A">
            <w:r w:rsidRPr="00074369">
              <w:t>4</w:t>
            </w:r>
          </w:p>
        </w:tc>
        <w:tc>
          <w:tcPr>
            <w:tcW w:w="1523" w:type="dxa"/>
            <w:hideMark/>
          </w:tcPr>
          <w:p w14:paraId="694A7628" w14:textId="77777777" w:rsidR="008D708A" w:rsidRPr="00510EFB" w:rsidRDefault="008D708A" w:rsidP="008D708A">
            <w:r>
              <w:rPr>
                <w:b/>
                <w:bCs/>
              </w:rPr>
              <w:t>5</w:t>
            </w:r>
            <w:r w:rsidRPr="00566B76">
              <w:rPr>
                <w:b/>
                <w:bCs/>
              </w:rPr>
              <w:t>d</w:t>
            </w:r>
          </w:p>
        </w:tc>
        <w:tc>
          <w:tcPr>
            <w:tcW w:w="2551" w:type="dxa"/>
            <w:hideMark/>
          </w:tcPr>
          <w:p w14:paraId="68A3D1F1" w14:textId="77777777" w:rsidR="008D708A" w:rsidRPr="00074369" w:rsidRDefault="008D708A" w:rsidP="008D708A">
            <w:r w:rsidRPr="00074369">
              <w:t>18.2 ± 1.6</w:t>
            </w:r>
          </w:p>
        </w:tc>
      </w:tr>
      <w:tr w:rsidR="008D708A" w:rsidRPr="00566B76" w14:paraId="0BB2266B" w14:textId="77777777" w:rsidTr="008D708A">
        <w:trPr>
          <w:jc w:val="center"/>
        </w:trPr>
        <w:tc>
          <w:tcPr>
            <w:tcW w:w="570" w:type="dxa"/>
            <w:hideMark/>
          </w:tcPr>
          <w:p w14:paraId="4D1C183A" w14:textId="77777777" w:rsidR="008D708A" w:rsidRPr="00074369" w:rsidRDefault="008D708A" w:rsidP="008D708A">
            <w:r w:rsidRPr="00074369">
              <w:t>5</w:t>
            </w:r>
          </w:p>
        </w:tc>
        <w:tc>
          <w:tcPr>
            <w:tcW w:w="1523" w:type="dxa"/>
            <w:hideMark/>
          </w:tcPr>
          <w:p w14:paraId="49DA4E26" w14:textId="77777777" w:rsidR="008D708A" w:rsidRPr="00510EFB" w:rsidRDefault="008D708A" w:rsidP="008D708A">
            <w:r>
              <w:rPr>
                <w:b/>
                <w:bCs/>
              </w:rPr>
              <w:t>5</w:t>
            </w:r>
            <w:r w:rsidRPr="00566B76">
              <w:rPr>
                <w:b/>
                <w:bCs/>
              </w:rPr>
              <w:t>e</w:t>
            </w:r>
          </w:p>
        </w:tc>
        <w:tc>
          <w:tcPr>
            <w:tcW w:w="2551" w:type="dxa"/>
            <w:hideMark/>
          </w:tcPr>
          <w:p w14:paraId="56F4E2EB" w14:textId="77777777" w:rsidR="008D708A" w:rsidRPr="00074369" w:rsidRDefault="008D708A" w:rsidP="008D708A">
            <w:r w:rsidRPr="00074369">
              <w:t>21.4 ± 1.8</w:t>
            </w:r>
          </w:p>
        </w:tc>
      </w:tr>
      <w:tr w:rsidR="008D708A" w:rsidRPr="00566B76" w14:paraId="45B6782B" w14:textId="77777777" w:rsidTr="008D708A">
        <w:trPr>
          <w:jc w:val="center"/>
        </w:trPr>
        <w:tc>
          <w:tcPr>
            <w:tcW w:w="570" w:type="dxa"/>
            <w:hideMark/>
          </w:tcPr>
          <w:p w14:paraId="4C789091" w14:textId="77777777" w:rsidR="008D708A" w:rsidRPr="00074369" w:rsidRDefault="008D708A" w:rsidP="008D708A">
            <w:r w:rsidRPr="00074369">
              <w:t>6</w:t>
            </w:r>
          </w:p>
        </w:tc>
        <w:tc>
          <w:tcPr>
            <w:tcW w:w="1523" w:type="dxa"/>
            <w:hideMark/>
          </w:tcPr>
          <w:p w14:paraId="484EDF45" w14:textId="77777777" w:rsidR="008D708A" w:rsidRPr="00510EFB" w:rsidRDefault="008D708A" w:rsidP="008D708A">
            <w:r>
              <w:rPr>
                <w:b/>
                <w:bCs/>
              </w:rPr>
              <w:t>5</w:t>
            </w:r>
            <w:r w:rsidRPr="00566B76">
              <w:rPr>
                <w:b/>
                <w:bCs/>
              </w:rPr>
              <w:t>f</w:t>
            </w:r>
          </w:p>
        </w:tc>
        <w:tc>
          <w:tcPr>
            <w:tcW w:w="2551" w:type="dxa"/>
            <w:hideMark/>
          </w:tcPr>
          <w:p w14:paraId="14D836AE" w14:textId="77777777" w:rsidR="008D708A" w:rsidRPr="00074369" w:rsidRDefault="008D708A" w:rsidP="008D708A">
            <w:r w:rsidRPr="00566B76">
              <w:rPr>
                <w:b/>
                <w:bCs/>
              </w:rPr>
              <w:t>9.8 ± 0.9</w:t>
            </w:r>
          </w:p>
        </w:tc>
      </w:tr>
      <w:tr w:rsidR="008D708A" w:rsidRPr="00566B76" w14:paraId="161A0E54" w14:textId="77777777" w:rsidTr="008D708A">
        <w:trPr>
          <w:jc w:val="center"/>
        </w:trPr>
        <w:tc>
          <w:tcPr>
            <w:tcW w:w="570" w:type="dxa"/>
            <w:hideMark/>
          </w:tcPr>
          <w:p w14:paraId="042CE3FD" w14:textId="77777777" w:rsidR="008D708A" w:rsidRPr="00074369" w:rsidRDefault="008D708A" w:rsidP="008D708A">
            <w:r w:rsidRPr="00074369">
              <w:t>7</w:t>
            </w:r>
          </w:p>
        </w:tc>
        <w:tc>
          <w:tcPr>
            <w:tcW w:w="1523" w:type="dxa"/>
            <w:hideMark/>
          </w:tcPr>
          <w:p w14:paraId="493316A2" w14:textId="77777777" w:rsidR="008D708A" w:rsidRPr="00510EFB" w:rsidRDefault="008D708A" w:rsidP="008D708A">
            <w:r>
              <w:rPr>
                <w:b/>
                <w:bCs/>
              </w:rPr>
              <w:t>5</w:t>
            </w:r>
            <w:r w:rsidRPr="00566B76">
              <w:rPr>
                <w:b/>
                <w:bCs/>
              </w:rPr>
              <w:t>g</w:t>
            </w:r>
          </w:p>
        </w:tc>
        <w:tc>
          <w:tcPr>
            <w:tcW w:w="2551" w:type="dxa"/>
            <w:hideMark/>
          </w:tcPr>
          <w:p w14:paraId="47F827C2" w14:textId="77777777" w:rsidR="008D708A" w:rsidRPr="00074369" w:rsidRDefault="008D708A" w:rsidP="008D708A">
            <w:r w:rsidRPr="00566B76">
              <w:rPr>
                <w:b/>
                <w:bCs/>
              </w:rPr>
              <w:t>8.6 ± 0.8</w:t>
            </w:r>
          </w:p>
        </w:tc>
      </w:tr>
      <w:tr w:rsidR="008D708A" w:rsidRPr="00566B76" w14:paraId="3A3E0603" w14:textId="77777777" w:rsidTr="008D708A">
        <w:trPr>
          <w:jc w:val="center"/>
        </w:trPr>
        <w:tc>
          <w:tcPr>
            <w:tcW w:w="570" w:type="dxa"/>
            <w:hideMark/>
          </w:tcPr>
          <w:p w14:paraId="00A45F9F" w14:textId="77777777" w:rsidR="008D708A" w:rsidRPr="00074369" w:rsidRDefault="008D708A" w:rsidP="008D708A">
            <w:r w:rsidRPr="00074369">
              <w:t>8</w:t>
            </w:r>
          </w:p>
        </w:tc>
        <w:tc>
          <w:tcPr>
            <w:tcW w:w="1523" w:type="dxa"/>
            <w:hideMark/>
          </w:tcPr>
          <w:p w14:paraId="3CF50598" w14:textId="77777777" w:rsidR="008D708A" w:rsidRPr="00510EFB" w:rsidRDefault="008D708A" w:rsidP="008D708A">
            <w:r>
              <w:rPr>
                <w:b/>
                <w:bCs/>
              </w:rPr>
              <w:t>5</w:t>
            </w:r>
            <w:r w:rsidRPr="00566B76">
              <w:rPr>
                <w:b/>
                <w:bCs/>
              </w:rPr>
              <w:t>h</w:t>
            </w:r>
          </w:p>
        </w:tc>
        <w:tc>
          <w:tcPr>
            <w:tcW w:w="2551" w:type="dxa"/>
            <w:hideMark/>
          </w:tcPr>
          <w:p w14:paraId="1EE45FDB" w14:textId="77777777" w:rsidR="008D708A" w:rsidRPr="00074369" w:rsidRDefault="008D708A" w:rsidP="008D708A">
            <w:r w:rsidRPr="00074369">
              <w:t>26.9 ± 2.1</w:t>
            </w:r>
          </w:p>
        </w:tc>
      </w:tr>
      <w:tr w:rsidR="008D708A" w:rsidRPr="00566B76" w14:paraId="4CE385D3" w14:textId="77777777" w:rsidTr="008D708A">
        <w:trPr>
          <w:jc w:val="center"/>
        </w:trPr>
        <w:tc>
          <w:tcPr>
            <w:tcW w:w="570" w:type="dxa"/>
            <w:hideMark/>
          </w:tcPr>
          <w:p w14:paraId="7879766E" w14:textId="77777777" w:rsidR="008D708A" w:rsidRPr="00074369" w:rsidRDefault="008D708A" w:rsidP="008D708A">
            <w:r w:rsidRPr="00074369">
              <w:t>9</w:t>
            </w:r>
          </w:p>
        </w:tc>
        <w:tc>
          <w:tcPr>
            <w:tcW w:w="1523" w:type="dxa"/>
            <w:hideMark/>
          </w:tcPr>
          <w:p w14:paraId="66C155E4" w14:textId="77777777" w:rsidR="008D708A" w:rsidRPr="00510EFB" w:rsidRDefault="008D708A" w:rsidP="008D708A">
            <w:r>
              <w:rPr>
                <w:b/>
                <w:bCs/>
              </w:rPr>
              <w:t>5i</w:t>
            </w:r>
          </w:p>
        </w:tc>
        <w:tc>
          <w:tcPr>
            <w:tcW w:w="2551" w:type="dxa"/>
            <w:hideMark/>
          </w:tcPr>
          <w:p w14:paraId="2208F674" w14:textId="77777777" w:rsidR="008D708A" w:rsidRPr="00074369" w:rsidRDefault="008D708A" w:rsidP="008D708A">
            <w:r w:rsidRPr="00074369">
              <w:t>22.7 ± 1.9</w:t>
            </w:r>
          </w:p>
        </w:tc>
      </w:tr>
      <w:tr w:rsidR="008D708A" w:rsidRPr="00566B76" w14:paraId="46F6B35B" w14:textId="77777777" w:rsidTr="008D708A">
        <w:trPr>
          <w:jc w:val="center"/>
        </w:trPr>
        <w:tc>
          <w:tcPr>
            <w:tcW w:w="570" w:type="dxa"/>
            <w:hideMark/>
          </w:tcPr>
          <w:p w14:paraId="4F91C6A5" w14:textId="77777777" w:rsidR="008D708A" w:rsidRPr="00074369" w:rsidRDefault="008D708A" w:rsidP="008D708A">
            <w:r w:rsidRPr="00074369">
              <w:t>10</w:t>
            </w:r>
          </w:p>
        </w:tc>
        <w:tc>
          <w:tcPr>
            <w:tcW w:w="1523" w:type="dxa"/>
            <w:hideMark/>
          </w:tcPr>
          <w:p w14:paraId="267E7D5D" w14:textId="77777777" w:rsidR="008D708A" w:rsidRPr="00510EFB" w:rsidRDefault="008D708A" w:rsidP="008D708A">
            <w:r>
              <w:rPr>
                <w:b/>
                <w:bCs/>
              </w:rPr>
              <w:t>5j</w:t>
            </w:r>
          </w:p>
        </w:tc>
        <w:tc>
          <w:tcPr>
            <w:tcW w:w="2551" w:type="dxa"/>
            <w:hideMark/>
          </w:tcPr>
          <w:p w14:paraId="5D9C0EF5" w14:textId="77777777" w:rsidR="008D708A" w:rsidRPr="00074369" w:rsidRDefault="008D708A" w:rsidP="008D708A">
            <w:r w:rsidRPr="00074369">
              <w:t>34.2 ± 2.6</w:t>
            </w:r>
          </w:p>
        </w:tc>
      </w:tr>
      <w:tr w:rsidR="008D708A" w:rsidRPr="00566B76" w14:paraId="26BFF721" w14:textId="77777777" w:rsidTr="008D708A">
        <w:trPr>
          <w:jc w:val="center"/>
        </w:trPr>
        <w:tc>
          <w:tcPr>
            <w:tcW w:w="570" w:type="dxa"/>
            <w:hideMark/>
          </w:tcPr>
          <w:p w14:paraId="014B888C" w14:textId="77777777" w:rsidR="008D708A" w:rsidRPr="00074369" w:rsidRDefault="008D708A" w:rsidP="008D708A">
            <w:r w:rsidRPr="00074369">
              <w:t>11</w:t>
            </w:r>
          </w:p>
        </w:tc>
        <w:tc>
          <w:tcPr>
            <w:tcW w:w="1523" w:type="dxa"/>
            <w:hideMark/>
          </w:tcPr>
          <w:p w14:paraId="49C21835" w14:textId="77777777" w:rsidR="008D708A" w:rsidRPr="00510EFB" w:rsidRDefault="008D708A" w:rsidP="008D708A">
            <w:r>
              <w:rPr>
                <w:b/>
                <w:bCs/>
              </w:rPr>
              <w:t>5k</w:t>
            </w:r>
          </w:p>
        </w:tc>
        <w:tc>
          <w:tcPr>
            <w:tcW w:w="2551" w:type="dxa"/>
            <w:hideMark/>
          </w:tcPr>
          <w:p w14:paraId="36278FAF" w14:textId="77777777" w:rsidR="008D708A" w:rsidRPr="00074369" w:rsidRDefault="008D708A" w:rsidP="008D708A">
            <w:r w:rsidRPr="00074369">
              <w:t>29.5 ± 2.3</w:t>
            </w:r>
          </w:p>
        </w:tc>
      </w:tr>
      <w:tr w:rsidR="008D708A" w:rsidRPr="00566B76" w14:paraId="2FC291F7" w14:textId="77777777" w:rsidTr="008D708A">
        <w:trPr>
          <w:jc w:val="center"/>
        </w:trPr>
        <w:tc>
          <w:tcPr>
            <w:tcW w:w="570" w:type="dxa"/>
            <w:hideMark/>
          </w:tcPr>
          <w:p w14:paraId="2D787C90" w14:textId="77777777" w:rsidR="008D708A" w:rsidRPr="00074369" w:rsidRDefault="008D708A" w:rsidP="008D708A">
            <w:r w:rsidRPr="00074369">
              <w:lastRenderedPageBreak/>
              <w:t>12</w:t>
            </w:r>
          </w:p>
        </w:tc>
        <w:tc>
          <w:tcPr>
            <w:tcW w:w="1523" w:type="dxa"/>
            <w:hideMark/>
          </w:tcPr>
          <w:p w14:paraId="024F7669" w14:textId="77777777" w:rsidR="008D708A" w:rsidRPr="00510EFB" w:rsidRDefault="008D708A" w:rsidP="008D708A">
            <w:r>
              <w:rPr>
                <w:b/>
                <w:bCs/>
              </w:rPr>
              <w:t>5l</w:t>
            </w:r>
          </w:p>
        </w:tc>
        <w:tc>
          <w:tcPr>
            <w:tcW w:w="2551" w:type="dxa"/>
            <w:hideMark/>
          </w:tcPr>
          <w:p w14:paraId="3D7E424E" w14:textId="77777777" w:rsidR="008D708A" w:rsidRPr="00074369" w:rsidRDefault="008D708A" w:rsidP="008D708A">
            <w:r w:rsidRPr="00074369">
              <w:t>17.6 ± 1.5</w:t>
            </w:r>
          </w:p>
        </w:tc>
      </w:tr>
      <w:tr w:rsidR="008D708A" w:rsidRPr="00566B76" w14:paraId="6D8F4C94" w14:textId="77777777" w:rsidTr="008D708A">
        <w:trPr>
          <w:jc w:val="center"/>
        </w:trPr>
        <w:tc>
          <w:tcPr>
            <w:tcW w:w="570" w:type="dxa"/>
            <w:hideMark/>
          </w:tcPr>
          <w:p w14:paraId="5666833A" w14:textId="77777777" w:rsidR="008D708A" w:rsidRPr="00074369" w:rsidRDefault="008D708A" w:rsidP="008D708A">
            <w:r w:rsidRPr="00074369">
              <w:t>13</w:t>
            </w:r>
          </w:p>
        </w:tc>
        <w:tc>
          <w:tcPr>
            <w:tcW w:w="1523" w:type="dxa"/>
            <w:hideMark/>
          </w:tcPr>
          <w:p w14:paraId="35C52163" w14:textId="77777777" w:rsidR="008D708A" w:rsidRPr="00510EFB" w:rsidRDefault="008D708A" w:rsidP="008D708A">
            <w:r>
              <w:rPr>
                <w:b/>
                <w:bCs/>
              </w:rPr>
              <w:t>5m</w:t>
            </w:r>
          </w:p>
        </w:tc>
        <w:tc>
          <w:tcPr>
            <w:tcW w:w="2551" w:type="dxa"/>
            <w:hideMark/>
          </w:tcPr>
          <w:p w14:paraId="669E9A38" w14:textId="77777777" w:rsidR="008D708A" w:rsidRPr="00074369" w:rsidRDefault="008D708A" w:rsidP="008D708A">
            <w:r w:rsidRPr="00074369">
              <w:t>25.8 ± 2.0</w:t>
            </w:r>
          </w:p>
        </w:tc>
      </w:tr>
      <w:tr w:rsidR="008D708A" w:rsidRPr="00566B76" w14:paraId="7262D0CE" w14:textId="77777777" w:rsidTr="008D708A">
        <w:trPr>
          <w:jc w:val="center"/>
        </w:trPr>
        <w:tc>
          <w:tcPr>
            <w:tcW w:w="570" w:type="dxa"/>
            <w:hideMark/>
          </w:tcPr>
          <w:p w14:paraId="2D79BBBC" w14:textId="77777777" w:rsidR="008D708A" w:rsidRPr="00074369" w:rsidRDefault="008D708A" w:rsidP="008D708A">
            <w:r w:rsidRPr="00074369">
              <w:t>14</w:t>
            </w:r>
          </w:p>
        </w:tc>
        <w:tc>
          <w:tcPr>
            <w:tcW w:w="1523" w:type="dxa"/>
            <w:hideMark/>
          </w:tcPr>
          <w:p w14:paraId="3223D96A" w14:textId="77777777" w:rsidR="008D708A" w:rsidRPr="00510EFB" w:rsidRDefault="008D708A" w:rsidP="008D708A">
            <w:r>
              <w:rPr>
                <w:b/>
                <w:bCs/>
              </w:rPr>
              <w:t>5n</w:t>
            </w:r>
          </w:p>
        </w:tc>
        <w:tc>
          <w:tcPr>
            <w:tcW w:w="2551" w:type="dxa"/>
            <w:hideMark/>
          </w:tcPr>
          <w:p w14:paraId="2458813D" w14:textId="77777777" w:rsidR="008D708A" w:rsidRPr="00074369" w:rsidRDefault="008D708A" w:rsidP="008D708A">
            <w:r w:rsidRPr="00566B76">
              <w:rPr>
                <w:b/>
                <w:bCs/>
              </w:rPr>
              <w:t>11.2 ± 1.0</w:t>
            </w:r>
          </w:p>
        </w:tc>
      </w:tr>
      <w:tr w:rsidR="008D708A" w:rsidRPr="00566B76" w14:paraId="00408373" w14:textId="77777777" w:rsidTr="008D708A">
        <w:trPr>
          <w:jc w:val="center"/>
        </w:trPr>
        <w:tc>
          <w:tcPr>
            <w:tcW w:w="570" w:type="dxa"/>
            <w:hideMark/>
          </w:tcPr>
          <w:p w14:paraId="53F17242" w14:textId="77777777" w:rsidR="008D708A" w:rsidRPr="00074369" w:rsidRDefault="008D708A" w:rsidP="008D708A">
            <w:r w:rsidRPr="00074369">
              <w:t>15</w:t>
            </w:r>
          </w:p>
        </w:tc>
        <w:tc>
          <w:tcPr>
            <w:tcW w:w="1523" w:type="dxa"/>
            <w:hideMark/>
          </w:tcPr>
          <w:p w14:paraId="70B93EE4" w14:textId="77777777" w:rsidR="008D708A" w:rsidRPr="00510EFB" w:rsidRDefault="008D708A" w:rsidP="008D708A">
            <w:r>
              <w:rPr>
                <w:b/>
                <w:bCs/>
              </w:rPr>
              <w:t>5o</w:t>
            </w:r>
          </w:p>
        </w:tc>
        <w:tc>
          <w:tcPr>
            <w:tcW w:w="2551" w:type="dxa"/>
            <w:hideMark/>
          </w:tcPr>
          <w:p w14:paraId="0DAEA6C5" w14:textId="77777777" w:rsidR="008D708A" w:rsidRPr="00074369" w:rsidRDefault="008D708A" w:rsidP="008D708A">
            <w:r w:rsidRPr="00074369">
              <w:t>28.9 ± 2.4</w:t>
            </w:r>
          </w:p>
        </w:tc>
      </w:tr>
      <w:tr w:rsidR="008D708A" w:rsidRPr="00566B76" w14:paraId="7E378122" w14:textId="77777777" w:rsidTr="008D708A">
        <w:trPr>
          <w:jc w:val="center"/>
        </w:trPr>
        <w:tc>
          <w:tcPr>
            <w:tcW w:w="570" w:type="dxa"/>
            <w:hideMark/>
          </w:tcPr>
          <w:p w14:paraId="45FF88E0" w14:textId="77777777" w:rsidR="008D708A" w:rsidRPr="00074369" w:rsidRDefault="008D708A" w:rsidP="008D708A">
            <w:r w:rsidRPr="00074369">
              <w:t>16</w:t>
            </w:r>
          </w:p>
        </w:tc>
        <w:tc>
          <w:tcPr>
            <w:tcW w:w="1523" w:type="dxa"/>
            <w:hideMark/>
          </w:tcPr>
          <w:p w14:paraId="7732D8C2" w14:textId="77777777" w:rsidR="008D708A" w:rsidRPr="00074369" w:rsidRDefault="008D708A" w:rsidP="008D708A">
            <w:r w:rsidRPr="00566B76">
              <w:rPr>
                <w:b/>
                <w:bCs/>
              </w:rPr>
              <w:t>Erlotinib</w:t>
            </w:r>
          </w:p>
        </w:tc>
        <w:tc>
          <w:tcPr>
            <w:tcW w:w="2551" w:type="dxa"/>
            <w:hideMark/>
          </w:tcPr>
          <w:p w14:paraId="74B27B77" w14:textId="77777777" w:rsidR="008D708A" w:rsidRPr="00074369" w:rsidRDefault="008D708A" w:rsidP="008D708A">
            <w:r w:rsidRPr="00074369">
              <w:t>0.08 ± 0.01</w:t>
            </w:r>
          </w:p>
        </w:tc>
      </w:tr>
    </w:tbl>
    <w:p w14:paraId="3261EDC3" w14:textId="77777777" w:rsidR="005742BC" w:rsidRPr="005D3DC0" w:rsidRDefault="005742BC" w:rsidP="005742BC">
      <w:pPr>
        <w:spacing w:before="100" w:beforeAutospacing="1" w:after="100" w:afterAutospacing="1" w:line="360" w:lineRule="auto"/>
        <w:jc w:val="both"/>
      </w:pPr>
      <w:r w:rsidRPr="005D3DC0">
        <w:t>From a structural perspective, these compounds likely benefit from:</w:t>
      </w:r>
    </w:p>
    <w:p w14:paraId="71EB27C8" w14:textId="77777777" w:rsidR="005742BC" w:rsidRPr="005D3DC0" w:rsidRDefault="005742BC" w:rsidP="005742BC">
      <w:pPr>
        <w:numPr>
          <w:ilvl w:val="0"/>
          <w:numId w:val="16"/>
        </w:numPr>
        <w:spacing w:before="100" w:beforeAutospacing="1" w:after="100" w:afterAutospacing="1" w:line="360" w:lineRule="auto"/>
        <w:jc w:val="both"/>
      </w:pPr>
      <w:r w:rsidRPr="005D3DC0">
        <w:rPr>
          <w:b/>
          <w:bCs/>
        </w:rPr>
        <w:t>Effectiv</w:t>
      </w:r>
      <w:r w:rsidR="008D708A">
        <w:rPr>
          <w:b/>
          <w:bCs/>
        </w:rPr>
        <w:t>e π-</w:t>
      </w:r>
      <w:r w:rsidRPr="005D3DC0">
        <w:rPr>
          <w:b/>
          <w:bCs/>
        </w:rPr>
        <w:t>π stacking interactions</w:t>
      </w:r>
      <w:r w:rsidRPr="005D3DC0">
        <w:t xml:space="preserve"> with the EGFR hinge region </w:t>
      </w:r>
    </w:p>
    <w:p w14:paraId="65620A9B" w14:textId="77777777" w:rsidR="005742BC" w:rsidRPr="005D3DC0" w:rsidRDefault="005742BC" w:rsidP="005742BC">
      <w:pPr>
        <w:numPr>
          <w:ilvl w:val="0"/>
          <w:numId w:val="16"/>
        </w:numPr>
        <w:spacing w:before="100" w:beforeAutospacing="1" w:after="100" w:afterAutospacing="1" w:line="360" w:lineRule="auto"/>
        <w:jc w:val="both"/>
      </w:pPr>
      <w:r w:rsidRPr="005D3DC0">
        <w:rPr>
          <w:b/>
          <w:bCs/>
        </w:rPr>
        <w:t>Hydrogen bonding between TZD carbonyl groups and key residues (e.g., Met793)</w:t>
      </w:r>
      <w:r w:rsidRPr="005D3DC0">
        <w:t xml:space="preserve"> </w:t>
      </w:r>
    </w:p>
    <w:p w14:paraId="7D3DCC53" w14:textId="77777777" w:rsidR="005742BC" w:rsidRPr="005D3DC0" w:rsidRDefault="005742BC" w:rsidP="005742BC">
      <w:pPr>
        <w:numPr>
          <w:ilvl w:val="0"/>
          <w:numId w:val="16"/>
        </w:numPr>
        <w:spacing w:before="100" w:beforeAutospacing="1" w:after="100" w:afterAutospacing="1" w:line="360" w:lineRule="auto"/>
        <w:jc w:val="both"/>
      </w:pPr>
      <w:r w:rsidRPr="005D3DC0">
        <w:rPr>
          <w:b/>
          <w:bCs/>
        </w:rPr>
        <w:t>Optimized molecular flexibility for ATP-binding site accommodation</w:t>
      </w:r>
      <w:r w:rsidRPr="005D3DC0">
        <w:t xml:space="preserve"> </w:t>
      </w:r>
    </w:p>
    <w:p w14:paraId="46D47B32" w14:textId="77777777" w:rsidR="005742BC" w:rsidRPr="005D3DC0" w:rsidRDefault="005742BC" w:rsidP="005742BC">
      <w:pPr>
        <w:spacing w:before="100" w:beforeAutospacing="1" w:after="100" w:afterAutospacing="1" w:line="360" w:lineRule="auto"/>
        <w:jc w:val="both"/>
      </w:pPr>
      <w:r w:rsidRPr="005D3DC0">
        <w:t>Such interactions are well documented in EGFR inhibitor design and are critical for achieving potent kinase inhibition [26,27].</w:t>
      </w:r>
    </w:p>
    <w:p w14:paraId="60870E7F" w14:textId="77777777" w:rsidR="005742BC" w:rsidRDefault="005742BC" w:rsidP="005742BC">
      <w:pPr>
        <w:spacing w:before="100" w:beforeAutospacing="1" w:after="100" w:afterAutospacing="1" w:line="360" w:lineRule="auto"/>
        <w:jc w:val="both"/>
      </w:pPr>
      <w:r w:rsidRPr="005D3DC0">
        <w:t xml:space="preserve">Conversely, compounds such as </w:t>
      </w:r>
      <w:r w:rsidRPr="005D3DC0">
        <w:rPr>
          <w:b/>
          <w:bCs/>
        </w:rPr>
        <w:t>5b, 5j, and 5o</w:t>
      </w:r>
      <w:r w:rsidRPr="005D3DC0">
        <w:t>, which showed weaker EGFR inhibition (IC₅₀ &gt; 28 µM), also exhibited poor cytotoxicity, further reinforcing the mechanistic link.</w:t>
      </w:r>
    </w:p>
    <w:p w14:paraId="3843F61A" w14:textId="77777777" w:rsidR="005742BC" w:rsidRPr="005D3DC0" w:rsidRDefault="005742BC" w:rsidP="005742BC">
      <w:pPr>
        <w:spacing w:before="100" w:beforeAutospacing="1" w:after="100" w:afterAutospacing="1" w:line="360" w:lineRule="auto"/>
        <w:jc w:val="both"/>
        <w:outlineLvl w:val="1"/>
        <w:rPr>
          <w:b/>
          <w:bCs/>
        </w:rPr>
      </w:pPr>
      <w:r w:rsidRPr="005D3DC0">
        <w:rPr>
          <w:b/>
          <w:bCs/>
        </w:rPr>
        <w:t>Correlation Between EGFR Inhibition and Cytotoxicity</w:t>
      </w:r>
    </w:p>
    <w:p w14:paraId="224526BA" w14:textId="77777777" w:rsidR="005742BC" w:rsidRPr="005D3DC0" w:rsidRDefault="005742BC" w:rsidP="005742BC">
      <w:pPr>
        <w:spacing w:before="100" w:beforeAutospacing="1" w:after="100" w:afterAutospacing="1" w:line="360" w:lineRule="auto"/>
        <w:jc w:val="both"/>
      </w:pPr>
      <w:r w:rsidRPr="005D3DC0">
        <w:t xml:space="preserve">To quantitatively assess the relationship between </w:t>
      </w:r>
      <w:r w:rsidRPr="005D3DC0">
        <w:rPr>
          <w:b/>
          <w:bCs/>
        </w:rPr>
        <w:t>EGFR inhibition and antiproliferative activity</w:t>
      </w:r>
      <w:r w:rsidRPr="005D3DC0">
        <w:t>, correlation analysis was performed.</w:t>
      </w:r>
    </w:p>
    <w:p w14:paraId="51EB7AE5" w14:textId="77777777" w:rsidR="005742BC" w:rsidRPr="005D3DC0" w:rsidRDefault="005742BC" w:rsidP="005742BC">
      <w:pPr>
        <w:numPr>
          <w:ilvl w:val="0"/>
          <w:numId w:val="17"/>
        </w:numPr>
        <w:spacing w:before="100" w:beforeAutospacing="1" w:after="100" w:afterAutospacing="1" w:line="360" w:lineRule="auto"/>
        <w:jc w:val="both"/>
      </w:pPr>
      <w:r w:rsidRPr="005D3DC0">
        <w:rPr>
          <w:b/>
          <w:bCs/>
        </w:rPr>
        <w:t>A549 (lung cancer)</w:t>
      </w:r>
      <w:r w:rsidRPr="005D3DC0">
        <w:t xml:space="preserve">: R² ≈ </w:t>
      </w:r>
      <w:r w:rsidRPr="005D3DC0">
        <w:rPr>
          <w:b/>
          <w:bCs/>
        </w:rPr>
        <w:t>0.71</w:t>
      </w:r>
      <w:r w:rsidRPr="005D3DC0">
        <w:t xml:space="preserve"> (strong correlation) </w:t>
      </w:r>
    </w:p>
    <w:p w14:paraId="51D68E6A" w14:textId="77777777" w:rsidR="005742BC" w:rsidRPr="005D3DC0" w:rsidRDefault="005742BC" w:rsidP="005742BC">
      <w:pPr>
        <w:numPr>
          <w:ilvl w:val="0"/>
          <w:numId w:val="17"/>
        </w:numPr>
        <w:spacing w:before="100" w:beforeAutospacing="1" w:after="100" w:afterAutospacing="1" w:line="360" w:lineRule="auto"/>
        <w:jc w:val="both"/>
      </w:pPr>
      <w:r w:rsidRPr="005D3DC0">
        <w:rPr>
          <w:b/>
          <w:bCs/>
        </w:rPr>
        <w:t>MDA-MB-453 (breast cancer)</w:t>
      </w:r>
      <w:r w:rsidRPr="005D3DC0">
        <w:t xml:space="preserve">: R² ≈ </w:t>
      </w:r>
      <w:r w:rsidRPr="005D3DC0">
        <w:rPr>
          <w:b/>
          <w:bCs/>
        </w:rPr>
        <w:t>0.64</w:t>
      </w:r>
      <w:r w:rsidRPr="005D3DC0">
        <w:t xml:space="preserve"> (moderate–strong correlation) </w:t>
      </w:r>
    </w:p>
    <w:p w14:paraId="2F224F93" w14:textId="77777777" w:rsidR="005742BC" w:rsidRPr="005D3DC0" w:rsidRDefault="005742BC" w:rsidP="005742BC">
      <w:pPr>
        <w:numPr>
          <w:ilvl w:val="0"/>
          <w:numId w:val="17"/>
        </w:numPr>
        <w:spacing w:before="100" w:beforeAutospacing="1" w:after="100" w:afterAutospacing="1" w:line="360" w:lineRule="auto"/>
        <w:jc w:val="both"/>
      </w:pPr>
      <w:r w:rsidRPr="005D3DC0">
        <w:rPr>
          <w:b/>
          <w:bCs/>
        </w:rPr>
        <w:t>MCF-7 (breast cancer)</w:t>
      </w:r>
      <w:r w:rsidRPr="005D3DC0">
        <w:t xml:space="preserve">: R² ≈ </w:t>
      </w:r>
      <w:r w:rsidRPr="005D3DC0">
        <w:rPr>
          <w:b/>
          <w:bCs/>
        </w:rPr>
        <w:t>0.42</w:t>
      </w:r>
      <w:r w:rsidRPr="005D3DC0">
        <w:t xml:space="preserve"> (weak correlation) </w:t>
      </w:r>
    </w:p>
    <w:p w14:paraId="525396CA" w14:textId="77777777" w:rsidR="005742BC" w:rsidRPr="005D3DC0" w:rsidRDefault="005742BC" w:rsidP="005742BC">
      <w:pPr>
        <w:spacing w:before="100" w:beforeAutospacing="1" w:after="100" w:afterAutospacing="1" w:line="360" w:lineRule="auto"/>
        <w:jc w:val="both"/>
      </w:pPr>
      <w:r w:rsidRPr="005D3DC0">
        <w:t xml:space="preserve">The strong correlation observed in </w:t>
      </w:r>
      <w:r w:rsidRPr="005D3DC0">
        <w:rPr>
          <w:b/>
          <w:bCs/>
        </w:rPr>
        <w:t>A549 cells</w:t>
      </w:r>
      <w:r w:rsidRPr="005D3DC0">
        <w:t xml:space="preserve">, which are known to be </w:t>
      </w:r>
      <w:r w:rsidRPr="005D3DC0">
        <w:rPr>
          <w:b/>
          <w:bCs/>
        </w:rPr>
        <w:t>EGFR-dependent</w:t>
      </w:r>
      <w:r w:rsidRPr="005D3DC0">
        <w:t xml:space="preserve">, confirms that </w:t>
      </w:r>
      <w:r w:rsidRPr="005D3DC0">
        <w:rPr>
          <w:b/>
          <w:bCs/>
        </w:rPr>
        <w:t>EGFR inhibition is a primary driver of cytotoxicity in this model</w:t>
      </w:r>
      <w:r w:rsidRPr="005D3DC0">
        <w:t xml:space="preserve"> [28]. Similarly, the moderate correlation in </w:t>
      </w:r>
      <w:r w:rsidRPr="005D3DC0">
        <w:rPr>
          <w:b/>
          <w:bCs/>
        </w:rPr>
        <w:t>MDA-MB-453 cells</w:t>
      </w:r>
      <w:r w:rsidRPr="005D3DC0">
        <w:t xml:space="preserve"> supports EGFR involvement, although additional pathways may contribute.</w:t>
      </w:r>
    </w:p>
    <w:p w14:paraId="6BCC9BCC" w14:textId="77777777" w:rsidR="005742BC" w:rsidRPr="005D3DC0" w:rsidRDefault="005742BC" w:rsidP="005742BC">
      <w:pPr>
        <w:spacing w:before="100" w:beforeAutospacing="1" w:after="100" w:afterAutospacing="1" w:line="360" w:lineRule="auto"/>
        <w:jc w:val="both"/>
      </w:pPr>
      <w:r w:rsidRPr="005D3DC0">
        <w:t xml:space="preserve">In contrast, the weaker correlation in </w:t>
      </w:r>
      <w:r w:rsidRPr="005D3DC0">
        <w:rPr>
          <w:b/>
          <w:bCs/>
        </w:rPr>
        <w:t>MCF-7 cells</w:t>
      </w:r>
      <w:r w:rsidRPr="005D3DC0">
        <w:t xml:space="preserve"> is consistent with their </w:t>
      </w:r>
      <w:proofErr w:type="spellStart"/>
      <w:r w:rsidRPr="005D3DC0">
        <w:rPr>
          <w:b/>
          <w:bCs/>
        </w:rPr>
        <w:t>estrogen</w:t>
      </w:r>
      <w:proofErr w:type="spellEnd"/>
      <w:r w:rsidRPr="005D3DC0">
        <w:rPr>
          <w:b/>
          <w:bCs/>
        </w:rPr>
        <w:t xml:space="preserve"> receptor (ER)-driven biology</w:t>
      </w:r>
      <w:r w:rsidRPr="005D3DC0">
        <w:t>, where EGFR plays a less dominant role [29].</w:t>
      </w:r>
    </w:p>
    <w:p w14:paraId="2381C7D7" w14:textId="77777777" w:rsidR="005742BC" w:rsidRPr="005D3DC0" w:rsidRDefault="005742BC" w:rsidP="005742BC">
      <w:pPr>
        <w:spacing w:before="100" w:beforeAutospacing="1" w:after="100" w:afterAutospacing="1" w:line="360" w:lineRule="auto"/>
        <w:jc w:val="both"/>
        <w:outlineLvl w:val="1"/>
        <w:rPr>
          <w:b/>
          <w:bCs/>
        </w:rPr>
      </w:pPr>
      <w:r>
        <w:rPr>
          <w:b/>
          <w:bCs/>
        </w:rPr>
        <w:t>Structure-</w:t>
      </w:r>
      <w:r w:rsidRPr="005D3DC0">
        <w:rPr>
          <w:b/>
          <w:bCs/>
        </w:rPr>
        <w:t>Activity Relationship (SAR)</w:t>
      </w:r>
    </w:p>
    <w:p w14:paraId="44DC37C8" w14:textId="77777777" w:rsidR="005742BC" w:rsidRPr="005D3DC0" w:rsidRDefault="005742BC" w:rsidP="005742BC">
      <w:pPr>
        <w:spacing w:before="100" w:beforeAutospacing="1" w:after="100" w:afterAutospacing="1" w:line="360" w:lineRule="auto"/>
        <w:jc w:val="both"/>
      </w:pPr>
      <w:r w:rsidRPr="005D3DC0">
        <w:t>A comprehensive SAR analysis reveals the following key insights:</w:t>
      </w:r>
    </w:p>
    <w:p w14:paraId="4F54C1BB" w14:textId="77777777" w:rsidR="005742BC" w:rsidRPr="005D3DC0" w:rsidRDefault="005742BC" w:rsidP="005742BC">
      <w:pPr>
        <w:numPr>
          <w:ilvl w:val="0"/>
          <w:numId w:val="18"/>
        </w:numPr>
        <w:spacing w:before="100" w:beforeAutospacing="1" w:after="100" w:afterAutospacing="1" w:line="360" w:lineRule="auto"/>
        <w:jc w:val="both"/>
      </w:pPr>
      <w:r w:rsidRPr="005D3DC0">
        <w:rPr>
          <w:b/>
          <w:bCs/>
        </w:rPr>
        <w:lastRenderedPageBreak/>
        <w:t>Aromatic substitution enhances activity</w:t>
      </w:r>
      <w:r>
        <w:t xml:space="preserve"> </w:t>
      </w:r>
      <w:r w:rsidRPr="005D3DC0">
        <w:t xml:space="preserve">Compounds such as </w:t>
      </w:r>
      <w:r w:rsidRPr="005D3DC0">
        <w:rPr>
          <w:b/>
          <w:bCs/>
        </w:rPr>
        <w:t>5c, 5f, and 5g</w:t>
      </w:r>
      <w:r w:rsidRPr="005D3DC0">
        <w:t xml:space="preserve">, containing extended aromatic systems, showed superior activity due to enhanced </w:t>
      </w:r>
      <w:r w:rsidR="007B79F8">
        <w:rPr>
          <w:b/>
          <w:bCs/>
        </w:rPr>
        <w:t>π-</w:t>
      </w:r>
      <w:r w:rsidRPr="005D3DC0">
        <w:rPr>
          <w:b/>
          <w:bCs/>
        </w:rPr>
        <w:t>π interactions and hydrophobic binding</w:t>
      </w:r>
      <w:r w:rsidRPr="005D3DC0">
        <w:t xml:space="preserve">. </w:t>
      </w:r>
    </w:p>
    <w:p w14:paraId="0199071E" w14:textId="77777777" w:rsidR="005742BC" w:rsidRPr="005D3DC0" w:rsidRDefault="005742BC" w:rsidP="005742BC">
      <w:pPr>
        <w:numPr>
          <w:ilvl w:val="0"/>
          <w:numId w:val="18"/>
        </w:numPr>
        <w:spacing w:before="100" w:beforeAutospacing="1" w:after="100" w:afterAutospacing="1" w:line="360" w:lineRule="auto"/>
        <w:jc w:val="both"/>
      </w:pPr>
      <w:r w:rsidRPr="005D3DC0">
        <w:rPr>
          <w:b/>
          <w:bCs/>
        </w:rPr>
        <w:t>Optimal lipophilicity is critical</w:t>
      </w:r>
      <w:r>
        <w:t xml:space="preserve"> </w:t>
      </w:r>
      <w:r w:rsidRPr="005D3DC0">
        <w:t>Compounds with balanced lipophilicity (</w:t>
      </w:r>
      <w:proofErr w:type="spellStart"/>
      <w:r w:rsidR="007B79F8">
        <w:rPr>
          <w:b/>
          <w:bCs/>
        </w:rPr>
        <w:t>cLogP</w:t>
      </w:r>
      <w:proofErr w:type="spellEnd"/>
      <w:r w:rsidR="007B79F8">
        <w:rPr>
          <w:b/>
          <w:bCs/>
        </w:rPr>
        <w:t xml:space="preserve"> ~3-</w:t>
      </w:r>
      <w:r w:rsidRPr="005D3DC0">
        <w:rPr>
          <w:b/>
          <w:bCs/>
        </w:rPr>
        <w:t>4</w:t>
      </w:r>
      <w:r w:rsidRPr="005D3DC0">
        <w:t xml:space="preserve">) exhibited better activity, while excessive hydrophobicity reduced solubility and bioavailability. </w:t>
      </w:r>
    </w:p>
    <w:p w14:paraId="66B2B7C1" w14:textId="77777777" w:rsidR="005742BC" w:rsidRPr="005D3DC0" w:rsidRDefault="005742BC" w:rsidP="005742BC">
      <w:pPr>
        <w:numPr>
          <w:ilvl w:val="0"/>
          <w:numId w:val="18"/>
        </w:numPr>
        <w:spacing w:before="100" w:beforeAutospacing="1" w:after="100" w:afterAutospacing="1" w:line="360" w:lineRule="auto"/>
        <w:jc w:val="both"/>
      </w:pPr>
      <w:r w:rsidRPr="005D3DC0">
        <w:rPr>
          <w:b/>
          <w:bCs/>
        </w:rPr>
        <w:t>Substituent size influences potency</w:t>
      </w:r>
      <w:r>
        <w:t xml:space="preserve"> </w:t>
      </w:r>
      <w:r w:rsidRPr="005D3DC0">
        <w:t xml:space="preserve">Moderate-sized substituents </w:t>
      </w:r>
      <w:proofErr w:type="spellStart"/>
      <w:r w:rsidRPr="005D3DC0">
        <w:t>favored</w:t>
      </w:r>
      <w:proofErr w:type="spellEnd"/>
      <w:r w:rsidRPr="005D3DC0">
        <w:t xml:space="preserve"> activity, whereas bulky groups (e.g., in </w:t>
      </w:r>
      <w:r w:rsidRPr="005D3DC0">
        <w:rPr>
          <w:b/>
          <w:bCs/>
        </w:rPr>
        <w:t>5b, 5j</w:t>
      </w:r>
      <w:r w:rsidRPr="005D3DC0">
        <w:t xml:space="preserve">) reduced binding efficiency. </w:t>
      </w:r>
    </w:p>
    <w:p w14:paraId="7140473F" w14:textId="77777777" w:rsidR="005742BC" w:rsidRPr="005D3DC0" w:rsidRDefault="005742BC" w:rsidP="005742BC">
      <w:pPr>
        <w:numPr>
          <w:ilvl w:val="0"/>
          <w:numId w:val="18"/>
        </w:numPr>
        <w:spacing w:before="100" w:beforeAutospacing="1" w:after="100" w:afterAutospacing="1" w:line="360" w:lineRule="auto"/>
        <w:jc w:val="both"/>
      </w:pPr>
      <w:r w:rsidRPr="005D3DC0">
        <w:rPr>
          <w:b/>
          <w:bCs/>
        </w:rPr>
        <w:t>Side-chain functionality modulates selectivity</w:t>
      </w:r>
      <w:r>
        <w:t xml:space="preserve"> </w:t>
      </w:r>
      <w:r w:rsidRPr="005D3DC0">
        <w:t xml:space="preserve">The selective activity of </w:t>
      </w:r>
      <w:r w:rsidRPr="005D3DC0">
        <w:rPr>
          <w:b/>
          <w:bCs/>
        </w:rPr>
        <w:t>5n</w:t>
      </w:r>
      <w:r w:rsidRPr="005D3DC0">
        <w:t xml:space="preserve"> against PC-3 cells suggests that </w:t>
      </w:r>
      <w:r w:rsidRPr="005D3DC0">
        <w:rPr>
          <w:b/>
          <w:bCs/>
        </w:rPr>
        <w:t>alkyl chain length and polarity influence cellular uptake and target specificity</w:t>
      </w:r>
      <w:r w:rsidRPr="005D3DC0">
        <w:t xml:space="preserve">. </w:t>
      </w:r>
    </w:p>
    <w:p w14:paraId="49FA22EA" w14:textId="77777777" w:rsidR="005742BC" w:rsidRPr="005D3DC0" w:rsidRDefault="005742BC" w:rsidP="005742BC">
      <w:pPr>
        <w:spacing w:before="100" w:beforeAutospacing="1" w:after="100" w:afterAutospacing="1" w:line="360" w:lineRule="auto"/>
        <w:jc w:val="both"/>
        <w:outlineLvl w:val="1"/>
        <w:rPr>
          <w:b/>
          <w:bCs/>
        </w:rPr>
      </w:pPr>
      <w:r w:rsidRPr="005D3DC0">
        <w:rPr>
          <w:b/>
          <w:bCs/>
        </w:rPr>
        <w:t>Overall Biological Significance</w:t>
      </w:r>
    </w:p>
    <w:p w14:paraId="1C1A3B8F" w14:textId="77777777" w:rsidR="005742BC" w:rsidRPr="005D3DC0" w:rsidRDefault="005742BC" w:rsidP="005742BC">
      <w:pPr>
        <w:spacing w:before="100" w:beforeAutospacing="1" w:after="100" w:afterAutospacing="1" w:line="360" w:lineRule="auto"/>
        <w:jc w:val="both"/>
      </w:pPr>
      <w:r w:rsidRPr="005D3DC0">
        <w:t xml:space="preserve">Collectively, the results demonstrate that the designed </w:t>
      </w:r>
      <w:r w:rsidRPr="005D3DC0">
        <w:rPr>
          <w:b/>
          <w:bCs/>
        </w:rPr>
        <w:t>TZD-based hybrids exhibit promising anticancer activity</w:t>
      </w:r>
      <w:r w:rsidRPr="005D3DC0">
        <w:t xml:space="preserve">, with several compounds showing </w:t>
      </w:r>
      <w:r w:rsidRPr="005D3DC0">
        <w:rPr>
          <w:b/>
          <w:bCs/>
        </w:rPr>
        <w:t>dual functionality as cytotoxic and EGFR inhibitory agents</w:t>
      </w:r>
      <w:r w:rsidRPr="005D3DC0">
        <w:t>.</w:t>
      </w:r>
    </w:p>
    <w:p w14:paraId="356B9A8B" w14:textId="77777777" w:rsidR="005742BC" w:rsidRPr="005D3DC0" w:rsidRDefault="005742BC" w:rsidP="005742BC">
      <w:pPr>
        <w:spacing w:before="100" w:beforeAutospacing="1" w:after="100" w:afterAutospacing="1" w:line="360" w:lineRule="auto"/>
        <w:jc w:val="both"/>
      </w:pPr>
      <w:r w:rsidRPr="005D3DC0">
        <w:t xml:space="preserve">In particular, </w:t>
      </w:r>
      <w:r w:rsidRPr="005D3DC0">
        <w:rPr>
          <w:b/>
          <w:bCs/>
        </w:rPr>
        <w:t>compound 5c</w:t>
      </w:r>
      <w:r w:rsidRPr="005D3DC0">
        <w:t xml:space="preserve"> emerges as a </w:t>
      </w:r>
      <w:r w:rsidRPr="005D3DC0">
        <w:rPr>
          <w:b/>
          <w:bCs/>
        </w:rPr>
        <w:t>lead candidate</w:t>
      </w:r>
      <w:r w:rsidRPr="005D3DC0">
        <w:t>, combining:</w:t>
      </w:r>
    </w:p>
    <w:p w14:paraId="7C1485CF" w14:textId="77777777" w:rsidR="005742BC" w:rsidRPr="005D3DC0" w:rsidRDefault="005742BC" w:rsidP="005742BC">
      <w:pPr>
        <w:numPr>
          <w:ilvl w:val="0"/>
          <w:numId w:val="19"/>
        </w:numPr>
        <w:spacing w:before="100" w:beforeAutospacing="1" w:after="100" w:afterAutospacing="1" w:line="360" w:lineRule="auto"/>
        <w:jc w:val="both"/>
      </w:pPr>
      <w:r w:rsidRPr="005D3DC0">
        <w:t xml:space="preserve">Potent cytotoxicity </w:t>
      </w:r>
    </w:p>
    <w:p w14:paraId="3A5E42B2" w14:textId="77777777" w:rsidR="005742BC" w:rsidRPr="005D3DC0" w:rsidRDefault="005742BC" w:rsidP="005742BC">
      <w:pPr>
        <w:numPr>
          <w:ilvl w:val="0"/>
          <w:numId w:val="19"/>
        </w:numPr>
        <w:spacing w:before="100" w:beforeAutospacing="1" w:after="100" w:afterAutospacing="1" w:line="360" w:lineRule="auto"/>
        <w:jc w:val="both"/>
      </w:pPr>
      <w:r w:rsidRPr="005D3DC0">
        <w:t xml:space="preserve">Strong EGFR inhibition </w:t>
      </w:r>
    </w:p>
    <w:p w14:paraId="4D31811A" w14:textId="77777777" w:rsidR="005742BC" w:rsidRPr="005D3DC0" w:rsidRDefault="005742BC" w:rsidP="005742BC">
      <w:pPr>
        <w:numPr>
          <w:ilvl w:val="0"/>
          <w:numId w:val="19"/>
        </w:numPr>
        <w:spacing w:before="100" w:beforeAutospacing="1" w:after="100" w:afterAutospacing="1" w:line="360" w:lineRule="auto"/>
        <w:jc w:val="both"/>
      </w:pPr>
      <w:proofErr w:type="spellStart"/>
      <w:r w:rsidRPr="005D3DC0">
        <w:t>Favorable</w:t>
      </w:r>
      <w:proofErr w:type="spellEnd"/>
      <w:r w:rsidRPr="005D3DC0">
        <w:t xml:space="preserve"> structural features </w:t>
      </w:r>
    </w:p>
    <w:p w14:paraId="7F32A57F" w14:textId="77777777" w:rsidR="005742BC" w:rsidRPr="005D3DC0" w:rsidRDefault="005742BC" w:rsidP="005742BC">
      <w:pPr>
        <w:spacing w:before="100" w:beforeAutospacing="1" w:after="100" w:afterAutospacing="1" w:line="360" w:lineRule="auto"/>
        <w:jc w:val="both"/>
      </w:pPr>
      <w:r w:rsidRPr="005D3DC0">
        <w:t xml:space="preserve">These findings validate the </w:t>
      </w:r>
      <w:r w:rsidRPr="005D3DC0">
        <w:rPr>
          <w:b/>
          <w:bCs/>
        </w:rPr>
        <w:t>pharmacophore hybridization strategy</w:t>
      </w:r>
      <w:r w:rsidRPr="005D3DC0">
        <w:t xml:space="preserve"> and highlight the potential of </w:t>
      </w:r>
      <w:r>
        <w:rPr>
          <w:b/>
          <w:bCs/>
        </w:rPr>
        <w:t>TZD-</w:t>
      </w:r>
      <w:r w:rsidRPr="005D3DC0">
        <w:rPr>
          <w:b/>
          <w:bCs/>
        </w:rPr>
        <w:t>quinoline/naphthalene hybrids as novel anticancer agents targeting EGFR pathways</w:t>
      </w:r>
      <w:r w:rsidRPr="005D3DC0">
        <w:t>.</w:t>
      </w:r>
    </w:p>
    <w:p w14:paraId="5503FE49" w14:textId="77777777" w:rsidR="002B0616" w:rsidRPr="006F4CFB" w:rsidRDefault="002B0616" w:rsidP="004E070D">
      <w:pPr>
        <w:autoSpaceDE w:val="0"/>
        <w:autoSpaceDN w:val="0"/>
        <w:adjustRightInd w:val="0"/>
        <w:spacing w:line="360" w:lineRule="auto"/>
        <w:jc w:val="center"/>
        <w:rPr>
          <w:color w:val="000000"/>
        </w:rPr>
      </w:pPr>
    </w:p>
    <w:p w14:paraId="153F07D2" w14:textId="77777777" w:rsidR="00596A5C" w:rsidRDefault="002B0616" w:rsidP="002B0616">
      <w:pPr>
        <w:spacing w:line="360" w:lineRule="auto"/>
        <w:jc w:val="both"/>
        <w:rPr>
          <w:lang w:val="en-US"/>
        </w:rPr>
      </w:pPr>
      <w:r>
        <w:t>Table 1. In vitro cytotoxicity (IC</w:t>
      </w:r>
      <w:r w:rsidRPr="002B0616">
        <w:rPr>
          <w:vertAlign w:val="subscript"/>
        </w:rPr>
        <w:t>50</w:t>
      </w:r>
      <w:r>
        <w:t>, µM) of compounds 6a-6g and 7a-7h against human cancer cell lines</w:t>
      </w:r>
    </w:p>
    <w:tbl>
      <w:tblPr>
        <w:tblW w:w="6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46"/>
        <w:gridCol w:w="1184"/>
        <w:gridCol w:w="1066"/>
        <w:gridCol w:w="1193"/>
      </w:tblGrid>
      <w:tr w:rsidR="00510EFB" w:rsidRPr="00510EFB" w14:paraId="5961A367" w14:textId="77777777" w:rsidTr="00566B76">
        <w:trPr>
          <w:jc w:val="center"/>
        </w:trPr>
        <w:tc>
          <w:tcPr>
            <w:tcW w:w="0" w:type="auto"/>
            <w:hideMark/>
          </w:tcPr>
          <w:p w14:paraId="2E1BB9D7" w14:textId="77777777" w:rsidR="00510EFB" w:rsidRPr="00510EFB" w:rsidRDefault="00510EFB" w:rsidP="00566B76">
            <w:pPr>
              <w:jc w:val="center"/>
              <w:rPr>
                <w:b/>
                <w:bCs/>
              </w:rPr>
            </w:pPr>
            <w:r w:rsidRPr="00510EFB">
              <w:rPr>
                <w:b/>
                <w:bCs/>
              </w:rPr>
              <w:t>Compound</w:t>
            </w:r>
          </w:p>
        </w:tc>
        <w:tc>
          <w:tcPr>
            <w:tcW w:w="0" w:type="auto"/>
            <w:hideMark/>
          </w:tcPr>
          <w:p w14:paraId="78B52992" w14:textId="77777777" w:rsidR="00510EFB" w:rsidRPr="00510EFB" w:rsidRDefault="00510EFB" w:rsidP="00566B76">
            <w:pPr>
              <w:jc w:val="center"/>
              <w:rPr>
                <w:b/>
                <w:bCs/>
              </w:rPr>
            </w:pPr>
            <w:r w:rsidRPr="00510EFB">
              <w:rPr>
                <w:b/>
                <w:bCs/>
              </w:rPr>
              <w:t>MDA-MB-453ᵃ</w:t>
            </w:r>
          </w:p>
        </w:tc>
        <w:tc>
          <w:tcPr>
            <w:tcW w:w="0" w:type="auto"/>
            <w:hideMark/>
          </w:tcPr>
          <w:p w14:paraId="5908B648" w14:textId="77777777" w:rsidR="00510EFB" w:rsidRPr="00510EFB" w:rsidRDefault="00510EFB" w:rsidP="00566B76">
            <w:pPr>
              <w:jc w:val="center"/>
              <w:rPr>
                <w:b/>
                <w:bCs/>
              </w:rPr>
            </w:pPr>
            <w:r w:rsidRPr="00510EFB">
              <w:rPr>
                <w:b/>
                <w:bCs/>
              </w:rPr>
              <w:t>A549ᵇ</w:t>
            </w:r>
          </w:p>
        </w:tc>
        <w:tc>
          <w:tcPr>
            <w:tcW w:w="0" w:type="auto"/>
            <w:hideMark/>
          </w:tcPr>
          <w:p w14:paraId="3E45C5E4" w14:textId="77777777" w:rsidR="00510EFB" w:rsidRPr="00510EFB" w:rsidRDefault="00510EFB" w:rsidP="00566B76">
            <w:pPr>
              <w:jc w:val="center"/>
              <w:rPr>
                <w:b/>
                <w:bCs/>
              </w:rPr>
            </w:pPr>
            <w:r w:rsidRPr="00510EFB">
              <w:rPr>
                <w:b/>
                <w:bCs/>
              </w:rPr>
              <w:t>PC-3ᶜ</w:t>
            </w:r>
          </w:p>
        </w:tc>
        <w:tc>
          <w:tcPr>
            <w:tcW w:w="0" w:type="auto"/>
            <w:hideMark/>
          </w:tcPr>
          <w:p w14:paraId="15C59E96" w14:textId="77777777" w:rsidR="00510EFB" w:rsidRPr="00510EFB" w:rsidRDefault="00510EFB" w:rsidP="00566B76">
            <w:pPr>
              <w:jc w:val="center"/>
              <w:rPr>
                <w:b/>
                <w:bCs/>
              </w:rPr>
            </w:pPr>
            <w:r w:rsidRPr="00510EFB">
              <w:rPr>
                <w:b/>
                <w:bCs/>
              </w:rPr>
              <w:t>MCF-7ᵈ</w:t>
            </w:r>
          </w:p>
        </w:tc>
      </w:tr>
      <w:tr w:rsidR="00510EFB" w:rsidRPr="00510EFB" w14:paraId="391E9B49" w14:textId="77777777" w:rsidTr="00566B76">
        <w:trPr>
          <w:jc w:val="center"/>
        </w:trPr>
        <w:tc>
          <w:tcPr>
            <w:tcW w:w="0" w:type="auto"/>
            <w:hideMark/>
          </w:tcPr>
          <w:p w14:paraId="11C68821" w14:textId="77777777" w:rsidR="00510EFB" w:rsidRPr="00510EFB" w:rsidRDefault="005742BC" w:rsidP="00510EFB">
            <w:r>
              <w:rPr>
                <w:b/>
                <w:bCs/>
              </w:rPr>
              <w:t>5</w:t>
            </w:r>
            <w:r w:rsidR="00510EFB" w:rsidRPr="00566B76">
              <w:rPr>
                <w:b/>
                <w:bCs/>
              </w:rPr>
              <w:t>a</w:t>
            </w:r>
          </w:p>
        </w:tc>
        <w:tc>
          <w:tcPr>
            <w:tcW w:w="0" w:type="auto"/>
            <w:hideMark/>
          </w:tcPr>
          <w:p w14:paraId="08610813" w14:textId="77777777" w:rsidR="00510EFB" w:rsidRPr="00510EFB" w:rsidRDefault="00510EFB" w:rsidP="00510EFB">
            <w:r w:rsidRPr="00510EFB">
              <w:t>25.4 ± 2.1</w:t>
            </w:r>
          </w:p>
        </w:tc>
        <w:tc>
          <w:tcPr>
            <w:tcW w:w="0" w:type="auto"/>
            <w:hideMark/>
          </w:tcPr>
          <w:p w14:paraId="0D7F6938" w14:textId="77777777" w:rsidR="00510EFB" w:rsidRPr="00510EFB" w:rsidRDefault="00510EFB" w:rsidP="00510EFB">
            <w:r w:rsidRPr="00510EFB">
              <w:t>32.6 ± 3.4</w:t>
            </w:r>
          </w:p>
        </w:tc>
        <w:tc>
          <w:tcPr>
            <w:tcW w:w="0" w:type="auto"/>
            <w:hideMark/>
          </w:tcPr>
          <w:p w14:paraId="6BF4322D" w14:textId="77777777" w:rsidR="00510EFB" w:rsidRPr="00510EFB" w:rsidRDefault="00510EFB" w:rsidP="00510EFB">
            <w:r w:rsidRPr="00510EFB">
              <w:t>&gt;40</w:t>
            </w:r>
          </w:p>
        </w:tc>
        <w:tc>
          <w:tcPr>
            <w:tcW w:w="0" w:type="auto"/>
            <w:hideMark/>
          </w:tcPr>
          <w:p w14:paraId="1235E854" w14:textId="77777777" w:rsidR="00510EFB" w:rsidRPr="00510EFB" w:rsidRDefault="00510EFB" w:rsidP="00510EFB">
            <w:r w:rsidRPr="00510EFB">
              <w:t>33.1 ± 2.8</w:t>
            </w:r>
          </w:p>
        </w:tc>
      </w:tr>
      <w:tr w:rsidR="00510EFB" w:rsidRPr="00510EFB" w14:paraId="7570BD33" w14:textId="77777777" w:rsidTr="00566B76">
        <w:trPr>
          <w:jc w:val="center"/>
        </w:trPr>
        <w:tc>
          <w:tcPr>
            <w:tcW w:w="0" w:type="auto"/>
            <w:hideMark/>
          </w:tcPr>
          <w:p w14:paraId="6637FEE8" w14:textId="77777777" w:rsidR="00510EFB" w:rsidRPr="00510EFB" w:rsidRDefault="005742BC" w:rsidP="00510EFB">
            <w:r>
              <w:rPr>
                <w:b/>
                <w:bCs/>
              </w:rPr>
              <w:t>5</w:t>
            </w:r>
            <w:r w:rsidR="00510EFB" w:rsidRPr="00566B76">
              <w:rPr>
                <w:b/>
                <w:bCs/>
              </w:rPr>
              <w:t>b</w:t>
            </w:r>
          </w:p>
        </w:tc>
        <w:tc>
          <w:tcPr>
            <w:tcW w:w="0" w:type="auto"/>
            <w:hideMark/>
          </w:tcPr>
          <w:p w14:paraId="0D3AFDC0" w14:textId="77777777" w:rsidR="00510EFB" w:rsidRPr="00510EFB" w:rsidRDefault="00510EFB" w:rsidP="00510EFB">
            <w:r w:rsidRPr="00510EFB">
              <w:t>31.2 ± 3.6</w:t>
            </w:r>
          </w:p>
        </w:tc>
        <w:tc>
          <w:tcPr>
            <w:tcW w:w="0" w:type="auto"/>
            <w:hideMark/>
          </w:tcPr>
          <w:p w14:paraId="2B255EB5" w14:textId="77777777" w:rsidR="00510EFB" w:rsidRPr="00510EFB" w:rsidRDefault="00510EFB" w:rsidP="00510EFB">
            <w:r w:rsidRPr="00510EFB">
              <w:t>&gt;40</w:t>
            </w:r>
          </w:p>
        </w:tc>
        <w:tc>
          <w:tcPr>
            <w:tcW w:w="0" w:type="auto"/>
            <w:hideMark/>
          </w:tcPr>
          <w:p w14:paraId="53AF02D2" w14:textId="77777777" w:rsidR="00510EFB" w:rsidRPr="00510EFB" w:rsidRDefault="00510EFB" w:rsidP="00510EFB">
            <w:r w:rsidRPr="00510EFB">
              <w:t>25.1 ± 2.3</w:t>
            </w:r>
          </w:p>
        </w:tc>
        <w:tc>
          <w:tcPr>
            <w:tcW w:w="0" w:type="auto"/>
            <w:hideMark/>
          </w:tcPr>
          <w:p w14:paraId="7C0C0D8C" w14:textId="77777777" w:rsidR="00510EFB" w:rsidRPr="00510EFB" w:rsidRDefault="00510EFB" w:rsidP="00510EFB">
            <w:r w:rsidRPr="00510EFB">
              <w:t>36.8 ± 3.2</w:t>
            </w:r>
          </w:p>
        </w:tc>
      </w:tr>
      <w:tr w:rsidR="00510EFB" w:rsidRPr="00510EFB" w14:paraId="4FB7FE17" w14:textId="77777777" w:rsidTr="00566B76">
        <w:trPr>
          <w:jc w:val="center"/>
        </w:trPr>
        <w:tc>
          <w:tcPr>
            <w:tcW w:w="0" w:type="auto"/>
            <w:hideMark/>
          </w:tcPr>
          <w:p w14:paraId="01174BC9" w14:textId="77777777" w:rsidR="00510EFB" w:rsidRPr="00510EFB" w:rsidRDefault="005742BC" w:rsidP="00510EFB">
            <w:r>
              <w:rPr>
                <w:b/>
                <w:bCs/>
              </w:rPr>
              <w:lastRenderedPageBreak/>
              <w:t>5</w:t>
            </w:r>
            <w:r w:rsidR="00510EFB" w:rsidRPr="00566B76">
              <w:rPr>
                <w:b/>
                <w:bCs/>
              </w:rPr>
              <w:t>c</w:t>
            </w:r>
          </w:p>
        </w:tc>
        <w:tc>
          <w:tcPr>
            <w:tcW w:w="0" w:type="auto"/>
            <w:hideMark/>
          </w:tcPr>
          <w:p w14:paraId="75C3140A" w14:textId="77777777" w:rsidR="00510EFB" w:rsidRPr="00510EFB" w:rsidRDefault="00510EFB" w:rsidP="00510EFB">
            <w:r w:rsidRPr="00566B76">
              <w:rPr>
                <w:b/>
                <w:bCs/>
              </w:rPr>
              <w:t>4.6 ± 0.5</w:t>
            </w:r>
          </w:p>
        </w:tc>
        <w:tc>
          <w:tcPr>
            <w:tcW w:w="0" w:type="auto"/>
            <w:hideMark/>
          </w:tcPr>
          <w:p w14:paraId="57E4C269" w14:textId="77777777" w:rsidR="00510EFB" w:rsidRPr="00510EFB" w:rsidRDefault="00510EFB" w:rsidP="00510EFB">
            <w:r w:rsidRPr="00566B76">
              <w:rPr>
                <w:b/>
                <w:bCs/>
              </w:rPr>
              <w:t>9.8 ± 1.1</w:t>
            </w:r>
          </w:p>
        </w:tc>
        <w:tc>
          <w:tcPr>
            <w:tcW w:w="0" w:type="auto"/>
            <w:hideMark/>
          </w:tcPr>
          <w:p w14:paraId="7E032868" w14:textId="77777777" w:rsidR="00510EFB" w:rsidRPr="00510EFB" w:rsidRDefault="00510EFB" w:rsidP="00510EFB">
            <w:r w:rsidRPr="00510EFB">
              <w:t>31.4 ± 3.6</w:t>
            </w:r>
          </w:p>
        </w:tc>
        <w:tc>
          <w:tcPr>
            <w:tcW w:w="0" w:type="auto"/>
            <w:hideMark/>
          </w:tcPr>
          <w:p w14:paraId="5A321E0F" w14:textId="77777777" w:rsidR="00510EFB" w:rsidRPr="00510EFB" w:rsidRDefault="00510EFB" w:rsidP="00510EFB">
            <w:r w:rsidRPr="00510EFB">
              <w:t>20.2 ± 1.9</w:t>
            </w:r>
          </w:p>
        </w:tc>
      </w:tr>
      <w:tr w:rsidR="00510EFB" w:rsidRPr="00510EFB" w14:paraId="5C5D1400" w14:textId="77777777" w:rsidTr="00566B76">
        <w:trPr>
          <w:jc w:val="center"/>
        </w:trPr>
        <w:tc>
          <w:tcPr>
            <w:tcW w:w="0" w:type="auto"/>
            <w:hideMark/>
          </w:tcPr>
          <w:p w14:paraId="609B8D9F" w14:textId="77777777" w:rsidR="00510EFB" w:rsidRPr="00510EFB" w:rsidRDefault="005742BC" w:rsidP="00510EFB">
            <w:r>
              <w:rPr>
                <w:b/>
                <w:bCs/>
              </w:rPr>
              <w:t>5</w:t>
            </w:r>
            <w:r w:rsidR="00510EFB" w:rsidRPr="00566B76">
              <w:rPr>
                <w:b/>
                <w:bCs/>
              </w:rPr>
              <w:t>d</w:t>
            </w:r>
          </w:p>
        </w:tc>
        <w:tc>
          <w:tcPr>
            <w:tcW w:w="0" w:type="auto"/>
            <w:hideMark/>
          </w:tcPr>
          <w:p w14:paraId="4A9501B9" w14:textId="77777777" w:rsidR="00510EFB" w:rsidRPr="00510EFB" w:rsidRDefault="00510EFB" w:rsidP="00510EFB">
            <w:r w:rsidRPr="00510EFB">
              <w:t>20.6 ± 1.8</w:t>
            </w:r>
          </w:p>
        </w:tc>
        <w:tc>
          <w:tcPr>
            <w:tcW w:w="0" w:type="auto"/>
            <w:hideMark/>
          </w:tcPr>
          <w:p w14:paraId="517004CD" w14:textId="77777777" w:rsidR="00510EFB" w:rsidRPr="00510EFB" w:rsidRDefault="00510EFB" w:rsidP="00510EFB">
            <w:r w:rsidRPr="00510EFB">
              <w:t>23.9 ± 2.7</w:t>
            </w:r>
          </w:p>
        </w:tc>
        <w:tc>
          <w:tcPr>
            <w:tcW w:w="0" w:type="auto"/>
            <w:hideMark/>
          </w:tcPr>
          <w:p w14:paraId="51750A35" w14:textId="77777777" w:rsidR="00510EFB" w:rsidRPr="00510EFB" w:rsidRDefault="00510EFB" w:rsidP="00510EFB">
            <w:r w:rsidRPr="00510EFB">
              <w:t>15.7 ± 2.1</w:t>
            </w:r>
          </w:p>
        </w:tc>
        <w:tc>
          <w:tcPr>
            <w:tcW w:w="0" w:type="auto"/>
            <w:hideMark/>
          </w:tcPr>
          <w:p w14:paraId="12157603" w14:textId="77777777" w:rsidR="00510EFB" w:rsidRPr="00510EFB" w:rsidRDefault="00510EFB" w:rsidP="00510EFB">
            <w:r w:rsidRPr="00510EFB">
              <w:t>&gt;40</w:t>
            </w:r>
          </w:p>
        </w:tc>
      </w:tr>
      <w:tr w:rsidR="00510EFB" w:rsidRPr="00510EFB" w14:paraId="3FAB489B" w14:textId="77777777" w:rsidTr="00566B76">
        <w:trPr>
          <w:jc w:val="center"/>
        </w:trPr>
        <w:tc>
          <w:tcPr>
            <w:tcW w:w="0" w:type="auto"/>
            <w:hideMark/>
          </w:tcPr>
          <w:p w14:paraId="79D525B4" w14:textId="77777777" w:rsidR="00510EFB" w:rsidRPr="00510EFB" w:rsidRDefault="005742BC" w:rsidP="00510EFB">
            <w:r>
              <w:rPr>
                <w:b/>
                <w:bCs/>
              </w:rPr>
              <w:t>5</w:t>
            </w:r>
            <w:r w:rsidR="00510EFB" w:rsidRPr="00566B76">
              <w:rPr>
                <w:b/>
                <w:bCs/>
              </w:rPr>
              <w:t>e</w:t>
            </w:r>
          </w:p>
        </w:tc>
        <w:tc>
          <w:tcPr>
            <w:tcW w:w="0" w:type="auto"/>
            <w:hideMark/>
          </w:tcPr>
          <w:p w14:paraId="01146534" w14:textId="77777777" w:rsidR="00510EFB" w:rsidRPr="00510EFB" w:rsidRDefault="00510EFB" w:rsidP="00510EFB">
            <w:r w:rsidRPr="00510EFB">
              <w:t>16.8 ± 1.5</w:t>
            </w:r>
          </w:p>
        </w:tc>
        <w:tc>
          <w:tcPr>
            <w:tcW w:w="0" w:type="auto"/>
            <w:hideMark/>
          </w:tcPr>
          <w:p w14:paraId="067B2448" w14:textId="77777777" w:rsidR="00510EFB" w:rsidRPr="00510EFB" w:rsidRDefault="00510EFB" w:rsidP="00510EFB">
            <w:r w:rsidRPr="00510EFB">
              <w:t>33.5 ± 3.1</w:t>
            </w:r>
          </w:p>
        </w:tc>
        <w:tc>
          <w:tcPr>
            <w:tcW w:w="0" w:type="auto"/>
            <w:hideMark/>
          </w:tcPr>
          <w:p w14:paraId="3D2B8DF6" w14:textId="77777777" w:rsidR="00510EFB" w:rsidRPr="00510EFB" w:rsidRDefault="00510EFB" w:rsidP="00510EFB">
            <w:r w:rsidRPr="00510EFB">
              <w:t>&gt;40</w:t>
            </w:r>
          </w:p>
        </w:tc>
        <w:tc>
          <w:tcPr>
            <w:tcW w:w="0" w:type="auto"/>
            <w:hideMark/>
          </w:tcPr>
          <w:p w14:paraId="4AF1F75B" w14:textId="77777777" w:rsidR="00510EFB" w:rsidRPr="00510EFB" w:rsidRDefault="00510EFB" w:rsidP="00510EFB">
            <w:r w:rsidRPr="00510EFB">
              <w:t>23.4 ± 2.2</w:t>
            </w:r>
          </w:p>
        </w:tc>
      </w:tr>
      <w:tr w:rsidR="00510EFB" w:rsidRPr="00510EFB" w14:paraId="78CE2A0A" w14:textId="77777777" w:rsidTr="00566B76">
        <w:trPr>
          <w:jc w:val="center"/>
        </w:trPr>
        <w:tc>
          <w:tcPr>
            <w:tcW w:w="0" w:type="auto"/>
            <w:hideMark/>
          </w:tcPr>
          <w:p w14:paraId="290D4763" w14:textId="77777777" w:rsidR="00510EFB" w:rsidRPr="00510EFB" w:rsidRDefault="005742BC" w:rsidP="00510EFB">
            <w:r>
              <w:rPr>
                <w:b/>
                <w:bCs/>
              </w:rPr>
              <w:t>5</w:t>
            </w:r>
            <w:r w:rsidR="00510EFB" w:rsidRPr="00566B76">
              <w:rPr>
                <w:b/>
                <w:bCs/>
              </w:rPr>
              <w:t>f</w:t>
            </w:r>
          </w:p>
        </w:tc>
        <w:tc>
          <w:tcPr>
            <w:tcW w:w="0" w:type="auto"/>
            <w:hideMark/>
          </w:tcPr>
          <w:p w14:paraId="7D787C13" w14:textId="77777777" w:rsidR="00510EFB" w:rsidRPr="00510EFB" w:rsidRDefault="00510EFB" w:rsidP="00510EFB">
            <w:r w:rsidRPr="00566B76">
              <w:rPr>
                <w:b/>
                <w:bCs/>
              </w:rPr>
              <w:t>7.8 ± 0.7</w:t>
            </w:r>
          </w:p>
        </w:tc>
        <w:tc>
          <w:tcPr>
            <w:tcW w:w="0" w:type="auto"/>
            <w:hideMark/>
          </w:tcPr>
          <w:p w14:paraId="123CE050" w14:textId="77777777" w:rsidR="00510EFB" w:rsidRPr="00510EFB" w:rsidRDefault="00510EFB" w:rsidP="00510EFB">
            <w:r w:rsidRPr="00510EFB">
              <w:t>&gt;40</w:t>
            </w:r>
          </w:p>
        </w:tc>
        <w:tc>
          <w:tcPr>
            <w:tcW w:w="0" w:type="auto"/>
            <w:hideMark/>
          </w:tcPr>
          <w:p w14:paraId="447616D5" w14:textId="77777777" w:rsidR="00510EFB" w:rsidRPr="00510EFB" w:rsidRDefault="00510EFB" w:rsidP="00510EFB">
            <w:r w:rsidRPr="00510EFB">
              <w:t>&gt;40</w:t>
            </w:r>
          </w:p>
        </w:tc>
        <w:tc>
          <w:tcPr>
            <w:tcW w:w="0" w:type="auto"/>
            <w:hideMark/>
          </w:tcPr>
          <w:p w14:paraId="0156C4F2" w14:textId="77777777" w:rsidR="00510EFB" w:rsidRPr="00510EFB" w:rsidRDefault="00510EFB" w:rsidP="00510EFB">
            <w:r w:rsidRPr="00510EFB">
              <w:t>&gt;40</w:t>
            </w:r>
          </w:p>
        </w:tc>
      </w:tr>
      <w:tr w:rsidR="00510EFB" w:rsidRPr="00510EFB" w14:paraId="0B7970EE" w14:textId="77777777" w:rsidTr="00566B76">
        <w:trPr>
          <w:jc w:val="center"/>
        </w:trPr>
        <w:tc>
          <w:tcPr>
            <w:tcW w:w="0" w:type="auto"/>
            <w:hideMark/>
          </w:tcPr>
          <w:p w14:paraId="182FAF55" w14:textId="77777777" w:rsidR="00510EFB" w:rsidRPr="00510EFB" w:rsidRDefault="005742BC" w:rsidP="00510EFB">
            <w:r>
              <w:rPr>
                <w:b/>
                <w:bCs/>
              </w:rPr>
              <w:t>5</w:t>
            </w:r>
            <w:r w:rsidR="00510EFB" w:rsidRPr="00566B76">
              <w:rPr>
                <w:b/>
                <w:bCs/>
              </w:rPr>
              <w:t>g</w:t>
            </w:r>
          </w:p>
        </w:tc>
        <w:tc>
          <w:tcPr>
            <w:tcW w:w="0" w:type="auto"/>
            <w:hideMark/>
          </w:tcPr>
          <w:p w14:paraId="78660BE5" w14:textId="77777777" w:rsidR="00510EFB" w:rsidRPr="00510EFB" w:rsidRDefault="00510EFB" w:rsidP="00510EFB">
            <w:r w:rsidRPr="00566B76">
              <w:rPr>
                <w:b/>
                <w:bCs/>
              </w:rPr>
              <w:t>6.9 ± 0.6</w:t>
            </w:r>
          </w:p>
        </w:tc>
        <w:tc>
          <w:tcPr>
            <w:tcW w:w="0" w:type="auto"/>
            <w:hideMark/>
          </w:tcPr>
          <w:p w14:paraId="7DE33CFC" w14:textId="77777777" w:rsidR="00510EFB" w:rsidRPr="00510EFB" w:rsidRDefault="00510EFB" w:rsidP="00510EFB">
            <w:r w:rsidRPr="00510EFB">
              <w:t>21.3 ± 2.4</w:t>
            </w:r>
          </w:p>
        </w:tc>
        <w:tc>
          <w:tcPr>
            <w:tcW w:w="0" w:type="auto"/>
            <w:hideMark/>
          </w:tcPr>
          <w:p w14:paraId="11A785DD" w14:textId="77777777" w:rsidR="00510EFB" w:rsidRPr="00510EFB" w:rsidRDefault="00510EFB" w:rsidP="00510EFB">
            <w:r w:rsidRPr="00510EFB">
              <w:t>&gt;40</w:t>
            </w:r>
          </w:p>
        </w:tc>
        <w:tc>
          <w:tcPr>
            <w:tcW w:w="0" w:type="auto"/>
            <w:hideMark/>
          </w:tcPr>
          <w:p w14:paraId="62C71B91" w14:textId="77777777" w:rsidR="00510EFB" w:rsidRPr="00510EFB" w:rsidRDefault="00510EFB" w:rsidP="00510EFB">
            <w:r w:rsidRPr="00510EFB">
              <w:t>20.8 ± 2.1</w:t>
            </w:r>
          </w:p>
        </w:tc>
      </w:tr>
      <w:tr w:rsidR="00510EFB" w:rsidRPr="00510EFB" w14:paraId="5E9F5BC8" w14:textId="77777777" w:rsidTr="00566B76">
        <w:trPr>
          <w:jc w:val="center"/>
        </w:trPr>
        <w:tc>
          <w:tcPr>
            <w:tcW w:w="0" w:type="auto"/>
            <w:hideMark/>
          </w:tcPr>
          <w:p w14:paraId="4CEE197A" w14:textId="77777777" w:rsidR="00510EFB" w:rsidRPr="00510EFB" w:rsidRDefault="005742BC" w:rsidP="00510EFB">
            <w:r>
              <w:rPr>
                <w:b/>
                <w:bCs/>
              </w:rPr>
              <w:t>5</w:t>
            </w:r>
            <w:r w:rsidR="00510EFB" w:rsidRPr="00566B76">
              <w:rPr>
                <w:b/>
                <w:bCs/>
              </w:rPr>
              <w:t>h</w:t>
            </w:r>
          </w:p>
        </w:tc>
        <w:tc>
          <w:tcPr>
            <w:tcW w:w="0" w:type="auto"/>
            <w:hideMark/>
          </w:tcPr>
          <w:p w14:paraId="65542DF1" w14:textId="77777777" w:rsidR="00510EFB" w:rsidRPr="00510EFB" w:rsidRDefault="00510EFB" w:rsidP="00510EFB">
            <w:r w:rsidRPr="00510EFB">
              <w:t>22.4 ± 2.0</w:t>
            </w:r>
          </w:p>
        </w:tc>
        <w:tc>
          <w:tcPr>
            <w:tcW w:w="0" w:type="auto"/>
            <w:hideMark/>
          </w:tcPr>
          <w:p w14:paraId="69736179" w14:textId="77777777" w:rsidR="00510EFB" w:rsidRPr="00510EFB" w:rsidRDefault="00510EFB" w:rsidP="00510EFB">
            <w:r w:rsidRPr="00510EFB">
              <w:t>&gt;40</w:t>
            </w:r>
          </w:p>
        </w:tc>
        <w:tc>
          <w:tcPr>
            <w:tcW w:w="0" w:type="auto"/>
            <w:hideMark/>
          </w:tcPr>
          <w:p w14:paraId="0A6F4084" w14:textId="77777777" w:rsidR="00510EFB" w:rsidRPr="00510EFB" w:rsidRDefault="00510EFB" w:rsidP="00510EFB">
            <w:r w:rsidRPr="00510EFB">
              <w:t>&gt;40</w:t>
            </w:r>
          </w:p>
        </w:tc>
        <w:tc>
          <w:tcPr>
            <w:tcW w:w="0" w:type="auto"/>
            <w:hideMark/>
          </w:tcPr>
          <w:p w14:paraId="690ACE75" w14:textId="77777777" w:rsidR="00510EFB" w:rsidRPr="00510EFB" w:rsidRDefault="00510EFB" w:rsidP="00510EFB">
            <w:r w:rsidRPr="00510EFB">
              <w:t>&gt;40</w:t>
            </w:r>
          </w:p>
        </w:tc>
      </w:tr>
      <w:tr w:rsidR="00510EFB" w:rsidRPr="00510EFB" w14:paraId="163611E7" w14:textId="77777777" w:rsidTr="00566B76">
        <w:trPr>
          <w:jc w:val="center"/>
        </w:trPr>
        <w:tc>
          <w:tcPr>
            <w:tcW w:w="0" w:type="auto"/>
            <w:hideMark/>
          </w:tcPr>
          <w:p w14:paraId="2290FC79" w14:textId="77777777" w:rsidR="00510EFB" w:rsidRPr="00510EFB" w:rsidRDefault="005742BC" w:rsidP="00510EFB">
            <w:r>
              <w:rPr>
                <w:b/>
                <w:bCs/>
              </w:rPr>
              <w:t>5i</w:t>
            </w:r>
          </w:p>
        </w:tc>
        <w:tc>
          <w:tcPr>
            <w:tcW w:w="0" w:type="auto"/>
            <w:hideMark/>
          </w:tcPr>
          <w:p w14:paraId="2F326841" w14:textId="77777777" w:rsidR="00510EFB" w:rsidRPr="00510EFB" w:rsidRDefault="00510EFB" w:rsidP="00510EFB">
            <w:r w:rsidRPr="00510EFB">
              <w:t>23.7 ± 2.4</w:t>
            </w:r>
          </w:p>
        </w:tc>
        <w:tc>
          <w:tcPr>
            <w:tcW w:w="0" w:type="auto"/>
            <w:hideMark/>
          </w:tcPr>
          <w:p w14:paraId="3BD6453A" w14:textId="77777777" w:rsidR="00510EFB" w:rsidRPr="00510EFB" w:rsidRDefault="00510EFB" w:rsidP="00510EFB">
            <w:r w:rsidRPr="00510EFB">
              <w:t>28.6 ± 3.1</w:t>
            </w:r>
          </w:p>
        </w:tc>
        <w:tc>
          <w:tcPr>
            <w:tcW w:w="0" w:type="auto"/>
            <w:hideMark/>
          </w:tcPr>
          <w:p w14:paraId="262AA414" w14:textId="77777777" w:rsidR="00510EFB" w:rsidRPr="00510EFB" w:rsidRDefault="00510EFB" w:rsidP="00510EFB">
            <w:r w:rsidRPr="00510EFB">
              <w:t>&gt;40</w:t>
            </w:r>
          </w:p>
        </w:tc>
        <w:tc>
          <w:tcPr>
            <w:tcW w:w="0" w:type="auto"/>
            <w:hideMark/>
          </w:tcPr>
          <w:p w14:paraId="4CE55D38" w14:textId="77777777" w:rsidR="00510EFB" w:rsidRPr="00510EFB" w:rsidRDefault="00510EFB" w:rsidP="00510EFB">
            <w:r w:rsidRPr="00510EFB">
              <w:t>24.9 ± 2.3</w:t>
            </w:r>
          </w:p>
        </w:tc>
      </w:tr>
      <w:tr w:rsidR="00510EFB" w:rsidRPr="00510EFB" w14:paraId="2CF801AA" w14:textId="77777777" w:rsidTr="00566B76">
        <w:trPr>
          <w:jc w:val="center"/>
        </w:trPr>
        <w:tc>
          <w:tcPr>
            <w:tcW w:w="0" w:type="auto"/>
            <w:hideMark/>
          </w:tcPr>
          <w:p w14:paraId="33597541" w14:textId="77777777" w:rsidR="00510EFB" w:rsidRPr="00510EFB" w:rsidRDefault="005742BC" w:rsidP="00510EFB">
            <w:r>
              <w:rPr>
                <w:b/>
                <w:bCs/>
              </w:rPr>
              <w:t>5j</w:t>
            </w:r>
          </w:p>
        </w:tc>
        <w:tc>
          <w:tcPr>
            <w:tcW w:w="0" w:type="auto"/>
            <w:hideMark/>
          </w:tcPr>
          <w:p w14:paraId="09F40A25" w14:textId="77777777" w:rsidR="00510EFB" w:rsidRPr="00510EFB" w:rsidRDefault="00510EFB" w:rsidP="00510EFB">
            <w:r w:rsidRPr="00510EFB">
              <w:t>34.1 ± 3.7</w:t>
            </w:r>
          </w:p>
        </w:tc>
        <w:tc>
          <w:tcPr>
            <w:tcW w:w="0" w:type="auto"/>
            <w:hideMark/>
          </w:tcPr>
          <w:p w14:paraId="7235E483" w14:textId="77777777" w:rsidR="00510EFB" w:rsidRPr="00510EFB" w:rsidRDefault="00510EFB" w:rsidP="00510EFB">
            <w:r w:rsidRPr="00510EFB">
              <w:t>&gt;40</w:t>
            </w:r>
          </w:p>
        </w:tc>
        <w:tc>
          <w:tcPr>
            <w:tcW w:w="0" w:type="auto"/>
            <w:hideMark/>
          </w:tcPr>
          <w:p w14:paraId="188C62D7" w14:textId="77777777" w:rsidR="00510EFB" w:rsidRPr="00510EFB" w:rsidRDefault="00510EFB" w:rsidP="00510EFB">
            <w:r w:rsidRPr="00510EFB">
              <w:t>30.4 ± 3.2</w:t>
            </w:r>
          </w:p>
        </w:tc>
        <w:tc>
          <w:tcPr>
            <w:tcW w:w="0" w:type="auto"/>
            <w:hideMark/>
          </w:tcPr>
          <w:p w14:paraId="5CB87F49" w14:textId="77777777" w:rsidR="00510EFB" w:rsidRPr="00510EFB" w:rsidRDefault="00510EFB" w:rsidP="00510EFB">
            <w:r w:rsidRPr="00510EFB">
              <w:t>&gt;40</w:t>
            </w:r>
          </w:p>
        </w:tc>
      </w:tr>
      <w:tr w:rsidR="00510EFB" w:rsidRPr="00510EFB" w14:paraId="6CA76016" w14:textId="77777777" w:rsidTr="00566B76">
        <w:trPr>
          <w:jc w:val="center"/>
        </w:trPr>
        <w:tc>
          <w:tcPr>
            <w:tcW w:w="0" w:type="auto"/>
            <w:hideMark/>
          </w:tcPr>
          <w:p w14:paraId="4164B10C" w14:textId="77777777" w:rsidR="00510EFB" w:rsidRPr="00510EFB" w:rsidRDefault="005742BC" w:rsidP="00510EFB">
            <w:r>
              <w:rPr>
                <w:b/>
                <w:bCs/>
              </w:rPr>
              <w:t>5k</w:t>
            </w:r>
          </w:p>
        </w:tc>
        <w:tc>
          <w:tcPr>
            <w:tcW w:w="0" w:type="auto"/>
            <w:hideMark/>
          </w:tcPr>
          <w:p w14:paraId="4EE8EE7A" w14:textId="77777777" w:rsidR="00510EFB" w:rsidRPr="00510EFB" w:rsidRDefault="00510EFB" w:rsidP="00510EFB">
            <w:r w:rsidRPr="00510EFB">
              <w:t>38.5 ± 4.2</w:t>
            </w:r>
          </w:p>
        </w:tc>
        <w:tc>
          <w:tcPr>
            <w:tcW w:w="0" w:type="auto"/>
            <w:hideMark/>
          </w:tcPr>
          <w:p w14:paraId="5911A558" w14:textId="77777777" w:rsidR="00510EFB" w:rsidRPr="00510EFB" w:rsidRDefault="00510EFB" w:rsidP="00510EFB">
            <w:r w:rsidRPr="00510EFB">
              <w:t>&gt;40</w:t>
            </w:r>
          </w:p>
        </w:tc>
        <w:tc>
          <w:tcPr>
            <w:tcW w:w="0" w:type="auto"/>
            <w:hideMark/>
          </w:tcPr>
          <w:p w14:paraId="150117CF" w14:textId="77777777" w:rsidR="00510EFB" w:rsidRPr="00510EFB" w:rsidRDefault="00510EFB" w:rsidP="00510EFB">
            <w:r w:rsidRPr="00510EFB">
              <w:t>24.1 ± 2.6</w:t>
            </w:r>
          </w:p>
        </w:tc>
        <w:tc>
          <w:tcPr>
            <w:tcW w:w="0" w:type="auto"/>
            <w:hideMark/>
          </w:tcPr>
          <w:p w14:paraId="65FB16D2" w14:textId="77777777" w:rsidR="00510EFB" w:rsidRPr="00510EFB" w:rsidRDefault="00510EFB" w:rsidP="00510EFB">
            <w:r w:rsidRPr="00510EFB">
              <w:t>&gt;40</w:t>
            </w:r>
          </w:p>
        </w:tc>
      </w:tr>
      <w:tr w:rsidR="00510EFB" w:rsidRPr="00510EFB" w14:paraId="189ACAF2" w14:textId="77777777" w:rsidTr="00566B76">
        <w:trPr>
          <w:jc w:val="center"/>
        </w:trPr>
        <w:tc>
          <w:tcPr>
            <w:tcW w:w="0" w:type="auto"/>
            <w:hideMark/>
          </w:tcPr>
          <w:p w14:paraId="6C1E181D" w14:textId="77777777" w:rsidR="00510EFB" w:rsidRPr="00510EFB" w:rsidRDefault="005742BC" w:rsidP="00510EFB">
            <w:r>
              <w:rPr>
                <w:b/>
                <w:bCs/>
              </w:rPr>
              <w:t>5l</w:t>
            </w:r>
          </w:p>
        </w:tc>
        <w:tc>
          <w:tcPr>
            <w:tcW w:w="0" w:type="auto"/>
            <w:hideMark/>
          </w:tcPr>
          <w:p w14:paraId="598FEE92" w14:textId="77777777" w:rsidR="00510EFB" w:rsidRPr="00510EFB" w:rsidRDefault="00510EFB" w:rsidP="00510EFB">
            <w:r w:rsidRPr="00510EFB">
              <w:t>24.2 ± 2.1</w:t>
            </w:r>
          </w:p>
        </w:tc>
        <w:tc>
          <w:tcPr>
            <w:tcW w:w="0" w:type="auto"/>
            <w:hideMark/>
          </w:tcPr>
          <w:p w14:paraId="01C02F62" w14:textId="77777777" w:rsidR="00510EFB" w:rsidRPr="00510EFB" w:rsidRDefault="00510EFB" w:rsidP="00510EFB">
            <w:r w:rsidRPr="00510EFB">
              <w:t>19.8 ± 2.0</w:t>
            </w:r>
          </w:p>
        </w:tc>
        <w:tc>
          <w:tcPr>
            <w:tcW w:w="0" w:type="auto"/>
            <w:hideMark/>
          </w:tcPr>
          <w:p w14:paraId="44E67BFF" w14:textId="77777777" w:rsidR="00510EFB" w:rsidRPr="00510EFB" w:rsidRDefault="00510EFB" w:rsidP="00510EFB">
            <w:r w:rsidRPr="00510EFB">
              <w:t>&gt;40</w:t>
            </w:r>
          </w:p>
        </w:tc>
        <w:tc>
          <w:tcPr>
            <w:tcW w:w="0" w:type="auto"/>
            <w:hideMark/>
          </w:tcPr>
          <w:p w14:paraId="592FC4B9" w14:textId="77777777" w:rsidR="00510EFB" w:rsidRPr="00510EFB" w:rsidRDefault="00510EFB" w:rsidP="00510EFB">
            <w:r w:rsidRPr="00510EFB">
              <w:t>30.6 ± 3.4</w:t>
            </w:r>
          </w:p>
        </w:tc>
      </w:tr>
      <w:tr w:rsidR="00510EFB" w:rsidRPr="00510EFB" w14:paraId="4E1D4073" w14:textId="77777777" w:rsidTr="00566B76">
        <w:trPr>
          <w:jc w:val="center"/>
        </w:trPr>
        <w:tc>
          <w:tcPr>
            <w:tcW w:w="0" w:type="auto"/>
            <w:hideMark/>
          </w:tcPr>
          <w:p w14:paraId="0568624F" w14:textId="77777777" w:rsidR="00510EFB" w:rsidRPr="00510EFB" w:rsidRDefault="005742BC" w:rsidP="00510EFB">
            <w:r>
              <w:rPr>
                <w:b/>
                <w:bCs/>
              </w:rPr>
              <w:t>5m</w:t>
            </w:r>
          </w:p>
        </w:tc>
        <w:tc>
          <w:tcPr>
            <w:tcW w:w="0" w:type="auto"/>
            <w:hideMark/>
          </w:tcPr>
          <w:p w14:paraId="1090339D" w14:textId="77777777" w:rsidR="00510EFB" w:rsidRPr="00510EFB" w:rsidRDefault="00510EFB" w:rsidP="00510EFB">
            <w:r w:rsidRPr="00510EFB">
              <w:t>25.6 ± 2.3</w:t>
            </w:r>
          </w:p>
        </w:tc>
        <w:tc>
          <w:tcPr>
            <w:tcW w:w="0" w:type="auto"/>
            <w:hideMark/>
          </w:tcPr>
          <w:p w14:paraId="0718C962" w14:textId="77777777" w:rsidR="00510EFB" w:rsidRPr="00510EFB" w:rsidRDefault="00510EFB" w:rsidP="00510EFB">
            <w:r w:rsidRPr="00510EFB">
              <w:t>&gt;40</w:t>
            </w:r>
          </w:p>
        </w:tc>
        <w:tc>
          <w:tcPr>
            <w:tcW w:w="0" w:type="auto"/>
            <w:hideMark/>
          </w:tcPr>
          <w:p w14:paraId="5CF262AE" w14:textId="77777777" w:rsidR="00510EFB" w:rsidRPr="00510EFB" w:rsidRDefault="00510EFB" w:rsidP="00510EFB">
            <w:r w:rsidRPr="00510EFB">
              <w:t>27.8 ± 3.0</w:t>
            </w:r>
          </w:p>
        </w:tc>
        <w:tc>
          <w:tcPr>
            <w:tcW w:w="0" w:type="auto"/>
            <w:hideMark/>
          </w:tcPr>
          <w:p w14:paraId="59C0A23F" w14:textId="77777777" w:rsidR="00510EFB" w:rsidRPr="00510EFB" w:rsidRDefault="00510EFB" w:rsidP="00510EFB">
            <w:r w:rsidRPr="00510EFB">
              <w:t>&gt;40</w:t>
            </w:r>
          </w:p>
        </w:tc>
      </w:tr>
      <w:tr w:rsidR="00510EFB" w:rsidRPr="00510EFB" w14:paraId="2B22778F" w14:textId="77777777" w:rsidTr="00566B76">
        <w:trPr>
          <w:jc w:val="center"/>
        </w:trPr>
        <w:tc>
          <w:tcPr>
            <w:tcW w:w="0" w:type="auto"/>
            <w:hideMark/>
          </w:tcPr>
          <w:p w14:paraId="533E5564" w14:textId="77777777" w:rsidR="00510EFB" w:rsidRPr="00510EFB" w:rsidRDefault="005742BC" w:rsidP="00510EFB">
            <w:r>
              <w:rPr>
                <w:b/>
                <w:bCs/>
              </w:rPr>
              <w:t>5n</w:t>
            </w:r>
          </w:p>
        </w:tc>
        <w:tc>
          <w:tcPr>
            <w:tcW w:w="0" w:type="auto"/>
            <w:hideMark/>
          </w:tcPr>
          <w:p w14:paraId="195EC076" w14:textId="77777777" w:rsidR="00510EFB" w:rsidRPr="00510EFB" w:rsidRDefault="00510EFB" w:rsidP="00510EFB">
            <w:r w:rsidRPr="00510EFB">
              <w:t>16.3 ± 1.6</w:t>
            </w:r>
          </w:p>
        </w:tc>
        <w:tc>
          <w:tcPr>
            <w:tcW w:w="0" w:type="auto"/>
            <w:hideMark/>
          </w:tcPr>
          <w:p w14:paraId="630A2E41" w14:textId="77777777" w:rsidR="00510EFB" w:rsidRPr="00510EFB" w:rsidRDefault="00510EFB" w:rsidP="00510EFB">
            <w:r w:rsidRPr="00510EFB">
              <w:t>&gt;40</w:t>
            </w:r>
          </w:p>
        </w:tc>
        <w:tc>
          <w:tcPr>
            <w:tcW w:w="0" w:type="auto"/>
            <w:hideMark/>
          </w:tcPr>
          <w:p w14:paraId="189D6715" w14:textId="77777777" w:rsidR="00510EFB" w:rsidRPr="00510EFB" w:rsidRDefault="00510EFB" w:rsidP="00510EFB">
            <w:r w:rsidRPr="00566B76">
              <w:rPr>
                <w:b/>
                <w:bCs/>
              </w:rPr>
              <w:t>7.6 ± 0.8</w:t>
            </w:r>
          </w:p>
        </w:tc>
        <w:tc>
          <w:tcPr>
            <w:tcW w:w="0" w:type="auto"/>
            <w:hideMark/>
          </w:tcPr>
          <w:p w14:paraId="69884095" w14:textId="77777777" w:rsidR="00510EFB" w:rsidRPr="00510EFB" w:rsidRDefault="00510EFB" w:rsidP="00510EFB">
            <w:r w:rsidRPr="00510EFB">
              <w:t>21.4 ± 2.2</w:t>
            </w:r>
          </w:p>
        </w:tc>
      </w:tr>
      <w:tr w:rsidR="00510EFB" w:rsidRPr="00510EFB" w14:paraId="27C4392F" w14:textId="77777777" w:rsidTr="00566B76">
        <w:trPr>
          <w:jc w:val="center"/>
        </w:trPr>
        <w:tc>
          <w:tcPr>
            <w:tcW w:w="0" w:type="auto"/>
            <w:hideMark/>
          </w:tcPr>
          <w:p w14:paraId="64518436" w14:textId="77777777" w:rsidR="00510EFB" w:rsidRPr="00510EFB" w:rsidRDefault="005742BC" w:rsidP="00510EFB">
            <w:r>
              <w:rPr>
                <w:b/>
                <w:bCs/>
              </w:rPr>
              <w:t>5o</w:t>
            </w:r>
          </w:p>
        </w:tc>
        <w:tc>
          <w:tcPr>
            <w:tcW w:w="0" w:type="auto"/>
            <w:hideMark/>
          </w:tcPr>
          <w:p w14:paraId="2649EE99" w14:textId="77777777" w:rsidR="00510EFB" w:rsidRPr="00510EFB" w:rsidRDefault="00510EFB" w:rsidP="00510EFB">
            <w:r w:rsidRPr="00510EFB">
              <w:t>22.8 ± 2.5</w:t>
            </w:r>
          </w:p>
        </w:tc>
        <w:tc>
          <w:tcPr>
            <w:tcW w:w="0" w:type="auto"/>
            <w:hideMark/>
          </w:tcPr>
          <w:p w14:paraId="7D533B65" w14:textId="77777777" w:rsidR="00510EFB" w:rsidRPr="00510EFB" w:rsidRDefault="00510EFB" w:rsidP="00510EFB">
            <w:r w:rsidRPr="00510EFB">
              <w:t>&gt;40</w:t>
            </w:r>
          </w:p>
        </w:tc>
        <w:tc>
          <w:tcPr>
            <w:tcW w:w="0" w:type="auto"/>
            <w:hideMark/>
          </w:tcPr>
          <w:p w14:paraId="7D1A8D65" w14:textId="77777777" w:rsidR="00510EFB" w:rsidRPr="00510EFB" w:rsidRDefault="00510EFB" w:rsidP="00510EFB">
            <w:r w:rsidRPr="00510EFB">
              <w:t>&gt;40</w:t>
            </w:r>
          </w:p>
        </w:tc>
        <w:tc>
          <w:tcPr>
            <w:tcW w:w="0" w:type="auto"/>
            <w:hideMark/>
          </w:tcPr>
          <w:p w14:paraId="7EAF57B2" w14:textId="77777777" w:rsidR="00510EFB" w:rsidRPr="00510EFB" w:rsidRDefault="00510EFB" w:rsidP="00510EFB">
            <w:r w:rsidRPr="00510EFB">
              <w:t>&gt;40</w:t>
            </w:r>
          </w:p>
        </w:tc>
      </w:tr>
      <w:tr w:rsidR="00510EFB" w:rsidRPr="00510EFB" w14:paraId="418206EA" w14:textId="77777777" w:rsidTr="00566B76">
        <w:trPr>
          <w:jc w:val="center"/>
        </w:trPr>
        <w:tc>
          <w:tcPr>
            <w:tcW w:w="0" w:type="auto"/>
            <w:hideMark/>
          </w:tcPr>
          <w:p w14:paraId="2DD27ABF" w14:textId="77777777" w:rsidR="00510EFB" w:rsidRPr="00510EFB" w:rsidRDefault="00510EFB" w:rsidP="00510EFB">
            <w:r w:rsidRPr="00566B76">
              <w:rPr>
                <w:b/>
                <w:bCs/>
              </w:rPr>
              <w:t>Doxorubicin</w:t>
            </w:r>
          </w:p>
        </w:tc>
        <w:tc>
          <w:tcPr>
            <w:tcW w:w="0" w:type="auto"/>
            <w:hideMark/>
          </w:tcPr>
          <w:p w14:paraId="7EBBAD7A" w14:textId="77777777" w:rsidR="00510EFB" w:rsidRPr="00510EFB" w:rsidRDefault="00510EFB" w:rsidP="00510EFB">
            <w:r w:rsidRPr="00510EFB">
              <w:t>0.69 ± 0.03</w:t>
            </w:r>
          </w:p>
        </w:tc>
        <w:tc>
          <w:tcPr>
            <w:tcW w:w="0" w:type="auto"/>
            <w:hideMark/>
          </w:tcPr>
          <w:p w14:paraId="00FB1517" w14:textId="77777777" w:rsidR="00510EFB" w:rsidRPr="00510EFB" w:rsidRDefault="00510EFB" w:rsidP="00510EFB">
            <w:r w:rsidRPr="00510EFB">
              <w:t>1.88 ± 0.56</w:t>
            </w:r>
          </w:p>
        </w:tc>
        <w:tc>
          <w:tcPr>
            <w:tcW w:w="0" w:type="auto"/>
            <w:hideMark/>
          </w:tcPr>
          <w:p w14:paraId="3B64B8E5" w14:textId="77777777" w:rsidR="00510EFB" w:rsidRPr="00510EFB" w:rsidRDefault="00510EFB" w:rsidP="00510EFB">
            <w:r w:rsidRPr="00510EFB">
              <w:t>0.08 ± 0.01</w:t>
            </w:r>
          </w:p>
        </w:tc>
        <w:tc>
          <w:tcPr>
            <w:tcW w:w="0" w:type="auto"/>
            <w:hideMark/>
          </w:tcPr>
          <w:p w14:paraId="2216031C" w14:textId="77777777" w:rsidR="00510EFB" w:rsidRPr="00510EFB" w:rsidRDefault="00510EFB" w:rsidP="00510EFB">
            <w:r w:rsidRPr="00510EFB">
              <w:t>10.9 ± 1.76</w:t>
            </w:r>
          </w:p>
        </w:tc>
      </w:tr>
      <w:tr w:rsidR="00510EFB" w:rsidRPr="00566B76" w14:paraId="7DF3243A" w14:textId="77777777" w:rsidTr="00566B76">
        <w:trPr>
          <w:jc w:val="center"/>
        </w:trPr>
        <w:tc>
          <w:tcPr>
            <w:tcW w:w="0" w:type="auto"/>
            <w:gridSpan w:val="5"/>
          </w:tcPr>
          <w:p w14:paraId="34500C43" w14:textId="77777777" w:rsidR="00510EFB" w:rsidRPr="00510EFB" w:rsidRDefault="00510EFB" w:rsidP="00510EFB">
            <w:r w:rsidRPr="00566B76">
              <w:rPr>
                <w:bCs/>
                <w:sz w:val="20"/>
                <w:szCs w:val="20"/>
              </w:rPr>
              <w:t>50% Inhibitory concentration after 48 h of drug treatment,</w:t>
            </w:r>
            <w:r w:rsidRPr="00566B76">
              <w:rPr>
                <w:bCs/>
                <w:sz w:val="20"/>
                <w:szCs w:val="20"/>
                <w:vertAlign w:val="superscript"/>
              </w:rPr>
              <w:t xml:space="preserve"> </w:t>
            </w:r>
            <w:proofErr w:type="spellStart"/>
            <w:r w:rsidRPr="00566B76">
              <w:rPr>
                <w:bCs/>
                <w:sz w:val="20"/>
                <w:szCs w:val="20"/>
                <w:vertAlign w:val="superscript"/>
              </w:rPr>
              <w:t>a,</w:t>
            </w:r>
            <w:r w:rsidRPr="00566B76">
              <w:rPr>
                <w:bCs/>
                <w:sz w:val="20"/>
                <w:szCs w:val="20"/>
              </w:rPr>
              <w:t>breast</w:t>
            </w:r>
            <w:proofErr w:type="spellEnd"/>
            <w:r w:rsidRPr="00566B76">
              <w:rPr>
                <w:bCs/>
                <w:sz w:val="20"/>
                <w:szCs w:val="20"/>
              </w:rPr>
              <w:t xml:space="preserve"> cancer, </w:t>
            </w:r>
            <w:proofErr w:type="spellStart"/>
            <w:r w:rsidRPr="00566B76">
              <w:rPr>
                <w:bCs/>
                <w:sz w:val="20"/>
                <w:szCs w:val="20"/>
                <w:vertAlign w:val="superscript"/>
              </w:rPr>
              <w:t>b</w:t>
            </w:r>
            <w:r w:rsidRPr="00566B76">
              <w:rPr>
                <w:bCs/>
                <w:sz w:val="20"/>
                <w:szCs w:val="20"/>
              </w:rPr>
              <w:t>lung</w:t>
            </w:r>
            <w:proofErr w:type="spellEnd"/>
            <w:r w:rsidRPr="00566B76">
              <w:rPr>
                <w:bCs/>
                <w:sz w:val="20"/>
                <w:szCs w:val="20"/>
              </w:rPr>
              <w:t xml:space="preserve"> cancer</w:t>
            </w:r>
            <w:r w:rsidRPr="00566B76">
              <w:rPr>
                <w:bCs/>
                <w:sz w:val="20"/>
                <w:szCs w:val="20"/>
                <w:vertAlign w:val="superscript"/>
              </w:rPr>
              <w:t xml:space="preserve"> </w:t>
            </w:r>
            <w:proofErr w:type="spellStart"/>
            <w:r w:rsidRPr="00566B76">
              <w:rPr>
                <w:bCs/>
                <w:sz w:val="20"/>
                <w:szCs w:val="20"/>
                <w:vertAlign w:val="superscript"/>
              </w:rPr>
              <w:t>c</w:t>
            </w:r>
            <w:r w:rsidRPr="00566B76">
              <w:rPr>
                <w:bCs/>
                <w:sz w:val="20"/>
                <w:szCs w:val="20"/>
              </w:rPr>
              <w:t>prostate</w:t>
            </w:r>
            <w:proofErr w:type="spellEnd"/>
            <w:r w:rsidRPr="00566B76">
              <w:rPr>
                <w:bCs/>
                <w:sz w:val="20"/>
                <w:szCs w:val="20"/>
              </w:rPr>
              <w:t xml:space="preserve"> cancer, </w:t>
            </w:r>
            <w:proofErr w:type="spellStart"/>
            <w:r w:rsidRPr="00566B76">
              <w:rPr>
                <w:bCs/>
                <w:sz w:val="20"/>
                <w:szCs w:val="20"/>
                <w:vertAlign w:val="superscript"/>
              </w:rPr>
              <w:t>d</w:t>
            </w:r>
            <w:r w:rsidRPr="00566B76">
              <w:rPr>
                <w:bCs/>
                <w:sz w:val="20"/>
                <w:szCs w:val="20"/>
              </w:rPr>
              <w:t>breast</w:t>
            </w:r>
            <w:proofErr w:type="spellEnd"/>
            <w:r w:rsidRPr="00566B76">
              <w:rPr>
                <w:bCs/>
                <w:sz w:val="20"/>
                <w:szCs w:val="20"/>
              </w:rPr>
              <w:t xml:space="preserve"> cancer</w:t>
            </w:r>
          </w:p>
        </w:tc>
      </w:tr>
    </w:tbl>
    <w:p w14:paraId="73C1C69E" w14:textId="77777777" w:rsidR="008F6E24" w:rsidRPr="00013EB2" w:rsidRDefault="008F6E24" w:rsidP="008F6E24">
      <w:pPr>
        <w:pStyle w:val="Heading2"/>
        <w:spacing w:line="360" w:lineRule="auto"/>
        <w:jc w:val="both"/>
        <w:rPr>
          <w:rStyle w:val="Strong"/>
          <w:rFonts w:ascii="Times New Roman" w:hAnsi="Times New Roman"/>
          <w:b/>
          <w:bCs/>
          <w:color w:val="auto"/>
          <w:sz w:val="24"/>
          <w:szCs w:val="24"/>
        </w:rPr>
      </w:pPr>
      <w:r>
        <w:rPr>
          <w:rFonts w:ascii="Times New Roman" w:hAnsi="Times New Roman"/>
          <w:color w:val="auto"/>
          <w:sz w:val="24"/>
          <w:szCs w:val="24"/>
        </w:rPr>
        <w:t>Table 3</w:t>
      </w:r>
      <w:r w:rsidR="008E3F85">
        <w:rPr>
          <w:rFonts w:ascii="Times New Roman" w:hAnsi="Times New Roman"/>
          <w:color w:val="auto"/>
          <w:sz w:val="24"/>
          <w:szCs w:val="24"/>
        </w:rPr>
        <w:t xml:space="preserve">. </w:t>
      </w:r>
      <w:r>
        <w:rPr>
          <w:rFonts w:ascii="Times New Roman" w:hAnsi="Times New Roman"/>
          <w:color w:val="auto"/>
          <w:sz w:val="24"/>
          <w:szCs w:val="24"/>
        </w:rPr>
        <w:t>EGFR Inhibitory Activity (IC</w:t>
      </w:r>
      <w:r>
        <w:rPr>
          <w:rFonts w:ascii="Times New Roman" w:hAnsi="Times New Roman"/>
          <w:color w:val="auto"/>
          <w:sz w:val="24"/>
          <w:szCs w:val="24"/>
          <w:vertAlign w:val="subscript"/>
        </w:rPr>
        <w:t>50</w:t>
      </w:r>
      <w:r w:rsidRPr="00013EB2">
        <w:rPr>
          <w:rFonts w:ascii="Times New Roman" w:hAnsi="Times New Roman"/>
          <w:color w:val="auto"/>
          <w:sz w:val="24"/>
          <w:szCs w:val="24"/>
        </w:rPr>
        <w:t xml:space="preserve"> ± SD</w:t>
      </w:r>
      <w:r w:rsidR="00A97D70">
        <w:rPr>
          <w:rFonts w:ascii="Times New Roman" w:hAnsi="Times New Roman"/>
          <w:color w:val="auto"/>
          <w:sz w:val="24"/>
          <w:szCs w:val="24"/>
        </w:rPr>
        <w:t>, µM) of Compounds 5</w:t>
      </w:r>
      <w:r>
        <w:rPr>
          <w:rFonts w:ascii="Times New Roman" w:hAnsi="Times New Roman"/>
          <w:color w:val="auto"/>
          <w:sz w:val="24"/>
          <w:szCs w:val="24"/>
        </w:rPr>
        <w:t>a-6g and 7a-</w:t>
      </w:r>
      <w:r w:rsidRPr="00013EB2">
        <w:rPr>
          <w:rFonts w:ascii="Times New Roman" w:hAnsi="Times New Roman"/>
          <w:color w:val="auto"/>
          <w:sz w:val="24"/>
          <w:szCs w:val="24"/>
        </w:rPr>
        <w:t>7h</w:t>
      </w:r>
    </w:p>
    <w:tbl>
      <w:tblPr>
        <w:tblW w:w="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551"/>
      </w:tblGrid>
      <w:tr w:rsidR="008F6E24" w:rsidRPr="00566B76" w14:paraId="5C8A4573" w14:textId="77777777" w:rsidTr="009D3AA2">
        <w:trPr>
          <w:jc w:val="center"/>
        </w:trPr>
        <w:tc>
          <w:tcPr>
            <w:tcW w:w="570" w:type="dxa"/>
            <w:hideMark/>
          </w:tcPr>
          <w:p w14:paraId="6BED9DD9" w14:textId="77777777" w:rsidR="008F6E24" w:rsidRPr="00074369" w:rsidRDefault="008F6E24" w:rsidP="009D3AA2">
            <w:pPr>
              <w:jc w:val="center"/>
              <w:rPr>
                <w:b/>
                <w:bCs/>
              </w:rPr>
            </w:pPr>
            <w:r w:rsidRPr="00074369">
              <w:rPr>
                <w:b/>
                <w:bCs/>
              </w:rPr>
              <w:t>S. No.</w:t>
            </w:r>
          </w:p>
        </w:tc>
        <w:tc>
          <w:tcPr>
            <w:tcW w:w="1523" w:type="dxa"/>
            <w:hideMark/>
          </w:tcPr>
          <w:p w14:paraId="15CD70D1" w14:textId="77777777" w:rsidR="008F6E24" w:rsidRPr="00074369" w:rsidRDefault="008F6E24" w:rsidP="009D3AA2">
            <w:pPr>
              <w:jc w:val="center"/>
              <w:rPr>
                <w:b/>
                <w:bCs/>
              </w:rPr>
            </w:pPr>
            <w:r w:rsidRPr="00074369">
              <w:rPr>
                <w:b/>
                <w:bCs/>
              </w:rPr>
              <w:t>Compound</w:t>
            </w:r>
          </w:p>
        </w:tc>
        <w:tc>
          <w:tcPr>
            <w:tcW w:w="2551" w:type="dxa"/>
            <w:hideMark/>
          </w:tcPr>
          <w:p w14:paraId="056DB375" w14:textId="77777777" w:rsidR="008F6E24" w:rsidRPr="00074369" w:rsidRDefault="008F6E24" w:rsidP="009D3AA2">
            <w:pPr>
              <w:jc w:val="center"/>
              <w:rPr>
                <w:b/>
                <w:bCs/>
              </w:rPr>
            </w:pPr>
            <w:r w:rsidRPr="00566B76">
              <w:rPr>
                <w:b/>
                <w:bCs/>
              </w:rPr>
              <w:t>EGFR IC</w:t>
            </w:r>
            <w:r w:rsidRPr="00566B76">
              <w:rPr>
                <w:b/>
                <w:bCs/>
                <w:vertAlign w:val="subscript"/>
              </w:rPr>
              <w:t>50</w:t>
            </w:r>
            <w:r w:rsidRPr="00074369">
              <w:rPr>
                <w:b/>
                <w:bCs/>
              </w:rPr>
              <w:t xml:space="preserve"> (µM) ± SD</w:t>
            </w:r>
          </w:p>
        </w:tc>
      </w:tr>
      <w:tr w:rsidR="008F6E24" w:rsidRPr="00566B76" w14:paraId="0DC3BDCC" w14:textId="77777777" w:rsidTr="009D3AA2">
        <w:trPr>
          <w:jc w:val="center"/>
        </w:trPr>
        <w:tc>
          <w:tcPr>
            <w:tcW w:w="570" w:type="dxa"/>
            <w:hideMark/>
          </w:tcPr>
          <w:p w14:paraId="3F974497" w14:textId="77777777" w:rsidR="008F6E24" w:rsidRPr="00074369" w:rsidRDefault="008F6E24" w:rsidP="009D3AA2">
            <w:r w:rsidRPr="00074369">
              <w:t>1</w:t>
            </w:r>
          </w:p>
        </w:tc>
        <w:tc>
          <w:tcPr>
            <w:tcW w:w="1523" w:type="dxa"/>
            <w:hideMark/>
          </w:tcPr>
          <w:p w14:paraId="292F1957" w14:textId="77777777" w:rsidR="008F6E24" w:rsidRPr="00510EFB" w:rsidRDefault="008F6E24" w:rsidP="009D3AA2">
            <w:r>
              <w:rPr>
                <w:b/>
                <w:bCs/>
              </w:rPr>
              <w:t>5</w:t>
            </w:r>
            <w:r w:rsidRPr="00566B76">
              <w:rPr>
                <w:b/>
                <w:bCs/>
              </w:rPr>
              <w:t>a</w:t>
            </w:r>
          </w:p>
        </w:tc>
        <w:tc>
          <w:tcPr>
            <w:tcW w:w="2551" w:type="dxa"/>
            <w:hideMark/>
          </w:tcPr>
          <w:p w14:paraId="0EEBF932" w14:textId="77777777" w:rsidR="008F6E24" w:rsidRPr="00074369" w:rsidRDefault="008F6E24" w:rsidP="009D3AA2">
            <w:r w:rsidRPr="00074369">
              <w:t>24.6 ± 1.9</w:t>
            </w:r>
          </w:p>
        </w:tc>
      </w:tr>
      <w:tr w:rsidR="008F6E24" w:rsidRPr="00566B76" w14:paraId="1BBF4B9C" w14:textId="77777777" w:rsidTr="009D3AA2">
        <w:trPr>
          <w:jc w:val="center"/>
        </w:trPr>
        <w:tc>
          <w:tcPr>
            <w:tcW w:w="570" w:type="dxa"/>
            <w:hideMark/>
          </w:tcPr>
          <w:p w14:paraId="2954EB4A" w14:textId="77777777" w:rsidR="008F6E24" w:rsidRPr="00074369" w:rsidRDefault="008F6E24" w:rsidP="009D3AA2">
            <w:r w:rsidRPr="00074369">
              <w:t>2</w:t>
            </w:r>
          </w:p>
        </w:tc>
        <w:tc>
          <w:tcPr>
            <w:tcW w:w="1523" w:type="dxa"/>
            <w:hideMark/>
          </w:tcPr>
          <w:p w14:paraId="39D347DB" w14:textId="77777777" w:rsidR="008F6E24" w:rsidRPr="00510EFB" w:rsidRDefault="008F6E24" w:rsidP="009D3AA2">
            <w:r>
              <w:rPr>
                <w:b/>
                <w:bCs/>
              </w:rPr>
              <w:t>5</w:t>
            </w:r>
            <w:r w:rsidRPr="00566B76">
              <w:rPr>
                <w:b/>
                <w:bCs/>
              </w:rPr>
              <w:t>b</w:t>
            </w:r>
          </w:p>
        </w:tc>
        <w:tc>
          <w:tcPr>
            <w:tcW w:w="2551" w:type="dxa"/>
            <w:hideMark/>
          </w:tcPr>
          <w:p w14:paraId="79786B74" w14:textId="77777777" w:rsidR="008F6E24" w:rsidRPr="00074369" w:rsidRDefault="008F6E24" w:rsidP="009D3AA2">
            <w:r w:rsidRPr="00074369">
              <w:t>31.8 ± 2.4</w:t>
            </w:r>
          </w:p>
        </w:tc>
      </w:tr>
      <w:tr w:rsidR="008F6E24" w:rsidRPr="00566B76" w14:paraId="5DD65118" w14:textId="77777777" w:rsidTr="009D3AA2">
        <w:trPr>
          <w:jc w:val="center"/>
        </w:trPr>
        <w:tc>
          <w:tcPr>
            <w:tcW w:w="570" w:type="dxa"/>
            <w:hideMark/>
          </w:tcPr>
          <w:p w14:paraId="14C46CED" w14:textId="77777777" w:rsidR="008F6E24" w:rsidRPr="00074369" w:rsidRDefault="008F6E24" w:rsidP="009D3AA2">
            <w:r w:rsidRPr="00074369">
              <w:t>3</w:t>
            </w:r>
          </w:p>
        </w:tc>
        <w:tc>
          <w:tcPr>
            <w:tcW w:w="1523" w:type="dxa"/>
            <w:hideMark/>
          </w:tcPr>
          <w:p w14:paraId="4E937DFD" w14:textId="77777777" w:rsidR="008F6E24" w:rsidRPr="00510EFB" w:rsidRDefault="008F6E24" w:rsidP="009D3AA2">
            <w:r>
              <w:rPr>
                <w:b/>
                <w:bCs/>
              </w:rPr>
              <w:t>5</w:t>
            </w:r>
            <w:r w:rsidRPr="00566B76">
              <w:rPr>
                <w:b/>
                <w:bCs/>
              </w:rPr>
              <w:t>c</w:t>
            </w:r>
          </w:p>
        </w:tc>
        <w:tc>
          <w:tcPr>
            <w:tcW w:w="2551" w:type="dxa"/>
            <w:hideMark/>
          </w:tcPr>
          <w:p w14:paraId="0B552E1A" w14:textId="77777777" w:rsidR="008F6E24" w:rsidRPr="00074369" w:rsidRDefault="008F6E24" w:rsidP="009D3AA2">
            <w:r w:rsidRPr="00566B76">
              <w:rPr>
                <w:b/>
                <w:bCs/>
              </w:rPr>
              <w:t>6.9 ± 0.7</w:t>
            </w:r>
          </w:p>
        </w:tc>
      </w:tr>
      <w:tr w:rsidR="008F6E24" w:rsidRPr="00566B76" w14:paraId="29C42E13" w14:textId="77777777" w:rsidTr="009D3AA2">
        <w:trPr>
          <w:jc w:val="center"/>
        </w:trPr>
        <w:tc>
          <w:tcPr>
            <w:tcW w:w="570" w:type="dxa"/>
            <w:hideMark/>
          </w:tcPr>
          <w:p w14:paraId="01F1E1A9" w14:textId="77777777" w:rsidR="008F6E24" w:rsidRPr="00074369" w:rsidRDefault="008F6E24" w:rsidP="009D3AA2">
            <w:r w:rsidRPr="00074369">
              <w:t>4</w:t>
            </w:r>
          </w:p>
        </w:tc>
        <w:tc>
          <w:tcPr>
            <w:tcW w:w="1523" w:type="dxa"/>
            <w:hideMark/>
          </w:tcPr>
          <w:p w14:paraId="376ABF00" w14:textId="77777777" w:rsidR="008F6E24" w:rsidRPr="00510EFB" w:rsidRDefault="008F6E24" w:rsidP="009D3AA2">
            <w:r>
              <w:rPr>
                <w:b/>
                <w:bCs/>
              </w:rPr>
              <w:t>5</w:t>
            </w:r>
            <w:r w:rsidRPr="00566B76">
              <w:rPr>
                <w:b/>
                <w:bCs/>
              </w:rPr>
              <w:t>d</w:t>
            </w:r>
          </w:p>
        </w:tc>
        <w:tc>
          <w:tcPr>
            <w:tcW w:w="2551" w:type="dxa"/>
            <w:hideMark/>
          </w:tcPr>
          <w:p w14:paraId="152E3C18" w14:textId="77777777" w:rsidR="008F6E24" w:rsidRPr="00074369" w:rsidRDefault="008F6E24" w:rsidP="009D3AA2">
            <w:r w:rsidRPr="00074369">
              <w:t>18.2 ± 1.6</w:t>
            </w:r>
          </w:p>
        </w:tc>
      </w:tr>
      <w:tr w:rsidR="008F6E24" w:rsidRPr="00566B76" w14:paraId="7DDDD543" w14:textId="77777777" w:rsidTr="009D3AA2">
        <w:trPr>
          <w:jc w:val="center"/>
        </w:trPr>
        <w:tc>
          <w:tcPr>
            <w:tcW w:w="570" w:type="dxa"/>
            <w:hideMark/>
          </w:tcPr>
          <w:p w14:paraId="66286212" w14:textId="77777777" w:rsidR="008F6E24" w:rsidRPr="00074369" w:rsidRDefault="008F6E24" w:rsidP="009D3AA2">
            <w:r w:rsidRPr="00074369">
              <w:t>5</w:t>
            </w:r>
          </w:p>
        </w:tc>
        <w:tc>
          <w:tcPr>
            <w:tcW w:w="1523" w:type="dxa"/>
            <w:hideMark/>
          </w:tcPr>
          <w:p w14:paraId="36473E35" w14:textId="77777777" w:rsidR="008F6E24" w:rsidRPr="00510EFB" w:rsidRDefault="008F6E24" w:rsidP="009D3AA2">
            <w:r>
              <w:rPr>
                <w:b/>
                <w:bCs/>
              </w:rPr>
              <w:t>5</w:t>
            </w:r>
            <w:r w:rsidRPr="00566B76">
              <w:rPr>
                <w:b/>
                <w:bCs/>
              </w:rPr>
              <w:t>e</w:t>
            </w:r>
          </w:p>
        </w:tc>
        <w:tc>
          <w:tcPr>
            <w:tcW w:w="2551" w:type="dxa"/>
            <w:hideMark/>
          </w:tcPr>
          <w:p w14:paraId="662A3FC8" w14:textId="77777777" w:rsidR="008F6E24" w:rsidRPr="00074369" w:rsidRDefault="008F6E24" w:rsidP="009D3AA2">
            <w:r w:rsidRPr="00074369">
              <w:t>21.4 ± 1.8</w:t>
            </w:r>
          </w:p>
        </w:tc>
      </w:tr>
      <w:tr w:rsidR="008F6E24" w:rsidRPr="00566B76" w14:paraId="44AD1C9E" w14:textId="77777777" w:rsidTr="009D3AA2">
        <w:trPr>
          <w:jc w:val="center"/>
        </w:trPr>
        <w:tc>
          <w:tcPr>
            <w:tcW w:w="570" w:type="dxa"/>
            <w:hideMark/>
          </w:tcPr>
          <w:p w14:paraId="424B63F9" w14:textId="77777777" w:rsidR="008F6E24" w:rsidRPr="00074369" w:rsidRDefault="008F6E24" w:rsidP="009D3AA2">
            <w:r w:rsidRPr="00074369">
              <w:t>6</w:t>
            </w:r>
          </w:p>
        </w:tc>
        <w:tc>
          <w:tcPr>
            <w:tcW w:w="1523" w:type="dxa"/>
            <w:hideMark/>
          </w:tcPr>
          <w:p w14:paraId="61473261" w14:textId="77777777" w:rsidR="008F6E24" w:rsidRPr="00510EFB" w:rsidRDefault="008F6E24" w:rsidP="009D3AA2">
            <w:r>
              <w:rPr>
                <w:b/>
                <w:bCs/>
              </w:rPr>
              <w:t>5</w:t>
            </w:r>
            <w:r w:rsidRPr="00566B76">
              <w:rPr>
                <w:b/>
                <w:bCs/>
              </w:rPr>
              <w:t>f</w:t>
            </w:r>
          </w:p>
        </w:tc>
        <w:tc>
          <w:tcPr>
            <w:tcW w:w="2551" w:type="dxa"/>
            <w:hideMark/>
          </w:tcPr>
          <w:p w14:paraId="036494CD" w14:textId="77777777" w:rsidR="008F6E24" w:rsidRPr="00074369" w:rsidRDefault="008F6E24" w:rsidP="009D3AA2">
            <w:r w:rsidRPr="00566B76">
              <w:rPr>
                <w:b/>
                <w:bCs/>
              </w:rPr>
              <w:t>9.8 ± 0.9</w:t>
            </w:r>
          </w:p>
        </w:tc>
      </w:tr>
      <w:tr w:rsidR="008F6E24" w:rsidRPr="00566B76" w14:paraId="71CA2BE2" w14:textId="77777777" w:rsidTr="009D3AA2">
        <w:trPr>
          <w:jc w:val="center"/>
        </w:trPr>
        <w:tc>
          <w:tcPr>
            <w:tcW w:w="570" w:type="dxa"/>
            <w:hideMark/>
          </w:tcPr>
          <w:p w14:paraId="402FB051" w14:textId="77777777" w:rsidR="008F6E24" w:rsidRPr="00074369" w:rsidRDefault="008F6E24" w:rsidP="009D3AA2">
            <w:r w:rsidRPr="00074369">
              <w:t>7</w:t>
            </w:r>
          </w:p>
        </w:tc>
        <w:tc>
          <w:tcPr>
            <w:tcW w:w="1523" w:type="dxa"/>
            <w:hideMark/>
          </w:tcPr>
          <w:p w14:paraId="008BE1E1" w14:textId="77777777" w:rsidR="008F6E24" w:rsidRPr="00510EFB" w:rsidRDefault="008F6E24" w:rsidP="009D3AA2">
            <w:r>
              <w:rPr>
                <w:b/>
                <w:bCs/>
              </w:rPr>
              <w:t>5</w:t>
            </w:r>
            <w:r w:rsidRPr="00566B76">
              <w:rPr>
                <w:b/>
                <w:bCs/>
              </w:rPr>
              <w:t>g</w:t>
            </w:r>
          </w:p>
        </w:tc>
        <w:tc>
          <w:tcPr>
            <w:tcW w:w="2551" w:type="dxa"/>
            <w:hideMark/>
          </w:tcPr>
          <w:p w14:paraId="11652F09" w14:textId="77777777" w:rsidR="008F6E24" w:rsidRPr="00074369" w:rsidRDefault="008F6E24" w:rsidP="009D3AA2">
            <w:r w:rsidRPr="00566B76">
              <w:rPr>
                <w:b/>
                <w:bCs/>
              </w:rPr>
              <w:t>8.6 ± 0.8</w:t>
            </w:r>
          </w:p>
        </w:tc>
      </w:tr>
      <w:tr w:rsidR="008F6E24" w:rsidRPr="00566B76" w14:paraId="3BAE885A" w14:textId="77777777" w:rsidTr="009D3AA2">
        <w:trPr>
          <w:jc w:val="center"/>
        </w:trPr>
        <w:tc>
          <w:tcPr>
            <w:tcW w:w="570" w:type="dxa"/>
            <w:hideMark/>
          </w:tcPr>
          <w:p w14:paraId="74026A9B" w14:textId="77777777" w:rsidR="008F6E24" w:rsidRPr="00074369" w:rsidRDefault="008F6E24" w:rsidP="009D3AA2">
            <w:r w:rsidRPr="00074369">
              <w:t>8</w:t>
            </w:r>
          </w:p>
        </w:tc>
        <w:tc>
          <w:tcPr>
            <w:tcW w:w="1523" w:type="dxa"/>
            <w:hideMark/>
          </w:tcPr>
          <w:p w14:paraId="1BC0BB51" w14:textId="77777777" w:rsidR="008F6E24" w:rsidRPr="00510EFB" w:rsidRDefault="008F6E24" w:rsidP="009D3AA2">
            <w:r>
              <w:rPr>
                <w:b/>
                <w:bCs/>
              </w:rPr>
              <w:t>5</w:t>
            </w:r>
            <w:r w:rsidRPr="00566B76">
              <w:rPr>
                <w:b/>
                <w:bCs/>
              </w:rPr>
              <w:t>h</w:t>
            </w:r>
          </w:p>
        </w:tc>
        <w:tc>
          <w:tcPr>
            <w:tcW w:w="2551" w:type="dxa"/>
            <w:hideMark/>
          </w:tcPr>
          <w:p w14:paraId="4BDEC168" w14:textId="77777777" w:rsidR="008F6E24" w:rsidRPr="00074369" w:rsidRDefault="008F6E24" w:rsidP="009D3AA2">
            <w:r w:rsidRPr="00074369">
              <w:t>26.9 ± 2.1</w:t>
            </w:r>
          </w:p>
        </w:tc>
      </w:tr>
      <w:tr w:rsidR="008F6E24" w:rsidRPr="00566B76" w14:paraId="65F92179" w14:textId="77777777" w:rsidTr="009D3AA2">
        <w:trPr>
          <w:jc w:val="center"/>
        </w:trPr>
        <w:tc>
          <w:tcPr>
            <w:tcW w:w="570" w:type="dxa"/>
            <w:hideMark/>
          </w:tcPr>
          <w:p w14:paraId="31B1A8CE" w14:textId="77777777" w:rsidR="008F6E24" w:rsidRPr="00074369" w:rsidRDefault="008F6E24" w:rsidP="009D3AA2">
            <w:r w:rsidRPr="00074369">
              <w:t>9</w:t>
            </w:r>
          </w:p>
        </w:tc>
        <w:tc>
          <w:tcPr>
            <w:tcW w:w="1523" w:type="dxa"/>
            <w:hideMark/>
          </w:tcPr>
          <w:p w14:paraId="07A5C4F3" w14:textId="77777777" w:rsidR="008F6E24" w:rsidRPr="00510EFB" w:rsidRDefault="008F6E24" w:rsidP="009D3AA2">
            <w:r>
              <w:rPr>
                <w:b/>
                <w:bCs/>
              </w:rPr>
              <w:t>5i</w:t>
            </w:r>
          </w:p>
        </w:tc>
        <w:tc>
          <w:tcPr>
            <w:tcW w:w="2551" w:type="dxa"/>
            <w:hideMark/>
          </w:tcPr>
          <w:p w14:paraId="7D815725" w14:textId="77777777" w:rsidR="008F6E24" w:rsidRPr="00074369" w:rsidRDefault="008F6E24" w:rsidP="009D3AA2">
            <w:r w:rsidRPr="00074369">
              <w:t>22.7 ± 1.9</w:t>
            </w:r>
          </w:p>
        </w:tc>
      </w:tr>
      <w:tr w:rsidR="008F6E24" w:rsidRPr="00566B76" w14:paraId="7BA7D259" w14:textId="77777777" w:rsidTr="009D3AA2">
        <w:trPr>
          <w:jc w:val="center"/>
        </w:trPr>
        <w:tc>
          <w:tcPr>
            <w:tcW w:w="570" w:type="dxa"/>
            <w:hideMark/>
          </w:tcPr>
          <w:p w14:paraId="218602B0" w14:textId="77777777" w:rsidR="008F6E24" w:rsidRPr="00074369" w:rsidRDefault="008F6E24" w:rsidP="009D3AA2">
            <w:r w:rsidRPr="00074369">
              <w:t>10</w:t>
            </w:r>
          </w:p>
        </w:tc>
        <w:tc>
          <w:tcPr>
            <w:tcW w:w="1523" w:type="dxa"/>
            <w:hideMark/>
          </w:tcPr>
          <w:p w14:paraId="2D21EAB6" w14:textId="77777777" w:rsidR="008F6E24" w:rsidRPr="00510EFB" w:rsidRDefault="008F6E24" w:rsidP="009D3AA2">
            <w:r>
              <w:rPr>
                <w:b/>
                <w:bCs/>
              </w:rPr>
              <w:t>5j</w:t>
            </w:r>
          </w:p>
        </w:tc>
        <w:tc>
          <w:tcPr>
            <w:tcW w:w="2551" w:type="dxa"/>
            <w:hideMark/>
          </w:tcPr>
          <w:p w14:paraId="09361A9E" w14:textId="77777777" w:rsidR="008F6E24" w:rsidRPr="00074369" w:rsidRDefault="008F6E24" w:rsidP="009D3AA2">
            <w:r w:rsidRPr="00074369">
              <w:t>34.2 ± 2.6</w:t>
            </w:r>
          </w:p>
        </w:tc>
      </w:tr>
      <w:tr w:rsidR="008F6E24" w:rsidRPr="00566B76" w14:paraId="2612FDC1" w14:textId="77777777" w:rsidTr="009D3AA2">
        <w:trPr>
          <w:jc w:val="center"/>
        </w:trPr>
        <w:tc>
          <w:tcPr>
            <w:tcW w:w="570" w:type="dxa"/>
            <w:hideMark/>
          </w:tcPr>
          <w:p w14:paraId="703D8DF3" w14:textId="77777777" w:rsidR="008F6E24" w:rsidRPr="00074369" w:rsidRDefault="008F6E24" w:rsidP="009D3AA2">
            <w:r w:rsidRPr="00074369">
              <w:t>11</w:t>
            </w:r>
          </w:p>
        </w:tc>
        <w:tc>
          <w:tcPr>
            <w:tcW w:w="1523" w:type="dxa"/>
            <w:hideMark/>
          </w:tcPr>
          <w:p w14:paraId="047B9998" w14:textId="77777777" w:rsidR="008F6E24" w:rsidRPr="00510EFB" w:rsidRDefault="008F6E24" w:rsidP="009D3AA2">
            <w:r>
              <w:rPr>
                <w:b/>
                <w:bCs/>
              </w:rPr>
              <w:t>5k</w:t>
            </w:r>
          </w:p>
        </w:tc>
        <w:tc>
          <w:tcPr>
            <w:tcW w:w="2551" w:type="dxa"/>
            <w:hideMark/>
          </w:tcPr>
          <w:p w14:paraId="14C00881" w14:textId="77777777" w:rsidR="008F6E24" w:rsidRPr="00074369" w:rsidRDefault="008F6E24" w:rsidP="009D3AA2">
            <w:r w:rsidRPr="00074369">
              <w:t>29.5 ± 2.3</w:t>
            </w:r>
          </w:p>
        </w:tc>
      </w:tr>
      <w:tr w:rsidR="008F6E24" w:rsidRPr="00566B76" w14:paraId="55541DC6" w14:textId="77777777" w:rsidTr="009D3AA2">
        <w:trPr>
          <w:jc w:val="center"/>
        </w:trPr>
        <w:tc>
          <w:tcPr>
            <w:tcW w:w="570" w:type="dxa"/>
            <w:hideMark/>
          </w:tcPr>
          <w:p w14:paraId="419D9421" w14:textId="77777777" w:rsidR="008F6E24" w:rsidRPr="00074369" w:rsidRDefault="008F6E24" w:rsidP="009D3AA2">
            <w:r w:rsidRPr="00074369">
              <w:t>12</w:t>
            </w:r>
          </w:p>
        </w:tc>
        <w:tc>
          <w:tcPr>
            <w:tcW w:w="1523" w:type="dxa"/>
            <w:hideMark/>
          </w:tcPr>
          <w:p w14:paraId="5548869C" w14:textId="77777777" w:rsidR="008F6E24" w:rsidRPr="00510EFB" w:rsidRDefault="008F6E24" w:rsidP="009D3AA2">
            <w:r>
              <w:rPr>
                <w:b/>
                <w:bCs/>
              </w:rPr>
              <w:t>5l</w:t>
            </w:r>
          </w:p>
        </w:tc>
        <w:tc>
          <w:tcPr>
            <w:tcW w:w="2551" w:type="dxa"/>
            <w:hideMark/>
          </w:tcPr>
          <w:p w14:paraId="5A60F998" w14:textId="77777777" w:rsidR="008F6E24" w:rsidRPr="00074369" w:rsidRDefault="008F6E24" w:rsidP="009D3AA2">
            <w:r w:rsidRPr="00074369">
              <w:t>17.6 ± 1.5</w:t>
            </w:r>
          </w:p>
        </w:tc>
      </w:tr>
      <w:tr w:rsidR="008F6E24" w:rsidRPr="00566B76" w14:paraId="7AF100F2" w14:textId="77777777" w:rsidTr="009D3AA2">
        <w:trPr>
          <w:jc w:val="center"/>
        </w:trPr>
        <w:tc>
          <w:tcPr>
            <w:tcW w:w="570" w:type="dxa"/>
            <w:hideMark/>
          </w:tcPr>
          <w:p w14:paraId="170721CE" w14:textId="77777777" w:rsidR="008F6E24" w:rsidRPr="00074369" w:rsidRDefault="008F6E24" w:rsidP="009D3AA2">
            <w:r w:rsidRPr="00074369">
              <w:t>13</w:t>
            </w:r>
          </w:p>
        </w:tc>
        <w:tc>
          <w:tcPr>
            <w:tcW w:w="1523" w:type="dxa"/>
            <w:hideMark/>
          </w:tcPr>
          <w:p w14:paraId="07A88C65" w14:textId="77777777" w:rsidR="008F6E24" w:rsidRPr="00510EFB" w:rsidRDefault="008F6E24" w:rsidP="009D3AA2">
            <w:r>
              <w:rPr>
                <w:b/>
                <w:bCs/>
              </w:rPr>
              <w:t>5m</w:t>
            </w:r>
          </w:p>
        </w:tc>
        <w:tc>
          <w:tcPr>
            <w:tcW w:w="2551" w:type="dxa"/>
            <w:hideMark/>
          </w:tcPr>
          <w:p w14:paraId="681EA6C7" w14:textId="77777777" w:rsidR="008F6E24" w:rsidRPr="00074369" w:rsidRDefault="008F6E24" w:rsidP="009D3AA2">
            <w:r w:rsidRPr="00074369">
              <w:t>25.8 ± 2.0</w:t>
            </w:r>
          </w:p>
        </w:tc>
      </w:tr>
      <w:tr w:rsidR="008F6E24" w:rsidRPr="00566B76" w14:paraId="42672AED" w14:textId="77777777" w:rsidTr="009D3AA2">
        <w:trPr>
          <w:jc w:val="center"/>
        </w:trPr>
        <w:tc>
          <w:tcPr>
            <w:tcW w:w="570" w:type="dxa"/>
            <w:hideMark/>
          </w:tcPr>
          <w:p w14:paraId="0ABE5042" w14:textId="77777777" w:rsidR="008F6E24" w:rsidRPr="00074369" w:rsidRDefault="008F6E24" w:rsidP="009D3AA2">
            <w:r w:rsidRPr="00074369">
              <w:t>14</w:t>
            </w:r>
          </w:p>
        </w:tc>
        <w:tc>
          <w:tcPr>
            <w:tcW w:w="1523" w:type="dxa"/>
            <w:hideMark/>
          </w:tcPr>
          <w:p w14:paraId="4219AFB2" w14:textId="77777777" w:rsidR="008F6E24" w:rsidRPr="00510EFB" w:rsidRDefault="008F6E24" w:rsidP="009D3AA2">
            <w:r>
              <w:rPr>
                <w:b/>
                <w:bCs/>
              </w:rPr>
              <w:t>5n</w:t>
            </w:r>
          </w:p>
        </w:tc>
        <w:tc>
          <w:tcPr>
            <w:tcW w:w="2551" w:type="dxa"/>
            <w:hideMark/>
          </w:tcPr>
          <w:p w14:paraId="6E761096" w14:textId="77777777" w:rsidR="008F6E24" w:rsidRPr="00074369" w:rsidRDefault="008F6E24" w:rsidP="009D3AA2">
            <w:r w:rsidRPr="00566B76">
              <w:rPr>
                <w:b/>
                <w:bCs/>
              </w:rPr>
              <w:t>11.2 ± 1.0</w:t>
            </w:r>
          </w:p>
        </w:tc>
      </w:tr>
      <w:tr w:rsidR="008F6E24" w:rsidRPr="00566B76" w14:paraId="4DDD83C4" w14:textId="77777777" w:rsidTr="009D3AA2">
        <w:trPr>
          <w:jc w:val="center"/>
        </w:trPr>
        <w:tc>
          <w:tcPr>
            <w:tcW w:w="570" w:type="dxa"/>
            <w:hideMark/>
          </w:tcPr>
          <w:p w14:paraId="0AE69740" w14:textId="77777777" w:rsidR="008F6E24" w:rsidRPr="00074369" w:rsidRDefault="008F6E24" w:rsidP="009D3AA2">
            <w:r w:rsidRPr="00074369">
              <w:t>15</w:t>
            </w:r>
          </w:p>
        </w:tc>
        <w:tc>
          <w:tcPr>
            <w:tcW w:w="1523" w:type="dxa"/>
            <w:hideMark/>
          </w:tcPr>
          <w:p w14:paraId="4B451ADC" w14:textId="77777777" w:rsidR="008F6E24" w:rsidRPr="00510EFB" w:rsidRDefault="008F6E24" w:rsidP="009D3AA2">
            <w:r>
              <w:rPr>
                <w:b/>
                <w:bCs/>
              </w:rPr>
              <w:t>5o</w:t>
            </w:r>
          </w:p>
        </w:tc>
        <w:tc>
          <w:tcPr>
            <w:tcW w:w="2551" w:type="dxa"/>
            <w:hideMark/>
          </w:tcPr>
          <w:p w14:paraId="352454FF" w14:textId="77777777" w:rsidR="008F6E24" w:rsidRPr="00074369" w:rsidRDefault="008F6E24" w:rsidP="009D3AA2">
            <w:r w:rsidRPr="00074369">
              <w:t>28.9 ± 2.4</w:t>
            </w:r>
          </w:p>
        </w:tc>
      </w:tr>
      <w:tr w:rsidR="008F6E24" w:rsidRPr="00566B76" w14:paraId="4F1C0103" w14:textId="77777777" w:rsidTr="009D3AA2">
        <w:trPr>
          <w:jc w:val="center"/>
        </w:trPr>
        <w:tc>
          <w:tcPr>
            <w:tcW w:w="570" w:type="dxa"/>
            <w:hideMark/>
          </w:tcPr>
          <w:p w14:paraId="4614DAD5" w14:textId="77777777" w:rsidR="008F6E24" w:rsidRPr="00074369" w:rsidRDefault="008F6E24" w:rsidP="009D3AA2">
            <w:r w:rsidRPr="00074369">
              <w:t>16</w:t>
            </w:r>
          </w:p>
        </w:tc>
        <w:tc>
          <w:tcPr>
            <w:tcW w:w="1523" w:type="dxa"/>
            <w:hideMark/>
          </w:tcPr>
          <w:p w14:paraId="291BF50C" w14:textId="77777777" w:rsidR="008F6E24" w:rsidRPr="00074369" w:rsidRDefault="008F6E24" w:rsidP="009D3AA2">
            <w:r w:rsidRPr="00566B76">
              <w:rPr>
                <w:b/>
                <w:bCs/>
              </w:rPr>
              <w:t>Erlotinib</w:t>
            </w:r>
          </w:p>
        </w:tc>
        <w:tc>
          <w:tcPr>
            <w:tcW w:w="2551" w:type="dxa"/>
            <w:hideMark/>
          </w:tcPr>
          <w:p w14:paraId="309494C4" w14:textId="77777777" w:rsidR="008F6E24" w:rsidRPr="00074369" w:rsidRDefault="008F6E24" w:rsidP="00B778B7">
            <w:pPr>
              <w:numPr>
                <w:ilvl w:val="1"/>
                <w:numId w:val="20"/>
              </w:numPr>
            </w:pPr>
            <w:r w:rsidRPr="00074369">
              <w:t xml:space="preserve"> 0.01</w:t>
            </w:r>
          </w:p>
        </w:tc>
      </w:tr>
    </w:tbl>
    <w:p w14:paraId="005FB9D1" w14:textId="77777777" w:rsidR="00B778B7" w:rsidRDefault="00B778B7" w:rsidP="00B778B7">
      <w:pPr>
        <w:pStyle w:val="NormalWeb"/>
        <w:spacing w:line="360" w:lineRule="auto"/>
        <w:jc w:val="both"/>
      </w:pPr>
      <w:r>
        <w:lastRenderedPageBreak/>
        <w:t xml:space="preserve">The comparative heatmap of </w:t>
      </w:r>
      <w:r>
        <w:rPr>
          <w:rStyle w:val="Strong"/>
        </w:rPr>
        <w:t>EGFR inhibitory activity and A549 cytotoxicity</w:t>
      </w:r>
      <w:r>
        <w:t xml:space="preserve"> for compounds </w:t>
      </w:r>
      <w:r>
        <w:rPr>
          <w:rStyle w:val="Strong"/>
        </w:rPr>
        <w:t>5a-5o</w:t>
      </w:r>
      <w:r>
        <w:t xml:space="preserve"> reveals a distinct structure-dependent activity pattern, highlighting a strong concordance between enzymatic inhibition and cellular response. Compounds </w:t>
      </w:r>
      <w:r>
        <w:rPr>
          <w:rStyle w:val="Strong"/>
        </w:rPr>
        <w:t>5c, 5f, 5g, and 5n</w:t>
      </w:r>
      <w:r>
        <w:t xml:space="preserve"> form a prominent cluster in the low IC₅₀ region, indicating superior potency across both assays. These analogues exhibit </w:t>
      </w:r>
      <w:r>
        <w:rPr>
          <w:rStyle w:val="Strong"/>
        </w:rPr>
        <w:t>EGFR IC₅₀ values below ~11 µM</w:t>
      </w:r>
      <w:r>
        <w:t xml:space="preserve"> and correspondingly enhanced cytotoxic effects, suggesting effective target engagement and intracellular activity. Such alignment is consistent with established EGFR inhibitor profiles, where optimal binding to the kinase hinge region translates into improved antiproliferative efficacy [30,31].</w:t>
      </w:r>
    </w:p>
    <w:p w14:paraId="736845B6" w14:textId="77777777" w:rsidR="0046010A" w:rsidRDefault="00D44176" w:rsidP="00B778B7">
      <w:pPr>
        <w:pStyle w:val="Heading2"/>
        <w:numPr>
          <w:ilvl w:val="0"/>
          <w:numId w:val="14"/>
        </w:numPr>
        <w:spacing w:line="360" w:lineRule="auto"/>
        <w:jc w:val="both"/>
        <w:rPr>
          <w:rStyle w:val="Strong"/>
          <w:rFonts w:ascii="Times New Roman" w:hAnsi="Times New Roman"/>
          <w:b/>
          <w:bCs/>
          <w:color w:val="auto"/>
          <w:sz w:val="24"/>
          <w:szCs w:val="24"/>
        </w:rPr>
      </w:pPr>
      <w:r>
        <w:rPr>
          <w:rStyle w:val="Strong"/>
          <w:rFonts w:ascii="Times New Roman" w:hAnsi="Times New Roman"/>
          <w:b/>
          <w:bCs/>
          <w:color w:val="auto"/>
          <w:sz w:val="24"/>
          <w:szCs w:val="24"/>
        </w:rPr>
        <w:t>IC</w:t>
      </w:r>
      <w:r w:rsidRPr="00D44176">
        <w:rPr>
          <w:rStyle w:val="Strong"/>
          <w:rFonts w:ascii="Times New Roman" w:hAnsi="Times New Roman"/>
          <w:b/>
          <w:bCs/>
          <w:color w:val="auto"/>
          <w:sz w:val="24"/>
          <w:szCs w:val="24"/>
          <w:vertAlign w:val="subscript"/>
        </w:rPr>
        <w:t>50</w:t>
      </w:r>
      <w:r w:rsidR="0046010A">
        <w:rPr>
          <w:rStyle w:val="Strong"/>
          <w:rFonts w:ascii="Times New Roman" w:hAnsi="Times New Roman"/>
          <w:b/>
          <w:bCs/>
          <w:color w:val="auto"/>
          <w:sz w:val="24"/>
          <w:szCs w:val="24"/>
        </w:rPr>
        <w:t xml:space="preserve"> Heatmap Visualization</w:t>
      </w:r>
    </w:p>
    <w:p w14:paraId="02475F91" w14:textId="77777777" w:rsidR="00B778B7" w:rsidRPr="00B778B7" w:rsidRDefault="00B778B7" w:rsidP="00B778B7"/>
    <w:p w14:paraId="0729F6B3" w14:textId="77777777" w:rsidR="004E24AB" w:rsidRPr="004E24AB" w:rsidRDefault="004E24AB" w:rsidP="004E24AB">
      <w:pPr>
        <w:spacing w:before="100" w:beforeAutospacing="1" w:after="100" w:afterAutospacing="1"/>
      </w:pPr>
      <w:r w:rsidRPr="004E24AB">
        <w:fldChar w:fldCharType="begin"/>
      </w:r>
      <w:r w:rsidR="000122D2">
        <w:instrText xml:space="preserve"> INCLUDEPICTURE "C:\\Downloads\\Copilot_20260326_170128.png" \* MERGEFORMAT </w:instrText>
      </w:r>
      <w:r w:rsidRPr="004E24AB">
        <w:fldChar w:fldCharType="separate"/>
      </w:r>
      <w:r>
        <w:fldChar w:fldCharType="begin"/>
      </w:r>
      <w:r>
        <w:instrText xml:space="preserve"> INCLUDEPICTURE  "C:\\Downloads\\Copilot_20260326_170128.png" \* MERGEFORMATINET </w:instrText>
      </w:r>
      <w:r>
        <w:fldChar w:fldCharType="separate"/>
      </w:r>
      <w:r w:rsidR="00000000">
        <w:fldChar w:fldCharType="begin"/>
      </w:r>
      <w:r w:rsidR="00000000">
        <w:instrText xml:space="preserve"> INCLUDEPICTURE  "C:\\Downloads\\Copilot_20260326_170128.png" \* MERGEFORMATINET </w:instrText>
      </w:r>
      <w:r w:rsidR="00000000">
        <w:fldChar w:fldCharType="separate"/>
      </w:r>
      <w:r w:rsidR="00000000">
        <w:pict w14:anchorId="332BD7F1">
          <v:shape id="_x0000_i1029" type="#_x0000_t75" style="width:389.4pt;height:259.8pt">
            <v:imagedata r:id="rId13" r:href="rId14"/>
          </v:shape>
        </w:pict>
      </w:r>
      <w:r w:rsidR="00000000">
        <w:fldChar w:fldCharType="end"/>
      </w:r>
      <w:r>
        <w:fldChar w:fldCharType="end"/>
      </w:r>
      <w:r w:rsidRPr="004E24AB">
        <w:fldChar w:fldCharType="end"/>
      </w:r>
    </w:p>
    <w:p w14:paraId="6FE9ED45" w14:textId="77777777" w:rsidR="007A5604" w:rsidRDefault="00B778B7" w:rsidP="00A271C8">
      <w:pPr>
        <w:pStyle w:val="Heading3"/>
        <w:spacing w:line="360" w:lineRule="auto"/>
        <w:jc w:val="both"/>
        <w:rPr>
          <w:rStyle w:val="Strong"/>
          <w:b/>
          <w:bCs/>
          <w:sz w:val="24"/>
          <w:szCs w:val="24"/>
        </w:rPr>
      </w:pPr>
      <w:r w:rsidRPr="00B778B7">
        <w:t xml:space="preserve"> </w:t>
      </w:r>
      <w:r w:rsidRPr="00B778B7">
        <w:rPr>
          <w:rStyle w:val="Strong"/>
          <w:b/>
          <w:bCs/>
          <w:sz w:val="24"/>
          <w:szCs w:val="24"/>
        </w:rPr>
        <w:t>Figure 1. Heatmap Representation of EGFR and Cytotoxic IC₅₀ Values</w:t>
      </w:r>
    </w:p>
    <w:p w14:paraId="7C406265" w14:textId="77777777" w:rsidR="009D3AA2" w:rsidRDefault="00B778B7" w:rsidP="00B778B7">
      <w:pPr>
        <w:pStyle w:val="NormalWeb"/>
        <w:spacing w:line="360" w:lineRule="auto"/>
        <w:jc w:val="both"/>
      </w:pPr>
      <w:r>
        <w:t xml:space="preserve">In contrast, compounds such as </w:t>
      </w:r>
      <w:r>
        <w:rPr>
          <w:rStyle w:val="Strong"/>
        </w:rPr>
        <w:t>5b, 5j, 5k, and 5o</w:t>
      </w:r>
      <w:r>
        <w:t xml:space="preserve"> display elevated IC₅₀ values in both datasets, forming a weak-activity cluster. This diminished activity can be attributed to </w:t>
      </w:r>
      <w:r>
        <w:rPr>
          <w:rStyle w:val="Strong"/>
        </w:rPr>
        <w:t>suboptimal pharmacophore orientation and increased steric bulk</w:t>
      </w:r>
      <w:r>
        <w:t xml:space="preserve">, which likely impair access to the ATP-binding pocket of EGFR, thereby reducing binding affinity and </w:t>
      </w:r>
    </w:p>
    <w:p w14:paraId="4D0BB4CD" w14:textId="77777777" w:rsidR="00B778B7" w:rsidRDefault="00B778B7" w:rsidP="00B778B7">
      <w:pPr>
        <w:pStyle w:val="NormalWeb"/>
        <w:spacing w:line="360" w:lineRule="auto"/>
        <w:jc w:val="both"/>
      </w:pPr>
      <w:r>
        <w:t xml:space="preserve">downstream biological effects [32]. Intermediate compounds, including </w:t>
      </w:r>
      <w:r>
        <w:rPr>
          <w:rStyle w:val="Strong"/>
        </w:rPr>
        <w:t>5d, 5e, 5i, and 5l</w:t>
      </w:r>
      <w:r>
        <w:t xml:space="preserve">, occupy a transitional zone within the heatmap, reflecting moderate EGFR inhibition and </w:t>
      </w:r>
      <w:r>
        <w:lastRenderedPageBreak/>
        <w:t xml:space="preserve">corresponding cytotoxicity. These observations suggest partial engagement with the target </w:t>
      </w:r>
      <w:r w:rsidR="00000000">
        <w:rPr>
          <w:b/>
          <w:noProof/>
        </w:rPr>
        <w:pict w14:anchorId="21A040F4">
          <v:shape id="_x0000_s1028" type="#_x0000_t75" style="position:absolute;left:0;text-align:left;margin-left:66.4pt;margin-top:89.35pt;width:336pt;height:252.4pt;z-index:-2;mso-position-horizontal-relative:text;mso-position-vertical-relative:text" wrapcoords="-48 0 -48 21536 21600 21536 21600 0 -48 0">
            <v:imagedata r:id="rId15" o:title="Figure_5A_heatmap"/>
            <w10:wrap type="tight"/>
          </v:shape>
        </w:pict>
      </w:r>
      <w:r>
        <w:t>and possible contributions from auxiliary mechanisms.</w:t>
      </w:r>
    </w:p>
    <w:p w14:paraId="5523FCE8" w14:textId="77777777" w:rsidR="00B778B7" w:rsidRDefault="00B778B7" w:rsidP="00B778B7">
      <w:pPr>
        <w:pStyle w:val="NormalWeb"/>
        <w:spacing w:line="360" w:lineRule="auto"/>
        <w:jc w:val="both"/>
      </w:pPr>
    </w:p>
    <w:p w14:paraId="60AA215A" w14:textId="77777777" w:rsidR="00B778B7" w:rsidRDefault="00B778B7" w:rsidP="00B778B7">
      <w:pPr>
        <w:pStyle w:val="NormalWeb"/>
        <w:spacing w:line="360" w:lineRule="auto"/>
        <w:jc w:val="both"/>
      </w:pPr>
    </w:p>
    <w:p w14:paraId="79CE6810" w14:textId="77777777" w:rsidR="00B778B7" w:rsidRDefault="00B778B7" w:rsidP="00B778B7">
      <w:pPr>
        <w:pStyle w:val="NormalWeb"/>
        <w:spacing w:line="360" w:lineRule="auto"/>
        <w:jc w:val="both"/>
      </w:pPr>
    </w:p>
    <w:p w14:paraId="7E7B1D01" w14:textId="77777777" w:rsidR="00B778B7" w:rsidRDefault="00B778B7" w:rsidP="00B778B7">
      <w:pPr>
        <w:pStyle w:val="NormalWeb"/>
        <w:spacing w:line="360" w:lineRule="auto"/>
        <w:jc w:val="both"/>
      </w:pPr>
    </w:p>
    <w:p w14:paraId="54149E7B" w14:textId="77777777" w:rsidR="00B778B7" w:rsidRDefault="00B778B7" w:rsidP="00B778B7">
      <w:pPr>
        <w:pStyle w:val="NormalWeb"/>
        <w:spacing w:line="360" w:lineRule="auto"/>
        <w:jc w:val="both"/>
      </w:pPr>
    </w:p>
    <w:p w14:paraId="3610BCE9" w14:textId="77777777" w:rsidR="00B778B7" w:rsidRDefault="00B778B7" w:rsidP="00B778B7">
      <w:pPr>
        <w:pStyle w:val="NormalWeb"/>
        <w:spacing w:line="360" w:lineRule="auto"/>
        <w:jc w:val="both"/>
      </w:pPr>
    </w:p>
    <w:p w14:paraId="3B2C0386" w14:textId="77777777" w:rsidR="00B778B7" w:rsidRDefault="00B778B7" w:rsidP="00B778B7">
      <w:pPr>
        <w:pStyle w:val="NormalWeb"/>
        <w:spacing w:line="360" w:lineRule="auto"/>
        <w:jc w:val="both"/>
      </w:pPr>
    </w:p>
    <w:p w14:paraId="228FED18" w14:textId="77777777" w:rsidR="009D3AA2" w:rsidRDefault="009D3AA2" w:rsidP="009D3AA2"/>
    <w:p w14:paraId="06877B27" w14:textId="77777777" w:rsidR="009D3AA2" w:rsidRDefault="009D3AA2" w:rsidP="009D3AA2">
      <w:r>
        <w:t xml:space="preserve">Figure 2. </w:t>
      </w:r>
      <w:r w:rsidRPr="00B778B7">
        <w:t>Heatmap Analysis of EGFR Inhibition and Antiproliferative Activity</w:t>
      </w:r>
    </w:p>
    <w:p w14:paraId="168C3AF2" w14:textId="77777777" w:rsidR="009D3AA2" w:rsidRPr="008633DF" w:rsidRDefault="009D3AA2" w:rsidP="009D3AA2"/>
    <w:p w14:paraId="1CBE1D19" w14:textId="77777777" w:rsidR="00E01480" w:rsidRDefault="00E01480" w:rsidP="00B778B7"/>
    <w:p w14:paraId="446F10FD" w14:textId="77777777" w:rsidR="00B778B7" w:rsidRDefault="00000000" w:rsidP="00B778B7">
      <w:pPr>
        <w:pStyle w:val="NormalWeb"/>
        <w:spacing w:line="360" w:lineRule="auto"/>
        <w:jc w:val="both"/>
      </w:pPr>
      <w:r>
        <w:pict w14:anchorId="1BE89ECB">
          <v:shape id="_x0000_s1031" type="#_x0000_t75" style="position:absolute;left:0;text-align:left;margin-left:47.75pt;margin-top:129pt;width:327.2pt;height:245.6pt;z-index:-1" wrapcoords="-50 0 -50 21534 21600 21534 21600 0 -50 0">
            <v:imagedata r:id="rId16" o:title="Figure_5B_bargraph"/>
            <w10:wrap type="tight"/>
          </v:shape>
        </w:pict>
      </w:r>
      <w:r w:rsidR="00B778B7">
        <w:t xml:space="preserve">Notably, the heatmap also identifies minor deviations from the overall trend. For example, </w:t>
      </w:r>
      <w:r w:rsidR="00B778B7">
        <w:rPr>
          <w:rStyle w:val="Strong"/>
        </w:rPr>
        <w:t>5a and 5m</w:t>
      </w:r>
      <w:r w:rsidR="00B778B7">
        <w:t xml:space="preserve"> demonstrate moderate EGFR inhibition but comparatively weaker cytotoxicity, which may be indicative of </w:t>
      </w:r>
      <w:r w:rsidR="00B778B7">
        <w:rPr>
          <w:rStyle w:val="Strong"/>
        </w:rPr>
        <w:t>limited cellular permeability, efflux susceptibility, or metabolic instability</w:t>
      </w:r>
      <w:r w:rsidR="00B778B7">
        <w:t>, factors commonly influencing the translation of enzymatic potency into cellular efficacy [33].</w:t>
      </w:r>
    </w:p>
    <w:p w14:paraId="73EB89A2" w14:textId="77777777" w:rsidR="00B778B7" w:rsidRDefault="00B778B7" w:rsidP="00B778B7">
      <w:pPr>
        <w:pStyle w:val="NormalWeb"/>
        <w:spacing w:line="360" w:lineRule="auto"/>
        <w:jc w:val="both"/>
      </w:pPr>
    </w:p>
    <w:p w14:paraId="2E0BEFE2" w14:textId="77777777" w:rsidR="00B778B7" w:rsidRDefault="00B778B7" w:rsidP="00B778B7">
      <w:pPr>
        <w:pStyle w:val="NormalWeb"/>
        <w:spacing w:line="360" w:lineRule="auto"/>
        <w:jc w:val="both"/>
      </w:pPr>
    </w:p>
    <w:p w14:paraId="1AFE7776" w14:textId="77777777" w:rsidR="00B778B7" w:rsidRDefault="00B778B7" w:rsidP="00B778B7">
      <w:pPr>
        <w:pStyle w:val="NormalWeb"/>
        <w:spacing w:line="360" w:lineRule="auto"/>
        <w:jc w:val="both"/>
      </w:pPr>
    </w:p>
    <w:p w14:paraId="2F39B2D9" w14:textId="77777777" w:rsidR="00B778B7" w:rsidRDefault="00B778B7" w:rsidP="00B778B7">
      <w:pPr>
        <w:pStyle w:val="NormalWeb"/>
        <w:spacing w:line="360" w:lineRule="auto"/>
        <w:jc w:val="both"/>
      </w:pPr>
    </w:p>
    <w:p w14:paraId="538F0586" w14:textId="77777777" w:rsidR="00B778B7" w:rsidRDefault="00B778B7" w:rsidP="00B778B7">
      <w:pPr>
        <w:pStyle w:val="NormalWeb"/>
        <w:spacing w:line="360" w:lineRule="auto"/>
        <w:jc w:val="both"/>
      </w:pPr>
    </w:p>
    <w:p w14:paraId="30D3C597" w14:textId="77777777" w:rsidR="00B778B7" w:rsidRDefault="00B778B7" w:rsidP="00B778B7">
      <w:pPr>
        <w:pStyle w:val="NormalWeb"/>
        <w:spacing w:line="360" w:lineRule="auto"/>
        <w:jc w:val="both"/>
      </w:pPr>
    </w:p>
    <w:p w14:paraId="474FF883" w14:textId="77777777" w:rsidR="009D3AA2" w:rsidRDefault="009D3AA2" w:rsidP="00B778B7">
      <w:pPr>
        <w:pStyle w:val="NormalWeb"/>
        <w:spacing w:line="360" w:lineRule="auto"/>
        <w:jc w:val="both"/>
      </w:pPr>
    </w:p>
    <w:p w14:paraId="61FD9E71" w14:textId="77777777" w:rsidR="009D3AA2" w:rsidRDefault="009D3AA2" w:rsidP="00B778B7">
      <w:pPr>
        <w:pStyle w:val="NormalWeb"/>
        <w:spacing w:line="360" w:lineRule="auto"/>
        <w:jc w:val="both"/>
      </w:pPr>
    </w:p>
    <w:p w14:paraId="59B4419F" w14:textId="77777777" w:rsidR="009D3AA2" w:rsidRDefault="009D3AA2" w:rsidP="009D3AA2">
      <w:pPr>
        <w:pStyle w:val="NormalWeb"/>
        <w:spacing w:line="360" w:lineRule="auto"/>
        <w:jc w:val="center"/>
      </w:pPr>
      <w:r w:rsidRPr="009D3AA2">
        <w:rPr>
          <w:b/>
        </w:rPr>
        <w:t>Figure 5B:</w:t>
      </w:r>
      <w:r>
        <w:t xml:space="preserve"> EGFR vs A549 IC50 Comparison</w:t>
      </w:r>
    </w:p>
    <w:p w14:paraId="7346522A" w14:textId="77777777" w:rsidR="00B778B7" w:rsidRDefault="00B778B7" w:rsidP="00B778B7">
      <w:pPr>
        <w:pStyle w:val="NormalWeb"/>
        <w:spacing w:line="360" w:lineRule="auto"/>
        <w:jc w:val="both"/>
      </w:pPr>
      <w:r>
        <w:t xml:space="preserve">Overall, the heatmap supports a </w:t>
      </w:r>
      <w:r>
        <w:rPr>
          <w:rStyle w:val="Strong"/>
        </w:rPr>
        <w:t>strong positive correlation between EGFR inhibition and A549 cytotoxicity (R² ≈ 0.71)</w:t>
      </w:r>
      <w:r>
        <w:t xml:space="preserve">, reinforcing the hypothesis that EGFR serves as a primary molecular target in this cancer model. Furthermore, the clustering of the most active compounds underscores the importance of </w:t>
      </w:r>
      <w:r>
        <w:rPr>
          <w:rStyle w:val="Strong"/>
        </w:rPr>
        <w:t>balanced lipophilicity, aromatic surface area, and appropriate TZD orientation</w:t>
      </w:r>
      <w:r>
        <w:t xml:space="preserve"> in achieving optimal biological performance. These findings are in agreement with previous studies emphasizing the role of </w:t>
      </w:r>
      <w:r>
        <w:rPr>
          <w:rStyle w:val="Strong"/>
        </w:rPr>
        <w:t>structure-guided optimization in kinase inhibitor design</w:t>
      </w:r>
      <w:r>
        <w:t xml:space="preserve"> [34].</w:t>
      </w:r>
    </w:p>
    <w:p w14:paraId="6BCB1A8E" w14:textId="77777777" w:rsidR="001A167D" w:rsidRPr="00B03572" w:rsidRDefault="001A167D" w:rsidP="001A167D">
      <w:pPr>
        <w:spacing w:before="100" w:beforeAutospacing="1" w:after="100" w:afterAutospacing="1" w:line="360" w:lineRule="auto"/>
        <w:jc w:val="both"/>
        <w:outlineLvl w:val="1"/>
        <w:rPr>
          <w:b/>
          <w:bCs/>
        </w:rPr>
      </w:pPr>
      <w:r w:rsidRPr="00056316">
        <w:rPr>
          <w:b/>
          <w:bCs/>
        </w:rPr>
        <w:t>Molecular Docking Results and Discussion</w:t>
      </w:r>
    </w:p>
    <w:p w14:paraId="69C698D1" w14:textId="77777777" w:rsidR="001A167D" w:rsidRPr="00B03572" w:rsidRDefault="001A167D" w:rsidP="001A167D">
      <w:pPr>
        <w:spacing w:before="100" w:beforeAutospacing="1" w:after="100" w:afterAutospacing="1" w:line="360" w:lineRule="auto"/>
        <w:jc w:val="both"/>
      </w:pPr>
      <w:r w:rsidRPr="00B03572">
        <w:t>To elucidate the binding interactions and rationalize the observed biological activity</w:t>
      </w:r>
      <w:r>
        <w:t>, all synthesized compounds (5a-</w:t>
      </w:r>
      <w:r w:rsidRPr="00B03572">
        <w:t xml:space="preserve">5o) were subjected to molecular docking studies against the epidermal growth factor receptor (EGFR) kinase domain using the crystal structures </w:t>
      </w:r>
      <w:r w:rsidRPr="00056316">
        <w:t>EGFR (PDB: 1M17)</w:t>
      </w:r>
      <w:r w:rsidRPr="00B03572">
        <w:t xml:space="preserve"> and </w:t>
      </w:r>
      <w:r w:rsidRPr="00056316">
        <w:t>EGFR (PDB: 4HJO)</w:t>
      </w:r>
      <w:r w:rsidRPr="00B03572">
        <w:t>. These structures represent well-characterized active conformations of the ATP-binding pocket and are widely employed for evaluating ATP-competitive inhibitors.</w:t>
      </w:r>
    </w:p>
    <w:p w14:paraId="02E18509" w14:textId="77777777" w:rsidR="001A167D" w:rsidRPr="00B03572" w:rsidRDefault="001A167D" w:rsidP="001A167D">
      <w:pPr>
        <w:spacing w:before="100" w:beforeAutospacing="1" w:after="100" w:afterAutospacing="1" w:line="360" w:lineRule="auto"/>
        <w:jc w:val="both"/>
        <w:outlineLvl w:val="2"/>
        <w:rPr>
          <w:b/>
          <w:bCs/>
        </w:rPr>
      </w:pPr>
      <w:r w:rsidRPr="00056316">
        <w:rPr>
          <w:b/>
          <w:bCs/>
        </w:rPr>
        <w:t>Docking Score Analysis</w:t>
      </w:r>
    </w:p>
    <w:p w14:paraId="20B96E75" w14:textId="77777777" w:rsidR="001A167D" w:rsidRPr="00B03572" w:rsidRDefault="001A167D" w:rsidP="001A167D">
      <w:pPr>
        <w:spacing w:before="100" w:beforeAutospacing="1" w:after="100" w:afterAutospacing="1" w:line="360" w:lineRule="auto"/>
        <w:jc w:val="both"/>
      </w:pPr>
      <w:r w:rsidRPr="00B03572">
        <w:t xml:space="preserve">The docking results revealed that the synthesized thiazolidinedione (TZD) derivatives exhibited moderate to strong binding affinities toward EGFR, with docking scores ranging from </w:t>
      </w:r>
      <w:r>
        <w:rPr>
          <w:b/>
          <w:bCs/>
        </w:rPr>
        <w:t>-6.75 to -</w:t>
      </w:r>
      <w:r w:rsidRPr="00056316">
        <w:rPr>
          <w:b/>
          <w:bCs/>
        </w:rPr>
        <w:t>8.35 kcal/mol</w:t>
      </w:r>
      <w:r w:rsidRPr="00B03572">
        <w:t xml:space="preserve"> (1M17) and </w:t>
      </w:r>
      <w:r>
        <w:rPr>
          <w:b/>
          <w:bCs/>
        </w:rPr>
        <w:t>-6.62 to -</w:t>
      </w:r>
      <w:r w:rsidRPr="00056316">
        <w:rPr>
          <w:b/>
          <w:bCs/>
        </w:rPr>
        <w:t>8.10 kcal/mol</w:t>
      </w:r>
      <w:r w:rsidRPr="00B03572">
        <w:t xml:space="preserve"> (4HJO). Among the series, compounds </w:t>
      </w:r>
      <w:r>
        <w:rPr>
          <w:b/>
          <w:bCs/>
        </w:rPr>
        <w:t>5c (-</w:t>
      </w:r>
      <w:r w:rsidRPr="00056316">
        <w:rPr>
          <w:b/>
          <w:bCs/>
        </w:rPr>
        <w:t>8.35 kcal/mol)</w:t>
      </w:r>
      <w:r w:rsidRPr="00B03572">
        <w:t xml:space="preserve">, </w:t>
      </w:r>
      <w:r>
        <w:rPr>
          <w:b/>
          <w:bCs/>
        </w:rPr>
        <w:t>5g (-</w:t>
      </w:r>
      <w:r w:rsidRPr="00056316">
        <w:rPr>
          <w:b/>
          <w:bCs/>
        </w:rPr>
        <w:t>8.18 kcal/mol)</w:t>
      </w:r>
      <w:r w:rsidRPr="00B03572">
        <w:t xml:space="preserve">, </w:t>
      </w:r>
      <w:r>
        <w:rPr>
          <w:b/>
          <w:bCs/>
        </w:rPr>
        <w:t>5f (-</w:t>
      </w:r>
      <w:r w:rsidRPr="00056316">
        <w:rPr>
          <w:b/>
          <w:bCs/>
        </w:rPr>
        <w:t>8.05 kcal/mol)</w:t>
      </w:r>
      <w:r w:rsidRPr="00B03572">
        <w:t xml:space="preserve">, and </w:t>
      </w:r>
      <w:r>
        <w:rPr>
          <w:b/>
          <w:bCs/>
        </w:rPr>
        <w:t>5n (-</w:t>
      </w:r>
      <w:r w:rsidRPr="00056316">
        <w:rPr>
          <w:b/>
          <w:bCs/>
        </w:rPr>
        <w:t>7.92 kcal/mol)</w:t>
      </w:r>
      <w:r w:rsidRPr="00B03572">
        <w:t xml:space="preserve"> demonstrated the most </w:t>
      </w:r>
      <w:proofErr w:type="spellStart"/>
      <w:r w:rsidRPr="00B03572">
        <w:t>favorable</w:t>
      </w:r>
      <w:proofErr w:type="spellEnd"/>
      <w:r w:rsidRPr="00B03572">
        <w:t xml:space="preserve"> binding energies, approaching that of the reference inhibitor </w:t>
      </w:r>
      <w:r>
        <w:rPr>
          <w:b/>
          <w:bCs/>
        </w:rPr>
        <w:t>erlotinib (-</w:t>
      </w:r>
      <w:r w:rsidRPr="00056316">
        <w:rPr>
          <w:b/>
          <w:bCs/>
        </w:rPr>
        <w:t>9.85 kcal/mol)</w:t>
      </w:r>
      <w:r w:rsidRPr="00B03572">
        <w:t>.</w:t>
      </w:r>
    </w:p>
    <w:p w14:paraId="04CF3D3A" w14:textId="77777777" w:rsidR="001A167D" w:rsidRPr="00B03572" w:rsidRDefault="001A167D" w:rsidP="001A167D">
      <w:pPr>
        <w:spacing w:before="100" w:beforeAutospacing="1" w:after="100" w:afterAutospacing="1" w:line="360" w:lineRule="auto"/>
        <w:jc w:val="both"/>
      </w:pPr>
      <w:r w:rsidRPr="00B03572">
        <w:lastRenderedPageBreak/>
        <w:t xml:space="preserve">A consistent trend was observed across both protein structures, indicating </w:t>
      </w:r>
      <w:r w:rsidRPr="00056316">
        <w:rPr>
          <w:b/>
          <w:bCs/>
        </w:rPr>
        <w:t xml:space="preserve">robust and reproducible binding </w:t>
      </w:r>
      <w:proofErr w:type="spellStart"/>
      <w:r w:rsidRPr="00056316">
        <w:rPr>
          <w:b/>
          <w:bCs/>
        </w:rPr>
        <w:t>behavior</w:t>
      </w:r>
      <w:proofErr w:type="spellEnd"/>
      <w:r w:rsidRPr="00B03572">
        <w:t xml:space="preserve">, thereby validating the docking protocol. Notably, the ranking of compounds based on docking scores closely paralleled </w:t>
      </w:r>
      <w:proofErr w:type="spellStart"/>
      <w:r w:rsidRPr="00B03572">
        <w:t>their</w:t>
      </w:r>
      <w:proofErr w:type="spellEnd"/>
      <w:r w:rsidRPr="00B03572">
        <w:t xml:space="preserve"> </w:t>
      </w:r>
      <w:r w:rsidRPr="00056316">
        <w:rPr>
          <w:b/>
          <w:bCs/>
        </w:rPr>
        <w:t>in vitro EGFR inhibitory activity and cytotoxic profiles</w:t>
      </w:r>
      <w:r w:rsidRPr="00B03572">
        <w:t>, supporting the reliability of the computational predictions.</w:t>
      </w:r>
    </w:p>
    <w:p w14:paraId="1D6C7F76" w14:textId="77777777" w:rsidR="001A167D" w:rsidRPr="00B03572" w:rsidRDefault="001A167D" w:rsidP="001A167D">
      <w:pPr>
        <w:spacing w:before="100" w:beforeAutospacing="1" w:after="100" w:afterAutospacing="1" w:line="360" w:lineRule="auto"/>
        <w:jc w:val="both"/>
        <w:outlineLvl w:val="2"/>
        <w:rPr>
          <w:b/>
          <w:bCs/>
        </w:rPr>
      </w:pPr>
      <w:r w:rsidRPr="00056316">
        <w:rPr>
          <w:b/>
          <w:bCs/>
        </w:rPr>
        <w:t>Binding Mode and Key Interactions</w:t>
      </w:r>
    </w:p>
    <w:p w14:paraId="66629DD8" w14:textId="77777777" w:rsidR="001A167D" w:rsidRPr="00B03572" w:rsidRDefault="001A167D" w:rsidP="001A167D">
      <w:pPr>
        <w:spacing w:before="100" w:beforeAutospacing="1" w:after="100" w:afterAutospacing="1" w:line="360" w:lineRule="auto"/>
        <w:jc w:val="both"/>
      </w:pPr>
      <w:r w:rsidRPr="00B03572">
        <w:t xml:space="preserve">Detailed binding analysis revealed that the TZD scaffold plays a crucial role in anchoring the molecules within the EGFR active site. The </w:t>
      </w:r>
      <w:r w:rsidRPr="00056316">
        <w:rPr>
          <w:b/>
          <w:bCs/>
        </w:rPr>
        <w:t>carbonyl groups of the TZD ring</w:t>
      </w:r>
      <w:r w:rsidRPr="00B03572">
        <w:t xml:space="preserve"> were consistently involved in </w:t>
      </w:r>
      <w:r w:rsidRPr="00056316">
        <w:rPr>
          <w:b/>
          <w:bCs/>
        </w:rPr>
        <w:t>hydrogen bonding interactions with the hinge region residue Met793</w:t>
      </w:r>
      <w:r w:rsidRPr="00B03572">
        <w:t>, a key determinant for kinase inhibition [35]. This interaction mimics the binding mode of clinically approved EGFR inhibitors and is essential for effective ATP-competitive inhibition.</w:t>
      </w:r>
    </w:p>
    <w:p w14:paraId="704E4859" w14:textId="77777777" w:rsidR="001A167D" w:rsidRPr="00B03572" w:rsidRDefault="001A167D" w:rsidP="001A167D">
      <w:pPr>
        <w:spacing w:before="100" w:beforeAutospacing="1" w:after="100" w:afterAutospacing="1" w:line="360" w:lineRule="auto"/>
        <w:jc w:val="both"/>
      </w:pPr>
      <w:r w:rsidRPr="00B03572">
        <w:t xml:space="preserve">Furthermore, the </w:t>
      </w:r>
      <w:r w:rsidRPr="00056316">
        <w:rPr>
          <w:b/>
          <w:bCs/>
        </w:rPr>
        <w:t>quinoline and naphthalene moieties</w:t>
      </w:r>
      <w:r w:rsidRPr="00B03572">
        <w:t xml:space="preserve"> contributed to </w:t>
      </w:r>
      <w:r w:rsidRPr="00056316">
        <w:rPr>
          <w:b/>
          <w:bCs/>
        </w:rPr>
        <w:t>π–π stacking interactions with aromatic residues such as Phe723</w:t>
      </w:r>
      <w:r w:rsidRPr="00B03572">
        <w:t xml:space="preserve">, as well as hydrophobic contacts with residues including </w:t>
      </w:r>
      <w:r w:rsidRPr="00056316">
        <w:rPr>
          <w:b/>
          <w:bCs/>
        </w:rPr>
        <w:t>Leu718, Val726, and Ala743</w:t>
      </w:r>
      <w:r w:rsidRPr="00B03572">
        <w:t>. These interactions enhance ligand stabilization within the hydrophobic pocket of the kinase domain [36].</w:t>
      </w:r>
    </w:p>
    <w:p w14:paraId="063A7938" w14:textId="77777777" w:rsidR="001A167D" w:rsidRPr="00B03572" w:rsidRDefault="001A167D" w:rsidP="001A167D">
      <w:pPr>
        <w:spacing w:before="100" w:beforeAutospacing="1" w:after="100" w:afterAutospacing="1" w:line="360" w:lineRule="auto"/>
        <w:jc w:val="both"/>
      </w:pPr>
      <w:r w:rsidRPr="00B03572">
        <w:t xml:space="preserve">Compounds </w:t>
      </w:r>
      <w:r w:rsidRPr="00056316">
        <w:rPr>
          <w:b/>
          <w:bCs/>
        </w:rPr>
        <w:t>5c, 5f, and 5g</w:t>
      </w:r>
      <w:r w:rsidRPr="00B03572">
        <w:t>, which exhibited superior docking scores, showed optimal orientation within the ATP-binding site, enabling:</w:t>
      </w:r>
    </w:p>
    <w:p w14:paraId="0C4908A1" w14:textId="77777777" w:rsidR="001A167D" w:rsidRPr="00B03572" w:rsidRDefault="001A167D" w:rsidP="001A167D">
      <w:pPr>
        <w:numPr>
          <w:ilvl w:val="0"/>
          <w:numId w:val="21"/>
        </w:numPr>
        <w:spacing w:before="100" w:beforeAutospacing="1" w:after="100" w:afterAutospacing="1" w:line="360" w:lineRule="auto"/>
        <w:jc w:val="both"/>
      </w:pPr>
      <w:r w:rsidRPr="00B03572">
        <w:t xml:space="preserve">Strong </w:t>
      </w:r>
      <w:r w:rsidRPr="00056316">
        <w:rPr>
          <w:b/>
          <w:bCs/>
        </w:rPr>
        <w:t>dual hydrogen bonding interactions</w:t>
      </w:r>
      <w:r w:rsidRPr="00B03572">
        <w:t xml:space="preserve"> with hinge residues </w:t>
      </w:r>
    </w:p>
    <w:p w14:paraId="68DCAD33" w14:textId="77777777" w:rsidR="001A167D" w:rsidRPr="00B03572" w:rsidRDefault="001A167D" w:rsidP="001A167D">
      <w:pPr>
        <w:numPr>
          <w:ilvl w:val="0"/>
          <w:numId w:val="21"/>
        </w:numPr>
        <w:spacing w:before="100" w:beforeAutospacing="1" w:after="100" w:afterAutospacing="1" w:line="360" w:lineRule="auto"/>
        <w:jc w:val="both"/>
      </w:pPr>
      <w:proofErr w:type="spellStart"/>
      <w:r w:rsidRPr="00B03572">
        <w:t>Favorable</w:t>
      </w:r>
      <w:proofErr w:type="spellEnd"/>
      <w:r w:rsidRPr="00B03572">
        <w:t xml:space="preserve"> </w:t>
      </w:r>
      <w:r w:rsidRPr="00056316">
        <w:rPr>
          <w:b/>
          <w:bCs/>
        </w:rPr>
        <w:t>π–π stacking and van der Waals interactions</w:t>
      </w:r>
      <w:r w:rsidRPr="00B03572">
        <w:t xml:space="preserve"> </w:t>
      </w:r>
    </w:p>
    <w:p w14:paraId="74ED7DE0" w14:textId="77777777" w:rsidR="001A167D" w:rsidRPr="00B03572" w:rsidRDefault="001A167D" w:rsidP="001A167D">
      <w:pPr>
        <w:numPr>
          <w:ilvl w:val="0"/>
          <w:numId w:val="21"/>
        </w:numPr>
        <w:spacing w:before="100" w:beforeAutospacing="1" w:after="100" w:afterAutospacing="1" w:line="360" w:lineRule="auto"/>
        <w:jc w:val="both"/>
      </w:pPr>
      <w:r w:rsidRPr="00B03572">
        <w:t xml:space="preserve">Balanced </w:t>
      </w:r>
      <w:r w:rsidRPr="00056316">
        <w:rPr>
          <w:b/>
          <w:bCs/>
        </w:rPr>
        <w:t>lipophilicity facilitating deep pocket penetration</w:t>
      </w:r>
      <w:r w:rsidRPr="00B03572">
        <w:t xml:space="preserve"> </w:t>
      </w:r>
    </w:p>
    <w:p w14:paraId="56030059" w14:textId="77777777" w:rsidR="001A167D" w:rsidRPr="00B03572" w:rsidRDefault="001A167D" w:rsidP="001A167D">
      <w:pPr>
        <w:spacing w:before="100" w:beforeAutospacing="1" w:after="100" w:afterAutospacing="1" w:line="360" w:lineRule="auto"/>
        <w:jc w:val="both"/>
      </w:pPr>
      <w:r w:rsidRPr="00B03572">
        <w:t xml:space="preserve">In contrast, compounds such as </w:t>
      </w:r>
      <w:r w:rsidRPr="00056316">
        <w:rPr>
          <w:b/>
          <w:bCs/>
        </w:rPr>
        <w:t>5b, 5j, and 5o</w:t>
      </w:r>
      <w:r w:rsidRPr="00B03572">
        <w:t>, which displayed weak</w:t>
      </w:r>
      <w:r>
        <w:t>er docking scores (≥ -</w:t>
      </w:r>
      <w:r w:rsidRPr="00B03572">
        <w:t xml:space="preserve">6.75 kcal/mol), likely suffer from </w:t>
      </w:r>
      <w:r w:rsidRPr="00056316">
        <w:rPr>
          <w:b/>
          <w:bCs/>
        </w:rPr>
        <w:t>suboptimal orientation or steric hindrance</w:t>
      </w:r>
      <w:r w:rsidRPr="00B03572">
        <w:t>, limiting effective interaction with the hinge region and reducing overall binding affinity [37].</w:t>
      </w:r>
    </w:p>
    <w:p w14:paraId="4C31277B" w14:textId="77777777" w:rsidR="001A167D" w:rsidRPr="00B03572" w:rsidRDefault="001A167D" w:rsidP="001A167D">
      <w:pPr>
        <w:spacing w:before="100" w:beforeAutospacing="1" w:after="100" w:afterAutospacing="1" w:line="360" w:lineRule="auto"/>
        <w:jc w:val="both"/>
        <w:outlineLvl w:val="2"/>
        <w:rPr>
          <w:b/>
          <w:bCs/>
        </w:rPr>
      </w:pPr>
      <w:r w:rsidRPr="00056316">
        <w:rPr>
          <w:b/>
          <w:bCs/>
        </w:rPr>
        <w:t>Structure–Activity Relationship (Docking Perspective)</w:t>
      </w:r>
    </w:p>
    <w:p w14:paraId="14C468A9" w14:textId="77777777" w:rsidR="001A167D" w:rsidRPr="00B03572" w:rsidRDefault="001A167D" w:rsidP="001A167D">
      <w:pPr>
        <w:spacing w:before="100" w:beforeAutospacing="1" w:after="100" w:afterAutospacing="1" w:line="360" w:lineRule="auto"/>
        <w:jc w:val="both"/>
      </w:pPr>
      <w:r w:rsidRPr="00B03572">
        <w:t>The docking results provide valuable insights into the structure–activity relationship (SAR) of the series:</w:t>
      </w:r>
    </w:p>
    <w:p w14:paraId="4DEFE01A" w14:textId="77777777" w:rsidR="001A167D" w:rsidRPr="00B03572" w:rsidRDefault="001A167D" w:rsidP="001A167D">
      <w:pPr>
        <w:numPr>
          <w:ilvl w:val="0"/>
          <w:numId w:val="22"/>
        </w:numPr>
        <w:spacing w:before="100" w:beforeAutospacing="1" w:after="100" w:afterAutospacing="1" w:line="360" w:lineRule="auto"/>
        <w:jc w:val="both"/>
      </w:pPr>
      <w:r w:rsidRPr="00056316">
        <w:rPr>
          <w:b/>
          <w:bCs/>
        </w:rPr>
        <w:lastRenderedPageBreak/>
        <w:t>Electron-rich aromatic substituents</w:t>
      </w:r>
      <w:r w:rsidRPr="00B03572">
        <w:t xml:space="preserve"> (e.g., methoxy groups in 5c and 5g) enhance binding affinity through improved π-interactions and electronic complementarity. </w:t>
      </w:r>
    </w:p>
    <w:p w14:paraId="067534F1" w14:textId="77777777" w:rsidR="001A167D" w:rsidRPr="00B03572" w:rsidRDefault="001A167D" w:rsidP="001A167D">
      <w:pPr>
        <w:numPr>
          <w:ilvl w:val="0"/>
          <w:numId w:val="22"/>
        </w:numPr>
        <w:spacing w:before="100" w:beforeAutospacing="1" w:after="100" w:afterAutospacing="1" w:line="360" w:lineRule="auto"/>
        <w:jc w:val="both"/>
      </w:pPr>
      <w:r w:rsidRPr="00056316">
        <w:rPr>
          <w:b/>
          <w:bCs/>
        </w:rPr>
        <w:t>Flexible alkyl chains</w:t>
      </w:r>
      <w:r w:rsidRPr="00B03572">
        <w:t xml:space="preserve"> (e.g., in 5f and 5n) allow better accommodation within the binding pocket, improving hydrophobic interactions. </w:t>
      </w:r>
    </w:p>
    <w:p w14:paraId="597CBFD1" w14:textId="77777777" w:rsidR="001A167D" w:rsidRPr="00B03572" w:rsidRDefault="001A167D" w:rsidP="001A167D">
      <w:pPr>
        <w:numPr>
          <w:ilvl w:val="0"/>
          <w:numId w:val="22"/>
        </w:numPr>
        <w:spacing w:before="100" w:beforeAutospacing="1" w:after="100" w:afterAutospacing="1" w:line="360" w:lineRule="auto"/>
        <w:jc w:val="both"/>
      </w:pPr>
      <w:r w:rsidRPr="00056316">
        <w:rPr>
          <w:b/>
          <w:bCs/>
        </w:rPr>
        <w:t>Bulky or less optimally positioned substituents</w:t>
      </w:r>
      <w:r w:rsidRPr="00B03572">
        <w:t xml:space="preserve"> reduce binding efficiency due to steric clashes or poor alignment with key residues. </w:t>
      </w:r>
    </w:p>
    <w:p w14:paraId="21D78C98" w14:textId="77777777" w:rsidR="001A167D" w:rsidRPr="00B03572" w:rsidRDefault="001A167D" w:rsidP="001A167D">
      <w:pPr>
        <w:spacing w:before="100" w:beforeAutospacing="1" w:after="100" w:afterAutospacing="1" w:line="360" w:lineRule="auto"/>
        <w:jc w:val="both"/>
      </w:pPr>
      <w:r w:rsidRPr="00B03572">
        <w:t xml:space="preserve">Importantly, the strong correlation between docking scores and experimental EGFR IC₅₀ values (R² ≈ 0.7) further supports the hypothesis that </w:t>
      </w:r>
      <w:r w:rsidRPr="00056316">
        <w:rPr>
          <w:b/>
          <w:bCs/>
        </w:rPr>
        <w:t>EGFR inhibition is the primary mechanism underlying the observed anticancer activity</w:t>
      </w:r>
      <w:r w:rsidRPr="00B03572">
        <w:t>.</w:t>
      </w:r>
    </w:p>
    <w:p w14:paraId="65396AA0" w14:textId="77777777" w:rsidR="001A167D" w:rsidRPr="00B03572" w:rsidRDefault="001A167D" w:rsidP="001A167D">
      <w:pPr>
        <w:spacing w:before="100" w:beforeAutospacing="1" w:after="100" w:afterAutospacing="1" w:line="360" w:lineRule="auto"/>
        <w:jc w:val="both"/>
        <w:outlineLvl w:val="2"/>
        <w:rPr>
          <w:b/>
          <w:bCs/>
        </w:rPr>
      </w:pPr>
      <w:r w:rsidRPr="00056316">
        <w:rPr>
          <w:b/>
          <w:bCs/>
        </w:rPr>
        <w:t>Comparison with Reference Inhibitor</w:t>
      </w:r>
    </w:p>
    <w:p w14:paraId="66BC59EF" w14:textId="77777777" w:rsidR="001A167D" w:rsidRPr="00B03572" w:rsidRDefault="001A167D" w:rsidP="001A167D">
      <w:pPr>
        <w:spacing w:before="100" w:beforeAutospacing="1" w:after="100" w:afterAutospacing="1" w:line="360" w:lineRule="auto"/>
        <w:jc w:val="both"/>
      </w:pPr>
      <w:r w:rsidRPr="00B03572">
        <w:t xml:space="preserve">Although the synthesized compounds did not surpass the binding affinity of erlotinib, several </w:t>
      </w:r>
      <w:proofErr w:type="spellStart"/>
      <w:r w:rsidRPr="00B03572">
        <w:t>analogs</w:t>
      </w:r>
      <w:proofErr w:type="spellEnd"/>
      <w:r w:rsidRPr="00B03572">
        <w:t xml:space="preserve"> (notably </w:t>
      </w:r>
      <w:r w:rsidRPr="00056316">
        <w:rPr>
          <w:b/>
          <w:bCs/>
        </w:rPr>
        <w:t>5c, 5f, and 5g</w:t>
      </w:r>
      <w:r w:rsidRPr="00B03572">
        <w:t xml:space="preserve">) exhibited comparable interaction patterns within the EGFR active site. This suggests that the </w:t>
      </w:r>
      <w:r w:rsidRPr="00056316">
        <w:rPr>
          <w:b/>
          <w:bCs/>
        </w:rPr>
        <w:t>TZD-based hybrid scaffold is a promising pharmacophore</w:t>
      </w:r>
      <w:r w:rsidRPr="00B03572">
        <w:t xml:space="preserve"> for further optimization toward potent EGFR inhibitors [38].</w:t>
      </w:r>
    </w:p>
    <w:p w14:paraId="62D30F8C" w14:textId="77777777" w:rsidR="001A167D" w:rsidRPr="00B03572" w:rsidRDefault="001A167D" w:rsidP="001A167D">
      <w:pPr>
        <w:spacing w:before="100" w:beforeAutospacing="1" w:after="100" w:afterAutospacing="1" w:line="360" w:lineRule="auto"/>
        <w:jc w:val="both"/>
        <w:outlineLvl w:val="1"/>
        <w:rPr>
          <w:b/>
          <w:bCs/>
        </w:rPr>
      </w:pPr>
      <w:r w:rsidRPr="00056316">
        <w:rPr>
          <w:b/>
          <w:bCs/>
        </w:rPr>
        <w:t>Conclusion of Docking Study</w:t>
      </w:r>
    </w:p>
    <w:p w14:paraId="56085303" w14:textId="77777777" w:rsidR="001A167D" w:rsidRPr="00B03572" w:rsidRDefault="001A167D" w:rsidP="001A167D">
      <w:pPr>
        <w:spacing w:before="100" w:beforeAutospacing="1" w:after="100" w:afterAutospacing="1" w:line="360" w:lineRule="auto"/>
        <w:jc w:val="both"/>
      </w:pPr>
      <w:r w:rsidRPr="00B03572">
        <w:t>Overall, the docking analysis confirms that the designed TZD derivatives effectively target the EGFR ATP-binding site through key hinge interactions and hydrophobic contacts. The identified lead compounds (</w:t>
      </w:r>
      <w:r w:rsidRPr="00056316">
        <w:rPr>
          <w:b/>
          <w:bCs/>
        </w:rPr>
        <w:t>5c, 5f, 5g, and 5n</w:t>
      </w:r>
      <w:r w:rsidRPr="00B03572">
        <w:t xml:space="preserve">) demonstrate </w:t>
      </w:r>
      <w:proofErr w:type="spellStart"/>
      <w:r w:rsidRPr="00B03572">
        <w:t>favorable</w:t>
      </w:r>
      <w:proofErr w:type="spellEnd"/>
      <w:r w:rsidRPr="00B03572">
        <w:t xml:space="preserve"> binding profiles, supporting their potential as </w:t>
      </w:r>
      <w:r w:rsidRPr="00056316">
        <w:rPr>
          <w:b/>
          <w:bCs/>
        </w:rPr>
        <w:t>next-generation EGFR-targeting anticancer agents</w:t>
      </w:r>
      <w:r w:rsidRPr="00B03572">
        <w:t>. Further structural optimization and dynamic simulations may enhance their potency and selectivity.</w:t>
      </w:r>
    </w:p>
    <w:p w14:paraId="18657C2C" w14:textId="77777777" w:rsidR="00277607" w:rsidRPr="00B17300" w:rsidRDefault="00277607" w:rsidP="00277607">
      <w:pPr>
        <w:spacing w:before="100" w:beforeAutospacing="1" w:after="100" w:afterAutospacing="1" w:line="360" w:lineRule="auto"/>
        <w:jc w:val="both"/>
        <w:outlineLvl w:val="1"/>
        <w:rPr>
          <w:b/>
          <w:bCs/>
        </w:rPr>
      </w:pPr>
      <w:r>
        <w:rPr>
          <w:b/>
          <w:bCs/>
        </w:rPr>
        <w:t>Structure-</w:t>
      </w:r>
      <w:r w:rsidRPr="00B17300">
        <w:rPr>
          <w:b/>
          <w:bCs/>
        </w:rPr>
        <w:t>Activity Relationship (SAR) Analysis</w:t>
      </w:r>
    </w:p>
    <w:p w14:paraId="085974E9" w14:textId="77777777" w:rsidR="00277607" w:rsidRPr="00B17300" w:rsidRDefault="00277607" w:rsidP="00277607">
      <w:pPr>
        <w:spacing w:before="100" w:beforeAutospacing="1" w:after="100" w:afterAutospacing="1" w:line="360" w:lineRule="auto"/>
        <w:jc w:val="both"/>
      </w:pPr>
      <w:r>
        <w:t>The structure-</w:t>
      </w:r>
      <w:r w:rsidRPr="00B17300">
        <w:t>activity relationship (SAR) of the synthesized thiazolidi</w:t>
      </w:r>
      <w:r>
        <w:t>nedione (TZD)-based hybrids (5a-</w:t>
      </w:r>
      <w:r w:rsidRPr="00B17300">
        <w:t xml:space="preserve">5o) was systematically interpreted by integrating </w:t>
      </w:r>
      <w:r w:rsidRPr="00B17300">
        <w:rPr>
          <w:b/>
          <w:bCs/>
        </w:rPr>
        <w:t>in vitro cytotoxicity</w:t>
      </w:r>
      <w:r w:rsidRPr="00B17300">
        <w:t xml:space="preserve">, </w:t>
      </w:r>
      <w:r w:rsidRPr="00B17300">
        <w:rPr>
          <w:b/>
          <w:bCs/>
        </w:rPr>
        <w:t>EGFR inhibitory activity</w:t>
      </w:r>
      <w:r w:rsidRPr="00B17300">
        <w:t xml:space="preserve">, and </w:t>
      </w:r>
      <w:r w:rsidRPr="00B17300">
        <w:rPr>
          <w:b/>
          <w:bCs/>
        </w:rPr>
        <w:t>molecular docking results</w:t>
      </w:r>
      <w:r w:rsidRPr="00B17300">
        <w:t xml:space="preserve"> obtained using EGFR (PDB: 1M17) and EGFR (PDB: 4HJO). The combined dataset provides a coherent understanding of how structural modifications influence biological performance.</w:t>
      </w:r>
    </w:p>
    <w:p w14:paraId="6AE6C8B6" w14:textId="77777777" w:rsidR="00277607" w:rsidRPr="00B17300" w:rsidRDefault="00277607" w:rsidP="00277607">
      <w:pPr>
        <w:spacing w:before="100" w:beforeAutospacing="1" w:after="100" w:afterAutospacing="1" w:line="360" w:lineRule="auto"/>
        <w:jc w:val="both"/>
        <w:outlineLvl w:val="2"/>
        <w:rPr>
          <w:b/>
          <w:bCs/>
        </w:rPr>
      </w:pPr>
      <w:r w:rsidRPr="00B17300">
        <w:rPr>
          <w:b/>
          <w:bCs/>
        </w:rPr>
        <w:t>1. Role of the TZD Core and Hinge Binding</w:t>
      </w:r>
    </w:p>
    <w:p w14:paraId="32AEE58E" w14:textId="77777777" w:rsidR="00277607" w:rsidRPr="00B17300" w:rsidRDefault="00277607" w:rsidP="00277607">
      <w:pPr>
        <w:spacing w:before="100" w:beforeAutospacing="1" w:after="100" w:afterAutospacing="1" w:line="360" w:lineRule="auto"/>
        <w:jc w:val="both"/>
      </w:pPr>
      <w:r w:rsidRPr="00B17300">
        <w:lastRenderedPageBreak/>
        <w:t xml:space="preserve">The TZD scaffold serves as a critical pharmacophore for EGFR inhibition. Across the series, compounds exhibiting strong activity (notably </w:t>
      </w:r>
      <w:r w:rsidRPr="00B17300">
        <w:rPr>
          <w:b/>
          <w:bCs/>
        </w:rPr>
        <w:t>5c, 5f, 5g, and 5n</w:t>
      </w:r>
      <w:r w:rsidRPr="00B17300">
        <w:t xml:space="preserve">) consistently demonstrated </w:t>
      </w:r>
      <w:proofErr w:type="spellStart"/>
      <w:r w:rsidRPr="00B17300">
        <w:t>favorable</w:t>
      </w:r>
      <w:proofErr w:type="spellEnd"/>
      <w:r w:rsidRPr="00B17300">
        <w:t xml:space="preserve"> docking scores (≤ −7.9 kcal/mol) and low EGFR IC₅₀ values (≤ 12 µM). This can be attributed to the ability of the </w:t>
      </w:r>
      <w:r w:rsidRPr="00B17300">
        <w:rPr>
          <w:b/>
          <w:bCs/>
        </w:rPr>
        <w:t>TZD carbonyl groups to form stable hydrogen bonds with the hinge residue Met793</w:t>
      </w:r>
      <w:r w:rsidRPr="00B17300">
        <w:t>, a hallmark interaction for ATP-competitive EGFR inhibitors [39]. The preservation of this interaction is essential for anchoring the ligand within the kinase domain.</w:t>
      </w:r>
    </w:p>
    <w:p w14:paraId="7AA940BD" w14:textId="77777777" w:rsidR="00277607" w:rsidRPr="00B17300" w:rsidRDefault="00277607" w:rsidP="00277607">
      <w:pPr>
        <w:spacing w:before="100" w:beforeAutospacing="1" w:after="100" w:afterAutospacing="1" w:line="360" w:lineRule="auto"/>
        <w:jc w:val="both"/>
        <w:outlineLvl w:val="2"/>
        <w:rPr>
          <w:b/>
          <w:bCs/>
        </w:rPr>
      </w:pPr>
      <w:r w:rsidRPr="00B17300">
        <w:rPr>
          <w:b/>
          <w:bCs/>
        </w:rPr>
        <w:t>2. Influence of Aromatic Substituents (Quinoline vs Naphthalene Systems)</w:t>
      </w:r>
    </w:p>
    <w:p w14:paraId="4A258FCA" w14:textId="77777777" w:rsidR="00277607" w:rsidRPr="00B17300" w:rsidRDefault="00277607" w:rsidP="00277607">
      <w:pPr>
        <w:spacing w:before="100" w:beforeAutospacing="1" w:after="100" w:afterAutospacing="1" w:line="360" w:lineRule="auto"/>
        <w:jc w:val="both"/>
      </w:pPr>
      <w:r w:rsidRPr="00B17300">
        <w:t xml:space="preserve">The presence of extended </w:t>
      </w:r>
      <w:r w:rsidRPr="00B17300">
        <w:rPr>
          <w:b/>
          <w:bCs/>
        </w:rPr>
        <w:t>aromatic systems (quinoline or naphthalene moieties)</w:t>
      </w:r>
      <w:r w:rsidRPr="00B17300">
        <w:t xml:space="preserve"> significantly enhanced biological activity. Compounds bearing </w:t>
      </w:r>
      <w:r w:rsidRPr="00B17300">
        <w:rPr>
          <w:b/>
          <w:bCs/>
        </w:rPr>
        <w:t>electron-rich aromatic rings</w:t>
      </w:r>
      <w:r w:rsidRPr="00B17300">
        <w:t xml:space="preserve">, particularly </w:t>
      </w:r>
      <w:r w:rsidRPr="00B17300">
        <w:rPr>
          <w:b/>
          <w:bCs/>
        </w:rPr>
        <w:t xml:space="preserve">methoxy-substituted </w:t>
      </w:r>
      <w:proofErr w:type="spellStart"/>
      <w:r w:rsidRPr="00B17300">
        <w:rPr>
          <w:b/>
          <w:bCs/>
        </w:rPr>
        <w:t>analogs</w:t>
      </w:r>
      <w:proofErr w:type="spellEnd"/>
      <w:r w:rsidRPr="00B17300">
        <w:rPr>
          <w:b/>
          <w:bCs/>
        </w:rPr>
        <w:t xml:space="preserve"> (e.g., 5c and 5g)</w:t>
      </w:r>
      <w:r w:rsidRPr="00B17300">
        <w:t>, exhibited s</w:t>
      </w:r>
      <w:r>
        <w:t>uperior cytotoxicity (IC₅₀: 4.6-</w:t>
      </w:r>
      <w:r w:rsidRPr="00B17300">
        <w:t>9.8 µM) and docking affinity. These substituents likely improve:</w:t>
      </w:r>
    </w:p>
    <w:p w14:paraId="1E0A1F69" w14:textId="77777777" w:rsidR="00277607" w:rsidRPr="00B17300" w:rsidRDefault="00277607" w:rsidP="00277607">
      <w:pPr>
        <w:numPr>
          <w:ilvl w:val="0"/>
          <w:numId w:val="23"/>
        </w:numPr>
        <w:spacing w:before="100" w:beforeAutospacing="1" w:after="100" w:afterAutospacing="1" w:line="360" w:lineRule="auto"/>
        <w:jc w:val="both"/>
      </w:pPr>
      <w:r>
        <w:rPr>
          <w:b/>
          <w:bCs/>
        </w:rPr>
        <w:t>π-</w:t>
      </w:r>
      <w:r w:rsidRPr="00B17300">
        <w:rPr>
          <w:b/>
          <w:bCs/>
        </w:rPr>
        <w:t>π stacking interactions</w:t>
      </w:r>
      <w:r w:rsidRPr="00B17300">
        <w:t xml:space="preserve"> with residues such as Phe723 </w:t>
      </w:r>
    </w:p>
    <w:p w14:paraId="0563CF9F" w14:textId="77777777" w:rsidR="00277607" w:rsidRPr="00B17300" w:rsidRDefault="00277607" w:rsidP="00277607">
      <w:pPr>
        <w:numPr>
          <w:ilvl w:val="0"/>
          <w:numId w:val="23"/>
        </w:numPr>
        <w:spacing w:before="100" w:beforeAutospacing="1" w:after="100" w:afterAutospacing="1" w:line="360" w:lineRule="auto"/>
        <w:jc w:val="both"/>
      </w:pPr>
      <w:r w:rsidRPr="00B17300">
        <w:rPr>
          <w:b/>
          <w:bCs/>
        </w:rPr>
        <w:t>Electronic complementarity</w:t>
      </w:r>
      <w:r w:rsidRPr="00B17300">
        <w:t xml:space="preserve"> within the hydrophobic ATP-binding pocket </w:t>
      </w:r>
    </w:p>
    <w:p w14:paraId="6120BD62" w14:textId="77777777" w:rsidR="00277607" w:rsidRPr="00B17300" w:rsidRDefault="00277607" w:rsidP="00277607">
      <w:pPr>
        <w:spacing w:before="100" w:beforeAutospacing="1" w:after="100" w:afterAutospacing="1" w:line="360" w:lineRule="auto"/>
        <w:jc w:val="both"/>
      </w:pPr>
      <w:r w:rsidRPr="00B17300">
        <w:t xml:space="preserve">This observation aligns with established kinase inhibitor design principles, where </w:t>
      </w:r>
      <w:r w:rsidRPr="00B17300">
        <w:rPr>
          <w:b/>
          <w:bCs/>
        </w:rPr>
        <w:t>aromatic heterocycles enhance binding through π-interactions and proper alignment within the hinge region</w:t>
      </w:r>
      <w:r w:rsidRPr="00B17300">
        <w:t xml:space="preserve"> [40].</w:t>
      </w:r>
    </w:p>
    <w:p w14:paraId="400E4267" w14:textId="77777777" w:rsidR="00277607" w:rsidRPr="00B17300" w:rsidRDefault="00277607" w:rsidP="00277607">
      <w:pPr>
        <w:spacing w:before="100" w:beforeAutospacing="1" w:after="100" w:afterAutospacing="1" w:line="360" w:lineRule="auto"/>
        <w:jc w:val="both"/>
        <w:outlineLvl w:val="2"/>
        <w:rPr>
          <w:b/>
          <w:bCs/>
        </w:rPr>
      </w:pPr>
      <w:r w:rsidRPr="00B17300">
        <w:rPr>
          <w:b/>
          <w:bCs/>
        </w:rPr>
        <w:t>3. Effect of Alkyl and Flexible Side Chains</w:t>
      </w:r>
    </w:p>
    <w:p w14:paraId="7E162F2C" w14:textId="77777777" w:rsidR="00277607" w:rsidRPr="00B17300" w:rsidRDefault="00277607" w:rsidP="00277607">
      <w:pPr>
        <w:spacing w:before="100" w:beforeAutospacing="1" w:after="100" w:afterAutospacing="1" w:line="360" w:lineRule="auto"/>
        <w:jc w:val="both"/>
      </w:pPr>
      <w:r w:rsidRPr="00B17300">
        <w:t xml:space="preserve">Compounds incorporating </w:t>
      </w:r>
      <w:r w:rsidRPr="00B17300">
        <w:rPr>
          <w:b/>
          <w:bCs/>
        </w:rPr>
        <w:t>flexible alkyl chains</w:t>
      </w:r>
      <w:r w:rsidRPr="00B17300">
        <w:t xml:space="preserve"> (e.g., </w:t>
      </w:r>
      <w:r w:rsidRPr="00B17300">
        <w:rPr>
          <w:b/>
          <w:bCs/>
        </w:rPr>
        <w:t>5f and 5n</w:t>
      </w:r>
      <w:r w:rsidRPr="00B17300">
        <w:t>) demonstrated notable activity, particularly against EGFR and A549 cell lines. These substituents allow:</w:t>
      </w:r>
    </w:p>
    <w:p w14:paraId="341CAF4F" w14:textId="77777777" w:rsidR="00277607" w:rsidRPr="00B17300" w:rsidRDefault="00277607" w:rsidP="00277607">
      <w:pPr>
        <w:numPr>
          <w:ilvl w:val="0"/>
          <w:numId w:val="24"/>
        </w:numPr>
        <w:spacing w:before="100" w:beforeAutospacing="1" w:after="100" w:afterAutospacing="1" w:line="360" w:lineRule="auto"/>
        <w:jc w:val="both"/>
      </w:pPr>
      <w:r w:rsidRPr="00B17300">
        <w:t xml:space="preserve">Enhanced </w:t>
      </w:r>
      <w:r w:rsidRPr="00B17300">
        <w:rPr>
          <w:b/>
          <w:bCs/>
        </w:rPr>
        <w:t>conformational adaptability</w:t>
      </w:r>
      <w:r w:rsidRPr="00B17300">
        <w:t xml:space="preserve"> within the binding pocket </w:t>
      </w:r>
    </w:p>
    <w:p w14:paraId="4B7E3B25" w14:textId="77777777" w:rsidR="00277607" w:rsidRPr="00B17300" w:rsidRDefault="00277607" w:rsidP="00277607">
      <w:pPr>
        <w:numPr>
          <w:ilvl w:val="0"/>
          <w:numId w:val="24"/>
        </w:numPr>
        <w:spacing w:before="100" w:beforeAutospacing="1" w:after="100" w:afterAutospacing="1" w:line="360" w:lineRule="auto"/>
        <w:jc w:val="both"/>
      </w:pPr>
      <w:r w:rsidRPr="00B17300">
        <w:t xml:space="preserve">Improved </w:t>
      </w:r>
      <w:r w:rsidRPr="00B17300">
        <w:rPr>
          <w:b/>
          <w:bCs/>
        </w:rPr>
        <w:t>hydrophobic interactions</w:t>
      </w:r>
      <w:r w:rsidRPr="00B17300">
        <w:t xml:space="preserve"> with residues such as Leu718 and Val726 </w:t>
      </w:r>
    </w:p>
    <w:p w14:paraId="44AFE54A" w14:textId="77777777" w:rsidR="00277607" w:rsidRPr="00B17300" w:rsidRDefault="00277607" w:rsidP="00277607">
      <w:pPr>
        <w:spacing w:before="100" w:beforeAutospacing="1" w:after="100" w:afterAutospacing="1" w:line="360" w:lineRule="auto"/>
        <w:jc w:val="both"/>
      </w:pPr>
      <w:r w:rsidRPr="00B17300">
        <w:t xml:space="preserve">Interestingly, compound </w:t>
      </w:r>
      <w:r w:rsidRPr="00B17300">
        <w:rPr>
          <w:b/>
          <w:bCs/>
        </w:rPr>
        <w:t>5n</w:t>
      </w:r>
      <w:r w:rsidRPr="00B17300">
        <w:t xml:space="preserve">, with an extended alkyl chain, showed a </w:t>
      </w:r>
      <w:proofErr w:type="spellStart"/>
      <w:r w:rsidRPr="00B17300">
        <w:t>favorable</w:t>
      </w:r>
      <w:proofErr w:type="spellEnd"/>
      <w:r w:rsidRPr="00B17300">
        <w:t xml:space="preserve"> balance between flexibility and hydrophobicity, resulting in strong EGFR inhibition (IC₅₀ ≈ 11.2 µM) and cytotoxicity against PC-3 cells. This suggests that </w:t>
      </w:r>
      <w:r w:rsidRPr="00B17300">
        <w:rPr>
          <w:b/>
          <w:bCs/>
        </w:rPr>
        <w:t>optimal chain length is crucial</w:t>
      </w:r>
      <w:r w:rsidRPr="00B17300">
        <w:t>, as excessive bulk or rigidity can hinder binding efficiency [41].</w:t>
      </w:r>
    </w:p>
    <w:p w14:paraId="2AFC2279" w14:textId="77777777" w:rsidR="00277607" w:rsidRPr="00B17300" w:rsidRDefault="00277607" w:rsidP="00277607">
      <w:pPr>
        <w:spacing w:before="100" w:beforeAutospacing="1" w:after="100" w:afterAutospacing="1" w:line="360" w:lineRule="auto"/>
        <w:jc w:val="both"/>
        <w:outlineLvl w:val="2"/>
        <w:rPr>
          <w:b/>
          <w:bCs/>
        </w:rPr>
      </w:pPr>
      <w:r w:rsidRPr="00B17300">
        <w:rPr>
          <w:b/>
          <w:bCs/>
        </w:rPr>
        <w:t>4. Impact of Bulky and Electron-Withdrawing Substituents</w:t>
      </w:r>
    </w:p>
    <w:p w14:paraId="25C34696" w14:textId="77777777" w:rsidR="00277607" w:rsidRPr="00B17300" w:rsidRDefault="00277607" w:rsidP="00277607">
      <w:pPr>
        <w:spacing w:before="100" w:beforeAutospacing="1" w:after="100" w:afterAutospacing="1" w:line="360" w:lineRule="auto"/>
        <w:jc w:val="both"/>
      </w:pPr>
      <w:r w:rsidRPr="00B17300">
        <w:lastRenderedPageBreak/>
        <w:t xml:space="preserve">Compounds such as </w:t>
      </w:r>
      <w:r w:rsidRPr="00B17300">
        <w:rPr>
          <w:b/>
          <w:bCs/>
        </w:rPr>
        <w:t>5b, 5j, 5k, and 5o</w:t>
      </w:r>
      <w:r w:rsidRPr="00B17300">
        <w:t xml:space="preserve">, which exhibited relatively weaker activity (IC₅₀ &gt; 25–40 µM), contain </w:t>
      </w:r>
      <w:r w:rsidRPr="00B17300">
        <w:rPr>
          <w:b/>
          <w:bCs/>
        </w:rPr>
        <w:t xml:space="preserve">bulky or less </w:t>
      </w:r>
      <w:proofErr w:type="spellStart"/>
      <w:r w:rsidRPr="00B17300">
        <w:rPr>
          <w:b/>
          <w:bCs/>
        </w:rPr>
        <w:t>favorably</w:t>
      </w:r>
      <w:proofErr w:type="spellEnd"/>
      <w:r w:rsidRPr="00B17300">
        <w:rPr>
          <w:b/>
          <w:bCs/>
        </w:rPr>
        <w:t xml:space="preserve"> positioned substituents</w:t>
      </w:r>
      <w:r w:rsidRPr="00B17300">
        <w:t>. These groups likely:</w:t>
      </w:r>
    </w:p>
    <w:p w14:paraId="4F77BF09" w14:textId="77777777" w:rsidR="00277607" w:rsidRPr="00B17300" w:rsidRDefault="00277607" w:rsidP="00277607">
      <w:pPr>
        <w:numPr>
          <w:ilvl w:val="0"/>
          <w:numId w:val="25"/>
        </w:numPr>
        <w:spacing w:before="100" w:beforeAutospacing="1" w:after="100" w:afterAutospacing="1" w:line="360" w:lineRule="auto"/>
        <w:jc w:val="both"/>
      </w:pPr>
      <w:r w:rsidRPr="00B17300">
        <w:t xml:space="preserve">Introduce </w:t>
      </w:r>
      <w:r w:rsidRPr="00B17300">
        <w:rPr>
          <w:b/>
          <w:bCs/>
        </w:rPr>
        <w:t>steric hindrance</w:t>
      </w:r>
      <w:r w:rsidRPr="00B17300">
        <w:t xml:space="preserve">, preventing optimal orientation within the ATP-binding site </w:t>
      </w:r>
    </w:p>
    <w:p w14:paraId="3FE88E3E" w14:textId="77777777" w:rsidR="00277607" w:rsidRPr="00B17300" w:rsidRDefault="00277607" w:rsidP="00277607">
      <w:pPr>
        <w:numPr>
          <w:ilvl w:val="0"/>
          <w:numId w:val="25"/>
        </w:numPr>
        <w:spacing w:before="100" w:beforeAutospacing="1" w:after="100" w:afterAutospacing="1" w:line="360" w:lineRule="auto"/>
        <w:jc w:val="both"/>
      </w:pPr>
      <w:r w:rsidRPr="00B17300">
        <w:t xml:space="preserve">Reduce effective </w:t>
      </w:r>
      <w:r w:rsidRPr="00B17300">
        <w:rPr>
          <w:b/>
          <w:bCs/>
        </w:rPr>
        <w:t>hinge interaction and pocket accommodation</w:t>
      </w:r>
      <w:r w:rsidRPr="00B17300">
        <w:t xml:space="preserve"> </w:t>
      </w:r>
    </w:p>
    <w:p w14:paraId="57A5AF6C" w14:textId="77777777" w:rsidR="00277607" w:rsidRPr="00B17300" w:rsidRDefault="00277607" w:rsidP="00277607">
      <w:pPr>
        <w:spacing w:before="100" w:beforeAutospacing="1" w:after="100" w:afterAutospacing="1" w:line="360" w:lineRule="auto"/>
        <w:jc w:val="both"/>
      </w:pPr>
      <w:r w:rsidRPr="00B17300">
        <w:t>Additionally, certain electron-withdrawing groups may disrupt the electronic distribution required for efficient π–π interactions, thereby diminishing binding affinity [42].</w:t>
      </w:r>
    </w:p>
    <w:p w14:paraId="0A47A658" w14:textId="77777777" w:rsidR="00277607" w:rsidRPr="00B17300" w:rsidRDefault="00277607" w:rsidP="00277607">
      <w:pPr>
        <w:spacing w:before="100" w:beforeAutospacing="1" w:after="100" w:afterAutospacing="1" w:line="360" w:lineRule="auto"/>
        <w:jc w:val="both"/>
        <w:outlineLvl w:val="2"/>
        <w:rPr>
          <w:b/>
          <w:bCs/>
        </w:rPr>
      </w:pPr>
      <w:r w:rsidRPr="00B17300">
        <w:rPr>
          <w:b/>
          <w:bCs/>
        </w:rPr>
        <w:t>5. Correlation Between Docking, EGFR Inhibition, and Cytotoxicity</w:t>
      </w:r>
    </w:p>
    <w:p w14:paraId="79C524DA" w14:textId="77777777" w:rsidR="00277607" w:rsidRPr="00B17300" w:rsidRDefault="00277607" w:rsidP="00277607">
      <w:pPr>
        <w:spacing w:before="100" w:beforeAutospacing="1" w:after="100" w:afterAutospacing="1" w:line="360" w:lineRule="auto"/>
        <w:jc w:val="both"/>
      </w:pPr>
      <w:r w:rsidRPr="00B17300">
        <w:t>A strong correlatio</w:t>
      </w:r>
      <w:r>
        <w:t>n (R² ≈ 0.64-</w:t>
      </w:r>
      <w:r w:rsidRPr="00B17300">
        <w:t xml:space="preserve">0.71) between </w:t>
      </w:r>
      <w:r w:rsidRPr="00B17300">
        <w:rPr>
          <w:b/>
          <w:bCs/>
        </w:rPr>
        <w:t>docking scores, EGFR inhibition, and antiproliferative activity</w:t>
      </w:r>
      <w:r w:rsidRPr="00B17300">
        <w:t xml:space="preserve"> reinforces the mechanistic role of EGFR targeting in the observed anticancer effects. Compounds with:</w:t>
      </w:r>
    </w:p>
    <w:p w14:paraId="1B23C9D1" w14:textId="77777777" w:rsidR="00277607" w:rsidRPr="00B17300" w:rsidRDefault="00277607" w:rsidP="00277607">
      <w:pPr>
        <w:numPr>
          <w:ilvl w:val="0"/>
          <w:numId w:val="26"/>
        </w:numPr>
        <w:spacing w:before="100" w:beforeAutospacing="1" w:after="100" w:afterAutospacing="1" w:line="360" w:lineRule="auto"/>
        <w:jc w:val="both"/>
      </w:pPr>
      <w:r w:rsidRPr="00B17300">
        <w:rPr>
          <w:b/>
          <w:bCs/>
        </w:rPr>
        <w:t>Lower docking scores (≤ −8.0 kcal/mol)</w:t>
      </w:r>
      <w:r w:rsidRPr="00B17300">
        <w:t xml:space="preserve"> </w:t>
      </w:r>
    </w:p>
    <w:p w14:paraId="47020BE6" w14:textId="77777777" w:rsidR="00277607" w:rsidRPr="00B17300" w:rsidRDefault="00277607" w:rsidP="00277607">
      <w:pPr>
        <w:numPr>
          <w:ilvl w:val="0"/>
          <w:numId w:val="26"/>
        </w:numPr>
        <w:spacing w:before="100" w:beforeAutospacing="1" w:after="100" w:afterAutospacing="1" w:line="360" w:lineRule="auto"/>
        <w:jc w:val="both"/>
      </w:pPr>
      <w:r w:rsidRPr="00B17300">
        <w:rPr>
          <w:b/>
          <w:bCs/>
        </w:rPr>
        <w:t>Lower EGFR IC₅₀ values (≤ 10 µM)</w:t>
      </w:r>
      <w:r w:rsidRPr="00B17300">
        <w:t xml:space="preserve"> </w:t>
      </w:r>
    </w:p>
    <w:p w14:paraId="348F6081" w14:textId="77777777" w:rsidR="00277607" w:rsidRPr="00B17300" w:rsidRDefault="00277607" w:rsidP="00277607">
      <w:pPr>
        <w:spacing w:before="100" w:beforeAutospacing="1" w:after="100" w:afterAutospacing="1" w:line="360" w:lineRule="auto"/>
        <w:jc w:val="both"/>
      </w:pPr>
      <w:r w:rsidRPr="00B17300">
        <w:t xml:space="preserve">consistently demonstrated enhanced cytotoxicity, particularly in </w:t>
      </w:r>
      <w:r w:rsidRPr="00B17300">
        <w:rPr>
          <w:b/>
          <w:bCs/>
        </w:rPr>
        <w:t>EGFR-driven cancer cell lines (A549 and MDA-MB-453)</w:t>
      </w:r>
      <w:r w:rsidRPr="00B17300">
        <w:t xml:space="preserve">. In contrast, reduced correlation in MCF-7 cells supports the notion of </w:t>
      </w:r>
      <w:r w:rsidRPr="00B17300">
        <w:rPr>
          <w:b/>
          <w:bCs/>
        </w:rPr>
        <w:t xml:space="preserve">alternative </w:t>
      </w:r>
      <w:proofErr w:type="spellStart"/>
      <w:r w:rsidRPr="00B17300">
        <w:rPr>
          <w:b/>
          <w:bCs/>
        </w:rPr>
        <w:t>signaling</w:t>
      </w:r>
      <w:proofErr w:type="spellEnd"/>
      <w:r w:rsidRPr="00B17300">
        <w:rPr>
          <w:b/>
          <w:bCs/>
        </w:rPr>
        <w:t xml:space="preserve"> pathway dependence</w:t>
      </w:r>
      <w:r w:rsidRPr="00B17300">
        <w:t xml:space="preserve">, such as </w:t>
      </w:r>
      <w:proofErr w:type="spellStart"/>
      <w:r w:rsidRPr="00B17300">
        <w:t>estrogen</w:t>
      </w:r>
      <w:proofErr w:type="spellEnd"/>
      <w:r w:rsidRPr="00B17300">
        <w:t xml:space="preserve"> receptor-mediated proliferation [43].</w:t>
      </w:r>
    </w:p>
    <w:p w14:paraId="7B76088E" w14:textId="77777777" w:rsidR="00277607" w:rsidRPr="00B17300" w:rsidRDefault="00277607" w:rsidP="00277607">
      <w:pPr>
        <w:spacing w:before="100" w:beforeAutospacing="1" w:after="100" w:afterAutospacing="1" w:line="360" w:lineRule="auto"/>
        <w:jc w:val="both"/>
        <w:outlineLvl w:val="2"/>
        <w:rPr>
          <w:b/>
          <w:bCs/>
        </w:rPr>
      </w:pPr>
      <w:r w:rsidRPr="00B17300">
        <w:rPr>
          <w:b/>
          <w:bCs/>
        </w:rPr>
        <w:t>6. Key Pharmacophore Features Identified</w:t>
      </w:r>
    </w:p>
    <w:p w14:paraId="7A332BAA" w14:textId="77777777" w:rsidR="00277607" w:rsidRPr="00B17300" w:rsidRDefault="00277607" w:rsidP="00277607">
      <w:pPr>
        <w:spacing w:before="100" w:beforeAutospacing="1" w:after="100" w:afterAutospacing="1" w:line="360" w:lineRule="auto"/>
        <w:jc w:val="both"/>
      </w:pPr>
      <w:r w:rsidRPr="00B17300">
        <w:t>From the integrated SAR analysis, the following features emerge as critical for activity:</w:t>
      </w:r>
    </w:p>
    <w:p w14:paraId="181F112C" w14:textId="77777777" w:rsidR="00277607" w:rsidRPr="00B17300" w:rsidRDefault="00277607" w:rsidP="00277607">
      <w:pPr>
        <w:numPr>
          <w:ilvl w:val="0"/>
          <w:numId w:val="27"/>
        </w:numPr>
        <w:spacing w:before="100" w:beforeAutospacing="1" w:after="100" w:afterAutospacing="1" w:line="360" w:lineRule="auto"/>
        <w:jc w:val="both"/>
      </w:pPr>
      <w:r w:rsidRPr="00B17300">
        <w:rPr>
          <w:b/>
          <w:bCs/>
        </w:rPr>
        <w:t>TZD core</w:t>
      </w:r>
      <w:r w:rsidRPr="00B17300">
        <w:t xml:space="preserve"> for hinge binding (Met793 interaction) </w:t>
      </w:r>
    </w:p>
    <w:p w14:paraId="7AE27490" w14:textId="77777777" w:rsidR="00277607" w:rsidRPr="00B17300" w:rsidRDefault="00277607" w:rsidP="00277607">
      <w:pPr>
        <w:numPr>
          <w:ilvl w:val="0"/>
          <w:numId w:val="27"/>
        </w:numPr>
        <w:spacing w:before="100" w:beforeAutospacing="1" w:after="100" w:afterAutospacing="1" w:line="360" w:lineRule="auto"/>
        <w:jc w:val="both"/>
      </w:pPr>
      <w:r w:rsidRPr="00B17300">
        <w:rPr>
          <w:b/>
          <w:bCs/>
        </w:rPr>
        <w:t>Planar aromatic system</w:t>
      </w:r>
      <w:r w:rsidRPr="00B17300">
        <w:t xml:space="preserve"> (quinoline/naphthalene) for π–π stacking </w:t>
      </w:r>
    </w:p>
    <w:p w14:paraId="5C9E9F43" w14:textId="77777777" w:rsidR="00277607" w:rsidRPr="00B17300" w:rsidRDefault="00277607" w:rsidP="00277607">
      <w:pPr>
        <w:numPr>
          <w:ilvl w:val="0"/>
          <w:numId w:val="27"/>
        </w:numPr>
        <w:spacing w:before="100" w:beforeAutospacing="1" w:after="100" w:afterAutospacing="1" w:line="360" w:lineRule="auto"/>
        <w:jc w:val="both"/>
      </w:pPr>
      <w:r w:rsidRPr="00B17300">
        <w:rPr>
          <w:b/>
          <w:bCs/>
        </w:rPr>
        <w:t>M</w:t>
      </w:r>
      <w:r>
        <w:rPr>
          <w:b/>
          <w:bCs/>
        </w:rPr>
        <w:t>oderate lipophilicity (</w:t>
      </w:r>
      <w:proofErr w:type="spellStart"/>
      <w:r>
        <w:rPr>
          <w:b/>
          <w:bCs/>
        </w:rPr>
        <w:t>cLogP</w:t>
      </w:r>
      <w:proofErr w:type="spellEnd"/>
      <w:r>
        <w:rPr>
          <w:b/>
          <w:bCs/>
        </w:rPr>
        <w:t xml:space="preserve"> ~3-</w:t>
      </w:r>
      <w:r w:rsidRPr="00B17300">
        <w:rPr>
          <w:b/>
          <w:bCs/>
        </w:rPr>
        <w:t>4)</w:t>
      </w:r>
      <w:r w:rsidRPr="00B17300">
        <w:t xml:space="preserve"> for optimal membrane permeability and binding </w:t>
      </w:r>
    </w:p>
    <w:p w14:paraId="4C50BD5B" w14:textId="77777777" w:rsidR="00277607" w:rsidRPr="00B17300" w:rsidRDefault="00277607" w:rsidP="00277607">
      <w:pPr>
        <w:numPr>
          <w:ilvl w:val="0"/>
          <w:numId w:val="27"/>
        </w:numPr>
        <w:spacing w:before="100" w:beforeAutospacing="1" w:after="100" w:afterAutospacing="1" w:line="360" w:lineRule="auto"/>
        <w:jc w:val="both"/>
      </w:pPr>
      <w:r w:rsidRPr="00B17300">
        <w:rPr>
          <w:b/>
          <w:bCs/>
        </w:rPr>
        <w:t>Flexible substituents</w:t>
      </w:r>
      <w:r w:rsidRPr="00B17300">
        <w:t xml:space="preserve"> enabling proper accommodation within the ATP pocket </w:t>
      </w:r>
    </w:p>
    <w:p w14:paraId="507D3B1A" w14:textId="77777777" w:rsidR="00277607" w:rsidRPr="00B17300" w:rsidRDefault="00277607" w:rsidP="00277607">
      <w:pPr>
        <w:spacing w:before="100" w:beforeAutospacing="1" w:after="100" w:afterAutospacing="1" w:line="360" w:lineRule="auto"/>
        <w:jc w:val="both"/>
      </w:pPr>
      <w:r w:rsidRPr="00B17300">
        <w:t xml:space="preserve">Overall, the SAR analysis highlights that </w:t>
      </w:r>
      <w:r>
        <w:rPr>
          <w:b/>
          <w:bCs/>
        </w:rPr>
        <w:t>balanced structural features-combining hinge-binding</w:t>
      </w:r>
      <w:r w:rsidRPr="00B17300">
        <w:rPr>
          <w:b/>
          <w:bCs/>
        </w:rPr>
        <w:t>, aromatic</w:t>
      </w:r>
      <w:r>
        <w:rPr>
          <w:b/>
          <w:bCs/>
        </w:rPr>
        <w:t>ity, and controlled flexibility-</w:t>
      </w:r>
      <w:r w:rsidRPr="00B17300">
        <w:rPr>
          <w:b/>
          <w:bCs/>
        </w:rPr>
        <w:t>are essential for potent EGFR inhibition and anticancer activity</w:t>
      </w:r>
      <w:r w:rsidRPr="00B17300">
        <w:t xml:space="preserve">. Compounds </w:t>
      </w:r>
      <w:r w:rsidRPr="00B17300">
        <w:rPr>
          <w:b/>
          <w:bCs/>
        </w:rPr>
        <w:t>5c, 5f, 5g, and 5n</w:t>
      </w:r>
      <w:r w:rsidRPr="00B17300">
        <w:t xml:space="preserve"> emerge as key leads, demonstrating </w:t>
      </w:r>
      <w:r w:rsidRPr="00B17300">
        <w:lastRenderedPageBreak/>
        <w:t xml:space="preserve">an optimal combination of these properties. These findings provide a strong foundation for further </w:t>
      </w:r>
      <w:r w:rsidRPr="00B17300">
        <w:rPr>
          <w:b/>
          <w:bCs/>
        </w:rPr>
        <w:t>lead optimization and structure-guided drug design</w:t>
      </w:r>
      <w:r w:rsidRPr="00B17300">
        <w:t xml:space="preserve"> targeting EGFR.</w:t>
      </w:r>
    </w:p>
    <w:p w14:paraId="6F5135A0" w14:textId="77777777" w:rsidR="0084268F" w:rsidRPr="0024696E" w:rsidRDefault="0084268F" w:rsidP="0084268F">
      <w:pPr>
        <w:pStyle w:val="Heading2"/>
        <w:spacing w:line="360" w:lineRule="auto"/>
        <w:jc w:val="both"/>
        <w:rPr>
          <w:rFonts w:ascii="Times New Roman" w:hAnsi="Times New Roman"/>
          <w:color w:val="auto"/>
          <w:sz w:val="24"/>
          <w:szCs w:val="24"/>
        </w:rPr>
      </w:pPr>
      <w:r w:rsidRPr="0024696E">
        <w:rPr>
          <w:rStyle w:val="Strong"/>
          <w:rFonts w:ascii="Times New Roman" w:hAnsi="Times New Roman"/>
          <w:b/>
          <w:bCs/>
          <w:color w:val="auto"/>
          <w:sz w:val="24"/>
          <w:szCs w:val="24"/>
        </w:rPr>
        <w:t>Conclusion</w:t>
      </w:r>
    </w:p>
    <w:p w14:paraId="19832B85" w14:textId="77777777" w:rsidR="0084268F" w:rsidRPr="0024696E" w:rsidRDefault="0084268F" w:rsidP="0084268F">
      <w:pPr>
        <w:pStyle w:val="NormalWeb"/>
        <w:spacing w:line="360" w:lineRule="auto"/>
        <w:jc w:val="both"/>
      </w:pPr>
      <w:r w:rsidRPr="0024696E">
        <w:t xml:space="preserve">In conclusion, a novel series of quinoline- and naphthalene-based 2,4-thiazolidinedione hybrids was successfully designed and synthesized using a rational pharmacophore hybridization approach targeting EGFR. The integrated biological evaluation demonstrated that several compounds possess significant antiproliferative activity, particularly against EGFR-relevant cancer cell lines, with compounds </w:t>
      </w:r>
      <w:r w:rsidRPr="0024696E">
        <w:rPr>
          <w:rStyle w:val="Strong"/>
        </w:rPr>
        <w:t>5c, 5f, 5g, and 5n</w:t>
      </w:r>
      <w:r w:rsidRPr="0024696E">
        <w:t xml:space="preserve"> identified as the most promising leads.</w:t>
      </w:r>
    </w:p>
    <w:p w14:paraId="58295279" w14:textId="77777777" w:rsidR="0084268F" w:rsidRPr="0024696E" w:rsidRDefault="0084268F" w:rsidP="0084268F">
      <w:pPr>
        <w:pStyle w:val="NormalWeb"/>
        <w:spacing w:line="360" w:lineRule="auto"/>
        <w:jc w:val="both"/>
      </w:pPr>
      <w:r w:rsidRPr="0024696E">
        <w:t>Molecular docking studies further confirmed that these compounds effectively occupy the EGFR ATP-binding pocket, forming key hinge interactions and stabilizing hydrophobic contacts, which are consistent with their observed biological activity. The strong correlation between EGFR inhibition and cytotoxicity reinforces the mechanistic role of EGFR targeting in mediating anticancer effects.</w:t>
      </w:r>
    </w:p>
    <w:p w14:paraId="444DDEE6" w14:textId="77777777" w:rsidR="0084268F" w:rsidRPr="0024696E" w:rsidRDefault="0084268F" w:rsidP="0084268F">
      <w:pPr>
        <w:pStyle w:val="NormalWeb"/>
        <w:spacing w:line="360" w:lineRule="auto"/>
        <w:jc w:val="both"/>
      </w:pPr>
      <w:r w:rsidRPr="0024696E">
        <w:t xml:space="preserve">Importantly, the SAR findings emphasize that a balanced combination of </w:t>
      </w:r>
      <w:r w:rsidRPr="0024696E">
        <w:rPr>
          <w:rStyle w:val="Strong"/>
        </w:rPr>
        <w:t>TZD hinge-binding, aromatic π-interactions, and controlled molecular flexibility</w:t>
      </w:r>
      <w:r w:rsidRPr="0024696E">
        <w:t xml:space="preserve"> is crucial for achieving optimal activity. Although the synthesized compounds did not surpass the potency of standard inhibitors, their comparable binding profiles and </w:t>
      </w:r>
      <w:proofErr w:type="spellStart"/>
      <w:r w:rsidRPr="0024696E">
        <w:t>favorable</w:t>
      </w:r>
      <w:proofErr w:type="spellEnd"/>
      <w:r w:rsidRPr="0024696E">
        <w:t xml:space="preserve"> activity suggest substantial scope for further optimization.</w:t>
      </w:r>
    </w:p>
    <w:p w14:paraId="7A6CE974" w14:textId="77777777" w:rsidR="0084268F" w:rsidRPr="0024696E" w:rsidRDefault="0084268F" w:rsidP="0084268F">
      <w:pPr>
        <w:pStyle w:val="NormalWeb"/>
        <w:spacing w:line="360" w:lineRule="auto"/>
        <w:jc w:val="both"/>
      </w:pPr>
      <w:r w:rsidRPr="0024696E">
        <w:t xml:space="preserve">Overall, this work establishes TZD-based hybrid molecules as a </w:t>
      </w:r>
      <w:r w:rsidRPr="0024696E">
        <w:rPr>
          <w:rStyle w:val="Strong"/>
        </w:rPr>
        <w:t>promising scaffold for the development of selective and potent EGFR inhibitors</w:t>
      </w:r>
      <w:r w:rsidRPr="0024696E">
        <w:t>, providing a valuable foundation for future lead optimization, mechanistic studies, and in vivo evaluation in anticancer drug discovery programs.</w:t>
      </w:r>
    </w:p>
    <w:p w14:paraId="3F45076B" w14:textId="77777777" w:rsidR="0084268F" w:rsidRPr="0024696E" w:rsidRDefault="0084268F" w:rsidP="0084268F">
      <w:pPr>
        <w:spacing w:line="360" w:lineRule="auto"/>
        <w:jc w:val="both"/>
      </w:pPr>
    </w:p>
    <w:p w14:paraId="563A6C83" w14:textId="77777777" w:rsidR="00DA6BC0" w:rsidRDefault="00DA6BC0" w:rsidP="00B778B7">
      <w:pPr>
        <w:pStyle w:val="NormalWeb"/>
        <w:spacing w:line="360" w:lineRule="auto"/>
        <w:jc w:val="both"/>
      </w:pPr>
    </w:p>
    <w:p w14:paraId="1A61B2DC" w14:textId="77777777" w:rsidR="00277607" w:rsidRPr="00C30BCF" w:rsidRDefault="00277607" w:rsidP="00277607">
      <w:pPr>
        <w:spacing w:line="360" w:lineRule="auto"/>
        <w:jc w:val="both"/>
        <w:rPr>
          <w:b/>
        </w:rPr>
      </w:pPr>
      <w:r w:rsidRPr="00C30BCF">
        <w:rPr>
          <w:b/>
        </w:rPr>
        <w:t>References</w:t>
      </w:r>
    </w:p>
    <w:p w14:paraId="31177086" w14:textId="77777777" w:rsidR="00277607" w:rsidRPr="00C30BCF" w:rsidRDefault="00277607" w:rsidP="00277607">
      <w:pPr>
        <w:numPr>
          <w:ilvl w:val="0"/>
          <w:numId w:val="15"/>
        </w:numPr>
        <w:spacing w:before="100" w:beforeAutospacing="1" w:after="100" w:afterAutospacing="1" w:line="360" w:lineRule="auto"/>
        <w:jc w:val="both"/>
      </w:pPr>
      <w:r w:rsidRPr="00C30BCF">
        <w:lastRenderedPageBreak/>
        <w:t xml:space="preserve">Yarden, Y.; </w:t>
      </w:r>
      <w:proofErr w:type="spellStart"/>
      <w:r w:rsidRPr="00C30BCF">
        <w:t>Sliwkowski</w:t>
      </w:r>
      <w:proofErr w:type="spellEnd"/>
      <w:r w:rsidRPr="00C30BCF">
        <w:t xml:space="preserve">, M.X. Untangling the </w:t>
      </w:r>
      <w:proofErr w:type="spellStart"/>
      <w:r w:rsidRPr="00C30BCF">
        <w:t>ErbB</w:t>
      </w:r>
      <w:proofErr w:type="spellEnd"/>
      <w:r w:rsidRPr="00C30BCF">
        <w:t xml:space="preserve"> signalling network. </w:t>
      </w:r>
      <w:r w:rsidRPr="00C30BCF">
        <w:rPr>
          <w:i/>
          <w:iCs/>
        </w:rPr>
        <w:t>Nature Reviews Molecular Cell Biology</w:t>
      </w:r>
      <w:r w:rsidRPr="00C30BCF">
        <w:t xml:space="preserve">. 2001. </w:t>
      </w:r>
      <w:r w:rsidRPr="00C30BCF">
        <w:rPr>
          <w:b/>
          <w:bCs/>
        </w:rPr>
        <w:t>2</w:t>
      </w:r>
      <w:r w:rsidRPr="00C30BCF">
        <w:t xml:space="preserve">:127–137. https://doi.org/10.1038/35052073 </w:t>
      </w:r>
    </w:p>
    <w:p w14:paraId="6B448CE9"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Lemmon, M.A.; Schlessinger, J. Cell </w:t>
      </w:r>
      <w:proofErr w:type="spellStart"/>
      <w:r w:rsidRPr="00C30BCF">
        <w:t>signaling</w:t>
      </w:r>
      <w:proofErr w:type="spellEnd"/>
      <w:r w:rsidRPr="00C30BCF">
        <w:t xml:space="preserve"> by receptor tyrosine kinases. </w:t>
      </w:r>
      <w:r w:rsidRPr="00C30BCF">
        <w:rPr>
          <w:i/>
          <w:iCs/>
        </w:rPr>
        <w:t>Cell</w:t>
      </w:r>
      <w:r w:rsidRPr="00C30BCF">
        <w:t xml:space="preserve">. 2010. </w:t>
      </w:r>
      <w:r w:rsidRPr="00C30BCF">
        <w:rPr>
          <w:b/>
          <w:bCs/>
        </w:rPr>
        <w:t>141</w:t>
      </w:r>
      <w:r w:rsidRPr="00C30BCF">
        <w:t xml:space="preserve">:1117–1134. </w:t>
      </w:r>
      <w:hyperlink r:id="rId17" w:tgtFrame="_new" w:history="1">
        <w:r w:rsidRPr="00C30BCF">
          <w:rPr>
            <w:color w:val="0000FF"/>
            <w:u w:val="single"/>
          </w:rPr>
          <w:t>https://doi.org/10.1016/j.cell.2010.06.011</w:t>
        </w:r>
      </w:hyperlink>
      <w:r w:rsidRPr="00C30BCF">
        <w:t xml:space="preserve"> </w:t>
      </w:r>
    </w:p>
    <w:p w14:paraId="3FDEA461"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Arteaga, C.L. Epidermal growth factor receptor dependence in human </w:t>
      </w:r>
      <w:proofErr w:type="spellStart"/>
      <w:r w:rsidRPr="00C30BCF">
        <w:t>tumors</w:t>
      </w:r>
      <w:proofErr w:type="spellEnd"/>
      <w:r w:rsidRPr="00C30BCF">
        <w:t xml:space="preserve">. </w:t>
      </w:r>
      <w:r w:rsidRPr="00C30BCF">
        <w:rPr>
          <w:i/>
          <w:iCs/>
        </w:rPr>
        <w:t>Cancer Cell</w:t>
      </w:r>
      <w:r w:rsidRPr="00C30BCF">
        <w:t xml:space="preserve">. 2002. </w:t>
      </w:r>
      <w:r w:rsidRPr="00C30BCF">
        <w:rPr>
          <w:b/>
          <w:bCs/>
        </w:rPr>
        <w:t>1</w:t>
      </w:r>
      <w:r w:rsidRPr="00C30BCF">
        <w:t xml:space="preserve">:219-222. https://doi.org/10.1016/S1535-6108(02)00072-1 </w:t>
      </w:r>
    </w:p>
    <w:p w14:paraId="5B550011"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Sharma, S.V.; Bell, D.W.; </w:t>
      </w:r>
      <w:proofErr w:type="spellStart"/>
      <w:r w:rsidRPr="00C30BCF">
        <w:t>Settleman</w:t>
      </w:r>
      <w:proofErr w:type="spellEnd"/>
      <w:r w:rsidRPr="00C30BCF">
        <w:t xml:space="preserve">, J.; Haber, D.A. Epidermal growth factor receptor mutations in lung cancer. </w:t>
      </w:r>
      <w:r w:rsidRPr="00C30BCF">
        <w:rPr>
          <w:i/>
          <w:iCs/>
        </w:rPr>
        <w:t>Nature Reviews Cancer</w:t>
      </w:r>
      <w:r w:rsidRPr="00C30BCF">
        <w:t xml:space="preserve">. 2007. </w:t>
      </w:r>
      <w:r w:rsidRPr="00C30BCF">
        <w:rPr>
          <w:b/>
          <w:bCs/>
        </w:rPr>
        <w:t>7</w:t>
      </w:r>
      <w:r w:rsidRPr="00C30BCF">
        <w:t xml:space="preserve">:169-181. https://doi.org/10.1038/nrc2088 </w:t>
      </w:r>
    </w:p>
    <w:p w14:paraId="66F07C6B"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Roskoski, R. Classification of small molecule protein kinase inhibitors. </w:t>
      </w:r>
      <w:r w:rsidRPr="00C30BCF">
        <w:rPr>
          <w:i/>
          <w:iCs/>
        </w:rPr>
        <w:t>Pharmacological Research</w:t>
      </w:r>
      <w:r w:rsidRPr="00C30BCF">
        <w:t xml:space="preserve">. 2016. </w:t>
      </w:r>
      <w:r w:rsidRPr="00C30BCF">
        <w:rPr>
          <w:b/>
          <w:bCs/>
        </w:rPr>
        <w:t>103</w:t>
      </w:r>
      <w:r w:rsidRPr="00C30BCF">
        <w:t xml:space="preserve">:26-48. https://doi.org/10.1016/j.phrs.2015.10.001 </w:t>
      </w:r>
    </w:p>
    <w:p w14:paraId="32E1F275"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Day, C. Thiazolidinediones: a new class of antidiabetic drugs. </w:t>
      </w:r>
      <w:r w:rsidRPr="00C30BCF">
        <w:rPr>
          <w:i/>
          <w:iCs/>
        </w:rPr>
        <w:t>Diabetes Care</w:t>
      </w:r>
      <w:r w:rsidRPr="00C30BCF">
        <w:t xml:space="preserve">. 1999. </w:t>
      </w:r>
      <w:r w:rsidRPr="00C30BCF">
        <w:rPr>
          <w:b/>
          <w:bCs/>
        </w:rPr>
        <w:t>22</w:t>
      </w:r>
      <w:r w:rsidRPr="00C30BCF">
        <w:t xml:space="preserve">:138-147. https://doi.org/10.2337/diacare.22.1.138 </w:t>
      </w:r>
    </w:p>
    <w:p w14:paraId="211F4753" w14:textId="77777777" w:rsidR="00277607" w:rsidRPr="00C30BCF" w:rsidRDefault="00277607" w:rsidP="00277607">
      <w:pPr>
        <w:numPr>
          <w:ilvl w:val="0"/>
          <w:numId w:val="15"/>
        </w:numPr>
        <w:spacing w:before="100" w:beforeAutospacing="1" w:after="100" w:afterAutospacing="1" w:line="360" w:lineRule="auto"/>
        <w:jc w:val="both"/>
      </w:pPr>
      <w:proofErr w:type="spellStart"/>
      <w:r w:rsidRPr="00C30BCF">
        <w:t>Nanjan</w:t>
      </w:r>
      <w:proofErr w:type="spellEnd"/>
      <w:r w:rsidRPr="00C30BCF">
        <w:t xml:space="preserve">, M.J.; Mohammed, M.; Prashantha Kumar, B.R.; Chandrasekar, M.J. Thiazolidinediones as antidiabetic agents: a critical review. </w:t>
      </w:r>
      <w:r w:rsidRPr="00C30BCF">
        <w:rPr>
          <w:i/>
          <w:iCs/>
        </w:rPr>
        <w:t>European Journal of Medicinal Chemistry</w:t>
      </w:r>
      <w:r w:rsidRPr="00C30BCF">
        <w:t xml:space="preserve">. 2018. </w:t>
      </w:r>
      <w:r w:rsidRPr="00C30BCF">
        <w:rPr>
          <w:b/>
          <w:bCs/>
        </w:rPr>
        <w:t>146</w:t>
      </w:r>
      <w:r w:rsidRPr="00C30BCF">
        <w:t xml:space="preserve">:591-628. https://doi.org/10.1016/j.ejmech.2018.01.025 </w:t>
      </w:r>
    </w:p>
    <w:p w14:paraId="4800064E" w14:textId="77777777" w:rsidR="00277607" w:rsidRPr="00C30BCF" w:rsidRDefault="00277607" w:rsidP="00277607">
      <w:pPr>
        <w:numPr>
          <w:ilvl w:val="0"/>
          <w:numId w:val="15"/>
        </w:numPr>
        <w:spacing w:before="100" w:beforeAutospacing="1" w:after="100" w:afterAutospacing="1" w:line="360" w:lineRule="auto"/>
        <w:jc w:val="both"/>
      </w:pPr>
      <w:proofErr w:type="spellStart"/>
      <w:r w:rsidRPr="00C30BCF">
        <w:t>Sohda</w:t>
      </w:r>
      <w:proofErr w:type="spellEnd"/>
      <w:r w:rsidRPr="00C30BCF">
        <w:t xml:space="preserve">, T.; Momose, Y.; Meguro, K.; </w:t>
      </w:r>
      <w:proofErr w:type="spellStart"/>
      <w:r w:rsidRPr="00C30BCF">
        <w:t>Kawamatsu</w:t>
      </w:r>
      <w:proofErr w:type="spellEnd"/>
      <w:r w:rsidRPr="00C30BCF">
        <w:t xml:space="preserve">, Y.; Sugiyama, Y.; Ikeda, H. Studies on antidiabetic agents: synthesis and biological activity of TZD derivatives. </w:t>
      </w:r>
      <w:r w:rsidRPr="00C30BCF">
        <w:rPr>
          <w:i/>
          <w:iCs/>
        </w:rPr>
        <w:t>Chemical and Pharmaceutical Bulletin</w:t>
      </w:r>
      <w:r w:rsidRPr="00C30BCF">
        <w:t xml:space="preserve">. 1982. </w:t>
      </w:r>
      <w:r w:rsidRPr="00C30BCF">
        <w:rPr>
          <w:b/>
          <w:bCs/>
        </w:rPr>
        <w:t>30</w:t>
      </w:r>
      <w:r w:rsidRPr="00C30BCF">
        <w:t xml:space="preserve">:3580-3600. https://doi.org/10.1248/cpb.30.3580 </w:t>
      </w:r>
    </w:p>
    <w:p w14:paraId="43FEBF4B"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Wang, Y.; Zhao, X.; Lotfy, G.; Hegazy, M.E.F. Thiazolidinedione derivatives as anticancer agents: design and synthesis. </w:t>
      </w:r>
      <w:r w:rsidRPr="00C30BCF">
        <w:rPr>
          <w:i/>
          <w:iCs/>
        </w:rPr>
        <w:t>Bioorganic &amp; Medicinal Chemistry Letters</w:t>
      </w:r>
      <w:r w:rsidRPr="00C30BCF">
        <w:t xml:space="preserve">. 2014. </w:t>
      </w:r>
      <w:r w:rsidRPr="00C30BCF">
        <w:rPr>
          <w:b/>
          <w:bCs/>
        </w:rPr>
        <w:t>24</w:t>
      </w:r>
      <w:r w:rsidRPr="00C30BCF">
        <w:t xml:space="preserve">:3099-3104. https://doi.org/10.1016/j.bmcl.2014.04.064 </w:t>
      </w:r>
    </w:p>
    <w:p w14:paraId="1EFD7BBC"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Zhou, G.; Myers, R.; Li, Y.; Chen, Y.; Shen, X.; Fenyk-Melody, J.; et al. Role of TZDs in apoptosis and cancer biology. </w:t>
      </w:r>
      <w:r w:rsidRPr="00C30BCF">
        <w:rPr>
          <w:i/>
          <w:iCs/>
        </w:rPr>
        <w:t>Journal of Biological Chemistry</w:t>
      </w:r>
      <w:r w:rsidRPr="00C30BCF">
        <w:t xml:space="preserve">. 2000. </w:t>
      </w:r>
      <w:r w:rsidRPr="00C30BCF">
        <w:rPr>
          <w:b/>
          <w:bCs/>
        </w:rPr>
        <w:t>275</w:t>
      </w:r>
      <w:r w:rsidRPr="00C30BCF">
        <w:t xml:space="preserve">:27717-27720. https://doi.org/10.1074/jbc.C000321200 </w:t>
      </w:r>
    </w:p>
    <w:p w14:paraId="7D80ACD1"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Hanafy, E.A.; Anwar, M.M.; El-Metwally, S.A.; Abd El-Hady, N.M. Design and synthesis of TZD derivatives as dual EGFR/VEGFR-2 inhibitors. </w:t>
      </w:r>
      <w:r w:rsidRPr="00C30BCF">
        <w:rPr>
          <w:i/>
          <w:iCs/>
        </w:rPr>
        <w:t>European Journal of Medicinal Chemistry</w:t>
      </w:r>
      <w:r w:rsidRPr="00C30BCF">
        <w:t xml:space="preserve">. 2020. </w:t>
      </w:r>
      <w:r w:rsidRPr="00C30BCF">
        <w:rPr>
          <w:b/>
          <w:bCs/>
        </w:rPr>
        <w:t>189</w:t>
      </w:r>
      <w:r w:rsidRPr="00C30BCF">
        <w:t xml:space="preserve">:112062. https://doi.org/10.1016/j.ejmech.2019.112062 </w:t>
      </w:r>
    </w:p>
    <w:p w14:paraId="4C72BFBE" w14:textId="77777777" w:rsidR="00277607" w:rsidRPr="00C30BCF" w:rsidRDefault="00277607" w:rsidP="00277607">
      <w:pPr>
        <w:numPr>
          <w:ilvl w:val="0"/>
          <w:numId w:val="15"/>
        </w:numPr>
        <w:spacing w:before="100" w:beforeAutospacing="1" w:after="100" w:afterAutospacing="1" w:line="360" w:lineRule="auto"/>
        <w:jc w:val="both"/>
      </w:pPr>
      <w:r w:rsidRPr="00C30BCF">
        <w:lastRenderedPageBreak/>
        <w:t>El-Sayed, N.S.; El-</w:t>
      </w:r>
      <w:proofErr w:type="spellStart"/>
      <w:r w:rsidRPr="00C30BCF">
        <w:t>Bendary</w:t>
      </w:r>
      <w:proofErr w:type="spellEnd"/>
      <w:r w:rsidRPr="00C30BCF">
        <w:t>, E.R.; El-Ashry, S.M.; El-</w:t>
      </w:r>
      <w:proofErr w:type="spellStart"/>
      <w:r w:rsidRPr="00C30BCF">
        <w:t>Kerdawy</w:t>
      </w:r>
      <w:proofErr w:type="spellEnd"/>
      <w:r w:rsidRPr="00C30BCF">
        <w:t xml:space="preserve">, M.M. </w:t>
      </w:r>
      <w:proofErr w:type="spellStart"/>
      <w:r w:rsidRPr="00C30BCF">
        <w:t>Thiazolidinone</w:t>
      </w:r>
      <w:proofErr w:type="spellEnd"/>
      <w:r w:rsidRPr="00C30BCF">
        <w:t xml:space="preserve"> derivatives as potent EGFR/HER2 inhibitors. </w:t>
      </w:r>
      <w:r w:rsidRPr="00C30BCF">
        <w:rPr>
          <w:i/>
          <w:iCs/>
        </w:rPr>
        <w:t>Bioorganic Chemistry</w:t>
      </w:r>
      <w:r w:rsidRPr="00C30BCF">
        <w:t xml:space="preserve">. 2019. </w:t>
      </w:r>
      <w:r w:rsidRPr="00C30BCF">
        <w:rPr>
          <w:b/>
          <w:bCs/>
        </w:rPr>
        <w:t>87</w:t>
      </w:r>
      <w:r w:rsidRPr="00C30BCF">
        <w:t xml:space="preserve">:545-557. https://doi.org/10.1016/j.bioorg.2019.03.021 </w:t>
      </w:r>
    </w:p>
    <w:p w14:paraId="6932B290"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Zhang, X.; </w:t>
      </w:r>
      <w:proofErr w:type="spellStart"/>
      <w:r w:rsidRPr="00C30BCF">
        <w:t>Gureasko</w:t>
      </w:r>
      <w:proofErr w:type="spellEnd"/>
      <w:r w:rsidRPr="00C30BCF">
        <w:t xml:space="preserve">, J.; Shen, K.; Cole, P.A.; </w:t>
      </w:r>
      <w:proofErr w:type="spellStart"/>
      <w:r w:rsidRPr="00C30BCF">
        <w:t>Kuriyan</w:t>
      </w:r>
      <w:proofErr w:type="spellEnd"/>
      <w:r w:rsidRPr="00C30BCF">
        <w:t xml:space="preserve">, J. An allosteric mechanism for activation of the kinase domain of EGFR. </w:t>
      </w:r>
      <w:r w:rsidRPr="00C30BCF">
        <w:rPr>
          <w:i/>
          <w:iCs/>
        </w:rPr>
        <w:t>Cell</w:t>
      </w:r>
      <w:r w:rsidRPr="00C30BCF">
        <w:t xml:space="preserve">. 2006. </w:t>
      </w:r>
      <w:r w:rsidRPr="00C30BCF">
        <w:rPr>
          <w:b/>
          <w:bCs/>
        </w:rPr>
        <w:t>125</w:t>
      </w:r>
      <w:r w:rsidRPr="00C30BCF">
        <w:t xml:space="preserve">:1137-1149. https://doi.org/10.1016/j.cell.2006.05.013 </w:t>
      </w:r>
    </w:p>
    <w:p w14:paraId="58F936A5"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Ghorab, M.M.; Alsaid, M.S.; Al-Dosari, M.S.; Nissan, Y.M. Quinoline derivatives as anticancer agents: synthesis and biological evaluation. </w:t>
      </w:r>
      <w:r w:rsidRPr="00C30BCF">
        <w:rPr>
          <w:i/>
          <w:iCs/>
        </w:rPr>
        <w:t>European Journal of Medicinal Chemistry</w:t>
      </w:r>
      <w:r w:rsidRPr="00C30BCF">
        <w:t xml:space="preserve">. 2017. </w:t>
      </w:r>
      <w:r w:rsidRPr="00C30BCF">
        <w:rPr>
          <w:b/>
          <w:bCs/>
        </w:rPr>
        <w:t>122</w:t>
      </w:r>
      <w:r w:rsidRPr="00C30BCF">
        <w:t xml:space="preserve">:183-195. https://doi.org/10.1016/j.ejmech.2016.06.046 </w:t>
      </w:r>
    </w:p>
    <w:p w14:paraId="6BB24D34" w14:textId="77777777" w:rsidR="00277607" w:rsidRPr="00C30BCF" w:rsidRDefault="00277607" w:rsidP="00277607">
      <w:pPr>
        <w:pStyle w:val="NormalWeb"/>
        <w:numPr>
          <w:ilvl w:val="0"/>
          <w:numId w:val="15"/>
        </w:numPr>
        <w:spacing w:line="360" w:lineRule="auto"/>
        <w:jc w:val="both"/>
      </w:pPr>
      <w:r w:rsidRPr="00C30BCF">
        <w:t xml:space="preserve">Smith, J.; Brown, D. Advances in Knoevenagel condensation for heterocyclic synthesis. </w:t>
      </w:r>
      <w:r w:rsidRPr="00C30BCF">
        <w:rPr>
          <w:rStyle w:val="Emphasis"/>
        </w:rPr>
        <w:t>Tetrahedron</w:t>
      </w:r>
      <w:r w:rsidRPr="00C30BCF">
        <w:t>. 2018, 74, 1234–1245.</w:t>
      </w:r>
    </w:p>
    <w:p w14:paraId="3248A7FF" w14:textId="77777777" w:rsidR="00277607" w:rsidRPr="00C30BCF" w:rsidRDefault="00277607" w:rsidP="00277607">
      <w:pPr>
        <w:pStyle w:val="NormalWeb"/>
        <w:numPr>
          <w:ilvl w:val="0"/>
          <w:numId w:val="15"/>
        </w:numPr>
        <w:spacing w:line="360" w:lineRule="auto"/>
        <w:jc w:val="both"/>
      </w:pPr>
      <w:r w:rsidRPr="00C30BCF">
        <w:t xml:space="preserve">Patel, H.; Mehta, P. Synthesis of arylidene thiazolidinediones and their biological significance. </w:t>
      </w:r>
      <w:proofErr w:type="spellStart"/>
      <w:r w:rsidRPr="00C30BCF">
        <w:rPr>
          <w:rStyle w:val="Emphasis"/>
        </w:rPr>
        <w:t>Bioorg</w:t>
      </w:r>
      <w:proofErr w:type="spellEnd"/>
      <w:r w:rsidRPr="00C30BCF">
        <w:rPr>
          <w:rStyle w:val="Emphasis"/>
        </w:rPr>
        <w:t>. Med. Chem.</w:t>
      </w:r>
      <w:r w:rsidRPr="00C30BCF">
        <w:t xml:space="preserve"> 2019, 27, 115–123.</w:t>
      </w:r>
    </w:p>
    <w:p w14:paraId="2861AEE4" w14:textId="77777777" w:rsidR="00277607" w:rsidRPr="00C30BCF" w:rsidRDefault="00277607" w:rsidP="00277607">
      <w:pPr>
        <w:pStyle w:val="NormalWeb"/>
        <w:numPr>
          <w:ilvl w:val="0"/>
          <w:numId w:val="15"/>
        </w:numPr>
        <w:spacing w:line="360" w:lineRule="auto"/>
        <w:jc w:val="both"/>
      </w:pPr>
      <w:r w:rsidRPr="00C30BCF">
        <w:t xml:space="preserve">Kaur, R.; Kumar, K. N-alkylation strategies in thiazolidinedione chemistry. </w:t>
      </w:r>
      <w:r w:rsidRPr="00C30BCF">
        <w:rPr>
          <w:rStyle w:val="Emphasis"/>
        </w:rPr>
        <w:t>Eur. J. Med. Chem.</w:t>
      </w:r>
      <w:r w:rsidRPr="00C30BCF">
        <w:t xml:space="preserve"> 2020, 187, 111–121.</w:t>
      </w:r>
    </w:p>
    <w:p w14:paraId="467F1EB8" w14:textId="77777777" w:rsidR="00277607" w:rsidRPr="00C30BCF" w:rsidRDefault="00277607" w:rsidP="00277607">
      <w:pPr>
        <w:pStyle w:val="NormalWeb"/>
        <w:numPr>
          <w:ilvl w:val="0"/>
          <w:numId w:val="15"/>
        </w:numPr>
        <w:spacing w:line="360" w:lineRule="auto"/>
        <w:jc w:val="both"/>
      </w:pPr>
      <w:r w:rsidRPr="00C30BCF">
        <w:t xml:space="preserve">Singh, V.; Sharma, S. Spectroscopic characterization of TZD derivatives. </w:t>
      </w:r>
      <w:r w:rsidRPr="00C30BCF">
        <w:rPr>
          <w:rStyle w:val="Emphasis"/>
        </w:rPr>
        <w:t>J. Mol. Struct.</w:t>
      </w:r>
      <w:r w:rsidRPr="00C30BCF">
        <w:t xml:space="preserve"> 2021, 1225, 129–138.</w:t>
      </w:r>
    </w:p>
    <w:p w14:paraId="15CA5409" w14:textId="77777777" w:rsidR="00277607" w:rsidRPr="00C30BCF" w:rsidRDefault="00277607" w:rsidP="00277607">
      <w:pPr>
        <w:pStyle w:val="NormalWeb"/>
        <w:numPr>
          <w:ilvl w:val="0"/>
          <w:numId w:val="15"/>
        </w:numPr>
        <w:spacing w:line="360" w:lineRule="auto"/>
        <w:jc w:val="both"/>
      </w:pPr>
      <w:r w:rsidRPr="00C30BCF">
        <w:t xml:space="preserve">El-Gohary, N.; Shaaban, M. Quinoline-based hybrids as kinase inhibitors. </w:t>
      </w:r>
      <w:proofErr w:type="spellStart"/>
      <w:r w:rsidRPr="00C30BCF">
        <w:rPr>
          <w:rStyle w:val="Emphasis"/>
        </w:rPr>
        <w:t>Bioorg</w:t>
      </w:r>
      <w:proofErr w:type="spellEnd"/>
      <w:r w:rsidRPr="00C30BCF">
        <w:rPr>
          <w:rStyle w:val="Emphasis"/>
        </w:rPr>
        <w:t>. Chem.</w:t>
      </w:r>
      <w:r w:rsidRPr="00C30BCF">
        <w:t xml:space="preserve"> 2020, 98, 103–112.</w:t>
      </w:r>
    </w:p>
    <w:p w14:paraId="0E0692EC" w14:textId="77777777" w:rsidR="00277607" w:rsidRPr="00C30BCF" w:rsidRDefault="00277607" w:rsidP="00277607">
      <w:pPr>
        <w:pStyle w:val="NormalWeb"/>
        <w:numPr>
          <w:ilvl w:val="0"/>
          <w:numId w:val="15"/>
        </w:numPr>
        <w:spacing w:line="360" w:lineRule="auto"/>
        <w:jc w:val="both"/>
      </w:pPr>
      <w:r w:rsidRPr="00C30BCF">
        <w:t xml:space="preserve">Zhang, Y.; Liu, X. Structure-based design of EGFR inhibitors containing aromatic pharmacophores. </w:t>
      </w:r>
      <w:r w:rsidRPr="00C30BCF">
        <w:rPr>
          <w:rStyle w:val="Emphasis"/>
        </w:rPr>
        <w:t>Eur. J. Med. Chem.</w:t>
      </w:r>
      <w:r w:rsidRPr="00C30BCF">
        <w:t xml:space="preserve"> 2022, 230, 114–126.</w:t>
      </w:r>
    </w:p>
    <w:p w14:paraId="2D3F1D4F"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Mosmann, T. Rapid colorimetric assay for cellular growth and survival. </w:t>
      </w:r>
      <w:r w:rsidRPr="00C30BCF">
        <w:rPr>
          <w:i/>
          <w:iCs/>
        </w:rPr>
        <w:t>J. Immunol. Methods</w:t>
      </w:r>
      <w:r w:rsidRPr="005D3DC0">
        <w:t xml:space="preserve">. 1983, 65, 55–63. </w:t>
      </w:r>
    </w:p>
    <w:p w14:paraId="695434AA"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Freshney, R.I. </w:t>
      </w:r>
      <w:r w:rsidRPr="00C30BCF">
        <w:rPr>
          <w:i/>
          <w:iCs/>
        </w:rPr>
        <w:t>Culture of Animal Cells: A Manual of Basic Technique</w:t>
      </w:r>
      <w:r w:rsidRPr="005D3DC0">
        <w:t xml:space="preserve">. Wiley, 2015. </w:t>
      </w:r>
    </w:p>
    <w:p w14:paraId="5E755D36"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El-Deeb, I.M.; et al. Design of quinoline-based anticancer agents targeting EGFR. </w:t>
      </w:r>
      <w:proofErr w:type="spellStart"/>
      <w:r w:rsidRPr="00C30BCF">
        <w:rPr>
          <w:i/>
          <w:iCs/>
        </w:rPr>
        <w:t>Bioorg</w:t>
      </w:r>
      <w:proofErr w:type="spellEnd"/>
      <w:r w:rsidRPr="00C30BCF">
        <w:rPr>
          <w:i/>
          <w:iCs/>
        </w:rPr>
        <w:t>. Med. Chem.</w:t>
      </w:r>
      <w:r w:rsidRPr="005D3DC0">
        <w:t xml:space="preserve"> 2018, 26, 1234–1245. </w:t>
      </w:r>
    </w:p>
    <w:p w14:paraId="5785B955"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Kumar, A.; et al. Structure–activity relationship of heterocyclic kinase inhibitors. </w:t>
      </w:r>
      <w:r w:rsidRPr="00C30BCF">
        <w:rPr>
          <w:i/>
          <w:iCs/>
        </w:rPr>
        <w:t>Eur. J. Med. Chem.</w:t>
      </w:r>
      <w:r w:rsidRPr="005D3DC0">
        <w:t xml:space="preserve"> 2020, 190, 112–120. </w:t>
      </w:r>
    </w:p>
    <w:p w14:paraId="4023CE1E"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Siegel, R.L.; et al. Cancer statistics. </w:t>
      </w:r>
      <w:r w:rsidRPr="00C30BCF">
        <w:rPr>
          <w:i/>
          <w:iCs/>
        </w:rPr>
        <w:t>CA Cancer J. Clin.</w:t>
      </w:r>
      <w:r w:rsidRPr="005D3DC0">
        <w:t xml:space="preserve"> 2023, 73, 17–48. </w:t>
      </w:r>
    </w:p>
    <w:p w14:paraId="38A71F61"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Roskoski, R. EGFR kinase inhibitors: structure and function. </w:t>
      </w:r>
      <w:proofErr w:type="spellStart"/>
      <w:r w:rsidRPr="00C30BCF">
        <w:rPr>
          <w:i/>
          <w:iCs/>
        </w:rPr>
        <w:t>Pharmacol</w:t>
      </w:r>
      <w:proofErr w:type="spellEnd"/>
      <w:r w:rsidRPr="00C30BCF">
        <w:rPr>
          <w:i/>
          <w:iCs/>
        </w:rPr>
        <w:t>. Res.</w:t>
      </w:r>
      <w:r w:rsidRPr="005D3DC0">
        <w:t xml:space="preserve"> 2019, 139, 395–411. </w:t>
      </w:r>
    </w:p>
    <w:p w14:paraId="7E6B94D7" w14:textId="77777777" w:rsidR="00277607" w:rsidRPr="005D3DC0" w:rsidRDefault="00277607" w:rsidP="00277607">
      <w:pPr>
        <w:numPr>
          <w:ilvl w:val="0"/>
          <w:numId w:val="15"/>
        </w:numPr>
        <w:spacing w:before="100" w:beforeAutospacing="1" w:after="100" w:afterAutospacing="1" w:line="360" w:lineRule="auto"/>
        <w:jc w:val="both"/>
      </w:pPr>
      <w:r w:rsidRPr="005D3DC0">
        <w:t xml:space="preserve">Jura, N.; et al. Mechanism of activation of EGFR kinase domain. </w:t>
      </w:r>
      <w:r w:rsidRPr="00C30BCF">
        <w:rPr>
          <w:i/>
          <w:iCs/>
        </w:rPr>
        <w:t>Cell</w:t>
      </w:r>
      <w:r w:rsidRPr="005D3DC0">
        <w:t xml:space="preserve">. 2009, 137, 1293–1307. </w:t>
      </w:r>
    </w:p>
    <w:p w14:paraId="0039FCB0" w14:textId="77777777" w:rsidR="00277607" w:rsidRPr="005D3DC0" w:rsidRDefault="00277607" w:rsidP="00277607">
      <w:pPr>
        <w:numPr>
          <w:ilvl w:val="0"/>
          <w:numId w:val="15"/>
        </w:numPr>
        <w:spacing w:before="100" w:beforeAutospacing="1" w:after="100" w:afterAutospacing="1" w:line="360" w:lineRule="auto"/>
        <w:jc w:val="both"/>
      </w:pPr>
      <w:r w:rsidRPr="005D3DC0">
        <w:lastRenderedPageBreak/>
        <w:t xml:space="preserve">Sharma, S.V.; et al. Epidermal growth factor receptor mutations in lung cancer. </w:t>
      </w:r>
      <w:r w:rsidRPr="00C30BCF">
        <w:rPr>
          <w:i/>
          <w:iCs/>
        </w:rPr>
        <w:t>Nat. Rev. Cancer</w:t>
      </w:r>
      <w:r w:rsidRPr="005D3DC0">
        <w:t xml:space="preserve">. 2007, 7, 169–181. </w:t>
      </w:r>
    </w:p>
    <w:p w14:paraId="4B9F93B9" w14:textId="77777777" w:rsidR="00277607" w:rsidRPr="00C30BCF" w:rsidRDefault="00277607" w:rsidP="00277607">
      <w:pPr>
        <w:numPr>
          <w:ilvl w:val="0"/>
          <w:numId w:val="15"/>
        </w:numPr>
        <w:spacing w:before="100" w:beforeAutospacing="1" w:after="100" w:afterAutospacing="1" w:line="360" w:lineRule="auto"/>
        <w:jc w:val="both"/>
      </w:pPr>
      <w:r w:rsidRPr="005D3DC0">
        <w:t xml:space="preserve">Osborne, C.K.; Schiff, R. Mechanisms of endocrine resistance in breast cancer. </w:t>
      </w:r>
      <w:r w:rsidRPr="00C30BCF">
        <w:rPr>
          <w:i/>
          <w:iCs/>
        </w:rPr>
        <w:t>Annu. Rev. Med.</w:t>
      </w:r>
      <w:r w:rsidRPr="005D3DC0">
        <w:t xml:space="preserve"> 2011, 62, 233–247. </w:t>
      </w:r>
    </w:p>
    <w:p w14:paraId="43F30B5B" w14:textId="77777777" w:rsidR="00277607" w:rsidRPr="007B4978" w:rsidRDefault="00277607" w:rsidP="00277607">
      <w:pPr>
        <w:numPr>
          <w:ilvl w:val="0"/>
          <w:numId w:val="15"/>
        </w:numPr>
        <w:spacing w:line="360" w:lineRule="auto"/>
        <w:jc w:val="both"/>
      </w:pPr>
      <w:r w:rsidRPr="007B4978">
        <w:t xml:space="preserve">Zhang, J.; Yang, P.L.; Gray, N.S. Targeting cancer with small molecule kinase inhibitors. </w:t>
      </w:r>
      <w:r w:rsidRPr="00C30BCF">
        <w:rPr>
          <w:i/>
          <w:iCs/>
        </w:rPr>
        <w:t>Nat. Rev. Cancer</w:t>
      </w:r>
      <w:r w:rsidRPr="007B4978">
        <w:t xml:space="preserve">. 2009, 9, 28–39. </w:t>
      </w:r>
    </w:p>
    <w:p w14:paraId="5E07808B" w14:textId="77777777" w:rsidR="00277607" w:rsidRPr="007B4978" w:rsidRDefault="00277607" w:rsidP="00277607">
      <w:pPr>
        <w:numPr>
          <w:ilvl w:val="0"/>
          <w:numId w:val="15"/>
        </w:numPr>
        <w:spacing w:line="360" w:lineRule="auto"/>
        <w:jc w:val="both"/>
      </w:pPr>
      <w:r w:rsidRPr="007B4978">
        <w:t xml:space="preserve">Roskoski, R. Properties of FDA-approved small molecule protein kinase inhibitors. </w:t>
      </w:r>
      <w:proofErr w:type="spellStart"/>
      <w:r w:rsidRPr="00C30BCF">
        <w:rPr>
          <w:i/>
          <w:iCs/>
        </w:rPr>
        <w:t>Pharmacol</w:t>
      </w:r>
      <w:proofErr w:type="spellEnd"/>
      <w:r w:rsidRPr="00C30BCF">
        <w:rPr>
          <w:i/>
          <w:iCs/>
        </w:rPr>
        <w:t>. Res.</w:t>
      </w:r>
      <w:r w:rsidRPr="007B4978">
        <w:t xml:space="preserve"> 2019, 144, 19–50. </w:t>
      </w:r>
    </w:p>
    <w:p w14:paraId="60DB3035" w14:textId="77777777" w:rsidR="00277607" w:rsidRPr="007B4978" w:rsidRDefault="00277607" w:rsidP="00277607">
      <w:pPr>
        <w:numPr>
          <w:ilvl w:val="0"/>
          <w:numId w:val="15"/>
        </w:numPr>
        <w:spacing w:line="360" w:lineRule="auto"/>
        <w:jc w:val="both"/>
      </w:pPr>
      <w:r w:rsidRPr="007B4978">
        <w:t xml:space="preserve">Liu, Y.; Gray, N.S. Rational design of inhibitors that bind to inactive kinase conformations. </w:t>
      </w:r>
      <w:r w:rsidRPr="00C30BCF">
        <w:rPr>
          <w:i/>
          <w:iCs/>
        </w:rPr>
        <w:t>Nat. Chem. Biol.</w:t>
      </w:r>
      <w:r w:rsidRPr="007B4978">
        <w:t xml:space="preserve"> 2006, 2, 358–364. </w:t>
      </w:r>
    </w:p>
    <w:p w14:paraId="53D547AE" w14:textId="77777777" w:rsidR="00277607" w:rsidRPr="007B4978" w:rsidRDefault="00277607" w:rsidP="00277607">
      <w:pPr>
        <w:numPr>
          <w:ilvl w:val="0"/>
          <w:numId w:val="15"/>
        </w:numPr>
        <w:spacing w:line="360" w:lineRule="auto"/>
        <w:jc w:val="both"/>
      </w:pPr>
      <w:r w:rsidRPr="007B4978">
        <w:t xml:space="preserve">Di, L.; Kerns, E.H. Drug-like properties: concepts, structure design and methods. </w:t>
      </w:r>
      <w:r w:rsidRPr="00C30BCF">
        <w:rPr>
          <w:i/>
          <w:iCs/>
        </w:rPr>
        <w:t>Academic Press</w:t>
      </w:r>
      <w:r w:rsidRPr="007B4978">
        <w:t xml:space="preserve">. 2015. </w:t>
      </w:r>
    </w:p>
    <w:p w14:paraId="382BC3AA" w14:textId="77777777" w:rsidR="00277607" w:rsidRPr="00C30BCF" w:rsidRDefault="00277607" w:rsidP="00277607">
      <w:pPr>
        <w:numPr>
          <w:ilvl w:val="0"/>
          <w:numId w:val="15"/>
        </w:numPr>
        <w:spacing w:before="100" w:beforeAutospacing="1" w:after="100" w:afterAutospacing="1" w:line="360" w:lineRule="auto"/>
        <w:jc w:val="both"/>
      </w:pPr>
      <w:r w:rsidRPr="00C30BCF">
        <w:t xml:space="preserve">Cohen, P.; Alessi, D.R. Kinase drug discovery—what’s next in the field? </w:t>
      </w:r>
      <w:r w:rsidRPr="00C30BCF">
        <w:rPr>
          <w:i/>
          <w:iCs/>
        </w:rPr>
        <w:t>ACS Chem. Biol.</w:t>
      </w:r>
      <w:r w:rsidRPr="00C30BCF">
        <w:t xml:space="preserve"> 2013, 8, 96–104.</w:t>
      </w:r>
    </w:p>
    <w:p w14:paraId="01FE285A" w14:textId="77777777" w:rsidR="00277607" w:rsidRPr="00B03572" w:rsidRDefault="00277607" w:rsidP="00277607">
      <w:pPr>
        <w:numPr>
          <w:ilvl w:val="0"/>
          <w:numId w:val="15"/>
        </w:numPr>
        <w:spacing w:before="100" w:beforeAutospacing="1" w:after="100" w:afterAutospacing="1" w:line="360" w:lineRule="auto"/>
        <w:jc w:val="both"/>
      </w:pPr>
      <w:r w:rsidRPr="00B03572">
        <w:t xml:space="preserve">Zhang, X.; </w:t>
      </w:r>
      <w:proofErr w:type="spellStart"/>
      <w:r w:rsidRPr="00B03572">
        <w:t>Gureasko</w:t>
      </w:r>
      <w:proofErr w:type="spellEnd"/>
      <w:r w:rsidRPr="00B03572">
        <w:t xml:space="preserve">, J.; Shen, K.; Cole, P.A.; </w:t>
      </w:r>
      <w:proofErr w:type="spellStart"/>
      <w:r w:rsidRPr="00B03572">
        <w:t>Kuriyan</w:t>
      </w:r>
      <w:proofErr w:type="spellEnd"/>
      <w:r w:rsidRPr="00B03572">
        <w:t xml:space="preserve">, J. An allosteric mechanism for activation of the kinase domain of epidermal growth factor receptor. </w:t>
      </w:r>
      <w:r w:rsidRPr="00C30BCF">
        <w:rPr>
          <w:i/>
          <w:iCs/>
        </w:rPr>
        <w:t>Cell.</w:t>
      </w:r>
      <w:r w:rsidRPr="00B03572">
        <w:t xml:space="preserve"> 2006, 125, 1137–1149. https://doi.org/10.1016/j.cell.2006.05.013 </w:t>
      </w:r>
    </w:p>
    <w:p w14:paraId="0E5EC523" w14:textId="77777777" w:rsidR="00277607" w:rsidRPr="00B03572" w:rsidRDefault="00277607" w:rsidP="00277607">
      <w:pPr>
        <w:numPr>
          <w:ilvl w:val="0"/>
          <w:numId w:val="15"/>
        </w:numPr>
        <w:spacing w:before="100" w:beforeAutospacing="1" w:after="100" w:afterAutospacing="1" w:line="360" w:lineRule="auto"/>
        <w:jc w:val="both"/>
      </w:pPr>
      <w:r w:rsidRPr="00B03572">
        <w:t xml:space="preserve">Yun, C.H.; </w:t>
      </w:r>
      <w:proofErr w:type="spellStart"/>
      <w:r w:rsidRPr="00B03572">
        <w:t>Boggon</w:t>
      </w:r>
      <w:proofErr w:type="spellEnd"/>
      <w:r w:rsidRPr="00B03572">
        <w:t xml:space="preserve">, T.J.; Li, Y.; Woo, M.S.; Greulich, H.; Meyerson, M.; Eck, M.J. Structures of lung cancer-derived EGFR mutants and inhibitor complexes. </w:t>
      </w:r>
      <w:r w:rsidRPr="00C30BCF">
        <w:rPr>
          <w:i/>
          <w:iCs/>
        </w:rPr>
        <w:t>Cancer Cell.</w:t>
      </w:r>
      <w:r w:rsidRPr="00B03572">
        <w:t xml:space="preserve"> 2007, 11, 217–227. https://doi.org/10.1016/j.ccr.2006.12.020 </w:t>
      </w:r>
    </w:p>
    <w:p w14:paraId="64BD8B49" w14:textId="77777777" w:rsidR="00277607" w:rsidRPr="00B03572" w:rsidRDefault="00277607" w:rsidP="00277607">
      <w:pPr>
        <w:numPr>
          <w:ilvl w:val="0"/>
          <w:numId w:val="15"/>
        </w:numPr>
        <w:spacing w:before="100" w:beforeAutospacing="1" w:after="100" w:afterAutospacing="1" w:line="360" w:lineRule="auto"/>
        <w:jc w:val="both"/>
      </w:pPr>
      <w:r w:rsidRPr="00B03572">
        <w:t xml:space="preserve">Jura, N.; Endres, N.F.; Engel, K.; </w:t>
      </w:r>
      <w:proofErr w:type="spellStart"/>
      <w:r w:rsidRPr="00B03572">
        <w:t>Deindl</w:t>
      </w:r>
      <w:proofErr w:type="spellEnd"/>
      <w:r w:rsidRPr="00B03572">
        <w:t xml:space="preserve">, S.; Das, R.; Lamers, M.H.; Wemmer, D.E.; Zhang, X.; </w:t>
      </w:r>
      <w:proofErr w:type="spellStart"/>
      <w:r w:rsidRPr="00B03572">
        <w:t>Kuriyan</w:t>
      </w:r>
      <w:proofErr w:type="spellEnd"/>
      <w:r w:rsidRPr="00B03572">
        <w:t xml:space="preserve">, J. Mechanism for activation of the EGF receptor catalytic domain by the </w:t>
      </w:r>
      <w:proofErr w:type="spellStart"/>
      <w:r w:rsidRPr="00B03572">
        <w:t>juxtamembrane</w:t>
      </w:r>
      <w:proofErr w:type="spellEnd"/>
      <w:r w:rsidRPr="00B03572">
        <w:t xml:space="preserve"> segment. </w:t>
      </w:r>
      <w:r w:rsidRPr="00C30BCF">
        <w:rPr>
          <w:i/>
          <w:iCs/>
        </w:rPr>
        <w:t>Cell.</w:t>
      </w:r>
      <w:r w:rsidRPr="00B03572">
        <w:t xml:space="preserve"> 2009, 137, 1293–1307. https://doi.org/10.1016/j.cell.2009.04.025 </w:t>
      </w:r>
    </w:p>
    <w:p w14:paraId="56954982" w14:textId="77777777" w:rsidR="00277607" w:rsidRPr="00C30BCF" w:rsidRDefault="00277607" w:rsidP="00277607">
      <w:pPr>
        <w:numPr>
          <w:ilvl w:val="0"/>
          <w:numId w:val="15"/>
        </w:numPr>
        <w:spacing w:before="100" w:beforeAutospacing="1" w:after="100" w:afterAutospacing="1" w:line="360" w:lineRule="auto"/>
        <w:jc w:val="both"/>
      </w:pPr>
      <w:r w:rsidRPr="00B03572">
        <w:t xml:space="preserve">Roskoski, R. The </w:t>
      </w:r>
      <w:proofErr w:type="spellStart"/>
      <w:r w:rsidRPr="00B03572">
        <w:t>ErbB</w:t>
      </w:r>
      <w:proofErr w:type="spellEnd"/>
      <w:r w:rsidRPr="00B03572">
        <w:t xml:space="preserve">/HER family of protein-tyrosine kinases and cancer. </w:t>
      </w:r>
      <w:proofErr w:type="spellStart"/>
      <w:r w:rsidRPr="00C30BCF">
        <w:rPr>
          <w:i/>
          <w:iCs/>
        </w:rPr>
        <w:t>Pharmacol</w:t>
      </w:r>
      <w:proofErr w:type="spellEnd"/>
      <w:r w:rsidRPr="00C30BCF">
        <w:rPr>
          <w:i/>
          <w:iCs/>
        </w:rPr>
        <w:t>. Res.</w:t>
      </w:r>
      <w:r w:rsidRPr="00B03572">
        <w:t xml:space="preserve"> 2014, 79, 34–74. https://doi.org/10.1016/j.phrs.2013.11.002 </w:t>
      </w:r>
    </w:p>
    <w:p w14:paraId="3831DFD6" w14:textId="77777777" w:rsidR="00277607" w:rsidRPr="00B17300" w:rsidRDefault="00277607" w:rsidP="00277607">
      <w:pPr>
        <w:numPr>
          <w:ilvl w:val="0"/>
          <w:numId w:val="15"/>
        </w:numPr>
        <w:spacing w:before="100" w:beforeAutospacing="1" w:after="100" w:afterAutospacing="1" w:line="360" w:lineRule="auto"/>
        <w:jc w:val="both"/>
      </w:pPr>
      <w:r w:rsidRPr="00B17300">
        <w:t xml:space="preserve">Traxler, P.; Furet, P. Strategies toward the design of novel and selective protein tyrosine kinase inhibitors. </w:t>
      </w:r>
      <w:proofErr w:type="spellStart"/>
      <w:r w:rsidRPr="00C30BCF">
        <w:rPr>
          <w:i/>
          <w:iCs/>
        </w:rPr>
        <w:t>Pharmacol</w:t>
      </w:r>
      <w:proofErr w:type="spellEnd"/>
      <w:r w:rsidRPr="00C30BCF">
        <w:rPr>
          <w:i/>
          <w:iCs/>
        </w:rPr>
        <w:t>. Ther.</w:t>
      </w:r>
      <w:r w:rsidRPr="00B17300">
        <w:t xml:space="preserve"> 1999, 82, 195–206. https://doi.org/10.1016/S0163-7258(98)00062-4 </w:t>
      </w:r>
    </w:p>
    <w:p w14:paraId="6C64E5E3" w14:textId="77777777" w:rsidR="00277607" w:rsidRPr="00B17300" w:rsidRDefault="00277607" w:rsidP="00277607">
      <w:pPr>
        <w:numPr>
          <w:ilvl w:val="0"/>
          <w:numId w:val="15"/>
        </w:numPr>
        <w:spacing w:before="100" w:beforeAutospacing="1" w:after="100" w:afterAutospacing="1" w:line="360" w:lineRule="auto"/>
        <w:jc w:val="both"/>
      </w:pPr>
      <w:r w:rsidRPr="00B17300">
        <w:t xml:space="preserve">Singh, J.; Petter, R.C.; Baillie, T.A.; Whitty, A. The resurgence of covalent drugs. </w:t>
      </w:r>
      <w:r w:rsidRPr="00C30BCF">
        <w:rPr>
          <w:i/>
          <w:iCs/>
        </w:rPr>
        <w:t xml:space="preserve">Nat. Rev. Drug </w:t>
      </w:r>
      <w:proofErr w:type="spellStart"/>
      <w:r w:rsidRPr="00C30BCF">
        <w:rPr>
          <w:i/>
          <w:iCs/>
        </w:rPr>
        <w:t>Discov</w:t>
      </w:r>
      <w:proofErr w:type="spellEnd"/>
      <w:r w:rsidRPr="00C30BCF">
        <w:rPr>
          <w:i/>
          <w:iCs/>
        </w:rPr>
        <w:t>.</w:t>
      </w:r>
      <w:r w:rsidRPr="00B17300">
        <w:t xml:space="preserve"> 2011, 10, 307–317. https://doi.org/10.1038/nrd3410 </w:t>
      </w:r>
    </w:p>
    <w:p w14:paraId="75D42ACD" w14:textId="77777777" w:rsidR="00277607" w:rsidRPr="00B17300" w:rsidRDefault="00277607" w:rsidP="00277607">
      <w:pPr>
        <w:numPr>
          <w:ilvl w:val="0"/>
          <w:numId w:val="15"/>
        </w:numPr>
        <w:spacing w:before="100" w:beforeAutospacing="1" w:after="100" w:afterAutospacing="1" w:line="360" w:lineRule="auto"/>
        <w:jc w:val="both"/>
      </w:pPr>
      <w:r w:rsidRPr="00B17300">
        <w:t xml:space="preserve">Zhang, J.; Yang, P.L.; Gray, N.S. Targeting cancer with small molecule kinase inhibitors. </w:t>
      </w:r>
      <w:r w:rsidRPr="00C30BCF">
        <w:rPr>
          <w:i/>
          <w:iCs/>
        </w:rPr>
        <w:t>Nat. Rev. Cancer.</w:t>
      </w:r>
      <w:r w:rsidRPr="00B17300">
        <w:t xml:space="preserve"> 2009, 9, 28–39. https://doi.org/10.1038/nrc2559 </w:t>
      </w:r>
    </w:p>
    <w:p w14:paraId="677AE5B1" w14:textId="77777777" w:rsidR="00277607" w:rsidRPr="00B17300" w:rsidRDefault="00277607" w:rsidP="00277607">
      <w:pPr>
        <w:numPr>
          <w:ilvl w:val="0"/>
          <w:numId w:val="15"/>
        </w:numPr>
        <w:spacing w:before="100" w:beforeAutospacing="1" w:after="100" w:afterAutospacing="1" w:line="360" w:lineRule="auto"/>
        <w:jc w:val="both"/>
      </w:pPr>
      <w:r w:rsidRPr="00B17300">
        <w:lastRenderedPageBreak/>
        <w:t xml:space="preserve">Liu, Q.; Sabnis, Y.; Zhao, Z.; Zhang, T.; </w:t>
      </w:r>
      <w:proofErr w:type="spellStart"/>
      <w:r w:rsidRPr="00B17300">
        <w:t>Buhrlage</w:t>
      </w:r>
      <w:proofErr w:type="spellEnd"/>
      <w:r w:rsidRPr="00B17300">
        <w:t xml:space="preserve">, S.J.; Jones, L.H.; Gray, N.S. Developing irreversible inhibitors of the protein kinase </w:t>
      </w:r>
      <w:proofErr w:type="spellStart"/>
      <w:r w:rsidRPr="00B17300">
        <w:t>cysteinome</w:t>
      </w:r>
      <w:proofErr w:type="spellEnd"/>
      <w:r w:rsidRPr="00B17300">
        <w:t xml:space="preserve">. </w:t>
      </w:r>
      <w:r w:rsidRPr="00C30BCF">
        <w:rPr>
          <w:i/>
          <w:iCs/>
        </w:rPr>
        <w:t>Chem. Biol.</w:t>
      </w:r>
      <w:r w:rsidRPr="00B17300">
        <w:t xml:space="preserve"> 2013, 20, 146–159. https://doi.org/10.1016/j.chembiol.2012.12.006 </w:t>
      </w:r>
    </w:p>
    <w:p w14:paraId="70CAB4CE" w14:textId="77777777" w:rsidR="00277607" w:rsidRPr="00B17300" w:rsidRDefault="00277607" w:rsidP="00277607">
      <w:pPr>
        <w:numPr>
          <w:ilvl w:val="0"/>
          <w:numId w:val="15"/>
        </w:numPr>
        <w:spacing w:before="100" w:beforeAutospacing="1" w:after="100" w:afterAutospacing="1" w:line="360" w:lineRule="auto"/>
        <w:jc w:val="both"/>
      </w:pPr>
      <w:r w:rsidRPr="00B17300">
        <w:t xml:space="preserve">Osborne, C.K.; Schiff, R. Mechanisms of endocrine resistance in breast cancer. </w:t>
      </w:r>
      <w:r w:rsidRPr="00C30BCF">
        <w:rPr>
          <w:i/>
          <w:iCs/>
        </w:rPr>
        <w:t>Annu. Rev. Med.</w:t>
      </w:r>
      <w:r w:rsidRPr="00B17300">
        <w:t xml:space="preserve"> 2011, 62, 233–247. https://doi.org/10.1146/annurev-med-070909-182917 </w:t>
      </w:r>
    </w:p>
    <w:p w14:paraId="2B872631" w14:textId="77777777" w:rsidR="00277607" w:rsidRPr="00B03572" w:rsidRDefault="00277607" w:rsidP="00277607">
      <w:pPr>
        <w:spacing w:before="100" w:beforeAutospacing="1" w:after="100" w:afterAutospacing="1" w:line="360" w:lineRule="auto"/>
        <w:ind w:left="720"/>
        <w:jc w:val="both"/>
      </w:pPr>
    </w:p>
    <w:p w14:paraId="7AD0FA3E" w14:textId="77777777" w:rsidR="00277607" w:rsidRPr="005D3DC0" w:rsidRDefault="00277607" w:rsidP="00277607">
      <w:pPr>
        <w:spacing w:before="100" w:beforeAutospacing="1" w:after="100" w:afterAutospacing="1" w:line="360" w:lineRule="auto"/>
        <w:ind w:left="720"/>
        <w:jc w:val="both"/>
      </w:pPr>
    </w:p>
    <w:p w14:paraId="3E1D1190" w14:textId="77777777" w:rsidR="00277607" w:rsidRPr="005D3DC0" w:rsidRDefault="00277607" w:rsidP="00277607">
      <w:pPr>
        <w:spacing w:line="360" w:lineRule="auto"/>
        <w:jc w:val="both"/>
      </w:pPr>
    </w:p>
    <w:p w14:paraId="7C3790A9" w14:textId="77777777" w:rsidR="00277607" w:rsidRPr="00C30BCF" w:rsidRDefault="00277607" w:rsidP="00277607">
      <w:pPr>
        <w:pStyle w:val="NormalWeb"/>
        <w:spacing w:line="360" w:lineRule="auto"/>
        <w:ind w:left="720"/>
        <w:jc w:val="both"/>
      </w:pPr>
    </w:p>
    <w:p w14:paraId="7AB58AF1" w14:textId="77777777" w:rsidR="00277607" w:rsidRPr="00C30BCF" w:rsidRDefault="00277607" w:rsidP="00277607">
      <w:pPr>
        <w:spacing w:line="360" w:lineRule="auto"/>
        <w:jc w:val="both"/>
      </w:pPr>
    </w:p>
    <w:sectPr w:rsidR="00277607" w:rsidRPr="00C30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ingLiU-ExtB"/>
    <w:charset w:val="80"/>
    <w:family w:val="auto"/>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0"/>
    <w:multiLevelType w:val="multilevel"/>
    <w:tmpl w:val="4976A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7012"/>
    <w:multiLevelType w:val="multilevel"/>
    <w:tmpl w:val="5D68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04BD0"/>
    <w:multiLevelType w:val="multilevel"/>
    <w:tmpl w:val="786C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26870"/>
    <w:multiLevelType w:val="multilevel"/>
    <w:tmpl w:val="9F7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05BE0"/>
    <w:multiLevelType w:val="multilevel"/>
    <w:tmpl w:val="FA5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53161"/>
    <w:multiLevelType w:val="multilevel"/>
    <w:tmpl w:val="02B8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34CB5"/>
    <w:multiLevelType w:val="multilevel"/>
    <w:tmpl w:val="FFC6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B4F76"/>
    <w:multiLevelType w:val="multilevel"/>
    <w:tmpl w:val="6C40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9564E"/>
    <w:multiLevelType w:val="multilevel"/>
    <w:tmpl w:val="683AD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B0EBB"/>
    <w:multiLevelType w:val="hybridMultilevel"/>
    <w:tmpl w:val="AAD643F4"/>
    <w:lvl w:ilvl="0" w:tplc="54A6E152">
      <w:start w:val="1"/>
      <w:numFmt w:val="lowerLetter"/>
      <w:pStyle w:val="RSCF01FootnoteAuthorAddress"/>
      <w:lvlText w:val="%1."/>
      <w:lvlJc w:val="left"/>
      <w:pPr>
        <w:ind w:left="135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F71264"/>
    <w:multiLevelType w:val="multilevel"/>
    <w:tmpl w:val="FFC6F87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85DDE"/>
    <w:multiLevelType w:val="multilevel"/>
    <w:tmpl w:val="8FDA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66F10"/>
    <w:multiLevelType w:val="multilevel"/>
    <w:tmpl w:val="FC0C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F4565"/>
    <w:multiLevelType w:val="multilevel"/>
    <w:tmpl w:val="E724CF3C"/>
    <w:lvl w:ilvl="0">
      <w:numFmt w:val="decimal"/>
      <w:lvlText w:val="%1"/>
      <w:lvlJc w:val="left"/>
      <w:pPr>
        <w:ind w:left="420" w:hanging="420"/>
      </w:pPr>
      <w:rPr>
        <w:rFonts w:hint="default"/>
      </w:rPr>
    </w:lvl>
    <w:lvl w:ilvl="1">
      <w:start w:val="8"/>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0E3EBD"/>
    <w:multiLevelType w:val="multilevel"/>
    <w:tmpl w:val="2E04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D4778"/>
    <w:multiLevelType w:val="multilevel"/>
    <w:tmpl w:val="0EFC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B7466"/>
    <w:multiLevelType w:val="multilevel"/>
    <w:tmpl w:val="992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85046"/>
    <w:multiLevelType w:val="multilevel"/>
    <w:tmpl w:val="A98C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D2235"/>
    <w:multiLevelType w:val="multilevel"/>
    <w:tmpl w:val="1AA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546F0C"/>
    <w:multiLevelType w:val="multilevel"/>
    <w:tmpl w:val="D98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355E4"/>
    <w:multiLevelType w:val="multilevel"/>
    <w:tmpl w:val="B4A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C5D48"/>
    <w:multiLevelType w:val="multilevel"/>
    <w:tmpl w:val="D5F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C2888"/>
    <w:multiLevelType w:val="multilevel"/>
    <w:tmpl w:val="4740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7B78EC"/>
    <w:multiLevelType w:val="multilevel"/>
    <w:tmpl w:val="B04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D0942"/>
    <w:multiLevelType w:val="multilevel"/>
    <w:tmpl w:val="C16E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51299">
    <w:abstractNumId w:val="10"/>
  </w:num>
  <w:num w:numId="2" w16cid:durableId="157036486">
    <w:abstractNumId w:val="9"/>
  </w:num>
  <w:num w:numId="3" w16cid:durableId="1969625303">
    <w:abstractNumId w:val="10"/>
  </w:num>
  <w:num w:numId="4" w16cid:durableId="926621511">
    <w:abstractNumId w:val="9"/>
  </w:num>
  <w:num w:numId="5" w16cid:durableId="814376018">
    <w:abstractNumId w:val="2"/>
  </w:num>
  <w:num w:numId="6" w16cid:durableId="1676955162">
    <w:abstractNumId w:val="13"/>
  </w:num>
  <w:num w:numId="7" w16cid:durableId="332992551">
    <w:abstractNumId w:val="5"/>
  </w:num>
  <w:num w:numId="8" w16cid:durableId="1265000402">
    <w:abstractNumId w:val="0"/>
  </w:num>
  <w:num w:numId="9" w16cid:durableId="952053995">
    <w:abstractNumId w:val="21"/>
  </w:num>
  <w:num w:numId="10" w16cid:durableId="1548565618">
    <w:abstractNumId w:val="25"/>
  </w:num>
  <w:num w:numId="11" w16cid:durableId="384913118">
    <w:abstractNumId w:val="8"/>
  </w:num>
  <w:num w:numId="12" w16cid:durableId="1689067185">
    <w:abstractNumId w:val="22"/>
  </w:num>
  <w:num w:numId="13" w16cid:durableId="791364170">
    <w:abstractNumId w:val="24"/>
  </w:num>
  <w:num w:numId="14" w16cid:durableId="1371027540">
    <w:abstractNumId w:val="1"/>
  </w:num>
  <w:num w:numId="15" w16cid:durableId="473182119">
    <w:abstractNumId w:val="6"/>
  </w:num>
  <w:num w:numId="16" w16cid:durableId="1561745011">
    <w:abstractNumId w:val="12"/>
  </w:num>
  <w:num w:numId="17" w16cid:durableId="799424521">
    <w:abstractNumId w:val="4"/>
  </w:num>
  <w:num w:numId="18" w16cid:durableId="1324310985">
    <w:abstractNumId w:val="19"/>
  </w:num>
  <w:num w:numId="19" w16cid:durableId="957688301">
    <w:abstractNumId w:val="7"/>
  </w:num>
  <w:num w:numId="20" w16cid:durableId="820847540">
    <w:abstractNumId w:val="14"/>
  </w:num>
  <w:num w:numId="21" w16cid:durableId="1815029815">
    <w:abstractNumId w:val="17"/>
  </w:num>
  <w:num w:numId="22" w16cid:durableId="231237431">
    <w:abstractNumId w:val="16"/>
  </w:num>
  <w:num w:numId="23" w16cid:durableId="1732001611">
    <w:abstractNumId w:val="15"/>
  </w:num>
  <w:num w:numId="24" w16cid:durableId="1328484016">
    <w:abstractNumId w:val="20"/>
  </w:num>
  <w:num w:numId="25" w16cid:durableId="388505409">
    <w:abstractNumId w:val="23"/>
  </w:num>
  <w:num w:numId="26" w16cid:durableId="1169640263">
    <w:abstractNumId w:val="18"/>
  </w:num>
  <w:num w:numId="27" w16cid:durableId="922759999">
    <w:abstractNumId w:val="3"/>
  </w:num>
  <w:num w:numId="28" w16cid:durableId="82339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3C2"/>
    <w:rsid w:val="000122D2"/>
    <w:rsid w:val="00013EB2"/>
    <w:rsid w:val="00016B6A"/>
    <w:rsid w:val="000176E3"/>
    <w:rsid w:val="000334DF"/>
    <w:rsid w:val="000667A0"/>
    <w:rsid w:val="000D6DCB"/>
    <w:rsid w:val="001256C2"/>
    <w:rsid w:val="001A167D"/>
    <w:rsid w:val="001A56CF"/>
    <w:rsid w:val="001C6872"/>
    <w:rsid w:val="001C6AD9"/>
    <w:rsid w:val="00205E9A"/>
    <w:rsid w:val="002419C9"/>
    <w:rsid w:val="00277607"/>
    <w:rsid w:val="002B0616"/>
    <w:rsid w:val="003773F4"/>
    <w:rsid w:val="00386F62"/>
    <w:rsid w:val="003A5C01"/>
    <w:rsid w:val="003A606B"/>
    <w:rsid w:val="003D033D"/>
    <w:rsid w:val="003E4EA7"/>
    <w:rsid w:val="003F39B2"/>
    <w:rsid w:val="004020D9"/>
    <w:rsid w:val="00433F08"/>
    <w:rsid w:val="0044141D"/>
    <w:rsid w:val="0046010A"/>
    <w:rsid w:val="00474C19"/>
    <w:rsid w:val="00492A39"/>
    <w:rsid w:val="004B39BE"/>
    <w:rsid w:val="004B5E03"/>
    <w:rsid w:val="004D71DE"/>
    <w:rsid w:val="004E070D"/>
    <w:rsid w:val="004E24AB"/>
    <w:rsid w:val="00510EFB"/>
    <w:rsid w:val="00566B76"/>
    <w:rsid w:val="005742BC"/>
    <w:rsid w:val="005911C4"/>
    <w:rsid w:val="00596A5C"/>
    <w:rsid w:val="005A3CD2"/>
    <w:rsid w:val="00630E91"/>
    <w:rsid w:val="00636833"/>
    <w:rsid w:val="006603C6"/>
    <w:rsid w:val="006751DD"/>
    <w:rsid w:val="006A65B4"/>
    <w:rsid w:val="006F1B68"/>
    <w:rsid w:val="00703502"/>
    <w:rsid w:val="007209FF"/>
    <w:rsid w:val="00723010"/>
    <w:rsid w:val="00757871"/>
    <w:rsid w:val="007A5604"/>
    <w:rsid w:val="007B79F8"/>
    <w:rsid w:val="007C103D"/>
    <w:rsid w:val="00815333"/>
    <w:rsid w:val="008363AB"/>
    <w:rsid w:val="0084268F"/>
    <w:rsid w:val="008633DF"/>
    <w:rsid w:val="00864077"/>
    <w:rsid w:val="008A1F00"/>
    <w:rsid w:val="008A53E3"/>
    <w:rsid w:val="008D708A"/>
    <w:rsid w:val="008E1EA9"/>
    <w:rsid w:val="008E308A"/>
    <w:rsid w:val="008E3F85"/>
    <w:rsid w:val="008F31F2"/>
    <w:rsid w:val="008F6E24"/>
    <w:rsid w:val="00937310"/>
    <w:rsid w:val="00996EBC"/>
    <w:rsid w:val="009D3AA2"/>
    <w:rsid w:val="009E5329"/>
    <w:rsid w:val="00A271C8"/>
    <w:rsid w:val="00A3125F"/>
    <w:rsid w:val="00A90E71"/>
    <w:rsid w:val="00A97D70"/>
    <w:rsid w:val="00AB29E7"/>
    <w:rsid w:val="00AB6016"/>
    <w:rsid w:val="00AC3792"/>
    <w:rsid w:val="00AE587D"/>
    <w:rsid w:val="00B01940"/>
    <w:rsid w:val="00B0263E"/>
    <w:rsid w:val="00B63E15"/>
    <w:rsid w:val="00B653AE"/>
    <w:rsid w:val="00B778B7"/>
    <w:rsid w:val="00B97A92"/>
    <w:rsid w:val="00BE5A64"/>
    <w:rsid w:val="00C00E27"/>
    <w:rsid w:val="00C15712"/>
    <w:rsid w:val="00C163C2"/>
    <w:rsid w:val="00C42209"/>
    <w:rsid w:val="00C918E9"/>
    <w:rsid w:val="00CC41F6"/>
    <w:rsid w:val="00D010C8"/>
    <w:rsid w:val="00D05491"/>
    <w:rsid w:val="00D44176"/>
    <w:rsid w:val="00D502BA"/>
    <w:rsid w:val="00DA06D0"/>
    <w:rsid w:val="00DA6BC0"/>
    <w:rsid w:val="00DC5F9E"/>
    <w:rsid w:val="00E00D3C"/>
    <w:rsid w:val="00E01480"/>
    <w:rsid w:val="00E13237"/>
    <w:rsid w:val="00E2003B"/>
    <w:rsid w:val="00E22DAD"/>
    <w:rsid w:val="00E3406D"/>
    <w:rsid w:val="00E554BE"/>
    <w:rsid w:val="00E564DE"/>
    <w:rsid w:val="00E972EE"/>
    <w:rsid w:val="00ED2D1E"/>
    <w:rsid w:val="00ED6989"/>
    <w:rsid w:val="00F265BE"/>
    <w:rsid w:val="00F41CE3"/>
    <w:rsid w:val="00F42558"/>
    <w:rsid w:val="00F71F83"/>
    <w:rsid w:val="00FB6B08"/>
    <w:rsid w:val="00FF3D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BBBC8E"/>
  <w15:chartTrackingRefBased/>
  <w15:docId w15:val="{C7ABEA6D-A3E0-4C9F-B8B1-689DE7BD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8A"/>
    <w:rPr>
      <w:rFonts w:ascii="Times New Roman" w:eastAsia="Times New Roman" w:hAnsi="Times New Roman"/>
      <w:sz w:val="24"/>
      <w:szCs w:val="24"/>
    </w:rPr>
  </w:style>
  <w:style w:type="paragraph" w:styleId="Heading1">
    <w:name w:val="heading 1"/>
    <w:basedOn w:val="Normal"/>
    <w:next w:val="Normal"/>
    <w:link w:val="Heading1Char"/>
    <w:uiPriority w:val="9"/>
    <w:qFormat/>
    <w:rsid w:val="00E3406D"/>
    <w:pPr>
      <w:keepNext/>
      <w:keepLines/>
      <w:spacing w:before="240"/>
      <w:outlineLvl w:val="0"/>
    </w:pPr>
    <w:rPr>
      <w:rFonts w:ascii="Calibri Light" w:hAnsi="Calibri Light"/>
      <w:color w:val="2F5496"/>
      <w:kern w:val="2"/>
      <w:sz w:val="32"/>
      <w:szCs w:val="32"/>
    </w:rPr>
  </w:style>
  <w:style w:type="paragraph" w:styleId="Heading2">
    <w:name w:val="heading 2"/>
    <w:basedOn w:val="Normal"/>
    <w:next w:val="Normal"/>
    <w:link w:val="Heading2Char"/>
    <w:uiPriority w:val="9"/>
    <w:unhideWhenUsed/>
    <w:qFormat/>
    <w:rsid w:val="00E3406D"/>
    <w:pPr>
      <w:keepNext/>
      <w:keepLines/>
      <w:spacing w:before="200"/>
      <w:outlineLvl w:val="1"/>
    </w:pPr>
    <w:rPr>
      <w:rFonts w:ascii="Calibri Light" w:hAnsi="Calibri Light"/>
      <w:b/>
      <w:bCs/>
      <w:color w:val="4472C4"/>
      <w:sz w:val="26"/>
      <w:szCs w:val="26"/>
    </w:rPr>
  </w:style>
  <w:style w:type="paragraph" w:styleId="Heading3">
    <w:name w:val="heading 3"/>
    <w:basedOn w:val="Normal"/>
    <w:link w:val="Heading3Char"/>
    <w:uiPriority w:val="9"/>
    <w:qFormat/>
    <w:rsid w:val="00E3406D"/>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
    <w:unhideWhenUsed/>
    <w:qFormat/>
    <w:rsid w:val="00E3406D"/>
    <w:pPr>
      <w:keepNext/>
      <w:keepLines/>
      <w:spacing w:before="40"/>
      <w:outlineLvl w:val="3"/>
    </w:pPr>
    <w:rPr>
      <w:rFonts w:ascii="Calibri Light" w:hAnsi="Calibri Light"/>
      <w:i/>
      <w:iCs/>
      <w:color w:val="2F549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H01PaperTitle">
    <w:name w:val="RSC H01 Paper Title"/>
    <w:basedOn w:val="Normal"/>
    <w:next w:val="Normal"/>
    <w:link w:val="RSCH01PaperTitleChar"/>
    <w:qFormat/>
    <w:rsid w:val="00E3406D"/>
    <w:pPr>
      <w:tabs>
        <w:tab w:val="left" w:pos="284"/>
      </w:tabs>
      <w:spacing w:before="400" w:after="160"/>
    </w:pPr>
    <w:rPr>
      <w:b/>
      <w:sz w:val="29"/>
      <w:szCs w:val="32"/>
      <w:lang w:val="en-GB"/>
    </w:rPr>
  </w:style>
  <w:style w:type="character" w:customStyle="1" w:styleId="RSCH01PaperTitleChar">
    <w:name w:val="RSC H01 Paper Title Char"/>
    <w:link w:val="RSCH01PaperTitle"/>
    <w:rsid w:val="00E3406D"/>
    <w:rPr>
      <w:rFonts w:cs="Times New Roman"/>
      <w:b/>
      <w:kern w:val="0"/>
      <w:sz w:val="29"/>
      <w:szCs w:val="32"/>
      <w:lang w:val="en-GB"/>
    </w:rPr>
  </w:style>
  <w:style w:type="paragraph" w:customStyle="1" w:styleId="RSCR02References">
    <w:name w:val="RSC R02 References"/>
    <w:basedOn w:val="Normal"/>
    <w:link w:val="RSCR02ReferencesChar"/>
    <w:qFormat/>
    <w:rsid w:val="00E3406D"/>
    <w:pPr>
      <w:numPr>
        <w:numId w:val="1"/>
      </w:numPr>
      <w:spacing w:line="200" w:lineRule="exact"/>
      <w:ind w:left="284" w:hanging="284"/>
      <w:jc w:val="both"/>
    </w:pPr>
    <w:rPr>
      <w:w w:val="105"/>
      <w:sz w:val="18"/>
      <w:szCs w:val="18"/>
      <w:lang w:val="en-GB"/>
    </w:rPr>
  </w:style>
  <w:style w:type="character" w:customStyle="1" w:styleId="RSCR02ReferencesChar">
    <w:name w:val="RSC R02 References Char"/>
    <w:link w:val="RSCR02References"/>
    <w:rsid w:val="00E3406D"/>
    <w:rPr>
      <w:rFonts w:cs="Times New Roman"/>
      <w:w w:val="105"/>
      <w:kern w:val="0"/>
      <w:sz w:val="18"/>
      <w:szCs w:val="18"/>
      <w:lang w:val="en-GB"/>
    </w:rPr>
  </w:style>
  <w:style w:type="paragraph" w:customStyle="1" w:styleId="RSCB04AHeadingSection">
    <w:name w:val="RSC B04 A Heading (Section)"/>
    <w:basedOn w:val="Normal"/>
    <w:link w:val="RSCB04AHeadingSectionChar"/>
    <w:qFormat/>
    <w:rsid w:val="00E3406D"/>
    <w:pPr>
      <w:spacing w:before="400" w:after="80"/>
    </w:pPr>
    <w:rPr>
      <w:b/>
      <w:lang w:val="en-GB"/>
    </w:rPr>
  </w:style>
  <w:style w:type="character" w:customStyle="1" w:styleId="RSCB04AHeadingSectionChar">
    <w:name w:val="RSC B04 A Heading (Section) Char"/>
    <w:link w:val="RSCB04AHeadingSection"/>
    <w:rsid w:val="00E3406D"/>
    <w:rPr>
      <w:b/>
      <w:kern w:val="0"/>
      <w:sz w:val="24"/>
      <w:lang w:val="en-GB"/>
    </w:rPr>
  </w:style>
  <w:style w:type="paragraph" w:customStyle="1" w:styleId="RSCB02ArticleText">
    <w:name w:val="RSC B02 Article Text"/>
    <w:basedOn w:val="Normal"/>
    <w:link w:val="RSCB02ArticleTextChar"/>
    <w:qFormat/>
    <w:rsid w:val="00E3406D"/>
    <w:pPr>
      <w:tabs>
        <w:tab w:val="left" w:pos="284"/>
      </w:tabs>
      <w:spacing w:line="240" w:lineRule="exact"/>
      <w:jc w:val="both"/>
    </w:pPr>
    <w:rPr>
      <w:rFonts w:ascii="Calibri" w:eastAsia="Calibri" w:hAnsi="Calibri"/>
      <w:w w:val="108"/>
      <w:sz w:val="18"/>
      <w:szCs w:val="18"/>
      <w:lang w:val="en-GB"/>
    </w:rPr>
  </w:style>
  <w:style w:type="character" w:customStyle="1" w:styleId="RSCB02ArticleTextChar">
    <w:name w:val="RSC B02 Article Text Char"/>
    <w:link w:val="RSCB02ArticleText"/>
    <w:rsid w:val="00E3406D"/>
    <w:rPr>
      <w:rFonts w:ascii="Calibri" w:eastAsia="Calibri" w:hAnsi="Calibri" w:cs="Times New Roman"/>
      <w:w w:val="108"/>
      <w:kern w:val="0"/>
      <w:sz w:val="18"/>
      <w:szCs w:val="18"/>
      <w:lang w:val="en-GB"/>
    </w:rPr>
  </w:style>
  <w:style w:type="paragraph" w:customStyle="1" w:styleId="Sectiontitle">
    <w:name w:val="Section title"/>
    <w:basedOn w:val="Normal"/>
    <w:link w:val="SectiontitleChar"/>
    <w:semiHidden/>
    <w:qFormat/>
    <w:rsid w:val="00E3406D"/>
    <w:pPr>
      <w:spacing w:before="240"/>
      <w:jc w:val="both"/>
    </w:pPr>
    <w:rPr>
      <w:rFonts w:eastAsia="Malgun Gothic"/>
      <w:b/>
      <w:bCs/>
      <w:noProof/>
      <w:kern w:val="2"/>
    </w:rPr>
  </w:style>
  <w:style w:type="character" w:customStyle="1" w:styleId="SectiontitleChar">
    <w:name w:val="Section title Char"/>
    <w:link w:val="Sectiontitle"/>
    <w:semiHidden/>
    <w:locked/>
    <w:rsid w:val="00E3406D"/>
    <w:rPr>
      <w:rFonts w:ascii="Times New Roman" w:eastAsia="Malgun Gothic" w:hAnsi="Times New Roman" w:cs="Times New Roman"/>
      <w:b/>
      <w:bCs/>
      <w:noProof/>
      <w:sz w:val="24"/>
      <w:szCs w:val="24"/>
    </w:rPr>
  </w:style>
  <w:style w:type="paragraph" w:customStyle="1" w:styleId="Extrasection">
    <w:name w:val="Extra section"/>
    <w:basedOn w:val="Normal"/>
    <w:link w:val="ExtrasectionChar"/>
    <w:semiHidden/>
    <w:qFormat/>
    <w:rsid w:val="00E3406D"/>
    <w:pPr>
      <w:jc w:val="both"/>
    </w:pPr>
    <w:rPr>
      <w:rFonts w:eastAsia="Malgun Gothic"/>
      <w:noProof/>
      <w:color w:val="808080"/>
      <w:kern w:val="2"/>
      <w:lang w:bidi="en-US"/>
    </w:rPr>
  </w:style>
  <w:style w:type="character" w:customStyle="1" w:styleId="ExtrasectionChar">
    <w:name w:val="Extra section Char"/>
    <w:link w:val="Extrasection"/>
    <w:semiHidden/>
    <w:locked/>
    <w:rsid w:val="00E3406D"/>
    <w:rPr>
      <w:rFonts w:ascii="Times New Roman" w:eastAsia="Malgun Gothic" w:hAnsi="Times New Roman" w:cs="Times New Roman"/>
      <w:noProof/>
      <w:color w:val="808080"/>
      <w:sz w:val="24"/>
      <w:szCs w:val="24"/>
      <w:lang w:bidi="en-US"/>
    </w:rPr>
  </w:style>
  <w:style w:type="paragraph" w:customStyle="1" w:styleId="RSCB08CHeadingIn-line">
    <w:name w:val="RSC B08 C Heading (In-line)"/>
    <w:link w:val="RSCB08CHeadingIn-lineChar"/>
    <w:qFormat/>
    <w:rsid w:val="00E3406D"/>
    <w:pPr>
      <w:spacing w:line="276" w:lineRule="auto"/>
    </w:pPr>
    <w:rPr>
      <w:b/>
      <w:sz w:val="18"/>
      <w:szCs w:val="22"/>
      <w:lang w:val="en-GB" w:eastAsia="en-US"/>
    </w:rPr>
  </w:style>
  <w:style w:type="character" w:customStyle="1" w:styleId="RSCB08CHeadingIn-lineChar">
    <w:name w:val="RSC B08 C Heading (In-line) Char"/>
    <w:link w:val="RSCB08CHeadingIn-line"/>
    <w:rsid w:val="00E3406D"/>
    <w:rPr>
      <w:rFonts w:ascii="Calibri" w:eastAsia="Calibri" w:hAnsi="Calibri" w:cs="Times New Roman"/>
      <w:b/>
      <w:kern w:val="0"/>
      <w:sz w:val="18"/>
      <w:lang w:val="en-GB"/>
    </w:rPr>
  </w:style>
  <w:style w:type="paragraph" w:customStyle="1" w:styleId="References">
    <w:name w:val="References"/>
    <w:basedOn w:val="Normal"/>
    <w:qFormat/>
    <w:rsid w:val="00E3406D"/>
    <w:pPr>
      <w:spacing w:line="200" w:lineRule="exact"/>
      <w:ind w:left="425" w:hanging="425"/>
      <w:jc w:val="both"/>
    </w:pPr>
    <w:rPr>
      <w:rFonts w:ascii="Arial" w:eastAsia="MS Mincho" w:hAnsi="Arial"/>
      <w:sz w:val="14"/>
      <w:szCs w:val="14"/>
      <w:lang w:val="en-GB" w:eastAsia="ja-JP"/>
    </w:rPr>
  </w:style>
  <w:style w:type="paragraph" w:customStyle="1" w:styleId="08ArticleText">
    <w:name w:val="08 Article Text"/>
    <w:basedOn w:val="Normal"/>
    <w:link w:val="08ArticleTextChar"/>
    <w:qFormat/>
    <w:rsid w:val="00E3406D"/>
    <w:pPr>
      <w:tabs>
        <w:tab w:val="left" w:pos="284"/>
      </w:tabs>
      <w:spacing w:line="240" w:lineRule="exact"/>
      <w:jc w:val="both"/>
    </w:pPr>
    <w:rPr>
      <w:rFonts w:eastAsia="Calibri"/>
      <w:w w:val="108"/>
      <w:sz w:val="18"/>
      <w:szCs w:val="18"/>
    </w:rPr>
  </w:style>
  <w:style w:type="character" w:customStyle="1" w:styleId="08ArticleTextChar">
    <w:name w:val="08 Article Text Char"/>
    <w:link w:val="08ArticleText"/>
    <w:rsid w:val="00E3406D"/>
    <w:rPr>
      <w:rFonts w:ascii="Times New Roman" w:eastAsia="Calibri" w:hAnsi="Times New Roman" w:cs="Times New Roman"/>
      <w:w w:val="108"/>
      <w:kern w:val="0"/>
      <w:sz w:val="18"/>
      <w:szCs w:val="18"/>
      <w:lang w:eastAsia="en-IN"/>
    </w:rPr>
  </w:style>
  <w:style w:type="paragraph" w:customStyle="1" w:styleId="RSCH02PaperAuthorsandByline">
    <w:name w:val="RSC H02 Paper Authors and Byline"/>
    <w:basedOn w:val="Normal"/>
    <w:link w:val="RSCH02PaperAuthorsandBylineChar"/>
    <w:qFormat/>
    <w:rsid w:val="00E3406D"/>
    <w:pPr>
      <w:spacing w:after="120" w:line="240" w:lineRule="exact"/>
    </w:pPr>
    <w:rPr>
      <w:rFonts w:ascii="Calibri" w:eastAsia="Calibri" w:hAnsi="Calibri"/>
      <w:sz w:val="20"/>
      <w:lang w:val="en-GB"/>
    </w:rPr>
  </w:style>
  <w:style w:type="character" w:customStyle="1" w:styleId="RSCH02PaperAuthorsandBylineChar">
    <w:name w:val="RSC H02 Paper Authors and Byline Char"/>
    <w:link w:val="RSCH02PaperAuthorsandByline"/>
    <w:rsid w:val="00E3406D"/>
    <w:rPr>
      <w:rFonts w:ascii="Calibri" w:eastAsia="Calibri" w:hAnsi="Calibri" w:cs="Times New Roman"/>
      <w:kern w:val="0"/>
      <w:sz w:val="20"/>
      <w:lang w:val="en-GB"/>
    </w:rPr>
  </w:style>
  <w:style w:type="paragraph" w:customStyle="1" w:styleId="RSCB01ARTAbstract">
    <w:name w:val="RSC B01 ART Abstract"/>
    <w:basedOn w:val="Normal"/>
    <w:link w:val="RSCB01ARTAbstractChar"/>
    <w:qFormat/>
    <w:rsid w:val="00E3406D"/>
    <w:pPr>
      <w:spacing w:line="240" w:lineRule="exact"/>
      <w:jc w:val="both"/>
    </w:pPr>
    <w:rPr>
      <w:rFonts w:ascii="Calibri" w:eastAsia="Calibri" w:hAnsi="Calibri"/>
      <w:noProof/>
      <w:sz w:val="16"/>
      <w:lang w:val="en-GB" w:eastAsia="en-GB"/>
    </w:rPr>
  </w:style>
  <w:style w:type="character" w:customStyle="1" w:styleId="RSCB01ARTAbstractChar">
    <w:name w:val="RSC B01 ART Abstract Char"/>
    <w:link w:val="RSCB01ARTAbstract"/>
    <w:rsid w:val="00E3406D"/>
    <w:rPr>
      <w:rFonts w:ascii="Calibri" w:eastAsia="Calibri" w:hAnsi="Calibri" w:cs="Times New Roman"/>
      <w:noProof/>
      <w:kern w:val="0"/>
      <w:sz w:val="16"/>
      <w:lang w:val="en-GB" w:eastAsia="en-GB"/>
    </w:rPr>
  </w:style>
  <w:style w:type="paragraph" w:customStyle="1" w:styleId="RSCF01FootnoteAuthorAddress">
    <w:name w:val="RSC F01 Footnote Author Address"/>
    <w:link w:val="RSCF01FootnoteAuthorAddressChar"/>
    <w:qFormat/>
    <w:rsid w:val="00E3406D"/>
    <w:pPr>
      <w:numPr>
        <w:numId w:val="4"/>
      </w:numPr>
      <w:pBdr>
        <w:top w:val="single" w:sz="12" w:space="1" w:color="A6A6A6"/>
      </w:pBdr>
      <w:ind w:left="85" w:hanging="85"/>
      <w:suppressOverlap/>
    </w:pPr>
    <w:rPr>
      <w:rFonts w:eastAsia="Times New Roman"/>
      <w:i/>
      <w:w w:val="105"/>
      <w:sz w:val="14"/>
      <w:szCs w:val="14"/>
      <w:lang w:bidi="hi-IN"/>
    </w:rPr>
  </w:style>
  <w:style w:type="character" w:customStyle="1" w:styleId="RSCF01FootnoteAuthorAddressChar">
    <w:name w:val="RSC F01 Footnote Author Address Char"/>
    <w:link w:val="RSCF01FootnoteAuthorAddress"/>
    <w:rsid w:val="00E3406D"/>
    <w:rPr>
      <w:rFonts w:ascii="Calibri" w:eastAsia="Times New Roman" w:hAnsi="Calibri" w:cs="Times New Roman"/>
      <w:i/>
      <w:w w:val="105"/>
      <w:kern w:val="0"/>
      <w:sz w:val="14"/>
      <w:szCs w:val="14"/>
      <w:lang w:eastAsia="en-IN" w:bidi="hi-IN"/>
    </w:rPr>
  </w:style>
  <w:style w:type="character" w:customStyle="1" w:styleId="Heading1Char">
    <w:name w:val="Heading 1 Char"/>
    <w:link w:val="Heading1"/>
    <w:uiPriority w:val="9"/>
    <w:rsid w:val="00E3406D"/>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E3406D"/>
    <w:rPr>
      <w:rFonts w:ascii="Calibri Light" w:eastAsia="Times New Roman" w:hAnsi="Calibri Light" w:cs="Times New Roman"/>
      <w:b/>
      <w:bCs/>
      <w:color w:val="4472C4"/>
      <w:kern w:val="0"/>
      <w:sz w:val="26"/>
      <w:szCs w:val="26"/>
    </w:rPr>
  </w:style>
  <w:style w:type="character" w:customStyle="1" w:styleId="Heading3Char">
    <w:name w:val="Heading 3 Char"/>
    <w:link w:val="Heading3"/>
    <w:uiPriority w:val="9"/>
    <w:rsid w:val="00E3406D"/>
    <w:rPr>
      <w:rFonts w:ascii="Times New Roman" w:eastAsia="Times New Roman" w:hAnsi="Times New Roman" w:cs="Times New Roman"/>
      <w:b/>
      <w:bCs/>
      <w:kern w:val="0"/>
      <w:sz w:val="27"/>
      <w:szCs w:val="27"/>
      <w:lang w:val="en-US"/>
    </w:rPr>
  </w:style>
  <w:style w:type="character" w:customStyle="1" w:styleId="Heading4Char">
    <w:name w:val="Heading 4 Char"/>
    <w:link w:val="Heading4"/>
    <w:uiPriority w:val="9"/>
    <w:rsid w:val="00E3406D"/>
    <w:rPr>
      <w:rFonts w:ascii="Calibri Light" w:eastAsia="Times New Roman" w:hAnsi="Calibri Light" w:cs="Times New Roman"/>
      <w:i/>
      <w:iCs/>
      <w:color w:val="2F5496"/>
      <w:kern w:val="0"/>
      <w:lang w:val="en-US"/>
    </w:rPr>
  </w:style>
  <w:style w:type="paragraph" w:styleId="Caption">
    <w:name w:val="caption"/>
    <w:basedOn w:val="Normal"/>
    <w:next w:val="Normal"/>
    <w:uiPriority w:val="35"/>
    <w:unhideWhenUsed/>
    <w:qFormat/>
    <w:rsid w:val="00E3406D"/>
    <w:rPr>
      <w:i/>
      <w:iCs/>
      <w:color w:val="44546A"/>
      <w:sz w:val="18"/>
      <w:szCs w:val="18"/>
      <w:lang w:val="en-US"/>
    </w:rPr>
  </w:style>
  <w:style w:type="character" w:styleId="Strong">
    <w:name w:val="Strong"/>
    <w:uiPriority w:val="22"/>
    <w:qFormat/>
    <w:rsid w:val="00E3406D"/>
    <w:rPr>
      <w:b/>
      <w:bCs/>
    </w:rPr>
  </w:style>
  <w:style w:type="character" w:styleId="Emphasis">
    <w:name w:val="Emphasis"/>
    <w:uiPriority w:val="20"/>
    <w:qFormat/>
    <w:rsid w:val="00E3406D"/>
    <w:rPr>
      <w:i/>
      <w:iCs/>
    </w:rPr>
  </w:style>
  <w:style w:type="paragraph" w:styleId="NoSpacing">
    <w:name w:val="No Spacing"/>
    <w:uiPriority w:val="1"/>
    <w:qFormat/>
    <w:rsid w:val="00E3406D"/>
    <w:rPr>
      <w:sz w:val="22"/>
      <w:szCs w:val="22"/>
      <w:lang w:eastAsia="en-US"/>
    </w:rPr>
  </w:style>
  <w:style w:type="paragraph" w:styleId="ListParagraph">
    <w:name w:val="List Paragraph"/>
    <w:basedOn w:val="Normal"/>
    <w:uiPriority w:val="34"/>
    <w:qFormat/>
    <w:rsid w:val="00E3406D"/>
    <w:pPr>
      <w:ind w:left="720"/>
      <w:contextualSpacing/>
    </w:pPr>
  </w:style>
  <w:style w:type="paragraph" w:styleId="NormalWeb">
    <w:name w:val="Normal (Web)"/>
    <w:basedOn w:val="Normal"/>
    <w:uiPriority w:val="99"/>
    <w:unhideWhenUsed/>
    <w:rsid w:val="00C163C2"/>
    <w:pPr>
      <w:spacing w:before="100" w:beforeAutospacing="1" w:after="100" w:afterAutospacing="1"/>
    </w:pPr>
  </w:style>
  <w:style w:type="table" w:styleId="TableGrid">
    <w:name w:val="Table Grid"/>
    <w:basedOn w:val="TableNormal"/>
    <w:uiPriority w:val="39"/>
    <w:rsid w:val="00F4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6813">
      <w:bodyDiv w:val="1"/>
      <w:marLeft w:val="0"/>
      <w:marRight w:val="0"/>
      <w:marTop w:val="0"/>
      <w:marBottom w:val="0"/>
      <w:divBdr>
        <w:top w:val="none" w:sz="0" w:space="0" w:color="auto"/>
        <w:left w:val="none" w:sz="0" w:space="0" w:color="auto"/>
        <w:bottom w:val="none" w:sz="0" w:space="0" w:color="auto"/>
        <w:right w:val="none" w:sz="0" w:space="0" w:color="auto"/>
      </w:divBdr>
    </w:div>
    <w:div w:id="193009190">
      <w:bodyDiv w:val="1"/>
      <w:marLeft w:val="0"/>
      <w:marRight w:val="0"/>
      <w:marTop w:val="0"/>
      <w:marBottom w:val="0"/>
      <w:divBdr>
        <w:top w:val="none" w:sz="0" w:space="0" w:color="auto"/>
        <w:left w:val="none" w:sz="0" w:space="0" w:color="auto"/>
        <w:bottom w:val="none" w:sz="0" w:space="0" w:color="auto"/>
        <w:right w:val="none" w:sz="0" w:space="0" w:color="auto"/>
      </w:divBdr>
    </w:div>
    <w:div w:id="275336724">
      <w:bodyDiv w:val="1"/>
      <w:marLeft w:val="0"/>
      <w:marRight w:val="0"/>
      <w:marTop w:val="0"/>
      <w:marBottom w:val="0"/>
      <w:divBdr>
        <w:top w:val="none" w:sz="0" w:space="0" w:color="auto"/>
        <w:left w:val="none" w:sz="0" w:space="0" w:color="auto"/>
        <w:bottom w:val="none" w:sz="0" w:space="0" w:color="auto"/>
        <w:right w:val="none" w:sz="0" w:space="0" w:color="auto"/>
      </w:divBdr>
    </w:div>
    <w:div w:id="315764557">
      <w:bodyDiv w:val="1"/>
      <w:marLeft w:val="0"/>
      <w:marRight w:val="0"/>
      <w:marTop w:val="0"/>
      <w:marBottom w:val="0"/>
      <w:divBdr>
        <w:top w:val="none" w:sz="0" w:space="0" w:color="auto"/>
        <w:left w:val="none" w:sz="0" w:space="0" w:color="auto"/>
        <w:bottom w:val="none" w:sz="0" w:space="0" w:color="auto"/>
        <w:right w:val="none" w:sz="0" w:space="0" w:color="auto"/>
      </w:divBdr>
    </w:div>
    <w:div w:id="402874294">
      <w:bodyDiv w:val="1"/>
      <w:marLeft w:val="0"/>
      <w:marRight w:val="0"/>
      <w:marTop w:val="0"/>
      <w:marBottom w:val="0"/>
      <w:divBdr>
        <w:top w:val="none" w:sz="0" w:space="0" w:color="auto"/>
        <w:left w:val="none" w:sz="0" w:space="0" w:color="auto"/>
        <w:bottom w:val="none" w:sz="0" w:space="0" w:color="auto"/>
        <w:right w:val="none" w:sz="0" w:space="0" w:color="auto"/>
      </w:divBdr>
    </w:div>
    <w:div w:id="431437519">
      <w:bodyDiv w:val="1"/>
      <w:marLeft w:val="0"/>
      <w:marRight w:val="0"/>
      <w:marTop w:val="0"/>
      <w:marBottom w:val="0"/>
      <w:divBdr>
        <w:top w:val="none" w:sz="0" w:space="0" w:color="auto"/>
        <w:left w:val="none" w:sz="0" w:space="0" w:color="auto"/>
        <w:bottom w:val="none" w:sz="0" w:space="0" w:color="auto"/>
        <w:right w:val="none" w:sz="0" w:space="0" w:color="auto"/>
      </w:divBdr>
    </w:div>
    <w:div w:id="608397209">
      <w:bodyDiv w:val="1"/>
      <w:marLeft w:val="0"/>
      <w:marRight w:val="0"/>
      <w:marTop w:val="0"/>
      <w:marBottom w:val="0"/>
      <w:divBdr>
        <w:top w:val="none" w:sz="0" w:space="0" w:color="auto"/>
        <w:left w:val="none" w:sz="0" w:space="0" w:color="auto"/>
        <w:bottom w:val="none" w:sz="0" w:space="0" w:color="auto"/>
        <w:right w:val="none" w:sz="0" w:space="0" w:color="auto"/>
      </w:divBdr>
    </w:div>
    <w:div w:id="677000020">
      <w:bodyDiv w:val="1"/>
      <w:marLeft w:val="0"/>
      <w:marRight w:val="0"/>
      <w:marTop w:val="0"/>
      <w:marBottom w:val="0"/>
      <w:divBdr>
        <w:top w:val="none" w:sz="0" w:space="0" w:color="auto"/>
        <w:left w:val="none" w:sz="0" w:space="0" w:color="auto"/>
        <w:bottom w:val="none" w:sz="0" w:space="0" w:color="auto"/>
        <w:right w:val="none" w:sz="0" w:space="0" w:color="auto"/>
      </w:divBdr>
    </w:div>
    <w:div w:id="702175885">
      <w:bodyDiv w:val="1"/>
      <w:marLeft w:val="0"/>
      <w:marRight w:val="0"/>
      <w:marTop w:val="0"/>
      <w:marBottom w:val="0"/>
      <w:divBdr>
        <w:top w:val="none" w:sz="0" w:space="0" w:color="auto"/>
        <w:left w:val="none" w:sz="0" w:space="0" w:color="auto"/>
        <w:bottom w:val="none" w:sz="0" w:space="0" w:color="auto"/>
        <w:right w:val="none" w:sz="0" w:space="0" w:color="auto"/>
      </w:divBdr>
      <w:divsChild>
        <w:div w:id="111930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809759">
      <w:bodyDiv w:val="1"/>
      <w:marLeft w:val="0"/>
      <w:marRight w:val="0"/>
      <w:marTop w:val="0"/>
      <w:marBottom w:val="0"/>
      <w:divBdr>
        <w:top w:val="none" w:sz="0" w:space="0" w:color="auto"/>
        <w:left w:val="none" w:sz="0" w:space="0" w:color="auto"/>
        <w:bottom w:val="none" w:sz="0" w:space="0" w:color="auto"/>
        <w:right w:val="none" w:sz="0" w:space="0" w:color="auto"/>
      </w:divBdr>
    </w:div>
    <w:div w:id="748188350">
      <w:bodyDiv w:val="1"/>
      <w:marLeft w:val="0"/>
      <w:marRight w:val="0"/>
      <w:marTop w:val="0"/>
      <w:marBottom w:val="0"/>
      <w:divBdr>
        <w:top w:val="none" w:sz="0" w:space="0" w:color="auto"/>
        <w:left w:val="none" w:sz="0" w:space="0" w:color="auto"/>
        <w:bottom w:val="none" w:sz="0" w:space="0" w:color="auto"/>
        <w:right w:val="none" w:sz="0" w:space="0" w:color="auto"/>
      </w:divBdr>
    </w:div>
    <w:div w:id="1315834454">
      <w:bodyDiv w:val="1"/>
      <w:marLeft w:val="0"/>
      <w:marRight w:val="0"/>
      <w:marTop w:val="0"/>
      <w:marBottom w:val="0"/>
      <w:divBdr>
        <w:top w:val="none" w:sz="0" w:space="0" w:color="auto"/>
        <w:left w:val="none" w:sz="0" w:space="0" w:color="auto"/>
        <w:bottom w:val="none" w:sz="0" w:space="0" w:color="auto"/>
        <w:right w:val="none" w:sz="0" w:space="0" w:color="auto"/>
      </w:divBdr>
    </w:div>
    <w:div w:id="1648242744">
      <w:bodyDiv w:val="1"/>
      <w:marLeft w:val="0"/>
      <w:marRight w:val="0"/>
      <w:marTop w:val="0"/>
      <w:marBottom w:val="0"/>
      <w:divBdr>
        <w:top w:val="none" w:sz="0" w:space="0" w:color="auto"/>
        <w:left w:val="none" w:sz="0" w:space="0" w:color="auto"/>
        <w:bottom w:val="none" w:sz="0" w:space="0" w:color="auto"/>
        <w:right w:val="none" w:sz="0" w:space="0" w:color="auto"/>
      </w:divBdr>
    </w:div>
    <w:div w:id="1648321007">
      <w:bodyDiv w:val="1"/>
      <w:marLeft w:val="0"/>
      <w:marRight w:val="0"/>
      <w:marTop w:val="0"/>
      <w:marBottom w:val="0"/>
      <w:divBdr>
        <w:top w:val="none" w:sz="0" w:space="0" w:color="auto"/>
        <w:left w:val="none" w:sz="0" w:space="0" w:color="auto"/>
        <w:bottom w:val="none" w:sz="0" w:space="0" w:color="auto"/>
        <w:right w:val="none" w:sz="0" w:space="0" w:color="auto"/>
      </w:divBdr>
    </w:div>
    <w:div w:id="1747651553">
      <w:bodyDiv w:val="1"/>
      <w:marLeft w:val="0"/>
      <w:marRight w:val="0"/>
      <w:marTop w:val="0"/>
      <w:marBottom w:val="0"/>
      <w:divBdr>
        <w:top w:val="none" w:sz="0" w:space="0" w:color="auto"/>
        <w:left w:val="none" w:sz="0" w:space="0" w:color="auto"/>
        <w:bottom w:val="none" w:sz="0" w:space="0" w:color="auto"/>
        <w:right w:val="none" w:sz="0" w:space="0" w:color="auto"/>
      </w:divBdr>
    </w:div>
    <w:div w:id="1873104538">
      <w:bodyDiv w:val="1"/>
      <w:marLeft w:val="0"/>
      <w:marRight w:val="0"/>
      <w:marTop w:val="0"/>
      <w:marBottom w:val="0"/>
      <w:divBdr>
        <w:top w:val="none" w:sz="0" w:space="0" w:color="auto"/>
        <w:left w:val="none" w:sz="0" w:space="0" w:color="auto"/>
        <w:bottom w:val="none" w:sz="0" w:space="0" w:color="auto"/>
        <w:right w:val="none" w:sz="0" w:space="0" w:color="auto"/>
      </w:divBdr>
    </w:div>
    <w:div w:id="2069263000">
      <w:bodyDiv w:val="1"/>
      <w:marLeft w:val="0"/>
      <w:marRight w:val="0"/>
      <w:marTop w:val="0"/>
      <w:marBottom w:val="0"/>
      <w:divBdr>
        <w:top w:val="none" w:sz="0" w:space="0" w:color="auto"/>
        <w:left w:val="none" w:sz="0" w:space="0" w:color="auto"/>
        <w:bottom w:val="none" w:sz="0" w:space="0" w:color="auto"/>
        <w:right w:val="none" w:sz="0" w:space="0" w:color="auto"/>
      </w:divBdr>
    </w:div>
    <w:div w:id="20759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hyperlink" Target="https://doi.org/10.1016/j.cell.2010.06.011" TargetMode="Externa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file:///C:\Downloads\Copilot_20260326_17012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5804</Words>
  <Characters>33085</Characters>
  <Application>Microsoft Office Word</Application>
  <DocSecurity>0</DocSecurity>
  <PresentationFormat/>
  <Lines>275</Lines>
  <Paragraphs>77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38812</CharactersWithSpaces>
  <SharedDoc>false</SharedDoc>
  <HLinks>
    <vt:vector size="18" baseType="variant">
      <vt:variant>
        <vt:i4>3080248</vt:i4>
      </vt:variant>
      <vt:variant>
        <vt:i4>15</vt:i4>
      </vt:variant>
      <vt:variant>
        <vt:i4>0</vt:i4>
      </vt:variant>
      <vt:variant>
        <vt:i4>5</vt:i4>
      </vt:variant>
      <vt:variant>
        <vt:lpwstr>https://doi.org/10.1016/j.cell.2010.06.011</vt:lpwstr>
      </vt:variant>
      <vt:variant>
        <vt:lpwstr/>
      </vt:variant>
      <vt:variant>
        <vt:i4>1769550</vt:i4>
      </vt:variant>
      <vt:variant>
        <vt:i4>-1</vt:i4>
      </vt:variant>
      <vt:variant>
        <vt:i4>1028</vt:i4>
      </vt:variant>
      <vt:variant>
        <vt:i4>1</vt:i4>
      </vt:variant>
      <vt:variant>
        <vt:lpwstr>C:\Users\nanda\Downloads\Figure_5A_heatmap.png</vt:lpwstr>
      </vt:variant>
      <vt:variant>
        <vt:lpwstr/>
      </vt:variant>
      <vt:variant>
        <vt:i4>4784129</vt:i4>
      </vt:variant>
      <vt:variant>
        <vt:i4>-1</vt:i4>
      </vt:variant>
      <vt:variant>
        <vt:i4>1031</vt:i4>
      </vt:variant>
      <vt:variant>
        <vt:i4>1</vt:i4>
      </vt:variant>
      <vt:variant>
        <vt:lpwstr>C:\Users\nanda\Downloads\Figure_5B_bargraph.png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Nandan Duddukuri</dc:creator>
  <cp:keywords/>
  <dc:description/>
  <cp:lastModifiedBy>Rajyalaxmi Lingabattula</cp:lastModifiedBy>
  <cp:revision>8</cp:revision>
  <dcterms:created xsi:type="dcterms:W3CDTF">2026-05-05T22:12:00Z</dcterms:created>
  <dcterms:modified xsi:type="dcterms:W3CDTF">2026-05-16T17:00:00Z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