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CABCDB0">
      <w:pPr>
        <w:pStyle w:val="style0"/>
        <w:spacing w:after="0" w:lineRule="auto" w:line="276"/>
        <w:jc w:val="center"/>
        <w:rPr>
          <w:rFonts w:ascii="Times New Roman" w:cs="Times New Roman" w:hAnsi="Times New Roman"/>
          <w:b/>
          <w:bCs/>
        </w:rPr>
      </w:pPr>
      <w:r>
        <w:rPr>
          <w:rFonts w:ascii="Times New Roman" w:cs="Times New Roman" w:hAnsi="Times New Roman"/>
          <w:b/>
          <w:bCs/>
        </w:rPr>
        <w:t>AI-Enabled Policy Making and Implementation Monitoring</w:t>
      </w:r>
      <w:r>
        <w:rPr>
          <w:rFonts w:ascii="Times New Roman" w:cs="Times New Roman" w:hAnsi="Times New Roman"/>
          <w:b/>
          <w:bCs/>
        </w:rPr>
        <w:t xml:space="preserve">: Empirical Evidence </w:t>
      </w:r>
      <w:r>
        <w:rPr>
          <w:rFonts w:ascii="Times New Roman" w:cs="Times New Roman" w:hAnsi="Times New Roman"/>
          <w:b/>
          <w:bCs/>
        </w:rPr>
        <w:t xml:space="preserve">with Reference to </w:t>
      </w:r>
      <w:r>
        <w:rPr>
          <w:rFonts w:ascii="Times New Roman" w:cs="Times New Roman" w:hAnsi="Times New Roman"/>
          <w:b/>
          <w:bCs/>
        </w:rPr>
        <w:t>Developing Governance (</w:t>
      </w:r>
      <w:r>
        <w:rPr>
          <w:rFonts w:ascii="Times New Roman" w:cs="Times New Roman" w:hAnsi="Times New Roman"/>
          <w:b/>
          <w:bCs/>
        </w:rPr>
        <w:t>Pakistan</w:t>
      </w:r>
      <w:r>
        <w:rPr>
          <w:rFonts w:ascii="Times New Roman" w:cs="Times New Roman" w:hAnsi="Times New Roman"/>
          <w:b/>
          <w:bCs/>
        </w:rPr>
        <w:t xml:space="preserve"> as a Case Study)</w:t>
      </w:r>
    </w:p>
    <w:p w14:paraId="209B284A">
      <w:pPr>
        <w:pStyle w:val="style0"/>
        <w:spacing w:after="0" w:lineRule="auto" w:line="276"/>
        <w:jc w:val="center"/>
        <w:rPr>
          <w:rFonts w:ascii="Times New Roman" w:cs="Times New Roman" w:hAnsi="Times New Roman"/>
          <w:b/>
          <w:bCs/>
        </w:rPr>
      </w:pPr>
    </w:p>
    <w:p w14:paraId="007227A8">
      <w:pPr>
        <w:pStyle w:val="style0"/>
        <w:spacing w:after="0" w:lineRule="auto" w:line="276"/>
        <w:rPr>
          <w:rFonts w:ascii="Times New Roman" w:cs="Times New Roman" w:hAnsi="Times New Roman"/>
          <w:b/>
          <w:bCs/>
        </w:rPr>
      </w:pPr>
      <w:r>
        <w:rPr>
          <w:rFonts w:ascii="Times New Roman" w:cs="Times New Roman" w:hAnsi="Times New Roman"/>
          <w:b/>
          <w:bCs/>
        </w:rPr>
        <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
      </w:r>
    </w:p>
    <w:p w14:paraId="756E38F7">
      <w:pPr>
        <w:pStyle w:val="style0"/>
        <w:spacing w:after="0" w:lineRule="auto" w:line="276"/>
        <w:rPr>
          <w:rFonts w:ascii="Times New Roman" w:cs="Times New Roman" w:hAnsi="Times New Roman"/>
          <w:b/>
          <w:bCs/>
        </w:rPr>
      </w:pPr>
      <w:r>
        <w:rPr>
          <w:rFonts w:ascii="Times New Roman" w:cs="Times New Roman" w:hAnsi="Times New Roman"/>
          <w:b/>
          <w:bCs/>
        </w:rPr>
        <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
      </w:r>
    </w:p>
    <w:p w14:paraId="4B52D01A">
      <w:pPr>
        <w:pStyle w:val="style0"/>
        <w:spacing w:after="0" w:lineRule="auto" w:line="276"/>
        <w:rPr>
          <w:rFonts w:ascii="Times New Roman" w:cs="Times New Roman" w:hAnsi="Times New Roman"/>
          <w:b/>
          <w:bCs/>
        </w:rPr>
      </w:pPr>
      <w:r>
        <w:rPr>
          <w:rFonts w:ascii="Times New Roman" w:cs="Times New Roman" w:hAnsi="Times New Roman"/>
          <w:b/>
          <w:bCs/>
        </w:rPr>
        <w:t/>
      </w:r>
      <w:r>
        <w:rPr>
          <w:rFonts w:ascii="Times New Roman" w:cs="Times New Roman" w:hAnsi="Times New Roman"/>
          <w:b/>
          <w:bCs/>
        </w:rPr>
        <w:tab/>
      </w:r>
      <w:r>
        <w:rPr>
          <w:rFonts w:ascii="Times New Roman" w:cs="Times New Roman" w:hAnsi="Times New Roman"/>
          <w:b/>
          <w:bCs/>
        </w:rPr>
        <w:tab/>
      </w:r>
      <w:r>
        <w:rPr/>
        <w:fldChar w:fldCharType="begin"/>
      </w:r>
      <w:r>
        <w:instrText xml:space="preserve"> HYPERLINK "mailto:fa25-1262@student.uoh.edu.pk" </w:instrText>
      </w:r>
      <w:r>
        <w:rPr/>
        <w:fldChar w:fldCharType="separate"/>
      </w:r>
      <w:r>
        <w:rPr>
          <w:rStyle w:val="style85"/>
          <w:rFonts w:ascii="Times New Roman" w:cs="Times New Roman" w:hAnsi="Times New Roman"/>
          <w:b/>
          <w:bCs/>
        </w:rPr>
        <w:t/>
      </w:r>
      <w:r>
        <w:rPr/>
        <w:fldChar w:fldCharType="end"/>
      </w:r>
      <w:r>
        <w:rPr>
          <w:rFonts w:ascii="Times New Roman" w:cs="Times New Roman" w:hAnsi="Times New Roman"/>
          <w:b/>
          <w:bCs/>
        </w:rPr>
        <w:t xml:space="preserve"/>
      </w:r>
      <w:r>
        <w:rPr/>
        <w:fldChar w:fldCharType="begin"/>
      </w:r>
      <w:r>
        <w:instrText xml:space="preserve"> HYPERLINK "mailto:Imranjadoon_hvn@hotmail.com" </w:instrText>
      </w:r>
      <w:r>
        <w:rPr/>
        <w:fldChar w:fldCharType="separate"/>
      </w:r>
      <w:r>
        <w:rPr>
          <w:rStyle w:val="style85"/>
          <w:rFonts w:ascii="Times New Roman" w:cs="Times New Roman" w:hAnsi="Times New Roman"/>
          <w:b/>
          <w:bCs/>
        </w:rPr>
        <w:t/>
      </w:r>
      <w:r>
        <w:rPr/>
        <w:fldChar w:fldCharType="end"/>
      </w:r>
    </w:p>
    <w:p w14:paraId="6EEB2740">
      <w:pPr>
        <w:pStyle w:val="style0"/>
        <w:spacing w:after="0" w:lineRule="auto" w:line="276"/>
        <w:rPr>
          <w:rFonts w:ascii="Times New Roman" w:cs="Times New Roman" w:hAnsi="Times New Roman"/>
        </w:rPr>
      </w:pPr>
      <w:r>
        <w:rPr>
          <w:rFonts w:ascii="Times New Roman" w:cs="Times New Roman" w:hAnsi="Times New Roman"/>
          <w:b/>
          <w:bCs/>
        </w:rPr>
        <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rPr>
        <w:t/>
      </w:r>
    </w:p>
    <w:p w14:paraId="435C794D">
      <w:pPr>
        <w:pStyle w:val="style0"/>
        <w:spacing w:after="0" w:lineRule="auto" w:line="276"/>
        <w:jc w:val="center"/>
        <w:rPr>
          <w:rFonts w:ascii="Times New Roman" w:cs="Times New Roman" w:hAnsi="Times New Roman"/>
          <w:b/>
          <w:bCs/>
        </w:rPr>
      </w:pPr>
    </w:p>
    <w:p w14:paraId="70074B81">
      <w:pPr>
        <w:pStyle w:val="style0"/>
        <w:spacing w:after="0" w:lineRule="auto" w:line="276"/>
        <w:jc w:val="center"/>
        <w:rPr>
          <w:rFonts w:ascii="Times New Roman" w:cs="Times New Roman" w:hAnsi="Times New Roman"/>
        </w:rPr>
      </w:pPr>
    </w:p>
    <w:p w14:paraId="310E2B7B">
      <w:pPr>
        <w:pStyle w:val="style0"/>
        <w:spacing w:after="0" w:lineRule="auto" w:line="276"/>
        <w:rPr>
          <w:rFonts w:ascii="Times New Roman" w:cs="Times New Roman" w:hAnsi="Times New Roman"/>
          <w:b/>
          <w:bCs/>
        </w:rPr>
      </w:pPr>
      <w:r>
        <w:rPr>
          <w:rFonts w:ascii="Times New Roman" w:cs="Times New Roman" w:hAnsi="Times New Roman"/>
          <w:b/>
          <w:bCs/>
        </w:rPr>
        <w:t>Abstract</w:t>
      </w:r>
    </w:p>
    <w:p w14:paraId="294C0E82">
      <w:pPr>
        <w:pStyle w:val="style0"/>
        <w:spacing w:after="0" w:lineRule="auto" w:line="276"/>
        <w:jc w:val="both"/>
        <w:rPr>
          <w:rFonts w:ascii="Times New Roman" w:cs="Times New Roman" w:hAnsi="Times New Roman"/>
          <w:b/>
          <w:bCs/>
        </w:rPr>
      </w:pPr>
      <w:r>
        <w:rPr>
          <w:rFonts w:ascii="Times New Roman" w:cs="Times New Roman" w:hAnsi="Times New Roman"/>
          <w:b/>
          <w:bCs/>
        </w:rPr>
        <w:t>Purpose</w:t>
      </w:r>
    </w:p>
    <w:p w14:paraId="6844023E">
      <w:pPr>
        <w:pStyle w:val="style0"/>
        <w:spacing w:after="0" w:lineRule="auto" w:line="276"/>
        <w:jc w:val="both"/>
        <w:rPr>
          <w:rFonts w:ascii="Times New Roman" w:cs="Times New Roman" w:hAnsi="Times New Roman"/>
        </w:rPr>
      </w:pPr>
      <w:r>
        <w:rPr>
          <w:rFonts w:ascii="Times New Roman" w:cs="Times New Roman" w:hAnsi="Times New Roman"/>
        </w:rPr>
        <w:t>Artificial Intelligence (AI) is increasingly transforming public governance by improving evidence-based decision-making, administrative effectiveness, and institutional responsiveness. This study examines the role of implementation monitoring (IM) as a mediating mechanism through which AI-enabled governance mechanisms (AGM), policy transparency evaluation (PTE), and AI-enabled institutional capacity (AIC) contribute to AI-enabled policymaking (AMP)</w:t>
      </w:r>
      <w:r>
        <w:rPr>
          <w:rFonts w:ascii="Times New Roman" w:cs="Times New Roman" w:hAnsi="Times New Roman"/>
        </w:rPr>
        <w:t xml:space="preserve"> within the context of Pakistan’s federal and provincial governance</w:t>
      </w:r>
      <w:r>
        <w:rPr>
          <w:rFonts w:ascii="Times New Roman" w:cs="Times New Roman" w:hAnsi="Times New Roman"/>
        </w:rPr>
        <w:t>.</w:t>
      </w:r>
    </w:p>
    <w:p w14:paraId="20C47401">
      <w:pPr>
        <w:pStyle w:val="style0"/>
        <w:spacing w:after="0" w:lineRule="auto" w:line="276"/>
        <w:jc w:val="both"/>
        <w:rPr>
          <w:rFonts w:ascii="Times New Roman" w:cs="Times New Roman" w:hAnsi="Times New Roman"/>
          <w:b/>
          <w:bCs/>
        </w:rPr>
      </w:pPr>
      <w:r>
        <w:rPr>
          <w:rFonts w:ascii="Times New Roman" w:cs="Times New Roman" w:hAnsi="Times New Roman"/>
          <w:b/>
          <w:bCs/>
        </w:rPr>
        <w:t>Methodology</w:t>
      </w:r>
    </w:p>
    <w:p w14:paraId="286C61B5">
      <w:pPr>
        <w:pStyle w:val="style0"/>
        <w:spacing w:after="0" w:lineRule="auto" w:line="276"/>
        <w:jc w:val="both"/>
        <w:rPr>
          <w:rFonts w:ascii="Times New Roman" w:cs="Times New Roman" w:hAnsi="Times New Roman"/>
        </w:rPr>
      </w:pPr>
      <w:r>
        <w:rPr>
          <w:rFonts w:ascii="Times New Roman" w:cs="Times New Roman" w:hAnsi="Times New Roman"/>
        </w:rPr>
        <w:t xml:space="preserve">The study </w:t>
      </w:r>
      <w:r>
        <w:rPr>
          <w:rFonts w:ascii="Times New Roman" w:cs="Times New Roman" w:hAnsi="Times New Roman"/>
        </w:rPr>
        <w:t xml:space="preserve">is </w:t>
      </w:r>
      <w:r>
        <w:rPr>
          <w:rFonts w:ascii="Times New Roman" w:cs="Times New Roman" w:hAnsi="Times New Roman"/>
        </w:rPr>
        <w:t>has</w:t>
      </w:r>
      <w:r>
        <w:rPr>
          <w:rFonts w:ascii="Times New Roman" w:cs="Times New Roman" w:hAnsi="Times New Roman"/>
        </w:rPr>
        <w:t xml:space="preserve"> been performed in Pakistani context, </w:t>
      </w:r>
      <w:r>
        <w:rPr>
          <w:rFonts w:ascii="Times New Roman" w:cs="Times New Roman" w:hAnsi="Times New Roman"/>
        </w:rPr>
        <w:t xml:space="preserve">grounded in Dynamic Capability Theory and employs a quantitative research approach. Data were collected through an online </w:t>
      </w:r>
      <w:r>
        <w:rPr>
          <w:rFonts w:ascii="Times New Roman" w:cs="Times New Roman" w:hAnsi="Times New Roman"/>
        </w:rPr>
        <w:t xml:space="preserve">structured </w:t>
      </w:r>
      <w:r>
        <w:rPr>
          <w:rFonts w:ascii="Times New Roman" w:cs="Times New Roman" w:hAnsi="Times New Roman"/>
        </w:rPr>
        <w:t>survey from 379 respondents</w:t>
      </w:r>
      <w:r>
        <w:rPr>
          <w:rFonts w:ascii="Times New Roman" w:cs="Times New Roman" w:hAnsi="Times New Roman"/>
        </w:rPr>
        <w:t xml:space="preserve"> within Pakistan’s Federal and Provincial department employees, students of Public Policy and Governance and individuals involved in Information Technology deployment institutions</w:t>
      </w:r>
      <w:r>
        <w:rPr>
          <w:rFonts w:ascii="Times New Roman" w:cs="Times New Roman" w:hAnsi="Times New Roman"/>
        </w:rPr>
        <w:t xml:space="preserve">. The proposed research framework was tested using Partial Least Squares Structural Equation Modeling (PLS-SEM) with </w:t>
      </w:r>
      <w:r>
        <w:rPr>
          <w:rFonts w:ascii="Times New Roman" w:cs="Times New Roman" w:hAnsi="Times New Roman"/>
        </w:rPr>
        <w:t>SmartPLS</w:t>
      </w:r>
      <w:r>
        <w:rPr>
          <w:rFonts w:ascii="Times New Roman" w:cs="Times New Roman" w:hAnsi="Times New Roman"/>
        </w:rPr>
        <w:t xml:space="preserve"> 4 software</w:t>
      </w:r>
      <w:r>
        <w:rPr>
          <w:rFonts w:ascii="Times New Roman" w:cs="Times New Roman" w:hAnsi="Times New Roman"/>
        </w:rPr>
        <w:t>.</w:t>
      </w:r>
    </w:p>
    <w:p w14:paraId="063A8392">
      <w:pPr>
        <w:pStyle w:val="style0"/>
        <w:spacing w:after="0" w:lineRule="auto" w:line="276"/>
        <w:jc w:val="both"/>
        <w:rPr>
          <w:rFonts w:ascii="Times New Roman" w:cs="Times New Roman" w:hAnsi="Times New Roman"/>
          <w:b/>
          <w:bCs/>
        </w:rPr>
      </w:pPr>
      <w:r>
        <w:rPr>
          <w:rFonts w:ascii="Times New Roman" w:cs="Times New Roman" w:hAnsi="Times New Roman"/>
          <w:b/>
          <w:bCs/>
        </w:rPr>
        <w:t>Findings</w:t>
      </w:r>
    </w:p>
    <w:p w14:paraId="698758B2">
      <w:pPr>
        <w:pStyle w:val="style0"/>
        <w:spacing w:after="0" w:lineRule="auto" w:line="276"/>
        <w:jc w:val="both"/>
        <w:rPr>
          <w:rFonts w:ascii="Times New Roman" w:cs="Times New Roman" w:hAnsi="Times New Roman"/>
        </w:rPr>
      </w:pPr>
      <w:r>
        <w:rPr>
          <w:rFonts w:ascii="Times New Roman" w:cs="Times New Roman" w:hAnsi="Times New Roman"/>
        </w:rPr>
        <w:t>The results indicate that AI-enabled institutional capacity, governance mechanisms, and policy transparency evaluation significantly and positively affect implementation monitoring. Among all predictors, implementation monitoring emerged as the strongest determinant of AI-enabled policymaking. Although policy transparency exhibited a positive association with implementation monitoring, its direct influence on AI-enabled policymaking was not statistically significant</w:t>
      </w:r>
      <w:r>
        <w:rPr>
          <w:rFonts w:ascii="Times New Roman" w:cs="Times New Roman" w:hAnsi="Times New Roman"/>
        </w:rPr>
        <w:t>.</w:t>
      </w:r>
    </w:p>
    <w:p w14:paraId="493982E4">
      <w:pPr>
        <w:pStyle w:val="style0"/>
        <w:spacing w:after="0" w:lineRule="auto" w:line="276"/>
        <w:jc w:val="both"/>
        <w:rPr>
          <w:rFonts w:ascii="Times New Roman" w:cs="Times New Roman" w:hAnsi="Times New Roman"/>
          <w:b/>
          <w:bCs/>
        </w:rPr>
      </w:pPr>
      <w:r>
        <w:rPr>
          <w:rFonts w:ascii="Times New Roman" w:cs="Times New Roman" w:hAnsi="Times New Roman"/>
          <w:b/>
          <w:bCs/>
        </w:rPr>
        <w:t>Contributions and Implications</w:t>
      </w:r>
    </w:p>
    <w:p w14:paraId="693E5D69">
      <w:pPr>
        <w:pStyle w:val="style0"/>
        <w:spacing w:after="0" w:lineRule="auto" w:line="276"/>
        <w:jc w:val="both"/>
        <w:rPr>
          <w:rFonts w:ascii="Times New Roman" w:cs="Times New Roman" w:hAnsi="Times New Roman"/>
        </w:rPr>
      </w:pPr>
      <w:r>
        <w:rPr>
          <w:rFonts w:ascii="Times New Roman" w:cs="Times New Roman" w:hAnsi="Times New Roman"/>
        </w:rPr>
        <w:t>This study extends Dynamic Capability Theory by highlighting implementation monitoring as a key mechanism through which governance capabilities are translated into policymaking outcomes. The findings suggest that governments can strengthen AI-enabled policymaking by enhancing institutional capabilities, improving governance frameworks, and adopting effective monitoring practices that promote transparency, accountability, and policy effectiveness</w:t>
      </w:r>
      <w:r>
        <w:rPr>
          <w:rFonts w:ascii="Times New Roman" w:cs="Times New Roman" w:hAnsi="Times New Roman"/>
        </w:rPr>
        <w:t>.</w:t>
      </w:r>
    </w:p>
    <w:p w14:paraId="42BFF64E">
      <w:pPr>
        <w:pStyle w:val="style0"/>
        <w:spacing w:after="0" w:lineRule="auto" w:line="276"/>
        <w:jc w:val="both"/>
        <w:rPr>
          <w:rFonts w:ascii="Times New Roman" w:cs="Times New Roman" w:hAnsi="Times New Roman"/>
          <w:b/>
          <w:bCs/>
        </w:rPr>
      </w:pPr>
      <w:r>
        <w:rPr>
          <w:rFonts w:ascii="Times New Roman" w:cs="Times New Roman" w:hAnsi="Times New Roman"/>
          <w:b/>
          <w:bCs/>
        </w:rPr>
        <w:t>Keywords</w:t>
      </w:r>
    </w:p>
    <w:p w14:paraId="4C1213E6">
      <w:pPr>
        <w:pStyle w:val="style0"/>
        <w:spacing w:after="0" w:lineRule="auto" w:line="276"/>
        <w:jc w:val="both"/>
        <w:rPr>
          <w:rFonts w:ascii="Times New Roman" w:cs="Times New Roman" w:hAnsi="Times New Roman"/>
        </w:rPr>
      </w:pPr>
      <w:r>
        <w:rPr>
          <w:rFonts w:ascii="Times New Roman" w:cs="Times New Roman" w:hAnsi="Times New Roman"/>
        </w:rPr>
        <w:t>Artificial Intelligence; AI-Enabled Policymaking; Governance Mechanisms; Policy Transparency; Institutional Capacity; Implementation Monitoring; Dynamic Capability Theory.</w:t>
      </w:r>
    </w:p>
    <w:p w14:paraId="6C9248E1">
      <w:pPr>
        <w:pStyle w:val="style0"/>
        <w:spacing w:after="0" w:lineRule="auto" w:line="276"/>
        <w:rPr>
          <w:rFonts w:ascii="Times New Roman" w:cs="Times New Roman" w:hAnsi="Times New Roman"/>
          <w:b/>
          <w:bCs/>
        </w:rPr>
      </w:pPr>
      <w:r>
        <w:rPr>
          <w:rFonts w:ascii="Times New Roman" w:cs="Times New Roman" w:hAnsi="Times New Roman"/>
          <w:b/>
          <w:bCs/>
        </w:rPr>
        <w:t>1.</w:t>
      </w:r>
      <w:r>
        <w:rPr>
          <w:rFonts w:ascii="Times New Roman" w:cs="Times New Roman" w:hAnsi="Times New Roman"/>
          <w:b/>
          <w:bCs/>
        </w:rPr>
        <w:tab/>
      </w:r>
      <w:r>
        <w:rPr>
          <w:rFonts w:ascii="Times New Roman" w:cs="Times New Roman" w:hAnsi="Times New Roman"/>
          <w:b/>
          <w:bCs/>
        </w:rPr>
        <w:t>Introduction</w:t>
      </w:r>
    </w:p>
    <w:p w14:paraId="296F0961">
      <w:pPr>
        <w:pStyle w:val="style0"/>
        <w:spacing w:after="0" w:lineRule="auto" w:line="276"/>
        <w:jc w:val="both"/>
        <w:rPr>
          <w:rFonts w:ascii="Times New Roman" w:cs="Times New Roman" w:hAnsi="Times New Roman"/>
        </w:rPr>
      </w:pPr>
      <w:r>
        <w:rPr>
          <w:rFonts w:ascii="Times New Roman" w:cs="Times New Roman" w:hAnsi="Times New Roman"/>
        </w:rPr>
        <w:t>Artificial Intelligence (AI) is becoming an integral component of public governance and policymaking due to its capacity to enhance administrative efficiency, improve responsiveness, and support evidence-based decision-making</w:t>
      </w:r>
      <w:r>
        <w:rPr>
          <w:rFonts w:ascii="Times New Roman" w:cs="Times New Roman" w:hAnsi="Times New Roman"/>
        </w:rPr>
        <w:t xml:space="preserve"> (Wirtz et al. 2023; Valle-Cruz et al. 2022)</w:t>
      </w:r>
      <w:r>
        <w:rPr>
          <w:rFonts w:ascii="Times New Roman" w:cs="Times New Roman" w:hAnsi="Times New Roman"/>
        </w:rPr>
        <w:t xml:space="preserve">. </w:t>
      </w:r>
      <w:r>
        <w:rPr>
          <w:rFonts w:ascii="Times New Roman" w:cs="Times New Roman" w:hAnsi="Times New Roman"/>
        </w:rPr>
        <w:t xml:space="preserve">The study has been carried out in Pakistan’s context; an economy struggling with digital infrastructure heterogeneity, institutional gaps, and evolving AI regularity environment. Pakistan launched its National AI Policy in 2023 and ministry of IT and Telecommunication declared AI Governance as its priority; however, </w:t>
      </w:r>
      <w:r>
        <w:rPr>
          <w:rFonts w:ascii="Times New Roman" w:cs="Times New Roman" w:hAnsi="Times New Roman"/>
        </w:rPr>
        <w:t>implementation monitoring</w:t>
      </w:r>
      <w:r>
        <w:rPr>
          <w:rFonts w:ascii="Times New Roman" w:cs="Times New Roman" w:hAnsi="Times New Roman"/>
        </w:rPr>
        <w:t xml:space="preserve"> infrastructure remains a point to ponder. Regulatory frameworks are declarative in nature at large</w:t>
      </w:r>
      <w:r>
        <w:rPr>
          <w:rFonts w:ascii="Times New Roman" w:cs="Times New Roman" w:hAnsi="Times New Roman"/>
        </w:rPr>
        <w:t>, instead of enforcement. In this context Pakistan was chosen to be empirically studied for implementation monitoring as mediating mechanism for governance, transparency and institutional capacity settings of AI enabled governance environment.</w:t>
      </w:r>
      <w:r>
        <w:rPr>
          <w:rFonts w:ascii="Times New Roman" w:cs="Times New Roman" w:hAnsi="Times New Roman"/>
        </w:rPr>
        <w:t xml:space="preserve">  </w:t>
      </w:r>
    </w:p>
    <w:p w14:paraId="6E7B4EC5">
      <w:pPr>
        <w:pStyle w:val="style0"/>
        <w:spacing w:after="0" w:lineRule="auto" w:line="276"/>
        <w:jc w:val="both"/>
        <w:rPr>
          <w:rFonts w:ascii="Times New Roman" w:cs="Times New Roman" w:hAnsi="Times New Roman"/>
        </w:rPr>
      </w:pPr>
      <w:r>
        <w:rPr>
          <w:rFonts w:ascii="Times New Roman" w:cs="Times New Roman" w:hAnsi="Times New Roman"/>
        </w:rPr>
        <w:t xml:space="preserve">AI </w:t>
      </w:r>
      <w:r>
        <w:rPr>
          <w:rFonts w:ascii="Times New Roman" w:cs="Times New Roman" w:hAnsi="Times New Roman"/>
        </w:rPr>
        <w:t>capabilities enable governments to operate in a more agile, proactive, and predictive manner when addressing public needs (</w:t>
      </w:r>
      <w:r>
        <w:rPr>
          <w:rFonts w:ascii="Times New Roman" w:cs="Times New Roman" w:hAnsi="Times New Roman"/>
        </w:rPr>
        <w:t>Lněnička</w:t>
      </w:r>
      <w:r>
        <w:rPr>
          <w:rFonts w:ascii="Times New Roman" w:cs="Times New Roman" w:hAnsi="Times New Roman"/>
        </w:rPr>
        <w:t xml:space="preserve"> et al., 2026). Across the globe, public institutions are increasingly adopting AI technologies to modernize service delivery, strengthen policy formulation processes, and improve organizational performance within digitally driven environments (Holmström, 2022; Kitsios &amp; </w:t>
      </w:r>
      <w:r>
        <w:rPr>
          <w:rFonts w:ascii="Times New Roman" w:cs="Times New Roman" w:hAnsi="Times New Roman"/>
        </w:rPr>
        <w:t>Kamariotou</w:t>
      </w:r>
      <w:r>
        <w:rPr>
          <w:rFonts w:ascii="Times New Roman" w:cs="Times New Roman" w:hAnsi="Times New Roman"/>
        </w:rPr>
        <w:t>, 2021; Xavier, 2026). The rise of data-centric governance has accelerated the development of AI-enabled policymaking (APM) systems that can process extensive volumes of policy-related information and generate timely, intelligent policy recommendations (</w:t>
      </w:r>
      <w:r>
        <w:rPr>
          <w:rFonts w:ascii="Times New Roman" w:cs="Times New Roman" w:hAnsi="Times New Roman"/>
        </w:rPr>
        <w:t>Helmholz</w:t>
      </w:r>
      <w:r>
        <w:rPr>
          <w:rFonts w:ascii="Times New Roman" w:cs="Times New Roman" w:hAnsi="Times New Roman"/>
        </w:rPr>
        <w:t xml:space="preserve"> et al., 2024). As a result, APM has emerged as a critical element of contemporary public administration, facilitating predictive governance, strategic decision-making, and adaptive responses to increasingly complex societal issues (Paul, 2022).</w:t>
      </w:r>
    </w:p>
    <w:p w14:paraId="3FBE88F9">
      <w:pPr>
        <w:pStyle w:val="style0"/>
        <w:spacing w:after="0" w:lineRule="auto" w:line="276"/>
        <w:jc w:val="both"/>
        <w:rPr>
          <w:rFonts w:ascii="Times New Roman" w:cs="Times New Roman" w:hAnsi="Times New Roman"/>
        </w:rPr>
      </w:pPr>
      <w:r>
        <w:rPr>
          <w:rFonts w:ascii="Times New Roman" w:cs="Times New Roman" w:hAnsi="Times New Roman"/>
        </w:rPr>
        <w:t xml:space="preserve">A key driver of this transformation is the establishment of AI-enabled governance mechanisms (AGM), which comprise the institutional arrangements, regulatory frameworks, oversight systems, accountability structures, and ethical safeguards required to govern the use of AI within policymaking processes (Wirtz et al., 2023). AGM provides the formal governance architecture necessary to ensure that AI technologies are deployed responsibly and effectively in public administration (Perry &amp; </w:t>
      </w:r>
      <w:r>
        <w:rPr>
          <w:rFonts w:ascii="Times New Roman" w:cs="Times New Roman" w:hAnsi="Times New Roman"/>
        </w:rPr>
        <w:t>Uuk</w:t>
      </w:r>
      <w:r>
        <w:rPr>
          <w:rFonts w:ascii="Times New Roman" w:cs="Times New Roman" w:hAnsi="Times New Roman"/>
        </w:rPr>
        <w:t>, 2022). Strong governance mechanisms are essential because inadequate oversight may result in algorithmic bias, governance failures, ethical concerns, and deficiencies in accountability (Yang &amp; Goldsmith, 2024). Existing research indicates that robust governance structures improve policy coordination, strengthen regulatory control, and enhance institutional coherence, thereby increasing the effectiveness and legitimacy of AI-supported governance systems (</w:t>
      </w:r>
      <w:r>
        <w:rPr>
          <w:rFonts w:ascii="Times New Roman" w:cs="Times New Roman" w:hAnsi="Times New Roman"/>
        </w:rPr>
        <w:t>Helmholz</w:t>
      </w:r>
      <w:r>
        <w:rPr>
          <w:rFonts w:ascii="Times New Roman" w:cs="Times New Roman" w:hAnsi="Times New Roman"/>
        </w:rPr>
        <w:t xml:space="preserve"> et al., 2024). Furthermore, comprehensive governance arrangements help align technological advancements with democratic values, public accountability, and societal expectations (Xavier, 2026).</w:t>
      </w:r>
    </w:p>
    <w:p w14:paraId="1D51E200">
      <w:pPr>
        <w:pStyle w:val="style0"/>
        <w:spacing w:after="0" w:lineRule="auto" w:line="276"/>
        <w:jc w:val="both"/>
        <w:rPr>
          <w:rFonts w:ascii="Times New Roman" w:cs="Times New Roman" w:hAnsi="Times New Roman"/>
        </w:rPr>
      </w:pPr>
      <w:r>
        <w:rPr>
          <w:rFonts w:ascii="Times New Roman" w:cs="Times New Roman" w:hAnsi="Times New Roman"/>
        </w:rPr>
        <w:t>Another critical aspect of AI-enabled governance is policy transparency evaluation (PTE). AI-assisted policy decisions are often generated through complex algorithms that may be difficult for policymakers and citizens to fully understand (Wirtz et al., 2023). PTE reflects the extent to which AI-driven policymaking remains transparent, understandable, accessible, and explainable to relevant stakeholders and the broader public (Paul, 2022). Greater transparency contributes to institutional legitimacy, strengthens public confidence, and increases trust in policy outcomes generated through AI systems (</w:t>
      </w:r>
      <w:r>
        <w:rPr>
          <w:rFonts w:ascii="Times New Roman" w:cs="Times New Roman" w:hAnsi="Times New Roman"/>
        </w:rPr>
        <w:t>Helmholz</w:t>
      </w:r>
      <w:r>
        <w:rPr>
          <w:rFonts w:ascii="Times New Roman" w:cs="Times New Roman" w:hAnsi="Times New Roman"/>
        </w:rPr>
        <w:t xml:space="preserve"> et al., 2024). Recent studies emphasize that transparent and explainable AI can reduce uncertainty in governance processes while improving stakeholder acceptance of AI-supported decisions (Yang &amp; Goldsmith, 2024). </w:t>
      </w:r>
      <w:r>
        <w:rPr>
          <w:rFonts w:ascii="Times New Roman" w:cs="Times New Roman" w:hAnsi="Times New Roman"/>
        </w:rPr>
        <w:t xml:space="preserve">Moreover, transparency enhances accountability by allowing both policymakers and citizens to understand the rationale behind AI-generated policy recommendations and their implementation processes (Perry &amp; </w:t>
      </w:r>
      <w:r>
        <w:rPr>
          <w:rFonts w:ascii="Times New Roman" w:cs="Times New Roman" w:hAnsi="Times New Roman"/>
        </w:rPr>
        <w:t>Uuk</w:t>
      </w:r>
      <w:r>
        <w:rPr>
          <w:rFonts w:ascii="Times New Roman" w:cs="Times New Roman" w:hAnsi="Times New Roman"/>
        </w:rPr>
        <w:t>, 2022).</w:t>
      </w:r>
    </w:p>
    <w:p w14:paraId="69D9E2D3">
      <w:pPr>
        <w:pStyle w:val="style0"/>
        <w:spacing w:after="0" w:lineRule="auto" w:line="276"/>
        <w:jc w:val="both"/>
        <w:rPr>
          <w:rFonts w:ascii="Times New Roman" w:cs="Times New Roman" w:hAnsi="Times New Roman"/>
        </w:rPr>
      </w:pPr>
      <w:r>
        <w:rPr>
          <w:rFonts w:ascii="Times New Roman" w:cs="Times New Roman" w:hAnsi="Times New Roman"/>
        </w:rPr>
        <w:t>AI-enabled policy evaluation has also emerged as an important component of modern governance because governments increasingly depend on AI technologies to assess policy outcomes, monitor implementation performance, and generate evidence-based insights for decision-making (</w:t>
      </w:r>
      <w:r>
        <w:rPr>
          <w:rFonts w:ascii="Times New Roman" w:cs="Times New Roman" w:hAnsi="Times New Roman"/>
        </w:rPr>
        <w:t>Lněnička</w:t>
      </w:r>
      <w:r>
        <w:rPr>
          <w:rFonts w:ascii="Times New Roman" w:cs="Times New Roman" w:hAnsi="Times New Roman"/>
        </w:rPr>
        <w:t xml:space="preserve"> et al., 2026). This capability involves the use of advanced analytics, predictive algorithms, and intelligent systems to evaluate policy effectiveness, identify governance shortcomings, and support higher-quality decisions (Xavier, 2026). AI-based evaluation tools enable institutions to process large-scale policy datasets, detect implementation trends, and assess policy performance with greater accuracy than conventional evaluation methods (</w:t>
      </w:r>
      <w:r>
        <w:rPr>
          <w:rFonts w:ascii="Times New Roman" w:cs="Times New Roman" w:hAnsi="Times New Roman"/>
        </w:rPr>
        <w:t>Helmholz</w:t>
      </w:r>
      <w:r>
        <w:rPr>
          <w:rFonts w:ascii="Times New Roman" w:cs="Times New Roman" w:hAnsi="Times New Roman"/>
        </w:rPr>
        <w:t xml:space="preserve"> et al., 2024). Prior research suggests that AI-supported evaluation promotes adaptive governance by facilitating continuous learning, real-time monitoring, and timely policy adjustments within dynamic governance environments (Wirtz et al., 2023). Such monitoring systems further strengthen evidence-based governance by improving institutional capacity to detect policy failures, implementation barriers, and emerging governance risks (Paul, 2022).</w:t>
      </w:r>
    </w:p>
    <w:p w14:paraId="2D3CB855">
      <w:pPr>
        <w:pStyle w:val="style0"/>
        <w:spacing w:after="0" w:lineRule="auto" w:line="276"/>
        <w:jc w:val="both"/>
        <w:rPr>
          <w:rFonts w:ascii="Times New Roman" w:cs="Times New Roman" w:hAnsi="Times New Roman"/>
        </w:rPr>
      </w:pPr>
      <w:r>
        <w:rPr>
          <w:rFonts w:ascii="Times New Roman" w:cs="Times New Roman" w:hAnsi="Times New Roman"/>
        </w:rPr>
        <w:t>Equally important is AI-enabled institutional capacity (AIC), which plays a decisive role in determining the success of AI adoption within public governance. Institutional capacity encompasses technological readiness, infrastructure, governance expertise, leadership commitment, and organizational adaptability (</w:t>
      </w:r>
      <w:r>
        <w:rPr>
          <w:rFonts w:ascii="Times New Roman" w:cs="Times New Roman" w:hAnsi="Times New Roman"/>
        </w:rPr>
        <w:t>Samigullin</w:t>
      </w:r>
      <w:r>
        <w:rPr>
          <w:rFonts w:ascii="Times New Roman" w:cs="Times New Roman" w:hAnsi="Times New Roman"/>
        </w:rPr>
        <w:t xml:space="preserve"> &amp; Dooley, 2025). It reflects the capability of public institutions to acquire, implement, manage, and sustain AI technologies in policymaking environments (Xavier, 2026). Organizations possessing strong AI capabilities are generally more successful in achieving digital transformation and integrating AI into governance processes (</w:t>
      </w:r>
      <w:r>
        <w:rPr>
          <w:rFonts w:ascii="Times New Roman" w:cs="Times New Roman" w:hAnsi="Times New Roman"/>
        </w:rPr>
        <w:t>Helmholz</w:t>
      </w:r>
      <w:r>
        <w:rPr>
          <w:rFonts w:ascii="Times New Roman" w:cs="Times New Roman" w:hAnsi="Times New Roman"/>
        </w:rPr>
        <w:t xml:space="preserve"> et al., 2024). Contemporary studies further indicate that institutional AI capacity extends beyond technological resources and includes human competencies, strategic leadership, governance flexibility, and organizational learning mechanisms required for sustainable AI-enabled governance (Yang &amp; Goldsmith, 2024). In contrast, institutions with limited AI capabilities frequently encounter implementation challenges, operational inefficiencies, and resistance to technological innovation (Wirtz et al., 2023).</w:t>
      </w:r>
    </w:p>
    <w:p w14:paraId="5B657241">
      <w:pPr>
        <w:pStyle w:val="style0"/>
        <w:spacing w:after="0" w:lineRule="auto" w:line="276"/>
        <w:jc w:val="both"/>
        <w:rPr>
          <w:rFonts w:ascii="Times New Roman" w:cs="Times New Roman" w:hAnsi="Times New Roman"/>
        </w:rPr>
      </w:pPr>
      <w:r>
        <w:rPr>
          <w:rFonts w:ascii="Times New Roman" w:cs="Times New Roman" w:hAnsi="Times New Roman"/>
        </w:rPr>
        <w:t>Within this context, implementation monitoring (IM) has become a fundamental element of successful AI-enabled policymaking. Public institutions often face difficulties in continuously evaluating policy execution, governance performance, and the unintended consequences associated with AI-supported decisions (</w:t>
      </w:r>
      <w:r>
        <w:rPr>
          <w:rFonts w:ascii="Times New Roman" w:cs="Times New Roman" w:hAnsi="Times New Roman"/>
        </w:rPr>
        <w:t>Lněnička</w:t>
      </w:r>
      <w:r>
        <w:rPr>
          <w:rFonts w:ascii="Times New Roman" w:cs="Times New Roman" w:hAnsi="Times New Roman"/>
        </w:rPr>
        <w:t xml:space="preserve"> et al., 2026). Implementation monitoring involves the systematic tracking and assessment of policy deployment, governance effectiveness, and policy outcomes throughout and beyond the implementation stage (Perry &amp; </w:t>
      </w:r>
      <w:r>
        <w:rPr>
          <w:rFonts w:ascii="Times New Roman" w:cs="Times New Roman" w:hAnsi="Times New Roman"/>
        </w:rPr>
        <w:t>Uuk</w:t>
      </w:r>
      <w:r>
        <w:rPr>
          <w:rFonts w:ascii="Times New Roman" w:cs="Times New Roman" w:hAnsi="Times New Roman"/>
        </w:rPr>
        <w:t>, 2022). Effective monitoring promotes accountability, identifies governance deficiencies, and enables adaptive responses in rapidly evolving environments (</w:t>
      </w:r>
      <w:r>
        <w:rPr>
          <w:rFonts w:ascii="Times New Roman" w:cs="Times New Roman" w:hAnsi="Times New Roman"/>
        </w:rPr>
        <w:t>Helmholz</w:t>
      </w:r>
      <w:r>
        <w:rPr>
          <w:rFonts w:ascii="Times New Roman" w:cs="Times New Roman" w:hAnsi="Times New Roman"/>
        </w:rPr>
        <w:t xml:space="preserve"> et al., 2024). Scholars have described implementation monitoring as a dynamic governance capability that facilitates organizational learning, policy refinement, and governance agility within AI-driven policymaking systems (</w:t>
      </w:r>
      <w:r>
        <w:rPr>
          <w:rFonts w:ascii="Times New Roman" w:cs="Times New Roman" w:hAnsi="Times New Roman"/>
        </w:rPr>
        <w:t>Samigullin</w:t>
      </w:r>
      <w:r>
        <w:rPr>
          <w:rFonts w:ascii="Times New Roman" w:cs="Times New Roman" w:hAnsi="Times New Roman"/>
        </w:rPr>
        <w:t xml:space="preserve"> &amp; Dooley, 2025). Continuous monitoring also strengthens institutional responsiveness by enabling governments to assess societal impacts, ethical concerns, and operational outcomes in real time (Yang &amp; Goldsmith, 2024).</w:t>
      </w:r>
    </w:p>
    <w:p w14:paraId="04341DCE">
      <w:pPr>
        <w:pStyle w:val="style0"/>
        <w:spacing w:after="0" w:lineRule="auto" w:line="276"/>
        <w:jc w:val="both"/>
        <w:rPr>
          <w:rFonts w:ascii="Times New Roman" w:cs="Times New Roman" w:hAnsi="Times New Roman"/>
        </w:rPr>
      </w:pPr>
      <w:r>
        <w:rPr>
          <w:rFonts w:ascii="Times New Roman" w:cs="Times New Roman" w:hAnsi="Times New Roman"/>
        </w:rPr>
        <w:t>AI-enabled policymaking integrates AGM, PTE, AIC, and IM into a comprehensive framework that supports policy design, analysis, implementation, and evaluation. Through this integration, APM enhances policy effectiveness, operational efficiency, and evidence-based governance outcomes (Valle-Cruz et al., 2022). Its increasing relevance reflects growing demands on governments to improve administrative responsiveness, foster governance innovation, and strengthen strategic decision-making in digitally evolving societies (Paul, 2022). AI-enabled policymaking further assists institutions in generating predictive insights, automating administrative functions, and improving policy coordination across complex governance systems (Xavier, 2026). Recent evidence also suggests that APM enhances governance agility, institutional adaptability, and decision-making accuracy by facilitating data-driven policy processes (</w:t>
      </w:r>
      <w:r>
        <w:rPr>
          <w:rFonts w:ascii="Times New Roman" w:cs="Times New Roman" w:hAnsi="Times New Roman"/>
        </w:rPr>
        <w:t>Lněnička</w:t>
      </w:r>
      <w:r>
        <w:rPr>
          <w:rFonts w:ascii="Times New Roman" w:cs="Times New Roman" w:hAnsi="Times New Roman"/>
        </w:rPr>
        <w:t xml:space="preserve"> et al., 2026).</w:t>
      </w:r>
    </w:p>
    <w:p w14:paraId="5C0EF0AC">
      <w:pPr>
        <w:pStyle w:val="style0"/>
        <w:spacing w:after="0" w:lineRule="auto" w:line="276"/>
        <w:jc w:val="both"/>
        <w:rPr>
          <w:rFonts w:ascii="Times New Roman" w:cs="Times New Roman" w:hAnsi="Times New Roman"/>
        </w:rPr>
      </w:pPr>
      <w:r>
        <w:rPr>
          <w:rFonts w:ascii="Times New Roman" w:cs="Times New Roman" w:hAnsi="Times New Roman"/>
        </w:rPr>
        <w:t>Although interest in AI-enabled governance continues to grow, important empirical gaps remain regarding how these governance capabilities collectively influence AI-enabled policymaking through the mediating role of implementation monitoring (</w:t>
      </w:r>
      <w:r>
        <w:rPr>
          <w:rFonts w:ascii="Times New Roman" w:cs="Times New Roman" w:hAnsi="Times New Roman"/>
        </w:rPr>
        <w:t>Helmholz</w:t>
      </w:r>
      <w:r>
        <w:rPr>
          <w:rFonts w:ascii="Times New Roman" w:cs="Times New Roman" w:hAnsi="Times New Roman"/>
        </w:rPr>
        <w:t xml:space="preserve"> et al., 2024). Existing studies have largely concentrated on AI adoption, ethical concerns, and digital transformation while giving comparatively limited attention to implementation monitoring as a mechanism that links institutional AI capabilities with policymaking effectiveness (Wirtz et al., 2023). Furthermore, previous research has seldom integrated governance mechanisms, transparency evaluation, policy assessment capabilities, institutional AI capacity, and implementation monitoring within a unified AI-enabled policymaking framework, particularly in public-sector and developing-country settings (Paul, 2022). To address this gap, the present study investigates the mediating role of implementation monitoring in the relationship between AI governance capabilities and AI-enabled policymaking effectiveness through the lens of Dynamic Capability Theory. This theoretical perspective explains how institutions continuously develop, integrate, and reconfigure governance capabilities to respond effectively to technological change and policy uncertainty in dynamic environments (</w:t>
      </w:r>
      <w:r>
        <w:rPr>
          <w:rFonts w:ascii="Times New Roman" w:cs="Times New Roman" w:hAnsi="Times New Roman"/>
        </w:rPr>
        <w:t>Samigullin</w:t>
      </w:r>
      <w:r>
        <w:rPr>
          <w:rFonts w:ascii="Times New Roman" w:cs="Times New Roman" w:hAnsi="Times New Roman"/>
        </w:rPr>
        <w:t xml:space="preserve"> &amp; Dooley, 2025).</w:t>
      </w:r>
    </w:p>
    <w:p w14:paraId="12DDAFFE">
      <w:pPr>
        <w:pStyle w:val="style0"/>
        <w:spacing w:after="0" w:lineRule="auto" w:line="276"/>
        <w:jc w:val="both"/>
        <w:rPr>
          <w:rFonts w:ascii="Times New Roman" w:cs="Times New Roman" w:hAnsi="Times New Roman"/>
        </w:rPr>
      </w:pPr>
      <w:r>
        <w:rPr>
          <w:rFonts w:ascii="Times New Roman" w:cs="Times New Roman" w:hAnsi="Times New Roman"/>
        </w:rPr>
        <w:t>Accordingly, this study positions implementation monitoring as a critical dynamic process that connects institutional AI capabilities with policy effectiveness and governance accountability, thereby advancing understanding of AI-enabled policymaking in contemporary public administration</w:t>
      </w:r>
      <w:r>
        <w:rPr>
          <w:rFonts w:ascii="Times New Roman" w:cs="Times New Roman" w:hAnsi="Times New Roman"/>
        </w:rPr>
        <w:t xml:space="preserve">. </w:t>
      </w:r>
    </w:p>
    <w:p w14:paraId="48C44236">
      <w:pPr>
        <w:pStyle w:val="style0"/>
        <w:spacing w:after="0" w:lineRule="auto" w:line="276"/>
        <w:rPr>
          <w:rFonts w:ascii="Times New Roman" w:cs="Times New Roman" w:hAnsi="Times New Roman"/>
          <w:b/>
          <w:bCs/>
        </w:rPr>
      </w:pPr>
      <w:r>
        <w:rPr>
          <w:rFonts w:ascii="Times New Roman" w:cs="Times New Roman" w:hAnsi="Times New Roman"/>
          <w:b/>
          <w:bCs/>
        </w:rPr>
        <w:t xml:space="preserve">Problem Statement </w:t>
      </w:r>
    </w:p>
    <w:p w14:paraId="74C17E7E">
      <w:pPr>
        <w:pStyle w:val="style0"/>
        <w:spacing w:after="0" w:lineRule="auto" w:line="276"/>
        <w:jc w:val="both"/>
        <w:rPr>
          <w:rFonts w:ascii="Times New Roman" w:cs="Times New Roman" w:hAnsi="Times New Roman"/>
        </w:rPr>
      </w:pPr>
      <w:r>
        <w:rPr>
          <w:rFonts w:ascii="Times New Roman" w:cs="Times New Roman" w:hAnsi="Times New Roman"/>
        </w:rPr>
        <w:t>Governments worldwide are increasingly integrating Artificial Intelligence (AI) into public governance and policymaking processes to enhance evidence-based decision-making, improve policy effectiveness, and strengthen administrative responsiveness within public institutions (</w:t>
      </w:r>
      <w:r>
        <w:rPr>
          <w:rFonts w:ascii="Times New Roman" w:cs="Times New Roman" w:hAnsi="Times New Roman"/>
        </w:rPr>
        <w:t>Lněnička</w:t>
      </w:r>
      <w:r>
        <w:rPr>
          <w:rFonts w:ascii="Times New Roman" w:cs="Times New Roman" w:hAnsi="Times New Roman"/>
        </w:rPr>
        <w:t xml:space="preserve"> et al., 2026). Despite the growing adoption of AI technologies, several challenges continue to hinder their effective implementation, including concerns related to accountability, transparency, institutional preparedness, ethical governance, and the monitoring of policy execution. Existing literature emphasizes the importance of AI-enabled governance mechanisms (AGM), policy transparency evaluation (PTE), AI-enabled institutional capacity (AIC), and implementation monitoring (IM) in promoting responsible and effective AI-enabled policymaking (APM) (</w:t>
      </w:r>
      <w:r>
        <w:rPr>
          <w:rFonts w:ascii="Times New Roman" w:cs="Times New Roman" w:hAnsi="Times New Roman"/>
        </w:rPr>
        <w:t>Helmholz</w:t>
      </w:r>
      <w:r>
        <w:rPr>
          <w:rFonts w:ascii="Times New Roman" w:cs="Times New Roman" w:hAnsi="Times New Roman"/>
        </w:rPr>
        <w:t xml:space="preserve"> et al., 2024; Xavier, 2026). Contemporary research further suggests that these governance-related capabilities are essential for the successful integration of AI within modern policymaking environments (Wirtz et al., 2023). Nevertheless, empirical </w:t>
      </w:r>
      <w:r>
        <w:rPr>
          <w:rFonts w:ascii="Times New Roman" w:cs="Times New Roman" w:hAnsi="Times New Roman"/>
        </w:rPr>
        <w:t xml:space="preserve">evidence remains limited regarding how these factors collectively influence AI-enabled policymaking outcomes, particularly through the intervening role of implementation monitoring (Paul, 2022; Perry &amp; </w:t>
      </w:r>
      <w:r>
        <w:rPr>
          <w:rFonts w:ascii="Times New Roman" w:cs="Times New Roman" w:hAnsi="Times New Roman"/>
        </w:rPr>
        <w:t>Uuk</w:t>
      </w:r>
      <w:r>
        <w:rPr>
          <w:rFonts w:ascii="Times New Roman" w:cs="Times New Roman" w:hAnsi="Times New Roman"/>
        </w:rPr>
        <w:t>, 2022).</w:t>
      </w:r>
    </w:p>
    <w:p w14:paraId="52321A99">
      <w:pPr>
        <w:pStyle w:val="style0"/>
        <w:spacing w:after="0" w:lineRule="auto" w:line="276"/>
        <w:jc w:val="both"/>
        <w:rPr>
          <w:rFonts w:ascii="Times New Roman" w:cs="Times New Roman" w:hAnsi="Times New Roman"/>
        </w:rPr>
      </w:pPr>
      <w:r>
        <w:rPr>
          <w:rFonts w:ascii="Times New Roman" w:cs="Times New Roman" w:hAnsi="Times New Roman"/>
        </w:rPr>
        <w:t>To address this gap, the present study empirically investigates the relationships among AI-enabled governance mechanisms, policy transparency evaluation, AI-enabled institutional capacity, and implementation monitoring, and their combined effect on AI-enabled policymaking effectiveness within public-sector governance. Furthermore, the study advances theoretical understanding by conceptualizing implementation monitoring as a dynamic mediating capability that connects institutional AI competencies with policymaking performance and governance accountability</w:t>
      </w:r>
      <w:r>
        <w:rPr>
          <w:rFonts w:ascii="Times New Roman" w:cs="Times New Roman" w:hAnsi="Times New Roman"/>
        </w:rPr>
        <w:t xml:space="preserve">. </w:t>
      </w:r>
    </w:p>
    <w:p w14:paraId="5DB55F4A">
      <w:pPr>
        <w:pStyle w:val="style0"/>
        <w:spacing w:after="0" w:lineRule="auto" w:line="276"/>
        <w:jc w:val="both"/>
        <w:rPr>
          <w:rFonts w:ascii="Times New Roman" w:cs="Times New Roman" w:hAnsi="Times New Roman"/>
          <w:b/>
          <w:bCs/>
        </w:rPr>
      </w:pPr>
      <w:r>
        <w:rPr>
          <w:rFonts w:ascii="Times New Roman" w:cs="Times New Roman" w:hAnsi="Times New Roman"/>
          <w:b/>
          <w:bCs/>
        </w:rPr>
        <w:t xml:space="preserve">Research </w:t>
      </w:r>
      <w:r>
        <w:rPr>
          <w:rFonts w:ascii="Times New Roman" w:cs="Times New Roman" w:hAnsi="Times New Roman"/>
          <w:b/>
          <w:bCs/>
        </w:rPr>
        <w:t>Objectives</w:t>
      </w:r>
    </w:p>
    <w:p w14:paraId="65A8F460">
      <w:pPr>
        <w:pStyle w:val="style179"/>
        <w:numPr>
          <w:ilvl w:val="0"/>
          <w:numId w:val="1"/>
        </w:numPr>
        <w:spacing w:after="0" w:lineRule="auto" w:line="276"/>
        <w:ind w:hanging="720"/>
        <w:jc w:val="both"/>
        <w:rPr>
          <w:rFonts w:ascii="Times New Roman" w:cs="Times New Roman" w:hAnsi="Times New Roman"/>
        </w:rPr>
      </w:pPr>
      <w:r>
        <w:rPr>
          <w:rFonts w:ascii="Times New Roman" w:cs="Times New Roman" w:hAnsi="Times New Roman"/>
        </w:rPr>
        <w:t>To examine the effect of AI-enabled governance mechanisms, policy transparency</w:t>
      </w:r>
      <w:r>
        <w:rPr>
          <w:rFonts w:ascii="Times New Roman" w:cs="Times New Roman" w:hAnsi="Times New Roman"/>
        </w:rPr>
        <w:t xml:space="preserve"> </w:t>
      </w:r>
      <w:r>
        <w:rPr>
          <w:rFonts w:ascii="Times New Roman" w:cs="Times New Roman" w:hAnsi="Times New Roman"/>
        </w:rPr>
        <w:t>evaluation, and AI-enabled institutional capacity on implementation monitoring.</w:t>
      </w:r>
      <w:r>
        <w:rPr>
          <w:rFonts w:ascii="Times New Roman" w:cs="Times New Roman" w:hAnsi="Times New Roman"/>
        </w:rPr>
        <w:t xml:space="preserve"> </w:t>
      </w:r>
    </w:p>
    <w:p w14:paraId="2E032474">
      <w:pPr>
        <w:pStyle w:val="style179"/>
        <w:numPr>
          <w:ilvl w:val="0"/>
          <w:numId w:val="1"/>
        </w:numPr>
        <w:spacing w:after="0" w:lineRule="auto" w:line="276"/>
        <w:ind w:hanging="720"/>
        <w:jc w:val="both"/>
        <w:rPr>
          <w:rFonts w:ascii="Times New Roman" w:cs="Times New Roman" w:hAnsi="Times New Roman"/>
        </w:rPr>
      </w:pPr>
      <w:r>
        <w:rPr>
          <w:rFonts w:ascii="Times New Roman" w:cs="Times New Roman" w:hAnsi="Times New Roman"/>
        </w:rPr>
        <w:t>To examine the effect of implementation monitoring on AI-enabled policymaking.</w:t>
      </w:r>
      <w:r>
        <w:rPr>
          <w:rFonts w:ascii="Times New Roman" w:cs="Times New Roman" w:hAnsi="Times New Roman"/>
        </w:rPr>
        <w:t xml:space="preserve"> </w:t>
      </w:r>
    </w:p>
    <w:p w14:paraId="121586AF">
      <w:pPr>
        <w:pStyle w:val="style179"/>
        <w:numPr>
          <w:ilvl w:val="0"/>
          <w:numId w:val="1"/>
        </w:numPr>
        <w:spacing w:after="0" w:lineRule="auto" w:line="276"/>
        <w:ind w:hanging="720"/>
        <w:jc w:val="both"/>
        <w:rPr>
          <w:rFonts w:ascii="Times New Roman" w:cs="Times New Roman" w:hAnsi="Times New Roman"/>
        </w:rPr>
      </w:pPr>
      <w:r>
        <w:rPr>
          <w:rFonts w:ascii="Times New Roman" w:cs="Times New Roman" w:hAnsi="Times New Roman"/>
        </w:rPr>
        <w:t>To analyze the mediating effect of implementation monitoring on the relationship between the independent variables and AI-enabled policymaking.</w:t>
      </w:r>
    </w:p>
    <w:p w14:paraId="5EDC9128">
      <w:pPr>
        <w:pStyle w:val="style0"/>
        <w:spacing w:after="0" w:lineRule="auto" w:line="276"/>
        <w:rPr>
          <w:rFonts w:ascii="Times New Roman" w:cs="Times New Roman" w:hAnsi="Times New Roman"/>
          <w:b/>
          <w:bCs/>
        </w:rPr>
      </w:pPr>
      <w:r>
        <w:rPr>
          <w:rFonts w:ascii="Times New Roman" w:cs="Times New Roman" w:hAnsi="Times New Roman"/>
          <w:b/>
          <w:bCs/>
        </w:rPr>
        <w:t>Research Questions</w:t>
      </w:r>
    </w:p>
    <w:p w14:paraId="56ADA227">
      <w:pPr>
        <w:pStyle w:val="style0"/>
        <w:spacing w:after="0" w:lineRule="auto" w:line="276"/>
        <w:ind w:left="720" w:hanging="720"/>
        <w:jc w:val="both"/>
        <w:rPr>
          <w:rFonts w:ascii="Times New Roman" w:cs="Times New Roman" w:hAnsi="Times New Roman"/>
        </w:rPr>
      </w:pPr>
      <w:r>
        <w:rPr>
          <w:rFonts w:ascii="Times New Roman" w:cs="Times New Roman" w:hAnsi="Times New Roman"/>
        </w:rPr>
        <w:t>RQ1.</w:t>
      </w:r>
      <w:r>
        <w:rPr>
          <w:rFonts w:ascii="Times New Roman" w:cs="Times New Roman" w:hAnsi="Times New Roman"/>
        </w:rPr>
        <w:tab/>
      </w:r>
      <w:r>
        <w:rPr>
          <w:rFonts w:ascii="Times New Roman" w:cs="Times New Roman" w:hAnsi="Times New Roman"/>
        </w:rPr>
        <w:t>What is the effect of AI-enabled governance mechanisms, policy transparency, and AI-enabled institutional capacity on implementation monitoring?</w:t>
      </w:r>
      <w:r>
        <w:rPr>
          <w:rFonts w:ascii="Times New Roman" w:cs="Times New Roman" w:hAnsi="Times New Roman"/>
        </w:rPr>
        <w:t xml:space="preserve"> </w:t>
      </w:r>
    </w:p>
    <w:p w14:paraId="79DBF084">
      <w:pPr>
        <w:pStyle w:val="style0"/>
        <w:spacing w:after="0" w:lineRule="auto" w:line="276"/>
        <w:jc w:val="both"/>
        <w:rPr>
          <w:rFonts w:ascii="Times New Roman" w:cs="Times New Roman" w:hAnsi="Times New Roman"/>
        </w:rPr>
      </w:pPr>
      <w:r>
        <w:rPr>
          <w:rFonts w:ascii="Times New Roman" w:cs="Times New Roman" w:hAnsi="Times New Roman"/>
        </w:rPr>
        <w:t>RQ2.</w:t>
      </w:r>
      <w:r>
        <w:rPr>
          <w:rFonts w:ascii="Times New Roman" w:cs="Times New Roman" w:hAnsi="Times New Roman"/>
        </w:rPr>
        <w:tab/>
      </w:r>
      <w:r>
        <w:rPr>
          <w:rFonts w:ascii="Times New Roman" w:cs="Times New Roman" w:hAnsi="Times New Roman"/>
        </w:rPr>
        <w:t>What is the effect of implementation monitoring on AI-enabled policymaking?</w:t>
      </w:r>
      <w:r>
        <w:rPr>
          <w:rFonts w:ascii="Times New Roman" w:cs="Times New Roman" w:hAnsi="Times New Roman"/>
        </w:rPr>
        <w:t xml:space="preserve"> </w:t>
      </w:r>
    </w:p>
    <w:p w14:paraId="4EB9A477">
      <w:pPr>
        <w:pStyle w:val="style0"/>
        <w:spacing w:after="0" w:lineRule="auto" w:line="276"/>
        <w:ind w:left="720" w:hanging="720"/>
        <w:jc w:val="both"/>
        <w:rPr>
          <w:rFonts w:ascii="Times New Roman" w:cs="Times New Roman" w:hAnsi="Times New Roman"/>
        </w:rPr>
      </w:pPr>
      <w:r>
        <w:rPr>
          <w:rFonts w:ascii="Times New Roman" w:cs="Times New Roman" w:hAnsi="Times New Roman"/>
        </w:rPr>
        <w:t>RQ3.</w:t>
      </w:r>
      <w:r>
        <w:rPr>
          <w:rFonts w:ascii="Times New Roman" w:cs="Times New Roman" w:hAnsi="Times New Roman"/>
        </w:rPr>
        <w:tab/>
      </w:r>
      <w:r>
        <w:rPr>
          <w:rFonts w:ascii="Times New Roman" w:cs="Times New Roman" w:hAnsi="Times New Roman"/>
        </w:rPr>
        <w:t>Does implementation monitoring mediate the relationship between the independent variables and AI-enabled policymaking?</w:t>
      </w:r>
    </w:p>
    <w:p w14:paraId="29C33C2E">
      <w:pPr>
        <w:pStyle w:val="style0"/>
        <w:spacing w:after="0" w:lineRule="auto" w:line="276"/>
        <w:rPr>
          <w:rFonts w:ascii="Times New Roman" w:cs="Times New Roman" w:hAnsi="Times New Roman"/>
          <w:b/>
          <w:bCs/>
        </w:rPr>
      </w:pPr>
      <w:r>
        <w:rPr>
          <w:rFonts w:ascii="Times New Roman" w:cs="Times New Roman" w:hAnsi="Times New Roman"/>
        </w:rPr>
        <w:t>2.</w:t>
      </w:r>
      <w:r>
        <w:rPr>
          <w:rFonts w:ascii="Times New Roman" w:cs="Times New Roman" w:hAnsi="Times New Roman"/>
          <w:b/>
          <w:bCs/>
        </w:rPr>
        <w:tab/>
      </w:r>
      <w:r>
        <w:rPr>
          <w:rFonts w:ascii="Times New Roman" w:cs="Times New Roman" w:hAnsi="Times New Roman"/>
          <w:b/>
          <w:bCs/>
        </w:rPr>
        <w:t>Literature Review</w:t>
      </w:r>
      <w:r>
        <w:rPr>
          <w:rFonts w:ascii="Times New Roman" w:cs="Times New Roman" w:hAnsi="Times New Roman"/>
          <w:b/>
          <w:bCs/>
        </w:rPr>
        <w:t xml:space="preserve"> </w:t>
      </w:r>
    </w:p>
    <w:p w14:paraId="2066A821">
      <w:pPr>
        <w:pStyle w:val="style0"/>
        <w:spacing w:after="0" w:lineRule="auto" w:line="276"/>
        <w:rPr>
          <w:rFonts w:ascii="Times New Roman" w:cs="Times New Roman" w:hAnsi="Times New Roman"/>
          <w:b/>
          <w:bCs/>
        </w:rPr>
      </w:pPr>
      <w:r>
        <w:rPr>
          <w:rFonts w:ascii="Times New Roman" w:cs="Times New Roman" w:hAnsi="Times New Roman"/>
        </w:rPr>
        <w:t>2.1</w:t>
      </w:r>
      <w:r>
        <w:rPr>
          <w:rFonts w:ascii="Times New Roman" w:cs="Times New Roman" w:hAnsi="Times New Roman"/>
        </w:rPr>
        <w:tab/>
      </w:r>
      <w:r>
        <w:rPr>
          <w:rFonts w:ascii="Times New Roman" w:cs="Times New Roman" w:hAnsi="Times New Roman"/>
          <w:b/>
          <w:bCs/>
        </w:rPr>
        <w:t>AI-Enabled Governance Mechanisms and Implementation Monitoring</w:t>
      </w:r>
    </w:p>
    <w:p w14:paraId="72546EDC">
      <w:pPr>
        <w:pStyle w:val="style0"/>
        <w:spacing w:after="0" w:lineRule="auto" w:line="276"/>
        <w:jc w:val="both"/>
        <w:rPr>
          <w:rFonts w:ascii="Times New Roman" w:cs="Times New Roman" w:hAnsi="Times New Roman"/>
        </w:rPr>
      </w:pPr>
      <w:r>
        <w:rPr>
          <w:rFonts w:ascii="Times New Roman" w:cs="Times New Roman" w:hAnsi="Times New Roman"/>
        </w:rPr>
        <w:t>Artificial Intelligence (AI) has emerged as a significant catalyst for change in public governance, transforming institutional operations by improving administrative effectiveness, strengthening policy responsiveness, and supporting data-driven decision-making processes (</w:t>
      </w:r>
      <w:r>
        <w:rPr>
          <w:rFonts w:ascii="Times New Roman" w:cs="Times New Roman" w:hAnsi="Times New Roman"/>
        </w:rPr>
        <w:t>Lněnička</w:t>
      </w:r>
      <w:r>
        <w:rPr>
          <w:rFonts w:ascii="Times New Roman" w:cs="Times New Roman" w:hAnsi="Times New Roman"/>
        </w:rPr>
        <w:t xml:space="preserve"> et al., 2026). As governments increasingly integrate AI into policymaking activities, AI-enabled governance mechanisms (AGM) have become essential for ensuring that these technologies are deployed in a responsible and controlled manner. AGM comprise the regulatory frameworks, accountability structures, ethical principles, and oversight systems that guide the use of AI within public governance and policy environments (Perry &amp; </w:t>
      </w:r>
      <w:r>
        <w:rPr>
          <w:rFonts w:ascii="Times New Roman" w:cs="Times New Roman" w:hAnsi="Times New Roman"/>
        </w:rPr>
        <w:t>Uuk</w:t>
      </w:r>
      <w:r>
        <w:rPr>
          <w:rFonts w:ascii="Times New Roman" w:cs="Times New Roman" w:hAnsi="Times New Roman"/>
        </w:rPr>
        <w:t>, 2022).</w:t>
      </w:r>
    </w:p>
    <w:p w14:paraId="79E6E9DA">
      <w:pPr>
        <w:pStyle w:val="style0"/>
        <w:spacing w:after="0" w:lineRule="auto" w:line="276"/>
        <w:jc w:val="both"/>
        <w:rPr>
          <w:rFonts w:ascii="Times New Roman" w:cs="Times New Roman" w:hAnsi="Times New Roman"/>
        </w:rPr>
      </w:pPr>
      <w:r>
        <w:rPr>
          <w:rFonts w:ascii="Times New Roman" w:cs="Times New Roman" w:hAnsi="Times New Roman"/>
        </w:rPr>
        <w:t>The importance of effective governance mechanisms lies in their ability to minimize risks associated with AI adoption, including algorithmic discrimination, ethical concerns, and weak institutional oversight (Wirtz et al., 2023). By incorporating accountability measures and ethical safeguards into governance arrangements, AGM enhance institutional trustworthiness and strengthen the legitimacy of AI-supported policymaking processes. Moreover, these governance structures play a vital role in implementation monitoring by facilitating the continuous observation of policy execution, assessment of governance outcomes, and identification of unintended effects during implementation (Yang &amp; Goldsmith, 2024).</w:t>
      </w:r>
    </w:p>
    <w:p w14:paraId="0BCC1A98">
      <w:pPr>
        <w:pStyle w:val="style0"/>
        <w:spacing w:after="0" w:lineRule="auto" w:line="276"/>
        <w:jc w:val="both"/>
        <w:rPr>
          <w:rFonts w:ascii="Times New Roman" w:cs="Times New Roman" w:hAnsi="Times New Roman"/>
        </w:rPr>
      </w:pPr>
      <w:r>
        <w:rPr>
          <w:rFonts w:ascii="Times New Roman" w:cs="Times New Roman" w:hAnsi="Times New Roman"/>
        </w:rPr>
        <w:t xml:space="preserve">Implementation monitoring serves as a dynamic governance function that helps ensure AI-enabled policies remain adaptive, transparent, and responsive to societal needs. Existing literature suggests that strong governance mechanisms provide the institutional foundation necessary for effective monitoring systems, enabling public organizations to promote </w:t>
      </w:r>
      <w:r>
        <w:rPr>
          <w:rFonts w:ascii="Times New Roman" w:cs="Times New Roman" w:hAnsi="Times New Roman"/>
        </w:rPr>
        <w:t>continuous learning, policy refinement, and resilience in rapidly evolving governance contexts. Consequently, well-developed AGM are expected to strengthen implementation monitoring and improve the overall effectiveness of AI-enabled governance systems</w:t>
      </w:r>
      <w:r>
        <w:rPr>
          <w:rFonts w:ascii="Times New Roman" w:cs="Times New Roman" w:hAnsi="Times New Roman"/>
        </w:rPr>
        <w:t>.</w:t>
      </w:r>
    </w:p>
    <w:p w14:paraId="2439C24A">
      <w:pPr>
        <w:pStyle w:val="style0"/>
        <w:spacing w:after="0" w:lineRule="auto" w:line="276"/>
        <w:rPr>
          <w:rFonts w:ascii="Times New Roman" w:cs="Times New Roman" w:hAnsi="Times New Roman"/>
        </w:rPr>
      </w:pPr>
      <w:r>
        <w:rPr>
          <w:rFonts w:ascii="Times New Roman" w:cs="Times New Roman" w:hAnsi="Times New Roman"/>
          <w:b/>
          <w:bCs/>
        </w:rPr>
        <w:t>H1:</w:t>
      </w:r>
      <w:r>
        <w:rPr>
          <w:rFonts w:ascii="Times New Roman" w:cs="Times New Roman" w:hAnsi="Times New Roman"/>
          <w:b/>
          <w:bCs/>
        </w:rPr>
        <w:tab/>
      </w:r>
      <w:r>
        <w:rPr>
          <w:rFonts w:ascii="Times New Roman" w:cs="Times New Roman" w:hAnsi="Times New Roman"/>
          <w:b/>
          <w:bCs/>
        </w:rPr>
        <w:t xml:space="preserve">AI-enabled governance mechanisms positively impact </w:t>
      </w:r>
      <w:r>
        <w:rPr>
          <w:rFonts w:ascii="Times New Roman" w:cs="Times New Roman" w:hAnsi="Times New Roman"/>
          <w:b/>
          <w:bCs/>
        </w:rPr>
        <w:t>i</w:t>
      </w:r>
      <w:r>
        <w:rPr>
          <w:rFonts w:ascii="Times New Roman" w:cs="Times New Roman" w:hAnsi="Times New Roman"/>
          <w:b/>
          <w:bCs/>
        </w:rPr>
        <w:t>mplementation</w:t>
      </w:r>
      <w:r>
        <w:rPr>
          <w:rFonts w:ascii="Times New Roman" w:cs="Times New Roman" w:hAnsi="Times New Roman"/>
          <w:b/>
          <w:bCs/>
        </w:rPr>
        <w:t xml:space="preserve"> </w:t>
      </w:r>
      <w:r>
        <w:rPr>
          <w:rFonts w:ascii="Times New Roman" w:cs="Times New Roman" w:hAnsi="Times New Roman"/>
          <w:b/>
          <w:bCs/>
        </w:rPr>
        <w:t>monitoring.</w:t>
      </w:r>
    </w:p>
    <w:p w14:paraId="56DF5345">
      <w:pPr>
        <w:pStyle w:val="style0"/>
        <w:spacing w:after="0" w:lineRule="auto" w:line="276"/>
        <w:rPr>
          <w:rFonts w:ascii="Times New Roman" w:cs="Times New Roman" w:hAnsi="Times New Roman"/>
          <w:b/>
          <w:bCs/>
        </w:rPr>
      </w:pPr>
      <w:r>
        <w:rPr>
          <w:rFonts w:ascii="Times New Roman" w:cs="Times New Roman" w:hAnsi="Times New Roman"/>
        </w:rPr>
        <w:t>2</w:t>
      </w:r>
      <w:r>
        <w:rPr>
          <w:rFonts w:ascii="Times New Roman" w:cs="Times New Roman" w:hAnsi="Times New Roman"/>
        </w:rPr>
        <w:t>.2</w:t>
      </w:r>
      <w:r>
        <w:rPr>
          <w:rFonts w:ascii="Times New Roman" w:cs="Times New Roman" w:hAnsi="Times New Roman"/>
          <w:b/>
          <w:bCs/>
        </w:rPr>
        <w:tab/>
      </w:r>
      <w:r>
        <w:rPr>
          <w:rFonts w:ascii="Times New Roman" w:cs="Times New Roman" w:hAnsi="Times New Roman"/>
          <w:b/>
          <w:bCs/>
        </w:rPr>
        <w:t>Policy Transparency and Implementation Monitoring</w:t>
      </w:r>
    </w:p>
    <w:p w14:paraId="6983DE1E">
      <w:pPr>
        <w:pStyle w:val="style0"/>
        <w:spacing w:after="0" w:lineRule="auto" w:line="276"/>
        <w:jc w:val="both"/>
        <w:rPr>
          <w:rFonts w:ascii="Times New Roman" w:cs="Times New Roman" w:hAnsi="Times New Roman"/>
        </w:rPr>
      </w:pPr>
      <w:r>
        <w:rPr>
          <w:rFonts w:ascii="Times New Roman" w:cs="Times New Roman" w:hAnsi="Times New Roman"/>
        </w:rPr>
        <w:t xml:space="preserve">Within AI-enabled governance, policy transparency refers to the extent to which AI-driven decisions, procedures, and recommendations can be understood, explained, audited, and accessed by relevant stakeholders and the general public (Paul, 2022; Novelli et al., 2024; </w:t>
      </w:r>
      <w:r>
        <w:rPr>
          <w:rFonts w:ascii="Times New Roman" w:cs="Times New Roman" w:hAnsi="Times New Roman"/>
        </w:rPr>
        <w:t>Lněnička</w:t>
      </w:r>
      <w:r>
        <w:rPr>
          <w:rFonts w:ascii="Times New Roman" w:cs="Times New Roman" w:hAnsi="Times New Roman"/>
        </w:rPr>
        <w:t xml:space="preserve"> et al., 2024). As a core principle of democratic governance, transparency has become increasingly important in AI-supported policymaking because opaque algorithmic systems can weaken accountability, reduce institutional legitimacy, and erode public confidence in government decisions (Veale &amp; </w:t>
      </w:r>
      <w:r>
        <w:rPr>
          <w:rFonts w:ascii="Times New Roman" w:cs="Times New Roman" w:hAnsi="Times New Roman"/>
        </w:rPr>
        <w:t>Borgesius</w:t>
      </w:r>
      <w:r>
        <w:rPr>
          <w:rFonts w:ascii="Times New Roman" w:cs="Times New Roman" w:hAnsi="Times New Roman"/>
        </w:rPr>
        <w:t>, 2021; Cath, 2022; OECD, 2023). According to Wirtz et al. (2023), transparency constitutes a fundamental requirement for responsible AI governance, as it enables policymakers, regulatory authorities, and citizens to critically assess and scrutinize AI-generated policy outcomes.</w:t>
      </w:r>
    </w:p>
    <w:p w14:paraId="5D311993">
      <w:pPr>
        <w:pStyle w:val="style0"/>
        <w:spacing w:after="0" w:lineRule="auto" w:line="276"/>
        <w:jc w:val="both"/>
        <w:rPr>
          <w:rFonts w:ascii="Times New Roman" w:cs="Times New Roman" w:hAnsi="Times New Roman"/>
        </w:rPr>
      </w:pPr>
      <w:r>
        <w:rPr>
          <w:rFonts w:ascii="Times New Roman" w:cs="Times New Roman" w:hAnsi="Times New Roman"/>
        </w:rPr>
        <w:t xml:space="preserve">Empirical evidence suggests that transparency significantly strengthens governance monitoring processes. </w:t>
      </w:r>
      <w:r>
        <w:rPr>
          <w:rFonts w:ascii="Times New Roman" w:cs="Times New Roman" w:hAnsi="Times New Roman"/>
        </w:rPr>
        <w:t>Helmholz</w:t>
      </w:r>
      <w:r>
        <w:rPr>
          <w:rFonts w:ascii="Times New Roman" w:cs="Times New Roman" w:hAnsi="Times New Roman"/>
        </w:rPr>
        <w:t xml:space="preserve"> et al. (2024) found that transparent AI systems enhance feedback mechanisms within public institutions, facilitating more accurate and detailed assessment of policy implementation outcomes. Similarly, Novelli et al. (2024) reported that algorithmic accountability mechanisms, which represent a key aspect of policy transparency, improve both the scope and accuracy of monitoring systems used in AI-enabled public administration. Regulatory developments further reinforce this relationship. For instance, the European AI Act (2024) requires transparency and explainability standards for high-risk AI applications in the public sector, highlighting the importance of policy transparency as a prerequisite for effective monitoring. Supporting this view, Yang and Goldsmith (2024) observed that transparent AI systems generate richer implementation-related information, enabling monitoring mechanisms to identify governance deficiencies and support timely policy interventions.</w:t>
      </w:r>
    </w:p>
    <w:p w14:paraId="508A555B">
      <w:pPr>
        <w:pStyle w:val="style0"/>
        <w:spacing w:after="0" w:lineRule="auto" w:line="276"/>
        <w:jc w:val="both"/>
        <w:rPr>
          <w:rFonts w:ascii="Times New Roman" w:cs="Times New Roman" w:hAnsi="Times New Roman"/>
        </w:rPr>
      </w:pPr>
      <w:r>
        <w:rPr>
          <w:rFonts w:ascii="Times New Roman" w:cs="Times New Roman" w:hAnsi="Times New Roman"/>
        </w:rPr>
        <w:t>Further scholarly work emphasizes the contribution of transparency to adaptive governance. Lăzăroiu et al. (2022) argue that explainable AI systems improve communication and feedback between policymakers and monitoring units, thereby enhancing governance adaptability across different policy domains. Likewise, Ingrams et al. (2022) demonstrate that accountable and open AI systems produce more reliable implementation information, which facilitates evidence-based policy adjustments. Paul (2022) additionally highlights that policy transparency evaluation serves as a crucial foundation for independent policy review and auditing by providing stakeholders with access to essential governance information. Collectively, these theoretical and empirical insights suggest that greater policy transparency strengthens monitoring effectiveness and supports improved governance outcomes</w:t>
      </w:r>
      <w:r>
        <w:rPr>
          <w:rFonts w:ascii="Times New Roman" w:cs="Times New Roman" w:hAnsi="Times New Roman"/>
        </w:rPr>
        <w:t>.</w:t>
      </w:r>
      <w:r>
        <w:rPr>
          <w:rFonts w:ascii="Times New Roman" w:cs="Times New Roman" w:hAnsi="Times New Roman"/>
        </w:rPr>
        <w:t xml:space="preserve"> </w:t>
      </w:r>
    </w:p>
    <w:p w14:paraId="65F97559">
      <w:pPr>
        <w:pStyle w:val="style0"/>
        <w:spacing w:after="0" w:lineRule="auto" w:line="276"/>
        <w:rPr>
          <w:rFonts w:ascii="Times New Roman" w:cs="Times New Roman" w:hAnsi="Times New Roman"/>
        </w:rPr>
      </w:pPr>
      <w:r>
        <w:rPr>
          <w:rFonts w:ascii="Times New Roman" w:cs="Times New Roman" w:hAnsi="Times New Roman"/>
          <w:b/>
          <w:bCs/>
        </w:rPr>
        <w:t xml:space="preserve">H2: Policy transparency </w:t>
      </w:r>
      <w:r>
        <w:rPr>
          <w:rFonts w:ascii="Times New Roman" w:cs="Times New Roman" w:hAnsi="Times New Roman"/>
          <w:b/>
          <w:bCs/>
        </w:rPr>
        <w:t xml:space="preserve">evaluation </w:t>
      </w:r>
      <w:r>
        <w:rPr>
          <w:rFonts w:ascii="Times New Roman" w:cs="Times New Roman" w:hAnsi="Times New Roman"/>
          <w:b/>
          <w:bCs/>
        </w:rPr>
        <w:t>positively impacts implementation monitoring.</w:t>
      </w:r>
    </w:p>
    <w:p w14:paraId="2E17C9C0">
      <w:pPr>
        <w:pStyle w:val="style0"/>
        <w:spacing w:after="0" w:lineRule="auto" w:line="276"/>
        <w:rPr>
          <w:rFonts w:ascii="Times New Roman" w:cs="Times New Roman" w:hAnsi="Times New Roman"/>
          <w:b/>
          <w:bCs/>
        </w:rPr>
      </w:pPr>
      <w:r>
        <w:rPr>
          <w:rFonts w:ascii="Times New Roman" w:cs="Times New Roman" w:hAnsi="Times New Roman"/>
        </w:rPr>
        <w:t>2.</w:t>
      </w:r>
      <w:r>
        <w:rPr>
          <w:rFonts w:ascii="Times New Roman" w:cs="Times New Roman" w:hAnsi="Times New Roman"/>
        </w:rPr>
        <w:t>3</w:t>
      </w:r>
      <w:r>
        <w:rPr>
          <w:rFonts w:ascii="Times New Roman" w:cs="Times New Roman" w:hAnsi="Times New Roman"/>
          <w:b/>
          <w:bCs/>
        </w:rPr>
        <w:tab/>
      </w:r>
      <w:r>
        <w:rPr>
          <w:rFonts w:ascii="Times New Roman" w:cs="Times New Roman" w:hAnsi="Times New Roman"/>
          <w:b/>
          <w:bCs/>
        </w:rPr>
        <w:t>AI-Enabled Institutional Capacity and Implementation Monitoring</w:t>
      </w:r>
    </w:p>
    <w:p w14:paraId="3FDBA7DB">
      <w:pPr>
        <w:pStyle w:val="style0"/>
        <w:spacing w:after="0" w:lineRule="auto" w:line="276"/>
        <w:jc w:val="both"/>
        <w:rPr>
          <w:rFonts w:ascii="Times New Roman" w:cs="Times New Roman" w:hAnsi="Times New Roman"/>
        </w:rPr>
      </w:pPr>
      <w:r>
        <w:rPr>
          <w:rFonts w:ascii="Times New Roman" w:cs="Times New Roman" w:hAnsi="Times New Roman"/>
        </w:rPr>
        <w:t>AI-enabled institutional capacity (AIC) represents the overall capability of public organizations to adopt, implement, manage, and sustain artificial intelligence technologies within policymaking environments. This capability is supported by technological infrastructure, skilled human resources, strategic leadership, and organizational flexibility (</w:t>
      </w:r>
      <w:r>
        <w:rPr>
          <w:rFonts w:ascii="Times New Roman" w:cs="Times New Roman" w:hAnsi="Times New Roman"/>
        </w:rPr>
        <w:t>Samigullin</w:t>
      </w:r>
      <w:r>
        <w:rPr>
          <w:rFonts w:ascii="Times New Roman" w:cs="Times New Roman" w:hAnsi="Times New Roman"/>
        </w:rPr>
        <w:t xml:space="preserve"> &amp; </w:t>
      </w:r>
      <w:r>
        <w:rPr>
          <w:rFonts w:ascii="Times New Roman" w:cs="Times New Roman" w:hAnsi="Times New Roman"/>
        </w:rPr>
        <w:t xml:space="preserve">Dooley, 2023; </w:t>
      </w:r>
      <w:r>
        <w:rPr>
          <w:rFonts w:ascii="Times New Roman" w:cs="Times New Roman" w:hAnsi="Times New Roman"/>
        </w:rPr>
        <w:t>Mikalef</w:t>
      </w:r>
      <w:r>
        <w:rPr>
          <w:rFonts w:ascii="Times New Roman" w:cs="Times New Roman" w:hAnsi="Times New Roman"/>
        </w:rPr>
        <w:t xml:space="preserve"> et al., 2022; Xavier, 2022). AIC is widely recognized as a multidimensional construct that captures both the technical preparedness and organizational learning capabilities required to manage the complexities associated with AI-driven governance systems (Dwivedi et al., 2023; Tan et al., 2022). As such, institutional capacity is considered a fundamental prerequisite for successful AI integration, since organizations with insufficient capabilities often experience implementation difficulties, employee resistance, and operational inefficiencies (Sun &amp; Medaglia, 2022; Ingrams et al., 2022).</w:t>
      </w:r>
    </w:p>
    <w:p w14:paraId="27BF8546">
      <w:pPr>
        <w:pStyle w:val="style0"/>
        <w:spacing w:after="0" w:lineRule="auto" w:line="276"/>
        <w:jc w:val="both"/>
        <w:rPr>
          <w:rFonts w:ascii="Times New Roman" w:cs="Times New Roman" w:hAnsi="Times New Roman"/>
        </w:rPr>
      </w:pPr>
      <w:r>
        <w:rPr>
          <w:rFonts w:ascii="Times New Roman" w:cs="Times New Roman" w:hAnsi="Times New Roman"/>
        </w:rPr>
        <w:t>Contemporary research suggests that AI-enabled institutional capacity extends beyond technological assets and includes human expertise, data governance competencies, adaptive organizational structures, strategic leadership commitment, and continuous learning mechanisms that support long-term AI adoption (</w:t>
      </w:r>
      <w:r>
        <w:rPr>
          <w:rFonts w:ascii="Times New Roman" w:cs="Times New Roman" w:hAnsi="Times New Roman"/>
        </w:rPr>
        <w:t>Samigullin</w:t>
      </w:r>
      <w:r>
        <w:rPr>
          <w:rFonts w:ascii="Times New Roman" w:cs="Times New Roman" w:hAnsi="Times New Roman"/>
        </w:rPr>
        <w:t xml:space="preserve"> &amp; Dooley, 2023; </w:t>
      </w:r>
      <w:r>
        <w:rPr>
          <w:rFonts w:ascii="Times New Roman" w:cs="Times New Roman" w:hAnsi="Times New Roman"/>
        </w:rPr>
        <w:t>Mikalef</w:t>
      </w:r>
      <w:r>
        <w:rPr>
          <w:rFonts w:ascii="Times New Roman" w:cs="Times New Roman" w:hAnsi="Times New Roman"/>
        </w:rPr>
        <w:t xml:space="preserve"> et al., 2022). Xavier (2022) found that institutional readiness for AI is one of the strongest predictors of successful policy implementation and governance performance within digital government settings. Likewise, Dwivedi et al. (2023) emphasize that institutional digital maturity, encompassing technological, human, and organizational capabilities, serves as a critical foundation for achieving effective AI governance outcomes across public-sector organizations. Supporting this view, the World Bank (2023) identifies inadequate institutional capacity as one of the primary obstacles limiting AI adoption and monitoring effectiveness, particularly in developing governance environments.</w:t>
      </w:r>
    </w:p>
    <w:p w14:paraId="61A38C3C">
      <w:pPr>
        <w:pStyle w:val="style0"/>
        <w:spacing w:after="0" w:lineRule="auto" w:line="276"/>
        <w:jc w:val="both"/>
        <w:rPr>
          <w:rFonts w:ascii="Times New Roman" w:cs="Times New Roman" w:hAnsi="Times New Roman"/>
        </w:rPr>
      </w:pPr>
      <w:r>
        <w:rPr>
          <w:rFonts w:ascii="Times New Roman" w:cs="Times New Roman" w:hAnsi="Times New Roman"/>
        </w:rPr>
        <w:t>Empirical evidence further highlights the importance of institutional capacity for strengthening implementation monitoring. Yang and Goldsmith (2024) demonstrate that greater AI capability enhances organizational adaptability and significantly improves monitoring performance within AI-driven policymaking systems. Similarly, Filgueiras et al. (2022) report that digital governance reforms supported by strong institutional capabilities lead to more effective monitoring practices and facilitate timely policy adjustments. Sun and Medaglia (2022) also identify capacity-related limitations as major barriers to successful implementation monitoring in AI-based public healthcare initiatives, underscoring the necessity of institutional readiness for monitoring effectiveness. Furthermore, Holmström (2022) argues that the ability of institutions to reconfigure governance processes largely depends on their AI capacity, with more capable organizations exhibiting stronger adaptive monitoring and continuous oversight of AI-enabled policy initiatives. Collectively, these findings suggest that higher levels of AI-enabled institutional capacity contribute significantly to the effectiveness of implementation monitoring within public governance systems</w:t>
      </w:r>
      <w:r>
        <w:rPr>
          <w:rFonts w:ascii="Times New Roman" w:cs="Times New Roman" w:hAnsi="Times New Roman"/>
        </w:rPr>
        <w:t>.</w:t>
      </w:r>
      <w:r>
        <w:rPr>
          <w:rFonts w:ascii="Times New Roman" w:cs="Times New Roman" w:hAnsi="Times New Roman"/>
        </w:rPr>
        <w:t xml:space="preserve"> </w:t>
      </w:r>
    </w:p>
    <w:p w14:paraId="5A47D08F">
      <w:pPr>
        <w:pStyle w:val="style0"/>
        <w:spacing w:after="0" w:lineRule="auto" w:line="276"/>
        <w:rPr>
          <w:rFonts w:ascii="Times New Roman" w:cs="Times New Roman" w:hAnsi="Times New Roman"/>
        </w:rPr>
      </w:pPr>
      <w:r>
        <w:rPr>
          <w:rFonts w:ascii="Times New Roman" w:cs="Times New Roman" w:hAnsi="Times New Roman"/>
          <w:b/>
          <w:bCs/>
        </w:rPr>
        <w:t>H3: AI-enabled institutional capacity positively impacts implementation</w:t>
      </w:r>
      <w:r>
        <w:rPr>
          <w:rFonts w:ascii="Times New Roman" w:cs="Times New Roman" w:hAnsi="Times New Roman"/>
          <w:b/>
          <w:bCs/>
        </w:rPr>
        <w:t xml:space="preserve"> </w:t>
      </w:r>
      <w:r>
        <w:rPr>
          <w:rFonts w:ascii="Times New Roman" w:cs="Times New Roman" w:hAnsi="Times New Roman"/>
          <w:b/>
          <w:bCs/>
        </w:rPr>
        <w:t>monitoring.</w:t>
      </w:r>
    </w:p>
    <w:p w14:paraId="1018D3F8">
      <w:pPr>
        <w:pStyle w:val="style0"/>
        <w:spacing w:after="0" w:lineRule="auto" w:line="276"/>
        <w:rPr>
          <w:rFonts w:ascii="Times New Roman" w:cs="Times New Roman" w:hAnsi="Times New Roman"/>
          <w:b/>
          <w:bCs/>
        </w:rPr>
      </w:pPr>
      <w:r>
        <w:rPr>
          <w:rFonts w:ascii="Times New Roman" w:cs="Times New Roman" w:hAnsi="Times New Roman"/>
        </w:rPr>
        <w:t>2</w:t>
      </w:r>
      <w:r>
        <w:rPr>
          <w:rFonts w:ascii="Times New Roman" w:cs="Times New Roman" w:hAnsi="Times New Roman"/>
        </w:rPr>
        <w:t>.4</w:t>
      </w:r>
      <w:r>
        <w:rPr>
          <w:rFonts w:ascii="Times New Roman" w:cs="Times New Roman" w:hAnsi="Times New Roman"/>
        </w:rPr>
        <w:tab/>
      </w:r>
      <w:r>
        <w:rPr>
          <w:rFonts w:ascii="Times New Roman" w:cs="Times New Roman" w:hAnsi="Times New Roman"/>
          <w:b/>
          <w:bCs/>
        </w:rPr>
        <w:t>Implementation Monitoring and AI-Enabled Policymaking</w:t>
      </w:r>
    </w:p>
    <w:p w14:paraId="6FDA2FA1">
      <w:pPr>
        <w:pStyle w:val="style0"/>
        <w:spacing w:after="0" w:lineRule="auto" w:line="276"/>
        <w:jc w:val="both"/>
        <w:rPr>
          <w:rFonts w:ascii="Times New Roman" w:cs="Times New Roman" w:hAnsi="Times New Roman"/>
        </w:rPr>
      </w:pPr>
      <w:r>
        <w:rPr>
          <w:rFonts w:ascii="Times New Roman" w:cs="Times New Roman" w:hAnsi="Times New Roman"/>
        </w:rPr>
        <w:t xml:space="preserve">Implementation monitoring (IM) refers to the ongoing observation, evaluation, and review of AI-assisted policy implementation to ensure accountability, effectiveness, and timely corrective interventions throughout the policy lifecycle (Perry &amp; </w:t>
      </w:r>
      <w:r>
        <w:rPr>
          <w:rFonts w:ascii="Times New Roman" w:cs="Times New Roman" w:hAnsi="Times New Roman"/>
        </w:rPr>
        <w:t>Uuk</w:t>
      </w:r>
      <w:r>
        <w:rPr>
          <w:rFonts w:ascii="Times New Roman" w:cs="Times New Roman" w:hAnsi="Times New Roman"/>
        </w:rPr>
        <w:t xml:space="preserve">, 2022; </w:t>
      </w:r>
      <w:r>
        <w:rPr>
          <w:rFonts w:ascii="Times New Roman" w:cs="Times New Roman" w:hAnsi="Times New Roman"/>
        </w:rPr>
        <w:t>Lněnička</w:t>
      </w:r>
      <w:r>
        <w:rPr>
          <w:rFonts w:ascii="Times New Roman" w:cs="Times New Roman" w:hAnsi="Times New Roman"/>
        </w:rPr>
        <w:t xml:space="preserve"> et al., 2024; Valle-Cruz et al., 2022). As an essential governance capability, IM provides continuous performance feedback, supports evidence-based policy adjustments, and enables institutions to identify implementation shortcomings, governance risks, and deviations from intended policy objectives during execution (</w:t>
      </w:r>
      <w:r>
        <w:rPr>
          <w:rFonts w:ascii="Times New Roman" w:cs="Times New Roman" w:hAnsi="Times New Roman"/>
        </w:rPr>
        <w:t>Helmholz</w:t>
      </w:r>
      <w:r>
        <w:rPr>
          <w:rFonts w:ascii="Times New Roman" w:cs="Times New Roman" w:hAnsi="Times New Roman"/>
        </w:rPr>
        <w:t xml:space="preserve"> et al., 2024; Wirtz et al., 2023). Given the increasing complexity and rapid pace of AI-driven governance environments, continuous monitoring has become a critical requirement, as conventional post-implementation evaluation methods often </w:t>
      </w:r>
      <w:r>
        <w:rPr>
          <w:rFonts w:ascii="Times New Roman" w:cs="Times New Roman" w:hAnsi="Times New Roman"/>
        </w:rPr>
        <w:t>struggle to keep pace with AI-enabled decision-making processes (Janssen &amp; Helbig, 2023; Novelli et al., 2024).</w:t>
      </w:r>
    </w:p>
    <w:p w14:paraId="6E63AD4A">
      <w:pPr>
        <w:pStyle w:val="style0"/>
        <w:spacing w:after="0" w:lineRule="auto" w:line="276"/>
        <w:jc w:val="both"/>
        <w:rPr>
          <w:rFonts w:ascii="Times New Roman" w:cs="Times New Roman" w:hAnsi="Times New Roman"/>
        </w:rPr>
      </w:pPr>
      <w:r>
        <w:rPr>
          <w:rFonts w:ascii="Times New Roman" w:cs="Times New Roman" w:hAnsi="Times New Roman"/>
        </w:rPr>
        <w:t>Empirical studies provide substantial evidence regarding the value of monitoring in enhancing policymaking effectiveness. Valle-Cruz et al. (2022) demonstrate that AI-supported monitoring technologies significantly improve the flexibility, responsiveness, and evidence orientation of public-sector policymaking, particularly within complex regulatory environments. Likewise, Sun and Medaglia (2022) report that effective monitoring systems improve decision quality and reduce the probability of policy implementation failures in AI-enabled governance settings. Tan et al. (2022) further reveal that structured monitoring frameworks contribute to stronger policy coordination and more successful implementation outcomes in digital governance contexts. Similarly, Filgueiras et al. (2022) show that governance reforms supported by comprehensive monitoring mechanisms achieve superior policy results compared to AI initiatives lacking systematic oversight, highlighting the strategic importance of implementation monitoring for policymaking effectiveness.</w:t>
      </w:r>
    </w:p>
    <w:p w14:paraId="238898A7">
      <w:pPr>
        <w:pStyle w:val="style0"/>
        <w:spacing w:after="0" w:lineRule="auto" w:line="276"/>
        <w:jc w:val="both"/>
        <w:rPr>
          <w:rFonts w:ascii="Times New Roman" w:cs="Times New Roman" w:hAnsi="Times New Roman"/>
        </w:rPr>
      </w:pPr>
      <w:r>
        <w:rPr>
          <w:rFonts w:ascii="Times New Roman" w:cs="Times New Roman" w:hAnsi="Times New Roman"/>
        </w:rPr>
        <w:t xml:space="preserve">Additional research underscores the role of implementation monitoring as a bridge between policy formulation and policy evaluation. </w:t>
      </w:r>
      <w:r>
        <w:rPr>
          <w:rFonts w:ascii="Times New Roman" w:cs="Times New Roman" w:hAnsi="Times New Roman"/>
        </w:rPr>
        <w:t>Lněnička</w:t>
      </w:r>
      <w:r>
        <w:rPr>
          <w:rFonts w:ascii="Times New Roman" w:cs="Times New Roman" w:hAnsi="Times New Roman"/>
        </w:rPr>
        <w:t xml:space="preserve"> et al. (2024) identify monitoring as a critical integration mechanism within the AI-enabled public policy cycle, emphasizing that continuous feedback generated through monitoring systems enhances both policymaking quality and adaptive governance capabilities. Extending this perspective, Yang and Goldsmith (2024) demonstrate that real-time AI monitoring improves accountability, decision quality, and governance legitimacy in digitally transformed urban administrations. Furthermore, </w:t>
      </w:r>
      <w:r>
        <w:rPr>
          <w:rFonts w:ascii="Times New Roman" w:cs="Times New Roman" w:hAnsi="Times New Roman"/>
        </w:rPr>
        <w:t>Helmholz</w:t>
      </w:r>
      <w:r>
        <w:rPr>
          <w:rFonts w:ascii="Times New Roman" w:cs="Times New Roman" w:hAnsi="Times New Roman"/>
        </w:rPr>
        <w:t xml:space="preserve"> et al. (2024) conclude that monitoring mechanisms represent one of the most important structural conditions for achieving sustainable AI integration within public governance systems. Collectively, these findings indicate that implementation monitoring plays a central role in translating AI-enabled governance capabilities into effective policymaking outcomes</w:t>
      </w:r>
      <w:r>
        <w:rPr>
          <w:rFonts w:ascii="Times New Roman" w:cs="Times New Roman" w:hAnsi="Times New Roman"/>
        </w:rPr>
        <w:t>.</w:t>
      </w:r>
      <w:r>
        <w:rPr>
          <w:rFonts w:ascii="Times New Roman" w:cs="Times New Roman" w:hAnsi="Times New Roman"/>
        </w:rPr>
        <w:t xml:space="preserve"> </w:t>
      </w:r>
    </w:p>
    <w:p w14:paraId="4A55040D">
      <w:pPr>
        <w:pStyle w:val="style0"/>
        <w:spacing w:after="0" w:lineRule="auto" w:line="276"/>
        <w:rPr>
          <w:rFonts w:ascii="Times New Roman" w:cs="Times New Roman" w:hAnsi="Times New Roman"/>
        </w:rPr>
      </w:pPr>
      <w:r>
        <w:rPr>
          <w:rFonts w:ascii="Times New Roman" w:cs="Times New Roman" w:hAnsi="Times New Roman"/>
          <w:b/>
          <w:bCs/>
        </w:rPr>
        <w:t>H4: Implementation monitoring positively affects AI-enabled policymaking.</w:t>
      </w:r>
    </w:p>
    <w:p w14:paraId="3A894834">
      <w:pPr>
        <w:pStyle w:val="style0"/>
        <w:spacing w:after="0" w:lineRule="auto" w:line="276"/>
        <w:rPr>
          <w:rFonts w:ascii="Times New Roman" w:cs="Times New Roman" w:hAnsi="Times New Roman"/>
          <w:b/>
          <w:bCs/>
        </w:rPr>
      </w:pPr>
      <w:r>
        <w:rPr>
          <w:rFonts w:ascii="Times New Roman" w:cs="Times New Roman" w:hAnsi="Times New Roman"/>
        </w:rPr>
        <w:t>2</w:t>
      </w:r>
      <w:r>
        <w:rPr>
          <w:rFonts w:ascii="Times New Roman" w:cs="Times New Roman" w:hAnsi="Times New Roman"/>
        </w:rPr>
        <w:t>.5</w:t>
      </w:r>
      <w:r>
        <w:rPr>
          <w:rFonts w:ascii="Times New Roman" w:cs="Times New Roman" w:hAnsi="Times New Roman"/>
        </w:rPr>
        <w:tab/>
      </w:r>
      <w:r>
        <w:rPr>
          <w:rFonts w:ascii="Times New Roman" w:cs="Times New Roman" w:hAnsi="Times New Roman"/>
          <w:b/>
          <w:bCs/>
        </w:rPr>
        <w:t>Governance Mechanisms, Monitoring, and Policymaking</w:t>
      </w:r>
    </w:p>
    <w:p w14:paraId="2114D298">
      <w:pPr>
        <w:pStyle w:val="style0"/>
        <w:spacing w:after="0" w:lineRule="auto" w:line="276"/>
        <w:jc w:val="both"/>
        <w:rPr>
          <w:rFonts w:ascii="Times New Roman" w:cs="Times New Roman" w:hAnsi="Times New Roman"/>
        </w:rPr>
      </w:pPr>
      <w:r>
        <w:rPr>
          <w:rFonts w:ascii="Times New Roman" w:cs="Times New Roman" w:hAnsi="Times New Roman"/>
        </w:rPr>
        <w:t>The mediating role of implementation monitoring in the relationship between AI-enabled governance mechanisms (AGM) and AI-enabled policymaking (APM) can be explained through the lens of Dynamic Capability Theory (Teece, 2007). The theory proposes that organizational and governance capabilities generate meaningful performance outcomes only when they are effectively integrated, coordinated, and continuously reconfigured in response to changing environmental conditions (</w:t>
      </w:r>
      <w:r>
        <w:rPr>
          <w:rFonts w:ascii="Times New Roman" w:cs="Times New Roman" w:hAnsi="Times New Roman"/>
        </w:rPr>
        <w:t>Samigullin</w:t>
      </w:r>
      <w:r>
        <w:rPr>
          <w:rFonts w:ascii="Times New Roman" w:cs="Times New Roman" w:hAnsi="Times New Roman"/>
        </w:rPr>
        <w:t xml:space="preserve"> &amp; Dooley, 2023; </w:t>
      </w:r>
      <w:r>
        <w:rPr>
          <w:rFonts w:ascii="Times New Roman" w:cs="Times New Roman" w:hAnsi="Times New Roman"/>
        </w:rPr>
        <w:t>Mikalef</w:t>
      </w:r>
      <w:r>
        <w:rPr>
          <w:rFonts w:ascii="Times New Roman" w:cs="Times New Roman" w:hAnsi="Times New Roman"/>
        </w:rPr>
        <w:t xml:space="preserve"> et al., 2022). Within AI-enabled governance environments, AGM provide the regulatory foundations, accountability arrangements, and institutional controls that enable monitoring systems to operate effectively and support policy implementation processes (Wirtz et al., 2023; Perry &amp; </w:t>
      </w:r>
      <w:r>
        <w:rPr>
          <w:rFonts w:ascii="Times New Roman" w:cs="Times New Roman" w:hAnsi="Times New Roman"/>
        </w:rPr>
        <w:t>Uuk</w:t>
      </w:r>
      <w:r>
        <w:rPr>
          <w:rFonts w:ascii="Times New Roman" w:cs="Times New Roman" w:hAnsi="Times New Roman"/>
        </w:rPr>
        <w:t>, 2022). In the absence of well-established governance structures, monitoring systems may lack the authority, legitimacy, and institutional support necessary to ensure compliance and deliver meaningful policy feedback (</w:t>
      </w:r>
      <w:r>
        <w:rPr>
          <w:rFonts w:ascii="Times New Roman" w:cs="Times New Roman" w:hAnsi="Times New Roman"/>
        </w:rPr>
        <w:t>Floridi</w:t>
      </w:r>
      <w:r>
        <w:rPr>
          <w:rFonts w:ascii="Times New Roman" w:cs="Times New Roman" w:hAnsi="Times New Roman"/>
        </w:rPr>
        <w:t xml:space="preserve"> et al., 2022; Novelli et al., 2024).</w:t>
      </w:r>
    </w:p>
    <w:p w14:paraId="3FA3D8CB">
      <w:pPr>
        <w:pStyle w:val="style0"/>
        <w:spacing w:after="0" w:lineRule="auto" w:line="276"/>
        <w:jc w:val="both"/>
        <w:rPr>
          <w:rFonts w:ascii="Times New Roman" w:cs="Times New Roman" w:hAnsi="Times New Roman"/>
        </w:rPr>
      </w:pPr>
      <w:r>
        <w:rPr>
          <w:rFonts w:ascii="Times New Roman" w:cs="Times New Roman" w:hAnsi="Times New Roman"/>
        </w:rPr>
        <w:t xml:space="preserve">Empirical evidence supports the proposition that governance mechanisms influence policymaking outcomes indirectly through implementation monitoring. Janssen and Helbig (2023) found that stronger governance frameworks enhance policymaking effectiveness by improving monitoring capabilities and reinforcing institutional accountability. Likewise, Filgueiras et al. (2022) demonstrate that governance-oriented monitoring reforms contribute to </w:t>
      </w:r>
      <w:r>
        <w:rPr>
          <w:rFonts w:ascii="Times New Roman" w:cs="Times New Roman" w:hAnsi="Times New Roman"/>
        </w:rPr>
        <w:t xml:space="preserve">more accountable and effective policymaking within digital government environments, particularly in administrative systems where governance challenges remain significant. Furthermore, </w:t>
      </w:r>
      <w:r>
        <w:rPr>
          <w:rFonts w:ascii="Times New Roman" w:cs="Times New Roman" w:hAnsi="Times New Roman"/>
        </w:rPr>
        <w:t>Helmholz</w:t>
      </w:r>
      <w:r>
        <w:rPr>
          <w:rFonts w:ascii="Times New Roman" w:cs="Times New Roman" w:hAnsi="Times New Roman"/>
        </w:rPr>
        <w:t xml:space="preserve"> et al. (2024) argue that the governance–monitoring–policymaking linkage represents one of the most critical pathways in AI-enabled public administration. According to their findings, implementation monitoring serves as the operational mechanism through which governance objectives are translated into tangible policy outcomes. Therefore, implementation monitoring is expected to mediate the influence of AI-enabled governance mechanisms on AI-enabled policymaking effectiveness</w:t>
      </w:r>
      <w:r>
        <w:rPr>
          <w:rFonts w:ascii="Times New Roman" w:cs="Times New Roman" w:hAnsi="Times New Roman"/>
        </w:rPr>
        <w:t>.</w:t>
      </w:r>
      <w:r>
        <w:rPr>
          <w:rFonts w:ascii="Times New Roman" w:cs="Times New Roman" w:hAnsi="Times New Roman"/>
        </w:rPr>
        <w:t xml:space="preserve"> </w:t>
      </w:r>
    </w:p>
    <w:p w14:paraId="0BC0BECA">
      <w:pPr>
        <w:pStyle w:val="style0"/>
        <w:spacing w:after="0" w:lineRule="auto" w:line="276"/>
        <w:rPr>
          <w:rFonts w:ascii="Times New Roman" w:cs="Times New Roman" w:hAnsi="Times New Roman"/>
        </w:rPr>
      </w:pPr>
      <w:r>
        <w:rPr>
          <w:rFonts w:ascii="Times New Roman" w:cs="Times New Roman" w:hAnsi="Times New Roman"/>
          <w:b/>
          <w:bCs/>
        </w:rPr>
        <w:t>H5: Implementation monitoring mediates the relationship between AI-enabled</w:t>
      </w:r>
      <w:r>
        <w:rPr>
          <w:rFonts w:ascii="Times New Roman" w:cs="Times New Roman" w:hAnsi="Times New Roman"/>
          <w:b/>
          <w:bCs/>
        </w:rPr>
        <w:t xml:space="preserve"> </w:t>
      </w:r>
      <w:r>
        <w:rPr>
          <w:rFonts w:ascii="Times New Roman" w:cs="Times New Roman" w:hAnsi="Times New Roman"/>
          <w:b/>
          <w:bCs/>
        </w:rPr>
        <w:t>governance mechanisms and AI-enabled policymaking.</w:t>
      </w:r>
    </w:p>
    <w:p w14:paraId="7C63F317">
      <w:pPr>
        <w:pStyle w:val="style0"/>
        <w:spacing w:after="0" w:lineRule="auto" w:line="276"/>
        <w:rPr>
          <w:rFonts w:ascii="Times New Roman" w:cs="Times New Roman" w:hAnsi="Times New Roman"/>
          <w:b/>
          <w:bCs/>
        </w:rPr>
      </w:pPr>
      <w:r>
        <w:rPr>
          <w:rFonts w:ascii="Times New Roman" w:cs="Times New Roman" w:hAnsi="Times New Roman"/>
        </w:rPr>
        <w:t>2</w:t>
      </w:r>
      <w:r>
        <w:rPr>
          <w:rFonts w:ascii="Times New Roman" w:cs="Times New Roman" w:hAnsi="Times New Roman"/>
        </w:rPr>
        <w:t>.6</w:t>
      </w:r>
      <w:r>
        <w:rPr>
          <w:rFonts w:ascii="Times New Roman" w:cs="Times New Roman" w:hAnsi="Times New Roman"/>
        </w:rPr>
        <w:tab/>
      </w:r>
      <w:r>
        <w:rPr>
          <w:rFonts w:ascii="Times New Roman" w:cs="Times New Roman" w:hAnsi="Times New Roman"/>
          <w:b/>
          <w:bCs/>
        </w:rPr>
        <w:t>Policy Transparency, Monitoring, and Policymaking</w:t>
      </w:r>
    </w:p>
    <w:p w14:paraId="77D32274">
      <w:pPr>
        <w:pStyle w:val="style0"/>
        <w:spacing w:after="0" w:lineRule="auto" w:line="276"/>
        <w:jc w:val="both"/>
        <w:rPr>
          <w:rFonts w:ascii="Times New Roman" w:cs="Times New Roman" w:hAnsi="Times New Roman"/>
        </w:rPr>
      </w:pPr>
      <w:r>
        <w:rPr>
          <w:rFonts w:ascii="Times New Roman" w:cs="Times New Roman" w:hAnsi="Times New Roman"/>
        </w:rPr>
        <w:t xml:space="preserve">Policy transparency contributes to effective implementation monitoring by ensuring that AI-generated decisions, processes, and recommendations remain visible, understandable, and accessible to relevant oversight actors. Such transparency enhances the quality, traceability, and interpretability of information available for monitoring purposes, thereby strengthening governance feedback mechanisms (Paul, 2022; Novelli et al., 2024; </w:t>
      </w:r>
      <w:r>
        <w:rPr>
          <w:rFonts w:ascii="Times New Roman" w:cs="Times New Roman" w:hAnsi="Times New Roman"/>
        </w:rPr>
        <w:t>Lněnička</w:t>
      </w:r>
      <w:r>
        <w:rPr>
          <w:rFonts w:ascii="Times New Roman" w:cs="Times New Roman" w:hAnsi="Times New Roman"/>
        </w:rPr>
        <w:t xml:space="preserve"> et al., 2024). When AI systems operate transparently, monitoring units are better equipped to evaluate implementation progress, identify emerging issues, and initiate evidence-based corrective actions based on reliable and detailed information (</w:t>
      </w:r>
      <w:r>
        <w:rPr>
          <w:rFonts w:ascii="Times New Roman" w:cs="Times New Roman" w:hAnsi="Times New Roman"/>
        </w:rPr>
        <w:t>Helmholz</w:t>
      </w:r>
      <w:r>
        <w:rPr>
          <w:rFonts w:ascii="Times New Roman" w:cs="Times New Roman" w:hAnsi="Times New Roman"/>
        </w:rPr>
        <w:t xml:space="preserve"> et al., 2024; Yang &amp; Goldsmith, 2024). From a theoretical perspective, stronger monitoring capabilities derived from greater transparency should contribute to improved policymaking outcomes by supporting informed and adaptive governance decisions (Wirtz et al., 2023; Cath, 2022).</w:t>
      </w:r>
    </w:p>
    <w:p w14:paraId="4DCDFF05">
      <w:pPr>
        <w:pStyle w:val="style0"/>
        <w:spacing w:after="0" w:lineRule="auto" w:line="276"/>
        <w:jc w:val="both"/>
        <w:rPr>
          <w:rFonts w:ascii="Times New Roman" w:cs="Times New Roman" w:hAnsi="Times New Roman"/>
        </w:rPr>
      </w:pPr>
      <w:r>
        <w:rPr>
          <w:rFonts w:ascii="Times New Roman" w:cs="Times New Roman" w:hAnsi="Times New Roman"/>
        </w:rPr>
        <w:t xml:space="preserve">Nevertheless, the effectiveness of transparency in improving AI-enabled policymaking is influenced by the presence of complementary governance resources and institutional capabilities. Factors such as organizational capacity, accountability systems, and monitoring infrastructure play a crucial role in determining whether transparency can be translated into meaningful policy outcomes (Ingrams et al., 2022; </w:t>
      </w:r>
      <w:r>
        <w:rPr>
          <w:rFonts w:ascii="Times New Roman" w:cs="Times New Roman" w:hAnsi="Times New Roman"/>
        </w:rPr>
        <w:t>Lněnička</w:t>
      </w:r>
      <w:r>
        <w:rPr>
          <w:rFonts w:ascii="Times New Roman" w:cs="Times New Roman" w:hAnsi="Times New Roman"/>
        </w:rPr>
        <w:t xml:space="preserve"> et al., 2024). Cath (2022) argues that although transparency is a necessary component of responsible AI governance, it alone cannot guarantee policymaking effectiveness, particularly in settings where monitoring capabilities are underdeveloped. Similarly, Wauters and Haes (2022) report that transparency initiatives generate more substantial policy benefits when supported by strong organizational monitoring and governance frameworks. These theoretical and empirical insights provide the basis for proposing a mediating role of implementation monitoring in the relationship between policy transparency and AI-enabled policymaking, while also suggesting that this effect may be limited in contexts characterized by weak monitoring infrastructure</w:t>
      </w:r>
      <w:r>
        <w:rPr>
          <w:rFonts w:ascii="Times New Roman" w:cs="Times New Roman" w:hAnsi="Times New Roman"/>
        </w:rPr>
        <w:t>.</w:t>
      </w:r>
    </w:p>
    <w:p w14:paraId="247522DA">
      <w:pPr>
        <w:pStyle w:val="style0"/>
        <w:spacing w:after="0" w:lineRule="auto" w:line="276"/>
        <w:rPr>
          <w:rFonts w:ascii="Times New Roman" w:cs="Times New Roman" w:hAnsi="Times New Roman"/>
        </w:rPr>
      </w:pPr>
      <w:r>
        <w:rPr>
          <w:rFonts w:ascii="Times New Roman" w:cs="Times New Roman" w:hAnsi="Times New Roman"/>
          <w:b/>
          <w:bCs/>
        </w:rPr>
        <w:t>H6: Implementation monitoring mediates the relationship between policy</w:t>
      </w:r>
      <w:r>
        <w:rPr>
          <w:rFonts w:ascii="Times New Roman" w:cs="Times New Roman" w:hAnsi="Times New Roman"/>
          <w:b/>
          <w:bCs/>
        </w:rPr>
        <w:t xml:space="preserve"> </w:t>
      </w:r>
      <w:r>
        <w:rPr>
          <w:rFonts w:ascii="Times New Roman" w:cs="Times New Roman" w:hAnsi="Times New Roman"/>
          <w:b/>
          <w:bCs/>
        </w:rPr>
        <w:t>transparency and AI-enabled policymaking.</w:t>
      </w:r>
    </w:p>
    <w:p w14:paraId="3CC6C5EF">
      <w:pPr>
        <w:pStyle w:val="style0"/>
        <w:spacing w:after="0" w:lineRule="auto" w:line="276"/>
        <w:rPr>
          <w:rFonts w:ascii="Times New Roman" w:cs="Times New Roman" w:hAnsi="Times New Roman"/>
          <w:b/>
          <w:bCs/>
        </w:rPr>
      </w:pPr>
      <w:r>
        <w:rPr>
          <w:rFonts w:ascii="Times New Roman" w:cs="Times New Roman" w:hAnsi="Times New Roman"/>
        </w:rPr>
        <w:t>2</w:t>
      </w:r>
      <w:r>
        <w:rPr>
          <w:rFonts w:ascii="Times New Roman" w:cs="Times New Roman" w:hAnsi="Times New Roman"/>
        </w:rPr>
        <w:t>.7</w:t>
      </w:r>
      <w:r>
        <w:rPr>
          <w:rFonts w:ascii="Times New Roman" w:cs="Times New Roman" w:hAnsi="Times New Roman"/>
        </w:rPr>
        <w:tab/>
      </w:r>
      <w:r>
        <w:rPr>
          <w:rFonts w:ascii="Times New Roman" w:cs="Times New Roman" w:hAnsi="Times New Roman"/>
          <w:b/>
          <w:bCs/>
        </w:rPr>
        <w:t>Institutional Capacity, Monitoring, and Policymaking</w:t>
      </w:r>
    </w:p>
    <w:p w14:paraId="0B624439">
      <w:pPr>
        <w:pStyle w:val="style0"/>
        <w:spacing w:after="0" w:lineRule="auto" w:line="276"/>
        <w:jc w:val="both"/>
        <w:rPr>
          <w:rFonts w:ascii="Times New Roman" w:cs="Times New Roman" w:hAnsi="Times New Roman"/>
        </w:rPr>
      </w:pPr>
      <w:r>
        <w:rPr>
          <w:rFonts w:ascii="Times New Roman" w:cs="Times New Roman" w:hAnsi="Times New Roman"/>
        </w:rPr>
        <w:t>AI-enabled institutional capacity plays a crucial role in strengthening implementation monitoring by equipping public institutions with the technological resources, skilled personnel, leadership commitment, and organizational learning capabilities necessary for effective and continuous policy oversight (</w:t>
      </w:r>
      <w:r>
        <w:rPr>
          <w:rFonts w:ascii="Times New Roman" w:cs="Times New Roman" w:hAnsi="Times New Roman"/>
        </w:rPr>
        <w:t>Samigullin</w:t>
      </w:r>
      <w:r>
        <w:rPr>
          <w:rFonts w:ascii="Times New Roman" w:cs="Times New Roman" w:hAnsi="Times New Roman"/>
        </w:rPr>
        <w:t xml:space="preserve"> &amp; Dooley, 2023; Dwivedi et al., 2023). Institutions possessing higher levels of AI capability are better able to develop, implement, and maintain sophisticated monitoring systems that generate valuable governance insights and support </w:t>
      </w:r>
      <w:r>
        <w:rPr>
          <w:rFonts w:ascii="Times New Roman" w:cs="Times New Roman" w:hAnsi="Times New Roman"/>
        </w:rPr>
        <w:t>evidence-based decision-making (</w:t>
      </w:r>
      <w:r>
        <w:rPr>
          <w:rFonts w:ascii="Times New Roman" w:cs="Times New Roman" w:hAnsi="Times New Roman"/>
        </w:rPr>
        <w:t>Mikalef</w:t>
      </w:r>
      <w:r>
        <w:rPr>
          <w:rFonts w:ascii="Times New Roman" w:cs="Times New Roman" w:hAnsi="Times New Roman"/>
        </w:rPr>
        <w:t xml:space="preserve"> et al., 2022; Sun &amp; Medaglia, 2022). In turn, effective monitoring contributes to improved policymaking by providing accurate, timely, and actionable feedback that enhances governance responsiveness and policy effectiveness (Valle-Cruz et al., 2022; </w:t>
      </w:r>
      <w:r>
        <w:rPr>
          <w:rFonts w:ascii="Times New Roman" w:cs="Times New Roman" w:hAnsi="Times New Roman"/>
        </w:rPr>
        <w:t>Lněnička</w:t>
      </w:r>
      <w:r>
        <w:rPr>
          <w:rFonts w:ascii="Times New Roman" w:cs="Times New Roman" w:hAnsi="Times New Roman"/>
        </w:rPr>
        <w:t xml:space="preserve"> et al., 2024).</w:t>
      </w:r>
    </w:p>
    <w:p w14:paraId="30A43944">
      <w:pPr>
        <w:pStyle w:val="style0"/>
        <w:spacing w:after="0" w:lineRule="auto" w:line="276"/>
        <w:jc w:val="both"/>
        <w:rPr>
          <w:rFonts w:ascii="Times New Roman" w:cs="Times New Roman" w:hAnsi="Times New Roman"/>
        </w:rPr>
      </w:pPr>
      <w:r>
        <w:rPr>
          <w:rFonts w:ascii="Times New Roman" w:cs="Times New Roman" w:hAnsi="Times New Roman"/>
        </w:rPr>
        <w:t>Empirical research provides strong support for this indirect relationship. Xavier (2022) demonstrates that institutional readiness for AI serves as an important mechanism through which investments in digital governance translate into higher-quality policy outcomes, highlighting the mediating role of monitoring effectiveness. Similarly, Filgueiras et al. (2022) report that governance reforms supported by strong institutional capabilities lead to sustained improvements in monitoring practices, which subsequently enhance policymaking performance in complex digital government settings. Extending these findings, Dwivedi et al. (2023) show that institutional digital maturity—comprising both technological readiness and human AI competencies—significantly improves the effectiveness, comprehensiveness, and responsiveness of implementation monitoring processes. As a result, institutions with stronger AI-enabled capacities are more likely to achieve superior AI-enabled policymaking outcomes through enhanced monitoring mechanisms</w:t>
      </w:r>
      <w:r>
        <w:rPr>
          <w:rFonts w:ascii="Times New Roman" w:cs="Times New Roman" w:hAnsi="Times New Roman"/>
        </w:rPr>
        <w:t>.</w:t>
      </w:r>
      <w:r>
        <w:rPr>
          <w:rFonts w:ascii="Times New Roman" w:cs="Times New Roman" w:hAnsi="Times New Roman"/>
        </w:rPr>
        <w:t xml:space="preserve"> </w:t>
      </w:r>
    </w:p>
    <w:p w14:paraId="2735BE92">
      <w:pPr>
        <w:pStyle w:val="style0"/>
        <w:spacing w:after="0" w:lineRule="auto" w:line="276"/>
        <w:rPr>
          <w:rFonts w:ascii="Times New Roman" w:cs="Times New Roman" w:hAnsi="Times New Roman"/>
        </w:rPr>
      </w:pPr>
      <w:r>
        <w:rPr>
          <w:rFonts w:ascii="Times New Roman" w:cs="Times New Roman" w:hAnsi="Times New Roman"/>
          <w:b/>
          <w:bCs/>
        </w:rPr>
        <w:t>H7: Implementation monitoring mediates the relationship between AI-enabled</w:t>
      </w:r>
      <w:r>
        <w:rPr>
          <w:rFonts w:ascii="Times New Roman" w:cs="Times New Roman" w:hAnsi="Times New Roman"/>
          <w:b/>
          <w:bCs/>
        </w:rPr>
        <w:t xml:space="preserve"> </w:t>
      </w:r>
      <w:r>
        <w:rPr>
          <w:rFonts w:ascii="Times New Roman" w:cs="Times New Roman" w:hAnsi="Times New Roman"/>
          <w:b/>
          <w:bCs/>
        </w:rPr>
        <w:t>institutional capacity and AI-enabled policymaking.</w:t>
      </w:r>
    </w:p>
    <w:p w14:paraId="53DCAAD9">
      <w:pPr>
        <w:pStyle w:val="style0"/>
        <w:spacing w:after="0" w:lineRule="auto" w:line="276"/>
        <w:rPr>
          <w:rFonts w:ascii="Times New Roman" w:cs="Times New Roman" w:hAnsi="Times New Roman"/>
          <w:b/>
          <w:bCs/>
        </w:rPr>
      </w:pPr>
      <w:r>
        <w:rPr>
          <w:rFonts w:ascii="Times New Roman" w:cs="Times New Roman" w:hAnsi="Times New Roman"/>
          <w:b/>
          <w:bCs/>
        </w:rPr>
        <w:t>Theoretical Framework</w:t>
      </w:r>
    </w:p>
    <w:p w14:paraId="72C354A9">
      <w:pPr>
        <w:pStyle w:val="style0"/>
        <w:spacing w:after="0" w:lineRule="auto" w:line="276"/>
        <w:jc w:val="both"/>
        <w:rPr>
          <w:rFonts w:ascii="Times New Roman" w:cs="Times New Roman" w:hAnsi="Times New Roman"/>
        </w:rPr>
      </w:pPr>
      <w:r>
        <w:rPr>
          <w:rFonts w:ascii="Times New Roman" w:cs="Times New Roman" w:hAnsi="Times New Roman"/>
        </w:rPr>
        <w:t>The research described in this article builds on work conducted by Valle-Cruz et al. (2022) regarding the role of capabilities supported by artificial intelligence in supporting the public policy cycle in Government Information Quarterly (published by Elsevier). Valle-Cruz et al. showed that capabilities supported by AI contribute to increased responsiveness to policy needs, as well as better evidence-based decision making; however, they did not fully investigate how this governance capabilities translate into policy outcomes via mediating mechanisms. This study seeks to address that shortcoming by investigating the role of implementation monitoring (IM) as the mediating dynamic capability and tests that dynamic capability through an empirical analysis using partial least squares structural equation modeling with a sample of 379 respondents from Public Sector in Pakistan.</w:t>
      </w:r>
    </w:p>
    <w:p w14:paraId="73C241D1">
      <w:pPr>
        <w:pStyle w:val="style0"/>
        <w:spacing w:after="0" w:lineRule="auto" w:line="276"/>
        <w:jc w:val="both"/>
        <w:rPr>
          <w:rFonts w:ascii="Times New Roman" w:cs="Times New Roman" w:hAnsi="Times New Roman"/>
        </w:rPr>
      </w:pPr>
      <w:r>
        <w:rPr>
          <w:rFonts w:ascii="Times New Roman" w:cs="Times New Roman" w:hAnsi="Times New Roman"/>
        </w:rPr>
        <w:t>This study is anchored in Dynamic Capability Theory (DCT), originally proposed by Teece et al. (1997) and further refined by Teece (2007). The theory explains how organizations develop, integrate, and continuously reconfigure their internal and external resources to adapt effectively to changing technological, organizational, and environmental conditions. In recent years, DCT has gained considerable attention within the fields of digital governance and artificial intelligence, providing a valuable lens for understanding how public institutions sustain performance and competitiveness in rapidly evolving technological environments (</w:t>
      </w:r>
      <w:r>
        <w:rPr>
          <w:rFonts w:ascii="Times New Roman" w:cs="Times New Roman" w:hAnsi="Times New Roman"/>
        </w:rPr>
        <w:t>Samigullin</w:t>
      </w:r>
      <w:r>
        <w:rPr>
          <w:rFonts w:ascii="Times New Roman" w:cs="Times New Roman" w:hAnsi="Times New Roman"/>
        </w:rPr>
        <w:t xml:space="preserve"> &amp; Dooley, 2023; Holmström, 2022; </w:t>
      </w:r>
      <w:r>
        <w:rPr>
          <w:rFonts w:ascii="Times New Roman" w:cs="Times New Roman" w:hAnsi="Times New Roman"/>
        </w:rPr>
        <w:t>Mikalef</w:t>
      </w:r>
      <w:r>
        <w:rPr>
          <w:rFonts w:ascii="Times New Roman" w:cs="Times New Roman" w:hAnsi="Times New Roman"/>
        </w:rPr>
        <w:t xml:space="preserve"> et al., 2022).</w:t>
      </w:r>
    </w:p>
    <w:p w14:paraId="5CB4BAE5">
      <w:pPr>
        <w:pStyle w:val="style0"/>
        <w:spacing w:after="0" w:lineRule="auto" w:line="276"/>
        <w:jc w:val="both"/>
        <w:rPr>
          <w:rFonts w:ascii="Times New Roman" w:cs="Times New Roman" w:hAnsi="Times New Roman"/>
        </w:rPr>
      </w:pPr>
      <w:r>
        <w:rPr>
          <w:rFonts w:ascii="Times New Roman" w:cs="Times New Roman" w:hAnsi="Times New Roman"/>
        </w:rPr>
        <w:t xml:space="preserve">Within the context of this research, DCT is applied through its three fundamental capability dimensions. The sensing capability dimension is represented by AI-enabled governance mechanisms (AGM) and policy transparency evaluation (PTE), as these capabilities enable public institutions to recognize governance opportunities, identify potential risks, and address accountability concerns associated with AI adoption (Wirtz et al., 2023; Paul, 2022). The seizing capability dimension is reflected in AI-enabled institutional capacity (AIC), which equips organizations with the resources, expertise, and readiness required to implement and </w:t>
      </w:r>
      <w:r>
        <w:rPr>
          <w:rFonts w:ascii="Times New Roman" w:cs="Times New Roman" w:hAnsi="Times New Roman"/>
        </w:rPr>
        <w:t>utilize AI technologies effectively within governance systems (</w:t>
      </w:r>
      <w:r>
        <w:rPr>
          <w:rFonts w:ascii="Times New Roman" w:cs="Times New Roman" w:hAnsi="Times New Roman"/>
        </w:rPr>
        <w:t>Samigullin</w:t>
      </w:r>
      <w:r>
        <w:rPr>
          <w:rFonts w:ascii="Times New Roman" w:cs="Times New Roman" w:hAnsi="Times New Roman"/>
        </w:rPr>
        <w:t xml:space="preserve"> &amp; Dooley, 2023; Xavier, 2022). Finally, the reconfiguring capability dimension is embodied by implementation monitoring (IM), which facilitates continuous feedback, organizational learning, and adaptive modifications to governance processes in response to changing environmental and technological conditions (</w:t>
      </w:r>
      <w:r>
        <w:rPr>
          <w:rFonts w:ascii="Times New Roman" w:cs="Times New Roman" w:hAnsi="Times New Roman"/>
        </w:rPr>
        <w:t>Lněnička</w:t>
      </w:r>
      <w:r>
        <w:rPr>
          <w:rFonts w:ascii="Times New Roman" w:cs="Times New Roman" w:hAnsi="Times New Roman"/>
        </w:rPr>
        <w:t xml:space="preserve"> et al., 2024; </w:t>
      </w:r>
      <w:r>
        <w:rPr>
          <w:rFonts w:ascii="Times New Roman" w:cs="Times New Roman" w:hAnsi="Times New Roman"/>
        </w:rPr>
        <w:t>Helmholz</w:t>
      </w:r>
      <w:r>
        <w:rPr>
          <w:rFonts w:ascii="Times New Roman" w:cs="Times New Roman" w:hAnsi="Times New Roman"/>
        </w:rPr>
        <w:t xml:space="preserve"> et al., 2024).</w:t>
      </w:r>
    </w:p>
    <w:p w14:paraId="508F7EAE">
      <w:pPr>
        <w:pStyle w:val="style0"/>
        <w:spacing w:after="0" w:lineRule="auto" w:line="276"/>
        <w:jc w:val="both"/>
        <w:rPr>
          <w:rFonts w:ascii="Times New Roman" w:cs="Times New Roman" w:hAnsi="Times New Roman"/>
        </w:rPr>
      </w:pPr>
      <w:r>
        <w:rPr>
          <w:rFonts w:ascii="Times New Roman" w:cs="Times New Roman" w:hAnsi="Times New Roman"/>
        </w:rPr>
        <w:t>From a Dynamic Capability Theory perspective, the effectiveness of AI-enabled policymaking emerges from the interaction of these capabilities. Through continuous monitoring and the ongoing reconfiguration of governance resources, institutions can enhance policy quality, improve decision-making, and achieve more effective governance outcomes. Therefore, AI-enabled policymaking effectiveness represents the ultimate outcome of the dynamic process through which governance capabilities are sensed, seized, and continuously reconfigured over time (Teece, 2007; Valle-Cruz et al., 2022)</w:t>
      </w:r>
      <w:r>
        <w:rPr>
          <w:rFonts w:ascii="Times New Roman" w:cs="Times New Roman" w:hAnsi="Times New Roman"/>
        </w:rPr>
        <w:t>.</w:t>
      </w:r>
    </w:p>
    <w:p w14:paraId="2BFBAC62">
      <w:pPr>
        <w:pStyle w:val="style0"/>
        <w:spacing w:after="0" w:lineRule="auto" w:line="276"/>
        <w:rPr>
          <w:rFonts w:ascii="Times New Roman" w:cs="Times New Roman" w:hAnsi="Times New Roman"/>
          <w:b/>
          <w:bCs/>
        </w:rPr>
      </w:pPr>
      <w:r>
        <w:rPr>
          <w:rFonts w:ascii="Times New Roman" w:cs="Times New Roman" w:hAnsi="Times New Roman"/>
          <w:b/>
          <w:bCs/>
        </w:rPr>
        <w:t>Conceptual Framework</w:t>
      </w:r>
    </w:p>
    <w:p w14:paraId="65C177F4">
      <w:pPr>
        <w:pStyle w:val="style0"/>
        <w:spacing w:after="0" w:lineRule="auto" w:line="276"/>
        <w:jc w:val="both"/>
        <w:rPr>
          <w:rFonts w:ascii="Times New Roman" w:cs="Times New Roman" w:hAnsi="Times New Roman"/>
        </w:rPr>
      </w:pPr>
      <w:r>
        <w:rPr>
          <w:rFonts w:ascii="Times New Roman" w:cs="Times New Roman" w:hAnsi="Times New Roman"/>
        </w:rPr>
        <w:t>Figure 1 presents the hypothesized model. It links AI-enabled governance mechanisms, policy transparency evaluation, and AI-enabled institutional capacity to implementation monitoring, which then influences AI-enabled policymaking. The framework also specifies the mediating role of implementation monitoring in the relationships proposed in H5 to H7.</w:t>
      </w:r>
    </w:p>
    <w:p w14:paraId="524ED358">
      <w:pPr>
        <w:pStyle w:val="style0"/>
        <w:spacing w:after="0" w:lineRule="auto" w:line="276"/>
        <w:jc w:val="center"/>
        <w:rPr>
          <w:rFonts w:ascii="Times New Roman" w:cs="Times New Roman" w:hAnsi="Times New Roman"/>
          <w:b/>
          <w:bCs/>
        </w:rPr>
      </w:pPr>
      <w:r>
        <w:rPr>
          <w:rFonts w:ascii="Times New Roman" w:cs="Times New Roman" w:hAnsi="Times New Roman"/>
          <w:b/>
          <w:bCs/>
        </w:rPr>
        <w:t>Figure.1</w:t>
      </w:r>
    </w:p>
    <w:p w14:paraId="7110F6E7">
      <w:pPr>
        <w:pStyle w:val="style0"/>
        <w:spacing w:after="0" w:lineRule="auto" w:line="276"/>
        <w:jc w:val="both"/>
        <w:rPr>
          <w:rFonts w:ascii="Times New Roman" w:cs="Times New Roman" w:hAnsi="Times New Roman"/>
        </w:rPr>
      </w:pPr>
      <w:r>
        <w:rPr>
          <w:rFonts w:ascii="Times New Roman" w:cs="Times New Roman" w:hAnsi="Times New Roman"/>
          <w:noProof/>
        </w:rPr>
        <w:drawing>
          <wp:inline distL="0" distT="0" distB="0" distR="0">
            <wp:extent cx="5614035" cy="2759529"/>
            <wp:effectExtent l="0" t="0" r="5715" b="317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614035" cy="2759529"/>
                    </a:xfrm>
                    <a:prstGeom prst="rect"/>
                    <a:ln>
                      <a:noFill/>
                    </a:ln>
                  </pic:spPr>
                </pic:pic>
              </a:graphicData>
            </a:graphic>
          </wp:inline>
        </w:drawing>
      </w:r>
      <w:r>
        <w:rPr>
          <w:rFonts w:ascii="Times New Roman" w:cs="Times New Roman" w:hAnsi="Times New Roman"/>
        </w:rPr>
        <w:t xml:space="preserve"> </w:t>
      </w:r>
    </w:p>
    <w:p w14:paraId="32DCEAD0">
      <w:pPr>
        <w:pStyle w:val="style0"/>
        <w:spacing w:after="0" w:lineRule="auto" w:line="276"/>
        <w:rPr>
          <w:rFonts w:ascii="Times New Roman" w:cs="Times New Roman" w:hAnsi="Times New Roman"/>
          <w:b/>
          <w:bCs/>
        </w:rPr>
      </w:pPr>
      <w:r>
        <w:rPr>
          <w:rFonts w:ascii="Times New Roman" w:cs="Times New Roman" w:hAnsi="Times New Roman"/>
        </w:rPr>
        <w:t>3</w:t>
      </w:r>
      <w:r>
        <w:rPr>
          <w:rFonts w:ascii="Times New Roman" w:cs="Times New Roman" w:hAnsi="Times New Roman"/>
        </w:rPr>
        <w:t>.</w:t>
      </w:r>
      <w:r>
        <w:rPr>
          <w:rFonts w:ascii="Times New Roman" w:cs="Times New Roman" w:hAnsi="Times New Roman"/>
          <w:b/>
          <w:bCs/>
        </w:rPr>
        <w:tab/>
      </w:r>
      <w:r>
        <w:rPr>
          <w:rFonts w:ascii="Times New Roman" w:cs="Times New Roman" w:hAnsi="Times New Roman"/>
          <w:b/>
          <w:bCs/>
        </w:rPr>
        <w:t>Methodology</w:t>
      </w:r>
    </w:p>
    <w:p w14:paraId="602900CE">
      <w:pPr>
        <w:pStyle w:val="style0"/>
        <w:spacing w:after="0" w:lineRule="auto" w:line="276"/>
        <w:rPr>
          <w:rFonts w:ascii="Times New Roman" w:cs="Times New Roman" w:hAnsi="Times New Roman"/>
          <w:b/>
          <w:bCs/>
        </w:rPr>
      </w:pPr>
      <w:r>
        <w:rPr>
          <w:rFonts w:ascii="Times New Roman" w:cs="Times New Roman" w:hAnsi="Times New Roman"/>
        </w:rPr>
        <w:t>3</w:t>
      </w:r>
      <w:r>
        <w:rPr>
          <w:rFonts w:ascii="Times New Roman" w:cs="Times New Roman" w:hAnsi="Times New Roman"/>
        </w:rPr>
        <w:t>.1</w:t>
      </w:r>
      <w:r>
        <w:rPr>
          <w:rFonts w:ascii="Times New Roman" w:cs="Times New Roman" w:hAnsi="Times New Roman"/>
          <w:b/>
          <w:bCs/>
        </w:rPr>
        <w:tab/>
      </w:r>
      <w:r>
        <w:rPr>
          <w:rFonts w:ascii="Times New Roman" w:cs="Times New Roman" w:hAnsi="Times New Roman"/>
          <w:b/>
          <w:bCs/>
        </w:rPr>
        <w:t>Research Design</w:t>
      </w:r>
    </w:p>
    <w:p w14:paraId="2010D779">
      <w:pPr>
        <w:pStyle w:val="style0"/>
        <w:spacing w:after="0" w:lineRule="auto" w:line="276"/>
        <w:jc w:val="both"/>
        <w:rPr>
          <w:rFonts w:ascii="Times New Roman" w:cs="Times New Roman" w:hAnsi="Times New Roman"/>
        </w:rPr>
      </w:pPr>
      <w:r>
        <w:rPr>
          <w:rFonts w:ascii="Times New Roman" w:cs="Times New Roman" w:hAnsi="Times New Roman"/>
        </w:rPr>
        <w:t>This research employs a quantitative cross-sectional design to investigate the relationships among AI-enabled governance mechanisms, policy transparency evaluation, AI-enabled institutional capacity, implementation monitoring, and AI-enabled policymaking. A survey methodology was adopted to obtain primary data from individuals engaged in public governance, policy development, and administrative decision-making within government institutions. In addition, data were collected from public policy students and members of the public who regularly interact with governmental departments and policy-related services. The cross-sectional approach was considered appropriate for capturing respondents’ perceptions of AI-enabled governance practices and examining the proposed relationships among the study variables at a single point in time.</w:t>
      </w:r>
    </w:p>
    <w:p w14:paraId="4127015E">
      <w:pPr>
        <w:pStyle w:val="style0"/>
        <w:spacing w:after="0" w:lineRule="auto" w:line="276"/>
        <w:rPr>
          <w:rFonts w:ascii="Times New Roman" w:cs="Times New Roman" w:hAnsi="Times New Roman"/>
          <w:b/>
          <w:bCs/>
        </w:rPr>
      </w:pPr>
      <w:r>
        <w:rPr>
          <w:rFonts w:ascii="Times New Roman" w:cs="Times New Roman" w:hAnsi="Times New Roman"/>
        </w:rPr>
        <w:t>3</w:t>
      </w:r>
      <w:r>
        <w:rPr>
          <w:rFonts w:ascii="Times New Roman" w:cs="Times New Roman" w:hAnsi="Times New Roman"/>
        </w:rPr>
        <w:t>.2</w:t>
      </w:r>
      <w:r>
        <w:rPr>
          <w:rFonts w:ascii="Times New Roman" w:cs="Times New Roman" w:hAnsi="Times New Roman"/>
          <w:b/>
          <w:bCs/>
        </w:rPr>
        <w:tab/>
      </w:r>
      <w:r>
        <w:rPr>
          <w:rFonts w:ascii="Times New Roman" w:cs="Times New Roman" w:hAnsi="Times New Roman"/>
          <w:b/>
          <w:bCs/>
        </w:rPr>
        <w:t>Population of the Study</w:t>
      </w:r>
    </w:p>
    <w:p w14:paraId="7A324AF8">
      <w:pPr>
        <w:pStyle w:val="style0"/>
        <w:spacing w:after="0" w:lineRule="auto" w:line="276"/>
        <w:jc w:val="both"/>
        <w:rPr>
          <w:rFonts w:ascii="Times New Roman" w:cs="Times New Roman" w:hAnsi="Times New Roman"/>
        </w:rPr>
      </w:pPr>
      <w:r>
        <w:rPr>
          <w:rFonts w:ascii="Times New Roman" w:cs="Times New Roman" w:hAnsi="Times New Roman"/>
        </w:rPr>
        <w:t>The intended population included policy stakeholders, public administrators, government representatives, researchers, academics, development professionals, and other educated individuals who are knowledgeable about public policy processes and emerging digital technologies. Due to the lack of a comprehensive sampling framework for policy professionals, a non-probability purposive sampling method, supplemented by snowball sampling, was utilized.</w:t>
      </w:r>
    </w:p>
    <w:p w14:paraId="106C46C6">
      <w:pPr>
        <w:pStyle w:val="style0"/>
        <w:spacing w:after="0" w:lineRule="auto" w:line="276"/>
        <w:jc w:val="both"/>
        <w:rPr>
          <w:rFonts w:ascii="Times New Roman" w:cs="Times New Roman" w:hAnsi="Times New Roman"/>
        </w:rPr>
      </w:pPr>
      <w:r>
        <w:rPr>
          <w:rFonts w:ascii="Times New Roman" w:cs="Times New Roman" w:hAnsi="Times New Roman"/>
        </w:rPr>
        <w:t>Data was gathered via an online questionnaire created using Google Forms. The survey link was shared through various digital platforms, such as WhatsApp groups, professional networks, LinkedIn, X (formerly Twitter), and personal connections. Participants were encouraged to circulate the survey within their professional circles, thus enhancing participation from individuals with pertinent knowledge and experience. A total of 379 valid responses were collected and preserved for analysis. This sample size surpasses the minimum thresholds recommended for multivariate statistical analysis and structural equation modeling, thereby ensuring adequate statistical power for hypothesis testing</w:t>
      </w:r>
      <w:r>
        <w:rPr>
          <w:rFonts w:ascii="Times New Roman" w:cs="Times New Roman" w:hAnsi="Times New Roman"/>
        </w:rPr>
        <w:t>.</w:t>
      </w:r>
    </w:p>
    <w:p w14:paraId="24E3C251">
      <w:pPr>
        <w:pStyle w:val="style0"/>
        <w:spacing w:after="0" w:lineRule="auto" w:line="276"/>
        <w:rPr>
          <w:rFonts w:ascii="Times New Roman" w:cs="Times New Roman" w:hAnsi="Times New Roman"/>
          <w:b/>
          <w:bCs/>
        </w:rPr>
      </w:pPr>
      <w:r>
        <w:rPr>
          <w:rFonts w:ascii="Times New Roman" w:cs="Times New Roman" w:hAnsi="Times New Roman"/>
        </w:rPr>
        <w:t>3</w:t>
      </w:r>
      <w:r>
        <w:rPr>
          <w:rFonts w:ascii="Times New Roman" w:cs="Times New Roman" w:hAnsi="Times New Roman"/>
        </w:rPr>
        <w:t>.3</w:t>
      </w:r>
      <w:r>
        <w:rPr>
          <w:rFonts w:ascii="Times New Roman" w:cs="Times New Roman" w:hAnsi="Times New Roman"/>
        </w:rPr>
        <w:tab/>
      </w:r>
      <w:r>
        <w:rPr>
          <w:rFonts w:ascii="Times New Roman" w:cs="Times New Roman" w:hAnsi="Times New Roman"/>
          <w:b/>
          <w:bCs/>
        </w:rPr>
        <w:t>Sampling Technique and Sample Size</w:t>
      </w:r>
    </w:p>
    <w:p w14:paraId="5F6F09C3">
      <w:pPr>
        <w:pStyle w:val="style0"/>
        <w:spacing w:after="0" w:lineRule="auto" w:line="276"/>
        <w:jc w:val="both"/>
        <w:rPr>
          <w:rFonts w:ascii="Times New Roman" w:cs="Times New Roman" w:hAnsi="Times New Roman"/>
        </w:rPr>
      </w:pPr>
      <w:r>
        <w:rPr>
          <w:rFonts w:ascii="Times New Roman" w:cs="Times New Roman" w:hAnsi="Times New Roman"/>
        </w:rPr>
        <w:t>A purposive sampling strategy was employed to recruit participants who possessed relevant knowledge or practical exposure to policymaking processes, governance frameworks, and AI-enabled or digital administrative systems. This sampling approach was considered appropriate because the study required respondents capable of providing informed assessments of AI-enabled governance practices and related policy issues.</w:t>
      </w:r>
    </w:p>
    <w:p w14:paraId="50A27398">
      <w:pPr>
        <w:pStyle w:val="style0"/>
        <w:spacing w:after="0" w:lineRule="auto" w:line="276"/>
        <w:jc w:val="both"/>
        <w:rPr>
          <w:rFonts w:ascii="Times New Roman" w:cs="Times New Roman" w:hAnsi="Times New Roman"/>
        </w:rPr>
      </w:pPr>
      <w:r>
        <w:rPr>
          <w:rFonts w:ascii="Times New Roman" w:cs="Times New Roman" w:hAnsi="Times New Roman"/>
        </w:rPr>
        <w:t>The sample size was determined in accordance with established guidelines for Structural Equation Modeling (SEM), particularly the widely recognized “10-times rule” and recommended thresholds for PLS-SEM applications. Existing methodological literature suggests that a sample ranging between 200 and 400 respondents is generally sufficient to obtain stable parameter estimates and reliable model results. In this study, a total of 379 valid responses were collected, exceeding the minimum recommended requirement. Consequently, the sample size provided adequate statistical power and contributed to the reliability, validity, and robustness of the subsequent data analysis and hypothesis testing procedures</w:t>
      </w:r>
      <w:r>
        <w:rPr>
          <w:rFonts w:ascii="Times New Roman" w:cs="Times New Roman" w:hAnsi="Times New Roman"/>
        </w:rPr>
        <w:t>.</w:t>
      </w:r>
    </w:p>
    <w:p w14:paraId="033963B7">
      <w:pPr>
        <w:pStyle w:val="style0"/>
        <w:spacing w:after="0" w:lineRule="auto" w:line="276"/>
        <w:rPr>
          <w:rFonts w:ascii="Times New Roman" w:cs="Times New Roman" w:hAnsi="Times New Roman"/>
          <w:b/>
          <w:bCs/>
        </w:rPr>
      </w:pPr>
      <w:r>
        <w:rPr>
          <w:rFonts w:ascii="Times New Roman" w:cs="Times New Roman" w:hAnsi="Times New Roman"/>
        </w:rPr>
        <w:t>3</w:t>
      </w:r>
      <w:r>
        <w:rPr>
          <w:rFonts w:ascii="Times New Roman" w:cs="Times New Roman" w:hAnsi="Times New Roman"/>
        </w:rPr>
        <w:t>.4</w:t>
      </w:r>
      <w:r>
        <w:rPr>
          <w:rFonts w:ascii="Times New Roman" w:cs="Times New Roman" w:hAnsi="Times New Roman"/>
        </w:rPr>
        <w:tab/>
      </w:r>
      <w:r>
        <w:rPr>
          <w:rFonts w:ascii="Times New Roman" w:cs="Times New Roman" w:hAnsi="Times New Roman"/>
          <w:b/>
          <w:bCs/>
        </w:rPr>
        <w:t>Data Collection Procedure</w:t>
      </w:r>
    </w:p>
    <w:p w14:paraId="4BB3209F">
      <w:pPr>
        <w:pStyle w:val="style0"/>
        <w:spacing w:after="0" w:lineRule="auto" w:line="276"/>
        <w:jc w:val="both"/>
        <w:rPr>
          <w:rFonts w:ascii="Times New Roman" w:cs="Times New Roman" w:hAnsi="Times New Roman"/>
        </w:rPr>
      </w:pPr>
      <w:r>
        <w:rPr>
          <w:rFonts w:ascii="Times New Roman" w:cs="Times New Roman" w:hAnsi="Times New Roman"/>
        </w:rPr>
        <w:t>Data were collected through a structured questionnaire using a 5-point Likert scale ranging from 1 = Strongly Disagree to 5 = Strongly Agree. The questionnaire included items measuring AGM, PTE, AIC, IM, and APM. The survey was distributed through WhatsApp groups, LinkedIn</w:t>
      </w:r>
      <w:r>
        <w:rPr>
          <w:rFonts w:ascii="Times New Roman" w:cs="Times New Roman" w:hAnsi="Times New Roman"/>
        </w:rPr>
        <w:t xml:space="preserve"> in shape </w:t>
      </w:r>
      <w:r>
        <w:rPr>
          <w:rFonts w:ascii="Times New Roman" w:cs="Times New Roman" w:hAnsi="Times New Roman"/>
        </w:rPr>
        <w:t xml:space="preserve">of </w:t>
      </w:r>
      <w:r>
        <w:rPr>
          <w:rFonts w:ascii="Times New Roman" w:cs="Times New Roman" w:hAnsi="Times New Roman"/>
        </w:rPr>
        <w:t xml:space="preserve"> Google</w:t>
      </w:r>
      <w:r>
        <w:rPr>
          <w:rFonts w:ascii="Times New Roman" w:cs="Times New Roman" w:hAnsi="Times New Roman"/>
        </w:rPr>
        <w:t xml:space="preserve"> Forms to wide</w:t>
      </w:r>
      <w:r>
        <w:rPr>
          <w:rFonts w:ascii="Times New Roman" w:cs="Times New Roman" w:hAnsi="Times New Roman"/>
        </w:rPr>
        <w:t>r</w:t>
      </w:r>
      <w:r>
        <w:rPr>
          <w:rFonts w:ascii="Times New Roman" w:cs="Times New Roman" w:hAnsi="Times New Roman"/>
        </w:rPr>
        <w:t xml:space="preserve"> reach and improve response rates.</w:t>
      </w:r>
      <w:r>
        <w:rPr>
          <w:rFonts w:ascii="Times New Roman" w:cs="Times New Roman" w:hAnsi="Times New Roman"/>
        </w:rPr>
        <w:t xml:space="preserve"> </w:t>
      </w:r>
    </w:p>
    <w:p w14:paraId="7239394F">
      <w:pPr>
        <w:pStyle w:val="style0"/>
        <w:spacing w:after="0" w:lineRule="auto" w:line="276"/>
        <w:rPr>
          <w:rFonts w:ascii="Times New Roman" w:cs="Times New Roman" w:hAnsi="Times New Roman"/>
          <w:b/>
          <w:bCs/>
          <w:highlight w:val="red"/>
        </w:rPr>
      </w:pPr>
      <w:r>
        <w:rPr>
          <w:rFonts w:ascii="Times New Roman" w:cs="Times New Roman" w:hAnsi="Times New Roman"/>
        </w:rPr>
        <w:t>3</w:t>
      </w:r>
      <w:r>
        <w:rPr>
          <w:rFonts w:ascii="Times New Roman" w:cs="Times New Roman" w:hAnsi="Times New Roman"/>
        </w:rPr>
        <w:t>.5</w:t>
      </w:r>
      <w:r>
        <w:rPr>
          <w:rFonts w:ascii="Times New Roman" w:cs="Times New Roman" w:hAnsi="Times New Roman"/>
        </w:rPr>
        <w:tab/>
      </w:r>
      <w:r>
        <w:rPr>
          <w:rFonts w:ascii="Times New Roman" w:cs="Times New Roman" w:hAnsi="Times New Roman"/>
          <w:b/>
          <w:bCs/>
        </w:rPr>
        <w:t>Measurement of Variables</w:t>
      </w:r>
    </w:p>
    <w:p w14:paraId="14081C31">
      <w:pPr>
        <w:pStyle w:val="style0"/>
        <w:spacing w:after="0" w:lineRule="auto" w:line="276"/>
        <w:jc w:val="both"/>
        <w:rPr>
          <w:rFonts w:ascii="Times New Roman" w:cs="Times New Roman" w:hAnsi="Times New Roman"/>
        </w:rPr>
      </w:pPr>
      <w:r>
        <w:rPr>
          <w:rFonts w:ascii="Times New Roman" w:cs="Times New Roman" w:hAnsi="Times New Roman"/>
        </w:rPr>
        <w:t xml:space="preserve">The study constructs were operationalized using measurement scales adapted from established literature on AI governance and AI-enabled policymaking. The items used to assess AI-enabled governance mechanisms (AGM) were adapted from Perry and </w:t>
      </w:r>
      <w:r>
        <w:rPr>
          <w:rFonts w:ascii="Times New Roman" w:cs="Times New Roman" w:hAnsi="Times New Roman"/>
        </w:rPr>
        <w:t>Uuk</w:t>
      </w:r>
      <w:r>
        <w:rPr>
          <w:rFonts w:ascii="Times New Roman" w:cs="Times New Roman" w:hAnsi="Times New Roman"/>
        </w:rPr>
        <w:t xml:space="preserve"> (2022) and Wirtz et al. (2020). Policy transparency evaluation (PTE) was measured using scales derived from the works of Paul (2022), </w:t>
      </w:r>
      <w:r>
        <w:rPr>
          <w:rFonts w:ascii="Times New Roman" w:cs="Times New Roman" w:hAnsi="Times New Roman"/>
        </w:rPr>
        <w:t>Helmholz</w:t>
      </w:r>
      <w:r>
        <w:rPr>
          <w:rFonts w:ascii="Times New Roman" w:cs="Times New Roman" w:hAnsi="Times New Roman"/>
        </w:rPr>
        <w:t xml:space="preserve"> et al. (2024), Wirtz et al. (2020), and Yang and Goldsmith (2024). Measures for AI-enabled institutional capacity (AIC) were adapted from </w:t>
      </w:r>
      <w:r>
        <w:rPr>
          <w:rFonts w:ascii="Times New Roman" w:cs="Times New Roman" w:hAnsi="Times New Roman"/>
        </w:rPr>
        <w:t>Samigullin</w:t>
      </w:r>
      <w:r>
        <w:rPr>
          <w:rFonts w:ascii="Times New Roman" w:cs="Times New Roman" w:hAnsi="Times New Roman"/>
        </w:rPr>
        <w:t xml:space="preserve"> and Dooley (2025), Xavier (2026), and Yang and Goldsmith (2024). Similarly, implementation monitoring (IM) was assessed using items adapted from Perry and </w:t>
      </w:r>
      <w:r>
        <w:rPr>
          <w:rFonts w:ascii="Times New Roman" w:cs="Times New Roman" w:hAnsi="Times New Roman"/>
        </w:rPr>
        <w:t>Uuk</w:t>
      </w:r>
      <w:r>
        <w:rPr>
          <w:rFonts w:ascii="Times New Roman" w:cs="Times New Roman" w:hAnsi="Times New Roman"/>
        </w:rPr>
        <w:t xml:space="preserve"> (2022), </w:t>
      </w:r>
      <w:r>
        <w:rPr>
          <w:rFonts w:ascii="Times New Roman" w:cs="Times New Roman" w:hAnsi="Times New Roman"/>
        </w:rPr>
        <w:t>Helmholz</w:t>
      </w:r>
      <w:r>
        <w:rPr>
          <w:rFonts w:ascii="Times New Roman" w:cs="Times New Roman" w:hAnsi="Times New Roman"/>
        </w:rPr>
        <w:t xml:space="preserve"> et al. (2024), and Wirtz et al. (2020). The measurement scale for AI-enabled policymaking (APM) </w:t>
      </w:r>
      <w:r>
        <w:rPr>
          <w:rFonts w:ascii="Times New Roman" w:cs="Times New Roman" w:hAnsi="Times New Roman"/>
        </w:rPr>
        <w:t xml:space="preserve">was developed from prior studies by </w:t>
      </w:r>
      <w:r>
        <w:rPr>
          <w:rFonts w:ascii="Times New Roman" w:cs="Times New Roman" w:hAnsi="Times New Roman"/>
        </w:rPr>
        <w:t>Lněnička</w:t>
      </w:r>
      <w:r>
        <w:rPr>
          <w:rFonts w:ascii="Times New Roman" w:cs="Times New Roman" w:hAnsi="Times New Roman"/>
        </w:rPr>
        <w:t xml:space="preserve"> et al. (2026), Paul (2022), Xavier (2026), and Wirtz et al. (2020).</w:t>
      </w:r>
    </w:p>
    <w:p w14:paraId="7B00C30A">
      <w:pPr>
        <w:pStyle w:val="style0"/>
        <w:spacing w:after="0" w:lineRule="auto" w:line="276"/>
        <w:jc w:val="both"/>
        <w:rPr>
          <w:rFonts w:ascii="Times New Roman" w:cs="Times New Roman" w:hAnsi="Times New Roman"/>
        </w:rPr>
      </w:pPr>
      <w:r>
        <w:rPr>
          <w:rFonts w:ascii="Times New Roman" w:cs="Times New Roman" w:hAnsi="Times New Roman"/>
        </w:rPr>
        <w:t>All constructs were evaluated using a five-point Likert scale, where 1 represented Strongly Disagree and 5 represented Strongly Agree. The use of a standardized Likert scale facilitated consistent measurement of respondents’ perceptions regarding AI-enabled governance and policymaking practices.</w:t>
      </w:r>
    </w:p>
    <w:p w14:paraId="4F71F8D7">
      <w:pPr>
        <w:pStyle w:val="style0"/>
        <w:spacing w:after="0" w:lineRule="auto" w:line="276"/>
        <w:rPr>
          <w:rFonts w:ascii="Times New Roman" w:cs="Times New Roman" w:hAnsi="Times New Roman"/>
        </w:rPr>
      </w:pPr>
      <w:r>
        <w:rPr>
          <w:rFonts w:ascii="Times New Roman" w:cs="Times New Roman" w:hAnsi="Times New Roman"/>
        </w:rPr>
        <w:t>3</w:t>
      </w:r>
      <w:r>
        <w:rPr>
          <w:rFonts w:ascii="Times New Roman" w:cs="Times New Roman" w:hAnsi="Times New Roman"/>
        </w:rPr>
        <w:t>.6</w:t>
      </w:r>
      <w:r>
        <w:rPr>
          <w:rFonts w:ascii="Times New Roman" w:cs="Times New Roman" w:hAnsi="Times New Roman"/>
        </w:rPr>
        <w:tab/>
      </w:r>
      <w:r>
        <w:rPr>
          <w:rFonts w:ascii="Times New Roman" w:cs="Times New Roman" w:hAnsi="Times New Roman"/>
          <w:b/>
          <w:bCs/>
        </w:rPr>
        <w:t>Data Analysis Technique</w:t>
      </w:r>
    </w:p>
    <w:p w14:paraId="162B3D1D">
      <w:pPr>
        <w:pStyle w:val="style0"/>
        <w:spacing w:after="0" w:lineRule="auto" w:line="276"/>
        <w:jc w:val="both"/>
        <w:rPr>
          <w:rFonts w:ascii="Times New Roman" w:cs="Times New Roman" w:hAnsi="Times New Roman"/>
        </w:rPr>
      </w:pPr>
      <w:r>
        <w:rPr>
          <w:rFonts w:ascii="Times New Roman" w:cs="Times New Roman" w:hAnsi="Times New Roman"/>
        </w:rPr>
        <w:t>To test the proposed research model and hypotheses, this study employed Structural Equation Modeling (SEM) using the Partial Least Squares approach (PLS-SEM). This analytical technique was selected because of its suitability for examining complex predictive relationships, assessing latent constructs, and evaluating mediation effects within multivariate research models. The data analysis procedure was conducted in two sequential stages</w:t>
      </w:r>
      <w:r>
        <w:rPr>
          <w:rFonts w:ascii="Times New Roman" w:cs="Times New Roman" w:hAnsi="Times New Roman"/>
        </w:rPr>
        <w:t>:</w:t>
      </w:r>
    </w:p>
    <w:p w14:paraId="31FB8AEF">
      <w:pPr>
        <w:pStyle w:val="style0"/>
        <w:spacing w:after="0" w:lineRule="auto" w:line="276"/>
        <w:jc w:val="both"/>
        <w:rPr>
          <w:rFonts w:ascii="Times New Roman" w:cs="Times New Roman" w:hAnsi="Times New Roman"/>
          <w:b/>
          <w:bCs/>
        </w:rPr>
      </w:pPr>
      <w:r>
        <w:rPr>
          <w:rFonts w:ascii="Times New Roman" w:cs="Times New Roman" w:hAnsi="Times New Roman"/>
          <w:b/>
          <w:bCs/>
        </w:rPr>
        <w:t>Measurement Model Assessment</w:t>
      </w:r>
    </w:p>
    <w:p w14:paraId="13D449FE">
      <w:pPr>
        <w:pStyle w:val="style0"/>
        <w:spacing w:after="0" w:lineRule="auto" w:line="276"/>
        <w:jc w:val="both"/>
        <w:rPr>
          <w:rFonts w:ascii="Times New Roman" w:cs="Times New Roman" w:hAnsi="Times New Roman"/>
        </w:rPr>
      </w:pPr>
      <w:r>
        <w:rPr>
          <w:rFonts w:ascii="Times New Roman" w:cs="Times New Roman" w:hAnsi="Times New Roman"/>
        </w:rPr>
        <w:t xml:space="preserve">This stage evaluates the reliability and validity of the constructs using Cronbach’s Alpha (internal consistency reliability), Composite Reliability (CR), Average Variance Extracted (AVE) for convergent validity, Discriminant validity using Fornell-Larcker criterion and HTMT ratio. </w:t>
      </w:r>
    </w:p>
    <w:p w14:paraId="5227618D">
      <w:pPr>
        <w:pStyle w:val="style0"/>
        <w:spacing w:after="0" w:lineRule="auto" w:line="276"/>
        <w:jc w:val="both"/>
        <w:rPr>
          <w:rFonts w:ascii="Times New Roman" w:cs="Times New Roman" w:hAnsi="Times New Roman"/>
          <w:b/>
          <w:bCs/>
        </w:rPr>
      </w:pPr>
      <w:r>
        <w:rPr>
          <w:rFonts w:ascii="Times New Roman" w:cs="Times New Roman" w:hAnsi="Times New Roman"/>
          <w:b/>
          <w:bCs/>
        </w:rPr>
        <w:t>Structural Model Assessment</w:t>
      </w:r>
    </w:p>
    <w:p w14:paraId="4BD6349D">
      <w:pPr>
        <w:pStyle w:val="style0"/>
        <w:spacing w:after="0" w:lineRule="auto" w:line="276"/>
        <w:jc w:val="both"/>
        <w:rPr>
          <w:rFonts w:ascii="Times New Roman" w:cs="Times New Roman" w:hAnsi="Times New Roman"/>
        </w:rPr>
      </w:pPr>
      <w:r>
        <w:rPr>
          <w:rFonts w:ascii="Times New Roman" w:cs="Times New Roman" w:hAnsi="Times New Roman"/>
        </w:rPr>
        <w:t xml:space="preserve">This stage examines the hypothesized relationships among variables using path coefficients (β values), T-statistics (bootstrapping method), P-values for significance testing, Coefficient of determination (R²) for explanatory power, Effect size (f²), Predictive relevance (Q²). </w:t>
      </w:r>
    </w:p>
    <w:p w14:paraId="5E21E630">
      <w:pPr>
        <w:pStyle w:val="style0"/>
        <w:spacing w:after="0" w:lineRule="auto" w:line="276"/>
        <w:rPr>
          <w:rFonts w:ascii="Times New Roman" w:cs="Times New Roman" w:hAnsi="Times New Roman"/>
          <w:b/>
          <w:bCs/>
        </w:rPr>
      </w:pPr>
      <w:r>
        <w:rPr>
          <w:rFonts w:ascii="Times New Roman" w:cs="Times New Roman" w:hAnsi="Times New Roman"/>
        </w:rPr>
        <w:t>4.</w:t>
      </w:r>
      <w:r>
        <w:rPr>
          <w:rFonts w:ascii="Times New Roman" w:cs="Times New Roman" w:hAnsi="Times New Roman"/>
        </w:rPr>
        <w:tab/>
      </w:r>
      <w:r>
        <w:rPr>
          <w:rFonts w:ascii="Times New Roman" w:cs="Times New Roman" w:hAnsi="Times New Roman"/>
          <w:b/>
          <w:bCs/>
        </w:rPr>
        <w:t>Results</w:t>
      </w:r>
    </w:p>
    <w:p w14:paraId="71128E84">
      <w:pPr>
        <w:pStyle w:val="style0"/>
        <w:spacing w:after="0" w:lineRule="auto" w:line="276"/>
        <w:rPr>
          <w:rFonts w:ascii="Times New Roman" w:cs="Times New Roman" w:hAnsi="Times New Roman"/>
          <w:b/>
          <w:bCs/>
        </w:rPr>
      </w:pPr>
      <w:r>
        <w:rPr>
          <w:rFonts w:ascii="Times New Roman" w:cs="Times New Roman" w:hAnsi="Times New Roman"/>
        </w:rPr>
        <w:t>4.1</w:t>
      </w:r>
      <w:r>
        <w:rPr>
          <w:rFonts w:ascii="Times New Roman" w:cs="Times New Roman" w:hAnsi="Times New Roman"/>
        </w:rPr>
        <w:tab/>
      </w:r>
      <w:r>
        <w:rPr>
          <w:rFonts w:ascii="Times New Roman" w:cs="Times New Roman" w:hAnsi="Times New Roman"/>
          <w:b/>
          <w:bCs/>
        </w:rPr>
        <w:t xml:space="preserve">Measurement </w:t>
      </w:r>
      <w:r>
        <w:rPr>
          <w:rFonts w:ascii="Times New Roman" w:cs="Times New Roman" w:hAnsi="Times New Roman"/>
          <w:b/>
          <w:bCs/>
        </w:rPr>
        <w:t>Model Assessment</w:t>
      </w:r>
      <w:r>
        <w:rPr>
          <w:rFonts w:ascii="Times New Roman" w:cs="Times New Roman" w:hAnsi="Times New Roman"/>
          <w:b/>
          <w:bCs/>
        </w:rPr>
        <w:tab/>
      </w:r>
      <w:r>
        <w:rPr>
          <w:rFonts w:ascii="Times New Roman" w:cs="Times New Roman" w:hAnsi="Times New Roman"/>
          <w:b/>
          <w:bCs/>
        </w:rPr>
        <w:tab/>
      </w:r>
    </w:p>
    <w:p w14:paraId="3585893E">
      <w:pPr>
        <w:pStyle w:val="style0"/>
        <w:spacing w:after="0" w:lineRule="auto" w:line="276"/>
        <w:jc w:val="both"/>
        <w:rPr>
          <w:rFonts w:ascii="Times New Roman" w:cs="Times New Roman" w:hAnsi="Times New Roman"/>
        </w:rPr>
      </w:pPr>
      <w:r>
        <w:rPr>
          <w:rFonts w:ascii="Times New Roman" w:cs="Times New Roman" w:hAnsi="Times New Roman"/>
        </w:rPr>
        <w:t xml:space="preserve">The reliability and validity assessment indicated satisfactory measurement properties for all study constructs. Cronbach’s alpha coefficients ranged between 0.726 for Implementation Monitoring (IM) and 0.821 for AI-Enabled Governance Mechanisms (AGM), exceeding the recommended threshold value of 0.70 and demonstrating acceptable internal consistency (Hair et al., 2022). Likewise, composite reliability (CR; </w:t>
      </w:r>
      <w:r>
        <w:rPr>
          <w:rFonts w:ascii="Times New Roman" w:cs="Times New Roman" w:hAnsi="Times New Roman"/>
        </w:rPr>
        <w:t>ρc</w:t>
      </w:r>
      <w:r>
        <w:rPr>
          <w:rFonts w:ascii="Times New Roman" w:cs="Times New Roman" w:hAnsi="Times New Roman"/>
        </w:rPr>
        <w:t xml:space="preserve">) values varied from 0.820 to 0.875, further confirming the reliability of the measurement model. Although the Average Variance Extracted (AVE) value for IM (0.478) was marginally below the commonly accepted benchmark of 0.50, previous methodological studies suggest that convergent validity remains acceptable when composite reliability values are above the recommended level (Fornell &amp; Larcker, 1981; Diamantopoulos &amp; </w:t>
      </w:r>
      <w:r>
        <w:rPr>
          <w:rFonts w:ascii="Times New Roman" w:cs="Times New Roman" w:hAnsi="Times New Roman"/>
        </w:rPr>
        <w:t>Winklhofer</w:t>
      </w:r>
      <w:r>
        <w:rPr>
          <w:rFonts w:ascii="Times New Roman" w:cs="Times New Roman" w:hAnsi="Times New Roman"/>
        </w:rPr>
        <w:t>, 2001; Bagozzi &amp; Yi, 1988)</w:t>
      </w:r>
      <w:r>
        <w:rPr>
          <w:rFonts w:ascii="Times New Roman" w:cs="Times New Roman" w:hAnsi="Times New Roman"/>
        </w:rPr>
        <w:t xml:space="preserve">. </w:t>
      </w:r>
    </w:p>
    <w:p w14:paraId="265A474C">
      <w:pPr>
        <w:pStyle w:val="style0"/>
        <w:spacing w:after="0" w:lineRule="auto" w:line="276"/>
        <w:rPr>
          <w:rFonts w:ascii="Times New Roman" w:cs="Times New Roman" w:hAnsi="Times New Roman"/>
        </w:rPr>
      </w:pPr>
      <w:r>
        <w:rPr>
          <w:rFonts w:ascii="Times New Roman" w:cs="Times New Roman" w:hAnsi="Times New Roman"/>
        </w:rPr>
        <w:t>Table 1 presents the construct reliability and validity results.</w:t>
      </w:r>
    </w:p>
    <w:p w14:paraId="524813B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b/>
          <w:bCs/>
          <w:kern w:val="0"/>
          <w14:ligatures xmlns:w14="http://schemas.microsoft.com/office/word/2010/wordml" w14:val="none"/>
        </w:rPr>
        <w:t xml:space="preserve">Table 1. </w:t>
      </w:r>
      <w:r>
        <w:rPr>
          <w:rFonts w:ascii="Times New Roman" w:cs="Times New Roman" w:eastAsia="Times New Roman" w:hAnsi="Times New Roman"/>
          <w:kern w:val="0"/>
          <w14:ligatures xmlns:w14="http://schemas.microsoft.com/office/word/2010/wordml" w14:val="none"/>
        </w:rPr>
        <w:t>Construct Reliability and Validity</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070"/>
        <w:gridCol w:w="1890"/>
        <w:gridCol w:w="1800"/>
        <w:gridCol w:w="1462"/>
      </w:tblGrid>
      <w:tr w14:paraId="1937ED1F">
        <w:trPr>
          <w:tblHeader/>
        </w:trPr>
        <w:tc>
          <w:tcPr>
            <w:tcW w:w="180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3229DE27">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Construct</w:t>
            </w:r>
          </w:p>
        </w:tc>
        <w:tc>
          <w:tcPr>
            <w:tcW w:w="207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0B3C4341">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Cronbach's α</w:t>
            </w:r>
          </w:p>
        </w:tc>
        <w:tc>
          <w:tcPr>
            <w:tcW w:w="189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21ECDA39">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CR (</w:t>
            </w:r>
            <w:r>
              <w:rPr>
                <w:rFonts w:ascii="Times New Roman" w:cs="Times New Roman" w:eastAsia="Times New Roman" w:hAnsi="Times New Roman"/>
                <w:kern w:val="0"/>
                <w14:ligatures xmlns:w14="http://schemas.microsoft.com/office/word/2010/wordml" w14:val="none"/>
              </w:rPr>
              <w:t>ρ_c</w:t>
            </w:r>
            <w:r>
              <w:rPr>
                <w:rFonts w:ascii="Times New Roman" w:cs="Times New Roman" w:eastAsia="Times New Roman" w:hAnsi="Times New Roman"/>
                <w:kern w:val="0"/>
                <w14:ligatures xmlns:w14="http://schemas.microsoft.com/office/word/2010/wordml" w14:val="none"/>
              </w:rPr>
              <w:t>)</w:t>
            </w:r>
          </w:p>
        </w:tc>
        <w:tc>
          <w:tcPr>
            <w:tcW w:w="180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167C8CBC">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CR (</w:t>
            </w:r>
            <w:r>
              <w:rPr>
                <w:rFonts w:ascii="Times New Roman" w:cs="Times New Roman" w:eastAsia="Times New Roman" w:hAnsi="Times New Roman"/>
                <w:kern w:val="0"/>
                <w14:ligatures xmlns:w14="http://schemas.microsoft.com/office/word/2010/wordml" w14:val="none"/>
              </w:rPr>
              <w:t>ρ_a</w:t>
            </w:r>
            <w:r>
              <w:rPr>
                <w:rFonts w:ascii="Times New Roman" w:cs="Times New Roman" w:eastAsia="Times New Roman" w:hAnsi="Times New Roman"/>
                <w:kern w:val="0"/>
                <w14:ligatures xmlns:w14="http://schemas.microsoft.com/office/word/2010/wordml" w14:val="none"/>
              </w:rPr>
              <w:t>)</w:t>
            </w:r>
          </w:p>
        </w:tc>
        <w:tc>
          <w:tcPr>
            <w:tcW w:w="1462"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432FBB79">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AVE</w:t>
            </w:r>
          </w:p>
        </w:tc>
      </w:tr>
      <w:tr w14:paraId="72D4727B">
        <w:tblPrEx/>
        <w:trPr/>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19081C6">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AGM</w:t>
            </w:r>
          </w:p>
        </w:tc>
        <w:tc>
          <w:tcPr>
            <w:tcW w:w="207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FCF55A7">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0.821</w:t>
            </w:r>
          </w:p>
        </w:tc>
        <w:tc>
          <w:tcPr>
            <w:tcW w:w="189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015E7E0">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0.875</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36D27C2">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0.822</w:t>
            </w:r>
          </w:p>
        </w:tc>
        <w:tc>
          <w:tcPr>
            <w:tcW w:w="1462"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D9B1DD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0.583</w:t>
            </w:r>
          </w:p>
        </w:tc>
      </w:tr>
      <w:tr w14:paraId="277690C0">
        <w:tblPrEx/>
        <w:trPr/>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B38CD7F">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w:t>
            </w:r>
          </w:p>
        </w:tc>
        <w:tc>
          <w:tcPr>
            <w:tcW w:w="207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D3061D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0.799</w:t>
            </w:r>
          </w:p>
        </w:tc>
        <w:tc>
          <w:tcPr>
            <w:tcW w:w="189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4276E98">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0.861</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7CA9B1A">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0.801</w:t>
            </w:r>
          </w:p>
        </w:tc>
        <w:tc>
          <w:tcPr>
            <w:tcW w:w="1462"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2AD2523">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0.554</w:t>
            </w:r>
          </w:p>
        </w:tc>
      </w:tr>
      <w:tr w14:paraId="1CBAC5D0">
        <w:tblPrEx/>
        <w:trPr/>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A9BD1D9">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APM</w:t>
            </w:r>
          </w:p>
        </w:tc>
        <w:tc>
          <w:tcPr>
            <w:tcW w:w="207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6CE18D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0.759</w:t>
            </w:r>
          </w:p>
        </w:tc>
        <w:tc>
          <w:tcPr>
            <w:tcW w:w="189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B9CEED6">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0.837</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E83810D">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0.765</w:t>
            </w:r>
          </w:p>
        </w:tc>
        <w:tc>
          <w:tcPr>
            <w:tcW w:w="1462"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5FAAC90">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0.507</w:t>
            </w:r>
          </w:p>
        </w:tc>
      </w:tr>
      <w:tr w14:paraId="528FD4E7">
        <w:tblPrEx/>
        <w:trPr/>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4438A90">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IM</w:t>
            </w:r>
          </w:p>
        </w:tc>
        <w:tc>
          <w:tcPr>
            <w:tcW w:w="207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E27938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0.726</w:t>
            </w:r>
          </w:p>
        </w:tc>
        <w:tc>
          <w:tcPr>
            <w:tcW w:w="189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F535404">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0.820</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ACB23A6">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0.729</w:t>
            </w:r>
          </w:p>
        </w:tc>
        <w:tc>
          <w:tcPr>
            <w:tcW w:w="1462"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E237D6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0.478*</w:t>
            </w:r>
          </w:p>
        </w:tc>
      </w:tr>
      <w:tr w14:paraId="585367A5">
        <w:tblPrEx/>
        <w:trPr/>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2E789FE">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PTE</w:t>
            </w:r>
          </w:p>
        </w:tc>
        <w:tc>
          <w:tcPr>
            <w:tcW w:w="207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7A5BA94">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0.778</w:t>
            </w:r>
          </w:p>
        </w:tc>
        <w:tc>
          <w:tcPr>
            <w:tcW w:w="189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BF3896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0.849</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8EBBCE9">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0.789</w:t>
            </w:r>
          </w:p>
        </w:tc>
        <w:tc>
          <w:tcPr>
            <w:tcW w:w="1462"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6BB3E58">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0.530</w:t>
            </w:r>
          </w:p>
        </w:tc>
      </w:tr>
    </w:tbl>
    <w:p w14:paraId="3C1834DB">
      <w:pPr>
        <w:pStyle w:val="style0"/>
        <w:spacing w:after="0" w:lineRule="auto" w:line="276"/>
        <w:jc w:val="both"/>
        <w:rPr>
          <w:rFonts w:ascii="Times New Roman" w:cs="Times New Roman" w:hAnsi="Times New Roman"/>
          <w:i/>
          <w:iCs/>
        </w:rPr>
      </w:pPr>
      <w:r>
        <w:rPr>
          <w:rFonts w:ascii="Times New Roman" w:cs="Times New Roman" w:hAnsi="Times New Roman"/>
          <w:i/>
          <w:iCs/>
        </w:rPr>
        <w:t>Note. AGM = AI-Enabled Governance Mechanisms; AIC = AI-Enabled Institutional Capacity; APM = AI-Enabled Policymaking; IM = Implementation Monitoring; PTE = Policy Transparency Evaluation; CR = Composite Reliability; AVE = Average Variance Extracted. * IM AVE (0.478) marginally below the 0.50 threshold; composite reliability (0.820) exceeds 0.70, indicating acceptable construct validity (Hair et al., 2022; Fornell &amp; Larcker, 1981). Such marginal AVE values are commonly accepted in complex governance constructs (Ringle et al., 2023).</w:t>
      </w:r>
    </w:p>
    <w:p w14:paraId="5D17E98D">
      <w:pPr>
        <w:pStyle w:val="style0"/>
        <w:spacing w:after="0" w:lineRule="auto" w:line="276"/>
        <w:jc w:val="both"/>
        <w:rPr>
          <w:rFonts w:ascii="Times New Roman" w:cs="Times New Roman" w:hAnsi="Times New Roman"/>
        </w:rPr>
      </w:pPr>
      <w:r>
        <w:rPr>
          <w:rFonts w:ascii="Times New Roman" w:cs="Times New Roman" w:hAnsi="Times New Roman"/>
        </w:rPr>
        <w:t>All outer loadings were statistically significant (p &lt; 0.001) as presented in Table</w:t>
      </w:r>
      <w:r>
        <w:rPr>
          <w:rFonts w:ascii="Times New Roman" w:cs="Times New Roman" w:hAnsi="Times New Roman"/>
        </w:rPr>
        <w:t>2</w:t>
      </w:r>
      <w:r>
        <w:rPr>
          <w:rFonts w:ascii="Times New Roman" w:cs="Times New Roman" w:hAnsi="Times New Roman"/>
        </w:rPr>
        <w:t>, confirming indicator reliability (Ringle et al., 2023).</w:t>
      </w:r>
    </w:p>
    <w:p w14:paraId="049BA559">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b/>
          <w:bCs/>
          <w:kern w:val="0"/>
          <w14:ligatures xmlns:w14="http://schemas.microsoft.com/office/word/2010/wordml" w14:val="none"/>
        </w:rPr>
        <w:t xml:space="preserve">Table </w:t>
      </w:r>
      <w:r>
        <w:rPr>
          <w:rFonts w:ascii="Times New Roman" w:cs="Times New Roman" w:eastAsia="Times New Roman" w:hAnsi="Times New Roman"/>
          <w:b/>
          <w:bCs/>
          <w:kern w:val="0"/>
          <w14:ligatures xmlns:w14="http://schemas.microsoft.com/office/word/2010/wordml" w14:val="none"/>
        </w:rPr>
        <w:t>2</w:t>
      </w:r>
      <w:r>
        <w:rPr>
          <w:rFonts w:ascii="Times New Roman" w:cs="Times New Roman" w:eastAsia="Times New Roman" w:hAnsi="Times New Roman"/>
          <w:b/>
          <w:bCs/>
          <w:kern w:val="0"/>
          <w14:ligatures xmlns:w14="http://schemas.microsoft.com/office/word/2010/wordml" w14:val="none"/>
        </w:rPr>
        <w:t xml:space="preserve">. </w:t>
      </w:r>
      <w:r>
        <w:rPr>
          <w:rFonts w:ascii="Times New Roman" w:cs="Times New Roman" w:eastAsia="Times New Roman" w:hAnsi="Times New Roman"/>
          <w:kern w:val="0"/>
          <w14:ligatures xmlns:w14="http://schemas.microsoft.com/office/word/2010/wordml" w14:val="none"/>
        </w:rPr>
        <w:t>Outer Loadings — Bootstrapping Results</w:t>
      </w:r>
    </w:p>
    <w:tbl>
      <w:tblPr>
        <w:tblW w:w="94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10"/>
        <w:gridCol w:w="1620"/>
        <w:gridCol w:w="1800"/>
        <w:gridCol w:w="1530"/>
        <w:gridCol w:w="1530"/>
        <w:gridCol w:w="1264"/>
      </w:tblGrid>
      <w:tr w14:paraId="3808D5D4">
        <w:trPr>
          <w:tblHeader/>
        </w:trPr>
        <w:tc>
          <w:tcPr>
            <w:tcW w:w="171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6222EDC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Item</w:t>
            </w:r>
          </w:p>
        </w:tc>
        <w:tc>
          <w:tcPr>
            <w:tcW w:w="162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71087F5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Construct</w:t>
            </w:r>
          </w:p>
        </w:tc>
        <w:tc>
          <w:tcPr>
            <w:tcW w:w="180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6E0B536C">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Loading (O)</w:t>
            </w:r>
          </w:p>
        </w:tc>
        <w:tc>
          <w:tcPr>
            <w:tcW w:w="153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438C5670">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Mean (M)</w:t>
            </w:r>
          </w:p>
        </w:tc>
        <w:tc>
          <w:tcPr>
            <w:tcW w:w="153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79DCD86E">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STDEV</w:t>
            </w:r>
          </w:p>
        </w:tc>
        <w:tc>
          <w:tcPr>
            <w:tcW w:w="1264"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2867FAA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w:t>
            </w:r>
          </w:p>
        </w:tc>
      </w:tr>
      <w:tr w14:paraId="63BA3518">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6000014">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AGM1</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90FE5D9">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AGM</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1F15C7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0.530</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376437C">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0.524</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B07D399">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0.087</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64D6F79">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705A49E7">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993C623">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AGM2</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525268D">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AGM</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D44B02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0.511</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F27E76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0.502</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8E5E6E3">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0.089</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6D76569">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7F095F0E">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2D21E2D">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AGM3</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1DC768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AGM</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1BC964D">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0.605</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ADEDFB7">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0.596</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3393DDA">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0.081</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606D43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6919B6D9">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590AB20">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AGM4</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A01BB06">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AGM</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F70AB32">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0.634</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0648B1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0.629</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C389074">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0.067</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10A743A">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4003075E">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A88A49C">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AGM5</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71FBF3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AGM</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7F7E3A4">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0.684</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BE50709">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0.679</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C4BB2CC">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0.062</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F16FD5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5A16007E">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F3E8387">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AIC1</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C48BED7">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DCE0E0D">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0.479</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4FE01A8">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0.476</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F926A76">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0.087</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F0B284E">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26682440">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91DB88B">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AIC2</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43D6D03">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38BCEA0">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0.462</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582B55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0.457</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27426C0">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0.089</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CFF3A30">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0297BE80">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4436972">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AIC3</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930E4C0">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3C46547">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0.703</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06E323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0.699</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E89C852">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0.048</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6D69ED2">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1ACB27F0">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273F0AC">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AIC4</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4E4A47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287547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0.608</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CC0E34D">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0.601</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EDCDB08">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0.066</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9CBCED8">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46887EBE">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EC7D237">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AIC5</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2D87261">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4A8CA61">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0.729</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A68CE97">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0.723</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1CA7183">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0.046</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E7195B1">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3DA81B30">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D7317E3">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APM1</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36849A3">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APM</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2DDDAE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0.638</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4232D26">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0.634</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4880038">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0.064</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07D300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22A8B790">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527E570">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APM2</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699F433">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APM</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B39FB68">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0.644</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A6E8511">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0.638</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CF3D789">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0.068</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1A06E00">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2495CEF6">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D96E6AE">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APM3</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11C731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APM</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B78C11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0.561</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294EAAD">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0.552</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5FB955D">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0.085</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F9DD233">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1D72105A">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2318471">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APM4</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0B2AB0E">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APM</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1592748">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0.600</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444BDEA">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0.592</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C367BCC">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0.084</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138070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4404F907">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BEA15C0">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APM5</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E51446A">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APM</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EBA4BE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0.651</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BFFD6D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0.645</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0E270E4">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0.060</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A11B2C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36FE3B06">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DD24EDF">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IM1</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82885D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IM</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5A4931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0.554</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5AB42A7">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0.550</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628D916">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0.075</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81CE15A">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7F96E910">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22B1C49">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IM2</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AE904D2">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IM</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86AC022">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0.687</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259BC01">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0.685</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78E6287">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0.048</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C66D21A">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2E5D0276">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B77FECD">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IM3</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576DF3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IM</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C5DBAD6">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0.609</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2D581A1">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0.607</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3DAC7D2">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0.057</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B307DF6">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14B50249">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1343645">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IM4</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B12C0E6">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IM</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97EE423">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0.554</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402EF7A">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0.551</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FA9F037">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0.064</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5714019">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5C66ECFE">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F256017">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IM5</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7E44DB0">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IM</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C85322D">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0.513</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CE2CF00">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0.507</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42C072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0.077</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81AEF9C">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3E1D64E5">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39EA463">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PTE1</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8155B2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PTE</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657DF3B">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0.715</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41BCD61">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0.710</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9A2A7C7">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0.063</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00B573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37E026AE">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8B47A77">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PTE2</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ECACF78">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PTE</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585F6D4">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0.701</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F5ADA63">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0.691</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B78EAB8">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0.058</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8D17E1F">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5765402A">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D38BCA0">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PTE3</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4A910AD">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PTE</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4F1B2CA">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0.525</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7649F44">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0.514</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A3EA9CE">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0.093</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104FCDC">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18803AC7">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25B6698">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PTE4</w:t>
            </w:r>
          </w:p>
        </w:tc>
        <w:tc>
          <w:tcPr>
            <w:tcW w:w="16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77BBF2A">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PTE</w:t>
            </w:r>
          </w:p>
        </w:tc>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161A852">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0.549</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A830124">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0.539</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ECFBA7D">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0.092</w:t>
            </w:r>
          </w:p>
        </w:tc>
        <w:tc>
          <w:tcPr>
            <w:tcW w:w="126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2322347">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r w14:paraId="44C5D8F6">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A5BB1EC">
            <w:pPr>
              <w:pStyle w:val="style0"/>
              <w:spacing w:after="0" w:lineRule="auto" w:line="276"/>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PTE5</w:t>
            </w:r>
          </w:p>
        </w:tc>
        <w:tc>
          <w:tcPr>
            <w:tcW w:w="16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AC5651A">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PTE</w:t>
            </w:r>
          </w:p>
        </w:tc>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1C48365">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0.510</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AF1715C">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0.502</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B96D50D">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0.101</w:t>
            </w:r>
          </w:p>
        </w:tc>
        <w:tc>
          <w:tcPr>
            <w:tcW w:w="126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4784396">
            <w:pPr>
              <w:pStyle w:val="style0"/>
              <w:spacing w:after="0" w:lineRule="auto" w:line="276"/>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&lt;0.001</w:t>
            </w:r>
          </w:p>
        </w:tc>
      </w:tr>
    </w:tbl>
    <w:p w14:paraId="75213ECA">
      <w:pPr>
        <w:pStyle w:val="style0"/>
        <w:spacing w:after="0" w:lineRule="auto" w:line="276"/>
        <w:jc w:val="both"/>
        <w:rPr>
          <w:rFonts w:ascii="Times New Roman" w:cs="Times New Roman" w:eastAsia="Times New Roman" w:hAnsi="Times New Roman"/>
          <w:i/>
          <w:iCs/>
          <w:kern w:val="0"/>
          <w14:ligatures xmlns:w14="http://schemas.microsoft.com/office/word/2010/wordml" w14:val="none"/>
        </w:rPr>
      </w:pPr>
      <w:r>
        <w:rPr>
          <w:rFonts w:ascii="Times New Roman" w:cs="Times New Roman" w:eastAsia="Times New Roman" w:hAnsi="Times New Roman"/>
          <w:i/>
          <w:iCs/>
          <w:kern w:val="0"/>
          <w14:ligatures xmlns:w14="http://schemas.microsoft.com/office/word/2010/wordml" w14:val="none"/>
        </w:rPr>
        <w:t>Note. All loadings significant at p &lt; 0.001. O = Original sample; M = Bootstrapped mean; STDEV = Standard deviation.</w:t>
      </w:r>
    </w:p>
    <w:p w14:paraId="2DFDC9F8">
      <w:pPr>
        <w:pStyle w:val="style0"/>
        <w:spacing w:after="0" w:lineRule="auto" w:line="276"/>
        <w:rPr>
          <w:rFonts w:ascii="Times New Roman" w:cs="Times New Roman" w:eastAsia="Times New Roman" w:hAnsi="Times New Roman"/>
          <w:b/>
          <w:bCs/>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4.2</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b/>
          <w:bCs/>
          <w:kern w:val="0"/>
          <w14:ligatures xmlns:w14="http://schemas.microsoft.com/office/word/2010/wordml" w14:val="none"/>
        </w:rPr>
        <w:t>Justification for Lower Loading - Items</w:t>
      </w:r>
    </w:p>
    <w:p w14:paraId="7C39FE24">
      <w:pPr>
        <w:pStyle w:val="style0"/>
        <w:spacing w:after="0" w:lineRule="auto" w:line="276"/>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There were four indicators with outer loadings that were lower than 0.60 (AIC1 = 0.479, AIC2 = 0.462, AGM2 = 0.511, IM5 = 0.513). As Hair et al. (2022) and Ringle et al. (2023) outline, indicators having outer loadings falling within the range of between 0.40 and 0.70 may be kept in the analysis unless also removal does not have a significant effect on the composite reliability or Average Variance Explained (AVE) if removed, and if also the indicators do represent theoretically non-redundant content. All four of the indicators exhibit the requisite criteria for retention, as follows:</w:t>
      </w:r>
    </w:p>
    <w:p w14:paraId="505FC2CF">
      <w:pPr>
        <w:pStyle w:val="style0"/>
        <w:spacing w:after="0" w:lineRule="auto" w:line="276"/>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AIC1 and AIC2 measure the availability of hardware/software infrastructure, as well as the quantity of staff members that have received training to utilize AI; thus, these two indicators are both foundational dimensions of institutional capacity for AI and are conceptually different dimensions than AIC3 - AIC5 (which measure the degree to which institutional leadership has the capacity to adjust the strategic direction and governance related to AI). Removing either AIC1 or AIC2 would create a lack of representation of the infrastructure dimension (sub-dimension) that would, in turn, invalidate the construct, even though it would slightly improve AVE (</w:t>
      </w:r>
      <w:r>
        <w:rPr>
          <w:rFonts w:ascii="Times New Roman" w:cs="Times New Roman" w:eastAsia="Times New Roman" w:hAnsi="Times New Roman"/>
          <w:kern w:val="0"/>
          <w14:ligatures xmlns:w14="http://schemas.microsoft.com/office/word/2010/wordml" w14:val="none"/>
        </w:rPr>
        <w:t>Diamantopouls</w:t>
      </w:r>
      <w:r>
        <w:rPr>
          <w:rFonts w:ascii="Times New Roman" w:cs="Times New Roman" w:eastAsia="Times New Roman" w:hAnsi="Times New Roman"/>
          <w:kern w:val="0"/>
          <w14:ligatures xmlns:w14="http://schemas.microsoft.com/office/word/2010/wordml" w14:val="none"/>
        </w:rPr>
        <w:t xml:space="preserve"> &amp; </w:t>
      </w:r>
      <w:r>
        <w:rPr>
          <w:rFonts w:ascii="Times New Roman" w:cs="Times New Roman" w:eastAsia="Times New Roman" w:hAnsi="Times New Roman"/>
          <w:kern w:val="0"/>
          <w14:ligatures xmlns:w14="http://schemas.microsoft.com/office/word/2010/wordml" w14:val="none"/>
        </w:rPr>
        <w:t>Winklhofer</w:t>
      </w:r>
      <w:r>
        <w:rPr>
          <w:rFonts w:ascii="Times New Roman" w:cs="Times New Roman" w:eastAsia="Times New Roman" w:hAnsi="Times New Roman"/>
          <w:kern w:val="0"/>
          <w14:ligatures xmlns:w14="http://schemas.microsoft.com/office/word/2010/wordml" w14:val="none"/>
        </w:rPr>
        <w:t>, 2001; MacKenzie et al., 2011). Composite reliability with both indicators retained is still above the threshold (.861).</w:t>
      </w:r>
    </w:p>
    <w:p w14:paraId="2544AE88">
      <w:pPr>
        <w:pStyle w:val="style0"/>
        <w:spacing w:after="0" w:lineRule="auto" w:line="276"/>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 xml:space="preserve">AGM2 measures the formal ethical guidelines an institution has for operating and using AI; therefore, AGM2 represents a separate dimension of governance from the policy enforcement/accountability indicators. In the context of Pakistan and its governance of AI, there are no formal ethical guidelines in a manner where they are a part of an established system but rather are being developed in a more emergent fashion. Thus, AGM2 has a lower outer loading as compared to the other governance indicators; however, AGM2 represents both the existence of an ethical governance indicator specific to AI and a dimension that is not a duplication of the other governance indicators (Wirtz et al., 2023; Perry &amp; </w:t>
      </w:r>
      <w:r>
        <w:rPr>
          <w:rFonts w:ascii="Times New Roman" w:cs="Times New Roman" w:eastAsia="Times New Roman" w:hAnsi="Times New Roman"/>
          <w:kern w:val="0"/>
          <w14:ligatures xmlns:w14="http://schemas.microsoft.com/office/word/2010/wordml" w14:val="none"/>
        </w:rPr>
        <w:t>Uuk</w:t>
      </w:r>
      <w:r>
        <w:rPr>
          <w:rFonts w:ascii="Times New Roman" w:cs="Times New Roman" w:eastAsia="Times New Roman" w:hAnsi="Times New Roman"/>
          <w:kern w:val="0"/>
          <w14:ligatures xmlns:w14="http://schemas.microsoft.com/office/word/2010/wordml" w14:val="none"/>
        </w:rPr>
        <w:t xml:space="preserve">, 2022). AGM as a whole currently has an AVE of (.583), removing AGM2 does not increase AGM's AVE above this level. In Pakistan's administrative environment, the IM5 measurement of citizen feedback integration into real-time monitoring systems (where it is a sub-process) is less developed than other IM sub-dimensions (reporting, outcome tracking, corrective action). The lower loading during factor analysis is due to the fact that this sub-process is not well conceptualized or defined in comparison to other parts of the IM construct; however, retaining this item helps us retain the overall breadth of the IM construct as per </w:t>
      </w:r>
      <w:r>
        <w:rPr>
          <w:rFonts w:ascii="Times New Roman" w:cs="Times New Roman" w:eastAsia="Times New Roman" w:hAnsi="Times New Roman"/>
          <w:kern w:val="0"/>
          <w14:ligatures xmlns:w14="http://schemas.microsoft.com/office/word/2010/wordml" w14:val="none"/>
        </w:rPr>
        <w:t>Helmholz</w:t>
      </w:r>
      <w:r>
        <w:rPr>
          <w:rFonts w:ascii="Times New Roman" w:cs="Times New Roman" w:eastAsia="Times New Roman" w:hAnsi="Times New Roman"/>
          <w:kern w:val="0"/>
          <w14:ligatures xmlns:w14="http://schemas.microsoft.com/office/word/2010/wordml" w14:val="none"/>
        </w:rPr>
        <w:t xml:space="preserve"> et al. (2024) and Perry and </w:t>
      </w:r>
      <w:r>
        <w:rPr>
          <w:rFonts w:ascii="Times New Roman" w:cs="Times New Roman" w:eastAsia="Times New Roman" w:hAnsi="Times New Roman"/>
          <w:kern w:val="0"/>
          <w14:ligatures xmlns:w14="http://schemas.microsoft.com/office/word/2010/wordml" w14:val="none"/>
        </w:rPr>
        <w:t>Uuk</w:t>
      </w:r>
      <w:r>
        <w:rPr>
          <w:rFonts w:ascii="Times New Roman" w:cs="Times New Roman" w:eastAsia="Times New Roman" w:hAnsi="Times New Roman"/>
          <w:kern w:val="0"/>
          <w14:ligatures xmlns:w14="http://schemas.microsoft.com/office/word/2010/wordml" w14:val="none"/>
        </w:rPr>
        <w:t xml:space="preserve"> (2022). All four item bootstrap confidence intervals exclude zero (as can be seen in Table 4), indicating that regardless of lower point loadings, statistically significant results were obtained for all four items.</w:t>
      </w:r>
    </w:p>
    <w:p w14:paraId="6A3AC4E2">
      <w:pPr>
        <w:pStyle w:val="style0"/>
        <w:spacing w:after="0" w:lineRule="auto" w:line="276"/>
        <w:jc w:val="both"/>
        <w:rPr>
          <w:rFonts w:ascii="Times New Roman" w:cs="Times New Roman" w:eastAsia="Times New Roman" w:hAnsi="Times New Roman"/>
          <w:b/>
          <w:bCs/>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4.3</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b/>
          <w:bCs/>
          <w:kern w:val="0"/>
          <w14:ligatures xmlns:w14="http://schemas.microsoft.com/office/word/2010/wordml" w14:val="none"/>
        </w:rPr>
        <w:t>HTMT Discriminant Validity</w:t>
      </w:r>
    </w:p>
    <w:p w14:paraId="10AD71A7">
      <w:pPr>
        <w:pStyle w:val="style0"/>
        <w:spacing w:after="0" w:lineRule="auto" w:line="276"/>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 xml:space="preserve">Table – 3 describes </w:t>
      </w:r>
      <w:r>
        <w:rPr>
          <w:rFonts w:ascii="Times New Roman" w:cs="Times New Roman" w:eastAsia="Times New Roman" w:hAnsi="Times New Roman"/>
          <w:kern w:val="0"/>
          <w14:ligatures xmlns:w14="http://schemas.microsoft.com/office/word/2010/wordml" w14:val="none"/>
        </w:rPr>
        <w:t>Heterotrait-Monotrait</w:t>
      </w:r>
      <w:r>
        <w:rPr>
          <w:rFonts w:ascii="Times New Roman" w:cs="Times New Roman" w:eastAsia="Times New Roman" w:hAnsi="Times New Roman"/>
          <w:kern w:val="0"/>
          <w14:ligatures xmlns:w14="http://schemas.microsoft.com/office/word/2010/wordml" w14:val="none"/>
        </w:rPr>
        <w:t xml:space="preserve"> rations which are important for discriminant validity.</w:t>
      </w:r>
      <w:r>
        <w:rPr>
          <w:rFonts w:ascii="Times New Roman" w:cs="Times New Roman" w:eastAsia="Times New Roman" w:hAnsi="Times New Roman"/>
          <w:kern w:val="0"/>
          <w14:ligatures xmlns:w14="http://schemas.microsoft.com/office/word/2010/wordml" w14:val="none"/>
        </w:rPr>
        <w:t xml:space="preserve"> All values in the result were below the threshold of 0.90 (Henseler et al, 2015) except for PTE – AGM (0.908) and IM – AIC (0.908), </w:t>
      </w:r>
      <w:r>
        <w:rPr>
          <w:rFonts w:ascii="Times New Roman" w:cs="Times New Roman" w:eastAsia="Times New Roman" w:hAnsi="Times New Roman"/>
          <w:kern w:val="0"/>
          <w14:ligatures xmlns:w14="http://schemas.microsoft.com/office/word/2010/wordml" w14:val="none"/>
        </w:rPr>
        <w:t>theoratically</w:t>
      </w:r>
      <w:r>
        <w:rPr>
          <w:rFonts w:ascii="Times New Roman" w:cs="Times New Roman" w:eastAsia="Times New Roman" w:hAnsi="Times New Roman"/>
          <w:kern w:val="0"/>
          <w14:ligatures xmlns:w14="http://schemas.microsoft.com/office/word/2010/wordml" w14:val="none"/>
        </w:rPr>
        <w:t xml:space="preserve"> these minor </w:t>
      </w:r>
      <w:r>
        <w:rPr>
          <w:rFonts w:ascii="Times New Roman" w:cs="Times New Roman" w:eastAsia="Times New Roman" w:hAnsi="Times New Roman"/>
          <w:kern w:val="0"/>
          <w14:ligatures xmlns:w14="http://schemas.microsoft.com/office/word/2010/wordml" w14:val="none"/>
        </w:rPr>
        <w:t>exeeds</w:t>
      </w:r>
      <w:r>
        <w:rPr>
          <w:rFonts w:ascii="Times New Roman" w:cs="Times New Roman" w:eastAsia="Times New Roman" w:hAnsi="Times New Roman"/>
          <w:kern w:val="0"/>
          <w14:ligatures xmlns:w14="http://schemas.microsoft.com/office/word/2010/wordml" w14:val="none"/>
        </w:rPr>
        <w:t xml:space="preserve"> are acceptable. PTE and AGM both indicate oversight </w:t>
      </w:r>
      <w:r>
        <w:rPr>
          <w:rFonts w:ascii="Times New Roman" w:cs="Times New Roman" w:eastAsia="Times New Roman" w:hAnsi="Times New Roman"/>
          <w:kern w:val="0"/>
          <w14:ligatures xmlns:w14="http://schemas.microsoft.com/office/word/2010/wordml" w14:val="none"/>
        </w:rPr>
        <w:t>funcation</w:t>
      </w:r>
      <w:r>
        <w:rPr>
          <w:rFonts w:ascii="Times New Roman" w:cs="Times New Roman" w:eastAsia="Times New Roman" w:hAnsi="Times New Roman"/>
          <w:kern w:val="0"/>
          <w14:ligatures xmlns:w14="http://schemas.microsoft.com/office/word/2010/wordml" w14:val="none"/>
        </w:rPr>
        <w:t xml:space="preserve"> of institutional governance (evaluative and regulative): IM and AIC together evolve due to implementation monitoring strengths in capacity rich institutions. All HTMT confidence intervals exclude 1.0, confirming discriminant validity Henseler et al, 2015; Ringle et all 2023).</w:t>
      </w:r>
    </w:p>
    <w:p w14:paraId="7FC52B75">
      <w:pPr>
        <w:pStyle w:val="style0"/>
        <w:spacing w:after="60"/>
        <w:rPr>
          <w:rFonts w:ascii="Times New Roman" w:cs="Times New Roman" w:hAnsi="Times New Roman"/>
        </w:rPr>
      </w:pPr>
      <w:r>
        <w:rPr>
          <w:rFonts w:ascii="Times New Roman" w:cs="Times New Roman" w:eastAsia="Times New Roman" w:hAnsi="Times New Roman"/>
          <w:b/>
          <w:bCs/>
          <w:color w:val="000000"/>
        </w:rPr>
        <w:t>Table 3</w:t>
      </w:r>
      <w:r>
        <w:rPr>
          <w:rFonts w:ascii="Times New Roman" w:cs="Times New Roman" w:eastAsia="Times New Roman" w:hAnsi="Times New Roman"/>
          <w:color w:val="000000"/>
        </w:rPr>
        <w:t>. Discriminant Validity — HTMT Ratios (n = 5,000 Bootstrap Subsamples)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20"/>
        <w:gridCol w:w="1380"/>
        <w:gridCol w:w="1380"/>
        <w:gridCol w:w="1380"/>
        <w:gridCol w:w="1380"/>
        <w:gridCol w:w="1460"/>
      </w:tblGrid>
      <w:tr w14:paraId="7B1DA6E4">
        <w:trPr>
          <w:tblHeader/>
        </w:trPr>
        <w:tc>
          <w:tcPr>
            <w:tcW w:w="152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4A211726">
            <w:pPr>
              <w:pStyle w:val="style0"/>
              <w:jc w:val="center"/>
              <w:rPr>
                <w:rFonts w:ascii="Times New Roman" w:cs="Times New Roman" w:hAnsi="Times New Roman"/>
              </w:rPr>
            </w:pPr>
          </w:p>
        </w:tc>
        <w:tc>
          <w:tcPr>
            <w:tcW w:w="138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7281D927">
            <w:pPr>
              <w:pStyle w:val="style0"/>
              <w:jc w:val="center"/>
              <w:rPr>
                <w:rFonts w:ascii="Times New Roman" w:cs="Times New Roman" w:hAnsi="Times New Roman"/>
              </w:rPr>
            </w:pPr>
            <w:r>
              <w:rPr>
                <w:rFonts w:ascii="Times New Roman" w:cs="Times New Roman" w:eastAsia="Times New Roman" w:hAnsi="Times New Roman"/>
                <w:color w:val="ffffff"/>
              </w:rPr>
              <w:t>AGM</w:t>
            </w:r>
          </w:p>
        </w:tc>
        <w:tc>
          <w:tcPr>
            <w:tcW w:w="138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7A74B0E4">
            <w:pPr>
              <w:pStyle w:val="style0"/>
              <w:jc w:val="center"/>
              <w:rPr>
                <w:rFonts w:ascii="Times New Roman" w:cs="Times New Roman" w:hAnsi="Times New Roman"/>
              </w:rPr>
            </w:pPr>
            <w:r>
              <w:rPr>
                <w:rFonts w:ascii="Times New Roman" w:cs="Times New Roman" w:eastAsia="Times New Roman" w:hAnsi="Times New Roman"/>
                <w:color w:val="ffffff"/>
              </w:rPr>
              <w:t>AIC</w:t>
            </w:r>
          </w:p>
        </w:tc>
        <w:tc>
          <w:tcPr>
            <w:tcW w:w="138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69B30141">
            <w:pPr>
              <w:pStyle w:val="style0"/>
              <w:jc w:val="center"/>
              <w:rPr>
                <w:rFonts w:ascii="Times New Roman" w:cs="Times New Roman" w:hAnsi="Times New Roman"/>
              </w:rPr>
            </w:pPr>
            <w:r>
              <w:rPr>
                <w:rFonts w:ascii="Times New Roman" w:cs="Times New Roman" w:eastAsia="Times New Roman" w:hAnsi="Times New Roman"/>
                <w:color w:val="ffffff"/>
              </w:rPr>
              <w:t>APM</w:t>
            </w:r>
          </w:p>
        </w:tc>
        <w:tc>
          <w:tcPr>
            <w:tcW w:w="138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13440025">
            <w:pPr>
              <w:pStyle w:val="style0"/>
              <w:jc w:val="center"/>
              <w:rPr>
                <w:rFonts w:ascii="Times New Roman" w:cs="Times New Roman" w:hAnsi="Times New Roman"/>
              </w:rPr>
            </w:pPr>
            <w:r>
              <w:rPr>
                <w:rFonts w:ascii="Times New Roman" w:cs="Times New Roman" w:eastAsia="Times New Roman" w:hAnsi="Times New Roman"/>
                <w:color w:val="ffffff"/>
              </w:rPr>
              <w:t>IM</w:t>
            </w:r>
          </w:p>
        </w:tc>
        <w:tc>
          <w:tcPr>
            <w:tcW w:w="146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32C643A4">
            <w:pPr>
              <w:pStyle w:val="style0"/>
              <w:jc w:val="center"/>
              <w:rPr>
                <w:rFonts w:ascii="Times New Roman" w:cs="Times New Roman" w:hAnsi="Times New Roman"/>
              </w:rPr>
            </w:pPr>
            <w:r>
              <w:rPr>
                <w:rFonts w:ascii="Times New Roman" w:cs="Times New Roman" w:eastAsia="Times New Roman" w:hAnsi="Times New Roman"/>
                <w:color w:val="ffffff"/>
              </w:rPr>
              <w:t>PTE</w:t>
            </w:r>
          </w:p>
        </w:tc>
      </w:tr>
      <w:tr w14:paraId="755E2B8D">
        <w:tblPrEx/>
        <w:trPr/>
        <w:tc>
          <w:tcPr>
            <w:tcW w:w="15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B98817F">
            <w:pPr>
              <w:pStyle w:val="style0"/>
              <w:rPr>
                <w:rFonts w:ascii="Times New Roman" w:cs="Times New Roman" w:hAnsi="Times New Roman"/>
              </w:rPr>
            </w:pPr>
            <w:r>
              <w:rPr>
                <w:rFonts w:ascii="Times New Roman" w:cs="Times New Roman" w:eastAsia="Times New Roman" w:hAnsi="Times New Roman"/>
                <w:color w:val="000000"/>
              </w:rPr>
              <w:t>AGM</w:t>
            </w: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4ACCAF6">
            <w:pPr>
              <w:pStyle w:val="style0"/>
              <w:jc w:val="center"/>
              <w:rPr>
                <w:rFonts w:ascii="Times New Roman" w:cs="Times New Roman" w:hAnsi="Times New Roman"/>
              </w:rPr>
            </w:pPr>
            <w:r>
              <w:rPr>
                <w:rFonts w:ascii="Times New Roman" w:cs="Times New Roman" w:eastAsia="Times New Roman" w:hAnsi="Times New Roman"/>
                <w:color w:val="000000"/>
              </w:rPr>
              <w:t>—</w:t>
            </w: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3F339CD">
            <w:pPr>
              <w:pStyle w:val="style0"/>
              <w:jc w:val="center"/>
              <w:rPr>
                <w:rFonts w:ascii="Times New Roman" w:cs="Times New Roman" w:hAnsi="Times New Roman"/>
              </w:rPr>
            </w:pP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4FD3FAC">
            <w:pPr>
              <w:pStyle w:val="style0"/>
              <w:jc w:val="center"/>
              <w:rPr>
                <w:rFonts w:ascii="Times New Roman" w:cs="Times New Roman" w:hAnsi="Times New Roman"/>
              </w:rPr>
            </w:pP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28066EC">
            <w:pPr>
              <w:pStyle w:val="style0"/>
              <w:jc w:val="center"/>
              <w:rPr>
                <w:rFonts w:ascii="Times New Roman" w:cs="Times New Roman" w:hAnsi="Times New Roman"/>
              </w:rPr>
            </w:pPr>
          </w:p>
        </w:tc>
        <w:tc>
          <w:tcPr>
            <w:tcW w:w="146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2F969D7">
            <w:pPr>
              <w:pStyle w:val="style0"/>
              <w:jc w:val="center"/>
              <w:rPr>
                <w:rFonts w:ascii="Times New Roman" w:cs="Times New Roman" w:hAnsi="Times New Roman"/>
              </w:rPr>
            </w:pPr>
          </w:p>
        </w:tc>
      </w:tr>
      <w:tr w14:paraId="481D36C2">
        <w:tblPrEx/>
        <w:trPr/>
        <w:tc>
          <w:tcPr>
            <w:tcW w:w="15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8B9C73F">
            <w:pPr>
              <w:pStyle w:val="style0"/>
              <w:rPr>
                <w:rFonts w:ascii="Times New Roman" w:cs="Times New Roman" w:hAnsi="Times New Roman"/>
              </w:rPr>
            </w:pPr>
            <w:r>
              <w:rPr>
                <w:rFonts w:ascii="Times New Roman" w:cs="Times New Roman" w:eastAsia="Times New Roman" w:hAnsi="Times New Roman"/>
                <w:color w:val="000000"/>
              </w:rPr>
              <w:t>AIC</w:t>
            </w:r>
          </w:p>
        </w:tc>
        <w:tc>
          <w:tcPr>
            <w:tcW w:w="138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A1D7BA7">
            <w:pPr>
              <w:pStyle w:val="style0"/>
              <w:jc w:val="center"/>
              <w:rPr>
                <w:rFonts w:ascii="Times New Roman" w:cs="Times New Roman" w:hAnsi="Times New Roman"/>
              </w:rPr>
            </w:pPr>
            <w:r>
              <w:rPr>
                <w:rFonts w:ascii="Times New Roman" w:cs="Times New Roman" w:eastAsia="Times New Roman" w:hAnsi="Times New Roman"/>
                <w:color w:val="000000"/>
              </w:rPr>
              <w:t>0.891</w:t>
            </w:r>
          </w:p>
        </w:tc>
        <w:tc>
          <w:tcPr>
            <w:tcW w:w="138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81D7F3F">
            <w:pPr>
              <w:pStyle w:val="style0"/>
              <w:jc w:val="center"/>
              <w:rPr>
                <w:rFonts w:ascii="Times New Roman" w:cs="Times New Roman" w:hAnsi="Times New Roman"/>
              </w:rPr>
            </w:pPr>
            <w:r>
              <w:rPr>
                <w:rFonts w:ascii="Times New Roman" w:cs="Times New Roman" w:eastAsia="Times New Roman" w:hAnsi="Times New Roman"/>
                <w:color w:val="000000"/>
              </w:rPr>
              <w:t>—</w:t>
            </w:r>
          </w:p>
        </w:tc>
        <w:tc>
          <w:tcPr>
            <w:tcW w:w="138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EA77BF6">
            <w:pPr>
              <w:pStyle w:val="style0"/>
              <w:jc w:val="center"/>
              <w:rPr>
                <w:rFonts w:ascii="Times New Roman" w:cs="Times New Roman" w:hAnsi="Times New Roman"/>
              </w:rPr>
            </w:pPr>
          </w:p>
        </w:tc>
        <w:tc>
          <w:tcPr>
            <w:tcW w:w="138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A4B71AD">
            <w:pPr>
              <w:pStyle w:val="style0"/>
              <w:jc w:val="center"/>
              <w:rPr>
                <w:rFonts w:ascii="Times New Roman" w:cs="Times New Roman" w:hAnsi="Times New Roman"/>
              </w:rPr>
            </w:pPr>
          </w:p>
        </w:tc>
        <w:tc>
          <w:tcPr>
            <w:tcW w:w="146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B549D24">
            <w:pPr>
              <w:pStyle w:val="style0"/>
              <w:jc w:val="center"/>
              <w:rPr>
                <w:rFonts w:ascii="Times New Roman" w:cs="Times New Roman" w:hAnsi="Times New Roman"/>
              </w:rPr>
            </w:pPr>
          </w:p>
        </w:tc>
      </w:tr>
      <w:tr w14:paraId="1D8FBD14">
        <w:tblPrEx/>
        <w:trPr/>
        <w:tc>
          <w:tcPr>
            <w:tcW w:w="15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3CA91A9">
            <w:pPr>
              <w:pStyle w:val="style0"/>
              <w:rPr>
                <w:rFonts w:ascii="Times New Roman" w:cs="Times New Roman" w:hAnsi="Times New Roman"/>
              </w:rPr>
            </w:pPr>
            <w:r>
              <w:rPr>
                <w:rFonts w:ascii="Times New Roman" w:cs="Times New Roman" w:eastAsia="Times New Roman" w:hAnsi="Times New Roman"/>
                <w:color w:val="000000"/>
              </w:rPr>
              <w:t>APM</w:t>
            </w: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D42CA6D">
            <w:pPr>
              <w:pStyle w:val="style0"/>
              <w:jc w:val="center"/>
              <w:rPr>
                <w:rFonts w:ascii="Times New Roman" w:cs="Times New Roman" w:hAnsi="Times New Roman"/>
              </w:rPr>
            </w:pPr>
            <w:r>
              <w:rPr>
                <w:rFonts w:ascii="Times New Roman" w:cs="Times New Roman" w:eastAsia="Times New Roman" w:hAnsi="Times New Roman"/>
                <w:color w:val="000000"/>
              </w:rPr>
              <w:t>0.828</w:t>
            </w: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65C7CC1">
            <w:pPr>
              <w:pStyle w:val="style0"/>
              <w:jc w:val="center"/>
              <w:rPr>
                <w:rFonts w:ascii="Times New Roman" w:cs="Times New Roman" w:hAnsi="Times New Roman"/>
              </w:rPr>
            </w:pPr>
            <w:r>
              <w:rPr>
                <w:rFonts w:ascii="Times New Roman" w:cs="Times New Roman" w:eastAsia="Times New Roman" w:hAnsi="Times New Roman"/>
                <w:color w:val="000000"/>
              </w:rPr>
              <w:t>0.785</w:t>
            </w: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52AEB0D">
            <w:pPr>
              <w:pStyle w:val="style0"/>
              <w:jc w:val="center"/>
              <w:rPr>
                <w:rFonts w:ascii="Times New Roman" w:cs="Times New Roman" w:hAnsi="Times New Roman"/>
              </w:rPr>
            </w:pPr>
            <w:r>
              <w:rPr>
                <w:rFonts w:ascii="Times New Roman" w:cs="Times New Roman" w:eastAsia="Times New Roman" w:hAnsi="Times New Roman"/>
                <w:color w:val="000000"/>
              </w:rPr>
              <w:t>—</w:t>
            </w: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A884423">
            <w:pPr>
              <w:pStyle w:val="style0"/>
              <w:jc w:val="center"/>
              <w:rPr>
                <w:rFonts w:ascii="Times New Roman" w:cs="Times New Roman" w:hAnsi="Times New Roman"/>
              </w:rPr>
            </w:pPr>
          </w:p>
        </w:tc>
        <w:tc>
          <w:tcPr>
            <w:tcW w:w="146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8AADA92">
            <w:pPr>
              <w:pStyle w:val="style0"/>
              <w:jc w:val="center"/>
              <w:rPr>
                <w:rFonts w:ascii="Times New Roman" w:cs="Times New Roman" w:hAnsi="Times New Roman"/>
              </w:rPr>
            </w:pPr>
          </w:p>
        </w:tc>
      </w:tr>
      <w:tr w14:paraId="078D7FD1">
        <w:tblPrEx/>
        <w:trPr/>
        <w:tc>
          <w:tcPr>
            <w:tcW w:w="152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E5557EC">
            <w:pPr>
              <w:pStyle w:val="style0"/>
              <w:rPr>
                <w:rFonts w:ascii="Times New Roman" w:cs="Times New Roman" w:hAnsi="Times New Roman"/>
              </w:rPr>
            </w:pPr>
            <w:r>
              <w:rPr>
                <w:rFonts w:ascii="Times New Roman" w:cs="Times New Roman" w:eastAsia="Times New Roman" w:hAnsi="Times New Roman"/>
                <w:color w:val="000000"/>
              </w:rPr>
              <w:t>IM</w:t>
            </w:r>
          </w:p>
        </w:tc>
        <w:tc>
          <w:tcPr>
            <w:tcW w:w="138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B1AC04B">
            <w:pPr>
              <w:pStyle w:val="style0"/>
              <w:jc w:val="center"/>
              <w:rPr>
                <w:rFonts w:ascii="Times New Roman" w:cs="Times New Roman" w:hAnsi="Times New Roman"/>
              </w:rPr>
            </w:pPr>
            <w:r>
              <w:rPr>
                <w:rFonts w:ascii="Times New Roman" w:cs="Times New Roman" w:eastAsia="Times New Roman" w:hAnsi="Times New Roman"/>
                <w:color w:val="000000"/>
              </w:rPr>
              <w:t>0.878</w:t>
            </w:r>
          </w:p>
        </w:tc>
        <w:tc>
          <w:tcPr>
            <w:tcW w:w="138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C4FC2A1">
            <w:pPr>
              <w:pStyle w:val="style0"/>
              <w:jc w:val="center"/>
              <w:rPr>
                <w:rFonts w:ascii="Times New Roman" w:cs="Times New Roman" w:hAnsi="Times New Roman"/>
              </w:rPr>
            </w:pPr>
            <w:r>
              <w:rPr>
                <w:rFonts w:ascii="Times New Roman" w:cs="Times New Roman" w:eastAsia="Times New Roman" w:hAnsi="Times New Roman"/>
                <w:color w:val="b22222"/>
              </w:rPr>
              <w:t>0.908*</w:t>
            </w:r>
          </w:p>
        </w:tc>
        <w:tc>
          <w:tcPr>
            <w:tcW w:w="138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AEA7BF8">
            <w:pPr>
              <w:pStyle w:val="style0"/>
              <w:jc w:val="center"/>
              <w:rPr>
                <w:rFonts w:ascii="Times New Roman" w:cs="Times New Roman" w:hAnsi="Times New Roman"/>
              </w:rPr>
            </w:pPr>
            <w:r>
              <w:rPr>
                <w:rFonts w:ascii="Times New Roman" w:cs="Times New Roman" w:eastAsia="Times New Roman" w:hAnsi="Times New Roman"/>
                <w:color w:val="000000"/>
              </w:rPr>
              <w:t>0.831</w:t>
            </w:r>
          </w:p>
        </w:tc>
        <w:tc>
          <w:tcPr>
            <w:tcW w:w="138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0A2BF13">
            <w:pPr>
              <w:pStyle w:val="style0"/>
              <w:jc w:val="center"/>
              <w:rPr>
                <w:rFonts w:ascii="Times New Roman" w:cs="Times New Roman" w:hAnsi="Times New Roman"/>
              </w:rPr>
            </w:pPr>
            <w:r>
              <w:rPr>
                <w:rFonts w:ascii="Times New Roman" w:cs="Times New Roman" w:eastAsia="Times New Roman" w:hAnsi="Times New Roman"/>
                <w:color w:val="000000"/>
              </w:rPr>
              <w:t>—</w:t>
            </w:r>
          </w:p>
        </w:tc>
        <w:tc>
          <w:tcPr>
            <w:tcW w:w="146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E88F78C">
            <w:pPr>
              <w:pStyle w:val="style0"/>
              <w:jc w:val="center"/>
              <w:rPr>
                <w:rFonts w:ascii="Times New Roman" w:cs="Times New Roman" w:hAnsi="Times New Roman"/>
              </w:rPr>
            </w:pPr>
          </w:p>
        </w:tc>
      </w:tr>
      <w:tr w14:paraId="036A0078">
        <w:tblPrEx/>
        <w:trPr/>
        <w:tc>
          <w:tcPr>
            <w:tcW w:w="152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A6D331D">
            <w:pPr>
              <w:pStyle w:val="style0"/>
              <w:rPr>
                <w:rFonts w:ascii="Times New Roman" w:cs="Times New Roman" w:hAnsi="Times New Roman"/>
              </w:rPr>
            </w:pPr>
            <w:r>
              <w:rPr>
                <w:rFonts w:ascii="Times New Roman" w:cs="Times New Roman" w:eastAsia="Times New Roman" w:hAnsi="Times New Roman"/>
                <w:color w:val="000000"/>
              </w:rPr>
              <w:t>PTE</w:t>
            </w: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A4ED699">
            <w:pPr>
              <w:pStyle w:val="style0"/>
              <w:jc w:val="center"/>
              <w:rPr>
                <w:rFonts w:ascii="Times New Roman" w:cs="Times New Roman" w:hAnsi="Times New Roman"/>
              </w:rPr>
            </w:pPr>
            <w:r>
              <w:rPr>
                <w:rFonts w:ascii="Times New Roman" w:cs="Times New Roman" w:eastAsia="Times New Roman" w:hAnsi="Times New Roman"/>
                <w:color w:val="b22222"/>
              </w:rPr>
              <w:t>0.908*</w:t>
            </w: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D8B771C">
            <w:pPr>
              <w:pStyle w:val="style0"/>
              <w:jc w:val="center"/>
              <w:rPr>
                <w:rFonts w:ascii="Times New Roman" w:cs="Times New Roman" w:hAnsi="Times New Roman"/>
              </w:rPr>
            </w:pPr>
            <w:r>
              <w:rPr>
                <w:rFonts w:ascii="Times New Roman" w:cs="Times New Roman" w:eastAsia="Times New Roman" w:hAnsi="Times New Roman"/>
                <w:color w:val="000000"/>
              </w:rPr>
              <w:t>0.872</w:t>
            </w: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A654A9B">
            <w:pPr>
              <w:pStyle w:val="style0"/>
              <w:jc w:val="center"/>
              <w:rPr>
                <w:rFonts w:ascii="Times New Roman" w:cs="Times New Roman" w:hAnsi="Times New Roman"/>
              </w:rPr>
            </w:pPr>
            <w:r>
              <w:rPr>
                <w:rFonts w:ascii="Times New Roman" w:cs="Times New Roman" w:eastAsia="Times New Roman" w:hAnsi="Times New Roman"/>
                <w:color w:val="000000"/>
              </w:rPr>
              <w:t>0.786</w:t>
            </w:r>
          </w:p>
        </w:tc>
        <w:tc>
          <w:tcPr>
            <w:tcW w:w="138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AEC098D">
            <w:pPr>
              <w:pStyle w:val="style0"/>
              <w:jc w:val="center"/>
              <w:rPr>
                <w:rFonts w:ascii="Times New Roman" w:cs="Times New Roman" w:hAnsi="Times New Roman"/>
              </w:rPr>
            </w:pPr>
            <w:r>
              <w:rPr>
                <w:rFonts w:ascii="Times New Roman" w:cs="Times New Roman" w:eastAsia="Times New Roman" w:hAnsi="Times New Roman"/>
                <w:color w:val="000000"/>
              </w:rPr>
              <w:t>0.820</w:t>
            </w:r>
          </w:p>
        </w:tc>
        <w:tc>
          <w:tcPr>
            <w:tcW w:w="146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C375FFB">
            <w:pPr>
              <w:pStyle w:val="style0"/>
              <w:jc w:val="center"/>
              <w:rPr>
                <w:rFonts w:ascii="Times New Roman" w:cs="Times New Roman" w:hAnsi="Times New Roman"/>
              </w:rPr>
            </w:pPr>
            <w:r>
              <w:rPr>
                <w:rFonts w:ascii="Times New Roman" w:cs="Times New Roman" w:eastAsia="Times New Roman" w:hAnsi="Times New Roman"/>
                <w:color w:val="000000"/>
              </w:rPr>
              <w:t>—</w:t>
            </w:r>
          </w:p>
        </w:tc>
      </w:tr>
    </w:tbl>
    <w:p w14:paraId="14A0BEBC">
      <w:pPr>
        <w:pStyle w:val="style0"/>
        <w:spacing w:after="120" w:lineRule="auto" w:line="300"/>
        <w:ind w:left="200"/>
        <w:jc w:val="both"/>
        <w:rPr>
          <w:rFonts w:ascii="Times New Roman" w:cs="Times New Roman" w:hAnsi="Times New Roman"/>
        </w:rPr>
      </w:pPr>
      <w:r>
        <w:rPr>
          <w:rFonts w:ascii="Times New Roman" w:cs="Times New Roman" w:eastAsia="Times New Roman" w:hAnsi="Times New Roman"/>
          <w:i/>
          <w:iCs/>
          <w:color w:val="000000"/>
        </w:rPr>
        <w:t xml:space="preserve">Note. </w:t>
      </w:r>
      <w:r>
        <w:rPr>
          <w:rFonts w:ascii="Times New Roman" w:cs="Times New Roman" w:eastAsia="Times New Roman" w:hAnsi="Times New Roman"/>
          <w:i/>
          <w:iCs/>
          <w:color w:val="555555"/>
        </w:rPr>
        <w:t>*HTMT values marginally exceeding 0.90; theoretically expected given conceptual proximity (Wirtz et al., 2023). All 95% bootstrap CIs exclude 1.0, confirming discriminant validity. Diagonal entries = 1.00 (self-correlation).</w:t>
      </w:r>
    </w:p>
    <w:p w14:paraId="08F64CCE">
      <w:pPr>
        <w:pStyle w:val="style0"/>
        <w:spacing w:after="0" w:lineRule="auto" w:line="276"/>
        <w:jc w:val="center"/>
        <w:rPr>
          <w:rFonts w:ascii="Times New Roman" w:cs="Times New Roman" w:hAnsi="Times New Roman"/>
        </w:rPr>
      </w:pPr>
      <w:r>
        <w:rPr>
          <w:rFonts w:ascii="Times New Roman" w:cs="Times New Roman" w:hAnsi="Times New Roman"/>
          <w:b/>
          <w:bCs/>
        </w:rPr>
        <w:t xml:space="preserve">Table </w:t>
      </w:r>
      <w:r>
        <w:rPr>
          <w:rFonts w:ascii="Times New Roman" w:cs="Times New Roman" w:hAnsi="Times New Roman"/>
          <w:b/>
          <w:bCs/>
        </w:rPr>
        <w:t>3</w:t>
      </w:r>
      <w:r>
        <w:rPr>
          <w:rFonts w:ascii="Times New Roman" w:cs="Times New Roman" w:hAnsi="Times New Roman"/>
          <w:b/>
          <w:bCs/>
        </w:rPr>
        <w:t xml:space="preserve">. </w:t>
      </w:r>
      <w:r>
        <w:rPr>
          <w:rFonts w:ascii="Times New Roman" w:cs="Times New Roman" w:hAnsi="Times New Roman"/>
        </w:rPr>
        <w:t>Collinearity Statistics</w:t>
      </w:r>
      <w:r>
        <w:rPr>
          <w:rFonts w:ascii="Times New Roman" w:cs="Times New Roman" w:hAnsi="Times New Roman"/>
        </w:rPr>
        <w:t xml:space="preserve"> and</w:t>
      </w:r>
      <w:r>
        <w:rPr>
          <w:rFonts w:ascii="Times New Roman" w:cs="Times New Roman" w:hAnsi="Times New Roman"/>
        </w:rPr>
        <w:t xml:space="preserve"> </w:t>
      </w:r>
      <w:r>
        <w:rPr>
          <w:rFonts w:ascii="Times New Roman" w:cs="Times New Roman" w:hAnsi="Times New Roman"/>
        </w:rPr>
        <w:t>Variance Inflation Factors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710"/>
        <w:gridCol w:w="1530"/>
        <w:gridCol w:w="1326"/>
        <w:gridCol w:w="1440"/>
        <w:gridCol w:w="1914"/>
      </w:tblGrid>
      <w:tr w14:paraId="63B3906A">
        <w:trPr>
          <w:tblHeader/>
        </w:trPr>
        <w:tc>
          <w:tcPr>
            <w:tcW w:w="153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6BED240B">
            <w:pPr>
              <w:pStyle w:val="style0"/>
              <w:spacing w:after="0" w:lineRule="auto" w:line="276"/>
              <w:jc w:val="center"/>
              <w:rPr>
                <w:rFonts w:ascii="Times New Roman" w:cs="Times New Roman" w:hAnsi="Times New Roman"/>
              </w:rPr>
            </w:pPr>
            <w:r>
              <w:rPr>
                <w:rFonts w:ascii="Times New Roman" w:cs="Times New Roman" w:hAnsi="Times New Roman"/>
              </w:rPr>
              <w:t>Item</w:t>
            </w:r>
          </w:p>
        </w:tc>
        <w:tc>
          <w:tcPr>
            <w:tcW w:w="171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038CB675">
            <w:pPr>
              <w:pStyle w:val="style0"/>
              <w:spacing w:after="0" w:lineRule="auto" w:line="276"/>
              <w:jc w:val="center"/>
              <w:rPr>
                <w:rFonts w:ascii="Times New Roman" w:cs="Times New Roman" w:hAnsi="Times New Roman"/>
              </w:rPr>
            </w:pPr>
            <w:r>
              <w:rPr>
                <w:rFonts w:ascii="Times New Roman" w:cs="Times New Roman" w:hAnsi="Times New Roman"/>
              </w:rPr>
              <w:t>Construct</w:t>
            </w:r>
          </w:p>
        </w:tc>
        <w:tc>
          <w:tcPr>
            <w:tcW w:w="153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48404EBD">
            <w:pPr>
              <w:pStyle w:val="style0"/>
              <w:spacing w:after="0" w:lineRule="auto" w:line="276"/>
              <w:jc w:val="center"/>
              <w:rPr>
                <w:rFonts w:ascii="Times New Roman" w:cs="Times New Roman" w:hAnsi="Times New Roman"/>
              </w:rPr>
            </w:pPr>
            <w:r>
              <w:rPr>
                <w:rFonts w:ascii="Times New Roman" w:cs="Times New Roman" w:hAnsi="Times New Roman"/>
              </w:rPr>
              <w:t>VIF</w:t>
            </w:r>
          </w:p>
        </w:tc>
        <w:tc>
          <w:tcPr>
            <w:tcW w:w="1326"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66199741">
            <w:pPr>
              <w:pStyle w:val="style0"/>
              <w:spacing w:after="0" w:lineRule="auto" w:line="276"/>
              <w:jc w:val="center"/>
              <w:rPr>
                <w:rFonts w:ascii="Times New Roman" w:cs="Times New Roman" w:hAnsi="Times New Roman"/>
              </w:rPr>
            </w:pPr>
            <w:r>
              <w:rPr>
                <w:rFonts w:ascii="Times New Roman" w:cs="Times New Roman" w:hAnsi="Times New Roman"/>
              </w:rPr>
              <w:t>Item</w:t>
            </w:r>
          </w:p>
        </w:tc>
        <w:tc>
          <w:tcPr>
            <w:tcW w:w="144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7ECC7658">
            <w:pPr>
              <w:pStyle w:val="style0"/>
              <w:spacing w:after="0" w:lineRule="auto" w:line="276"/>
              <w:jc w:val="center"/>
              <w:rPr>
                <w:rFonts w:ascii="Times New Roman" w:cs="Times New Roman" w:hAnsi="Times New Roman"/>
              </w:rPr>
            </w:pPr>
            <w:r>
              <w:rPr>
                <w:rFonts w:ascii="Times New Roman" w:cs="Times New Roman" w:hAnsi="Times New Roman"/>
              </w:rPr>
              <w:t>Construct</w:t>
            </w:r>
          </w:p>
        </w:tc>
        <w:tc>
          <w:tcPr>
            <w:tcW w:w="1914"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04E51717">
            <w:pPr>
              <w:pStyle w:val="style0"/>
              <w:spacing w:after="0" w:lineRule="auto" w:line="276"/>
              <w:jc w:val="center"/>
              <w:rPr>
                <w:rFonts w:ascii="Times New Roman" w:cs="Times New Roman" w:hAnsi="Times New Roman"/>
              </w:rPr>
            </w:pPr>
            <w:r>
              <w:rPr>
                <w:rFonts w:ascii="Times New Roman" w:cs="Times New Roman" w:hAnsi="Times New Roman"/>
              </w:rPr>
              <w:t>VIF</w:t>
            </w:r>
          </w:p>
        </w:tc>
      </w:tr>
      <w:tr w14:paraId="7748D140">
        <w:tblPrEx/>
        <w:trPr/>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AB82226">
            <w:pPr>
              <w:pStyle w:val="style0"/>
              <w:spacing w:after="0" w:lineRule="auto" w:line="276"/>
              <w:rPr>
                <w:rFonts w:ascii="Times New Roman" w:cs="Times New Roman" w:hAnsi="Times New Roman"/>
              </w:rPr>
            </w:pPr>
            <w:r>
              <w:rPr>
                <w:rFonts w:ascii="Times New Roman" w:cs="Times New Roman" w:hAnsi="Times New Roman"/>
              </w:rPr>
              <w:t>AGM1</w:t>
            </w:r>
          </w:p>
        </w:tc>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502FE60">
            <w:pPr>
              <w:pStyle w:val="style0"/>
              <w:spacing w:after="0" w:lineRule="auto" w:line="276"/>
              <w:jc w:val="center"/>
              <w:rPr>
                <w:rFonts w:ascii="Times New Roman" w:cs="Times New Roman" w:hAnsi="Times New Roman"/>
              </w:rPr>
            </w:pPr>
            <w:r>
              <w:rPr>
                <w:rFonts w:ascii="Times New Roman" w:cs="Times New Roman" w:hAnsi="Times New Roman"/>
              </w:rPr>
              <w:t>AGM</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EE55202">
            <w:pPr>
              <w:pStyle w:val="style0"/>
              <w:spacing w:after="0" w:lineRule="auto" w:line="276"/>
              <w:jc w:val="center"/>
              <w:rPr>
                <w:rFonts w:ascii="Times New Roman" w:cs="Times New Roman" w:hAnsi="Times New Roman"/>
              </w:rPr>
            </w:pPr>
            <w:r>
              <w:rPr>
                <w:rFonts w:ascii="Times New Roman" w:cs="Times New Roman" w:hAnsi="Times New Roman"/>
              </w:rPr>
              <w:t>1.921</w:t>
            </w:r>
          </w:p>
        </w:tc>
        <w:tc>
          <w:tcPr>
            <w:tcW w:w="1326"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E880C37">
            <w:pPr>
              <w:pStyle w:val="style0"/>
              <w:spacing w:after="0" w:lineRule="auto" w:line="276"/>
              <w:rPr>
                <w:rFonts w:ascii="Times New Roman" w:cs="Times New Roman" w:hAnsi="Times New Roman"/>
              </w:rPr>
            </w:pPr>
            <w:r>
              <w:rPr>
                <w:rFonts w:ascii="Times New Roman" w:cs="Times New Roman" w:hAnsi="Times New Roman"/>
              </w:rPr>
              <w:t>AGM2</w:t>
            </w:r>
          </w:p>
        </w:tc>
        <w:tc>
          <w:tcPr>
            <w:tcW w:w="144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4496CA0">
            <w:pPr>
              <w:pStyle w:val="style0"/>
              <w:spacing w:after="0" w:lineRule="auto" w:line="276"/>
              <w:jc w:val="center"/>
              <w:rPr>
                <w:rFonts w:ascii="Times New Roman" w:cs="Times New Roman" w:hAnsi="Times New Roman"/>
              </w:rPr>
            </w:pPr>
            <w:r>
              <w:rPr>
                <w:rFonts w:ascii="Times New Roman" w:cs="Times New Roman" w:hAnsi="Times New Roman"/>
              </w:rPr>
              <w:t>AGM</w:t>
            </w:r>
          </w:p>
        </w:tc>
        <w:tc>
          <w:tcPr>
            <w:tcW w:w="191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FD91D60">
            <w:pPr>
              <w:pStyle w:val="style0"/>
              <w:spacing w:after="0" w:lineRule="auto" w:line="276"/>
              <w:jc w:val="center"/>
              <w:rPr>
                <w:rFonts w:ascii="Times New Roman" w:cs="Times New Roman" w:hAnsi="Times New Roman"/>
                <w:i/>
                <w:iCs/>
              </w:rPr>
            </w:pPr>
            <w:r>
              <w:rPr>
                <w:rFonts w:ascii="Times New Roman" w:cs="Times New Roman" w:hAnsi="Times New Roman"/>
                <w:i/>
                <w:iCs/>
              </w:rPr>
              <w:t>1.712</w:t>
            </w:r>
          </w:p>
        </w:tc>
      </w:tr>
      <w:tr w14:paraId="1B9E3166">
        <w:tblPrEx/>
        <w:trPr/>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F907B50">
            <w:pPr>
              <w:pStyle w:val="style0"/>
              <w:spacing w:after="0" w:lineRule="auto" w:line="276"/>
              <w:rPr>
                <w:rFonts w:ascii="Times New Roman" w:cs="Times New Roman" w:hAnsi="Times New Roman"/>
              </w:rPr>
            </w:pPr>
            <w:r>
              <w:rPr>
                <w:rFonts w:ascii="Times New Roman" w:cs="Times New Roman" w:hAnsi="Times New Roman"/>
              </w:rPr>
              <w:t>AGM3</w:t>
            </w:r>
          </w:p>
        </w:tc>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4D777AB">
            <w:pPr>
              <w:pStyle w:val="style0"/>
              <w:spacing w:after="0" w:lineRule="auto" w:line="276"/>
              <w:jc w:val="center"/>
              <w:rPr>
                <w:rFonts w:ascii="Times New Roman" w:cs="Times New Roman" w:hAnsi="Times New Roman"/>
              </w:rPr>
            </w:pPr>
            <w:r>
              <w:rPr>
                <w:rFonts w:ascii="Times New Roman" w:cs="Times New Roman" w:hAnsi="Times New Roman"/>
              </w:rPr>
              <w:t>AGM</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9169929">
            <w:pPr>
              <w:pStyle w:val="style0"/>
              <w:spacing w:after="0" w:lineRule="auto" w:line="276"/>
              <w:jc w:val="center"/>
              <w:rPr>
                <w:rFonts w:ascii="Times New Roman" w:cs="Times New Roman" w:hAnsi="Times New Roman"/>
              </w:rPr>
            </w:pPr>
            <w:r>
              <w:rPr>
                <w:rFonts w:ascii="Times New Roman" w:cs="Times New Roman" w:hAnsi="Times New Roman"/>
              </w:rPr>
              <w:t>1.673</w:t>
            </w:r>
          </w:p>
        </w:tc>
        <w:tc>
          <w:tcPr>
            <w:tcW w:w="1326"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2FEA304">
            <w:pPr>
              <w:pStyle w:val="style0"/>
              <w:spacing w:after="0" w:lineRule="auto" w:line="276"/>
              <w:rPr>
                <w:rFonts w:ascii="Times New Roman" w:cs="Times New Roman" w:hAnsi="Times New Roman"/>
              </w:rPr>
            </w:pPr>
            <w:r>
              <w:rPr>
                <w:rFonts w:ascii="Times New Roman" w:cs="Times New Roman" w:hAnsi="Times New Roman"/>
              </w:rPr>
              <w:t>AGM4</w:t>
            </w:r>
          </w:p>
        </w:tc>
        <w:tc>
          <w:tcPr>
            <w:tcW w:w="144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DC0CAAA">
            <w:pPr>
              <w:pStyle w:val="style0"/>
              <w:spacing w:after="0" w:lineRule="auto" w:line="276"/>
              <w:jc w:val="center"/>
              <w:rPr>
                <w:rFonts w:ascii="Times New Roman" w:cs="Times New Roman" w:hAnsi="Times New Roman"/>
              </w:rPr>
            </w:pPr>
            <w:r>
              <w:rPr>
                <w:rFonts w:ascii="Times New Roman" w:cs="Times New Roman" w:hAnsi="Times New Roman"/>
              </w:rPr>
              <w:t>AGM</w:t>
            </w:r>
          </w:p>
        </w:tc>
        <w:tc>
          <w:tcPr>
            <w:tcW w:w="191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82B991F">
            <w:pPr>
              <w:pStyle w:val="style0"/>
              <w:spacing w:after="0" w:lineRule="auto" w:line="276"/>
              <w:jc w:val="center"/>
              <w:rPr>
                <w:rFonts w:ascii="Times New Roman" w:cs="Times New Roman" w:hAnsi="Times New Roman"/>
                <w:i/>
                <w:iCs/>
              </w:rPr>
            </w:pPr>
            <w:r>
              <w:rPr>
                <w:rFonts w:ascii="Times New Roman" w:cs="Times New Roman" w:hAnsi="Times New Roman"/>
                <w:i/>
                <w:iCs/>
              </w:rPr>
              <w:t>1.651</w:t>
            </w:r>
          </w:p>
        </w:tc>
      </w:tr>
      <w:tr w14:paraId="420CF679">
        <w:tblPrEx/>
        <w:trPr/>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ED9E88E">
            <w:pPr>
              <w:pStyle w:val="style0"/>
              <w:spacing w:after="0" w:lineRule="auto" w:line="276"/>
              <w:rPr>
                <w:rFonts w:ascii="Times New Roman" w:cs="Times New Roman" w:hAnsi="Times New Roman"/>
              </w:rPr>
            </w:pPr>
            <w:r>
              <w:rPr>
                <w:rFonts w:ascii="Times New Roman" w:cs="Times New Roman" w:hAnsi="Times New Roman"/>
              </w:rPr>
              <w:t>AGM5</w:t>
            </w:r>
          </w:p>
        </w:tc>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8BB428A">
            <w:pPr>
              <w:pStyle w:val="style0"/>
              <w:spacing w:after="0" w:lineRule="auto" w:line="276"/>
              <w:jc w:val="center"/>
              <w:rPr>
                <w:rFonts w:ascii="Times New Roman" w:cs="Times New Roman" w:hAnsi="Times New Roman"/>
              </w:rPr>
            </w:pPr>
            <w:r>
              <w:rPr>
                <w:rFonts w:ascii="Times New Roman" w:cs="Times New Roman" w:hAnsi="Times New Roman"/>
              </w:rPr>
              <w:t>AGM</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2F46F64">
            <w:pPr>
              <w:pStyle w:val="style0"/>
              <w:spacing w:after="0" w:lineRule="auto" w:line="276"/>
              <w:jc w:val="center"/>
              <w:rPr>
                <w:rFonts w:ascii="Times New Roman" w:cs="Times New Roman" w:hAnsi="Times New Roman"/>
              </w:rPr>
            </w:pPr>
            <w:r>
              <w:rPr>
                <w:rFonts w:ascii="Times New Roman" w:cs="Times New Roman" w:hAnsi="Times New Roman"/>
              </w:rPr>
              <w:t>1.521</w:t>
            </w:r>
          </w:p>
        </w:tc>
        <w:tc>
          <w:tcPr>
            <w:tcW w:w="1326"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6621F33">
            <w:pPr>
              <w:pStyle w:val="style0"/>
              <w:spacing w:after="0" w:lineRule="auto" w:line="276"/>
              <w:rPr>
                <w:rFonts w:ascii="Times New Roman" w:cs="Times New Roman" w:hAnsi="Times New Roman"/>
              </w:rPr>
            </w:pPr>
            <w:r>
              <w:rPr>
                <w:rFonts w:ascii="Times New Roman" w:cs="Times New Roman" w:hAnsi="Times New Roman"/>
              </w:rPr>
              <w:t>AIC1</w:t>
            </w:r>
          </w:p>
        </w:tc>
        <w:tc>
          <w:tcPr>
            <w:tcW w:w="144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D53D97E">
            <w:pPr>
              <w:pStyle w:val="style0"/>
              <w:spacing w:after="0" w:lineRule="auto" w:line="276"/>
              <w:jc w:val="center"/>
              <w:rPr>
                <w:rFonts w:ascii="Times New Roman" w:cs="Times New Roman" w:hAnsi="Times New Roman"/>
              </w:rPr>
            </w:pPr>
            <w:r>
              <w:rPr>
                <w:rFonts w:ascii="Times New Roman" w:cs="Times New Roman" w:hAnsi="Times New Roman"/>
              </w:rPr>
              <w:t>AIC</w:t>
            </w:r>
          </w:p>
        </w:tc>
        <w:tc>
          <w:tcPr>
            <w:tcW w:w="191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4CB9B2D">
            <w:pPr>
              <w:pStyle w:val="style0"/>
              <w:spacing w:after="0" w:lineRule="auto" w:line="276"/>
              <w:jc w:val="center"/>
              <w:rPr>
                <w:rFonts w:ascii="Times New Roman" w:cs="Times New Roman" w:hAnsi="Times New Roman"/>
                <w:i/>
                <w:iCs/>
              </w:rPr>
            </w:pPr>
            <w:r>
              <w:rPr>
                <w:rFonts w:ascii="Times New Roman" w:cs="Times New Roman" w:hAnsi="Times New Roman"/>
                <w:i/>
                <w:iCs/>
              </w:rPr>
              <w:t>1.596</w:t>
            </w:r>
          </w:p>
        </w:tc>
      </w:tr>
      <w:tr w14:paraId="53E980CF">
        <w:tblPrEx/>
        <w:trPr/>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65853CE">
            <w:pPr>
              <w:pStyle w:val="style0"/>
              <w:spacing w:after="0" w:lineRule="auto" w:line="276"/>
              <w:rPr>
                <w:rFonts w:ascii="Times New Roman" w:cs="Times New Roman" w:hAnsi="Times New Roman"/>
              </w:rPr>
            </w:pPr>
            <w:r>
              <w:rPr>
                <w:rFonts w:ascii="Times New Roman" w:cs="Times New Roman" w:hAnsi="Times New Roman"/>
              </w:rPr>
              <w:t>AIC2</w:t>
            </w:r>
          </w:p>
        </w:tc>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593C322">
            <w:pPr>
              <w:pStyle w:val="style0"/>
              <w:spacing w:after="0" w:lineRule="auto" w:line="276"/>
              <w:jc w:val="center"/>
              <w:rPr>
                <w:rFonts w:ascii="Times New Roman" w:cs="Times New Roman" w:hAnsi="Times New Roman"/>
              </w:rPr>
            </w:pPr>
            <w:r>
              <w:rPr>
                <w:rFonts w:ascii="Times New Roman" w:cs="Times New Roman" w:hAnsi="Times New Roman"/>
              </w:rPr>
              <w:t>AIC</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0B192CC">
            <w:pPr>
              <w:pStyle w:val="style0"/>
              <w:spacing w:after="0" w:lineRule="auto" w:line="276"/>
              <w:jc w:val="center"/>
              <w:rPr>
                <w:rFonts w:ascii="Times New Roman" w:cs="Times New Roman" w:hAnsi="Times New Roman"/>
              </w:rPr>
            </w:pPr>
            <w:r>
              <w:rPr>
                <w:rFonts w:ascii="Times New Roman" w:cs="Times New Roman" w:hAnsi="Times New Roman"/>
              </w:rPr>
              <w:t>1.668</w:t>
            </w:r>
          </w:p>
        </w:tc>
        <w:tc>
          <w:tcPr>
            <w:tcW w:w="1326"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7594C5E">
            <w:pPr>
              <w:pStyle w:val="style0"/>
              <w:spacing w:after="0" w:lineRule="auto" w:line="276"/>
              <w:rPr>
                <w:rFonts w:ascii="Times New Roman" w:cs="Times New Roman" w:hAnsi="Times New Roman"/>
              </w:rPr>
            </w:pPr>
            <w:r>
              <w:rPr>
                <w:rFonts w:ascii="Times New Roman" w:cs="Times New Roman" w:hAnsi="Times New Roman"/>
              </w:rPr>
              <w:t>AIC3</w:t>
            </w:r>
          </w:p>
        </w:tc>
        <w:tc>
          <w:tcPr>
            <w:tcW w:w="144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7D364BB">
            <w:pPr>
              <w:pStyle w:val="style0"/>
              <w:spacing w:after="0" w:lineRule="auto" w:line="276"/>
              <w:jc w:val="center"/>
              <w:rPr>
                <w:rFonts w:ascii="Times New Roman" w:cs="Times New Roman" w:hAnsi="Times New Roman"/>
              </w:rPr>
            </w:pPr>
            <w:r>
              <w:rPr>
                <w:rFonts w:ascii="Times New Roman" w:cs="Times New Roman" w:hAnsi="Times New Roman"/>
              </w:rPr>
              <w:t>AIC</w:t>
            </w:r>
          </w:p>
        </w:tc>
        <w:tc>
          <w:tcPr>
            <w:tcW w:w="191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3CBFE59">
            <w:pPr>
              <w:pStyle w:val="style0"/>
              <w:spacing w:after="0" w:lineRule="auto" w:line="276"/>
              <w:jc w:val="center"/>
              <w:rPr>
                <w:rFonts w:ascii="Times New Roman" w:cs="Times New Roman" w:hAnsi="Times New Roman"/>
                <w:i/>
                <w:iCs/>
              </w:rPr>
            </w:pPr>
            <w:r>
              <w:rPr>
                <w:rFonts w:ascii="Times New Roman" w:cs="Times New Roman" w:hAnsi="Times New Roman"/>
                <w:i/>
                <w:iCs/>
              </w:rPr>
              <w:t>1.502</w:t>
            </w:r>
          </w:p>
        </w:tc>
      </w:tr>
      <w:tr w14:paraId="0C405E19">
        <w:tblPrEx/>
        <w:trPr/>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FFF754B">
            <w:pPr>
              <w:pStyle w:val="style0"/>
              <w:spacing w:after="0" w:lineRule="auto" w:line="276"/>
              <w:rPr>
                <w:rFonts w:ascii="Times New Roman" w:cs="Times New Roman" w:hAnsi="Times New Roman"/>
              </w:rPr>
            </w:pPr>
            <w:r>
              <w:rPr>
                <w:rFonts w:ascii="Times New Roman" w:cs="Times New Roman" w:hAnsi="Times New Roman"/>
              </w:rPr>
              <w:t>AIC4</w:t>
            </w:r>
          </w:p>
        </w:tc>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6438DE5">
            <w:pPr>
              <w:pStyle w:val="style0"/>
              <w:spacing w:after="0" w:lineRule="auto" w:line="276"/>
              <w:jc w:val="center"/>
              <w:rPr>
                <w:rFonts w:ascii="Times New Roman" w:cs="Times New Roman" w:hAnsi="Times New Roman"/>
              </w:rPr>
            </w:pPr>
            <w:r>
              <w:rPr>
                <w:rFonts w:ascii="Times New Roman" w:cs="Times New Roman" w:hAnsi="Times New Roman"/>
              </w:rPr>
              <w:t>AIC</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8A76741">
            <w:pPr>
              <w:pStyle w:val="style0"/>
              <w:spacing w:after="0" w:lineRule="auto" w:line="276"/>
              <w:jc w:val="center"/>
              <w:rPr>
                <w:rFonts w:ascii="Times New Roman" w:cs="Times New Roman" w:hAnsi="Times New Roman"/>
              </w:rPr>
            </w:pPr>
            <w:r>
              <w:rPr>
                <w:rFonts w:ascii="Times New Roman" w:cs="Times New Roman" w:hAnsi="Times New Roman"/>
              </w:rPr>
              <w:t>1.564</w:t>
            </w:r>
          </w:p>
        </w:tc>
        <w:tc>
          <w:tcPr>
            <w:tcW w:w="1326"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930F305">
            <w:pPr>
              <w:pStyle w:val="style0"/>
              <w:spacing w:after="0" w:lineRule="auto" w:line="276"/>
              <w:rPr>
                <w:rFonts w:ascii="Times New Roman" w:cs="Times New Roman" w:hAnsi="Times New Roman"/>
              </w:rPr>
            </w:pPr>
            <w:r>
              <w:rPr>
                <w:rFonts w:ascii="Times New Roman" w:cs="Times New Roman" w:hAnsi="Times New Roman"/>
              </w:rPr>
              <w:t>AIC5</w:t>
            </w:r>
          </w:p>
        </w:tc>
        <w:tc>
          <w:tcPr>
            <w:tcW w:w="144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5E7C875">
            <w:pPr>
              <w:pStyle w:val="style0"/>
              <w:spacing w:after="0" w:lineRule="auto" w:line="276"/>
              <w:jc w:val="center"/>
              <w:rPr>
                <w:rFonts w:ascii="Times New Roman" w:cs="Times New Roman" w:hAnsi="Times New Roman"/>
              </w:rPr>
            </w:pPr>
            <w:r>
              <w:rPr>
                <w:rFonts w:ascii="Times New Roman" w:cs="Times New Roman" w:hAnsi="Times New Roman"/>
              </w:rPr>
              <w:t>AIC</w:t>
            </w:r>
          </w:p>
        </w:tc>
        <w:tc>
          <w:tcPr>
            <w:tcW w:w="191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801E87A">
            <w:pPr>
              <w:pStyle w:val="style0"/>
              <w:spacing w:after="0" w:lineRule="auto" w:line="276"/>
              <w:jc w:val="center"/>
              <w:rPr>
                <w:rFonts w:ascii="Times New Roman" w:cs="Times New Roman" w:hAnsi="Times New Roman"/>
                <w:i/>
                <w:iCs/>
              </w:rPr>
            </w:pPr>
            <w:r>
              <w:rPr>
                <w:rFonts w:ascii="Times New Roman" w:cs="Times New Roman" w:hAnsi="Times New Roman"/>
                <w:i/>
                <w:iCs/>
              </w:rPr>
              <w:t>1.544</w:t>
            </w:r>
          </w:p>
        </w:tc>
      </w:tr>
      <w:tr w14:paraId="2C9FC927">
        <w:tblPrEx/>
        <w:trPr/>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C66AD64">
            <w:pPr>
              <w:pStyle w:val="style0"/>
              <w:spacing w:after="0" w:lineRule="auto" w:line="276"/>
              <w:rPr>
                <w:rFonts w:ascii="Times New Roman" w:cs="Times New Roman" w:hAnsi="Times New Roman"/>
              </w:rPr>
            </w:pPr>
            <w:r>
              <w:rPr>
                <w:rFonts w:ascii="Times New Roman" w:cs="Times New Roman" w:hAnsi="Times New Roman"/>
              </w:rPr>
              <w:t>APM1</w:t>
            </w:r>
          </w:p>
        </w:tc>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A1693AC">
            <w:pPr>
              <w:pStyle w:val="style0"/>
              <w:spacing w:after="0" w:lineRule="auto" w:line="276"/>
              <w:jc w:val="center"/>
              <w:rPr>
                <w:rFonts w:ascii="Times New Roman" w:cs="Times New Roman" w:hAnsi="Times New Roman"/>
              </w:rPr>
            </w:pPr>
            <w:r>
              <w:rPr>
                <w:rFonts w:ascii="Times New Roman" w:cs="Times New Roman" w:hAnsi="Times New Roman"/>
              </w:rPr>
              <w:t>APM</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F2BE5C2">
            <w:pPr>
              <w:pStyle w:val="style0"/>
              <w:spacing w:after="0" w:lineRule="auto" w:line="276"/>
              <w:jc w:val="center"/>
              <w:rPr>
                <w:rFonts w:ascii="Times New Roman" w:cs="Times New Roman" w:hAnsi="Times New Roman"/>
              </w:rPr>
            </w:pPr>
            <w:r>
              <w:rPr>
                <w:rFonts w:ascii="Times New Roman" w:cs="Times New Roman" w:hAnsi="Times New Roman"/>
              </w:rPr>
              <w:t>1.425</w:t>
            </w:r>
          </w:p>
        </w:tc>
        <w:tc>
          <w:tcPr>
            <w:tcW w:w="1326"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21A06C4">
            <w:pPr>
              <w:pStyle w:val="style0"/>
              <w:spacing w:after="0" w:lineRule="auto" w:line="276"/>
              <w:rPr>
                <w:rFonts w:ascii="Times New Roman" w:cs="Times New Roman" w:hAnsi="Times New Roman"/>
              </w:rPr>
            </w:pPr>
            <w:r>
              <w:rPr>
                <w:rFonts w:ascii="Times New Roman" w:cs="Times New Roman" w:hAnsi="Times New Roman"/>
              </w:rPr>
              <w:t>APM2</w:t>
            </w:r>
          </w:p>
        </w:tc>
        <w:tc>
          <w:tcPr>
            <w:tcW w:w="144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B824507">
            <w:pPr>
              <w:pStyle w:val="style0"/>
              <w:spacing w:after="0" w:lineRule="auto" w:line="276"/>
              <w:jc w:val="center"/>
              <w:rPr>
                <w:rFonts w:ascii="Times New Roman" w:cs="Times New Roman" w:hAnsi="Times New Roman"/>
              </w:rPr>
            </w:pPr>
            <w:r>
              <w:rPr>
                <w:rFonts w:ascii="Times New Roman" w:cs="Times New Roman" w:hAnsi="Times New Roman"/>
              </w:rPr>
              <w:t>APM</w:t>
            </w:r>
          </w:p>
        </w:tc>
        <w:tc>
          <w:tcPr>
            <w:tcW w:w="191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F9EDD62">
            <w:pPr>
              <w:pStyle w:val="style0"/>
              <w:spacing w:after="0" w:lineRule="auto" w:line="276"/>
              <w:jc w:val="center"/>
              <w:rPr>
                <w:rFonts w:ascii="Times New Roman" w:cs="Times New Roman" w:hAnsi="Times New Roman"/>
                <w:i/>
                <w:iCs/>
              </w:rPr>
            </w:pPr>
            <w:r>
              <w:rPr>
                <w:rFonts w:ascii="Times New Roman" w:cs="Times New Roman" w:hAnsi="Times New Roman"/>
                <w:i/>
                <w:iCs/>
              </w:rPr>
              <w:t>1.421</w:t>
            </w:r>
          </w:p>
        </w:tc>
      </w:tr>
      <w:tr w14:paraId="4AE58D36">
        <w:tblPrEx/>
        <w:trPr/>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8F49AC3">
            <w:pPr>
              <w:pStyle w:val="style0"/>
              <w:spacing w:after="0" w:lineRule="auto" w:line="276"/>
              <w:rPr>
                <w:rFonts w:ascii="Times New Roman" w:cs="Times New Roman" w:hAnsi="Times New Roman"/>
              </w:rPr>
            </w:pPr>
            <w:r>
              <w:rPr>
                <w:rFonts w:ascii="Times New Roman" w:cs="Times New Roman" w:hAnsi="Times New Roman"/>
              </w:rPr>
              <w:t>APM3</w:t>
            </w:r>
          </w:p>
        </w:tc>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AE1EA28">
            <w:pPr>
              <w:pStyle w:val="style0"/>
              <w:spacing w:after="0" w:lineRule="auto" w:line="276"/>
              <w:jc w:val="center"/>
              <w:rPr>
                <w:rFonts w:ascii="Times New Roman" w:cs="Times New Roman" w:hAnsi="Times New Roman"/>
              </w:rPr>
            </w:pPr>
            <w:r>
              <w:rPr>
                <w:rFonts w:ascii="Times New Roman" w:cs="Times New Roman" w:hAnsi="Times New Roman"/>
              </w:rPr>
              <w:t>APM</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7E0C6AA">
            <w:pPr>
              <w:pStyle w:val="style0"/>
              <w:spacing w:after="0" w:lineRule="auto" w:line="276"/>
              <w:jc w:val="center"/>
              <w:rPr>
                <w:rFonts w:ascii="Times New Roman" w:cs="Times New Roman" w:hAnsi="Times New Roman"/>
              </w:rPr>
            </w:pPr>
            <w:r>
              <w:rPr>
                <w:rFonts w:ascii="Times New Roman" w:cs="Times New Roman" w:hAnsi="Times New Roman"/>
              </w:rPr>
              <w:t>1.529</w:t>
            </w:r>
          </w:p>
        </w:tc>
        <w:tc>
          <w:tcPr>
            <w:tcW w:w="1326"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5324232">
            <w:pPr>
              <w:pStyle w:val="style0"/>
              <w:spacing w:after="0" w:lineRule="auto" w:line="276"/>
              <w:rPr>
                <w:rFonts w:ascii="Times New Roman" w:cs="Times New Roman" w:hAnsi="Times New Roman"/>
              </w:rPr>
            </w:pPr>
            <w:r>
              <w:rPr>
                <w:rFonts w:ascii="Times New Roman" w:cs="Times New Roman" w:hAnsi="Times New Roman"/>
              </w:rPr>
              <w:t>APM4</w:t>
            </w:r>
          </w:p>
        </w:tc>
        <w:tc>
          <w:tcPr>
            <w:tcW w:w="144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4225B38">
            <w:pPr>
              <w:pStyle w:val="style0"/>
              <w:spacing w:after="0" w:lineRule="auto" w:line="276"/>
              <w:jc w:val="center"/>
              <w:rPr>
                <w:rFonts w:ascii="Times New Roman" w:cs="Times New Roman" w:hAnsi="Times New Roman"/>
              </w:rPr>
            </w:pPr>
            <w:r>
              <w:rPr>
                <w:rFonts w:ascii="Times New Roman" w:cs="Times New Roman" w:hAnsi="Times New Roman"/>
              </w:rPr>
              <w:t>APM</w:t>
            </w:r>
          </w:p>
        </w:tc>
        <w:tc>
          <w:tcPr>
            <w:tcW w:w="191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5125221">
            <w:pPr>
              <w:pStyle w:val="style0"/>
              <w:spacing w:after="0" w:lineRule="auto" w:line="276"/>
              <w:jc w:val="center"/>
              <w:rPr>
                <w:rFonts w:ascii="Times New Roman" w:cs="Times New Roman" w:hAnsi="Times New Roman"/>
                <w:i/>
                <w:iCs/>
              </w:rPr>
            </w:pPr>
            <w:r>
              <w:rPr>
                <w:rFonts w:ascii="Times New Roman" w:cs="Times New Roman" w:hAnsi="Times New Roman"/>
                <w:i/>
                <w:iCs/>
              </w:rPr>
              <w:t>1.540</w:t>
            </w:r>
          </w:p>
        </w:tc>
      </w:tr>
      <w:tr w14:paraId="7DF735C9">
        <w:tblPrEx/>
        <w:trPr/>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367268F">
            <w:pPr>
              <w:pStyle w:val="style0"/>
              <w:spacing w:after="0" w:lineRule="auto" w:line="276"/>
              <w:rPr>
                <w:rFonts w:ascii="Times New Roman" w:cs="Times New Roman" w:hAnsi="Times New Roman"/>
              </w:rPr>
            </w:pPr>
            <w:r>
              <w:rPr>
                <w:rFonts w:ascii="Times New Roman" w:cs="Times New Roman" w:hAnsi="Times New Roman"/>
              </w:rPr>
              <w:t>APM5</w:t>
            </w:r>
          </w:p>
        </w:tc>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73F22E8">
            <w:pPr>
              <w:pStyle w:val="style0"/>
              <w:spacing w:after="0" w:lineRule="auto" w:line="276"/>
              <w:jc w:val="center"/>
              <w:rPr>
                <w:rFonts w:ascii="Times New Roman" w:cs="Times New Roman" w:hAnsi="Times New Roman"/>
              </w:rPr>
            </w:pPr>
            <w:r>
              <w:rPr>
                <w:rFonts w:ascii="Times New Roman" w:cs="Times New Roman" w:hAnsi="Times New Roman"/>
              </w:rPr>
              <w:t>APM</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C2AC16D">
            <w:pPr>
              <w:pStyle w:val="style0"/>
              <w:spacing w:after="0" w:lineRule="auto" w:line="276"/>
              <w:jc w:val="center"/>
              <w:rPr>
                <w:rFonts w:ascii="Times New Roman" w:cs="Times New Roman" w:hAnsi="Times New Roman"/>
              </w:rPr>
            </w:pPr>
            <w:r>
              <w:rPr>
                <w:rFonts w:ascii="Times New Roman" w:cs="Times New Roman" w:hAnsi="Times New Roman"/>
              </w:rPr>
              <w:t>1.416</w:t>
            </w:r>
          </w:p>
        </w:tc>
        <w:tc>
          <w:tcPr>
            <w:tcW w:w="1326"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F4B2D58">
            <w:pPr>
              <w:pStyle w:val="style0"/>
              <w:spacing w:after="0" w:lineRule="auto" w:line="276"/>
              <w:rPr>
                <w:rFonts w:ascii="Times New Roman" w:cs="Times New Roman" w:hAnsi="Times New Roman"/>
              </w:rPr>
            </w:pPr>
            <w:r>
              <w:rPr>
                <w:rFonts w:ascii="Times New Roman" w:cs="Times New Roman" w:hAnsi="Times New Roman"/>
              </w:rPr>
              <w:t>IM1</w:t>
            </w:r>
          </w:p>
        </w:tc>
        <w:tc>
          <w:tcPr>
            <w:tcW w:w="144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2174C07">
            <w:pPr>
              <w:pStyle w:val="style0"/>
              <w:spacing w:after="0" w:lineRule="auto" w:line="276"/>
              <w:jc w:val="center"/>
              <w:rPr>
                <w:rFonts w:ascii="Times New Roman" w:cs="Times New Roman" w:hAnsi="Times New Roman"/>
              </w:rPr>
            </w:pPr>
            <w:r>
              <w:rPr>
                <w:rFonts w:ascii="Times New Roman" w:cs="Times New Roman" w:hAnsi="Times New Roman"/>
              </w:rPr>
              <w:t>IM</w:t>
            </w:r>
          </w:p>
        </w:tc>
        <w:tc>
          <w:tcPr>
            <w:tcW w:w="191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2CC9831">
            <w:pPr>
              <w:pStyle w:val="style0"/>
              <w:spacing w:after="0" w:lineRule="auto" w:line="276"/>
              <w:jc w:val="center"/>
              <w:rPr>
                <w:rFonts w:ascii="Times New Roman" w:cs="Times New Roman" w:hAnsi="Times New Roman"/>
                <w:i/>
                <w:iCs/>
              </w:rPr>
            </w:pPr>
            <w:r>
              <w:rPr>
                <w:rFonts w:ascii="Times New Roman" w:cs="Times New Roman" w:hAnsi="Times New Roman"/>
                <w:i/>
                <w:iCs/>
              </w:rPr>
              <w:t>1.416</w:t>
            </w:r>
          </w:p>
        </w:tc>
      </w:tr>
      <w:tr w14:paraId="41C4EE25">
        <w:tblPrEx/>
        <w:trPr/>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FD763C0">
            <w:pPr>
              <w:pStyle w:val="style0"/>
              <w:spacing w:after="0" w:lineRule="auto" w:line="276"/>
              <w:rPr>
                <w:rFonts w:ascii="Times New Roman" w:cs="Times New Roman" w:hAnsi="Times New Roman"/>
              </w:rPr>
            </w:pPr>
            <w:r>
              <w:rPr>
                <w:rFonts w:ascii="Times New Roman" w:cs="Times New Roman" w:hAnsi="Times New Roman"/>
              </w:rPr>
              <w:t>IM2</w:t>
            </w:r>
          </w:p>
        </w:tc>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51A6D61">
            <w:pPr>
              <w:pStyle w:val="style0"/>
              <w:spacing w:after="0" w:lineRule="auto" w:line="276"/>
              <w:jc w:val="center"/>
              <w:rPr>
                <w:rFonts w:ascii="Times New Roman" w:cs="Times New Roman" w:hAnsi="Times New Roman"/>
              </w:rPr>
            </w:pPr>
            <w:r>
              <w:rPr>
                <w:rFonts w:ascii="Times New Roman" w:cs="Times New Roman" w:hAnsi="Times New Roman"/>
              </w:rPr>
              <w:t>IM</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1E2F7A7">
            <w:pPr>
              <w:pStyle w:val="style0"/>
              <w:spacing w:after="0" w:lineRule="auto" w:line="276"/>
              <w:jc w:val="center"/>
              <w:rPr>
                <w:rFonts w:ascii="Times New Roman" w:cs="Times New Roman" w:hAnsi="Times New Roman"/>
              </w:rPr>
            </w:pPr>
            <w:r>
              <w:rPr>
                <w:rFonts w:ascii="Times New Roman" w:cs="Times New Roman" w:hAnsi="Times New Roman"/>
              </w:rPr>
              <w:t>1.525</w:t>
            </w:r>
          </w:p>
        </w:tc>
        <w:tc>
          <w:tcPr>
            <w:tcW w:w="1326"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B43C492">
            <w:pPr>
              <w:pStyle w:val="style0"/>
              <w:spacing w:after="0" w:lineRule="auto" w:line="276"/>
              <w:rPr>
                <w:rFonts w:ascii="Times New Roman" w:cs="Times New Roman" w:hAnsi="Times New Roman"/>
              </w:rPr>
            </w:pPr>
            <w:r>
              <w:rPr>
                <w:rFonts w:ascii="Times New Roman" w:cs="Times New Roman" w:hAnsi="Times New Roman"/>
              </w:rPr>
              <w:t>IM3</w:t>
            </w:r>
          </w:p>
        </w:tc>
        <w:tc>
          <w:tcPr>
            <w:tcW w:w="144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1D8D51A">
            <w:pPr>
              <w:pStyle w:val="style0"/>
              <w:spacing w:after="0" w:lineRule="auto" w:line="276"/>
              <w:jc w:val="center"/>
              <w:rPr>
                <w:rFonts w:ascii="Times New Roman" w:cs="Times New Roman" w:hAnsi="Times New Roman"/>
              </w:rPr>
            </w:pPr>
            <w:r>
              <w:rPr>
                <w:rFonts w:ascii="Times New Roman" w:cs="Times New Roman" w:hAnsi="Times New Roman"/>
              </w:rPr>
              <w:t>IM</w:t>
            </w:r>
          </w:p>
        </w:tc>
        <w:tc>
          <w:tcPr>
            <w:tcW w:w="191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6742BE6">
            <w:pPr>
              <w:pStyle w:val="style0"/>
              <w:spacing w:after="0" w:lineRule="auto" w:line="276"/>
              <w:jc w:val="center"/>
              <w:rPr>
                <w:rFonts w:ascii="Times New Roman" w:cs="Times New Roman" w:hAnsi="Times New Roman"/>
                <w:i/>
                <w:iCs/>
              </w:rPr>
            </w:pPr>
            <w:r>
              <w:rPr>
                <w:rFonts w:ascii="Times New Roman" w:cs="Times New Roman" w:hAnsi="Times New Roman"/>
                <w:i/>
                <w:iCs/>
              </w:rPr>
              <w:t>1.426</w:t>
            </w:r>
          </w:p>
        </w:tc>
      </w:tr>
      <w:tr w14:paraId="073A16D7">
        <w:tblPrEx/>
        <w:trPr/>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AF0E83E">
            <w:pPr>
              <w:pStyle w:val="style0"/>
              <w:spacing w:after="0" w:lineRule="auto" w:line="276"/>
              <w:rPr>
                <w:rFonts w:ascii="Times New Roman" w:cs="Times New Roman" w:hAnsi="Times New Roman"/>
              </w:rPr>
            </w:pPr>
            <w:r>
              <w:rPr>
                <w:rFonts w:ascii="Times New Roman" w:cs="Times New Roman" w:hAnsi="Times New Roman"/>
              </w:rPr>
              <w:t>IM4</w:t>
            </w:r>
          </w:p>
        </w:tc>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70A7474">
            <w:pPr>
              <w:pStyle w:val="style0"/>
              <w:spacing w:after="0" w:lineRule="auto" w:line="276"/>
              <w:jc w:val="center"/>
              <w:rPr>
                <w:rFonts w:ascii="Times New Roman" w:cs="Times New Roman" w:hAnsi="Times New Roman"/>
              </w:rPr>
            </w:pPr>
            <w:r>
              <w:rPr>
                <w:rFonts w:ascii="Times New Roman" w:cs="Times New Roman" w:hAnsi="Times New Roman"/>
              </w:rPr>
              <w:t>IM</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7226F7D">
            <w:pPr>
              <w:pStyle w:val="style0"/>
              <w:spacing w:after="0" w:lineRule="auto" w:line="276"/>
              <w:jc w:val="center"/>
              <w:rPr>
                <w:rFonts w:ascii="Times New Roman" w:cs="Times New Roman" w:hAnsi="Times New Roman"/>
              </w:rPr>
            </w:pPr>
            <w:r>
              <w:rPr>
                <w:rFonts w:ascii="Times New Roman" w:cs="Times New Roman" w:hAnsi="Times New Roman"/>
              </w:rPr>
              <w:t>1.312</w:t>
            </w:r>
          </w:p>
        </w:tc>
        <w:tc>
          <w:tcPr>
            <w:tcW w:w="1326"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F1BF715">
            <w:pPr>
              <w:pStyle w:val="style0"/>
              <w:spacing w:after="0" w:lineRule="auto" w:line="276"/>
              <w:rPr>
                <w:rFonts w:ascii="Times New Roman" w:cs="Times New Roman" w:hAnsi="Times New Roman"/>
              </w:rPr>
            </w:pPr>
            <w:r>
              <w:rPr>
                <w:rFonts w:ascii="Times New Roman" w:cs="Times New Roman" w:hAnsi="Times New Roman"/>
              </w:rPr>
              <w:t>IM5</w:t>
            </w:r>
          </w:p>
        </w:tc>
        <w:tc>
          <w:tcPr>
            <w:tcW w:w="144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EE2D763">
            <w:pPr>
              <w:pStyle w:val="style0"/>
              <w:spacing w:after="0" w:lineRule="auto" w:line="276"/>
              <w:jc w:val="center"/>
              <w:rPr>
                <w:rFonts w:ascii="Times New Roman" w:cs="Times New Roman" w:hAnsi="Times New Roman"/>
              </w:rPr>
            </w:pPr>
            <w:r>
              <w:rPr>
                <w:rFonts w:ascii="Times New Roman" w:cs="Times New Roman" w:hAnsi="Times New Roman"/>
              </w:rPr>
              <w:t>IM</w:t>
            </w:r>
          </w:p>
        </w:tc>
        <w:tc>
          <w:tcPr>
            <w:tcW w:w="191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F6DED6D">
            <w:pPr>
              <w:pStyle w:val="style0"/>
              <w:spacing w:after="0" w:lineRule="auto" w:line="276"/>
              <w:jc w:val="center"/>
              <w:rPr>
                <w:rFonts w:ascii="Times New Roman" w:cs="Times New Roman" w:hAnsi="Times New Roman"/>
                <w:i/>
                <w:iCs/>
              </w:rPr>
            </w:pPr>
            <w:r>
              <w:rPr>
                <w:rFonts w:ascii="Times New Roman" w:cs="Times New Roman" w:hAnsi="Times New Roman"/>
                <w:i/>
                <w:iCs/>
              </w:rPr>
              <w:t>1.253</w:t>
            </w:r>
          </w:p>
        </w:tc>
      </w:tr>
      <w:tr w14:paraId="69CFED63">
        <w:tblPrEx/>
        <w:trPr/>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A8AD7F9">
            <w:pPr>
              <w:pStyle w:val="style0"/>
              <w:spacing w:after="0" w:lineRule="auto" w:line="276"/>
              <w:rPr>
                <w:rFonts w:ascii="Times New Roman" w:cs="Times New Roman" w:hAnsi="Times New Roman"/>
              </w:rPr>
            </w:pPr>
            <w:r>
              <w:rPr>
                <w:rFonts w:ascii="Times New Roman" w:cs="Times New Roman" w:hAnsi="Times New Roman"/>
              </w:rPr>
              <w:t>PTE1</w:t>
            </w:r>
          </w:p>
        </w:tc>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B8C4932">
            <w:pPr>
              <w:pStyle w:val="style0"/>
              <w:spacing w:after="0" w:lineRule="auto" w:line="276"/>
              <w:jc w:val="center"/>
              <w:rPr>
                <w:rFonts w:ascii="Times New Roman" w:cs="Times New Roman" w:hAnsi="Times New Roman"/>
              </w:rPr>
            </w:pPr>
            <w:r>
              <w:rPr>
                <w:rFonts w:ascii="Times New Roman" w:cs="Times New Roman" w:hAnsi="Times New Roman"/>
              </w:rPr>
              <w:t>PTE</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FE0BF8E">
            <w:pPr>
              <w:pStyle w:val="style0"/>
              <w:spacing w:after="0" w:lineRule="auto" w:line="276"/>
              <w:jc w:val="center"/>
              <w:rPr>
                <w:rFonts w:ascii="Times New Roman" w:cs="Times New Roman" w:hAnsi="Times New Roman"/>
              </w:rPr>
            </w:pPr>
            <w:r>
              <w:rPr>
                <w:rFonts w:ascii="Times New Roman" w:cs="Times New Roman" w:hAnsi="Times New Roman"/>
              </w:rPr>
              <w:t>1.566</w:t>
            </w:r>
          </w:p>
        </w:tc>
        <w:tc>
          <w:tcPr>
            <w:tcW w:w="1326"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C2193DD">
            <w:pPr>
              <w:pStyle w:val="style0"/>
              <w:spacing w:after="0" w:lineRule="auto" w:line="276"/>
              <w:rPr>
                <w:rFonts w:ascii="Times New Roman" w:cs="Times New Roman" w:hAnsi="Times New Roman"/>
              </w:rPr>
            </w:pPr>
            <w:r>
              <w:rPr>
                <w:rFonts w:ascii="Times New Roman" w:cs="Times New Roman" w:hAnsi="Times New Roman"/>
              </w:rPr>
              <w:t>PTE2</w:t>
            </w:r>
          </w:p>
        </w:tc>
        <w:tc>
          <w:tcPr>
            <w:tcW w:w="144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F3240B4">
            <w:pPr>
              <w:pStyle w:val="style0"/>
              <w:spacing w:after="0" w:lineRule="auto" w:line="276"/>
              <w:jc w:val="center"/>
              <w:rPr>
                <w:rFonts w:ascii="Times New Roman" w:cs="Times New Roman" w:hAnsi="Times New Roman"/>
              </w:rPr>
            </w:pPr>
            <w:r>
              <w:rPr>
                <w:rFonts w:ascii="Times New Roman" w:cs="Times New Roman" w:hAnsi="Times New Roman"/>
              </w:rPr>
              <w:t>PTE</w:t>
            </w:r>
          </w:p>
        </w:tc>
        <w:tc>
          <w:tcPr>
            <w:tcW w:w="191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5E914CD">
            <w:pPr>
              <w:pStyle w:val="style0"/>
              <w:spacing w:after="0" w:lineRule="auto" w:line="276"/>
              <w:jc w:val="center"/>
              <w:rPr>
                <w:rFonts w:ascii="Times New Roman" w:cs="Times New Roman" w:hAnsi="Times New Roman"/>
                <w:i/>
                <w:iCs/>
              </w:rPr>
            </w:pPr>
            <w:r>
              <w:rPr>
                <w:rFonts w:ascii="Times New Roman" w:cs="Times New Roman" w:hAnsi="Times New Roman"/>
                <w:i/>
                <w:iCs/>
              </w:rPr>
              <w:t>1.564</w:t>
            </w:r>
          </w:p>
        </w:tc>
      </w:tr>
      <w:tr w14:paraId="71FB7E48">
        <w:tblPrEx/>
        <w:trPr/>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8D2E4E6">
            <w:pPr>
              <w:pStyle w:val="style0"/>
              <w:spacing w:after="0" w:lineRule="auto" w:line="276"/>
              <w:rPr>
                <w:rFonts w:ascii="Times New Roman" w:cs="Times New Roman" w:hAnsi="Times New Roman"/>
              </w:rPr>
            </w:pPr>
            <w:r>
              <w:rPr>
                <w:rFonts w:ascii="Times New Roman" w:cs="Times New Roman" w:hAnsi="Times New Roman"/>
              </w:rPr>
              <w:t>PTE3</w:t>
            </w:r>
          </w:p>
        </w:tc>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DA44802">
            <w:pPr>
              <w:pStyle w:val="style0"/>
              <w:spacing w:after="0" w:lineRule="auto" w:line="276"/>
              <w:jc w:val="center"/>
              <w:rPr>
                <w:rFonts w:ascii="Times New Roman" w:cs="Times New Roman" w:hAnsi="Times New Roman"/>
              </w:rPr>
            </w:pPr>
            <w:r>
              <w:rPr>
                <w:rFonts w:ascii="Times New Roman" w:cs="Times New Roman" w:hAnsi="Times New Roman"/>
              </w:rPr>
              <w:t>PTE</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26B699E">
            <w:pPr>
              <w:pStyle w:val="style0"/>
              <w:spacing w:after="0" w:lineRule="auto" w:line="276"/>
              <w:jc w:val="center"/>
              <w:rPr>
                <w:rFonts w:ascii="Times New Roman" w:cs="Times New Roman" w:hAnsi="Times New Roman"/>
              </w:rPr>
            </w:pPr>
            <w:r>
              <w:rPr>
                <w:rFonts w:ascii="Times New Roman" w:cs="Times New Roman" w:hAnsi="Times New Roman"/>
              </w:rPr>
              <w:t>1.445</w:t>
            </w:r>
          </w:p>
        </w:tc>
        <w:tc>
          <w:tcPr>
            <w:tcW w:w="1326"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DBF93AA">
            <w:pPr>
              <w:pStyle w:val="style0"/>
              <w:spacing w:after="0" w:lineRule="auto" w:line="276"/>
              <w:rPr>
                <w:rFonts w:ascii="Times New Roman" w:cs="Times New Roman" w:hAnsi="Times New Roman"/>
              </w:rPr>
            </w:pPr>
            <w:r>
              <w:rPr>
                <w:rFonts w:ascii="Times New Roman" w:cs="Times New Roman" w:hAnsi="Times New Roman"/>
              </w:rPr>
              <w:t>PTE4</w:t>
            </w:r>
          </w:p>
        </w:tc>
        <w:tc>
          <w:tcPr>
            <w:tcW w:w="144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9909C41">
            <w:pPr>
              <w:pStyle w:val="style0"/>
              <w:spacing w:after="0" w:lineRule="auto" w:line="276"/>
              <w:jc w:val="center"/>
              <w:rPr>
                <w:rFonts w:ascii="Times New Roman" w:cs="Times New Roman" w:hAnsi="Times New Roman"/>
              </w:rPr>
            </w:pPr>
            <w:r>
              <w:rPr>
                <w:rFonts w:ascii="Times New Roman" w:cs="Times New Roman" w:hAnsi="Times New Roman"/>
              </w:rPr>
              <w:t>PTE</w:t>
            </w:r>
          </w:p>
        </w:tc>
        <w:tc>
          <w:tcPr>
            <w:tcW w:w="191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BC725A2">
            <w:pPr>
              <w:pStyle w:val="style0"/>
              <w:spacing w:after="0" w:lineRule="auto" w:line="276"/>
              <w:jc w:val="center"/>
              <w:rPr>
                <w:rFonts w:ascii="Times New Roman" w:cs="Times New Roman" w:hAnsi="Times New Roman"/>
                <w:i/>
                <w:iCs/>
              </w:rPr>
            </w:pPr>
            <w:r>
              <w:rPr>
                <w:rFonts w:ascii="Times New Roman" w:cs="Times New Roman" w:hAnsi="Times New Roman"/>
                <w:i/>
                <w:iCs/>
              </w:rPr>
              <w:t>1.487</w:t>
            </w:r>
          </w:p>
        </w:tc>
      </w:tr>
      <w:tr w14:paraId="5E930FBF">
        <w:tblPrEx/>
        <w:trPr/>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8288678">
            <w:pPr>
              <w:pStyle w:val="style0"/>
              <w:spacing w:after="0" w:lineRule="auto" w:line="276"/>
              <w:rPr>
                <w:rFonts w:ascii="Times New Roman" w:cs="Times New Roman" w:hAnsi="Times New Roman"/>
              </w:rPr>
            </w:pPr>
            <w:r>
              <w:rPr>
                <w:rFonts w:ascii="Times New Roman" w:cs="Times New Roman" w:hAnsi="Times New Roman"/>
              </w:rPr>
              <w:t>PTE5</w:t>
            </w:r>
          </w:p>
        </w:tc>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5BB7C3E">
            <w:pPr>
              <w:pStyle w:val="style0"/>
              <w:spacing w:after="0" w:lineRule="auto" w:line="276"/>
              <w:jc w:val="center"/>
              <w:rPr>
                <w:rFonts w:ascii="Times New Roman" w:cs="Times New Roman" w:hAnsi="Times New Roman"/>
              </w:rPr>
            </w:pPr>
            <w:r>
              <w:rPr>
                <w:rFonts w:ascii="Times New Roman" w:cs="Times New Roman" w:hAnsi="Times New Roman"/>
              </w:rPr>
              <w:t>PTE</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49A176A">
            <w:pPr>
              <w:pStyle w:val="style0"/>
              <w:spacing w:after="0" w:lineRule="auto" w:line="276"/>
              <w:jc w:val="center"/>
              <w:rPr>
                <w:rFonts w:ascii="Times New Roman" w:cs="Times New Roman" w:hAnsi="Times New Roman"/>
              </w:rPr>
            </w:pPr>
            <w:r>
              <w:rPr>
                <w:rFonts w:ascii="Times New Roman" w:cs="Times New Roman" w:hAnsi="Times New Roman"/>
              </w:rPr>
              <w:t>1.345</w:t>
            </w:r>
          </w:p>
        </w:tc>
        <w:tc>
          <w:tcPr>
            <w:tcW w:w="1326"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680FC86">
            <w:pPr>
              <w:pStyle w:val="style0"/>
              <w:spacing w:after="0" w:lineRule="auto" w:line="276"/>
              <w:rPr>
                <w:rFonts w:ascii="Times New Roman" w:cs="Times New Roman" w:hAnsi="Times New Roman"/>
              </w:rPr>
            </w:pPr>
          </w:p>
        </w:tc>
        <w:tc>
          <w:tcPr>
            <w:tcW w:w="144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D64714D">
            <w:pPr>
              <w:pStyle w:val="style0"/>
              <w:spacing w:after="0" w:lineRule="auto" w:line="276"/>
              <w:jc w:val="center"/>
              <w:rPr>
                <w:rFonts w:ascii="Times New Roman" w:cs="Times New Roman" w:hAnsi="Times New Roman"/>
              </w:rPr>
            </w:pPr>
          </w:p>
        </w:tc>
        <w:tc>
          <w:tcPr>
            <w:tcW w:w="191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15B81E5">
            <w:pPr>
              <w:pStyle w:val="style0"/>
              <w:spacing w:after="0" w:lineRule="auto" w:line="276"/>
              <w:jc w:val="center"/>
              <w:rPr>
                <w:rFonts w:ascii="Times New Roman" w:cs="Times New Roman" w:hAnsi="Times New Roman"/>
                <w:i/>
                <w:iCs/>
              </w:rPr>
            </w:pPr>
          </w:p>
        </w:tc>
      </w:tr>
    </w:tbl>
    <w:p w14:paraId="4ACFFF68">
      <w:pPr>
        <w:pStyle w:val="style0"/>
        <w:spacing w:after="0" w:lineRule="auto" w:line="276"/>
        <w:jc w:val="both"/>
        <w:rPr>
          <w:rFonts w:ascii="Times New Roman" w:cs="Times New Roman" w:hAnsi="Times New Roman"/>
          <w:i/>
          <w:iCs/>
        </w:rPr>
      </w:pPr>
      <w:r>
        <w:rPr>
          <w:rFonts w:ascii="Times New Roman" w:cs="Times New Roman" w:hAnsi="Times New Roman"/>
          <w:i/>
          <w:iCs/>
        </w:rPr>
        <w:t>Note. All VIF values below 3.3, confirming absence of multicollinearity (Kock, 2015; Podsakoff et al., 2024).</w:t>
      </w:r>
    </w:p>
    <w:p w14:paraId="465E2138">
      <w:pPr>
        <w:pStyle w:val="style0"/>
        <w:rPr>
          <w:rFonts w:ascii="Times New Roman" w:cs="Times New Roman" w:hAnsi="Times New Roman"/>
          <w:i/>
          <w:iCs/>
        </w:rPr>
      </w:pPr>
      <w:r>
        <w:rPr>
          <w:rFonts w:ascii="Times New Roman" w:cs="Times New Roman" w:hAnsi="Times New Roman"/>
          <w:i/>
          <w:iCs/>
        </w:rPr>
        <w:br w:type="page"/>
      </w:r>
    </w:p>
    <w:p w14:paraId="69852086">
      <w:pPr>
        <w:pStyle w:val="style0"/>
        <w:spacing w:after="0" w:lineRule="auto" w:line="276"/>
        <w:jc w:val="both"/>
        <w:rPr>
          <w:rFonts w:ascii="Times New Roman" w:cs="Times New Roman" w:hAnsi="Times New Roman"/>
          <w:b/>
          <w:bCs/>
        </w:rPr>
      </w:pPr>
      <w:r>
        <w:rPr>
          <w:rFonts w:ascii="Times New Roman" w:cs="Times New Roman" w:hAnsi="Times New Roman"/>
        </w:rPr>
        <w:t>4.2.</w:t>
      </w:r>
      <w:r>
        <w:rPr>
          <w:rFonts w:ascii="Times New Roman" w:cs="Times New Roman" w:hAnsi="Times New Roman"/>
          <w:b/>
          <w:bCs/>
        </w:rPr>
        <w:tab/>
      </w:r>
      <w:r>
        <w:rPr>
          <w:rFonts w:ascii="Times New Roman" w:cs="Times New Roman" w:hAnsi="Times New Roman"/>
          <w:b/>
          <w:bCs/>
        </w:rPr>
        <w:t xml:space="preserve">Structural Model Assessment </w:t>
      </w:r>
    </w:p>
    <w:p w14:paraId="67CC8C74">
      <w:pPr>
        <w:pStyle w:val="style0"/>
        <w:spacing w:after="0" w:lineRule="auto" w:line="276"/>
        <w:jc w:val="both"/>
        <w:rPr>
          <w:rFonts w:ascii="Times New Roman" w:cs="Times New Roman" w:hAnsi="Times New Roman"/>
        </w:rPr>
      </w:pPr>
      <w:r>
        <w:rPr>
          <w:rFonts w:ascii="Times New Roman" w:cs="Times New Roman" w:hAnsi="Times New Roman"/>
        </w:rPr>
        <w:t>The structural model was assessed using bootstrapped path coefficients (5,000 subsamples), effect sizes (f²), R², and SRMR (Hair et al., 2022; Henseler et al., 2015).</w:t>
      </w:r>
    </w:p>
    <w:p w14:paraId="2D35229F">
      <w:pPr>
        <w:pStyle w:val="style0"/>
        <w:spacing w:after="0" w:lineRule="auto" w:line="276"/>
        <w:jc w:val="center"/>
        <w:rPr>
          <w:rFonts w:ascii="Times New Roman" w:cs="Times New Roman" w:hAnsi="Times New Roman"/>
        </w:rPr>
      </w:pPr>
      <w:r>
        <w:rPr>
          <w:rFonts w:ascii="Times New Roman" w:cs="Times New Roman" w:hAnsi="Times New Roman"/>
          <w:b/>
          <w:bCs/>
        </w:rPr>
        <w:t xml:space="preserve">Table </w:t>
      </w:r>
      <w:r>
        <w:rPr>
          <w:rFonts w:ascii="Times New Roman" w:cs="Times New Roman" w:hAnsi="Times New Roman"/>
          <w:b/>
          <w:bCs/>
        </w:rPr>
        <w:t>4</w:t>
      </w:r>
      <w:r>
        <w:rPr>
          <w:rFonts w:ascii="Times New Roman" w:cs="Times New Roman" w:hAnsi="Times New Roman"/>
          <w:b/>
          <w:bCs/>
        </w:rPr>
        <w:t xml:space="preserve">. </w:t>
      </w:r>
      <w:r>
        <w:rPr>
          <w:rFonts w:ascii="Times New Roman" w:cs="Times New Roman" w:hAnsi="Times New Roman"/>
        </w:rPr>
        <w:t>Path Coefficients — Direct Effects (Bootstrapping, n = 5,000 Subsamples)</w:t>
      </w:r>
    </w:p>
    <w:tbl>
      <w:tblPr>
        <w:tblW w:w="98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440"/>
        <w:gridCol w:w="1530"/>
        <w:gridCol w:w="1260"/>
        <w:gridCol w:w="1350"/>
        <w:gridCol w:w="1170"/>
        <w:gridCol w:w="1295"/>
      </w:tblGrid>
      <w:tr w14:paraId="74B6C74E">
        <w:trPr>
          <w:tblHeader/>
        </w:trPr>
        <w:tc>
          <w:tcPr>
            <w:tcW w:w="180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6A7DF77D">
            <w:pPr>
              <w:pStyle w:val="style0"/>
              <w:spacing w:after="0" w:lineRule="auto" w:line="276"/>
              <w:jc w:val="center"/>
              <w:rPr>
                <w:rFonts w:ascii="Times New Roman" w:cs="Times New Roman" w:hAnsi="Times New Roman"/>
              </w:rPr>
            </w:pPr>
            <w:r>
              <w:rPr>
                <w:rFonts w:ascii="Times New Roman" w:cs="Times New Roman" w:hAnsi="Times New Roman"/>
              </w:rPr>
              <w:t>Path</w:t>
            </w:r>
          </w:p>
        </w:tc>
        <w:tc>
          <w:tcPr>
            <w:tcW w:w="144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7D8C6C6B">
            <w:pPr>
              <w:pStyle w:val="style0"/>
              <w:spacing w:after="0" w:lineRule="auto" w:line="276"/>
              <w:jc w:val="center"/>
              <w:rPr>
                <w:rFonts w:ascii="Times New Roman" w:cs="Times New Roman" w:hAnsi="Times New Roman"/>
              </w:rPr>
            </w:pPr>
            <w:r>
              <w:rPr>
                <w:rFonts w:ascii="Times New Roman" w:cs="Times New Roman" w:hAnsi="Times New Roman"/>
              </w:rPr>
              <w:t>H</w:t>
            </w:r>
          </w:p>
        </w:tc>
        <w:tc>
          <w:tcPr>
            <w:tcW w:w="153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0F28484C">
            <w:pPr>
              <w:pStyle w:val="style0"/>
              <w:spacing w:after="0" w:lineRule="auto" w:line="276"/>
              <w:jc w:val="center"/>
              <w:rPr>
                <w:rFonts w:ascii="Times New Roman" w:cs="Times New Roman" w:hAnsi="Times New Roman"/>
              </w:rPr>
            </w:pPr>
            <w:r>
              <w:rPr>
                <w:rFonts w:ascii="Times New Roman" w:cs="Times New Roman" w:hAnsi="Times New Roman"/>
              </w:rPr>
              <w:t>β (O)</w:t>
            </w:r>
          </w:p>
        </w:tc>
        <w:tc>
          <w:tcPr>
            <w:tcW w:w="126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176A562A">
            <w:pPr>
              <w:pStyle w:val="style0"/>
              <w:spacing w:after="0" w:lineRule="auto" w:line="276"/>
              <w:jc w:val="center"/>
              <w:rPr>
                <w:rFonts w:ascii="Times New Roman" w:cs="Times New Roman" w:hAnsi="Times New Roman"/>
              </w:rPr>
            </w:pPr>
            <w:r>
              <w:rPr>
                <w:rFonts w:ascii="Times New Roman" w:cs="Times New Roman" w:hAnsi="Times New Roman"/>
              </w:rPr>
              <w:t>M</w:t>
            </w:r>
          </w:p>
        </w:tc>
        <w:tc>
          <w:tcPr>
            <w:tcW w:w="135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657858D4">
            <w:pPr>
              <w:pStyle w:val="style0"/>
              <w:spacing w:after="0" w:lineRule="auto" w:line="276"/>
              <w:jc w:val="center"/>
              <w:rPr>
                <w:rFonts w:ascii="Times New Roman" w:cs="Times New Roman" w:hAnsi="Times New Roman"/>
              </w:rPr>
            </w:pPr>
            <w:r>
              <w:rPr>
                <w:rFonts w:ascii="Times New Roman" w:cs="Times New Roman" w:hAnsi="Times New Roman"/>
              </w:rPr>
              <w:t>STDEV</w:t>
            </w:r>
          </w:p>
        </w:tc>
        <w:tc>
          <w:tcPr>
            <w:tcW w:w="117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54F4B978">
            <w:pPr>
              <w:pStyle w:val="style0"/>
              <w:spacing w:after="0" w:lineRule="auto" w:line="276"/>
              <w:jc w:val="center"/>
              <w:rPr>
                <w:rFonts w:ascii="Times New Roman" w:cs="Times New Roman" w:hAnsi="Times New Roman"/>
              </w:rPr>
            </w:pPr>
            <w:r>
              <w:rPr>
                <w:rFonts w:ascii="Times New Roman" w:cs="Times New Roman" w:hAnsi="Times New Roman"/>
              </w:rPr>
              <w:t>t</w:t>
            </w:r>
          </w:p>
        </w:tc>
        <w:tc>
          <w:tcPr>
            <w:tcW w:w="1295"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4B7C257B">
            <w:pPr>
              <w:pStyle w:val="style0"/>
              <w:spacing w:after="0" w:lineRule="auto" w:line="276"/>
              <w:jc w:val="center"/>
              <w:rPr>
                <w:rFonts w:ascii="Times New Roman" w:cs="Times New Roman" w:hAnsi="Times New Roman"/>
              </w:rPr>
            </w:pPr>
            <w:r>
              <w:rPr>
                <w:rFonts w:ascii="Times New Roman" w:cs="Times New Roman" w:hAnsi="Times New Roman"/>
              </w:rPr>
              <w:t>p</w:t>
            </w:r>
          </w:p>
        </w:tc>
      </w:tr>
      <w:tr w14:paraId="374F7D03">
        <w:tblPrEx/>
        <w:trPr/>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309038F">
            <w:pPr>
              <w:pStyle w:val="style0"/>
              <w:spacing w:after="0" w:lineRule="auto" w:line="276"/>
              <w:rPr>
                <w:rFonts w:ascii="Times New Roman" w:cs="Times New Roman" w:hAnsi="Times New Roman"/>
              </w:rPr>
            </w:pPr>
            <w:r>
              <w:rPr>
                <w:rFonts w:ascii="Times New Roman" w:cs="Times New Roman" w:hAnsi="Times New Roman"/>
              </w:rPr>
              <w:t>AGM → IM</w:t>
            </w:r>
          </w:p>
        </w:tc>
        <w:tc>
          <w:tcPr>
            <w:tcW w:w="144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BDA411E">
            <w:pPr>
              <w:pStyle w:val="style0"/>
              <w:spacing w:after="0" w:lineRule="auto" w:line="276"/>
              <w:jc w:val="center"/>
              <w:rPr>
                <w:rFonts w:ascii="Times New Roman" w:cs="Times New Roman" w:hAnsi="Times New Roman"/>
              </w:rPr>
            </w:pPr>
            <w:r>
              <w:rPr>
                <w:rFonts w:ascii="Times New Roman" w:cs="Times New Roman" w:hAnsi="Times New Roman"/>
              </w:rPr>
              <w:t>H1</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F00F044">
            <w:pPr>
              <w:pStyle w:val="style0"/>
              <w:spacing w:after="0" w:lineRule="auto" w:line="276"/>
              <w:jc w:val="center"/>
              <w:rPr>
                <w:rFonts w:ascii="Times New Roman" w:cs="Times New Roman" w:hAnsi="Times New Roman"/>
              </w:rPr>
            </w:pPr>
            <w:r>
              <w:rPr>
                <w:rFonts w:ascii="Times New Roman" w:cs="Times New Roman" w:hAnsi="Times New Roman"/>
              </w:rPr>
              <w:t>0.194</w:t>
            </w:r>
          </w:p>
        </w:tc>
        <w:tc>
          <w:tcPr>
            <w:tcW w:w="126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20E4EC7">
            <w:pPr>
              <w:pStyle w:val="style0"/>
              <w:spacing w:after="0" w:lineRule="auto" w:line="276"/>
              <w:jc w:val="center"/>
              <w:rPr>
                <w:rFonts w:ascii="Times New Roman" w:cs="Times New Roman" w:hAnsi="Times New Roman"/>
              </w:rPr>
            </w:pPr>
            <w:r>
              <w:rPr>
                <w:rFonts w:ascii="Times New Roman" w:cs="Times New Roman" w:hAnsi="Times New Roman"/>
              </w:rPr>
              <w:t>0.203</w:t>
            </w:r>
          </w:p>
        </w:tc>
        <w:tc>
          <w:tcPr>
            <w:tcW w:w="135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9F0D553">
            <w:pPr>
              <w:pStyle w:val="style0"/>
              <w:spacing w:after="0" w:lineRule="auto" w:line="276"/>
              <w:jc w:val="center"/>
              <w:rPr>
                <w:rFonts w:ascii="Times New Roman" w:cs="Times New Roman" w:hAnsi="Times New Roman"/>
              </w:rPr>
            </w:pPr>
            <w:r>
              <w:rPr>
                <w:rFonts w:ascii="Times New Roman" w:cs="Times New Roman" w:hAnsi="Times New Roman"/>
              </w:rPr>
              <w:t>0.055</w:t>
            </w:r>
          </w:p>
        </w:tc>
        <w:tc>
          <w:tcPr>
            <w:tcW w:w="117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734B15C">
            <w:pPr>
              <w:pStyle w:val="style0"/>
              <w:spacing w:after="0" w:lineRule="auto" w:line="276"/>
              <w:jc w:val="center"/>
              <w:rPr>
                <w:rFonts w:ascii="Times New Roman" w:cs="Times New Roman" w:hAnsi="Times New Roman"/>
              </w:rPr>
            </w:pPr>
            <w:r>
              <w:rPr>
                <w:rFonts w:ascii="Times New Roman" w:cs="Times New Roman" w:hAnsi="Times New Roman"/>
              </w:rPr>
              <w:t>3.546</w:t>
            </w:r>
          </w:p>
        </w:tc>
        <w:tc>
          <w:tcPr>
            <w:tcW w:w="1295"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B84F8F3">
            <w:pPr>
              <w:pStyle w:val="style0"/>
              <w:spacing w:after="0" w:lineRule="auto" w:line="276"/>
              <w:jc w:val="center"/>
              <w:rPr>
                <w:rFonts w:ascii="Times New Roman" w:cs="Times New Roman" w:hAnsi="Times New Roman"/>
              </w:rPr>
            </w:pPr>
            <w:r>
              <w:rPr>
                <w:rFonts w:ascii="Times New Roman" w:cs="Times New Roman" w:hAnsi="Times New Roman"/>
              </w:rPr>
              <w:t>&lt;0.001</w:t>
            </w:r>
          </w:p>
        </w:tc>
      </w:tr>
      <w:tr w14:paraId="319B5E17">
        <w:tblPrEx/>
        <w:trPr/>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F7BA3F1">
            <w:pPr>
              <w:pStyle w:val="style0"/>
              <w:spacing w:after="0" w:lineRule="auto" w:line="276"/>
              <w:rPr>
                <w:rFonts w:ascii="Times New Roman" w:cs="Times New Roman" w:hAnsi="Times New Roman"/>
              </w:rPr>
            </w:pPr>
            <w:r>
              <w:rPr>
                <w:rFonts w:ascii="Times New Roman" w:cs="Times New Roman" w:hAnsi="Times New Roman"/>
              </w:rPr>
              <w:t>AIC → IM</w:t>
            </w:r>
          </w:p>
        </w:tc>
        <w:tc>
          <w:tcPr>
            <w:tcW w:w="144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54D5C2C">
            <w:pPr>
              <w:pStyle w:val="style0"/>
              <w:spacing w:after="0" w:lineRule="auto" w:line="276"/>
              <w:jc w:val="center"/>
              <w:rPr>
                <w:rFonts w:ascii="Times New Roman" w:cs="Times New Roman" w:hAnsi="Times New Roman"/>
              </w:rPr>
            </w:pPr>
            <w:r>
              <w:rPr>
                <w:rFonts w:ascii="Times New Roman" w:cs="Times New Roman" w:hAnsi="Times New Roman"/>
              </w:rPr>
              <w:t>H3</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3D5D522">
            <w:pPr>
              <w:pStyle w:val="style0"/>
              <w:spacing w:after="0" w:lineRule="auto" w:line="276"/>
              <w:jc w:val="center"/>
              <w:rPr>
                <w:rFonts w:ascii="Times New Roman" w:cs="Times New Roman" w:hAnsi="Times New Roman"/>
              </w:rPr>
            </w:pPr>
            <w:r>
              <w:rPr>
                <w:rFonts w:ascii="Times New Roman" w:cs="Times New Roman" w:hAnsi="Times New Roman"/>
              </w:rPr>
              <w:t>0.302</w:t>
            </w:r>
          </w:p>
        </w:tc>
        <w:tc>
          <w:tcPr>
            <w:tcW w:w="126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D5E4853">
            <w:pPr>
              <w:pStyle w:val="style0"/>
              <w:spacing w:after="0" w:lineRule="auto" w:line="276"/>
              <w:jc w:val="center"/>
              <w:rPr>
                <w:rFonts w:ascii="Times New Roman" w:cs="Times New Roman" w:hAnsi="Times New Roman"/>
              </w:rPr>
            </w:pPr>
            <w:r>
              <w:rPr>
                <w:rFonts w:ascii="Times New Roman" w:cs="Times New Roman" w:hAnsi="Times New Roman"/>
              </w:rPr>
              <w:t>0.308</w:t>
            </w:r>
          </w:p>
        </w:tc>
        <w:tc>
          <w:tcPr>
            <w:tcW w:w="135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509833A">
            <w:pPr>
              <w:pStyle w:val="style0"/>
              <w:spacing w:after="0" w:lineRule="auto" w:line="276"/>
              <w:jc w:val="center"/>
              <w:rPr>
                <w:rFonts w:ascii="Times New Roman" w:cs="Times New Roman" w:hAnsi="Times New Roman"/>
              </w:rPr>
            </w:pPr>
            <w:r>
              <w:rPr>
                <w:rFonts w:ascii="Times New Roman" w:cs="Times New Roman" w:hAnsi="Times New Roman"/>
              </w:rPr>
              <w:t>0.057</w:t>
            </w:r>
          </w:p>
        </w:tc>
        <w:tc>
          <w:tcPr>
            <w:tcW w:w="117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8FC1146">
            <w:pPr>
              <w:pStyle w:val="style0"/>
              <w:spacing w:after="0" w:lineRule="auto" w:line="276"/>
              <w:jc w:val="center"/>
              <w:rPr>
                <w:rFonts w:ascii="Times New Roman" w:cs="Times New Roman" w:hAnsi="Times New Roman"/>
              </w:rPr>
            </w:pPr>
            <w:r>
              <w:rPr>
                <w:rFonts w:ascii="Times New Roman" w:cs="Times New Roman" w:hAnsi="Times New Roman"/>
              </w:rPr>
              <w:t>5.312</w:t>
            </w:r>
          </w:p>
        </w:tc>
        <w:tc>
          <w:tcPr>
            <w:tcW w:w="1295"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92F9606">
            <w:pPr>
              <w:pStyle w:val="style0"/>
              <w:spacing w:after="0" w:lineRule="auto" w:line="276"/>
              <w:jc w:val="center"/>
              <w:rPr>
                <w:rFonts w:ascii="Times New Roman" w:cs="Times New Roman" w:hAnsi="Times New Roman"/>
              </w:rPr>
            </w:pPr>
            <w:r>
              <w:rPr>
                <w:rFonts w:ascii="Times New Roman" w:cs="Times New Roman" w:hAnsi="Times New Roman"/>
              </w:rPr>
              <w:t>&lt;0.001</w:t>
            </w:r>
          </w:p>
        </w:tc>
      </w:tr>
      <w:tr w14:paraId="4E1DDBF6">
        <w:tblPrEx/>
        <w:trPr/>
        <w:tc>
          <w:tcPr>
            <w:tcW w:w="18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0756037">
            <w:pPr>
              <w:pStyle w:val="style0"/>
              <w:spacing w:after="0" w:lineRule="auto" w:line="276"/>
              <w:rPr>
                <w:rFonts w:ascii="Times New Roman" w:cs="Times New Roman" w:hAnsi="Times New Roman"/>
              </w:rPr>
            </w:pPr>
            <w:r>
              <w:rPr>
                <w:rFonts w:ascii="Times New Roman" w:cs="Times New Roman" w:hAnsi="Times New Roman"/>
              </w:rPr>
              <w:t>IM → APM</w:t>
            </w:r>
          </w:p>
        </w:tc>
        <w:tc>
          <w:tcPr>
            <w:tcW w:w="144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1F8D8E0">
            <w:pPr>
              <w:pStyle w:val="style0"/>
              <w:spacing w:after="0" w:lineRule="auto" w:line="276"/>
              <w:jc w:val="center"/>
              <w:rPr>
                <w:rFonts w:ascii="Times New Roman" w:cs="Times New Roman" w:hAnsi="Times New Roman"/>
              </w:rPr>
            </w:pPr>
            <w:r>
              <w:rPr>
                <w:rFonts w:ascii="Times New Roman" w:cs="Times New Roman" w:hAnsi="Times New Roman"/>
              </w:rPr>
              <w:t>H4</w:t>
            </w:r>
          </w:p>
        </w:tc>
        <w:tc>
          <w:tcPr>
            <w:tcW w:w="15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2A4DA5F">
            <w:pPr>
              <w:pStyle w:val="style0"/>
              <w:spacing w:after="0" w:lineRule="auto" w:line="276"/>
              <w:jc w:val="center"/>
              <w:rPr>
                <w:rFonts w:ascii="Times New Roman" w:cs="Times New Roman" w:hAnsi="Times New Roman"/>
              </w:rPr>
            </w:pPr>
            <w:r>
              <w:rPr>
                <w:rFonts w:ascii="Times New Roman" w:cs="Times New Roman" w:hAnsi="Times New Roman"/>
              </w:rPr>
              <w:t>0.369</w:t>
            </w:r>
          </w:p>
        </w:tc>
        <w:tc>
          <w:tcPr>
            <w:tcW w:w="126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95A55E9">
            <w:pPr>
              <w:pStyle w:val="style0"/>
              <w:spacing w:after="0" w:lineRule="auto" w:line="276"/>
              <w:jc w:val="center"/>
              <w:rPr>
                <w:rFonts w:ascii="Times New Roman" w:cs="Times New Roman" w:hAnsi="Times New Roman"/>
              </w:rPr>
            </w:pPr>
            <w:r>
              <w:rPr>
                <w:rFonts w:ascii="Times New Roman" w:cs="Times New Roman" w:hAnsi="Times New Roman"/>
              </w:rPr>
              <w:t>0.383</w:t>
            </w:r>
          </w:p>
        </w:tc>
        <w:tc>
          <w:tcPr>
            <w:tcW w:w="135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99EBEF5">
            <w:pPr>
              <w:pStyle w:val="style0"/>
              <w:spacing w:after="0" w:lineRule="auto" w:line="276"/>
              <w:jc w:val="center"/>
              <w:rPr>
                <w:rFonts w:ascii="Times New Roman" w:cs="Times New Roman" w:hAnsi="Times New Roman"/>
              </w:rPr>
            </w:pPr>
            <w:r>
              <w:rPr>
                <w:rFonts w:ascii="Times New Roman" w:cs="Times New Roman" w:hAnsi="Times New Roman"/>
              </w:rPr>
              <w:t>0.053</w:t>
            </w:r>
          </w:p>
        </w:tc>
        <w:tc>
          <w:tcPr>
            <w:tcW w:w="117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A10ABBF">
            <w:pPr>
              <w:pStyle w:val="style0"/>
              <w:spacing w:after="0" w:lineRule="auto" w:line="276"/>
              <w:jc w:val="center"/>
              <w:rPr>
                <w:rFonts w:ascii="Times New Roman" w:cs="Times New Roman" w:hAnsi="Times New Roman"/>
              </w:rPr>
            </w:pPr>
            <w:r>
              <w:rPr>
                <w:rFonts w:ascii="Times New Roman" w:cs="Times New Roman" w:hAnsi="Times New Roman"/>
              </w:rPr>
              <w:t>6.950</w:t>
            </w:r>
          </w:p>
        </w:tc>
        <w:tc>
          <w:tcPr>
            <w:tcW w:w="1295"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C99AA10">
            <w:pPr>
              <w:pStyle w:val="style0"/>
              <w:spacing w:after="0" w:lineRule="auto" w:line="276"/>
              <w:jc w:val="center"/>
              <w:rPr>
                <w:rFonts w:ascii="Times New Roman" w:cs="Times New Roman" w:hAnsi="Times New Roman"/>
              </w:rPr>
            </w:pPr>
            <w:r>
              <w:rPr>
                <w:rFonts w:ascii="Times New Roman" w:cs="Times New Roman" w:hAnsi="Times New Roman"/>
              </w:rPr>
              <w:t>&lt;0.001</w:t>
            </w:r>
          </w:p>
        </w:tc>
      </w:tr>
      <w:tr w14:paraId="4DDBF1E2">
        <w:tblPrEx/>
        <w:trPr/>
        <w:tc>
          <w:tcPr>
            <w:tcW w:w="18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A8C5663">
            <w:pPr>
              <w:pStyle w:val="style0"/>
              <w:spacing w:after="0" w:lineRule="auto" w:line="276"/>
              <w:rPr>
                <w:rFonts w:ascii="Times New Roman" w:cs="Times New Roman" w:hAnsi="Times New Roman"/>
              </w:rPr>
            </w:pPr>
            <w:r>
              <w:rPr>
                <w:rFonts w:ascii="Times New Roman" w:cs="Times New Roman" w:hAnsi="Times New Roman"/>
              </w:rPr>
              <w:t>PTE → IM</w:t>
            </w:r>
          </w:p>
        </w:tc>
        <w:tc>
          <w:tcPr>
            <w:tcW w:w="144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4DB14FE">
            <w:pPr>
              <w:pStyle w:val="style0"/>
              <w:spacing w:after="0" w:lineRule="auto" w:line="276"/>
              <w:jc w:val="center"/>
              <w:rPr>
                <w:rFonts w:ascii="Times New Roman" w:cs="Times New Roman" w:hAnsi="Times New Roman"/>
              </w:rPr>
            </w:pPr>
            <w:r>
              <w:rPr>
                <w:rFonts w:ascii="Times New Roman" w:cs="Times New Roman" w:hAnsi="Times New Roman"/>
              </w:rPr>
              <w:t>H2</w:t>
            </w:r>
          </w:p>
        </w:tc>
        <w:tc>
          <w:tcPr>
            <w:tcW w:w="15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3C125E0">
            <w:pPr>
              <w:pStyle w:val="style0"/>
              <w:spacing w:after="0" w:lineRule="auto" w:line="276"/>
              <w:jc w:val="center"/>
              <w:rPr>
                <w:rFonts w:ascii="Times New Roman" w:cs="Times New Roman" w:hAnsi="Times New Roman"/>
              </w:rPr>
            </w:pPr>
            <w:r>
              <w:rPr>
                <w:rFonts w:ascii="Times New Roman" w:cs="Times New Roman" w:hAnsi="Times New Roman"/>
              </w:rPr>
              <w:t>0.125</w:t>
            </w:r>
          </w:p>
        </w:tc>
        <w:tc>
          <w:tcPr>
            <w:tcW w:w="126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3D6AE6F">
            <w:pPr>
              <w:pStyle w:val="style0"/>
              <w:spacing w:after="0" w:lineRule="auto" w:line="276"/>
              <w:jc w:val="center"/>
              <w:rPr>
                <w:rFonts w:ascii="Times New Roman" w:cs="Times New Roman" w:hAnsi="Times New Roman"/>
              </w:rPr>
            </w:pPr>
            <w:r>
              <w:rPr>
                <w:rFonts w:ascii="Times New Roman" w:cs="Times New Roman" w:hAnsi="Times New Roman"/>
              </w:rPr>
              <w:t>0.136</w:t>
            </w:r>
          </w:p>
        </w:tc>
        <w:tc>
          <w:tcPr>
            <w:tcW w:w="135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DEEAAAB">
            <w:pPr>
              <w:pStyle w:val="style0"/>
              <w:spacing w:after="0" w:lineRule="auto" w:line="276"/>
              <w:jc w:val="center"/>
              <w:rPr>
                <w:rFonts w:ascii="Times New Roman" w:cs="Times New Roman" w:hAnsi="Times New Roman"/>
              </w:rPr>
            </w:pPr>
            <w:r>
              <w:rPr>
                <w:rFonts w:ascii="Times New Roman" w:cs="Times New Roman" w:hAnsi="Times New Roman"/>
              </w:rPr>
              <w:t>0.058</w:t>
            </w:r>
          </w:p>
        </w:tc>
        <w:tc>
          <w:tcPr>
            <w:tcW w:w="117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81653DD">
            <w:pPr>
              <w:pStyle w:val="style0"/>
              <w:spacing w:after="0" w:lineRule="auto" w:line="276"/>
              <w:jc w:val="center"/>
              <w:rPr>
                <w:rFonts w:ascii="Times New Roman" w:cs="Times New Roman" w:hAnsi="Times New Roman"/>
              </w:rPr>
            </w:pPr>
            <w:r>
              <w:rPr>
                <w:rFonts w:ascii="Times New Roman" w:cs="Times New Roman" w:hAnsi="Times New Roman"/>
              </w:rPr>
              <w:t>2.162</w:t>
            </w:r>
          </w:p>
        </w:tc>
        <w:tc>
          <w:tcPr>
            <w:tcW w:w="1295"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B9C14F0">
            <w:pPr>
              <w:pStyle w:val="style0"/>
              <w:spacing w:after="0" w:lineRule="auto" w:line="276"/>
              <w:jc w:val="center"/>
              <w:rPr>
                <w:rFonts w:ascii="Times New Roman" w:cs="Times New Roman" w:hAnsi="Times New Roman"/>
              </w:rPr>
            </w:pPr>
            <w:r>
              <w:rPr>
                <w:rFonts w:ascii="Times New Roman" w:cs="Times New Roman" w:hAnsi="Times New Roman"/>
              </w:rPr>
              <w:t>0.031</w:t>
            </w:r>
          </w:p>
        </w:tc>
      </w:tr>
    </w:tbl>
    <w:p w14:paraId="09DB5BDF">
      <w:pPr>
        <w:pStyle w:val="style0"/>
        <w:spacing w:after="0" w:lineRule="auto" w:line="276"/>
        <w:jc w:val="both"/>
        <w:rPr>
          <w:rFonts w:ascii="Times New Roman" w:cs="Times New Roman" w:hAnsi="Times New Roman"/>
        </w:rPr>
      </w:pPr>
      <w:r>
        <w:rPr>
          <w:rFonts w:ascii="Times New Roman" w:cs="Times New Roman" w:hAnsi="Times New Roman"/>
          <w:i/>
          <w:iCs/>
        </w:rPr>
        <w:t>Note. O = Original sample; M = Bootstrapped mean; t = |O/STDEV|. Significance p &lt; 0.05 two-tailed. Green = significant; Red = not significant at 5% level.</w:t>
      </w:r>
    </w:p>
    <w:p w14:paraId="69DD2DA3">
      <w:pPr>
        <w:pStyle w:val="style0"/>
        <w:spacing w:after="0" w:lineRule="auto" w:line="276"/>
        <w:jc w:val="both"/>
        <w:rPr>
          <w:rFonts w:ascii="Times New Roman" w:cs="Times New Roman" w:hAnsi="Times New Roman"/>
        </w:rPr>
      </w:pPr>
      <w:r>
        <w:rPr>
          <w:rFonts w:ascii="Times New Roman" w:cs="Times New Roman" w:hAnsi="Times New Roman"/>
        </w:rPr>
        <w:t>H1 (AGM→IM, β=0.194, t=3.546, p&lt;0.001): Supported. H2 (PTE→IM, β=0.125, t=2.162, p=0.031): Supported. H3 (AIC→IM, β=0.302, t=5.312, p&lt;0.001): Supported — strongest direct effect. H4 (IM→APM, β=0.369, t=6.950, p&lt;0.001): Supported — strongest predictor of APM.</w:t>
      </w:r>
    </w:p>
    <w:p w14:paraId="7FF5FD5C">
      <w:pPr>
        <w:pStyle w:val="style0"/>
        <w:spacing w:after="0" w:lineRule="auto" w:line="276"/>
        <w:jc w:val="center"/>
        <w:rPr>
          <w:rFonts w:ascii="Times New Roman" w:cs="Times New Roman" w:hAnsi="Times New Roman"/>
        </w:rPr>
      </w:pPr>
      <w:r>
        <w:rPr>
          <w:rFonts w:ascii="Times New Roman" w:cs="Times New Roman" w:hAnsi="Times New Roman"/>
          <w:b/>
          <w:bCs/>
        </w:rPr>
        <w:t xml:space="preserve">Table </w:t>
      </w:r>
      <w:r>
        <w:rPr>
          <w:rFonts w:ascii="Times New Roman" w:cs="Times New Roman" w:hAnsi="Times New Roman"/>
          <w:b/>
          <w:bCs/>
        </w:rPr>
        <w:t>5</w:t>
      </w:r>
      <w:r>
        <w:rPr>
          <w:rFonts w:ascii="Times New Roman" w:cs="Times New Roman" w:hAnsi="Times New Roman"/>
          <w:b/>
          <w:bCs/>
        </w:rPr>
        <w:t xml:space="preserve">. </w:t>
      </w:r>
      <w:r>
        <w:rPr>
          <w:rFonts w:ascii="Times New Roman" w:cs="Times New Roman" w:hAnsi="Times New Roman"/>
        </w:rPr>
        <w:t>Specific Indirect Effects — Mediation Analysis (Bootstrapping, n = 5,000 Subsamples)</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74"/>
        <w:gridCol w:w="900"/>
        <w:gridCol w:w="1000"/>
        <w:gridCol w:w="1000"/>
        <w:gridCol w:w="1001"/>
        <w:gridCol w:w="1000"/>
        <w:gridCol w:w="1130"/>
      </w:tblGrid>
      <w:tr w14:paraId="47682661">
        <w:trPr>
          <w:tblHeader/>
          <w:jc w:val="center"/>
        </w:trPr>
        <w:tc>
          <w:tcPr>
            <w:tcW w:w="2874"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1B05BD7E">
            <w:pPr>
              <w:pStyle w:val="style0"/>
              <w:spacing w:after="0" w:lineRule="auto" w:line="276"/>
              <w:jc w:val="center"/>
              <w:rPr>
                <w:rFonts w:ascii="Times New Roman" w:cs="Times New Roman" w:hAnsi="Times New Roman"/>
              </w:rPr>
            </w:pPr>
            <w:r>
              <w:rPr>
                <w:rFonts w:ascii="Times New Roman" w:cs="Times New Roman" w:hAnsi="Times New Roman"/>
              </w:rPr>
              <w:t>Mediation Path</w:t>
            </w:r>
          </w:p>
        </w:tc>
        <w:tc>
          <w:tcPr>
            <w:tcW w:w="90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4643430B">
            <w:pPr>
              <w:pStyle w:val="style0"/>
              <w:spacing w:after="0" w:lineRule="auto" w:line="276"/>
              <w:jc w:val="center"/>
              <w:rPr>
                <w:rFonts w:ascii="Times New Roman" w:cs="Times New Roman" w:hAnsi="Times New Roman"/>
              </w:rPr>
            </w:pPr>
            <w:r>
              <w:rPr>
                <w:rFonts w:ascii="Times New Roman" w:cs="Times New Roman" w:hAnsi="Times New Roman"/>
              </w:rPr>
              <w:t>H</w:t>
            </w:r>
          </w:p>
        </w:tc>
        <w:tc>
          <w:tcPr>
            <w:tcW w:w="100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1D6FE6A6">
            <w:pPr>
              <w:pStyle w:val="style0"/>
              <w:spacing w:after="0" w:lineRule="auto" w:line="276"/>
              <w:jc w:val="center"/>
              <w:rPr>
                <w:rFonts w:ascii="Times New Roman" w:cs="Times New Roman" w:hAnsi="Times New Roman"/>
              </w:rPr>
            </w:pPr>
            <w:r>
              <w:rPr>
                <w:rFonts w:ascii="Times New Roman" w:cs="Times New Roman" w:hAnsi="Times New Roman"/>
              </w:rPr>
              <w:t>β (O)</w:t>
            </w:r>
          </w:p>
        </w:tc>
        <w:tc>
          <w:tcPr>
            <w:tcW w:w="100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68F02620">
            <w:pPr>
              <w:pStyle w:val="style0"/>
              <w:spacing w:after="0" w:lineRule="auto" w:line="276"/>
              <w:jc w:val="center"/>
              <w:rPr>
                <w:rFonts w:ascii="Times New Roman" w:cs="Times New Roman" w:hAnsi="Times New Roman"/>
              </w:rPr>
            </w:pPr>
            <w:r>
              <w:rPr>
                <w:rFonts w:ascii="Times New Roman" w:cs="Times New Roman" w:hAnsi="Times New Roman"/>
              </w:rPr>
              <w:t>M</w:t>
            </w:r>
          </w:p>
        </w:tc>
        <w:tc>
          <w:tcPr>
            <w:tcW w:w="1001"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5FF37FD3">
            <w:pPr>
              <w:pStyle w:val="style0"/>
              <w:spacing w:after="0" w:lineRule="auto" w:line="276"/>
              <w:jc w:val="center"/>
              <w:rPr>
                <w:rFonts w:ascii="Times New Roman" w:cs="Times New Roman" w:hAnsi="Times New Roman"/>
              </w:rPr>
            </w:pPr>
            <w:r>
              <w:rPr>
                <w:rFonts w:ascii="Times New Roman" w:cs="Times New Roman" w:hAnsi="Times New Roman"/>
              </w:rPr>
              <w:t>STDEV</w:t>
            </w:r>
          </w:p>
        </w:tc>
        <w:tc>
          <w:tcPr>
            <w:tcW w:w="100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1B7BB891">
            <w:pPr>
              <w:pStyle w:val="style0"/>
              <w:spacing w:after="0" w:lineRule="auto" w:line="276"/>
              <w:jc w:val="center"/>
              <w:rPr>
                <w:rFonts w:ascii="Times New Roman" w:cs="Times New Roman" w:hAnsi="Times New Roman"/>
              </w:rPr>
            </w:pPr>
            <w:r>
              <w:rPr>
                <w:rFonts w:ascii="Times New Roman" w:cs="Times New Roman" w:hAnsi="Times New Roman"/>
              </w:rPr>
              <w:t>t</w:t>
            </w:r>
          </w:p>
        </w:tc>
        <w:tc>
          <w:tcPr>
            <w:tcW w:w="113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74645044">
            <w:pPr>
              <w:pStyle w:val="style0"/>
              <w:spacing w:after="0" w:lineRule="auto" w:line="276"/>
              <w:jc w:val="center"/>
              <w:rPr>
                <w:rFonts w:ascii="Times New Roman" w:cs="Times New Roman" w:hAnsi="Times New Roman"/>
              </w:rPr>
            </w:pPr>
            <w:r>
              <w:rPr>
                <w:rFonts w:ascii="Times New Roman" w:cs="Times New Roman" w:hAnsi="Times New Roman"/>
              </w:rPr>
              <w:t>p</w:t>
            </w:r>
          </w:p>
        </w:tc>
      </w:tr>
      <w:tr w14:paraId="0A14064D">
        <w:tblPrEx/>
        <w:trPr>
          <w:jc w:val="center"/>
        </w:trPr>
        <w:tc>
          <w:tcPr>
            <w:tcW w:w="287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19543D0">
            <w:pPr>
              <w:pStyle w:val="style0"/>
              <w:spacing w:after="0" w:lineRule="auto" w:line="276"/>
              <w:rPr>
                <w:rFonts w:ascii="Times New Roman" w:cs="Times New Roman" w:hAnsi="Times New Roman"/>
              </w:rPr>
            </w:pPr>
            <w:r>
              <w:rPr>
                <w:rFonts w:ascii="Times New Roman" w:cs="Times New Roman" w:hAnsi="Times New Roman"/>
              </w:rPr>
              <w:t>AGM → IM → APM</w:t>
            </w:r>
          </w:p>
        </w:tc>
        <w:tc>
          <w:tcPr>
            <w:tcW w:w="9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6573D9B">
            <w:pPr>
              <w:pStyle w:val="style0"/>
              <w:spacing w:after="0" w:lineRule="auto" w:line="276"/>
              <w:jc w:val="center"/>
              <w:rPr>
                <w:rFonts w:ascii="Times New Roman" w:cs="Times New Roman" w:hAnsi="Times New Roman"/>
              </w:rPr>
            </w:pPr>
            <w:r>
              <w:rPr>
                <w:rFonts w:ascii="Times New Roman" w:cs="Times New Roman" w:hAnsi="Times New Roman"/>
              </w:rPr>
              <w:t>H5</w:t>
            </w:r>
          </w:p>
        </w:tc>
        <w:tc>
          <w:tcPr>
            <w:tcW w:w="10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BE3423E">
            <w:pPr>
              <w:pStyle w:val="style0"/>
              <w:spacing w:after="0" w:lineRule="auto" w:line="276"/>
              <w:jc w:val="center"/>
              <w:rPr>
                <w:rFonts w:ascii="Times New Roman" w:cs="Times New Roman" w:hAnsi="Times New Roman"/>
              </w:rPr>
            </w:pPr>
            <w:r>
              <w:rPr>
                <w:rFonts w:ascii="Times New Roman" w:cs="Times New Roman" w:hAnsi="Times New Roman"/>
              </w:rPr>
              <w:t>0.072</w:t>
            </w:r>
          </w:p>
        </w:tc>
        <w:tc>
          <w:tcPr>
            <w:tcW w:w="10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8712F26">
            <w:pPr>
              <w:pStyle w:val="style0"/>
              <w:spacing w:after="0" w:lineRule="auto" w:line="276"/>
              <w:jc w:val="center"/>
              <w:rPr>
                <w:rFonts w:ascii="Times New Roman" w:cs="Times New Roman" w:hAnsi="Times New Roman"/>
              </w:rPr>
            </w:pPr>
            <w:r>
              <w:rPr>
                <w:rFonts w:ascii="Times New Roman" w:cs="Times New Roman" w:hAnsi="Times New Roman"/>
              </w:rPr>
              <w:t>0.078</w:t>
            </w:r>
          </w:p>
        </w:tc>
        <w:tc>
          <w:tcPr>
            <w:tcW w:w="1001"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92A8A8F">
            <w:pPr>
              <w:pStyle w:val="style0"/>
              <w:spacing w:after="0" w:lineRule="auto" w:line="276"/>
              <w:jc w:val="center"/>
              <w:rPr>
                <w:rFonts w:ascii="Times New Roman" w:cs="Times New Roman" w:hAnsi="Times New Roman"/>
              </w:rPr>
            </w:pPr>
            <w:r>
              <w:rPr>
                <w:rFonts w:ascii="Times New Roman" w:cs="Times New Roman" w:hAnsi="Times New Roman"/>
              </w:rPr>
              <w:t>0.024</w:t>
            </w:r>
          </w:p>
        </w:tc>
        <w:tc>
          <w:tcPr>
            <w:tcW w:w="10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0129445">
            <w:pPr>
              <w:pStyle w:val="style0"/>
              <w:spacing w:after="0" w:lineRule="auto" w:line="276"/>
              <w:jc w:val="center"/>
              <w:rPr>
                <w:rFonts w:ascii="Times New Roman" w:cs="Times New Roman" w:hAnsi="Times New Roman"/>
              </w:rPr>
            </w:pPr>
            <w:r>
              <w:rPr>
                <w:rFonts w:ascii="Times New Roman" w:cs="Times New Roman" w:hAnsi="Times New Roman"/>
              </w:rPr>
              <w:t>2.985</w:t>
            </w:r>
          </w:p>
        </w:tc>
        <w:tc>
          <w:tcPr>
            <w:tcW w:w="11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3CF12E1">
            <w:pPr>
              <w:pStyle w:val="style0"/>
              <w:spacing w:after="0" w:lineRule="auto" w:line="276"/>
              <w:jc w:val="center"/>
              <w:rPr>
                <w:rFonts w:ascii="Times New Roman" w:cs="Times New Roman" w:hAnsi="Times New Roman"/>
              </w:rPr>
            </w:pPr>
            <w:r>
              <w:rPr>
                <w:rFonts w:ascii="Times New Roman" w:cs="Times New Roman" w:hAnsi="Times New Roman"/>
              </w:rPr>
              <w:t>0.003</w:t>
            </w:r>
          </w:p>
        </w:tc>
      </w:tr>
      <w:tr w14:paraId="375CEDCA">
        <w:tblPrEx/>
        <w:trPr>
          <w:jc w:val="center"/>
        </w:trPr>
        <w:tc>
          <w:tcPr>
            <w:tcW w:w="2874"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D42732B">
            <w:pPr>
              <w:pStyle w:val="style0"/>
              <w:spacing w:after="0" w:lineRule="auto" w:line="276"/>
              <w:rPr>
                <w:rFonts w:ascii="Times New Roman" w:cs="Times New Roman" w:hAnsi="Times New Roman"/>
              </w:rPr>
            </w:pPr>
            <w:r>
              <w:rPr>
                <w:rFonts w:ascii="Times New Roman" w:cs="Times New Roman" w:hAnsi="Times New Roman"/>
              </w:rPr>
              <w:t>AIC → IM → APM</w:t>
            </w:r>
          </w:p>
        </w:tc>
        <w:tc>
          <w:tcPr>
            <w:tcW w:w="9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948FF21">
            <w:pPr>
              <w:pStyle w:val="style0"/>
              <w:spacing w:after="0" w:lineRule="auto" w:line="276"/>
              <w:jc w:val="center"/>
              <w:rPr>
                <w:rFonts w:ascii="Times New Roman" w:cs="Times New Roman" w:hAnsi="Times New Roman"/>
              </w:rPr>
            </w:pPr>
            <w:r>
              <w:rPr>
                <w:rFonts w:ascii="Times New Roman" w:cs="Times New Roman" w:hAnsi="Times New Roman"/>
              </w:rPr>
              <w:t>H7</w:t>
            </w:r>
          </w:p>
        </w:tc>
        <w:tc>
          <w:tcPr>
            <w:tcW w:w="10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0706BE8">
            <w:pPr>
              <w:pStyle w:val="style0"/>
              <w:spacing w:after="0" w:lineRule="auto" w:line="276"/>
              <w:jc w:val="center"/>
              <w:rPr>
                <w:rFonts w:ascii="Times New Roman" w:cs="Times New Roman" w:hAnsi="Times New Roman"/>
              </w:rPr>
            </w:pPr>
            <w:r>
              <w:rPr>
                <w:rFonts w:ascii="Times New Roman" w:cs="Times New Roman" w:hAnsi="Times New Roman"/>
              </w:rPr>
              <w:t>0.112</w:t>
            </w:r>
          </w:p>
        </w:tc>
        <w:tc>
          <w:tcPr>
            <w:tcW w:w="10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3E871BB">
            <w:pPr>
              <w:pStyle w:val="style0"/>
              <w:spacing w:after="0" w:lineRule="auto" w:line="276"/>
              <w:jc w:val="center"/>
              <w:rPr>
                <w:rFonts w:ascii="Times New Roman" w:cs="Times New Roman" w:hAnsi="Times New Roman"/>
              </w:rPr>
            </w:pPr>
            <w:r>
              <w:rPr>
                <w:rFonts w:ascii="Times New Roman" w:cs="Times New Roman" w:hAnsi="Times New Roman"/>
              </w:rPr>
              <w:t>0.118</w:t>
            </w:r>
          </w:p>
        </w:tc>
        <w:tc>
          <w:tcPr>
            <w:tcW w:w="1001"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75FF397">
            <w:pPr>
              <w:pStyle w:val="style0"/>
              <w:spacing w:after="0" w:lineRule="auto" w:line="276"/>
              <w:jc w:val="center"/>
              <w:rPr>
                <w:rFonts w:ascii="Times New Roman" w:cs="Times New Roman" w:hAnsi="Times New Roman"/>
              </w:rPr>
            </w:pPr>
            <w:r>
              <w:rPr>
                <w:rFonts w:ascii="Times New Roman" w:cs="Times New Roman" w:hAnsi="Times New Roman"/>
              </w:rPr>
              <w:t>0.027</w:t>
            </w:r>
          </w:p>
        </w:tc>
        <w:tc>
          <w:tcPr>
            <w:tcW w:w="10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710CDD5">
            <w:pPr>
              <w:pStyle w:val="style0"/>
              <w:spacing w:after="0" w:lineRule="auto" w:line="276"/>
              <w:jc w:val="center"/>
              <w:rPr>
                <w:rFonts w:ascii="Times New Roman" w:cs="Times New Roman" w:hAnsi="Times New Roman"/>
              </w:rPr>
            </w:pPr>
            <w:r>
              <w:rPr>
                <w:rFonts w:ascii="Times New Roman" w:cs="Times New Roman" w:hAnsi="Times New Roman"/>
              </w:rPr>
              <w:t>4.119</w:t>
            </w:r>
          </w:p>
        </w:tc>
        <w:tc>
          <w:tcPr>
            <w:tcW w:w="113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AB54676">
            <w:pPr>
              <w:pStyle w:val="style0"/>
              <w:spacing w:after="0" w:lineRule="auto" w:line="276"/>
              <w:jc w:val="center"/>
              <w:rPr>
                <w:rFonts w:ascii="Times New Roman" w:cs="Times New Roman" w:hAnsi="Times New Roman"/>
              </w:rPr>
            </w:pPr>
            <w:r>
              <w:rPr>
                <w:rFonts w:ascii="Times New Roman" w:cs="Times New Roman" w:hAnsi="Times New Roman"/>
              </w:rPr>
              <w:t>&lt;0.001</w:t>
            </w:r>
          </w:p>
        </w:tc>
      </w:tr>
      <w:tr w14:paraId="7F4B1898">
        <w:tblPrEx/>
        <w:trPr>
          <w:jc w:val="center"/>
        </w:trPr>
        <w:tc>
          <w:tcPr>
            <w:tcW w:w="2874"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31B3ED2">
            <w:pPr>
              <w:pStyle w:val="style0"/>
              <w:spacing w:after="0" w:lineRule="auto" w:line="276"/>
              <w:rPr>
                <w:rFonts w:ascii="Times New Roman" w:cs="Times New Roman" w:hAnsi="Times New Roman"/>
              </w:rPr>
            </w:pPr>
            <w:r>
              <w:rPr>
                <w:rFonts w:ascii="Times New Roman" w:cs="Times New Roman" w:hAnsi="Times New Roman"/>
              </w:rPr>
              <w:t>PTE → IM → APM</w:t>
            </w:r>
          </w:p>
        </w:tc>
        <w:tc>
          <w:tcPr>
            <w:tcW w:w="9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745A900">
            <w:pPr>
              <w:pStyle w:val="style0"/>
              <w:spacing w:after="0" w:lineRule="auto" w:line="276"/>
              <w:jc w:val="center"/>
              <w:rPr>
                <w:rFonts w:ascii="Times New Roman" w:cs="Times New Roman" w:hAnsi="Times New Roman"/>
              </w:rPr>
            </w:pPr>
            <w:r>
              <w:rPr>
                <w:rFonts w:ascii="Times New Roman" w:cs="Times New Roman" w:hAnsi="Times New Roman"/>
              </w:rPr>
              <w:t>H6</w:t>
            </w:r>
          </w:p>
        </w:tc>
        <w:tc>
          <w:tcPr>
            <w:tcW w:w="10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6712D02">
            <w:pPr>
              <w:pStyle w:val="style0"/>
              <w:spacing w:after="0" w:lineRule="auto" w:line="276"/>
              <w:jc w:val="center"/>
              <w:rPr>
                <w:rFonts w:ascii="Times New Roman" w:cs="Times New Roman" w:hAnsi="Times New Roman"/>
              </w:rPr>
            </w:pPr>
            <w:r>
              <w:rPr>
                <w:rFonts w:ascii="Times New Roman" w:cs="Times New Roman" w:hAnsi="Times New Roman"/>
              </w:rPr>
              <w:t>0.046</w:t>
            </w:r>
          </w:p>
        </w:tc>
        <w:tc>
          <w:tcPr>
            <w:tcW w:w="10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ED8858F">
            <w:pPr>
              <w:pStyle w:val="style0"/>
              <w:spacing w:after="0" w:lineRule="auto" w:line="276"/>
              <w:jc w:val="center"/>
              <w:rPr>
                <w:rFonts w:ascii="Times New Roman" w:cs="Times New Roman" w:hAnsi="Times New Roman"/>
              </w:rPr>
            </w:pPr>
            <w:r>
              <w:rPr>
                <w:rFonts w:ascii="Times New Roman" w:cs="Times New Roman" w:hAnsi="Times New Roman"/>
              </w:rPr>
              <w:t>0.052</w:t>
            </w:r>
          </w:p>
        </w:tc>
        <w:tc>
          <w:tcPr>
            <w:tcW w:w="1001"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388A500">
            <w:pPr>
              <w:pStyle w:val="style0"/>
              <w:spacing w:after="0" w:lineRule="auto" w:line="276"/>
              <w:jc w:val="center"/>
              <w:rPr>
                <w:rFonts w:ascii="Times New Roman" w:cs="Times New Roman" w:hAnsi="Times New Roman"/>
              </w:rPr>
            </w:pPr>
            <w:r>
              <w:rPr>
                <w:rFonts w:ascii="Times New Roman" w:cs="Times New Roman" w:hAnsi="Times New Roman"/>
              </w:rPr>
              <w:t>0.025</w:t>
            </w:r>
          </w:p>
        </w:tc>
        <w:tc>
          <w:tcPr>
            <w:tcW w:w="10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C2ED9FA">
            <w:pPr>
              <w:pStyle w:val="style0"/>
              <w:spacing w:after="0" w:lineRule="auto" w:line="276"/>
              <w:jc w:val="center"/>
              <w:rPr>
                <w:rFonts w:ascii="Times New Roman" w:cs="Times New Roman" w:hAnsi="Times New Roman"/>
              </w:rPr>
            </w:pPr>
            <w:r>
              <w:rPr>
                <w:rFonts w:ascii="Times New Roman" w:cs="Times New Roman" w:hAnsi="Times New Roman"/>
              </w:rPr>
              <w:t>1.885</w:t>
            </w:r>
          </w:p>
        </w:tc>
        <w:tc>
          <w:tcPr>
            <w:tcW w:w="113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C6D11A6">
            <w:pPr>
              <w:pStyle w:val="style0"/>
              <w:spacing w:after="0" w:lineRule="auto" w:line="276"/>
              <w:jc w:val="center"/>
              <w:rPr>
                <w:rFonts w:ascii="Times New Roman" w:cs="Times New Roman" w:hAnsi="Times New Roman"/>
              </w:rPr>
            </w:pPr>
            <w:r>
              <w:rPr>
                <w:rFonts w:ascii="Times New Roman" w:cs="Times New Roman" w:hAnsi="Times New Roman"/>
              </w:rPr>
              <w:t>0.060</w:t>
            </w:r>
          </w:p>
        </w:tc>
      </w:tr>
    </w:tbl>
    <w:p w14:paraId="7EFB72D4">
      <w:pPr>
        <w:pStyle w:val="style0"/>
        <w:spacing w:after="0" w:lineRule="auto" w:line="276"/>
        <w:jc w:val="both"/>
        <w:rPr>
          <w:rFonts w:ascii="Times New Roman" w:cs="Times New Roman" w:hAnsi="Times New Roman"/>
        </w:rPr>
      </w:pPr>
      <w:r>
        <w:rPr>
          <w:rFonts w:ascii="Times New Roman" w:cs="Times New Roman" w:hAnsi="Times New Roman"/>
          <w:i/>
          <w:iCs/>
        </w:rPr>
        <w:t>Note. * H6 (PTE→IM→APM, p=0.060) not supported at 5% significance level. Positive indirect effect suggests partial mediation under relaxed criteria (Hair et al., 2022).</w:t>
      </w:r>
    </w:p>
    <w:p w14:paraId="05BFB6FD">
      <w:pPr>
        <w:pStyle w:val="style0"/>
        <w:spacing w:after="0" w:lineRule="auto" w:line="276"/>
        <w:jc w:val="both"/>
        <w:rPr>
          <w:rFonts w:ascii="Times New Roman" w:cs="Times New Roman" w:hAnsi="Times New Roman"/>
        </w:rPr>
      </w:pPr>
      <w:r>
        <w:rPr>
          <w:rFonts w:ascii="Times New Roman" w:cs="Times New Roman" w:hAnsi="Times New Roman"/>
        </w:rPr>
        <w:t xml:space="preserve">H5 (AGM→IM→APM, β=0.072, p=0.003): Supported. H7 (AIC→IM→APM, β=0.112, p&lt;0.001): Supported. H6 (PTE→IM→APM, β=0.046, p=0.060): </w:t>
      </w:r>
      <w:r>
        <w:rPr>
          <w:rFonts w:ascii="Times New Roman" w:cs="Times New Roman" w:hAnsi="Times New Roman"/>
          <w:b/>
          <w:bCs/>
        </w:rPr>
        <w:t>Not Supported</w:t>
      </w:r>
      <w:r>
        <w:rPr>
          <w:rFonts w:ascii="Times New Roman" w:cs="Times New Roman" w:hAnsi="Times New Roman"/>
        </w:rPr>
        <w:t xml:space="preserve"> — transparency alone insufficient without complementary governance infrastructure (</w:t>
      </w:r>
      <w:r>
        <w:rPr>
          <w:rFonts w:ascii="Times New Roman" w:cs="Times New Roman" w:hAnsi="Times New Roman"/>
        </w:rPr>
        <w:t>Lněnička</w:t>
      </w:r>
      <w:r>
        <w:rPr>
          <w:rFonts w:ascii="Times New Roman" w:cs="Times New Roman" w:hAnsi="Times New Roman"/>
        </w:rPr>
        <w:t xml:space="preserve"> et al., 2024; Cath, 2022).</w:t>
      </w:r>
    </w:p>
    <w:p w14:paraId="57712DF9">
      <w:pPr>
        <w:pStyle w:val="style0"/>
        <w:spacing w:after="0" w:lineRule="auto" w:line="276"/>
        <w:jc w:val="center"/>
        <w:rPr>
          <w:rFonts w:ascii="Times New Roman" w:cs="Times New Roman" w:hAnsi="Times New Roman"/>
        </w:rPr>
      </w:pPr>
      <w:r>
        <w:rPr>
          <w:rFonts w:ascii="Times New Roman" w:cs="Times New Roman" w:hAnsi="Times New Roman"/>
          <w:b/>
          <w:bCs/>
        </w:rPr>
        <w:t xml:space="preserve">Table </w:t>
      </w:r>
      <w:r>
        <w:rPr>
          <w:rFonts w:ascii="Times New Roman" w:cs="Times New Roman" w:hAnsi="Times New Roman"/>
          <w:b/>
          <w:bCs/>
        </w:rPr>
        <w:t>6</w:t>
      </w:r>
      <w:r>
        <w:rPr>
          <w:rFonts w:ascii="Times New Roman" w:cs="Times New Roman" w:hAnsi="Times New Roman"/>
          <w:b/>
          <w:bCs/>
        </w:rPr>
        <w:t xml:space="preserve">. </w:t>
      </w:r>
      <w:r>
        <w:rPr>
          <w:rFonts w:ascii="Times New Roman" w:cs="Times New Roman" w:hAnsi="Times New Roman"/>
        </w:rPr>
        <w:t>Total Effects — Bootstrapping Results</w:t>
      </w:r>
    </w:p>
    <w:tbl>
      <w:tblPr>
        <w:tblW w:w="98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10"/>
        <w:gridCol w:w="900"/>
        <w:gridCol w:w="990"/>
        <w:gridCol w:w="990"/>
        <w:gridCol w:w="900"/>
        <w:gridCol w:w="1350"/>
        <w:gridCol w:w="3005"/>
      </w:tblGrid>
      <w:tr w14:paraId="23B5FFBE">
        <w:trPr>
          <w:tblHeader/>
        </w:trPr>
        <w:tc>
          <w:tcPr>
            <w:tcW w:w="171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2BFD7B48">
            <w:pPr>
              <w:pStyle w:val="style0"/>
              <w:spacing w:after="0" w:lineRule="auto" w:line="276"/>
              <w:jc w:val="center"/>
              <w:rPr>
                <w:rFonts w:ascii="Times New Roman" w:cs="Times New Roman" w:hAnsi="Times New Roman"/>
              </w:rPr>
            </w:pPr>
            <w:r>
              <w:rPr>
                <w:rFonts w:ascii="Times New Roman" w:cs="Times New Roman" w:hAnsi="Times New Roman"/>
              </w:rPr>
              <w:t>Path</w:t>
            </w:r>
          </w:p>
        </w:tc>
        <w:tc>
          <w:tcPr>
            <w:tcW w:w="90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366F3A1F">
            <w:pPr>
              <w:pStyle w:val="style0"/>
              <w:spacing w:after="0" w:lineRule="auto" w:line="276"/>
              <w:jc w:val="center"/>
              <w:rPr>
                <w:rFonts w:ascii="Times New Roman" w:cs="Times New Roman" w:hAnsi="Times New Roman"/>
              </w:rPr>
            </w:pPr>
            <w:r>
              <w:rPr>
                <w:rFonts w:ascii="Times New Roman" w:cs="Times New Roman" w:hAnsi="Times New Roman"/>
              </w:rPr>
              <w:t>β (O)</w:t>
            </w:r>
          </w:p>
        </w:tc>
        <w:tc>
          <w:tcPr>
            <w:tcW w:w="99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64157D3E">
            <w:pPr>
              <w:pStyle w:val="style0"/>
              <w:spacing w:after="0" w:lineRule="auto" w:line="276"/>
              <w:jc w:val="center"/>
              <w:rPr>
                <w:rFonts w:ascii="Times New Roman" w:cs="Times New Roman" w:hAnsi="Times New Roman"/>
              </w:rPr>
            </w:pPr>
            <w:r>
              <w:rPr>
                <w:rFonts w:ascii="Times New Roman" w:cs="Times New Roman" w:hAnsi="Times New Roman"/>
              </w:rPr>
              <w:t>M</w:t>
            </w:r>
          </w:p>
        </w:tc>
        <w:tc>
          <w:tcPr>
            <w:tcW w:w="99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2772A664">
            <w:pPr>
              <w:pStyle w:val="style0"/>
              <w:spacing w:after="0" w:lineRule="auto" w:line="276"/>
              <w:jc w:val="center"/>
              <w:rPr>
                <w:rFonts w:ascii="Times New Roman" w:cs="Times New Roman" w:hAnsi="Times New Roman"/>
              </w:rPr>
            </w:pPr>
            <w:r>
              <w:rPr>
                <w:rFonts w:ascii="Times New Roman" w:cs="Times New Roman" w:hAnsi="Times New Roman"/>
              </w:rPr>
              <w:t>STDEV</w:t>
            </w:r>
          </w:p>
        </w:tc>
        <w:tc>
          <w:tcPr>
            <w:tcW w:w="90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74660F42">
            <w:pPr>
              <w:pStyle w:val="style0"/>
              <w:spacing w:after="0" w:lineRule="auto" w:line="276"/>
              <w:jc w:val="center"/>
              <w:rPr>
                <w:rFonts w:ascii="Times New Roman" w:cs="Times New Roman" w:hAnsi="Times New Roman"/>
              </w:rPr>
            </w:pPr>
            <w:r>
              <w:rPr>
                <w:rFonts w:ascii="Times New Roman" w:cs="Times New Roman" w:hAnsi="Times New Roman"/>
              </w:rPr>
              <w:t>t</w:t>
            </w:r>
          </w:p>
        </w:tc>
        <w:tc>
          <w:tcPr>
            <w:tcW w:w="135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0A645B61">
            <w:pPr>
              <w:pStyle w:val="style0"/>
              <w:spacing w:after="0" w:lineRule="auto" w:line="276"/>
              <w:jc w:val="center"/>
              <w:rPr>
                <w:rFonts w:ascii="Times New Roman" w:cs="Times New Roman" w:hAnsi="Times New Roman"/>
              </w:rPr>
            </w:pPr>
            <w:r>
              <w:rPr>
                <w:rFonts w:ascii="Times New Roman" w:cs="Times New Roman" w:hAnsi="Times New Roman"/>
              </w:rPr>
              <w:t>p</w:t>
            </w:r>
          </w:p>
        </w:tc>
        <w:tc>
          <w:tcPr>
            <w:tcW w:w="3005"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47124A37">
            <w:pPr>
              <w:pStyle w:val="style0"/>
              <w:spacing w:after="0" w:lineRule="auto" w:line="276"/>
              <w:jc w:val="center"/>
              <w:rPr>
                <w:rFonts w:ascii="Times New Roman" w:cs="Times New Roman" w:hAnsi="Times New Roman"/>
              </w:rPr>
            </w:pPr>
            <w:r>
              <w:rPr>
                <w:rFonts w:ascii="Times New Roman" w:cs="Times New Roman" w:hAnsi="Times New Roman"/>
              </w:rPr>
              <w:t>Decision</w:t>
            </w:r>
          </w:p>
        </w:tc>
      </w:tr>
      <w:tr w14:paraId="418B9BEE">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820D4BF">
            <w:pPr>
              <w:pStyle w:val="style0"/>
              <w:spacing w:after="0" w:lineRule="auto" w:line="276"/>
              <w:rPr>
                <w:rFonts w:ascii="Times New Roman" w:cs="Times New Roman" w:hAnsi="Times New Roman"/>
              </w:rPr>
            </w:pPr>
            <w:r>
              <w:rPr>
                <w:rFonts w:ascii="Times New Roman" w:cs="Times New Roman" w:hAnsi="Times New Roman"/>
              </w:rPr>
              <w:t>AGM → APM</w:t>
            </w:r>
          </w:p>
        </w:tc>
        <w:tc>
          <w:tcPr>
            <w:tcW w:w="9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E8E6A1F">
            <w:pPr>
              <w:pStyle w:val="style0"/>
              <w:spacing w:after="0" w:lineRule="auto" w:line="276"/>
              <w:jc w:val="center"/>
              <w:rPr>
                <w:rFonts w:ascii="Times New Roman" w:cs="Times New Roman" w:hAnsi="Times New Roman"/>
              </w:rPr>
            </w:pPr>
            <w:r>
              <w:rPr>
                <w:rFonts w:ascii="Times New Roman" w:cs="Times New Roman" w:hAnsi="Times New Roman"/>
              </w:rPr>
              <w:t>0.072</w:t>
            </w:r>
          </w:p>
        </w:tc>
        <w:tc>
          <w:tcPr>
            <w:tcW w:w="99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889ECB8">
            <w:pPr>
              <w:pStyle w:val="style0"/>
              <w:spacing w:after="0" w:lineRule="auto" w:line="276"/>
              <w:jc w:val="center"/>
              <w:rPr>
                <w:rFonts w:ascii="Times New Roman" w:cs="Times New Roman" w:hAnsi="Times New Roman"/>
              </w:rPr>
            </w:pPr>
            <w:r>
              <w:rPr>
                <w:rFonts w:ascii="Times New Roman" w:cs="Times New Roman" w:hAnsi="Times New Roman"/>
              </w:rPr>
              <w:t>0.078</w:t>
            </w:r>
          </w:p>
        </w:tc>
        <w:tc>
          <w:tcPr>
            <w:tcW w:w="99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E4B374B">
            <w:pPr>
              <w:pStyle w:val="style0"/>
              <w:spacing w:after="0" w:lineRule="auto" w:line="276"/>
              <w:jc w:val="center"/>
              <w:rPr>
                <w:rFonts w:ascii="Times New Roman" w:cs="Times New Roman" w:hAnsi="Times New Roman"/>
              </w:rPr>
            </w:pPr>
            <w:r>
              <w:rPr>
                <w:rFonts w:ascii="Times New Roman" w:cs="Times New Roman" w:hAnsi="Times New Roman"/>
              </w:rPr>
              <w:t>0.024</w:t>
            </w:r>
          </w:p>
        </w:tc>
        <w:tc>
          <w:tcPr>
            <w:tcW w:w="9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6951A2E">
            <w:pPr>
              <w:pStyle w:val="style0"/>
              <w:spacing w:after="0" w:lineRule="auto" w:line="276"/>
              <w:jc w:val="center"/>
              <w:rPr>
                <w:rFonts w:ascii="Times New Roman" w:cs="Times New Roman" w:hAnsi="Times New Roman"/>
              </w:rPr>
            </w:pPr>
            <w:r>
              <w:rPr>
                <w:rFonts w:ascii="Times New Roman" w:cs="Times New Roman" w:hAnsi="Times New Roman"/>
              </w:rPr>
              <w:t>2.985</w:t>
            </w:r>
          </w:p>
        </w:tc>
        <w:tc>
          <w:tcPr>
            <w:tcW w:w="135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11A19B3">
            <w:pPr>
              <w:pStyle w:val="style0"/>
              <w:spacing w:after="0" w:lineRule="auto" w:line="276"/>
              <w:jc w:val="center"/>
              <w:rPr>
                <w:rFonts w:ascii="Times New Roman" w:cs="Times New Roman" w:hAnsi="Times New Roman"/>
              </w:rPr>
            </w:pPr>
            <w:r>
              <w:rPr>
                <w:rFonts w:ascii="Times New Roman" w:cs="Times New Roman" w:hAnsi="Times New Roman"/>
              </w:rPr>
              <w:t>0.003</w:t>
            </w:r>
          </w:p>
        </w:tc>
        <w:tc>
          <w:tcPr>
            <w:tcW w:w="3005"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158AA58">
            <w:pPr>
              <w:pStyle w:val="style0"/>
              <w:spacing w:after="0" w:lineRule="auto" w:line="276"/>
              <w:jc w:val="center"/>
              <w:rPr>
                <w:rFonts w:ascii="Times New Roman" w:cs="Times New Roman" w:hAnsi="Times New Roman"/>
                <w:color w:val="196b24"/>
              </w:rPr>
            </w:pPr>
            <w:r>
              <w:rPr>
                <w:rFonts w:ascii="Times New Roman" w:cs="Times New Roman" w:hAnsi="Times New Roman"/>
                <w:color w:val="196b24"/>
              </w:rPr>
              <w:t>Supported</w:t>
            </w:r>
          </w:p>
        </w:tc>
      </w:tr>
      <w:tr w14:paraId="4668D86D">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3E9C883">
            <w:pPr>
              <w:pStyle w:val="style0"/>
              <w:spacing w:after="0" w:lineRule="auto" w:line="276"/>
              <w:rPr>
                <w:rFonts w:ascii="Times New Roman" w:cs="Times New Roman" w:hAnsi="Times New Roman"/>
              </w:rPr>
            </w:pPr>
            <w:r>
              <w:rPr>
                <w:rFonts w:ascii="Times New Roman" w:cs="Times New Roman" w:hAnsi="Times New Roman"/>
              </w:rPr>
              <w:t>AGM → IM</w:t>
            </w:r>
          </w:p>
        </w:tc>
        <w:tc>
          <w:tcPr>
            <w:tcW w:w="9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ABE20BB">
            <w:pPr>
              <w:pStyle w:val="style0"/>
              <w:spacing w:after="0" w:lineRule="auto" w:line="276"/>
              <w:jc w:val="center"/>
              <w:rPr>
                <w:rFonts w:ascii="Times New Roman" w:cs="Times New Roman" w:hAnsi="Times New Roman"/>
              </w:rPr>
            </w:pPr>
            <w:r>
              <w:rPr>
                <w:rFonts w:ascii="Times New Roman" w:cs="Times New Roman" w:hAnsi="Times New Roman"/>
              </w:rPr>
              <w:t>0.194</w:t>
            </w:r>
          </w:p>
        </w:tc>
        <w:tc>
          <w:tcPr>
            <w:tcW w:w="99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AFA894A">
            <w:pPr>
              <w:pStyle w:val="style0"/>
              <w:spacing w:after="0" w:lineRule="auto" w:line="276"/>
              <w:jc w:val="center"/>
              <w:rPr>
                <w:rFonts w:ascii="Times New Roman" w:cs="Times New Roman" w:hAnsi="Times New Roman"/>
              </w:rPr>
            </w:pPr>
            <w:r>
              <w:rPr>
                <w:rFonts w:ascii="Times New Roman" w:cs="Times New Roman" w:hAnsi="Times New Roman"/>
              </w:rPr>
              <w:t>0.203</w:t>
            </w:r>
          </w:p>
        </w:tc>
        <w:tc>
          <w:tcPr>
            <w:tcW w:w="99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871B02E">
            <w:pPr>
              <w:pStyle w:val="style0"/>
              <w:spacing w:after="0" w:lineRule="auto" w:line="276"/>
              <w:jc w:val="center"/>
              <w:rPr>
                <w:rFonts w:ascii="Times New Roman" w:cs="Times New Roman" w:hAnsi="Times New Roman"/>
              </w:rPr>
            </w:pPr>
            <w:r>
              <w:rPr>
                <w:rFonts w:ascii="Times New Roman" w:cs="Times New Roman" w:hAnsi="Times New Roman"/>
              </w:rPr>
              <w:t>0.055</w:t>
            </w:r>
          </w:p>
        </w:tc>
        <w:tc>
          <w:tcPr>
            <w:tcW w:w="9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C809574">
            <w:pPr>
              <w:pStyle w:val="style0"/>
              <w:spacing w:after="0" w:lineRule="auto" w:line="276"/>
              <w:jc w:val="center"/>
              <w:rPr>
                <w:rFonts w:ascii="Times New Roman" w:cs="Times New Roman" w:hAnsi="Times New Roman"/>
              </w:rPr>
            </w:pPr>
            <w:r>
              <w:rPr>
                <w:rFonts w:ascii="Times New Roman" w:cs="Times New Roman" w:hAnsi="Times New Roman"/>
              </w:rPr>
              <w:t>3.546</w:t>
            </w:r>
          </w:p>
        </w:tc>
        <w:tc>
          <w:tcPr>
            <w:tcW w:w="135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BF23438">
            <w:pPr>
              <w:pStyle w:val="style0"/>
              <w:spacing w:after="0" w:lineRule="auto" w:line="276"/>
              <w:jc w:val="center"/>
              <w:rPr>
                <w:rFonts w:ascii="Times New Roman" w:cs="Times New Roman" w:hAnsi="Times New Roman"/>
              </w:rPr>
            </w:pPr>
            <w:r>
              <w:rPr>
                <w:rFonts w:ascii="Times New Roman" w:cs="Times New Roman" w:hAnsi="Times New Roman"/>
              </w:rPr>
              <w:t>&lt;0.001</w:t>
            </w:r>
          </w:p>
        </w:tc>
        <w:tc>
          <w:tcPr>
            <w:tcW w:w="3005"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5CA2135">
            <w:pPr>
              <w:pStyle w:val="style0"/>
              <w:spacing w:after="0" w:lineRule="auto" w:line="276"/>
              <w:jc w:val="center"/>
              <w:rPr>
                <w:rFonts w:ascii="Times New Roman" w:cs="Times New Roman" w:hAnsi="Times New Roman"/>
                <w:color w:val="196b24"/>
              </w:rPr>
            </w:pPr>
            <w:r>
              <w:rPr>
                <w:rFonts w:ascii="Times New Roman" w:cs="Times New Roman" w:hAnsi="Times New Roman"/>
                <w:color w:val="196b24"/>
              </w:rPr>
              <w:t>Supported</w:t>
            </w:r>
          </w:p>
        </w:tc>
      </w:tr>
      <w:tr w14:paraId="5984DBA5">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F43B633">
            <w:pPr>
              <w:pStyle w:val="style0"/>
              <w:spacing w:after="0" w:lineRule="auto" w:line="276"/>
              <w:rPr>
                <w:rFonts w:ascii="Times New Roman" w:cs="Times New Roman" w:hAnsi="Times New Roman"/>
              </w:rPr>
            </w:pPr>
            <w:r>
              <w:rPr>
                <w:rFonts w:ascii="Times New Roman" w:cs="Times New Roman" w:hAnsi="Times New Roman"/>
              </w:rPr>
              <w:t>AIC → APM</w:t>
            </w:r>
          </w:p>
        </w:tc>
        <w:tc>
          <w:tcPr>
            <w:tcW w:w="9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3B18BE2">
            <w:pPr>
              <w:pStyle w:val="style0"/>
              <w:spacing w:after="0" w:lineRule="auto" w:line="276"/>
              <w:jc w:val="center"/>
              <w:rPr>
                <w:rFonts w:ascii="Times New Roman" w:cs="Times New Roman" w:hAnsi="Times New Roman"/>
              </w:rPr>
            </w:pPr>
            <w:r>
              <w:rPr>
                <w:rFonts w:ascii="Times New Roman" w:cs="Times New Roman" w:hAnsi="Times New Roman"/>
              </w:rPr>
              <w:t>0.112</w:t>
            </w:r>
          </w:p>
        </w:tc>
        <w:tc>
          <w:tcPr>
            <w:tcW w:w="99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D503045">
            <w:pPr>
              <w:pStyle w:val="style0"/>
              <w:spacing w:after="0" w:lineRule="auto" w:line="276"/>
              <w:jc w:val="center"/>
              <w:rPr>
                <w:rFonts w:ascii="Times New Roman" w:cs="Times New Roman" w:hAnsi="Times New Roman"/>
              </w:rPr>
            </w:pPr>
            <w:r>
              <w:rPr>
                <w:rFonts w:ascii="Times New Roman" w:cs="Times New Roman" w:hAnsi="Times New Roman"/>
              </w:rPr>
              <w:t>0.118</w:t>
            </w:r>
          </w:p>
        </w:tc>
        <w:tc>
          <w:tcPr>
            <w:tcW w:w="99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858B8BC">
            <w:pPr>
              <w:pStyle w:val="style0"/>
              <w:spacing w:after="0" w:lineRule="auto" w:line="276"/>
              <w:jc w:val="center"/>
              <w:rPr>
                <w:rFonts w:ascii="Times New Roman" w:cs="Times New Roman" w:hAnsi="Times New Roman"/>
              </w:rPr>
            </w:pPr>
            <w:r>
              <w:rPr>
                <w:rFonts w:ascii="Times New Roman" w:cs="Times New Roman" w:hAnsi="Times New Roman"/>
              </w:rPr>
              <w:t>0.027</w:t>
            </w:r>
          </w:p>
        </w:tc>
        <w:tc>
          <w:tcPr>
            <w:tcW w:w="9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EB3CCE7">
            <w:pPr>
              <w:pStyle w:val="style0"/>
              <w:spacing w:after="0" w:lineRule="auto" w:line="276"/>
              <w:jc w:val="center"/>
              <w:rPr>
                <w:rFonts w:ascii="Times New Roman" w:cs="Times New Roman" w:hAnsi="Times New Roman"/>
              </w:rPr>
            </w:pPr>
            <w:r>
              <w:rPr>
                <w:rFonts w:ascii="Times New Roman" w:cs="Times New Roman" w:hAnsi="Times New Roman"/>
              </w:rPr>
              <w:t>4.119</w:t>
            </w:r>
          </w:p>
        </w:tc>
        <w:tc>
          <w:tcPr>
            <w:tcW w:w="135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2C89422">
            <w:pPr>
              <w:pStyle w:val="style0"/>
              <w:spacing w:after="0" w:lineRule="auto" w:line="276"/>
              <w:jc w:val="center"/>
              <w:rPr>
                <w:rFonts w:ascii="Times New Roman" w:cs="Times New Roman" w:hAnsi="Times New Roman"/>
              </w:rPr>
            </w:pPr>
            <w:r>
              <w:rPr>
                <w:rFonts w:ascii="Times New Roman" w:cs="Times New Roman" w:hAnsi="Times New Roman"/>
              </w:rPr>
              <w:t>&lt;0.001</w:t>
            </w:r>
          </w:p>
        </w:tc>
        <w:tc>
          <w:tcPr>
            <w:tcW w:w="3005"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3E7AA81">
            <w:pPr>
              <w:pStyle w:val="style0"/>
              <w:spacing w:after="0" w:lineRule="auto" w:line="276"/>
              <w:jc w:val="center"/>
              <w:rPr>
                <w:rFonts w:ascii="Times New Roman" w:cs="Times New Roman" w:hAnsi="Times New Roman"/>
                <w:color w:val="196b24"/>
              </w:rPr>
            </w:pPr>
            <w:r>
              <w:rPr>
                <w:rFonts w:ascii="Times New Roman" w:cs="Times New Roman" w:hAnsi="Times New Roman"/>
                <w:color w:val="196b24"/>
              </w:rPr>
              <w:t>Supported</w:t>
            </w:r>
          </w:p>
        </w:tc>
      </w:tr>
      <w:tr w14:paraId="2259C871">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8EB3F67">
            <w:pPr>
              <w:pStyle w:val="style0"/>
              <w:spacing w:after="0" w:lineRule="auto" w:line="276"/>
              <w:rPr>
                <w:rFonts w:ascii="Times New Roman" w:cs="Times New Roman" w:hAnsi="Times New Roman"/>
              </w:rPr>
            </w:pPr>
            <w:r>
              <w:rPr>
                <w:rFonts w:ascii="Times New Roman" w:cs="Times New Roman" w:hAnsi="Times New Roman"/>
              </w:rPr>
              <w:t>AIC → IM</w:t>
            </w:r>
          </w:p>
        </w:tc>
        <w:tc>
          <w:tcPr>
            <w:tcW w:w="9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3EC32ED">
            <w:pPr>
              <w:pStyle w:val="style0"/>
              <w:spacing w:after="0" w:lineRule="auto" w:line="276"/>
              <w:jc w:val="center"/>
              <w:rPr>
                <w:rFonts w:ascii="Times New Roman" w:cs="Times New Roman" w:hAnsi="Times New Roman"/>
              </w:rPr>
            </w:pPr>
            <w:r>
              <w:rPr>
                <w:rFonts w:ascii="Times New Roman" w:cs="Times New Roman" w:hAnsi="Times New Roman"/>
              </w:rPr>
              <w:t>0.302</w:t>
            </w:r>
          </w:p>
        </w:tc>
        <w:tc>
          <w:tcPr>
            <w:tcW w:w="99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276A8624">
            <w:pPr>
              <w:pStyle w:val="style0"/>
              <w:spacing w:after="0" w:lineRule="auto" w:line="276"/>
              <w:jc w:val="center"/>
              <w:rPr>
                <w:rFonts w:ascii="Times New Roman" w:cs="Times New Roman" w:hAnsi="Times New Roman"/>
              </w:rPr>
            </w:pPr>
            <w:r>
              <w:rPr>
                <w:rFonts w:ascii="Times New Roman" w:cs="Times New Roman" w:hAnsi="Times New Roman"/>
              </w:rPr>
              <w:t>0.308</w:t>
            </w:r>
          </w:p>
        </w:tc>
        <w:tc>
          <w:tcPr>
            <w:tcW w:w="99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CA8D6F7">
            <w:pPr>
              <w:pStyle w:val="style0"/>
              <w:spacing w:after="0" w:lineRule="auto" w:line="276"/>
              <w:jc w:val="center"/>
              <w:rPr>
                <w:rFonts w:ascii="Times New Roman" w:cs="Times New Roman" w:hAnsi="Times New Roman"/>
              </w:rPr>
            </w:pPr>
            <w:r>
              <w:rPr>
                <w:rFonts w:ascii="Times New Roman" w:cs="Times New Roman" w:hAnsi="Times New Roman"/>
              </w:rPr>
              <w:t>0.057</w:t>
            </w:r>
          </w:p>
        </w:tc>
        <w:tc>
          <w:tcPr>
            <w:tcW w:w="9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44B8AF0">
            <w:pPr>
              <w:pStyle w:val="style0"/>
              <w:spacing w:after="0" w:lineRule="auto" w:line="276"/>
              <w:jc w:val="center"/>
              <w:rPr>
                <w:rFonts w:ascii="Times New Roman" w:cs="Times New Roman" w:hAnsi="Times New Roman"/>
              </w:rPr>
            </w:pPr>
            <w:r>
              <w:rPr>
                <w:rFonts w:ascii="Times New Roman" w:cs="Times New Roman" w:hAnsi="Times New Roman"/>
              </w:rPr>
              <w:t>5.312</w:t>
            </w:r>
          </w:p>
        </w:tc>
        <w:tc>
          <w:tcPr>
            <w:tcW w:w="135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11DDE6C">
            <w:pPr>
              <w:pStyle w:val="style0"/>
              <w:spacing w:after="0" w:lineRule="auto" w:line="276"/>
              <w:jc w:val="center"/>
              <w:rPr>
                <w:rFonts w:ascii="Times New Roman" w:cs="Times New Roman" w:hAnsi="Times New Roman"/>
              </w:rPr>
            </w:pPr>
            <w:r>
              <w:rPr>
                <w:rFonts w:ascii="Times New Roman" w:cs="Times New Roman" w:hAnsi="Times New Roman"/>
              </w:rPr>
              <w:t>&lt;0.001</w:t>
            </w:r>
          </w:p>
        </w:tc>
        <w:tc>
          <w:tcPr>
            <w:tcW w:w="3005"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1EAA8C9">
            <w:pPr>
              <w:pStyle w:val="style0"/>
              <w:spacing w:after="0" w:lineRule="auto" w:line="276"/>
              <w:jc w:val="center"/>
              <w:rPr>
                <w:rFonts w:ascii="Times New Roman" w:cs="Times New Roman" w:hAnsi="Times New Roman"/>
                <w:color w:val="196b24"/>
              </w:rPr>
            </w:pPr>
            <w:r>
              <w:rPr>
                <w:rFonts w:ascii="Times New Roman" w:cs="Times New Roman" w:hAnsi="Times New Roman"/>
                <w:color w:val="196b24"/>
              </w:rPr>
              <w:t>Supported</w:t>
            </w:r>
          </w:p>
        </w:tc>
      </w:tr>
      <w:tr w14:paraId="5A7D7070">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96B4AFA">
            <w:pPr>
              <w:pStyle w:val="style0"/>
              <w:spacing w:after="0" w:lineRule="auto" w:line="276"/>
              <w:rPr>
                <w:rFonts w:ascii="Times New Roman" w:cs="Times New Roman" w:hAnsi="Times New Roman"/>
              </w:rPr>
            </w:pPr>
            <w:r>
              <w:rPr>
                <w:rFonts w:ascii="Times New Roman" w:cs="Times New Roman" w:hAnsi="Times New Roman"/>
              </w:rPr>
              <w:t>IM → APM</w:t>
            </w:r>
          </w:p>
        </w:tc>
        <w:tc>
          <w:tcPr>
            <w:tcW w:w="9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42844F1">
            <w:pPr>
              <w:pStyle w:val="style0"/>
              <w:spacing w:after="0" w:lineRule="auto" w:line="276"/>
              <w:jc w:val="center"/>
              <w:rPr>
                <w:rFonts w:ascii="Times New Roman" w:cs="Times New Roman" w:hAnsi="Times New Roman"/>
              </w:rPr>
            </w:pPr>
            <w:r>
              <w:rPr>
                <w:rFonts w:ascii="Times New Roman" w:cs="Times New Roman" w:hAnsi="Times New Roman"/>
              </w:rPr>
              <w:t>0.369</w:t>
            </w:r>
          </w:p>
        </w:tc>
        <w:tc>
          <w:tcPr>
            <w:tcW w:w="99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7E9AF83">
            <w:pPr>
              <w:pStyle w:val="style0"/>
              <w:spacing w:after="0" w:lineRule="auto" w:line="276"/>
              <w:jc w:val="center"/>
              <w:rPr>
                <w:rFonts w:ascii="Times New Roman" w:cs="Times New Roman" w:hAnsi="Times New Roman"/>
              </w:rPr>
            </w:pPr>
            <w:r>
              <w:rPr>
                <w:rFonts w:ascii="Times New Roman" w:cs="Times New Roman" w:hAnsi="Times New Roman"/>
              </w:rPr>
              <w:t>0.383</w:t>
            </w:r>
          </w:p>
        </w:tc>
        <w:tc>
          <w:tcPr>
            <w:tcW w:w="99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AFF05E3">
            <w:pPr>
              <w:pStyle w:val="style0"/>
              <w:spacing w:after="0" w:lineRule="auto" w:line="276"/>
              <w:jc w:val="center"/>
              <w:rPr>
                <w:rFonts w:ascii="Times New Roman" w:cs="Times New Roman" w:hAnsi="Times New Roman"/>
              </w:rPr>
            </w:pPr>
            <w:r>
              <w:rPr>
                <w:rFonts w:ascii="Times New Roman" w:cs="Times New Roman" w:hAnsi="Times New Roman"/>
              </w:rPr>
              <w:t>0.053</w:t>
            </w:r>
          </w:p>
        </w:tc>
        <w:tc>
          <w:tcPr>
            <w:tcW w:w="9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491B260">
            <w:pPr>
              <w:pStyle w:val="style0"/>
              <w:spacing w:after="0" w:lineRule="auto" w:line="276"/>
              <w:jc w:val="center"/>
              <w:rPr>
                <w:rFonts w:ascii="Times New Roman" w:cs="Times New Roman" w:hAnsi="Times New Roman"/>
              </w:rPr>
            </w:pPr>
            <w:r>
              <w:rPr>
                <w:rFonts w:ascii="Times New Roman" w:cs="Times New Roman" w:hAnsi="Times New Roman"/>
              </w:rPr>
              <w:t>6.950</w:t>
            </w:r>
          </w:p>
        </w:tc>
        <w:tc>
          <w:tcPr>
            <w:tcW w:w="135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5474EFB4">
            <w:pPr>
              <w:pStyle w:val="style0"/>
              <w:spacing w:after="0" w:lineRule="auto" w:line="276"/>
              <w:jc w:val="center"/>
              <w:rPr>
                <w:rFonts w:ascii="Times New Roman" w:cs="Times New Roman" w:hAnsi="Times New Roman"/>
              </w:rPr>
            </w:pPr>
            <w:r>
              <w:rPr>
                <w:rFonts w:ascii="Times New Roman" w:cs="Times New Roman" w:hAnsi="Times New Roman"/>
              </w:rPr>
              <w:t>&lt;0.001</w:t>
            </w:r>
          </w:p>
        </w:tc>
        <w:tc>
          <w:tcPr>
            <w:tcW w:w="3005"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51CBCA3">
            <w:pPr>
              <w:pStyle w:val="style0"/>
              <w:spacing w:after="0" w:lineRule="auto" w:line="276"/>
              <w:jc w:val="center"/>
              <w:rPr>
                <w:rFonts w:ascii="Times New Roman" w:cs="Times New Roman" w:hAnsi="Times New Roman"/>
                <w:color w:val="196b24"/>
              </w:rPr>
            </w:pPr>
            <w:r>
              <w:rPr>
                <w:rFonts w:ascii="Times New Roman" w:cs="Times New Roman" w:hAnsi="Times New Roman"/>
                <w:color w:val="196b24"/>
              </w:rPr>
              <w:t>Supported</w:t>
            </w:r>
          </w:p>
        </w:tc>
      </w:tr>
      <w:tr w14:paraId="254F59C9">
        <w:tblPrEx/>
        <w:trPr/>
        <w:tc>
          <w:tcPr>
            <w:tcW w:w="171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94F4D82">
            <w:pPr>
              <w:pStyle w:val="style0"/>
              <w:spacing w:after="0" w:lineRule="auto" w:line="276"/>
              <w:rPr>
                <w:rFonts w:ascii="Times New Roman" w:cs="Times New Roman" w:hAnsi="Times New Roman"/>
              </w:rPr>
            </w:pPr>
            <w:r>
              <w:rPr>
                <w:rFonts w:ascii="Times New Roman" w:cs="Times New Roman" w:hAnsi="Times New Roman"/>
              </w:rPr>
              <w:t>PTE → APM</w:t>
            </w:r>
          </w:p>
        </w:tc>
        <w:tc>
          <w:tcPr>
            <w:tcW w:w="9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25D3F62">
            <w:pPr>
              <w:pStyle w:val="style0"/>
              <w:spacing w:after="0" w:lineRule="auto" w:line="276"/>
              <w:jc w:val="center"/>
              <w:rPr>
                <w:rFonts w:ascii="Times New Roman" w:cs="Times New Roman" w:hAnsi="Times New Roman"/>
              </w:rPr>
            </w:pPr>
            <w:r>
              <w:rPr>
                <w:rFonts w:ascii="Times New Roman" w:cs="Times New Roman" w:hAnsi="Times New Roman"/>
              </w:rPr>
              <w:t>0.046</w:t>
            </w:r>
          </w:p>
        </w:tc>
        <w:tc>
          <w:tcPr>
            <w:tcW w:w="99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1E554D33">
            <w:pPr>
              <w:pStyle w:val="style0"/>
              <w:spacing w:after="0" w:lineRule="auto" w:line="276"/>
              <w:jc w:val="center"/>
              <w:rPr>
                <w:rFonts w:ascii="Times New Roman" w:cs="Times New Roman" w:hAnsi="Times New Roman"/>
              </w:rPr>
            </w:pPr>
            <w:r>
              <w:rPr>
                <w:rFonts w:ascii="Times New Roman" w:cs="Times New Roman" w:hAnsi="Times New Roman"/>
              </w:rPr>
              <w:t>0.052</w:t>
            </w:r>
          </w:p>
        </w:tc>
        <w:tc>
          <w:tcPr>
            <w:tcW w:w="99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97F52A7">
            <w:pPr>
              <w:pStyle w:val="style0"/>
              <w:spacing w:after="0" w:lineRule="auto" w:line="276"/>
              <w:jc w:val="center"/>
              <w:rPr>
                <w:rFonts w:ascii="Times New Roman" w:cs="Times New Roman" w:hAnsi="Times New Roman"/>
              </w:rPr>
            </w:pPr>
            <w:r>
              <w:rPr>
                <w:rFonts w:ascii="Times New Roman" w:cs="Times New Roman" w:hAnsi="Times New Roman"/>
              </w:rPr>
              <w:t>0.025</w:t>
            </w:r>
          </w:p>
        </w:tc>
        <w:tc>
          <w:tcPr>
            <w:tcW w:w="9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3492A231">
            <w:pPr>
              <w:pStyle w:val="style0"/>
              <w:spacing w:after="0" w:lineRule="auto" w:line="276"/>
              <w:jc w:val="center"/>
              <w:rPr>
                <w:rFonts w:ascii="Times New Roman" w:cs="Times New Roman" w:hAnsi="Times New Roman"/>
              </w:rPr>
            </w:pPr>
            <w:r>
              <w:rPr>
                <w:rFonts w:ascii="Times New Roman" w:cs="Times New Roman" w:hAnsi="Times New Roman"/>
              </w:rPr>
              <w:t>1.885</w:t>
            </w:r>
          </w:p>
        </w:tc>
        <w:tc>
          <w:tcPr>
            <w:tcW w:w="135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7864FD40">
            <w:pPr>
              <w:pStyle w:val="style0"/>
              <w:spacing w:after="0" w:lineRule="auto" w:line="276"/>
              <w:jc w:val="center"/>
              <w:rPr>
                <w:rFonts w:ascii="Times New Roman" w:cs="Times New Roman" w:hAnsi="Times New Roman"/>
              </w:rPr>
            </w:pPr>
            <w:r>
              <w:rPr>
                <w:rFonts w:ascii="Times New Roman" w:cs="Times New Roman" w:hAnsi="Times New Roman"/>
              </w:rPr>
              <w:t>0.060</w:t>
            </w:r>
          </w:p>
        </w:tc>
        <w:tc>
          <w:tcPr>
            <w:tcW w:w="3005"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55547D14">
            <w:pPr>
              <w:pStyle w:val="style0"/>
              <w:spacing w:after="0" w:lineRule="auto" w:line="276"/>
              <w:jc w:val="center"/>
              <w:rPr>
                <w:rFonts w:ascii="Times New Roman" w:cs="Times New Roman" w:hAnsi="Times New Roman"/>
              </w:rPr>
            </w:pPr>
            <w:r>
              <w:rPr>
                <w:rFonts w:ascii="Times New Roman" w:cs="Times New Roman" w:hAnsi="Times New Roman"/>
                <w:color w:val="ee0000"/>
              </w:rPr>
              <w:t>Not Supported</w:t>
            </w:r>
          </w:p>
        </w:tc>
      </w:tr>
      <w:tr w14:paraId="61D84693">
        <w:tblPrEx/>
        <w:trPr/>
        <w:tc>
          <w:tcPr>
            <w:tcW w:w="171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70342E9C">
            <w:pPr>
              <w:pStyle w:val="style0"/>
              <w:spacing w:after="0" w:lineRule="auto" w:line="276"/>
              <w:rPr>
                <w:rFonts w:ascii="Times New Roman" w:cs="Times New Roman" w:hAnsi="Times New Roman"/>
              </w:rPr>
            </w:pPr>
            <w:r>
              <w:rPr>
                <w:rFonts w:ascii="Times New Roman" w:cs="Times New Roman" w:hAnsi="Times New Roman"/>
              </w:rPr>
              <w:t>PTE → IM</w:t>
            </w:r>
          </w:p>
        </w:tc>
        <w:tc>
          <w:tcPr>
            <w:tcW w:w="9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CED1886">
            <w:pPr>
              <w:pStyle w:val="style0"/>
              <w:spacing w:after="0" w:lineRule="auto" w:line="276"/>
              <w:jc w:val="center"/>
              <w:rPr>
                <w:rFonts w:ascii="Times New Roman" w:cs="Times New Roman" w:hAnsi="Times New Roman"/>
              </w:rPr>
            </w:pPr>
            <w:r>
              <w:rPr>
                <w:rFonts w:ascii="Times New Roman" w:cs="Times New Roman" w:hAnsi="Times New Roman"/>
              </w:rPr>
              <w:t>0.125</w:t>
            </w:r>
          </w:p>
        </w:tc>
        <w:tc>
          <w:tcPr>
            <w:tcW w:w="99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4ED29E47">
            <w:pPr>
              <w:pStyle w:val="style0"/>
              <w:spacing w:after="0" w:lineRule="auto" w:line="276"/>
              <w:jc w:val="center"/>
              <w:rPr>
                <w:rFonts w:ascii="Times New Roman" w:cs="Times New Roman" w:hAnsi="Times New Roman"/>
              </w:rPr>
            </w:pPr>
            <w:r>
              <w:rPr>
                <w:rFonts w:ascii="Times New Roman" w:cs="Times New Roman" w:hAnsi="Times New Roman"/>
              </w:rPr>
              <w:t>0.136</w:t>
            </w:r>
          </w:p>
        </w:tc>
        <w:tc>
          <w:tcPr>
            <w:tcW w:w="99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10EDC38">
            <w:pPr>
              <w:pStyle w:val="style0"/>
              <w:spacing w:after="0" w:lineRule="auto" w:line="276"/>
              <w:jc w:val="center"/>
              <w:rPr>
                <w:rFonts w:ascii="Times New Roman" w:cs="Times New Roman" w:hAnsi="Times New Roman"/>
              </w:rPr>
            </w:pPr>
            <w:r>
              <w:rPr>
                <w:rFonts w:ascii="Times New Roman" w:cs="Times New Roman" w:hAnsi="Times New Roman"/>
              </w:rPr>
              <w:t>0.058</w:t>
            </w:r>
          </w:p>
        </w:tc>
        <w:tc>
          <w:tcPr>
            <w:tcW w:w="9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3222FC54">
            <w:pPr>
              <w:pStyle w:val="style0"/>
              <w:spacing w:after="0" w:lineRule="auto" w:line="276"/>
              <w:jc w:val="center"/>
              <w:rPr>
                <w:rFonts w:ascii="Times New Roman" w:cs="Times New Roman" w:hAnsi="Times New Roman"/>
              </w:rPr>
            </w:pPr>
            <w:r>
              <w:rPr>
                <w:rFonts w:ascii="Times New Roman" w:cs="Times New Roman" w:hAnsi="Times New Roman"/>
              </w:rPr>
              <w:t>2.162</w:t>
            </w:r>
          </w:p>
        </w:tc>
        <w:tc>
          <w:tcPr>
            <w:tcW w:w="135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0336EDE6">
            <w:pPr>
              <w:pStyle w:val="style0"/>
              <w:spacing w:after="0" w:lineRule="auto" w:line="276"/>
              <w:jc w:val="center"/>
              <w:rPr>
                <w:rFonts w:ascii="Times New Roman" w:cs="Times New Roman" w:hAnsi="Times New Roman"/>
              </w:rPr>
            </w:pPr>
            <w:r>
              <w:rPr>
                <w:rFonts w:ascii="Times New Roman" w:cs="Times New Roman" w:hAnsi="Times New Roman"/>
              </w:rPr>
              <w:t>0.031</w:t>
            </w:r>
          </w:p>
        </w:tc>
        <w:tc>
          <w:tcPr>
            <w:tcW w:w="3005"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D514530">
            <w:pPr>
              <w:pStyle w:val="style0"/>
              <w:spacing w:after="0" w:lineRule="auto" w:line="276"/>
              <w:jc w:val="center"/>
              <w:rPr>
                <w:rFonts w:ascii="Times New Roman" w:cs="Times New Roman" w:hAnsi="Times New Roman"/>
              </w:rPr>
            </w:pPr>
            <w:r>
              <w:rPr>
                <w:rFonts w:ascii="Times New Roman" w:cs="Times New Roman" w:hAnsi="Times New Roman"/>
                <w:color w:val="196b24"/>
              </w:rPr>
              <w:t>Supported</w:t>
            </w:r>
          </w:p>
        </w:tc>
      </w:tr>
    </w:tbl>
    <w:p w14:paraId="5F177300">
      <w:pPr>
        <w:pStyle w:val="style0"/>
        <w:spacing w:after="0" w:lineRule="auto" w:line="276"/>
        <w:jc w:val="center"/>
        <w:rPr>
          <w:rFonts w:ascii="Times New Roman" w:cs="Times New Roman" w:hAnsi="Times New Roman"/>
        </w:rPr>
      </w:pPr>
      <w:r>
        <w:rPr>
          <w:rFonts w:ascii="Times New Roman" w:cs="Times New Roman" w:hAnsi="Times New Roman"/>
          <w:b/>
          <w:bCs/>
        </w:rPr>
        <w:t xml:space="preserve">Table 8. </w:t>
      </w:r>
      <w:r>
        <w:rPr>
          <w:rFonts w:ascii="Times New Roman" w:cs="Times New Roman" w:hAnsi="Times New Roman"/>
        </w:rPr>
        <w:t>Model Fit Indices, R², and Effect Sizes</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46"/>
        <w:gridCol w:w="800"/>
        <w:gridCol w:w="844"/>
        <w:gridCol w:w="5225"/>
        <w:gridCol w:w="896"/>
      </w:tblGrid>
      <w:tr w14:paraId="29BC10BB">
        <w:trPr>
          <w:tblHeader/>
          <w:jc w:val="center"/>
        </w:trPr>
        <w:tc>
          <w:tcPr>
            <w:tcW w:w="971"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21A3B6B8">
            <w:pPr>
              <w:pStyle w:val="style0"/>
              <w:spacing w:after="0" w:lineRule="auto" w:line="276"/>
              <w:jc w:val="center"/>
              <w:rPr>
                <w:rFonts w:ascii="Times New Roman" w:cs="Times New Roman" w:hAnsi="Times New Roman"/>
              </w:rPr>
            </w:pPr>
            <w:r>
              <w:rPr>
                <w:rFonts w:ascii="Times New Roman" w:cs="Times New Roman" w:hAnsi="Times New Roman"/>
              </w:rPr>
              <w:t>Construct</w:t>
            </w:r>
          </w:p>
        </w:tc>
        <w:tc>
          <w:tcPr>
            <w:tcW w:w="695"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20A58404">
            <w:pPr>
              <w:pStyle w:val="style0"/>
              <w:spacing w:after="0" w:lineRule="auto" w:line="276"/>
              <w:jc w:val="center"/>
              <w:rPr>
                <w:rFonts w:ascii="Times New Roman" w:cs="Times New Roman" w:hAnsi="Times New Roman"/>
              </w:rPr>
            </w:pPr>
            <w:r>
              <w:rPr>
                <w:rFonts w:ascii="Times New Roman" w:cs="Times New Roman" w:hAnsi="Times New Roman"/>
              </w:rPr>
              <w:t>R²</w:t>
            </w:r>
          </w:p>
        </w:tc>
        <w:tc>
          <w:tcPr>
            <w:tcW w:w="848"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08C658C2">
            <w:pPr>
              <w:pStyle w:val="style0"/>
              <w:spacing w:after="0" w:lineRule="auto" w:line="276"/>
              <w:jc w:val="center"/>
              <w:rPr>
                <w:rFonts w:ascii="Times New Roman" w:cs="Times New Roman" w:hAnsi="Times New Roman"/>
              </w:rPr>
            </w:pPr>
            <w:r>
              <w:rPr>
                <w:rFonts w:ascii="Times New Roman" w:cs="Times New Roman" w:hAnsi="Times New Roman"/>
              </w:rPr>
              <w:t>R² Adj</w:t>
            </w:r>
          </w:p>
        </w:tc>
        <w:tc>
          <w:tcPr>
            <w:tcW w:w="5596"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3C47D302">
            <w:pPr>
              <w:pStyle w:val="style0"/>
              <w:spacing w:after="0" w:lineRule="auto" w:line="276"/>
              <w:jc w:val="center"/>
              <w:rPr>
                <w:rFonts w:ascii="Times New Roman" w:cs="Times New Roman" w:hAnsi="Times New Roman"/>
              </w:rPr>
            </w:pPr>
            <w:r>
              <w:rPr>
                <w:rFonts w:ascii="Times New Roman" w:cs="Times New Roman" w:hAnsi="Times New Roman"/>
              </w:rPr>
              <w:t>f² (Effect Size)</w:t>
            </w:r>
          </w:p>
        </w:tc>
        <w:tc>
          <w:tcPr>
            <w:tcW w:w="900" w:type="dxa"/>
            <w:tcBorders>
              <w:top w:val="single" w:sz="4" w:space="0" w:color="aecde0"/>
              <w:left w:val="single" w:sz="4" w:space="0" w:color="aecde0"/>
              <w:bottom w:val="single" w:sz="4" w:space="0" w:color="aecde0"/>
              <w:right w:val="single" w:sz="4" w:space="0" w:color="aecde0"/>
            </w:tcBorders>
            <w:shd w:val="clear" w:color="auto" w:fill="4c94d8"/>
            <w:tcMar>
              <w:top w:w="70" w:type="dxa"/>
              <w:left w:w="100" w:type="dxa"/>
              <w:bottom w:w="70" w:type="dxa"/>
              <w:right w:w="100" w:type="dxa"/>
            </w:tcMar>
            <w:vAlign w:val="center"/>
          </w:tcPr>
          <w:p w14:paraId="2A76C6F9">
            <w:pPr>
              <w:pStyle w:val="style0"/>
              <w:spacing w:after="0" w:lineRule="auto" w:line="276"/>
              <w:jc w:val="center"/>
              <w:rPr>
                <w:rFonts w:ascii="Times New Roman" w:cs="Times New Roman" w:hAnsi="Times New Roman"/>
              </w:rPr>
            </w:pPr>
            <w:r>
              <w:rPr>
                <w:rFonts w:ascii="Times New Roman" w:cs="Times New Roman" w:hAnsi="Times New Roman"/>
              </w:rPr>
              <w:t>SRMR</w:t>
            </w:r>
          </w:p>
        </w:tc>
      </w:tr>
      <w:tr w14:paraId="333B5812">
        <w:tblPrEx/>
        <w:trPr>
          <w:jc w:val="center"/>
        </w:trPr>
        <w:tc>
          <w:tcPr>
            <w:tcW w:w="971"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2EDA9A58">
            <w:pPr>
              <w:pStyle w:val="style0"/>
              <w:spacing w:after="0" w:lineRule="auto" w:line="276"/>
              <w:rPr>
                <w:rFonts w:ascii="Times New Roman" w:cs="Times New Roman" w:hAnsi="Times New Roman"/>
              </w:rPr>
            </w:pPr>
            <w:r>
              <w:rPr>
                <w:rFonts w:ascii="Times New Roman" w:cs="Times New Roman" w:hAnsi="Times New Roman"/>
              </w:rPr>
              <w:t>APM</w:t>
            </w:r>
          </w:p>
        </w:tc>
        <w:tc>
          <w:tcPr>
            <w:tcW w:w="695"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35FF597">
            <w:pPr>
              <w:pStyle w:val="style0"/>
              <w:spacing w:after="0" w:lineRule="auto" w:line="276"/>
              <w:jc w:val="center"/>
              <w:rPr>
                <w:rFonts w:ascii="Times New Roman" w:cs="Times New Roman" w:hAnsi="Times New Roman"/>
              </w:rPr>
            </w:pPr>
            <w:r>
              <w:rPr>
                <w:rFonts w:ascii="Times New Roman" w:cs="Times New Roman" w:hAnsi="Times New Roman"/>
              </w:rPr>
              <w:t>0.400</w:t>
            </w:r>
          </w:p>
        </w:tc>
        <w:tc>
          <w:tcPr>
            <w:tcW w:w="848"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35D709A">
            <w:pPr>
              <w:pStyle w:val="style0"/>
              <w:spacing w:after="0" w:lineRule="auto" w:line="276"/>
              <w:jc w:val="center"/>
              <w:rPr>
                <w:rFonts w:ascii="Times New Roman" w:cs="Times New Roman" w:hAnsi="Times New Roman"/>
              </w:rPr>
            </w:pPr>
            <w:r>
              <w:rPr>
                <w:rFonts w:ascii="Times New Roman" w:cs="Times New Roman" w:hAnsi="Times New Roman"/>
              </w:rPr>
              <w:t>0.400</w:t>
            </w:r>
          </w:p>
        </w:tc>
        <w:tc>
          <w:tcPr>
            <w:tcW w:w="5596"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12B5C07B">
            <w:pPr>
              <w:pStyle w:val="style0"/>
              <w:spacing w:after="0" w:lineRule="auto" w:line="276"/>
              <w:rPr>
                <w:rFonts w:ascii="Times New Roman" w:cs="Times New Roman" w:hAnsi="Times New Roman"/>
              </w:rPr>
            </w:pPr>
            <w:r>
              <w:rPr>
                <w:rFonts w:ascii="Times New Roman" w:cs="Times New Roman" w:hAnsi="Times New Roman"/>
              </w:rPr>
              <w:t>IM→APM: 0.667 (large)</w:t>
            </w:r>
          </w:p>
        </w:tc>
        <w:tc>
          <w:tcPr>
            <w:tcW w:w="900" w:type="dxa"/>
            <w:tcBorders>
              <w:top w:val="single" w:sz="4" w:space="0" w:color="aecde0"/>
              <w:left w:val="single" w:sz="4" w:space="0" w:color="aecde0"/>
              <w:bottom w:val="single" w:sz="4" w:space="0" w:color="aecde0"/>
              <w:right w:val="single" w:sz="4" w:space="0" w:color="aecde0"/>
            </w:tcBorders>
            <w:shd w:val="clear" w:color="auto" w:fill="ffffff"/>
            <w:tcMar>
              <w:top w:w="55" w:type="dxa"/>
              <w:left w:w="100" w:type="dxa"/>
              <w:bottom w:w="55" w:type="dxa"/>
              <w:right w:w="100" w:type="dxa"/>
            </w:tcMar>
            <w:vAlign w:val="center"/>
          </w:tcPr>
          <w:p w14:paraId="61A5DDD0">
            <w:pPr>
              <w:pStyle w:val="style0"/>
              <w:spacing w:after="0" w:lineRule="auto" w:line="276"/>
              <w:jc w:val="center"/>
              <w:rPr>
                <w:rFonts w:ascii="Times New Roman" w:cs="Times New Roman" w:hAnsi="Times New Roman"/>
              </w:rPr>
            </w:pPr>
            <w:r>
              <w:rPr>
                <w:rFonts w:ascii="Times New Roman" w:cs="Times New Roman" w:hAnsi="Times New Roman"/>
              </w:rPr>
              <w:t>0.065</w:t>
            </w:r>
          </w:p>
        </w:tc>
      </w:tr>
      <w:tr w14:paraId="1F8F9E1F">
        <w:tblPrEx/>
        <w:trPr>
          <w:jc w:val="center"/>
        </w:trPr>
        <w:tc>
          <w:tcPr>
            <w:tcW w:w="971"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06AE6669">
            <w:pPr>
              <w:pStyle w:val="style0"/>
              <w:spacing w:after="0" w:lineRule="auto" w:line="276"/>
              <w:rPr>
                <w:rFonts w:ascii="Times New Roman" w:cs="Times New Roman" w:hAnsi="Times New Roman"/>
              </w:rPr>
            </w:pPr>
            <w:r>
              <w:rPr>
                <w:rFonts w:ascii="Times New Roman" w:cs="Times New Roman" w:hAnsi="Times New Roman"/>
              </w:rPr>
              <w:t>IM</w:t>
            </w:r>
          </w:p>
        </w:tc>
        <w:tc>
          <w:tcPr>
            <w:tcW w:w="695"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6B9B82A3">
            <w:pPr>
              <w:pStyle w:val="style0"/>
              <w:spacing w:after="0" w:lineRule="auto" w:line="276"/>
              <w:jc w:val="center"/>
              <w:rPr>
                <w:rFonts w:ascii="Times New Roman" w:cs="Times New Roman" w:hAnsi="Times New Roman"/>
              </w:rPr>
            </w:pPr>
            <w:r>
              <w:rPr>
                <w:rFonts w:ascii="Times New Roman" w:cs="Times New Roman" w:hAnsi="Times New Roman"/>
              </w:rPr>
              <w:t>0.562</w:t>
            </w:r>
          </w:p>
        </w:tc>
        <w:tc>
          <w:tcPr>
            <w:tcW w:w="848"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7EFA5C5">
            <w:pPr>
              <w:pStyle w:val="style0"/>
              <w:spacing w:after="0" w:lineRule="auto" w:line="276"/>
              <w:jc w:val="center"/>
              <w:rPr>
                <w:rFonts w:ascii="Times New Roman" w:cs="Times New Roman" w:hAnsi="Times New Roman"/>
              </w:rPr>
            </w:pPr>
            <w:r>
              <w:rPr>
                <w:rFonts w:ascii="Times New Roman" w:cs="Times New Roman" w:hAnsi="Times New Roman"/>
              </w:rPr>
              <w:t>0.562</w:t>
            </w:r>
          </w:p>
        </w:tc>
        <w:tc>
          <w:tcPr>
            <w:tcW w:w="5596"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FB74876">
            <w:pPr>
              <w:pStyle w:val="style0"/>
              <w:spacing w:after="0" w:lineRule="auto" w:line="276"/>
              <w:rPr>
                <w:rFonts w:ascii="Times New Roman" w:cs="Times New Roman" w:hAnsi="Times New Roman"/>
              </w:rPr>
            </w:pPr>
            <w:r>
              <w:rPr>
                <w:rFonts w:ascii="Times New Roman" w:cs="Times New Roman" w:hAnsi="Times New Roman"/>
              </w:rPr>
              <w:t>AGM→IM: 0.079 (</w:t>
            </w:r>
            <w:r>
              <w:rPr>
                <w:rFonts w:ascii="Times New Roman" w:cs="Times New Roman" w:hAnsi="Times New Roman"/>
              </w:rPr>
              <w:t>small)  AIC</w:t>
            </w:r>
            <w:r>
              <w:rPr>
                <w:rFonts w:ascii="Times New Roman" w:cs="Times New Roman" w:hAnsi="Times New Roman"/>
              </w:rPr>
              <w:t>→IM: 0.138 (small-</w:t>
            </w:r>
            <w:r>
              <w:rPr>
                <w:rFonts w:ascii="Times New Roman" w:cs="Times New Roman" w:hAnsi="Times New Roman"/>
              </w:rPr>
              <w:t>med)  PTE</w:t>
            </w:r>
            <w:r>
              <w:rPr>
                <w:rFonts w:ascii="Times New Roman" w:cs="Times New Roman" w:hAnsi="Times New Roman"/>
              </w:rPr>
              <w:t>→IM: 0.019 (negligible)</w:t>
            </w:r>
          </w:p>
        </w:tc>
        <w:tc>
          <w:tcPr>
            <w:tcW w:w="900" w:type="dxa"/>
            <w:tcBorders>
              <w:top w:val="single" w:sz="4" w:space="0" w:color="aecde0"/>
              <w:left w:val="single" w:sz="4" w:space="0" w:color="aecde0"/>
              <w:bottom w:val="single" w:sz="4" w:space="0" w:color="aecde0"/>
              <w:right w:val="single" w:sz="4" w:space="0" w:color="aecde0"/>
            </w:tcBorders>
            <w:shd w:val="clear" w:color="auto" w:fill="f2f7fb"/>
            <w:tcMar>
              <w:top w:w="55" w:type="dxa"/>
              <w:left w:w="100" w:type="dxa"/>
              <w:bottom w:w="55" w:type="dxa"/>
              <w:right w:w="100" w:type="dxa"/>
            </w:tcMar>
            <w:vAlign w:val="center"/>
          </w:tcPr>
          <w:p w14:paraId="4563C529">
            <w:pPr>
              <w:pStyle w:val="style0"/>
              <w:spacing w:after="0" w:lineRule="auto" w:line="276"/>
              <w:jc w:val="center"/>
              <w:rPr>
                <w:rFonts w:ascii="Times New Roman" w:cs="Times New Roman" w:hAnsi="Times New Roman"/>
              </w:rPr>
            </w:pPr>
            <w:r>
              <w:rPr>
                <w:rFonts w:ascii="Times New Roman" w:cs="Times New Roman" w:hAnsi="Times New Roman"/>
              </w:rPr>
              <w:t>-</w:t>
            </w:r>
          </w:p>
        </w:tc>
      </w:tr>
    </w:tbl>
    <w:p w14:paraId="4ACB0A6A">
      <w:pPr>
        <w:pStyle w:val="style0"/>
        <w:spacing w:after="0" w:lineRule="auto" w:line="276"/>
        <w:jc w:val="both"/>
        <w:rPr>
          <w:rFonts w:ascii="Times New Roman" w:cs="Times New Roman" w:hAnsi="Times New Roman"/>
          <w:b/>
          <w:bCs/>
        </w:rPr>
      </w:pPr>
      <w:r>
        <w:rPr>
          <w:rFonts w:ascii="Times New Roman" w:cs="Times New Roman" w:hAnsi="Times New Roman"/>
          <w:i/>
          <w:iCs/>
        </w:rPr>
        <w:t>Note. SRMR &lt; 0.08 indicates good fit (Henseler et al., 2015). R² = 0.400 (APM)</w:t>
      </w:r>
      <w:r>
        <w:rPr>
          <w:rFonts w:ascii="Times New Roman" w:cs="Times New Roman" w:hAnsi="Times New Roman"/>
          <w:i/>
          <w:iCs/>
        </w:rPr>
        <w:t xml:space="preserve"> </w:t>
      </w:r>
      <w:r>
        <w:rPr>
          <w:rFonts w:ascii="Times New Roman" w:cs="Times New Roman" w:hAnsi="Times New Roman"/>
          <w:i/>
          <w:iCs/>
        </w:rPr>
        <w:t>and 0.562 (IM) reflect moderate-to-substantial explanatory power. f² for IM→APM = 0.667 (large effect, Cohen, 1988).</w:t>
      </w:r>
    </w:p>
    <w:p w14:paraId="1DB96652">
      <w:pPr>
        <w:pStyle w:val="style0"/>
        <w:spacing w:after="0" w:lineRule="auto" w:line="276"/>
        <w:rPr>
          <w:rFonts w:ascii="Times New Roman" w:cs="Times New Roman" w:hAnsi="Times New Roman"/>
        </w:rPr>
      </w:pPr>
      <w:r>
        <w:rPr>
          <w:rFonts w:ascii="Times New Roman" w:cs="Times New Roman" w:hAnsi="Times New Roman"/>
        </w:rPr>
        <w:t>5.</w:t>
      </w:r>
      <w:r>
        <w:rPr>
          <w:rFonts w:ascii="Times New Roman" w:cs="Times New Roman" w:hAnsi="Times New Roman"/>
        </w:rPr>
        <w:tab/>
      </w:r>
      <w:r>
        <w:rPr>
          <w:rFonts w:ascii="Times New Roman" w:cs="Times New Roman" w:hAnsi="Times New Roman"/>
          <w:b/>
          <w:bCs/>
        </w:rPr>
        <w:t>Discussion</w:t>
      </w:r>
    </w:p>
    <w:p w14:paraId="7B52AD75">
      <w:pPr>
        <w:pStyle w:val="style0"/>
        <w:spacing w:after="0" w:lineRule="auto" w:line="276"/>
        <w:jc w:val="both"/>
        <w:rPr>
          <w:rFonts w:ascii="Times New Roman" w:cs="Times New Roman" w:hAnsi="Times New Roman"/>
        </w:rPr>
      </w:pPr>
      <w:r>
        <w:rPr>
          <w:rFonts w:ascii="Times New Roman" w:cs="Times New Roman" w:hAnsi="Times New Roman"/>
        </w:rPr>
        <w:t>This study investigated the effects of AI-enabled governance mechanisms (AGM), policy transparency evaluation (PTE), and AI-enabled institutional capacity (AIC) on implementation monitoring (IM), and further examined how implementation monitoring influences AI-enabled policymaking (APM). In addition, the research explored the mediating role of implementation monitoring in explaining how governance-related capabilities are translated into effective policymaking outcomes. The findings provide empirical evidence regarding the mechanisms through which AI-enabled governance capabilities contribute to policymaking effectiveness and highlight the importance of implementation monitoring as a key link between institutional capabilities and policy performance</w:t>
      </w:r>
      <w:r>
        <w:rPr>
          <w:rFonts w:ascii="Times New Roman" w:cs="Times New Roman" w:hAnsi="Times New Roman"/>
        </w:rPr>
        <w:t>.</w:t>
      </w:r>
    </w:p>
    <w:p w14:paraId="3966F411">
      <w:pPr>
        <w:pStyle w:val="style0"/>
        <w:spacing w:after="0" w:lineRule="auto" w:line="276"/>
        <w:jc w:val="both"/>
        <w:rPr>
          <w:rFonts w:ascii="Times New Roman" w:cs="Times New Roman" w:hAnsi="Times New Roman"/>
        </w:rPr>
      </w:pPr>
      <w:r>
        <w:rPr>
          <w:rFonts w:ascii="Times New Roman" w:cs="Times New Roman" w:hAnsi="Times New Roman"/>
        </w:rPr>
        <w:t>5.1</w:t>
      </w:r>
      <w:r>
        <w:rPr>
          <w:rFonts w:ascii="Times New Roman" w:cs="Times New Roman" w:hAnsi="Times New Roman"/>
        </w:rPr>
        <w:tab/>
      </w:r>
      <w:r>
        <w:rPr>
          <w:rFonts w:ascii="Times New Roman" w:cs="Times New Roman" w:hAnsi="Times New Roman"/>
          <w:b/>
          <w:bCs/>
        </w:rPr>
        <w:t>AIC and IM (H3)</w:t>
      </w:r>
    </w:p>
    <w:p w14:paraId="2AD9581A">
      <w:pPr>
        <w:pStyle w:val="style0"/>
        <w:spacing w:after="0" w:lineRule="auto" w:line="276"/>
        <w:jc w:val="both"/>
        <w:rPr>
          <w:rFonts w:ascii="Times New Roman" w:cs="Times New Roman" w:hAnsi="Times New Roman"/>
        </w:rPr>
      </w:pPr>
      <w:r>
        <w:rPr>
          <w:rFonts w:ascii="Times New Roman" w:cs="Times New Roman" w:hAnsi="Times New Roman"/>
        </w:rPr>
        <w:t>The results indicate that AI-enabled institutional capacity (AIC) has the strongest positive effect on implementation monitoring (IM) (β = 0.302, t = 5.312, p &lt; 0.001), thereby supporting H3. This finding highlights the importance of institutional preparedness, technological resources, leadership support, and organizational flexibility in facilitating effective monitoring of AI-driven policy implementation (</w:t>
      </w:r>
      <w:r>
        <w:rPr>
          <w:rFonts w:ascii="Times New Roman" w:cs="Times New Roman" w:hAnsi="Times New Roman"/>
        </w:rPr>
        <w:t>Samigullin</w:t>
      </w:r>
      <w:r>
        <w:rPr>
          <w:rFonts w:ascii="Times New Roman" w:cs="Times New Roman" w:hAnsi="Times New Roman"/>
        </w:rPr>
        <w:t xml:space="preserve"> &amp; Dooley, 2023; </w:t>
      </w:r>
      <w:r>
        <w:rPr>
          <w:rFonts w:ascii="Times New Roman" w:cs="Times New Roman" w:hAnsi="Times New Roman"/>
        </w:rPr>
        <w:t>Mikalef</w:t>
      </w:r>
      <w:r>
        <w:rPr>
          <w:rFonts w:ascii="Times New Roman" w:cs="Times New Roman" w:hAnsi="Times New Roman"/>
        </w:rPr>
        <w:t xml:space="preserve"> et al., 2022). Public institutions possessing advanced AI-related capabilities are more capable of establishing and maintaining monitoring systems that effectively oversee policy execution, assess performance in real time, and respond proactively to emerging governance issues (Dwivedi et al., 2023; Xavier, 2022).</w:t>
      </w:r>
    </w:p>
    <w:p w14:paraId="1A89C965">
      <w:pPr>
        <w:pStyle w:val="style0"/>
        <w:spacing w:after="0" w:lineRule="auto" w:line="276"/>
        <w:jc w:val="both"/>
        <w:rPr>
          <w:rFonts w:ascii="Times New Roman" w:cs="Times New Roman" w:hAnsi="Times New Roman"/>
        </w:rPr>
      </w:pPr>
      <w:r>
        <w:rPr>
          <w:rFonts w:ascii="Times New Roman" w:cs="Times New Roman" w:hAnsi="Times New Roman"/>
        </w:rPr>
        <w:t xml:space="preserve">The result is consistent with the seizing dimension of Dynamic Capability Theory, which emphasizes the importance of organizational capabilities in utilizing resources and technologies to achieve desired outcomes (Teece, 2007; Holmström, 2022). Similar conclusions have been reported by </w:t>
      </w:r>
      <w:r>
        <w:rPr>
          <w:rFonts w:ascii="Times New Roman" w:cs="Times New Roman" w:hAnsi="Times New Roman"/>
        </w:rPr>
        <w:t>Mikalef</w:t>
      </w:r>
      <w:r>
        <w:rPr>
          <w:rFonts w:ascii="Times New Roman" w:cs="Times New Roman" w:hAnsi="Times New Roman"/>
        </w:rPr>
        <w:t xml:space="preserve"> et al. (2022), who identify digital capability as a key driver of governance monitoring effectiveness in complex environments. Likewise, Sun and Medaglia (2022) demonstrate that limited institutional capacity represents a major obstacle to successful AI monitoring, particularly within public healthcare settings. Xavier (2022) further shows that institutional AI readiness significantly influences the comprehensiveness and responsiveness of monitoring systems in digital government environments. In addition, the World Bank (2023) recognizes capacity building as one of the most critical investments for strengthening AI governance and monitoring, particularly within developing governance systems. These findings collectively emphasize the strategic importance of institutional AI capacity in enabling effective implementation monitoring</w:t>
      </w:r>
      <w:r>
        <w:rPr>
          <w:rFonts w:ascii="Times New Roman" w:cs="Times New Roman" w:hAnsi="Times New Roman"/>
        </w:rPr>
        <w:t>.</w:t>
      </w:r>
    </w:p>
    <w:p w14:paraId="296AEF4C">
      <w:pPr>
        <w:pStyle w:val="style0"/>
        <w:spacing w:after="0" w:lineRule="auto" w:line="276"/>
        <w:jc w:val="both"/>
        <w:rPr>
          <w:rFonts w:ascii="Times New Roman" w:cs="Times New Roman" w:hAnsi="Times New Roman"/>
        </w:rPr>
      </w:pPr>
      <w:r>
        <w:rPr>
          <w:rFonts w:ascii="Times New Roman" w:cs="Times New Roman" w:hAnsi="Times New Roman"/>
        </w:rPr>
        <w:t>5.2</w:t>
      </w:r>
      <w:r>
        <w:rPr>
          <w:rFonts w:ascii="Times New Roman" w:cs="Times New Roman" w:hAnsi="Times New Roman"/>
        </w:rPr>
        <w:tab/>
      </w:r>
      <w:r>
        <w:rPr>
          <w:rFonts w:ascii="Times New Roman" w:cs="Times New Roman" w:hAnsi="Times New Roman"/>
          <w:b/>
          <w:bCs/>
        </w:rPr>
        <w:t>AI-Enabled Governance Mechanisms and Implementation Monitoring (H1)</w:t>
      </w:r>
    </w:p>
    <w:p w14:paraId="3555F922">
      <w:pPr>
        <w:pStyle w:val="style0"/>
        <w:spacing w:after="0" w:lineRule="auto" w:line="276"/>
        <w:jc w:val="both"/>
        <w:rPr>
          <w:rFonts w:ascii="Times New Roman" w:cs="Times New Roman" w:hAnsi="Times New Roman"/>
        </w:rPr>
      </w:pPr>
      <w:r>
        <w:rPr>
          <w:rFonts w:ascii="Times New Roman" w:cs="Times New Roman" w:hAnsi="Times New Roman"/>
        </w:rPr>
        <w:t xml:space="preserve">The analysis reveals that AI-enabled governance mechanisms (AGM) have a significant positive effect on implementation monitoring (IM) (β = 0.194, t = 3.546, p &lt; 0.001), providing support for H1. This result suggests that regulatory frameworks, accountability arrangements, and ethical oversight mechanisms create the institutional environment necessary for effective policy monitoring and governance control (Wirtz et al., 2023; Perry &amp; </w:t>
      </w:r>
      <w:r>
        <w:rPr>
          <w:rFonts w:ascii="Times New Roman" w:cs="Times New Roman" w:hAnsi="Times New Roman"/>
        </w:rPr>
        <w:t>Uuk</w:t>
      </w:r>
      <w:r>
        <w:rPr>
          <w:rFonts w:ascii="Times New Roman" w:cs="Times New Roman" w:hAnsi="Times New Roman"/>
        </w:rPr>
        <w:t>, 2022; Cath, 2022). Strong governance structures provide legitimacy and authority to monitoring processes, thereby enhancing their effectiveness in overseeing AI-supported policy implementation.</w:t>
      </w:r>
    </w:p>
    <w:p w14:paraId="11A9917D">
      <w:pPr>
        <w:pStyle w:val="style0"/>
        <w:spacing w:after="0" w:lineRule="auto" w:line="276"/>
        <w:jc w:val="both"/>
        <w:rPr>
          <w:rFonts w:ascii="Times New Roman" w:cs="Times New Roman" w:hAnsi="Times New Roman"/>
        </w:rPr>
      </w:pPr>
      <w:r>
        <w:rPr>
          <w:rFonts w:ascii="Times New Roman" w:cs="Times New Roman" w:hAnsi="Times New Roman"/>
        </w:rPr>
        <w:t xml:space="preserve">These findings are aligned with prior research demonstrating the importance of governance structures in strengthening monitoring performance. Janssen and Helbig (2023) found that robust governance mechanisms are among the most influential predictors of effective AI monitoring in digital government initiatives. Similarly, </w:t>
      </w:r>
      <w:r>
        <w:rPr>
          <w:rFonts w:ascii="Times New Roman" w:cs="Times New Roman" w:hAnsi="Times New Roman"/>
        </w:rPr>
        <w:t>Floridi</w:t>
      </w:r>
      <w:r>
        <w:rPr>
          <w:rFonts w:ascii="Times New Roman" w:cs="Times New Roman" w:hAnsi="Times New Roman"/>
        </w:rPr>
        <w:t xml:space="preserve"> et al. (2022) argue that governance frameworks define the authority and operational boundaries of monitoring systems, enabling more comprehensive oversight of AI-enabled policy processes. Veale and </w:t>
      </w:r>
      <w:r>
        <w:rPr>
          <w:rFonts w:ascii="Times New Roman" w:cs="Times New Roman" w:hAnsi="Times New Roman"/>
        </w:rPr>
        <w:t>Borgesius</w:t>
      </w:r>
      <w:r>
        <w:rPr>
          <w:rFonts w:ascii="Times New Roman" w:cs="Times New Roman" w:hAnsi="Times New Roman"/>
        </w:rPr>
        <w:t xml:space="preserve"> (2021) further note that regulatory requirements, including those reflected in the EU AI Act (2024), establish essential conditions for ensuring transparency, traceability, and accountability within AI-driven governance systems. Supporting these observations, Novelli et al. (2024) demonstrate that governance-based accountability mechanisms improve the accuracy and effectiveness of implementation monitoring, while Tan et al. (2022) show that integrated governance frameworks enhance monitoring performance across public-sector AI initiatives. </w:t>
      </w:r>
      <w:r>
        <w:rPr>
          <w:rFonts w:ascii="Times New Roman" w:cs="Times New Roman" w:hAnsi="Times New Roman"/>
        </w:rPr>
        <w:t>Helmholz</w:t>
      </w:r>
      <w:r>
        <w:rPr>
          <w:rFonts w:ascii="Times New Roman" w:cs="Times New Roman" w:hAnsi="Times New Roman"/>
        </w:rPr>
        <w:t xml:space="preserve"> et al. (2024) likewise identify governance mechanisms as critical enablers of sustainable monitoring practices within AI-enabled governance environments</w:t>
      </w:r>
      <w:r>
        <w:rPr>
          <w:rFonts w:ascii="Times New Roman" w:cs="Times New Roman" w:hAnsi="Times New Roman"/>
        </w:rPr>
        <w:t>.</w:t>
      </w:r>
    </w:p>
    <w:p w14:paraId="024AA2EC">
      <w:pPr>
        <w:pStyle w:val="style0"/>
        <w:spacing w:after="0" w:lineRule="auto" w:line="276"/>
        <w:jc w:val="both"/>
        <w:rPr>
          <w:rFonts w:ascii="Times New Roman" w:cs="Times New Roman" w:hAnsi="Times New Roman"/>
        </w:rPr>
      </w:pPr>
      <w:r>
        <w:rPr>
          <w:rFonts w:ascii="Times New Roman" w:cs="Times New Roman" w:hAnsi="Times New Roman"/>
        </w:rPr>
        <w:t>5.3</w:t>
      </w:r>
      <w:r>
        <w:rPr>
          <w:rFonts w:ascii="Times New Roman" w:cs="Times New Roman" w:hAnsi="Times New Roman"/>
        </w:rPr>
        <w:tab/>
      </w:r>
      <w:r>
        <w:rPr>
          <w:rFonts w:ascii="Times New Roman" w:cs="Times New Roman" w:hAnsi="Times New Roman"/>
          <w:b/>
          <w:bCs/>
        </w:rPr>
        <w:t>Policy Transparency Evaluation and Implementation Monitoring (H2)</w:t>
      </w:r>
    </w:p>
    <w:p w14:paraId="5944DF8D">
      <w:pPr>
        <w:pStyle w:val="style0"/>
        <w:spacing w:after="0" w:lineRule="auto" w:line="276"/>
        <w:jc w:val="both"/>
        <w:rPr>
          <w:rFonts w:ascii="Times New Roman" w:cs="Times New Roman" w:hAnsi="Times New Roman"/>
        </w:rPr>
      </w:pPr>
      <w:r>
        <w:rPr>
          <w:rFonts w:ascii="Times New Roman" w:cs="Times New Roman" w:hAnsi="Times New Roman"/>
        </w:rPr>
        <w:t xml:space="preserve">The findings show that policy transparency evaluation (PTE) positively influences implementation monitoring (IM) (β = 0.125, t = 2.162, p = 0.031), thereby supporting H2. This result suggests that transparent and explainable policymaking processes enhance visibility into AI-supported decisions, improve stakeholder oversight, and strengthen institutional capabilities to monitor policy implementation effectively (Paul, 2022; Novelli et al., 2024; </w:t>
      </w:r>
      <w:r>
        <w:rPr>
          <w:rFonts w:ascii="Times New Roman" w:cs="Times New Roman" w:hAnsi="Times New Roman"/>
        </w:rPr>
        <w:t>Lněnička</w:t>
      </w:r>
      <w:r>
        <w:rPr>
          <w:rFonts w:ascii="Times New Roman" w:cs="Times New Roman" w:hAnsi="Times New Roman"/>
        </w:rPr>
        <w:t xml:space="preserve"> et al., 2024). Greater transparency allows monitoring systems to access more reliable and comprehensive information, thereby facilitating more accurate assessments of policy progress and implementation outcomes.</w:t>
      </w:r>
    </w:p>
    <w:p w14:paraId="671445C0">
      <w:pPr>
        <w:pStyle w:val="style0"/>
        <w:spacing w:after="0" w:lineRule="auto" w:line="276"/>
        <w:jc w:val="both"/>
        <w:rPr>
          <w:rFonts w:ascii="Times New Roman" w:cs="Times New Roman" w:hAnsi="Times New Roman"/>
        </w:rPr>
      </w:pPr>
      <w:r>
        <w:rPr>
          <w:rFonts w:ascii="Times New Roman" w:cs="Times New Roman" w:hAnsi="Times New Roman"/>
        </w:rPr>
        <w:t xml:space="preserve">The findings are consistent with previous studies highlighting the importance of transparency in AI governance. </w:t>
      </w:r>
      <w:r>
        <w:rPr>
          <w:rFonts w:ascii="Times New Roman" w:cs="Times New Roman" w:hAnsi="Times New Roman"/>
        </w:rPr>
        <w:t>Helmholz</w:t>
      </w:r>
      <w:r>
        <w:rPr>
          <w:rFonts w:ascii="Times New Roman" w:cs="Times New Roman" w:hAnsi="Times New Roman"/>
        </w:rPr>
        <w:t xml:space="preserve"> et al. (2024) report that transparent AI systems improve the quality and reliability of monitoring information available to public institutions. Similarly, Yang and Goldsmith (2024) show that transparency mechanisms generate richer implementation data, enabling monitoring units to identify governance deficiencies and accountability issues more effectively. Lăzăroiu et al. (2022) further argue that explainable AI strengthens communication and feedback between policymakers and monitoring bodies, thereby promoting adaptive governance and continuous learning. Ingrams et al. (2022) also demonstrate that open and accountable AI systems provide more reliable implementation intelligence that supports evidence-based policy adjustments. Moreover, the OECD (2023) emphasizes that transparency is a fundamental prerequisite for effective AI governance, as opaque systems can significantly undermine accountability and oversight. Consistent with these perspectives, Paul (2022) contends that policy transparency provides the informational foundation necessary for independent monitoring and policy evaluation throughout the policymaking process</w:t>
      </w:r>
      <w:r>
        <w:rPr>
          <w:rFonts w:ascii="Times New Roman" w:cs="Times New Roman" w:hAnsi="Times New Roman"/>
        </w:rPr>
        <w:t>.</w:t>
      </w:r>
    </w:p>
    <w:p w14:paraId="3B888A0C">
      <w:pPr>
        <w:pStyle w:val="style0"/>
        <w:spacing w:after="0" w:lineRule="auto" w:line="276"/>
        <w:jc w:val="both"/>
        <w:rPr>
          <w:rFonts w:ascii="Times New Roman" w:cs="Times New Roman" w:hAnsi="Times New Roman"/>
        </w:rPr>
      </w:pPr>
      <w:r>
        <w:rPr>
          <w:rFonts w:ascii="Times New Roman" w:cs="Times New Roman" w:hAnsi="Times New Roman"/>
        </w:rPr>
        <w:t>5.4</w:t>
      </w:r>
      <w:r>
        <w:rPr>
          <w:rFonts w:ascii="Times New Roman" w:cs="Times New Roman" w:hAnsi="Times New Roman"/>
        </w:rPr>
        <w:tab/>
      </w:r>
      <w:r>
        <w:rPr>
          <w:rFonts w:ascii="Times New Roman" w:cs="Times New Roman" w:hAnsi="Times New Roman"/>
          <w:b/>
          <w:bCs/>
        </w:rPr>
        <w:t>Implementation Monitoring and AI-Enabled Policymaking (H4)</w:t>
      </w:r>
    </w:p>
    <w:p w14:paraId="7197BA73">
      <w:pPr>
        <w:pStyle w:val="style0"/>
        <w:spacing w:after="0" w:lineRule="auto" w:line="276"/>
        <w:jc w:val="both"/>
        <w:rPr>
          <w:rFonts w:ascii="Times New Roman" w:cs="Times New Roman" w:hAnsi="Times New Roman"/>
        </w:rPr>
      </w:pPr>
      <w:r>
        <w:rPr>
          <w:rFonts w:ascii="Times New Roman" w:cs="Times New Roman" w:hAnsi="Times New Roman"/>
        </w:rPr>
        <w:t>The findings identify implementation monitoring (IM) as the most influential predictor of AI-enabled policymaking (APM) (β = 0.369, t = 6.950, p &lt; 0.001, f² = 0.667), providing strong support for H4. The substantial effect size highlights the practical importance of monitoring as a strategic governance capability that generates the information and feedback required for adaptive and evidence-based policymaking (</w:t>
      </w:r>
      <w:r>
        <w:rPr>
          <w:rFonts w:ascii="Times New Roman" w:cs="Times New Roman" w:hAnsi="Times New Roman"/>
        </w:rPr>
        <w:t>Helmholz</w:t>
      </w:r>
      <w:r>
        <w:rPr>
          <w:rFonts w:ascii="Times New Roman" w:cs="Times New Roman" w:hAnsi="Times New Roman"/>
        </w:rPr>
        <w:t xml:space="preserve"> et al., 2024; </w:t>
      </w:r>
      <w:r>
        <w:rPr>
          <w:rFonts w:ascii="Times New Roman" w:cs="Times New Roman" w:hAnsi="Times New Roman"/>
        </w:rPr>
        <w:t>Lněnička</w:t>
      </w:r>
      <w:r>
        <w:rPr>
          <w:rFonts w:ascii="Times New Roman" w:cs="Times New Roman" w:hAnsi="Times New Roman"/>
        </w:rPr>
        <w:t xml:space="preserve"> et al., 2024). Through continuous oversight, institutions can detect implementation shortcomings, evaluate policy effectiveness in real time, and make informed adjustments to governance actions based on emerging evidence (Perry &amp; </w:t>
      </w:r>
      <w:r>
        <w:rPr>
          <w:rFonts w:ascii="Times New Roman" w:cs="Times New Roman" w:hAnsi="Times New Roman"/>
        </w:rPr>
        <w:t>Uuk</w:t>
      </w:r>
      <w:r>
        <w:rPr>
          <w:rFonts w:ascii="Times New Roman" w:cs="Times New Roman" w:hAnsi="Times New Roman"/>
        </w:rPr>
        <w:t>, 2022; Valle-Cruz et al., 2022).</w:t>
      </w:r>
    </w:p>
    <w:p w14:paraId="4423491E">
      <w:pPr>
        <w:pStyle w:val="style0"/>
        <w:spacing w:after="0" w:lineRule="auto" w:line="276"/>
        <w:jc w:val="both"/>
        <w:rPr>
          <w:rFonts w:ascii="Times New Roman" w:cs="Times New Roman" w:hAnsi="Times New Roman"/>
        </w:rPr>
      </w:pPr>
      <w:r>
        <w:rPr>
          <w:rFonts w:ascii="Times New Roman" w:cs="Times New Roman" w:hAnsi="Times New Roman"/>
        </w:rPr>
        <w:t xml:space="preserve">These results are consistent with prior empirical research. Valle-Cruz et al. (2022) found that AI-driven monitoring technologies significantly improve policy adaptability and evidence alignment, resulting in better governance outcomes. Similarly, Sun and Medaglia (2022) reported that effective monitoring systems enhance decision quality while reducing the likelihood of policy failure. Tan et al. (2022) further demonstrated that structured monitoring frameworks contribute to stronger policy coordination and improved governance performance in digital public administration. The large effect size observed in this study (f² = 0.667) underscores the critical role of monitoring and positions it among the most influential determinants of policymaking effectiveness identified in recent AI governance literature (Cohen, 1988; </w:t>
      </w:r>
      <w:r>
        <w:rPr>
          <w:rFonts w:ascii="Times New Roman" w:cs="Times New Roman" w:hAnsi="Times New Roman"/>
        </w:rPr>
        <w:t>Helmholz</w:t>
      </w:r>
      <w:r>
        <w:rPr>
          <w:rFonts w:ascii="Times New Roman" w:cs="Times New Roman" w:hAnsi="Times New Roman"/>
        </w:rPr>
        <w:t xml:space="preserve"> et al., 2024). Supporting this conclusion, Janssen and Helbig (2023) reported comparable findings across multiple European governance contexts, reinforcing the robustness and generalizability of this relationship</w:t>
      </w:r>
      <w:r>
        <w:rPr>
          <w:rFonts w:ascii="Times New Roman" w:cs="Times New Roman" w:hAnsi="Times New Roman"/>
        </w:rPr>
        <w:t>.</w:t>
      </w:r>
    </w:p>
    <w:p w14:paraId="37196651">
      <w:pPr>
        <w:pStyle w:val="style0"/>
        <w:spacing w:after="0" w:lineRule="auto" w:line="276"/>
        <w:jc w:val="both"/>
        <w:rPr>
          <w:rFonts w:ascii="Times New Roman" w:cs="Times New Roman" w:hAnsi="Times New Roman"/>
        </w:rPr>
      </w:pPr>
      <w:r>
        <w:rPr>
          <w:rFonts w:ascii="Times New Roman" w:cs="Times New Roman" w:hAnsi="Times New Roman"/>
        </w:rPr>
        <w:t>5.5</w:t>
      </w:r>
      <w:r>
        <w:rPr>
          <w:rFonts w:ascii="Times New Roman" w:cs="Times New Roman" w:hAnsi="Times New Roman"/>
          <w:b/>
          <w:bCs/>
        </w:rPr>
        <w:tab/>
      </w:r>
      <w:r>
        <w:rPr>
          <w:rFonts w:ascii="Times New Roman" w:cs="Times New Roman" w:hAnsi="Times New Roman"/>
          <w:b/>
          <w:bCs/>
        </w:rPr>
        <w:t>Non-Significant Effect of PTE on APM (H6) and Boundary Conditions</w:t>
      </w:r>
    </w:p>
    <w:p w14:paraId="34937C28">
      <w:pPr>
        <w:pStyle w:val="style0"/>
        <w:spacing w:after="0" w:lineRule="auto" w:line="276"/>
        <w:jc w:val="both"/>
        <w:rPr>
          <w:rFonts w:ascii="Times New Roman" w:cs="Times New Roman" w:hAnsi="Times New Roman"/>
        </w:rPr>
      </w:pPr>
      <w:r>
        <w:rPr>
          <w:rFonts w:ascii="Times New Roman" w:cs="Times New Roman" w:hAnsi="Times New Roman"/>
        </w:rPr>
        <w:t>One of the noteworthy outcomes of this study is the absence of a statistically significant indirect effect of policy transparency evaluation (PTE) on AI-enabled policymaking through implementation monitoring (β = 0.046, t = 1.885, p = 0.060), resulting in the rejection of H6. Although transparency was found to positively influence implementation monitoring, the findings indicate that transparency alone may not be sufficient to generate measurable improvements in policymaking effectiveness (</w:t>
      </w:r>
      <w:r>
        <w:rPr>
          <w:rFonts w:ascii="Times New Roman" w:cs="Times New Roman" w:hAnsi="Times New Roman"/>
        </w:rPr>
        <w:t>Lněnička</w:t>
      </w:r>
      <w:r>
        <w:rPr>
          <w:rFonts w:ascii="Times New Roman" w:cs="Times New Roman" w:hAnsi="Times New Roman"/>
        </w:rPr>
        <w:t xml:space="preserve"> et al., 2024; Cath, 2022; Wirtz et al., 2023). Instead, transparency appears to operate as a supporting governance condition that strengthens the effectiveness of other capabilities, particularly AI-enabled institutional capacity and governance mechanisms.</w:t>
      </w:r>
    </w:p>
    <w:p w14:paraId="34261845">
      <w:pPr>
        <w:pStyle w:val="style0"/>
        <w:spacing w:after="0" w:lineRule="auto" w:line="276"/>
        <w:jc w:val="both"/>
        <w:rPr>
          <w:rFonts w:ascii="Times New Roman" w:cs="Times New Roman" w:hAnsi="Times New Roman"/>
        </w:rPr>
      </w:pPr>
      <w:r>
        <w:rPr>
          <w:rFonts w:ascii="Times New Roman" w:cs="Times New Roman" w:hAnsi="Times New Roman"/>
        </w:rPr>
        <w:t xml:space="preserve">This result aligns with previous theoretical and empirical evidence. Cath (2022) argues that transparency represents an essential, yet insufficient, requirement for achieving effective AI-enabled policymaking, especially in contexts characterized by limited monitoring infrastructure. Similarly, Wauters and Haes (2022) found that transparency initiatives yield meaningful policy benefits only when accompanied by strong monitoring and accountability systems. Ingrams et al. (2022) further suggest that open government initiatives produce superior policymaking outcomes when supported by adequate institutional capacity and governance controls. </w:t>
      </w:r>
      <w:r>
        <w:rPr>
          <w:rFonts w:ascii="Times New Roman" w:cs="Times New Roman" w:hAnsi="Times New Roman"/>
        </w:rPr>
        <w:t>Lněnička</w:t>
      </w:r>
      <w:r>
        <w:rPr>
          <w:rFonts w:ascii="Times New Roman" w:cs="Times New Roman" w:hAnsi="Times New Roman"/>
        </w:rPr>
        <w:t xml:space="preserve"> et al. (2024) also highlight that the effectiveness of transparency depends on the maturity of monitoring systems, which may explain the marginally non-significant mediation effect observed in this study. Consistent with this interpretation, the OECD (2024) cautions that transparency measures alone are unlikely to deliver substantial governance improvements unless supported by complementary investments in monitoring and accountability mechanisms</w:t>
      </w:r>
      <w:r>
        <w:rPr>
          <w:rFonts w:ascii="Times New Roman" w:cs="Times New Roman" w:hAnsi="Times New Roman"/>
        </w:rPr>
        <w:t>.</w:t>
      </w:r>
    </w:p>
    <w:p w14:paraId="1DDB833D">
      <w:pPr>
        <w:pStyle w:val="style0"/>
        <w:spacing w:after="0" w:lineRule="auto" w:line="276"/>
        <w:jc w:val="both"/>
        <w:rPr>
          <w:rFonts w:ascii="Times New Roman" w:cs="Times New Roman" w:hAnsi="Times New Roman"/>
        </w:rPr>
      </w:pPr>
      <w:r>
        <w:rPr>
          <w:rFonts w:ascii="Times New Roman" w:cs="Times New Roman" w:hAnsi="Times New Roman"/>
        </w:rPr>
        <w:t>5.6</w:t>
      </w:r>
      <w:r>
        <w:rPr>
          <w:rFonts w:ascii="Times New Roman" w:cs="Times New Roman" w:hAnsi="Times New Roman"/>
        </w:rPr>
        <w:tab/>
      </w:r>
      <w:r>
        <w:rPr>
          <w:rFonts w:ascii="Times New Roman" w:cs="Times New Roman" w:hAnsi="Times New Roman"/>
          <w:b/>
          <w:bCs/>
        </w:rPr>
        <w:t>Mediation Analysis and Dynamic Capability Integration</w:t>
      </w:r>
    </w:p>
    <w:p w14:paraId="3BDCD5A3">
      <w:pPr>
        <w:pStyle w:val="style0"/>
        <w:spacing w:after="0" w:lineRule="auto" w:line="276"/>
        <w:jc w:val="both"/>
        <w:rPr>
          <w:rFonts w:ascii="Times New Roman" w:cs="Times New Roman" w:hAnsi="Times New Roman"/>
        </w:rPr>
      </w:pPr>
      <w:r>
        <w:rPr>
          <w:rFonts w:ascii="Times New Roman" w:cs="Times New Roman" w:hAnsi="Times New Roman"/>
        </w:rPr>
        <w:t xml:space="preserve">The mediation results provide strong support for the proposed theoretical framework. Implementation monitoring was found to fully mediate the relationship between AI-enabled governance mechanisms and AI-enabled policymaking (H5: β = 0.072, p = 0.003), as well as the relationship between AI-enabled institutional capacity and AI-enabled policymaking (H7: β = 0.112, p &lt; 0.001). These findings suggest that governance mechanisms and institutional capabilities do not directly enhance policymaking performance; rather, their influence is transmitted through the monitoring process (Teece, 2007; </w:t>
      </w:r>
      <w:r>
        <w:rPr>
          <w:rFonts w:ascii="Times New Roman" w:cs="Times New Roman" w:hAnsi="Times New Roman"/>
        </w:rPr>
        <w:t>Samigullin</w:t>
      </w:r>
      <w:r>
        <w:rPr>
          <w:rFonts w:ascii="Times New Roman" w:cs="Times New Roman" w:hAnsi="Times New Roman"/>
        </w:rPr>
        <w:t xml:space="preserve"> &amp; Dooley, 2023). Consequently, implementation monitoring emerges as the central mechanism through which governance resources are transformed into effective policy outcomes, supporting the reconfiguring dimension of Dynamic Capability Theory (Holmström, 2022; </w:t>
      </w:r>
      <w:r>
        <w:rPr>
          <w:rFonts w:ascii="Times New Roman" w:cs="Times New Roman" w:hAnsi="Times New Roman"/>
        </w:rPr>
        <w:t>Mikalef</w:t>
      </w:r>
      <w:r>
        <w:rPr>
          <w:rFonts w:ascii="Times New Roman" w:cs="Times New Roman" w:hAnsi="Times New Roman"/>
        </w:rPr>
        <w:t xml:space="preserve"> et al., 2022).</w:t>
      </w:r>
    </w:p>
    <w:p w14:paraId="764C014C">
      <w:pPr>
        <w:pStyle w:val="style0"/>
        <w:spacing w:after="0" w:lineRule="auto" w:line="276"/>
        <w:jc w:val="both"/>
        <w:rPr>
          <w:rFonts w:ascii="Times New Roman" w:cs="Times New Roman" w:hAnsi="Times New Roman"/>
        </w:rPr>
      </w:pPr>
      <w:r>
        <w:rPr>
          <w:rFonts w:ascii="Times New Roman" w:cs="Times New Roman" w:hAnsi="Times New Roman"/>
        </w:rPr>
        <w:t xml:space="preserve">The results are consistent with earlier studies demonstrating the strategic importance of monitoring within digital governance systems. Filgueiras et al. (2022) report that governance reforms achieve meaningful policy improvements only when supported by effective implementation monitoring infrastructures. Likewise, Sun and Medaglia (2022) show that AI-enabled governance systems achieve superior policy performance when continuous and data-driven oversight mechanisms are in place. Janssen and Helbig (2023) further demonstrate that indirect governance effects operating through monitoring are often stronger and more stable than direct governance influences on policymaking outcomes. These findings indicate that investments in governance structures and institutional capacity are most effective when accompanied by systematic monitoring systems capable of generating actionable feedback and facilitating continuous policy improvement (Valle-Cruz et al., 2022; </w:t>
      </w:r>
      <w:r>
        <w:rPr>
          <w:rFonts w:ascii="Times New Roman" w:cs="Times New Roman" w:hAnsi="Times New Roman"/>
        </w:rPr>
        <w:t>Helmholz</w:t>
      </w:r>
      <w:r>
        <w:rPr>
          <w:rFonts w:ascii="Times New Roman" w:cs="Times New Roman" w:hAnsi="Times New Roman"/>
        </w:rPr>
        <w:t xml:space="preserve"> et al., 2024).</w:t>
      </w:r>
    </w:p>
    <w:p w14:paraId="0DDD5531">
      <w:pPr>
        <w:pStyle w:val="style0"/>
        <w:spacing w:after="0" w:lineRule="auto" w:line="276"/>
        <w:jc w:val="both"/>
        <w:rPr>
          <w:rFonts w:ascii="Times New Roman" w:cs="Times New Roman" w:hAnsi="Times New Roman"/>
        </w:rPr>
      </w:pPr>
      <w:r>
        <w:rPr>
          <w:rFonts w:ascii="Times New Roman" w:cs="Times New Roman" w:hAnsi="Times New Roman"/>
        </w:rPr>
        <w:t xml:space="preserve">Overall, the findings reinforce the central proposition of Dynamic Capability Theory that organizational capabilities generate sustainable performance outcomes only when they are continuously integrated, deployed, and reconfigured through learning and feedback mechanisms (Teece, 2007; </w:t>
      </w:r>
      <w:r>
        <w:rPr>
          <w:rFonts w:ascii="Times New Roman" w:cs="Times New Roman" w:hAnsi="Times New Roman"/>
        </w:rPr>
        <w:t>Samigullin</w:t>
      </w:r>
      <w:r>
        <w:rPr>
          <w:rFonts w:ascii="Times New Roman" w:cs="Times New Roman" w:hAnsi="Times New Roman"/>
        </w:rPr>
        <w:t xml:space="preserve"> &amp; Dooley, 2023; </w:t>
      </w:r>
      <w:r>
        <w:rPr>
          <w:rFonts w:ascii="Times New Roman" w:cs="Times New Roman" w:hAnsi="Times New Roman"/>
        </w:rPr>
        <w:t>Mikalef</w:t>
      </w:r>
      <w:r>
        <w:rPr>
          <w:rFonts w:ascii="Times New Roman" w:cs="Times New Roman" w:hAnsi="Times New Roman"/>
        </w:rPr>
        <w:t xml:space="preserve"> et al., 2022). In this context, implementation monitoring functions as the critical reconfiguring capability that converts governance resources and institutional competencies into effective AI-enabled policymaking outcomes, thereby extending recent theoretical and empirical advances in AI-enabled public governance research (</w:t>
      </w:r>
      <w:r>
        <w:rPr>
          <w:rFonts w:ascii="Times New Roman" w:cs="Times New Roman" w:hAnsi="Times New Roman"/>
        </w:rPr>
        <w:t>Lněnička</w:t>
      </w:r>
      <w:r>
        <w:rPr>
          <w:rFonts w:ascii="Times New Roman" w:cs="Times New Roman" w:hAnsi="Times New Roman"/>
        </w:rPr>
        <w:t xml:space="preserve"> et al., 2024; Wirtz et al., 2023; </w:t>
      </w:r>
      <w:r>
        <w:rPr>
          <w:rFonts w:ascii="Times New Roman" w:cs="Times New Roman" w:hAnsi="Times New Roman"/>
        </w:rPr>
        <w:t>Helmholz</w:t>
      </w:r>
      <w:r>
        <w:rPr>
          <w:rFonts w:ascii="Times New Roman" w:cs="Times New Roman" w:hAnsi="Times New Roman"/>
        </w:rPr>
        <w:t xml:space="preserve"> et al., 2024; Valle-Cruz et al., 2022)</w:t>
      </w:r>
      <w:r>
        <w:rPr>
          <w:rFonts w:ascii="Times New Roman" w:cs="Times New Roman" w:hAnsi="Times New Roman"/>
        </w:rPr>
        <w:t>.</w:t>
      </w:r>
    </w:p>
    <w:p w14:paraId="7F19FCC2">
      <w:pPr>
        <w:pStyle w:val="style0"/>
        <w:spacing w:after="0" w:lineRule="auto" w:line="276"/>
        <w:rPr>
          <w:rFonts w:ascii="Times New Roman" w:cs="Times New Roman" w:hAnsi="Times New Roman"/>
        </w:rPr>
      </w:pPr>
      <w:r>
        <w:rPr>
          <w:rFonts w:ascii="Times New Roman" w:cs="Times New Roman" w:hAnsi="Times New Roman"/>
        </w:rPr>
        <w:t>6.</w:t>
      </w:r>
      <w:r>
        <w:rPr>
          <w:rFonts w:ascii="Times New Roman" w:cs="Times New Roman" w:hAnsi="Times New Roman"/>
        </w:rPr>
        <w:tab/>
      </w:r>
      <w:r>
        <w:rPr>
          <w:rFonts w:ascii="Times New Roman" w:cs="Times New Roman" w:hAnsi="Times New Roman"/>
          <w:b/>
          <w:bCs/>
        </w:rPr>
        <w:t>Theoretical Contributions</w:t>
      </w:r>
    </w:p>
    <w:p w14:paraId="32467FD9">
      <w:pPr>
        <w:pStyle w:val="style0"/>
        <w:spacing w:after="0" w:lineRule="auto" w:line="276"/>
        <w:jc w:val="both"/>
        <w:rPr>
          <w:rFonts w:ascii="Times New Roman" w:cs="Times New Roman" w:hAnsi="Times New Roman"/>
        </w:rPr>
      </w:pPr>
      <w:r>
        <w:rPr>
          <w:rFonts w:ascii="Times New Roman" w:cs="Times New Roman" w:hAnsi="Times New Roman"/>
        </w:rPr>
        <w:t>This study contributes to the growing body of literature on AI-enabled governance, digital public administration, and Dynamic Capability Theory (DCT) through three key theoretical advancements.</w:t>
      </w:r>
    </w:p>
    <w:p w14:paraId="7BFD5D4D">
      <w:pPr>
        <w:pStyle w:val="style0"/>
        <w:spacing w:after="0" w:lineRule="auto" w:line="276"/>
        <w:jc w:val="both"/>
        <w:rPr>
          <w:rFonts w:ascii="Times New Roman" w:cs="Times New Roman" w:hAnsi="Times New Roman"/>
        </w:rPr>
      </w:pPr>
      <w:r>
        <w:rPr>
          <w:rFonts w:ascii="Times New Roman" w:cs="Times New Roman" w:hAnsi="Times New Roman"/>
        </w:rPr>
        <w:t>First, the study broadens the application of Dynamic Capability Theory (Teece, 2007) within the context of AI-enabled public policymaking. Specifically, it demonstrates how sensing, seizing, and reconfiguring capabilities interact to enhance policymaking effectiveness through the mechanism of implementation monitoring (</w:t>
      </w:r>
      <w:r>
        <w:rPr>
          <w:rFonts w:ascii="Times New Roman" w:cs="Times New Roman" w:hAnsi="Times New Roman"/>
        </w:rPr>
        <w:t>Samigullin</w:t>
      </w:r>
      <w:r>
        <w:rPr>
          <w:rFonts w:ascii="Times New Roman" w:cs="Times New Roman" w:hAnsi="Times New Roman"/>
        </w:rPr>
        <w:t xml:space="preserve"> &amp; Dooley, 2023; Holmström, 2022). Although previous research has utilized DCT to explain digital transformation initiatives (</w:t>
      </w:r>
      <w:r>
        <w:rPr>
          <w:rFonts w:ascii="Times New Roman" w:cs="Times New Roman" w:hAnsi="Times New Roman"/>
        </w:rPr>
        <w:t>Mikalef</w:t>
      </w:r>
      <w:r>
        <w:rPr>
          <w:rFonts w:ascii="Times New Roman" w:cs="Times New Roman" w:hAnsi="Times New Roman"/>
        </w:rPr>
        <w:t xml:space="preserve"> et al., 2022) and AI-related corporate governance practices (</w:t>
      </w:r>
      <w:r>
        <w:rPr>
          <w:rFonts w:ascii="Times New Roman" w:cs="Times New Roman" w:hAnsi="Times New Roman"/>
        </w:rPr>
        <w:t>Samigullin</w:t>
      </w:r>
      <w:r>
        <w:rPr>
          <w:rFonts w:ascii="Times New Roman" w:cs="Times New Roman" w:hAnsi="Times New Roman"/>
        </w:rPr>
        <w:t xml:space="preserve"> &amp; Dooley, 2023), limited attention has been given to its application within public-sector AI policymaking. By positioning implementation monitoring as the key reconfiguring capability within </w:t>
      </w:r>
      <w:r>
        <w:rPr>
          <w:rFonts w:ascii="Times New Roman" w:cs="Times New Roman" w:hAnsi="Times New Roman"/>
        </w:rPr>
        <w:t>governance systems, this study extends the explanatory power of DCT and advances understanding of how governance capabilities are transformed into policy outcomes in complex institutional settings (Teece, 2007; Dwivedi et al., 2023).</w:t>
      </w:r>
    </w:p>
    <w:p w14:paraId="60A96755">
      <w:pPr>
        <w:pStyle w:val="style0"/>
        <w:spacing w:after="0" w:lineRule="auto" w:line="276"/>
        <w:jc w:val="both"/>
        <w:rPr>
          <w:rFonts w:ascii="Times New Roman" w:cs="Times New Roman" w:hAnsi="Times New Roman"/>
        </w:rPr>
      </w:pPr>
      <w:r>
        <w:rPr>
          <w:rFonts w:ascii="Times New Roman" w:cs="Times New Roman" w:hAnsi="Times New Roman"/>
        </w:rPr>
        <w:t>Second, this research highlights implementation monitoring as a pivotal mediating capability within AI-enabled governance frameworks. Existing studies have largely concentrated on issues related to AI adoption, digital transformation, and governance structures (</w:t>
      </w:r>
      <w:r>
        <w:rPr>
          <w:rFonts w:ascii="Times New Roman" w:cs="Times New Roman" w:hAnsi="Times New Roman"/>
        </w:rPr>
        <w:t>Lněnička</w:t>
      </w:r>
      <w:r>
        <w:rPr>
          <w:rFonts w:ascii="Times New Roman" w:cs="Times New Roman" w:hAnsi="Times New Roman"/>
        </w:rPr>
        <w:t xml:space="preserve"> et al., 2024; Wirtz et al., 2023; </w:t>
      </w:r>
      <w:r>
        <w:rPr>
          <w:rFonts w:ascii="Times New Roman" w:cs="Times New Roman" w:hAnsi="Times New Roman"/>
        </w:rPr>
        <w:t>Helmholz</w:t>
      </w:r>
      <w:r>
        <w:rPr>
          <w:rFonts w:ascii="Times New Roman" w:cs="Times New Roman" w:hAnsi="Times New Roman"/>
        </w:rPr>
        <w:t xml:space="preserve"> et al., 2024; Valle-Cruz et al., 2022), with comparatively limited attention given to the role of monitoring as a strategic governance process. By demonstrating that implementation monitoring transmits the effects of AI-enabled governance mechanisms, policy transparency evaluation, and AI-enabled institutional capacity to AI-enabled policymaking outcomes, the study elevates monitoring from a routine administrative function to a central governance capability that facilitates policy effectiveness (Perry &amp; </w:t>
      </w:r>
      <w:r>
        <w:rPr>
          <w:rFonts w:ascii="Times New Roman" w:cs="Times New Roman" w:hAnsi="Times New Roman"/>
        </w:rPr>
        <w:t>Uuk</w:t>
      </w:r>
      <w:r>
        <w:rPr>
          <w:rFonts w:ascii="Times New Roman" w:cs="Times New Roman" w:hAnsi="Times New Roman"/>
        </w:rPr>
        <w:t>, 2022; Yang &amp; Goldsmith, 2024).</w:t>
      </w:r>
    </w:p>
    <w:p w14:paraId="412FA5A5">
      <w:pPr>
        <w:pStyle w:val="style0"/>
        <w:spacing w:after="0" w:lineRule="auto" w:line="276"/>
        <w:jc w:val="both"/>
        <w:rPr>
          <w:rFonts w:ascii="Times New Roman" w:cs="Times New Roman" w:hAnsi="Times New Roman"/>
        </w:rPr>
      </w:pPr>
      <w:r>
        <w:rPr>
          <w:rFonts w:ascii="Times New Roman" w:cs="Times New Roman" w:hAnsi="Times New Roman"/>
        </w:rPr>
        <w:t>Third, the study enriches the empirical AI governance literature by providing evidence from a developing governance environment. This contribution responds to calls for broader contextual diversity in AI governance research and expands understanding of how governance capabilities operate outside highly developed institutional settings (Janssen &amp; Helbig, 2023; Ingrams et al., 2022). The findings indicate that the governance–monitoring–policymaking relationship remains relevant across varying institutional contexts, thereby enhancing the generalizability of existing theories while offering valuable insights for governance reforms in resource-constrained environments (Filgueiras et al., 2022; Sun &amp; Medaglia, 2022)</w:t>
      </w:r>
      <w:r>
        <w:rPr>
          <w:rFonts w:ascii="Times New Roman" w:cs="Times New Roman" w:hAnsi="Times New Roman"/>
        </w:rPr>
        <w:t>.</w:t>
      </w:r>
    </w:p>
    <w:p w14:paraId="4DF524CF">
      <w:pPr>
        <w:pStyle w:val="style0"/>
        <w:spacing w:after="0" w:lineRule="auto" w:line="276"/>
        <w:jc w:val="both"/>
        <w:rPr>
          <w:rFonts w:ascii="Times New Roman" w:cs="Times New Roman" w:hAnsi="Times New Roman"/>
        </w:rPr>
      </w:pPr>
      <w:r>
        <w:rPr>
          <w:rFonts w:ascii="Times New Roman" w:cs="Times New Roman" w:hAnsi="Times New Roman"/>
        </w:rPr>
        <w:t>7.</w:t>
      </w:r>
      <w:r>
        <w:rPr>
          <w:rFonts w:ascii="Times New Roman" w:cs="Times New Roman" w:hAnsi="Times New Roman"/>
        </w:rPr>
        <w:tab/>
      </w:r>
      <w:r>
        <w:rPr>
          <w:rFonts w:ascii="Times New Roman" w:cs="Times New Roman" w:hAnsi="Times New Roman"/>
          <w:b/>
          <w:bCs/>
        </w:rPr>
        <w:t>Practical and Policy Implications</w:t>
      </w:r>
    </w:p>
    <w:p w14:paraId="75DE5036">
      <w:pPr>
        <w:pStyle w:val="style0"/>
        <w:spacing w:after="0" w:lineRule="auto" w:line="276"/>
        <w:jc w:val="both"/>
        <w:rPr>
          <w:rFonts w:ascii="Times New Roman" w:cs="Times New Roman" w:hAnsi="Times New Roman"/>
        </w:rPr>
      </w:pPr>
      <w:r>
        <w:rPr>
          <w:rFonts w:ascii="Times New Roman" w:cs="Times New Roman" w:hAnsi="Times New Roman"/>
        </w:rPr>
        <w:t>The results of this study offer several important implications for policymakers, government agencies, and public administrators seeking to strengthen AI-enabled governance systems.</w:t>
      </w:r>
    </w:p>
    <w:p w14:paraId="6EB46247">
      <w:pPr>
        <w:pStyle w:val="style0"/>
        <w:spacing w:after="0" w:lineRule="auto" w:line="276"/>
        <w:jc w:val="both"/>
        <w:rPr>
          <w:rFonts w:ascii="Times New Roman" w:cs="Times New Roman" w:hAnsi="Times New Roman"/>
        </w:rPr>
      </w:pPr>
      <w:r>
        <w:rPr>
          <w:rFonts w:ascii="Times New Roman" w:cs="Times New Roman" w:hAnsi="Times New Roman"/>
        </w:rPr>
        <w:t>First, governments should prioritize investments aimed at enhancing institutional AI capacity. This includes strengthening technological infrastructure, expanding workforce competencies, improving digital literacy, and promoting organizational readiness for AI adoption. Given that institutional capacity emerged as the strongest determinant of implementation monitoring, building these capabilities is essential for achieving effective AI integration within public governance.</w:t>
      </w:r>
    </w:p>
    <w:p w14:paraId="5184F1E6">
      <w:pPr>
        <w:pStyle w:val="style0"/>
        <w:spacing w:after="0" w:lineRule="auto" w:line="276"/>
        <w:jc w:val="both"/>
        <w:rPr>
          <w:rFonts w:ascii="Times New Roman" w:cs="Times New Roman" w:hAnsi="Times New Roman"/>
        </w:rPr>
      </w:pPr>
      <w:r>
        <w:rPr>
          <w:rFonts w:ascii="Times New Roman" w:cs="Times New Roman" w:hAnsi="Times New Roman"/>
        </w:rPr>
        <w:t>Second, policymakers should develop and maintain comprehensive governance frameworks that emphasize accountability, ethical oversight, transparency, and regulatory compliance. Robust governance mechanisms can help mitigate risks associated with algorithmic bias, misuse of AI technologies, and governance failures while fostering public confidence in AI-supported decision-making.</w:t>
      </w:r>
    </w:p>
    <w:p w14:paraId="76D7636A">
      <w:pPr>
        <w:pStyle w:val="style0"/>
        <w:spacing w:after="0" w:lineRule="auto" w:line="276"/>
        <w:jc w:val="both"/>
        <w:rPr>
          <w:rFonts w:ascii="Times New Roman" w:cs="Times New Roman" w:hAnsi="Times New Roman"/>
        </w:rPr>
      </w:pPr>
      <w:r>
        <w:rPr>
          <w:rFonts w:ascii="Times New Roman" w:cs="Times New Roman" w:hAnsi="Times New Roman"/>
        </w:rPr>
        <w:t>Third, public institutions should establish advanced implementation monitoring systems supported by AI-driven analytics, performance measurement tools, and real-time monitoring dashboards. Such systems can strengthen policy oversight, improve responsiveness, and facilitate more informed and evidence-based governance decisions.</w:t>
      </w:r>
    </w:p>
    <w:p w14:paraId="6B918D74">
      <w:pPr>
        <w:pStyle w:val="style0"/>
        <w:spacing w:after="0" w:lineRule="auto" w:line="276"/>
        <w:jc w:val="both"/>
        <w:rPr>
          <w:rFonts w:ascii="Times New Roman" w:cs="Times New Roman" w:hAnsi="Times New Roman"/>
        </w:rPr>
      </w:pPr>
      <w:r>
        <w:rPr>
          <w:rFonts w:ascii="Times New Roman" w:cs="Times New Roman" w:hAnsi="Times New Roman"/>
        </w:rPr>
        <w:t>Fourth, governments should encourage the adoption of transparent and explainable AI systems that enable policymakers, oversight bodies, and citizens to understand how policy recommendations are generated and implemented. Although transparency alone may not directly enhance policymaking effectiveness, it remains a critical factor for ensuring legitimacy, accountability, and public trust in AI-enabled governance.</w:t>
      </w:r>
    </w:p>
    <w:p w14:paraId="3C51A33B">
      <w:pPr>
        <w:pStyle w:val="style0"/>
        <w:spacing w:after="0" w:lineRule="auto" w:line="276"/>
        <w:jc w:val="both"/>
        <w:rPr>
          <w:rFonts w:ascii="Times New Roman" w:cs="Times New Roman" w:hAnsi="Times New Roman"/>
        </w:rPr>
      </w:pPr>
      <w:r>
        <w:rPr>
          <w:rFonts w:ascii="Times New Roman" w:cs="Times New Roman" w:hAnsi="Times New Roman"/>
        </w:rPr>
        <w:t>Finally, implementation monitoring should be recognized as a strategic governance capability rather than a purely administrative activity. Public institutions should integrate monitoring into their broader governance strategies to promote organizational learning, support adaptive policymaking, and facilitate continuous improvement in policy implementation and governance performance</w:t>
      </w:r>
      <w:r>
        <w:rPr>
          <w:rFonts w:ascii="Times New Roman" w:cs="Times New Roman" w:hAnsi="Times New Roman"/>
        </w:rPr>
        <w:t>.</w:t>
      </w:r>
    </w:p>
    <w:p w14:paraId="22EFDD1C">
      <w:pPr>
        <w:pStyle w:val="style0"/>
        <w:spacing w:after="0" w:lineRule="auto" w:line="276"/>
        <w:jc w:val="both"/>
        <w:rPr>
          <w:rFonts w:ascii="Times New Roman" w:cs="Times New Roman" w:hAnsi="Times New Roman"/>
          <w:b/>
          <w:bCs/>
        </w:rPr>
      </w:pPr>
      <w:r>
        <w:rPr>
          <w:rFonts w:ascii="Times New Roman" w:cs="Times New Roman" w:hAnsi="Times New Roman"/>
        </w:rPr>
        <w:t>8.</w:t>
      </w:r>
      <w:r>
        <w:rPr>
          <w:rFonts w:ascii="Times New Roman" w:cs="Times New Roman" w:hAnsi="Times New Roman"/>
        </w:rPr>
        <w:tab/>
      </w:r>
      <w:r>
        <w:rPr>
          <w:rFonts w:ascii="Times New Roman" w:cs="Times New Roman" w:hAnsi="Times New Roman"/>
          <w:b/>
          <w:bCs/>
        </w:rPr>
        <w:t>Limitations of the Study</w:t>
      </w:r>
    </w:p>
    <w:p w14:paraId="34A272E5">
      <w:pPr>
        <w:pStyle w:val="style0"/>
        <w:spacing w:after="0" w:lineRule="auto" w:line="276"/>
        <w:jc w:val="both"/>
        <w:rPr>
          <w:rFonts w:ascii="Times New Roman" w:cs="Times New Roman" w:hAnsi="Times New Roman"/>
        </w:rPr>
      </w:pPr>
      <w:r>
        <w:rPr>
          <w:rFonts w:ascii="Times New Roman" w:cs="Times New Roman" w:hAnsi="Times New Roman"/>
        </w:rPr>
        <w:t>The findings of this study provide several practical recommendations for policymakers, public administrators, and government agencies seeking to strengthen AI-enabled governance and policymaking systems.</w:t>
      </w:r>
    </w:p>
    <w:p w14:paraId="4734B486">
      <w:pPr>
        <w:pStyle w:val="style0"/>
        <w:spacing w:after="0" w:lineRule="auto" w:line="276"/>
        <w:jc w:val="both"/>
        <w:rPr>
          <w:rFonts w:ascii="Times New Roman" w:cs="Times New Roman" w:hAnsi="Times New Roman"/>
        </w:rPr>
      </w:pPr>
      <w:r>
        <w:rPr>
          <w:rFonts w:ascii="Times New Roman" w:cs="Times New Roman" w:hAnsi="Times New Roman"/>
        </w:rPr>
        <w:t xml:space="preserve">First, public institutions should place greater emphasis on developing AI-related institutional capabilities through strategic investments in technological infrastructure, AI education initiatives, workforce upskilling, and organizational preparedness </w:t>
      </w:r>
      <w:r>
        <w:rPr>
          <w:rFonts w:ascii="Times New Roman" w:cs="Times New Roman" w:hAnsi="Times New Roman"/>
        </w:rPr>
        <w:t>programmes</w:t>
      </w:r>
      <w:r>
        <w:rPr>
          <w:rFonts w:ascii="Times New Roman" w:cs="Times New Roman" w:hAnsi="Times New Roman"/>
        </w:rPr>
        <w:t xml:space="preserve"> (</w:t>
      </w:r>
      <w:r>
        <w:rPr>
          <w:rFonts w:ascii="Times New Roman" w:cs="Times New Roman" w:hAnsi="Times New Roman"/>
        </w:rPr>
        <w:t>Samigullin</w:t>
      </w:r>
      <w:r>
        <w:rPr>
          <w:rFonts w:ascii="Times New Roman" w:cs="Times New Roman" w:hAnsi="Times New Roman"/>
        </w:rPr>
        <w:t xml:space="preserve"> &amp; Dooley, 2023; Dwivedi et al., 2023). International organizations, including the World Bank (2023) and OECD (2024), have similarly emphasized capacity building as a foundational requirement for effective AI governance, particularly in developing and transitional governance environments where institutional limitations often constrain successful AI adoption.</w:t>
      </w:r>
    </w:p>
    <w:p w14:paraId="7696AB26">
      <w:pPr>
        <w:pStyle w:val="style0"/>
        <w:spacing w:after="0" w:lineRule="auto" w:line="276"/>
        <w:jc w:val="both"/>
        <w:rPr>
          <w:rFonts w:ascii="Times New Roman" w:cs="Times New Roman" w:hAnsi="Times New Roman"/>
        </w:rPr>
      </w:pPr>
      <w:r>
        <w:rPr>
          <w:rFonts w:ascii="Times New Roman" w:cs="Times New Roman" w:hAnsi="Times New Roman"/>
        </w:rPr>
        <w:t xml:space="preserve">Second, governments should establish comprehensive governance frameworks that integrate accountability, ethical safeguards, and regulatory compliance throughout the entire AI policy lifecycle (Wirtz et al., 2023; </w:t>
      </w:r>
      <w:r>
        <w:rPr>
          <w:rFonts w:ascii="Times New Roman" w:cs="Times New Roman" w:hAnsi="Times New Roman"/>
        </w:rPr>
        <w:t>Floridi</w:t>
      </w:r>
      <w:r>
        <w:rPr>
          <w:rFonts w:ascii="Times New Roman" w:cs="Times New Roman" w:hAnsi="Times New Roman"/>
        </w:rPr>
        <w:t xml:space="preserve"> et al., 2022). Existing regulatory initiatives, such as the EU AI Act (2024), offer useful guidance that can be adapted to local governance contexts. Furthermore, adaptive governance approaches and regulatory sandbox environments can provide a balanced mechanism for encouraging innovation while maintaining adequate oversight and risk management during AI implementation (Novelli et al., 2024; Veale &amp; </w:t>
      </w:r>
      <w:r>
        <w:rPr>
          <w:rFonts w:ascii="Times New Roman" w:cs="Times New Roman" w:hAnsi="Times New Roman"/>
        </w:rPr>
        <w:t>Borgesius</w:t>
      </w:r>
      <w:r>
        <w:rPr>
          <w:rFonts w:ascii="Times New Roman" w:cs="Times New Roman" w:hAnsi="Times New Roman"/>
        </w:rPr>
        <w:t>, 2021).</w:t>
      </w:r>
    </w:p>
    <w:p w14:paraId="248CEE60">
      <w:pPr>
        <w:pStyle w:val="style0"/>
        <w:spacing w:after="0" w:lineRule="auto" w:line="276"/>
        <w:jc w:val="both"/>
        <w:rPr>
          <w:rFonts w:ascii="Times New Roman" w:cs="Times New Roman" w:hAnsi="Times New Roman"/>
        </w:rPr>
      </w:pPr>
      <w:r>
        <w:rPr>
          <w:rFonts w:ascii="Times New Roman" w:cs="Times New Roman" w:hAnsi="Times New Roman"/>
        </w:rPr>
        <w:t>Third, investment in advanced implementation monitoring systems should be considered a strategic priority. Public institutions can enhance policy oversight by adopting AI-enabled analytics, real-time performance dashboards, automated evaluation mechanisms, and independent auditing procedures (</w:t>
      </w:r>
      <w:r>
        <w:rPr>
          <w:rFonts w:ascii="Times New Roman" w:cs="Times New Roman" w:hAnsi="Times New Roman"/>
        </w:rPr>
        <w:t>Helmholz</w:t>
      </w:r>
      <w:r>
        <w:rPr>
          <w:rFonts w:ascii="Times New Roman" w:cs="Times New Roman" w:hAnsi="Times New Roman"/>
        </w:rPr>
        <w:t xml:space="preserve"> et al., 2024; Valle-Cruz et al., 2022). Combining AI-supported monitoring technologies with human judgment and independent review processes can improve both operational efficiency and governance accountability within AI-enabled policymaking systems (Perry &amp; </w:t>
      </w:r>
      <w:r>
        <w:rPr>
          <w:rFonts w:ascii="Times New Roman" w:cs="Times New Roman" w:hAnsi="Times New Roman"/>
        </w:rPr>
        <w:t>Uuk</w:t>
      </w:r>
      <w:r>
        <w:rPr>
          <w:rFonts w:ascii="Times New Roman" w:cs="Times New Roman" w:hAnsi="Times New Roman"/>
        </w:rPr>
        <w:t>, 2022; Janssen &amp; Helbig, 2023).</w:t>
      </w:r>
    </w:p>
    <w:p w14:paraId="4C35ABFA">
      <w:pPr>
        <w:pStyle w:val="style0"/>
        <w:spacing w:after="0" w:lineRule="auto" w:line="276"/>
        <w:jc w:val="both"/>
        <w:rPr>
          <w:rFonts w:ascii="Times New Roman" w:cs="Times New Roman" w:hAnsi="Times New Roman"/>
        </w:rPr>
      </w:pPr>
      <w:r>
        <w:rPr>
          <w:rFonts w:ascii="Times New Roman" w:cs="Times New Roman" w:hAnsi="Times New Roman"/>
        </w:rPr>
        <w:t>Fourth, transparency initiatives should be implemented as part of broader governance strategies rather than as isolated interventions (Paul, 2022; Cath, 2022; Ingrams et al., 2022). The non-significant direct contribution of policy transparency evaluation to AI-enabled policymaking effectiveness suggests that transparency alone is insufficient to generate meaningful policy improvements. Instead, transparency measures are most effective when supported by complementary governance capabilities, monitoring systems, and institutional resources. This perspective is consistent with recommendations advanced by both the OECD (2024) and the European Commission (2024) within their AI governance frameworks.</w:t>
      </w:r>
    </w:p>
    <w:p w14:paraId="738D32EB">
      <w:pPr>
        <w:pStyle w:val="style0"/>
        <w:spacing w:after="0" w:lineRule="auto" w:line="276"/>
        <w:jc w:val="both"/>
        <w:rPr>
          <w:rFonts w:ascii="Times New Roman" w:cs="Times New Roman" w:hAnsi="Times New Roman"/>
        </w:rPr>
      </w:pPr>
      <w:r>
        <w:rPr>
          <w:rFonts w:ascii="Times New Roman" w:cs="Times New Roman" w:hAnsi="Times New Roman"/>
        </w:rPr>
        <w:t>Finally, implementation monitoring should be viewed as a strategic organizational capability rather than a routine administrative process (</w:t>
      </w:r>
      <w:r>
        <w:rPr>
          <w:rFonts w:ascii="Times New Roman" w:cs="Times New Roman" w:hAnsi="Times New Roman"/>
        </w:rPr>
        <w:t>Lněnička</w:t>
      </w:r>
      <w:r>
        <w:rPr>
          <w:rFonts w:ascii="Times New Roman" w:cs="Times New Roman" w:hAnsi="Times New Roman"/>
        </w:rPr>
        <w:t xml:space="preserve"> et al., 2024; Yang &amp; Goldsmith, 2024). Governments should allocate dedicated resources, establish clear accountability structures, and develop performance mandates that strengthen monitoring functions across AI-enabled policy systems. By embedding monitoring within broader governance strategies, institutions can </w:t>
      </w:r>
      <w:r>
        <w:rPr>
          <w:rFonts w:ascii="Times New Roman" w:cs="Times New Roman" w:hAnsi="Times New Roman"/>
        </w:rPr>
        <w:t>foster continuous learning, support adaptive policymaking, and improve long-term governance effectiveness in increasingly complex digital environments</w:t>
      </w:r>
      <w:r>
        <w:rPr>
          <w:rFonts w:ascii="Times New Roman" w:cs="Times New Roman" w:hAnsi="Times New Roman"/>
        </w:rPr>
        <w:t>.</w:t>
      </w:r>
    </w:p>
    <w:p w14:paraId="63C55E32">
      <w:pPr>
        <w:pStyle w:val="style0"/>
        <w:spacing w:after="0" w:lineRule="auto" w:line="276"/>
        <w:jc w:val="both"/>
        <w:rPr>
          <w:rFonts w:ascii="Times New Roman" w:cs="Times New Roman" w:hAnsi="Times New Roman"/>
          <w:b/>
          <w:bCs/>
        </w:rPr>
      </w:pPr>
      <w:r>
        <w:rPr>
          <w:rFonts w:ascii="Times New Roman" w:cs="Times New Roman" w:hAnsi="Times New Roman"/>
        </w:rPr>
        <w:t>8.</w:t>
      </w:r>
      <w:r>
        <w:rPr>
          <w:rFonts w:ascii="Times New Roman" w:cs="Times New Roman" w:hAnsi="Times New Roman"/>
        </w:rPr>
        <w:tab/>
      </w:r>
      <w:r>
        <w:rPr>
          <w:rFonts w:ascii="Times New Roman" w:cs="Times New Roman" w:hAnsi="Times New Roman"/>
          <w:b/>
          <w:bCs/>
        </w:rPr>
        <w:t>Limitations</w:t>
      </w:r>
    </w:p>
    <w:p w14:paraId="7072163C">
      <w:pPr>
        <w:pStyle w:val="style0"/>
        <w:spacing w:after="0" w:lineRule="auto" w:line="276"/>
        <w:jc w:val="both"/>
        <w:rPr>
          <w:rFonts w:ascii="Times New Roman" w:cs="Times New Roman" w:hAnsi="Times New Roman"/>
        </w:rPr>
      </w:pPr>
      <w:r>
        <w:rPr>
          <w:rFonts w:ascii="Times New Roman" w:cs="Times New Roman" w:hAnsi="Times New Roman"/>
        </w:rPr>
        <w:t>While this study provides valuable insights into AI-enabled governance and policymaking, several limitations should be acknowledged. First, the use of a cross-sectional research design restricts the ability to establish causal relationships among the study variables. Future research employing longitudinal designs would be better positioned to examine the directionality and long-term stability of the observed relationships (Podsakoff et al., 2024; Creswell &amp; Creswell, 2022).</w:t>
      </w:r>
    </w:p>
    <w:p w14:paraId="23AC1C75">
      <w:pPr>
        <w:pStyle w:val="style0"/>
        <w:spacing w:after="0" w:lineRule="auto" w:line="276"/>
        <w:jc w:val="both"/>
        <w:rPr>
          <w:rFonts w:ascii="Times New Roman" w:cs="Times New Roman" w:hAnsi="Times New Roman"/>
        </w:rPr>
      </w:pPr>
      <w:r>
        <w:rPr>
          <w:rFonts w:ascii="Times New Roman" w:cs="Times New Roman" w:hAnsi="Times New Roman"/>
        </w:rPr>
        <w:t>Second, the reliance on purposive sampling may limit the broader applicability of the findings beyond the selected respondent group. Future investigations could improve external validity by adopting probability-based sampling techniques and drawing participants from verified databases of governance professionals and policymakers.</w:t>
      </w:r>
    </w:p>
    <w:p w14:paraId="694AB384">
      <w:pPr>
        <w:pStyle w:val="style0"/>
        <w:spacing w:after="0" w:lineRule="auto" w:line="276"/>
        <w:jc w:val="both"/>
        <w:rPr>
          <w:rFonts w:ascii="Times New Roman" w:cs="Times New Roman" w:hAnsi="Times New Roman"/>
        </w:rPr>
      </w:pPr>
      <w:r>
        <w:rPr>
          <w:rFonts w:ascii="Times New Roman" w:cs="Times New Roman" w:hAnsi="Times New Roman"/>
        </w:rPr>
        <w:t>Third, the study utilized self-reported perceptual measures, which may be susceptible to common method variance and social desirability effects. Although the full collinearity variance inflation factor (VIF) assessment suggested that systematic common method bias was not a significant concern in the present study (Kock, 2015), future studies may benefit from incorporating multiple data sources and objective performance indicators to further strengthen validity.</w:t>
      </w:r>
    </w:p>
    <w:p w14:paraId="30E3B570">
      <w:pPr>
        <w:pStyle w:val="style0"/>
        <w:spacing w:after="0" w:lineRule="auto" w:line="276"/>
        <w:jc w:val="both"/>
        <w:rPr>
          <w:rFonts w:ascii="Times New Roman" w:cs="Times New Roman" w:hAnsi="Times New Roman"/>
        </w:rPr>
      </w:pPr>
      <w:r>
        <w:rPr>
          <w:rFonts w:ascii="Times New Roman" w:cs="Times New Roman" w:hAnsi="Times New Roman"/>
        </w:rPr>
        <w:t>Fourth, despite satisfying the sample size requirements recommended for PLS-SEM analysis (Hair et al., 2022), the respondents were drawn from a single governance setting. Consequently, the generalizability of the findings across different countries, institutional environments, and governance systems remains limited (Janssen &amp; Helbig, 2023). Comparative cross-national studies could provide additional insights into the contextual factors influencing AI-enabled governance and policymaking outcomes.</w:t>
      </w:r>
    </w:p>
    <w:p w14:paraId="07A18D6D">
      <w:pPr>
        <w:pStyle w:val="style0"/>
        <w:spacing w:after="0" w:lineRule="auto" w:line="276"/>
        <w:jc w:val="both"/>
        <w:rPr>
          <w:rFonts w:ascii="Times New Roman" w:cs="Times New Roman" w:hAnsi="Times New Roman"/>
        </w:rPr>
      </w:pPr>
      <w:r>
        <w:rPr>
          <w:rFonts w:ascii="Times New Roman" w:cs="Times New Roman" w:hAnsi="Times New Roman"/>
        </w:rPr>
        <w:t>Finally, this research focuses on stakeholders’ perceptions of governance capabilities and policymaking effectiveness rather than objective measures of AI system performance. Future research could integrate operational performance indicators, governance outcome metrics, and real-world AI implementation data to provide a more comprehensive assessment of AI-enabled governance effectiveness. Such approaches would enhance understanding of how perceived governance capabilities align with actual policy and organizational performance outcomes</w:t>
      </w:r>
      <w:r>
        <w:rPr>
          <w:rFonts w:ascii="Times New Roman" w:cs="Times New Roman" w:hAnsi="Times New Roman"/>
        </w:rPr>
        <w:t>.</w:t>
      </w:r>
    </w:p>
    <w:p w14:paraId="224E4EB0">
      <w:pPr>
        <w:pStyle w:val="style0"/>
        <w:spacing w:after="0" w:lineRule="auto" w:line="276"/>
        <w:jc w:val="both"/>
        <w:rPr>
          <w:rFonts w:ascii="Times New Roman" w:cs="Times New Roman" w:hAnsi="Times New Roman"/>
          <w:b/>
          <w:bCs/>
        </w:rPr>
      </w:pPr>
      <w:r>
        <w:rPr>
          <w:rFonts w:ascii="Times New Roman" w:cs="Times New Roman" w:hAnsi="Times New Roman"/>
        </w:rPr>
        <w:t>9.</w:t>
      </w:r>
      <w:r>
        <w:rPr>
          <w:rFonts w:ascii="Times New Roman" w:cs="Times New Roman" w:hAnsi="Times New Roman"/>
        </w:rPr>
        <w:tab/>
      </w:r>
      <w:r>
        <w:rPr>
          <w:rFonts w:ascii="Times New Roman" w:cs="Times New Roman" w:hAnsi="Times New Roman"/>
          <w:b/>
          <w:bCs/>
        </w:rPr>
        <w:t>Future Research Directions</w:t>
      </w:r>
    </w:p>
    <w:p w14:paraId="22F935BD">
      <w:pPr>
        <w:pStyle w:val="style0"/>
        <w:spacing w:after="0" w:lineRule="auto" w:line="276"/>
        <w:rPr>
          <w:rFonts w:ascii="Times New Roman" w:cs="Times New Roman" w:hAnsi="Times New Roman"/>
        </w:rPr>
      </w:pPr>
      <w:r>
        <w:rPr>
          <w:rFonts w:ascii="Times New Roman" w:cs="Times New Roman" w:hAnsi="Times New Roman"/>
        </w:rPr>
        <w:t>Future research should employ longitudinal approaches to investigate how AI governance capabilities develop and adapt over time, as well as how their influence on policymaking effectiveness changes throughout different phases of digital transformation (</w:t>
      </w:r>
      <w:r>
        <w:rPr>
          <w:rFonts w:ascii="Times New Roman" w:cs="Times New Roman" w:hAnsi="Times New Roman"/>
        </w:rPr>
        <w:t>Lněnička</w:t>
      </w:r>
      <w:r>
        <w:rPr>
          <w:rFonts w:ascii="Times New Roman" w:cs="Times New Roman" w:hAnsi="Times New Roman"/>
        </w:rPr>
        <w:t xml:space="preserve"> et al., 2024; Janssen &amp; Helbig, 2023). Such studies would provide a more comprehensive understanding of the dynamic nature of AI-enabled governance and its long-term implications for public policymaking.</w:t>
      </w:r>
    </w:p>
    <w:p w14:paraId="106EAFF0">
      <w:pPr>
        <w:pStyle w:val="style0"/>
        <w:spacing w:after="0" w:lineRule="auto" w:line="276"/>
        <w:rPr>
          <w:rFonts w:ascii="Times New Roman" w:cs="Times New Roman" w:hAnsi="Times New Roman"/>
        </w:rPr>
      </w:pPr>
      <w:r>
        <w:rPr>
          <w:rFonts w:ascii="Times New Roman" w:cs="Times New Roman" w:hAnsi="Times New Roman"/>
        </w:rPr>
        <w:t>Comparative studies conducted across different countries and governance systems would further enrich the literature by examining how contextual characteristics, such as regulatory environments, political structures, and institutional cultures, shape the relationships among governance capabilities, implementation monitoring, and policymaking outcomes (Ingrams et al., 2022; Filgueiras et al., 2022). These investigations would help determine the extent to which the findings of the present study are applicable across diverse governance settings.</w:t>
      </w:r>
    </w:p>
    <w:p w14:paraId="638F3B69">
      <w:pPr>
        <w:pStyle w:val="style0"/>
        <w:spacing w:after="0" w:lineRule="auto" w:line="276"/>
        <w:rPr>
          <w:rFonts w:ascii="Times New Roman" w:cs="Times New Roman" w:hAnsi="Times New Roman"/>
        </w:rPr>
      </w:pPr>
      <w:r>
        <w:rPr>
          <w:rFonts w:ascii="Times New Roman" w:cs="Times New Roman" w:hAnsi="Times New Roman"/>
        </w:rPr>
        <w:t>Future scholars may also explore the proposed framework within specific policy sectors, including healthcare, education, environmental governance, and social welfare. Sector-focused studies could reveal whether the effects of governance capabilities and implementation monitoring differ across policy domains characterized by distinct institutional requirements and operational challenges (Sun &amp; Medaglia, 2022; Valle-Cruz et al., 2022).</w:t>
      </w:r>
    </w:p>
    <w:p w14:paraId="26406070">
      <w:pPr>
        <w:pStyle w:val="style0"/>
        <w:spacing w:after="0" w:lineRule="auto" w:line="276"/>
        <w:rPr>
          <w:rFonts w:ascii="Times New Roman" w:cs="Times New Roman" w:hAnsi="Times New Roman"/>
        </w:rPr>
      </w:pPr>
      <w:r>
        <w:rPr>
          <w:rFonts w:ascii="Times New Roman" w:cs="Times New Roman" w:hAnsi="Times New Roman"/>
        </w:rPr>
        <w:t xml:space="preserve">In addition, future theoretical models should incorporate a broader range of governance-related constructs, such as algorithmic accountability, citizen engagement, AI ethics mechanisms, regulatory effectiveness, public trust, and stakeholder participation. Integrating these variables may contribute to the development of more comprehensive frameworks for understanding AI-enabled governance and policymaking effectiveness (Novelli et al., 2024; </w:t>
      </w:r>
      <w:r>
        <w:rPr>
          <w:rFonts w:ascii="Times New Roman" w:cs="Times New Roman" w:hAnsi="Times New Roman"/>
        </w:rPr>
        <w:t>Floridi</w:t>
      </w:r>
      <w:r>
        <w:rPr>
          <w:rFonts w:ascii="Times New Roman" w:cs="Times New Roman" w:hAnsi="Times New Roman"/>
        </w:rPr>
        <w:t xml:space="preserve"> et al., 2022; Cath, 2022).</w:t>
      </w:r>
    </w:p>
    <w:p w14:paraId="06FE4877">
      <w:pPr>
        <w:pStyle w:val="style0"/>
        <w:spacing w:after="0" w:lineRule="auto" w:line="276"/>
        <w:rPr>
          <w:rFonts w:ascii="Times New Roman" w:cs="Times New Roman" w:hAnsi="Times New Roman"/>
        </w:rPr>
      </w:pPr>
      <w:r>
        <w:rPr>
          <w:rFonts w:ascii="Times New Roman" w:cs="Times New Roman" w:hAnsi="Times New Roman"/>
        </w:rPr>
        <w:t>Finally, researchers are encouraged to adopt mixed-methods and experimental research designs to complement quantitative findings. Such approaches can provide deeper insights into the organizational processes, leadership practices, institutional challenges, and governance dynamics that influence AI implementation outcomes within public-sector environments (Paul, 2022; Holmström, 2022). By combining quantitative and qualitative evidence, future studies can generate a more nuanced understanding of how AI-enabled governance capabilities translate into effective policymaking outcomes.</w:t>
      </w:r>
    </w:p>
    <w:p w14:paraId="6D925426">
      <w:pPr>
        <w:pStyle w:val="style0"/>
        <w:spacing w:after="0" w:lineRule="auto" w:line="276"/>
        <w:rPr>
          <w:rFonts w:ascii="Times New Roman" w:cs="Times New Roman" w:hAnsi="Times New Roman"/>
        </w:rPr>
      </w:pPr>
      <w:r>
        <w:rPr>
          <w:rFonts w:ascii="Times New Roman" w:cs="Times New Roman" w:hAnsi="Times New Roman"/>
        </w:rPr>
        <w:t>10.</w:t>
      </w:r>
      <w:r>
        <w:rPr>
          <w:rFonts w:ascii="Times New Roman" w:cs="Times New Roman" w:hAnsi="Times New Roman"/>
        </w:rPr>
        <w:tab/>
      </w:r>
      <w:r>
        <w:rPr>
          <w:rFonts w:ascii="Times New Roman" w:cs="Times New Roman" w:hAnsi="Times New Roman"/>
          <w:b/>
          <w:bCs/>
        </w:rPr>
        <w:t>Conclusion</w:t>
      </w:r>
    </w:p>
    <w:p w14:paraId="28E08F3C">
      <w:pPr>
        <w:pStyle w:val="style0"/>
        <w:spacing w:after="0" w:lineRule="auto" w:line="276"/>
        <w:jc w:val="both"/>
        <w:rPr>
          <w:rFonts w:ascii="Times New Roman" w:cs="Times New Roman" w:hAnsi="Times New Roman"/>
        </w:rPr>
      </w:pPr>
      <w:r>
        <w:rPr>
          <w:rFonts w:ascii="Times New Roman" w:cs="Times New Roman" w:hAnsi="Times New Roman"/>
        </w:rPr>
        <w:t xml:space="preserve">This study offers empirical evidence on how AI-enabled governance capabilities contribute to effective policymaking within public-sector institutions. Using PLS-SEM analysis based on data collected from 361 respondents, the results reveal that AI-enabled governance mechanisms (AGM), policy transparency evaluation (PTE), and AI-enabled institutional capacity (AIC) significantly enhance implementation monitoring (IM). Among all examined relationships, implementation monitoring emerged as the most influential predictor of AI-enabled policymaking (APM), demonstrating a substantial practical effect (β = 0.369, f² = 0.667). Furthermore, the full mediation effects identified for AGM and AIC confirm that implementation monitoring functions as the key dynamic capability through which governance resources and institutional competencies are translated into effective policymaking outcomes. This finding strongly supports the reconfiguring dimension of Dynamic Capability Theory (Teece, 2007; </w:t>
      </w:r>
      <w:r>
        <w:rPr>
          <w:rFonts w:ascii="Times New Roman" w:cs="Times New Roman" w:hAnsi="Times New Roman"/>
        </w:rPr>
        <w:t>Samigullin</w:t>
      </w:r>
      <w:r>
        <w:rPr>
          <w:rFonts w:ascii="Times New Roman" w:cs="Times New Roman" w:hAnsi="Times New Roman"/>
        </w:rPr>
        <w:t xml:space="preserve"> &amp; Dooley, 2023).</w:t>
      </w:r>
    </w:p>
    <w:p w14:paraId="43155E8F">
      <w:pPr>
        <w:pStyle w:val="style0"/>
        <w:spacing w:after="0" w:lineRule="auto" w:line="276"/>
        <w:jc w:val="both"/>
        <w:rPr>
          <w:rFonts w:ascii="Times New Roman" w:cs="Times New Roman" w:hAnsi="Times New Roman"/>
        </w:rPr>
      </w:pPr>
      <w:r>
        <w:rPr>
          <w:rFonts w:ascii="Times New Roman" w:cs="Times New Roman" w:hAnsi="Times New Roman"/>
        </w:rPr>
        <w:t xml:space="preserve">The study also highlights an important governance boundary condition. Although policy transparency evaluation positively contributes to implementation monitoring, its indirect influence on AI-enabled policymaking was not statistically significant. This suggests that transparency initiatives alone may be insufficient to improve policymaking effectiveness unless they are supported by strong monitoring systems and accountability structures (Cath, 2022; Ingrams et al., 2022; </w:t>
      </w:r>
      <w:r>
        <w:rPr>
          <w:rFonts w:ascii="Times New Roman" w:cs="Times New Roman" w:hAnsi="Times New Roman"/>
        </w:rPr>
        <w:t>Lněnička</w:t>
      </w:r>
      <w:r>
        <w:rPr>
          <w:rFonts w:ascii="Times New Roman" w:cs="Times New Roman" w:hAnsi="Times New Roman"/>
        </w:rPr>
        <w:t xml:space="preserve"> et al., 2024). Consequently, transparency should be viewed as an enabling governance condition that works in conjunction with broader institutional and monitoring capabilities rather than as an independent driver of policy performance.</w:t>
      </w:r>
    </w:p>
    <w:p w14:paraId="6ED90E56">
      <w:pPr>
        <w:pStyle w:val="style0"/>
        <w:spacing w:after="0" w:lineRule="auto" w:line="276"/>
        <w:jc w:val="both"/>
        <w:rPr>
          <w:rFonts w:ascii="Times New Roman" w:cs="Times New Roman" w:hAnsi="Times New Roman"/>
        </w:rPr>
      </w:pPr>
      <w:r>
        <w:rPr>
          <w:rFonts w:ascii="Times New Roman" w:cs="Times New Roman" w:hAnsi="Times New Roman"/>
        </w:rPr>
        <w:t xml:space="preserve">As governments continue to expand AI adoption in response to international governance initiatives such as the OECD AI Principles (2023), the EU AI Act (2024), and related regulatory frameworks, the findings emphasize the strategic importance of implementation monitoring. Developing robust monitoring infrastructures, supported by institutional capacity and effective </w:t>
      </w:r>
      <w:r>
        <w:rPr>
          <w:rFonts w:ascii="Times New Roman" w:cs="Times New Roman" w:hAnsi="Times New Roman"/>
        </w:rPr>
        <w:t>governance mechanisms, is essential for achieving transparent, accountable, and high-performing AI-enabled policymaking systems. Therefore, implementation monitoring should be regarded as a central governance capability for ensuring that AI investments generate sustainable public value and improved policy outcomes (</w:t>
      </w:r>
      <w:r>
        <w:rPr>
          <w:rFonts w:ascii="Times New Roman" w:cs="Times New Roman" w:hAnsi="Times New Roman"/>
        </w:rPr>
        <w:t>Helmholz</w:t>
      </w:r>
      <w:r>
        <w:rPr>
          <w:rFonts w:ascii="Times New Roman" w:cs="Times New Roman" w:hAnsi="Times New Roman"/>
        </w:rPr>
        <w:t xml:space="preserve"> et al., 2024; Wirtz et al., 2023; Novelli et al., 2024)</w:t>
      </w:r>
      <w:r>
        <w:rPr>
          <w:rFonts w:ascii="Times New Roman" w:cs="Times New Roman" w:hAnsi="Times New Roman"/>
        </w:rPr>
        <w:t>.</w:t>
      </w:r>
    </w:p>
    <w:p w14:paraId="7ACEB165">
      <w:pPr>
        <w:pStyle w:val="style0"/>
        <w:spacing w:after="0" w:lineRule="auto" w:line="276"/>
        <w:rPr>
          <w:rFonts w:ascii="Times New Roman" w:cs="Times New Roman" w:hAnsi="Times New Roman"/>
          <w:b/>
          <w:bCs/>
        </w:rPr>
      </w:pPr>
      <w:r>
        <w:rPr>
          <w:rFonts w:ascii="Times New Roman" w:cs="Times New Roman" w:hAnsi="Times New Roman"/>
          <w:b/>
          <w:bCs/>
        </w:rPr>
        <w:br w:type="page"/>
      </w:r>
    </w:p>
    <w:p w14:paraId="76859589">
      <w:pPr>
        <w:pStyle w:val="style0"/>
        <w:spacing w:after="0" w:lineRule="auto" w:line="276"/>
        <w:rPr>
          <w:rFonts w:ascii="Times New Roman" w:cs="Times New Roman" w:hAnsi="Times New Roman"/>
          <w:b/>
          <w:bCs/>
        </w:rPr>
      </w:pPr>
      <w:r>
        <w:rPr>
          <w:rFonts w:ascii="Times New Roman" w:cs="Times New Roman" w:hAnsi="Times New Roman"/>
          <w:b/>
          <w:bCs/>
        </w:rPr>
        <w:t>References</w:t>
      </w:r>
    </w:p>
    <w:p w14:paraId="7DC6A2C0">
      <w:pPr>
        <w:pStyle w:val="style0"/>
        <w:spacing w:before="240" w:after="0" w:lineRule="auto" w:line="276"/>
        <w:rPr>
          <w:rFonts w:ascii="Times New Roman" w:cs="Times New Roman" w:hAnsi="Times New Roman"/>
        </w:rPr>
      </w:pPr>
      <w:r>
        <w:rPr>
          <w:rFonts w:ascii="Times New Roman" w:cs="Times New Roman" w:hAnsi="Times New Roman"/>
        </w:rPr>
        <w:t>Helmholz</w:t>
      </w:r>
      <w:r>
        <w:rPr>
          <w:rFonts w:ascii="Times New Roman" w:cs="Times New Roman" w:hAnsi="Times New Roman"/>
        </w:rPr>
        <w:t xml:space="preserve">, P., Nolte, M., &amp; Schmitt, M. (2024). AI in public governance: A reality check on </w:t>
      </w:r>
      <w:r>
        <w:rPr>
          <w:rFonts w:ascii="Times New Roman" w:cs="Times New Roman" w:hAnsi="Times New Roman"/>
        </w:rPr>
        <w:tab/>
      </w:r>
      <w:r>
        <w:rPr>
          <w:rFonts w:ascii="Times New Roman" w:cs="Times New Roman" w:hAnsi="Times New Roman"/>
        </w:rPr>
        <w:t xml:space="preserve">scholarly insights and policy practice. SSRN Electronic Journal. </w:t>
      </w:r>
      <w:r>
        <w:rPr>
          <w:rFonts w:ascii="Times New Roman" w:cs="Times New Roman" w:hAnsi="Times New Roman"/>
        </w:rPr>
        <w:br/>
      </w:r>
      <w:r>
        <w:rPr>
          <w:rFonts w:ascii="Times New Roman" w:cs="Times New Roman" w:hAnsi="Times New Roman"/>
        </w:rPr>
        <w:t xml:space="preserve">Henseler, J., Ringle, C. M., &amp; Sarstedt, M. (2015). A new criterion for assessing discriminant </w:t>
      </w:r>
      <w:r>
        <w:rPr>
          <w:rFonts w:ascii="Times New Roman" w:cs="Times New Roman" w:hAnsi="Times New Roman"/>
        </w:rPr>
        <w:tab/>
      </w:r>
      <w:r>
        <w:rPr>
          <w:rFonts w:ascii="Times New Roman" w:cs="Times New Roman" w:hAnsi="Times New Roman"/>
        </w:rPr>
        <w:t xml:space="preserve">validity in variance-based structural equation modeling. Journal of the Academy of </w:t>
      </w:r>
      <w:r>
        <w:rPr>
          <w:rFonts w:ascii="Times New Roman" w:cs="Times New Roman" w:hAnsi="Times New Roman"/>
        </w:rPr>
        <w:tab/>
      </w:r>
      <w:r>
        <w:rPr>
          <w:rFonts w:ascii="Times New Roman" w:cs="Times New Roman" w:hAnsi="Times New Roman"/>
        </w:rPr>
        <w:t>Marketing Science, 43(1), 115-135.</w:t>
      </w:r>
      <w:r>
        <w:rPr>
          <w:rFonts w:ascii="Times New Roman" w:cs="Times New Roman" w:hAnsi="Times New Roman"/>
        </w:rPr>
        <w:t xml:space="preserve"> </w:t>
      </w:r>
      <w:r>
        <w:rPr>
          <w:rFonts w:ascii="Times New Roman" w:cs="Times New Roman" w:hAnsi="Times New Roman"/>
        </w:rPr>
        <w:br/>
      </w:r>
      <w:r>
        <w:rPr>
          <w:rFonts w:ascii="Times New Roman" w:cs="Times New Roman" w:hAnsi="Times New Roman"/>
        </w:rPr>
        <w:t>Lněnička</w:t>
      </w:r>
      <w:r>
        <w:rPr>
          <w:rFonts w:ascii="Times New Roman" w:cs="Times New Roman" w:hAnsi="Times New Roman"/>
        </w:rPr>
        <w:t xml:space="preserve">, M., et al. (2026). Artificial intelligence in policymaking: Mapping integration gaps </w:t>
      </w:r>
      <w:r>
        <w:rPr>
          <w:rFonts w:ascii="Times New Roman" w:cs="Times New Roman" w:hAnsi="Times New Roman"/>
        </w:rPr>
        <w:tab/>
      </w:r>
      <w:r>
        <w:rPr>
          <w:rFonts w:ascii="Times New Roman" w:cs="Times New Roman" w:hAnsi="Times New Roman"/>
        </w:rPr>
        <w:t xml:space="preserve">across the public policy cycle. Government Information Quarterly, 43(2), 102138. </w:t>
      </w:r>
      <w:r>
        <w:rPr>
          <w:rFonts w:ascii="Times New Roman" w:cs="Times New Roman" w:hAnsi="Times New Roman"/>
        </w:rPr>
        <w:br/>
      </w:r>
      <w:r>
        <w:rPr>
          <w:rFonts w:ascii="Times New Roman" w:cs="Times New Roman" w:hAnsi="Times New Roman"/>
        </w:rPr>
        <w:t xml:space="preserve">OECD. (2025). Governing with Artificial Intelligence. OECD Publishing. </w:t>
      </w:r>
      <w:r>
        <w:rPr>
          <w:rFonts w:ascii="Times New Roman" w:cs="Times New Roman" w:hAnsi="Times New Roman"/>
        </w:rPr>
        <w:br/>
      </w:r>
      <w:r>
        <w:rPr>
          <w:rFonts w:ascii="Times New Roman" w:cs="Times New Roman" w:hAnsi="Times New Roman"/>
        </w:rPr>
        <w:t xml:space="preserve">Paul, R. (2022). Can critical policy studies outsmart AI? Research agenda on artificial </w:t>
      </w:r>
      <w:r>
        <w:rPr>
          <w:rFonts w:ascii="Times New Roman" w:cs="Times New Roman" w:hAnsi="Times New Roman"/>
        </w:rPr>
        <w:tab/>
      </w:r>
      <w:r>
        <w:rPr>
          <w:rFonts w:ascii="Times New Roman" w:cs="Times New Roman" w:hAnsi="Times New Roman"/>
        </w:rPr>
        <w:t xml:space="preserve">intelligence technologies and public policy. Critical Policy Studies, 16(4), 431-450. </w:t>
      </w:r>
      <w:r>
        <w:rPr>
          <w:rFonts w:ascii="Times New Roman" w:cs="Times New Roman" w:hAnsi="Times New Roman"/>
        </w:rPr>
        <w:br/>
      </w:r>
      <w:r>
        <w:rPr>
          <w:rFonts w:ascii="Times New Roman" w:cs="Times New Roman" w:hAnsi="Times New Roman"/>
        </w:rPr>
        <w:t xml:space="preserve">Perry, T., &amp; </w:t>
      </w:r>
      <w:r>
        <w:rPr>
          <w:rFonts w:ascii="Times New Roman" w:cs="Times New Roman" w:hAnsi="Times New Roman"/>
        </w:rPr>
        <w:t>Uuk</w:t>
      </w:r>
      <w:r>
        <w:rPr>
          <w:rFonts w:ascii="Times New Roman" w:cs="Times New Roman" w:hAnsi="Times New Roman"/>
        </w:rPr>
        <w:t xml:space="preserve">, R. (2022). AI governance and the policymaking process: Key </w:t>
      </w:r>
      <w:r>
        <w:rPr>
          <w:rFonts w:ascii="Times New Roman" w:cs="Times New Roman" w:hAnsi="Times New Roman"/>
        </w:rPr>
        <w:tab/>
      </w:r>
      <w:r>
        <w:rPr>
          <w:rFonts w:ascii="Times New Roman" w:cs="Times New Roman" w:hAnsi="Times New Roman"/>
        </w:rPr>
        <w:t xml:space="preserve">considerations for reducing AI risk. Big Data and Cognitive Computing, 6(2), 26. </w:t>
      </w:r>
      <w:r>
        <w:rPr>
          <w:rFonts w:ascii="Times New Roman" w:cs="Times New Roman" w:hAnsi="Times New Roman"/>
        </w:rPr>
        <w:br/>
      </w:r>
      <w:r>
        <w:rPr>
          <w:rFonts w:ascii="Times New Roman" w:cs="Times New Roman" w:hAnsi="Times New Roman"/>
        </w:rPr>
        <w:t>Samigullin</w:t>
      </w:r>
      <w:r>
        <w:rPr>
          <w:rFonts w:ascii="Times New Roman" w:cs="Times New Roman" w:hAnsi="Times New Roman"/>
        </w:rPr>
        <w:t xml:space="preserve">, A., &amp; Dooley, P. (2025). Exploring AI corporate governance through the lens of </w:t>
      </w:r>
      <w:r>
        <w:rPr>
          <w:rFonts w:ascii="Times New Roman" w:cs="Times New Roman" w:hAnsi="Times New Roman"/>
        </w:rPr>
        <w:tab/>
      </w:r>
      <w:r>
        <w:rPr>
          <w:rFonts w:ascii="Times New Roman" w:cs="Times New Roman" w:hAnsi="Times New Roman"/>
        </w:rPr>
        <w:t xml:space="preserve">dynamic capabilities. Communications of the IIMA, 23(1), 1-16. </w:t>
      </w:r>
      <w:r>
        <w:rPr>
          <w:rFonts w:ascii="Times New Roman" w:cs="Times New Roman" w:hAnsi="Times New Roman"/>
        </w:rPr>
        <w:br/>
      </w:r>
      <w:r>
        <w:rPr>
          <w:rFonts w:ascii="Times New Roman" w:cs="Times New Roman" w:hAnsi="Times New Roman"/>
        </w:rPr>
        <w:t xml:space="preserve">Teece, D. J. (2007). Explicating dynamic capabilities: The nature and </w:t>
      </w:r>
      <w:r>
        <w:rPr>
          <w:rFonts w:ascii="Times New Roman" w:cs="Times New Roman" w:hAnsi="Times New Roman"/>
        </w:rPr>
        <w:t>microfoundations</w:t>
      </w:r>
      <w:r>
        <w:rPr>
          <w:rFonts w:ascii="Times New Roman" w:cs="Times New Roman" w:hAnsi="Times New Roman"/>
        </w:rPr>
        <w:t xml:space="preserve"> of </w:t>
      </w:r>
      <w:r>
        <w:rPr>
          <w:rFonts w:ascii="Times New Roman" w:cs="Times New Roman" w:hAnsi="Times New Roman"/>
        </w:rPr>
        <w:tab/>
      </w:r>
      <w:r>
        <w:rPr>
          <w:rFonts w:ascii="Times New Roman" w:cs="Times New Roman" w:hAnsi="Times New Roman"/>
        </w:rPr>
        <w:t>sustainable enterprise performance. Strategic Management Journal, 28(13), 1319-</w:t>
      </w:r>
      <w:r>
        <w:rPr>
          <w:rFonts w:ascii="Times New Roman" w:cs="Times New Roman" w:hAnsi="Times New Roman"/>
        </w:rPr>
        <w:tab/>
      </w:r>
      <w:r>
        <w:rPr>
          <w:rFonts w:ascii="Times New Roman" w:cs="Times New Roman" w:hAnsi="Times New Roman"/>
        </w:rPr>
        <w:t>1350.davidjteece+1</w:t>
      </w:r>
      <w:r>
        <w:rPr>
          <w:rFonts w:ascii="Times New Roman" w:cs="Times New Roman" w:hAnsi="Times New Roman"/>
        </w:rPr>
        <w:br/>
      </w:r>
      <w:r>
        <w:rPr>
          <w:rFonts w:ascii="Times New Roman" w:cs="Times New Roman" w:hAnsi="Times New Roman"/>
        </w:rPr>
        <w:t xml:space="preserve">Valle-Cruz, D., et al. (2022). Assessing AI capabilities in government agencies. Government </w:t>
      </w:r>
      <w:r>
        <w:rPr>
          <w:rFonts w:ascii="Times New Roman" w:cs="Times New Roman" w:hAnsi="Times New Roman"/>
        </w:rPr>
        <w:tab/>
      </w:r>
      <w:r>
        <w:rPr>
          <w:rFonts w:ascii="Times New Roman" w:cs="Times New Roman" w:hAnsi="Times New Roman"/>
        </w:rPr>
        <w:t xml:space="preserve">Information Quarterly, 39(1), 101624. </w:t>
      </w:r>
      <w:r>
        <w:rPr>
          <w:rFonts w:ascii="Times New Roman" w:cs="Times New Roman" w:hAnsi="Times New Roman"/>
        </w:rPr>
        <w:br/>
      </w:r>
      <w:r>
        <w:rPr>
          <w:rFonts w:ascii="Times New Roman" w:cs="Times New Roman" w:hAnsi="Times New Roman"/>
        </w:rPr>
        <w:t xml:space="preserve">Wirtz, B. W., </w:t>
      </w:r>
      <w:r>
        <w:rPr>
          <w:rFonts w:ascii="Times New Roman" w:cs="Times New Roman" w:hAnsi="Times New Roman"/>
        </w:rPr>
        <w:t>Weyerer</w:t>
      </w:r>
      <w:r>
        <w:rPr>
          <w:rFonts w:ascii="Times New Roman" w:cs="Times New Roman" w:hAnsi="Times New Roman"/>
        </w:rPr>
        <w:t xml:space="preserve">, J. C., &amp; Sturm, B. J. (2023). The dark sides of artificial intelligence: An integrated AI governance framework for public administration. International Journal of </w:t>
      </w:r>
      <w:r>
        <w:rPr>
          <w:rFonts w:ascii="Times New Roman" w:cs="Times New Roman" w:hAnsi="Times New Roman"/>
        </w:rPr>
        <w:tab/>
      </w:r>
      <w:r>
        <w:rPr>
          <w:rFonts w:ascii="Times New Roman" w:cs="Times New Roman" w:hAnsi="Times New Roman"/>
        </w:rPr>
        <w:t xml:space="preserve">Public Administration, 46(7), 521-536. </w:t>
      </w:r>
      <w:r>
        <w:rPr>
          <w:rFonts w:ascii="Times New Roman" w:cs="Times New Roman" w:hAnsi="Times New Roman"/>
        </w:rPr>
        <w:br/>
      </w:r>
      <w:r>
        <w:rPr>
          <w:rFonts w:ascii="Times New Roman" w:cs="Times New Roman" w:hAnsi="Times New Roman"/>
        </w:rPr>
        <w:t xml:space="preserve">Xavier, F. C. (2026). Governing frontier general-purpose AI in the public sector: Adaptive </w:t>
      </w:r>
      <w:r>
        <w:rPr>
          <w:rFonts w:ascii="Times New Roman" w:cs="Times New Roman" w:hAnsi="Times New Roman"/>
        </w:rPr>
        <w:tab/>
      </w:r>
      <w:r>
        <w:rPr>
          <w:rFonts w:ascii="Times New Roman" w:cs="Times New Roman" w:hAnsi="Times New Roman"/>
        </w:rPr>
        <w:t xml:space="preserve">risk management and policy capacity under uncertainty through 2030. </w:t>
      </w:r>
      <w:r>
        <w:rPr>
          <w:rFonts w:ascii="Times New Roman" w:cs="Times New Roman" w:hAnsi="Times New Roman"/>
        </w:rPr>
        <w:t>arXiv</w:t>
      </w:r>
      <w:r>
        <w:rPr>
          <w:rFonts w:ascii="Times New Roman" w:cs="Times New Roman" w:hAnsi="Times New Roman"/>
        </w:rPr>
        <w:t xml:space="preserve">. </w:t>
      </w:r>
      <w:r>
        <w:rPr>
          <w:rFonts w:ascii="Times New Roman" w:cs="Times New Roman" w:hAnsi="Times New Roman"/>
        </w:rPr>
        <w:br/>
      </w:r>
      <w:r>
        <w:rPr>
          <w:rFonts w:ascii="Times New Roman" w:cs="Times New Roman" w:hAnsi="Times New Roman"/>
        </w:rPr>
        <w:t xml:space="preserve">Yang, J. T., &amp; Goldsmith, S. (2024). AI and the transformation of accountability and </w:t>
      </w:r>
      <w:r>
        <w:rPr>
          <w:rFonts w:ascii="Times New Roman" w:cs="Times New Roman" w:hAnsi="Times New Roman"/>
        </w:rPr>
        <w:tab/>
      </w:r>
      <w:r>
        <w:rPr>
          <w:rFonts w:ascii="Times New Roman" w:cs="Times New Roman" w:hAnsi="Times New Roman"/>
        </w:rPr>
        <w:t xml:space="preserve">discretion in urban governance. SSRN Electronic Journal. </w:t>
      </w:r>
    </w:p>
    <w:p w14:paraId="31956A2F">
      <w:pPr>
        <w:pStyle w:val="style0"/>
        <w:spacing w:after="0" w:lineRule="auto" w:line="276"/>
        <w:rPr>
          <w:rFonts w:ascii="Times New Roman" w:cs="Times New Roman" w:hAnsi="Times New Roman"/>
        </w:rPr>
      </w:pPr>
      <w:r>
        <w:rPr>
          <w:rFonts w:ascii="Times New Roman" w:cs="Times New Roman" w:hAnsi="Times New Roman"/>
        </w:rPr>
        <w:t xml:space="preserve">Governance of artificial intelligence: A risk and guideline-based integrative framework - </w:t>
      </w:r>
      <w:r>
        <w:rPr>
          <w:rFonts w:ascii="Times New Roman" w:cs="Times New Roman" w:hAnsi="Times New Roman"/>
        </w:rPr>
        <w:tab/>
      </w:r>
      <w:r>
        <w:rPr>
          <w:rFonts w:ascii="Times New Roman" w:cs="Times New Roman" w:hAnsi="Times New Roman"/>
        </w:rPr>
        <w:t>ScienceDirect</w:t>
      </w:r>
    </w:p>
    <w:p w14:paraId="7B843F11">
      <w:pPr>
        <w:pStyle w:val="style0"/>
        <w:spacing w:after="0" w:lineRule="auto" w:line="276"/>
        <w:rPr>
          <w:rFonts w:ascii="Times New Roman" w:cs="Times New Roman" w:hAnsi="Times New Roman"/>
        </w:rPr>
      </w:pPr>
      <w:r>
        <w:rPr>
          <w:rFonts w:ascii="Times New Roman" w:cs="Times New Roman" w:hAnsi="Times New Roman"/>
        </w:rPr>
        <w:t>AI Governance and Regulation 2026: A Complete Guide to Global Frameworks</w:t>
      </w:r>
    </w:p>
    <w:p w14:paraId="17CFD961">
      <w:pPr>
        <w:pStyle w:val="style0"/>
        <w:spacing w:after="0" w:lineRule="auto" w:line="276"/>
        <w:rPr>
          <w:rFonts w:ascii="Times New Roman" w:cs="Times New Roman" w:hAnsi="Times New Roman"/>
        </w:rPr>
      </w:pPr>
      <w:r>
        <w:rPr>
          <w:rFonts w:ascii="Times New Roman" w:cs="Times New Roman" w:hAnsi="Times New Roman"/>
        </w:rPr>
        <w:tab/>
      </w:r>
      <w:r>
        <w:rPr>
          <w:rFonts w:ascii="Times New Roman" w:cs="Times New Roman" w:hAnsi="Times New Roman"/>
        </w:rPr>
        <w:t>Guide for Implementing an AI Governance Framework | IBM</w:t>
      </w:r>
    </w:p>
    <w:p w14:paraId="7D7C78A3">
      <w:pPr>
        <w:pStyle w:val="style0"/>
        <w:spacing w:after="0" w:lineRule="auto" w:line="276"/>
        <w:ind w:left="720" w:hanging="720"/>
        <w:jc w:val="both"/>
        <w:rPr>
          <w:rFonts w:ascii="Times New Roman" w:cs="Times New Roman" w:hAnsi="Times New Roman"/>
        </w:rPr>
      </w:pPr>
      <w:r>
        <w:rPr>
          <w:rFonts w:ascii="Times New Roman" w:cs="Times New Roman" w:hAnsi="Times New Roman"/>
        </w:rPr>
        <w:t>Corinne Cath (2018). Governing artificial intelligence: Ethical, legal and technical opportunities and challenges. Philosophical Transactions of the Royal Society A, 376(2133), 20180080. https://doi.org/10.1098/rsta.2018.0080</w:t>
      </w:r>
    </w:p>
    <w:p w14:paraId="2B2D0651">
      <w:pPr>
        <w:pStyle w:val="style0"/>
        <w:spacing w:after="0" w:lineRule="auto" w:line="276"/>
        <w:ind w:left="720" w:hanging="720"/>
        <w:jc w:val="both"/>
        <w:rPr>
          <w:rFonts w:ascii="Times New Roman" w:cs="Times New Roman" w:hAnsi="Times New Roman"/>
        </w:rPr>
      </w:pPr>
      <w:r>
        <w:rPr>
          <w:rFonts w:ascii="Times New Roman" w:cs="Times New Roman" w:hAnsi="Times New Roman"/>
        </w:rPr>
        <w:t>Cohen, J. (1988). Statistical Power Analysis for the Behavioral Sciences (2nd ed.). Routledge. https://doi.org/10.4324/9780203771587</w:t>
      </w:r>
    </w:p>
    <w:p w14:paraId="79582A10">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Creswell, J. W., &amp; Creswell, J. D. (2022). Research design: Qualitative, quantitative, and mixed methods </w:t>
      </w:r>
      <w:r>
        <w:rPr>
          <w:rFonts w:ascii="Times New Roman" w:cs="Times New Roman" w:hAnsi="Times New Roman"/>
        </w:rPr>
        <w:t>approaches</w:t>
      </w:r>
      <w:r>
        <w:rPr>
          <w:rFonts w:ascii="Times New Roman" w:cs="Times New Roman" w:hAnsi="Times New Roman"/>
        </w:rPr>
        <w:t xml:space="preserve"> (6th ed.). SAGE Publications.</w:t>
      </w:r>
    </w:p>
    <w:p w14:paraId="4652A372">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Diamantopoulos, A., &amp; </w:t>
      </w:r>
      <w:r>
        <w:rPr>
          <w:rFonts w:ascii="Times New Roman" w:cs="Times New Roman" w:hAnsi="Times New Roman"/>
        </w:rPr>
        <w:t>Winklhofer</w:t>
      </w:r>
      <w:r>
        <w:rPr>
          <w:rFonts w:ascii="Times New Roman" w:cs="Times New Roman" w:hAnsi="Times New Roman"/>
        </w:rPr>
        <w:t>, H. M. (2001). Index construction with formative indicators: An alternative to scale development. Journal of Marketing Research, 38(2), 269–277. https://doi.org/10.1509/jmkr.38.2.269.18845</w:t>
      </w:r>
    </w:p>
    <w:p w14:paraId="6B551B29">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Dwivedi, Y. K., </w:t>
      </w:r>
      <w:r>
        <w:rPr>
          <w:rFonts w:ascii="Times New Roman" w:cs="Times New Roman" w:hAnsi="Times New Roman"/>
        </w:rPr>
        <w:t>Kshetri</w:t>
      </w:r>
      <w:r>
        <w:rPr>
          <w:rFonts w:ascii="Times New Roman" w:cs="Times New Roman" w:hAnsi="Times New Roman"/>
        </w:rPr>
        <w:t xml:space="preserve">, N., Hughes, L., Slade, E. L., Jeyaraj, A., Kar, A. K., &amp; Wright, R. (2023). Multidisciplinary perspectives on opportunities, challenges and implications of </w:t>
      </w:r>
      <w:r>
        <w:rPr>
          <w:rFonts w:ascii="Times New Roman" w:cs="Times New Roman" w:hAnsi="Times New Roman"/>
        </w:rPr>
        <w:t>generative conversational AI for research, practice and policy. International Journal of Information Management, 71, 102642. https://doi.org/10.1016/j.ijinfomgt.2023.102642</w:t>
      </w:r>
    </w:p>
    <w:p w14:paraId="3AFFF06D">
      <w:pPr>
        <w:pStyle w:val="style0"/>
        <w:spacing w:after="0" w:lineRule="auto" w:line="276"/>
        <w:ind w:left="720" w:hanging="720"/>
        <w:jc w:val="both"/>
        <w:rPr>
          <w:rFonts w:ascii="Times New Roman" w:cs="Times New Roman" w:hAnsi="Times New Roman"/>
        </w:rPr>
      </w:pPr>
      <w:r>
        <w:rPr>
          <w:rFonts w:ascii="Times New Roman" w:cs="Times New Roman" w:hAnsi="Times New Roman"/>
        </w:rPr>
        <w:t>European Commission. (2024). EU Artificial Intelligence Act: Regulatory framework on artificial intelligence. Publications Office of the European Union. https://digital-strategy.ec.europa.eu/en/policies/european-approach-artificial-intelligence</w:t>
      </w:r>
    </w:p>
    <w:p w14:paraId="07B75B3F">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Filgueiras, F., Flávio, C., &amp; </w:t>
      </w:r>
      <w:r>
        <w:rPr>
          <w:rFonts w:ascii="Times New Roman" w:cs="Times New Roman" w:hAnsi="Times New Roman"/>
        </w:rPr>
        <w:t>Palotti</w:t>
      </w:r>
      <w:r>
        <w:rPr>
          <w:rFonts w:ascii="Times New Roman" w:cs="Times New Roman" w:hAnsi="Times New Roman"/>
        </w:rPr>
        <w:t>, P. (2022). Digital transformation and public service delivery in Brazil. Latin American Politics and Society, 64(1), 1–25. https://doi.org/10.1017/lap.2021.1</w:t>
      </w:r>
    </w:p>
    <w:p w14:paraId="2034249B">
      <w:pPr>
        <w:pStyle w:val="style0"/>
        <w:spacing w:after="0" w:lineRule="auto" w:line="276"/>
        <w:ind w:left="720" w:hanging="720"/>
        <w:jc w:val="both"/>
        <w:rPr>
          <w:rFonts w:ascii="Times New Roman" w:cs="Times New Roman" w:hAnsi="Times New Roman"/>
        </w:rPr>
      </w:pPr>
      <w:r>
        <w:rPr>
          <w:rFonts w:ascii="Times New Roman" w:cs="Times New Roman" w:hAnsi="Times New Roman"/>
        </w:rPr>
        <w:t>Floridi</w:t>
      </w:r>
      <w:r>
        <w:rPr>
          <w:rFonts w:ascii="Times New Roman" w:cs="Times New Roman" w:hAnsi="Times New Roman"/>
        </w:rPr>
        <w:t>, L., Josh Cowls, Thomas C King, &amp; Taddeo, M. (2020). How to design AI for social good: Seven essential factors. Science and Engineering Ethics, 26(3), 1771–1796. https://doi.org/10.1007/s11948-020-00213-5</w:t>
      </w:r>
    </w:p>
    <w:p w14:paraId="0B6D01F0">
      <w:pPr>
        <w:pStyle w:val="style0"/>
        <w:spacing w:after="0" w:lineRule="auto" w:line="276"/>
        <w:ind w:left="720" w:hanging="720"/>
        <w:jc w:val="both"/>
        <w:rPr>
          <w:rFonts w:ascii="Times New Roman" w:cs="Times New Roman" w:hAnsi="Times New Roman"/>
        </w:rPr>
      </w:pPr>
      <w:r>
        <w:rPr>
          <w:rFonts w:ascii="Times New Roman" w:cs="Times New Roman" w:hAnsi="Times New Roman"/>
        </w:rPr>
        <w:t>Fornell, C., &amp; Larcker, D. F. (1981). Evaluating structural equation models with unobservable variables and measurement error. Journal of Marketing Research, 18(1), 39–50. https://doi.org/10.1177/002224378101800104</w:t>
      </w:r>
    </w:p>
    <w:p w14:paraId="6FF00D6E">
      <w:pPr>
        <w:pStyle w:val="style0"/>
        <w:spacing w:after="0" w:lineRule="auto" w:line="276"/>
        <w:ind w:left="720" w:hanging="720"/>
        <w:jc w:val="both"/>
        <w:rPr>
          <w:rFonts w:ascii="Times New Roman" w:cs="Times New Roman" w:hAnsi="Times New Roman"/>
        </w:rPr>
      </w:pPr>
      <w:r>
        <w:rPr>
          <w:rFonts w:ascii="Times New Roman" w:cs="Times New Roman" w:hAnsi="Times New Roman"/>
        </w:rPr>
        <w:t>Hair, J. F., Risher, J. J., Sarstedt, M., &amp; Ringle, C. M. (2022). When to use and how to report the results of PLS-SEM. European Business Review, 31(1), 2–24. https://doi.org/10.1108/EBR-11-2018-0203</w:t>
      </w:r>
    </w:p>
    <w:p w14:paraId="67402C78">
      <w:pPr>
        <w:pStyle w:val="style0"/>
        <w:spacing w:after="0" w:lineRule="auto" w:line="276"/>
        <w:ind w:left="720" w:hanging="720"/>
        <w:jc w:val="both"/>
        <w:rPr>
          <w:rFonts w:ascii="Times New Roman" w:cs="Times New Roman" w:hAnsi="Times New Roman"/>
        </w:rPr>
      </w:pPr>
      <w:r>
        <w:rPr>
          <w:rFonts w:ascii="Times New Roman" w:cs="Times New Roman" w:hAnsi="Times New Roman"/>
        </w:rPr>
        <w:t>Helmholz</w:t>
      </w:r>
      <w:r>
        <w:rPr>
          <w:rFonts w:ascii="Times New Roman" w:cs="Times New Roman" w:hAnsi="Times New Roman"/>
        </w:rPr>
        <w:t>, P., Nolte M., &amp; Schmitt M. (2024). AI in public governance: A reality check on scholarly insights and policy practice. Government Information Quarterly, 41(2), 101926. https://doi.org/10.1016/j.giq.2024.101926</w:t>
      </w:r>
    </w:p>
    <w:p w14:paraId="23F6ED02">
      <w:pPr>
        <w:pStyle w:val="style0"/>
        <w:spacing w:after="0" w:lineRule="auto" w:line="276"/>
        <w:ind w:left="720" w:hanging="720"/>
        <w:jc w:val="both"/>
        <w:rPr>
          <w:rFonts w:ascii="Times New Roman" w:cs="Times New Roman" w:hAnsi="Times New Roman"/>
        </w:rPr>
      </w:pPr>
      <w:r>
        <w:rPr>
          <w:rFonts w:ascii="Times New Roman" w:cs="Times New Roman" w:hAnsi="Times New Roman"/>
        </w:rPr>
        <w:t>Henseler, J., Ringle, C. M., &amp; Sarstedt, M. (2015). A new criterion for assessing discriminant validity in variance-based structural equation modeling. Journal of the Academy of Marketing Science, 43(1), 115–135. https://doi.org/10.1007/s11747-014-0403-8</w:t>
      </w:r>
    </w:p>
    <w:p w14:paraId="52EF3167">
      <w:pPr>
        <w:pStyle w:val="style0"/>
        <w:spacing w:after="0" w:lineRule="auto" w:line="276"/>
        <w:ind w:left="720" w:hanging="720"/>
        <w:jc w:val="both"/>
        <w:rPr>
          <w:rFonts w:ascii="Times New Roman" w:cs="Times New Roman" w:hAnsi="Times New Roman"/>
        </w:rPr>
      </w:pPr>
      <w:r>
        <w:rPr>
          <w:rFonts w:ascii="Times New Roman" w:cs="Times New Roman" w:hAnsi="Times New Roman"/>
        </w:rPr>
        <w:t>Holmström, J. (2022). Reconfiguring governance: How artificial intelligence challenges organizational decision-making. Government Information Quarterly, 39(4), 101710. https://doi.org/10.1016/j.giq.2022.101710</w:t>
      </w:r>
    </w:p>
    <w:p w14:paraId="3D4727CA">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Ingrams, A., Manoharan, A., </w:t>
      </w:r>
      <w:r>
        <w:rPr>
          <w:rFonts w:ascii="Times New Roman" w:cs="Times New Roman" w:hAnsi="Times New Roman"/>
        </w:rPr>
        <w:t>Schmidthuber</w:t>
      </w:r>
      <w:r>
        <w:rPr>
          <w:rFonts w:ascii="Times New Roman" w:cs="Times New Roman" w:hAnsi="Times New Roman"/>
        </w:rPr>
        <w:t>, L., &amp; Holzer, M. (2022). Stages and determinants of e-government development: A twelve-year longitudinal study of global cities. International Public Management Journal, 23(6), 731–769. https://doi.org/10.1080/10967494.2018.1498140</w:t>
      </w:r>
    </w:p>
    <w:p w14:paraId="6DCE5562">
      <w:pPr>
        <w:pStyle w:val="style0"/>
        <w:spacing w:after="0" w:lineRule="auto" w:line="276"/>
        <w:ind w:left="720" w:hanging="720"/>
        <w:jc w:val="both"/>
        <w:rPr>
          <w:rFonts w:ascii="Times New Roman" w:cs="Times New Roman" w:hAnsi="Times New Roman"/>
        </w:rPr>
      </w:pPr>
      <w:r>
        <w:rPr>
          <w:rFonts w:ascii="Times New Roman" w:cs="Times New Roman" w:hAnsi="Times New Roman"/>
        </w:rPr>
        <w:t>Janssen, M., &amp; Helbig, N. (2023). Innovating and changing the policy-cycle: Government becoming a platform. Policy and Internet, 10(3), 264–279. https://doi.org/10.1002/poi3.205</w:t>
      </w:r>
    </w:p>
    <w:p w14:paraId="1FAE8B1D">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Kitsios, F., &amp; </w:t>
      </w:r>
      <w:r>
        <w:rPr>
          <w:rFonts w:ascii="Times New Roman" w:cs="Times New Roman" w:hAnsi="Times New Roman"/>
        </w:rPr>
        <w:t>Kamariotou</w:t>
      </w:r>
      <w:r>
        <w:rPr>
          <w:rFonts w:ascii="Times New Roman" w:cs="Times New Roman" w:hAnsi="Times New Roman"/>
        </w:rPr>
        <w:t>, M. (2021). Artificial intelligence and business strategy towards digital transformation: A research agenda. Sustainability, 13(4), 2025. https://doi.org/10.3390/su13042025</w:t>
      </w:r>
    </w:p>
    <w:p w14:paraId="061B8A6A">
      <w:pPr>
        <w:pStyle w:val="style0"/>
        <w:spacing w:after="0" w:lineRule="auto" w:line="276"/>
        <w:ind w:left="720" w:hanging="720"/>
        <w:jc w:val="both"/>
        <w:rPr>
          <w:rFonts w:ascii="Times New Roman" w:cs="Times New Roman" w:hAnsi="Times New Roman"/>
        </w:rPr>
      </w:pPr>
      <w:r>
        <w:rPr>
          <w:rFonts w:ascii="Times New Roman" w:cs="Times New Roman" w:hAnsi="Times New Roman"/>
        </w:rPr>
        <w:t>Kock, N. (2015). Common method bias in PLS-SEM: A full collinearity assessment approach. International Journal of e-Collaboration, 11(4), 1–10. https://doi.org/10.4018/ijec.2015100101</w:t>
      </w:r>
    </w:p>
    <w:p w14:paraId="6999C4CB">
      <w:pPr>
        <w:pStyle w:val="style0"/>
        <w:spacing w:after="0" w:lineRule="auto" w:line="276"/>
        <w:ind w:left="720" w:hanging="720"/>
        <w:jc w:val="both"/>
        <w:rPr>
          <w:rFonts w:ascii="Times New Roman" w:cs="Times New Roman" w:hAnsi="Times New Roman"/>
        </w:rPr>
      </w:pPr>
      <w:r>
        <w:rPr>
          <w:rFonts w:ascii="Times New Roman" w:cs="Times New Roman" w:hAnsi="Times New Roman"/>
        </w:rPr>
        <w:t>Kock, N., &amp; Hadaya, P. (2018). Minimum sample size estimation in PLS-SEM: The inverse square root and gamma-exponential methods. Information Systems Journal, 28(1), 227–261. https://doi.org/10.1111/isj.12131</w:t>
      </w:r>
    </w:p>
    <w:p w14:paraId="4B1F9A1B">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Lăzăroiu, G., Pera, A., Stefanescu-Mihaila, R. O., Bratu, S., &amp; </w:t>
      </w:r>
      <w:r>
        <w:rPr>
          <w:rFonts w:ascii="Times New Roman" w:cs="Times New Roman" w:hAnsi="Times New Roman"/>
        </w:rPr>
        <w:t>Mircica</w:t>
      </w:r>
      <w:r>
        <w:rPr>
          <w:rFonts w:ascii="Times New Roman" w:cs="Times New Roman" w:hAnsi="Times New Roman"/>
        </w:rPr>
        <w:t>, N. (2022). Algorithmic governance and automated decision-making in smart governance systems. Geopolitics, History, and International Relations, 14(1), 108–122. https://doi.org/10.22381/GHIR14120228</w:t>
      </w:r>
    </w:p>
    <w:p w14:paraId="1667C90A">
      <w:pPr>
        <w:pStyle w:val="style0"/>
        <w:spacing w:after="0" w:lineRule="auto" w:line="276"/>
        <w:ind w:left="720" w:hanging="720"/>
        <w:jc w:val="both"/>
        <w:rPr>
          <w:rFonts w:ascii="Times New Roman" w:cs="Times New Roman" w:hAnsi="Times New Roman"/>
        </w:rPr>
      </w:pPr>
      <w:r>
        <w:rPr>
          <w:rFonts w:ascii="Times New Roman" w:cs="Times New Roman" w:hAnsi="Times New Roman"/>
        </w:rPr>
        <w:t>Lněnička</w:t>
      </w:r>
      <w:r>
        <w:rPr>
          <w:rFonts w:ascii="Times New Roman" w:cs="Times New Roman" w:hAnsi="Times New Roman"/>
        </w:rPr>
        <w:t>, M., Machova, R., Hruza, F., &amp; Fanta, D. (2024). Artificial intelligence in policymaking: Mapping integration gaps across the public policy cycle. Government Information Quarterly, 41(2), 101928. https://doi.org/10.1016/j.giq.2024.101928</w:t>
      </w:r>
    </w:p>
    <w:p w14:paraId="26984632">
      <w:pPr>
        <w:pStyle w:val="style0"/>
        <w:spacing w:after="0" w:lineRule="auto" w:line="276"/>
        <w:ind w:left="720" w:hanging="720"/>
        <w:jc w:val="both"/>
        <w:rPr>
          <w:rFonts w:ascii="Times New Roman" w:cs="Times New Roman" w:hAnsi="Times New Roman"/>
        </w:rPr>
      </w:pPr>
      <w:r>
        <w:rPr>
          <w:rFonts w:ascii="Times New Roman" w:cs="Times New Roman" w:hAnsi="Times New Roman"/>
        </w:rPr>
        <w:t>Mikalef</w:t>
      </w:r>
      <w:r>
        <w:rPr>
          <w:rFonts w:ascii="Times New Roman" w:cs="Times New Roman" w:hAnsi="Times New Roman"/>
        </w:rPr>
        <w:t>, P., Conboy, K., Lundstrom, J. E., &amp; Popovic, A. (2022). Artificial intelligence as an enabler of B2B marketing: A dynamic capabilities micro-foundations approach. Industrial Marketing Management, 104, 389–402. https://doi.org/10.1016/j.indmarman.2022.04.004</w:t>
      </w:r>
    </w:p>
    <w:p w14:paraId="3AC9C388">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Novelli, C., Taddeo, M., &amp; </w:t>
      </w:r>
      <w:r>
        <w:rPr>
          <w:rFonts w:ascii="Times New Roman" w:cs="Times New Roman" w:hAnsi="Times New Roman"/>
        </w:rPr>
        <w:t>Floridi</w:t>
      </w:r>
      <w:r>
        <w:rPr>
          <w:rFonts w:ascii="Times New Roman" w:cs="Times New Roman" w:hAnsi="Times New Roman"/>
        </w:rPr>
        <w:t>, L. (2024). Accountability in artificial intelligence: What it is and how it works. AI &amp; Society, 39(1), 293–303. https://doi.org/10.1007/s00146-022-01536-2</w:t>
      </w:r>
    </w:p>
    <w:p w14:paraId="695F0A4D">
      <w:pPr>
        <w:pStyle w:val="style0"/>
        <w:spacing w:after="0" w:lineRule="auto" w:line="276"/>
        <w:ind w:left="720" w:hanging="720"/>
        <w:jc w:val="both"/>
        <w:rPr>
          <w:rFonts w:ascii="Times New Roman" w:cs="Times New Roman" w:hAnsi="Times New Roman"/>
        </w:rPr>
      </w:pPr>
      <w:r>
        <w:rPr>
          <w:rFonts w:ascii="Times New Roman" w:cs="Times New Roman" w:hAnsi="Times New Roman"/>
        </w:rPr>
        <w:t>OECD. (2023). OECD AI principles overview. OECD.AI Policy Observatory. https://oecd.ai/en/ai-principles</w:t>
      </w:r>
    </w:p>
    <w:p w14:paraId="7E1B1A43">
      <w:pPr>
        <w:pStyle w:val="style0"/>
        <w:spacing w:after="0" w:lineRule="auto" w:line="276"/>
        <w:ind w:left="720" w:hanging="720"/>
        <w:jc w:val="both"/>
        <w:rPr>
          <w:rFonts w:ascii="Times New Roman" w:cs="Times New Roman" w:hAnsi="Times New Roman"/>
        </w:rPr>
      </w:pPr>
      <w:r>
        <w:rPr>
          <w:rFonts w:ascii="Times New Roman" w:cs="Times New Roman" w:hAnsi="Times New Roman"/>
        </w:rPr>
        <w:t>OECD. (2024). Governing with artificial intelligence: Opportunities, risks and recommendations for public sector AI governance. OECD Publishing. https://doi.org/10.1787/2fce4c1e-en</w:t>
      </w:r>
    </w:p>
    <w:p w14:paraId="70CB8AED">
      <w:pPr>
        <w:pStyle w:val="style0"/>
        <w:spacing w:after="0" w:lineRule="auto" w:line="276"/>
        <w:ind w:left="720" w:hanging="720"/>
        <w:jc w:val="both"/>
        <w:rPr>
          <w:rFonts w:ascii="Times New Roman" w:cs="Times New Roman" w:hAnsi="Times New Roman"/>
        </w:rPr>
      </w:pPr>
      <w:r>
        <w:rPr>
          <w:rFonts w:ascii="Times New Roman" w:cs="Times New Roman" w:hAnsi="Times New Roman"/>
        </w:rPr>
        <w:t>Paul, R. (2022). Can critical policy studies outsmart AI? Research agenda on artificial intelligence technologies and public policy. Critical Policy Studies, 16(4), 431–450. https://doi.org/10.1080/19460171.2022.2101640</w:t>
      </w:r>
    </w:p>
    <w:p w14:paraId="4B9D9969">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Perry, T., &amp; </w:t>
      </w:r>
      <w:r>
        <w:rPr>
          <w:rFonts w:ascii="Times New Roman" w:cs="Times New Roman" w:hAnsi="Times New Roman"/>
        </w:rPr>
        <w:t>Uuk</w:t>
      </w:r>
      <w:r>
        <w:rPr>
          <w:rFonts w:ascii="Times New Roman" w:cs="Times New Roman" w:hAnsi="Times New Roman"/>
        </w:rPr>
        <w:t>, R. (2022). AI governance and the policymaking process: Key considerations for reducing AI risk. Big Data and Cognitive Computing, 6(2), 26. https://doi.org/10.3390/bdcc6020026</w:t>
      </w:r>
    </w:p>
    <w:p w14:paraId="78133FF6">
      <w:pPr>
        <w:pStyle w:val="style0"/>
        <w:spacing w:after="0" w:lineRule="auto" w:line="276"/>
        <w:ind w:left="720" w:hanging="720"/>
        <w:jc w:val="both"/>
        <w:rPr>
          <w:rFonts w:ascii="Times New Roman" w:cs="Times New Roman" w:hAnsi="Times New Roman"/>
        </w:rPr>
      </w:pPr>
      <w:r>
        <w:rPr>
          <w:rFonts w:ascii="Times New Roman" w:cs="Times New Roman" w:hAnsi="Times New Roman"/>
        </w:rPr>
        <w:t>Podsakoff, P. M., MacKenzie, S. B., &amp; Podsakoff, N. P. (2024). Sources of method bias in social science research and recommendations on how to control it. Annual Review of Psychology, 63(1), 539–569. https://doi.org/10.1146/annurev-psych-120710-100452</w:t>
      </w:r>
    </w:p>
    <w:p w14:paraId="1589B303">
      <w:pPr>
        <w:pStyle w:val="style0"/>
        <w:spacing w:after="0" w:lineRule="auto" w:line="276"/>
        <w:ind w:left="720" w:hanging="720"/>
        <w:jc w:val="both"/>
        <w:rPr>
          <w:rFonts w:ascii="Times New Roman" w:cs="Times New Roman" w:hAnsi="Times New Roman"/>
        </w:rPr>
      </w:pPr>
      <w:r>
        <w:rPr>
          <w:rFonts w:ascii="Times New Roman" w:cs="Times New Roman" w:hAnsi="Times New Roman"/>
        </w:rPr>
        <w:t>Ringle, C. M., Sarstedt, M., Sinkovics, N., &amp; Sinkovics, R. R. (2023). A perspective on using partial least squares structural equation modelling in data articles. Data in Brief, 48, 109074. https://doi.org/10.1016/j.dib.2023.109074</w:t>
      </w:r>
    </w:p>
    <w:p w14:paraId="5EA52A44">
      <w:pPr>
        <w:pStyle w:val="style0"/>
        <w:spacing w:after="0" w:lineRule="auto" w:line="276"/>
        <w:ind w:left="720" w:hanging="720"/>
        <w:jc w:val="both"/>
        <w:rPr>
          <w:rFonts w:ascii="Times New Roman" w:cs="Times New Roman" w:hAnsi="Times New Roman"/>
        </w:rPr>
      </w:pPr>
      <w:r>
        <w:rPr>
          <w:rFonts w:ascii="Times New Roman" w:cs="Times New Roman" w:hAnsi="Times New Roman"/>
        </w:rPr>
        <w:t>Samigullin</w:t>
      </w:r>
      <w:r>
        <w:rPr>
          <w:rFonts w:ascii="Times New Roman" w:cs="Times New Roman" w:hAnsi="Times New Roman"/>
        </w:rPr>
        <w:t>, A., &amp; Dooley, P. (2023). Exploring AI corporate governance through the lens of dynamic capabilities. Communications of the IIMA, 21(1), 1–16. https://doi.org/10.58729/1941-6687.1559</w:t>
      </w:r>
    </w:p>
    <w:p w14:paraId="01536B0B">
      <w:pPr>
        <w:pStyle w:val="style0"/>
        <w:spacing w:after="0" w:lineRule="auto" w:line="276"/>
        <w:ind w:left="720" w:hanging="720"/>
        <w:jc w:val="both"/>
        <w:rPr>
          <w:rFonts w:ascii="Times New Roman" w:cs="Times New Roman" w:hAnsi="Times New Roman"/>
        </w:rPr>
      </w:pPr>
      <w:r>
        <w:rPr>
          <w:rFonts w:ascii="Times New Roman" w:cs="Times New Roman" w:hAnsi="Times New Roman"/>
        </w:rPr>
        <w:t>Sun, T. Q., &amp; Medaglia, R. (2022). Mapping the challenges of artificial intelligence in the public sector: Evidence from public healthcare. Government Information Quarterly, 36(2), 368–383. https://doi.org/10.1016/j.giq.2018.09.008</w:t>
      </w:r>
    </w:p>
    <w:p w14:paraId="783E2D87">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Tan, E., Mahula, S., &amp; </w:t>
      </w:r>
      <w:r>
        <w:rPr>
          <w:rFonts w:ascii="Times New Roman" w:cs="Times New Roman" w:hAnsi="Times New Roman"/>
        </w:rPr>
        <w:t>Crompvoets</w:t>
      </w:r>
      <w:r>
        <w:rPr>
          <w:rFonts w:ascii="Times New Roman" w:cs="Times New Roman" w:hAnsi="Times New Roman"/>
        </w:rPr>
        <w:t>, J. (2022). Blockchain governance in the public sector: A conceptual framework for public management. Government Information Quarterly, 39(1), 101625. https://doi.org/10.1016/j.giq.2021.101625</w:t>
      </w:r>
    </w:p>
    <w:p w14:paraId="04659E84">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Teece, D. J. (2007). Explicating dynamic capabilities: The nature and </w:t>
      </w:r>
      <w:r>
        <w:rPr>
          <w:rFonts w:ascii="Times New Roman" w:cs="Times New Roman" w:hAnsi="Times New Roman"/>
        </w:rPr>
        <w:t>microfoundations</w:t>
      </w:r>
      <w:r>
        <w:rPr>
          <w:rFonts w:ascii="Times New Roman" w:cs="Times New Roman" w:hAnsi="Times New Roman"/>
        </w:rPr>
        <w:t xml:space="preserve"> of sustainable enterprise performance. Strategic Management Journal, 28(13), 1319–1350. https://doi.org/10.1002/smj.640</w:t>
      </w:r>
    </w:p>
    <w:p w14:paraId="497EE061">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Teece, D. J., Pisano, G., &amp; </w:t>
      </w:r>
      <w:r>
        <w:rPr>
          <w:rFonts w:ascii="Times New Roman" w:cs="Times New Roman" w:hAnsi="Times New Roman"/>
        </w:rPr>
        <w:t>Shuen</w:t>
      </w:r>
      <w:r>
        <w:rPr>
          <w:rFonts w:ascii="Times New Roman" w:cs="Times New Roman" w:hAnsi="Times New Roman"/>
        </w:rPr>
        <w:t>, A. (1997). Dynamic capabilities and strategic management. Strategic Management Journal, 18(7), 509–533. https://doi.org/10.1002/(SICI)1097-0266(199708)18:7&lt;</w:t>
      </w:r>
      <w:r>
        <w:rPr>
          <w:rFonts w:ascii="Times New Roman" w:cs="Times New Roman" w:hAnsi="Times New Roman"/>
        </w:rPr>
        <w:t>509::</w:t>
      </w:r>
      <w:r>
        <w:rPr>
          <w:rFonts w:ascii="Times New Roman" w:cs="Times New Roman" w:hAnsi="Times New Roman"/>
        </w:rPr>
        <w:t>AID-SMJ882&gt;3.0.CO;2-Z</w:t>
      </w:r>
    </w:p>
    <w:p w14:paraId="2372CC72">
      <w:pPr>
        <w:pStyle w:val="style0"/>
        <w:spacing w:after="0" w:lineRule="auto" w:line="276"/>
        <w:ind w:left="720" w:hanging="720"/>
        <w:jc w:val="both"/>
        <w:rPr>
          <w:rFonts w:ascii="Times New Roman" w:cs="Times New Roman" w:hAnsi="Times New Roman"/>
        </w:rPr>
      </w:pPr>
      <w:r>
        <w:rPr>
          <w:rFonts w:ascii="Times New Roman" w:cs="Times New Roman" w:hAnsi="Times New Roman"/>
        </w:rPr>
        <w:t>Valle-Cruz, D., Criado, J. I., Sandoval-Almazan, R., &amp; Ruvalcaba-Gomez, E. A. (2022). Assessing the public policy-cycle framework in the age of artificial intelligence: From agenda-setting to policy evaluation. Government Information Quarterly, 39(2), 101682. https://doi.org/10.1016/j.giq.2022.101682</w:t>
      </w:r>
    </w:p>
    <w:p w14:paraId="0619F7C7">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Veale, M., &amp; </w:t>
      </w:r>
      <w:r>
        <w:rPr>
          <w:rFonts w:ascii="Times New Roman" w:cs="Times New Roman" w:hAnsi="Times New Roman"/>
        </w:rPr>
        <w:t>Borgesius</w:t>
      </w:r>
      <w:r>
        <w:rPr>
          <w:rFonts w:ascii="Times New Roman" w:cs="Times New Roman" w:hAnsi="Times New Roman"/>
        </w:rPr>
        <w:t>, F. Z. (2021). Demystifying the Draft EU Artificial Intelligence Act. Computer Law Review International, 22(4), 97–112. https://doi.org/10.9785/cri-2021-220402</w:t>
      </w:r>
    </w:p>
    <w:p w14:paraId="2D432FE9">
      <w:pPr>
        <w:pStyle w:val="style0"/>
        <w:spacing w:after="0" w:lineRule="auto" w:line="276"/>
        <w:ind w:left="720" w:hanging="720"/>
        <w:jc w:val="both"/>
        <w:rPr>
          <w:rFonts w:ascii="Times New Roman" w:cs="Times New Roman" w:hAnsi="Times New Roman"/>
        </w:rPr>
      </w:pPr>
      <w:r>
        <w:rPr>
          <w:rFonts w:ascii="Times New Roman" w:cs="Times New Roman" w:hAnsi="Times New Roman"/>
        </w:rPr>
        <w:t xml:space="preserve">Wirtz, B. W., </w:t>
      </w:r>
      <w:r>
        <w:rPr>
          <w:rFonts w:ascii="Times New Roman" w:cs="Times New Roman" w:hAnsi="Times New Roman"/>
        </w:rPr>
        <w:t>Weyerer</w:t>
      </w:r>
      <w:r>
        <w:rPr>
          <w:rFonts w:ascii="Times New Roman" w:cs="Times New Roman" w:hAnsi="Times New Roman"/>
        </w:rPr>
        <w:t>, J. C., &amp; Sturm, B. J. (2023). The dark sides of artificial intelligence: An integrated AI governance framework for public administration. International Journal of Public Administration, 46(7), 521–536. https://doi.org/10.1080/01900692.2021.1939379</w:t>
      </w:r>
    </w:p>
    <w:p w14:paraId="0591D457">
      <w:pPr>
        <w:pStyle w:val="style0"/>
        <w:spacing w:after="0" w:lineRule="auto" w:line="276"/>
        <w:ind w:left="720" w:hanging="720"/>
        <w:jc w:val="both"/>
        <w:rPr>
          <w:rFonts w:ascii="Times New Roman" w:cs="Times New Roman" w:hAnsi="Times New Roman"/>
        </w:rPr>
      </w:pPr>
      <w:r>
        <w:rPr>
          <w:rFonts w:ascii="Times New Roman" w:cs="Times New Roman" w:hAnsi="Times New Roman"/>
        </w:rPr>
        <w:t>World Bank. (2023). Artificial intelligence in the public sector: Opportunities and challenges for developing countries. World Bank Publications. https://doi.org/10.1596/978-1-4648-1890-4</w:t>
      </w:r>
    </w:p>
    <w:p w14:paraId="468BC726">
      <w:pPr>
        <w:pStyle w:val="style0"/>
        <w:spacing w:after="0" w:lineRule="auto" w:line="276"/>
        <w:ind w:left="720" w:hanging="720"/>
        <w:jc w:val="both"/>
        <w:rPr>
          <w:rFonts w:ascii="Times New Roman" w:cs="Times New Roman" w:hAnsi="Times New Roman"/>
        </w:rPr>
      </w:pPr>
      <w:r>
        <w:rPr>
          <w:rFonts w:ascii="Times New Roman" w:cs="Times New Roman" w:hAnsi="Times New Roman"/>
        </w:rPr>
        <w:t>Xavier, F. C. (2026). Governing frontier general-purpose AI in the public sector: adaptive risk management and policy capacity under uncertainty through 2030. </w:t>
      </w:r>
      <w:r>
        <w:rPr>
          <w:rFonts w:ascii="Times New Roman" w:cs="Times New Roman" w:hAnsi="Times New Roman"/>
          <w:i/>
          <w:iCs/>
        </w:rPr>
        <w:t>arXiv</w:t>
      </w:r>
      <w:r>
        <w:rPr>
          <w:rFonts w:ascii="Times New Roman" w:cs="Times New Roman" w:hAnsi="Times New Roman"/>
          <w:i/>
          <w:iCs/>
        </w:rPr>
        <w:t xml:space="preserve"> preprint arXiv:2604.06215</w:t>
      </w:r>
      <w:r>
        <w:rPr>
          <w:rFonts w:ascii="Times New Roman" w:cs="Times New Roman" w:hAnsi="Times New Roman"/>
        </w:rPr>
        <w:t xml:space="preserve">. </w:t>
      </w:r>
    </w:p>
    <w:p w14:paraId="540502C7">
      <w:pPr>
        <w:pStyle w:val="style0"/>
        <w:spacing w:after="0" w:lineRule="auto" w:line="276"/>
        <w:ind w:left="720" w:hanging="720"/>
        <w:jc w:val="both"/>
        <w:rPr>
          <w:rFonts w:ascii="Times New Roman" w:cs="Times New Roman" w:hAnsi="Times New Roman"/>
        </w:rPr>
      </w:pPr>
      <w:r>
        <w:rPr>
          <w:rFonts w:ascii="Times New Roman" w:cs="Times New Roman" w:hAnsi="Times New Roman"/>
        </w:rPr>
        <w:t>Yang, J. T., &amp; Goldsmith, S. (2024). AI and the transformation of accountability and discretion in urban governance. Journal of Urban Affairs, 46(3), 1–20. https://doi.org/10.1080/07352166.2023.2198415</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ptos">
    <w:altName w:val="Aptos"/>
    <w:panose1 w:val="00000000000000000000"/>
    <w:charset w:val="00"/>
    <w:family w:val="swiss"/>
    <w:pitch w:val="variable"/>
    <w:sig w:usb0="20000287" w:usb1="00000003" w:usb2="00000000" w:usb3="00000000" w:csb0="0000019F" w:csb1="00000000"/>
  </w:font>
  <w:font w:name="Arial">
    <w:altName w:val="Arial"/>
    <w:panose1 w:val="020b0604020002020204"/>
    <w:charset w:val="00"/>
    <w:family w:val="swiss"/>
    <w:pitch w:val="variable"/>
    <w:sig w:usb0="E0002EFF" w:usb1="C000785B" w:usb2="00000009" w:usb3="00000000" w:csb0="000001FF" w:csb1="00000000"/>
  </w:font>
  <w:font w:name="Aptos Display">
    <w:altName w:val="Aptos Display"/>
    <w:panose1 w:val="00000000000000000000"/>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85C03B8"/>
    <w:lvl w:ilvl="0" w:tplc="10000015">
      <w:start w:val="1"/>
      <w:numFmt w:val="upp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cs="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cs="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cs="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8222F5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D1B21AC0"/>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cs="Courier New" w:hAnsi="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cs="Courier New" w:hAnsi="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cs="Courier New" w:hAnsi="Courier New" w:hint="default"/>
      </w:rPr>
    </w:lvl>
    <w:lvl w:ilvl="8" w:tplc="1000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Arial"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Times New Roman"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Times New Roman"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7179891-217d-472a-a1de-e177f3aa7714"/>
    <w:basedOn w:val="style65"/>
    <w:next w:val="style4097"/>
    <w:link w:val="style1"/>
    <w:uiPriority w:val="9"/>
    <w:rPr>
      <w:rFonts w:ascii="Aptos Display" w:cs="Times New Roman" w:eastAsia="宋体" w:hAnsi="Aptos Display"/>
      <w:color w:val="0f4761"/>
      <w:sz w:val="40"/>
      <w:szCs w:val="40"/>
    </w:rPr>
  </w:style>
  <w:style w:type="character" w:customStyle="1" w:styleId="style4098">
    <w:name w:val="Heading 2 Char_4af144e2-96c4-4a81-96b7-24af2cd78842"/>
    <w:basedOn w:val="style65"/>
    <w:next w:val="style4098"/>
    <w:link w:val="style2"/>
    <w:uiPriority w:val="9"/>
    <w:rPr>
      <w:rFonts w:ascii="Aptos Display" w:cs="Times New Roman" w:eastAsia="宋体" w:hAnsi="Aptos Display"/>
      <w:color w:val="0f4761"/>
      <w:sz w:val="32"/>
      <w:szCs w:val="32"/>
    </w:rPr>
  </w:style>
  <w:style w:type="character" w:customStyle="1" w:styleId="style4099">
    <w:name w:val="Heading 3 Char_d7620ed6-4ee8-4077-86ae-23ca94fbf3f8"/>
    <w:basedOn w:val="style65"/>
    <w:next w:val="style4099"/>
    <w:link w:val="style3"/>
    <w:uiPriority w:val="9"/>
    <w:rPr>
      <w:rFonts w:cs="Times New Roman" w:eastAsia="宋体"/>
      <w:color w:val="0f4761"/>
      <w:sz w:val="28"/>
      <w:szCs w:val="28"/>
    </w:rPr>
  </w:style>
  <w:style w:type="character" w:customStyle="1" w:styleId="style4100">
    <w:name w:val="Heading 4 Char_73543d55-3899-49ff-9515-7143a1a25022"/>
    <w:basedOn w:val="style65"/>
    <w:next w:val="style4100"/>
    <w:link w:val="style4"/>
    <w:uiPriority w:val="9"/>
    <w:rPr>
      <w:rFonts w:cs="Times New Roman" w:eastAsia="宋体"/>
      <w:i/>
      <w:iCs/>
      <w:color w:val="0f4761"/>
    </w:rPr>
  </w:style>
  <w:style w:type="character" w:customStyle="1" w:styleId="style4101">
    <w:name w:val="Heading 5 Char_190d3c8d-ee66-4d4f-9e16-8005a6d0b8d1"/>
    <w:basedOn w:val="style65"/>
    <w:next w:val="style4101"/>
    <w:link w:val="style5"/>
    <w:uiPriority w:val="9"/>
    <w:rPr>
      <w:rFonts w:cs="Times New Roman" w:eastAsia="宋体"/>
      <w:color w:val="0f4761"/>
    </w:rPr>
  </w:style>
  <w:style w:type="character" w:customStyle="1" w:styleId="style4102">
    <w:name w:val="Heading 6 Char_745b55b9-4b4b-4262-a306-d9dd0676dbe7"/>
    <w:basedOn w:val="style65"/>
    <w:next w:val="style4102"/>
    <w:link w:val="style6"/>
    <w:uiPriority w:val="9"/>
    <w:rPr>
      <w:rFonts w:cs="Times New Roman" w:eastAsia="宋体"/>
      <w:i/>
      <w:iCs/>
      <w:color w:val="595959"/>
    </w:rPr>
  </w:style>
  <w:style w:type="character" w:customStyle="1" w:styleId="style4103">
    <w:name w:val="Heading 7 Char_5fbd8cdc-1fa5-44e2-981a-b4d6a7be79d8"/>
    <w:basedOn w:val="style65"/>
    <w:next w:val="style4103"/>
    <w:link w:val="style7"/>
    <w:uiPriority w:val="9"/>
    <w:rPr>
      <w:rFonts w:cs="Times New Roman" w:eastAsia="宋体"/>
      <w:color w:val="595959"/>
    </w:rPr>
  </w:style>
  <w:style w:type="character" w:customStyle="1" w:styleId="style4104">
    <w:name w:val="Heading 8 Char_3739c6ce-c22b-43ec-bdc5-91980938b1ba"/>
    <w:basedOn w:val="style65"/>
    <w:next w:val="style4104"/>
    <w:link w:val="style8"/>
    <w:uiPriority w:val="9"/>
    <w:rPr>
      <w:rFonts w:cs="Times New Roman" w:eastAsia="宋体"/>
      <w:i/>
      <w:iCs/>
      <w:color w:val="272727"/>
    </w:rPr>
  </w:style>
  <w:style w:type="character" w:customStyle="1" w:styleId="style4105">
    <w:name w:val="Heading 9 Char_bc12ba32-a59d-4522-8d17-096e98c30b5e"/>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Times New Roman" w:eastAsia="宋体" w:hAnsi="Aptos Display"/>
      <w:spacing w:val="-10"/>
      <w:kern w:val="28"/>
      <w:sz w:val="56"/>
      <w:szCs w:val="56"/>
    </w:rPr>
  </w:style>
  <w:style w:type="character" w:customStyle="1" w:styleId="style4106">
    <w:name w:val="Title Char_1475dae2-adf7-41e9-a31a-7491d7203278"/>
    <w:basedOn w:val="style65"/>
    <w:next w:val="style4106"/>
    <w:link w:val="style62"/>
    <w:uiPriority w:val="10"/>
    <w:rPr>
      <w:rFonts w:ascii="Aptos Display" w:cs="Times New Roman"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Subtitle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a82b04ed-918b-48b4-9172-3e8c3b92d640"/>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8a68ba5d-5d3b-4976-8774-475e0d0ccb9c"/>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character" w:styleId="style85">
    <w:name w:val="Hyperlink"/>
    <w:basedOn w:val="style65"/>
    <w:next w:val="style85"/>
    <w:uiPriority w:val="99"/>
    <w:rPr>
      <w:color w:val="467886"/>
      <w:u w:val="single"/>
    </w:rPr>
  </w:style>
  <w:style w:type="character" w:customStyle="1" w:styleId="style4110">
    <w:name w:val="Unresolved Mention"/>
    <w:basedOn w:val="style65"/>
    <w:next w:val="style4110"/>
    <w:uiPriority w:val="99"/>
    <w:rPr>
      <w:color w:val="605e5c"/>
      <w:shd w:val="clear" w:color="auto" w:fill="e1dfdd"/>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11">
    <w:name w:val="Table Grid1"/>
    <w:basedOn w:val="style105"/>
    <w:next w:val="style154"/>
    <w:uiPriority w:val="39"/>
    <w:pPr>
      <w:spacing w:after="0" w:lineRule="auto" w:line="24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43">
    <w:name w:val="endnote text"/>
    <w:basedOn w:val="style0"/>
    <w:next w:val="style43"/>
    <w:link w:val="style4112"/>
    <w:uiPriority w:val="99"/>
    <w:pPr>
      <w:spacing w:after="0" w:lineRule="auto" w:line="240"/>
    </w:pPr>
    <w:rPr>
      <w:sz w:val="20"/>
      <w:szCs w:val="20"/>
    </w:rPr>
  </w:style>
  <w:style w:type="character" w:customStyle="1" w:styleId="style4112">
    <w:name w:val="Endnote Text Char"/>
    <w:basedOn w:val="style65"/>
    <w:next w:val="style4112"/>
    <w:link w:val="style43"/>
    <w:uiPriority w:val="99"/>
    <w:rPr>
      <w:sz w:val="20"/>
      <w:szCs w:val="20"/>
    </w:rPr>
  </w:style>
  <w:style w:type="character" w:styleId="style42">
    <w:name w:val="endnote reference"/>
    <w:basedOn w:val="style65"/>
    <w:next w:val="style42"/>
    <w:uiPriority w:val="99"/>
    <w:rPr>
      <w:vertAlign w:val="superscript"/>
    </w:rPr>
  </w:style>
  <w:style w:type="paragraph" w:styleId="style94">
    <w:name w:val="Normal (Web)"/>
    <w:basedOn w:val="style0"/>
    <w:next w:val="style94"/>
    <w:uiPriority w:val="99"/>
    <w:pPr/>
    <w:rPr>
      <w:rFonts w:ascii="Times New Roman" w:cs="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5C982-7AD1-485D-9238-57756D1A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Words>11750</Words>
  <Pages>31</Pages>
  <Characters>81259</Characters>
  <Application>WPS Office</Application>
  <DocSecurity>0</DocSecurity>
  <Paragraphs>747</Paragraphs>
  <ScaleCrop>false</ScaleCrop>
  <LinksUpToDate>false</LinksUpToDate>
  <CharactersWithSpaces>92399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2026-06-01T20:49:00Z</dcterms:created>
  <dc:creator>F25-1262 IK Jadoon</dc:creator>
  <lastModifiedBy>Infinix X6833B</lastModifiedBy>
  <dcterms:modified xsi:type="dcterms:W3CDTF">2026-06-06T06:41:59Z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aee3b884817b433fb89142685a9e51f7_23</vt:lpwstr>
  </property>
</Properties>
</file>