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67A" w:rsidRPr="001E6BDA" w:rsidRDefault="00D6267A" w:rsidP="00616D8C">
      <w:pPr>
        <w:pStyle w:val="NormalWeb"/>
        <w:spacing w:before="0" w:beforeAutospacing="0" w:after="0" w:afterAutospacing="0" w:line="360" w:lineRule="auto"/>
        <w:ind w:left="720" w:firstLine="720"/>
        <w:jc w:val="both"/>
        <w:rPr>
          <w:b/>
        </w:rPr>
      </w:pPr>
      <w:r w:rsidRPr="001E6BDA">
        <w:rPr>
          <w:b/>
        </w:rPr>
        <w:t xml:space="preserve">Internal Audit and Efficient Service Delivery of GBEs in Nigeria </w:t>
      </w:r>
    </w:p>
    <w:p w:rsidR="001E6BDA" w:rsidRDefault="001E6BDA" w:rsidP="003E3361">
      <w:pPr>
        <w:pStyle w:val="NormalWeb"/>
        <w:spacing w:before="0" w:beforeAutospacing="0" w:after="0" w:afterAutospacing="0" w:line="360" w:lineRule="auto"/>
        <w:jc w:val="both"/>
      </w:pPr>
    </w:p>
    <w:p w:rsidR="001E6BDA" w:rsidRDefault="001E6BDA" w:rsidP="003E3361">
      <w:pPr>
        <w:pStyle w:val="NormalWeb"/>
        <w:spacing w:before="0" w:beforeAutospacing="0" w:after="0" w:afterAutospacing="0" w:line="360" w:lineRule="auto"/>
        <w:jc w:val="both"/>
      </w:pPr>
    </w:p>
    <w:p w:rsidR="001E6BDA" w:rsidRPr="001E6BDA" w:rsidRDefault="001E6BDA" w:rsidP="003E3361">
      <w:pPr>
        <w:pStyle w:val="NormalWeb"/>
        <w:spacing w:before="0" w:beforeAutospacing="0" w:after="0" w:afterAutospacing="0" w:line="360" w:lineRule="auto"/>
        <w:jc w:val="both"/>
        <w:rPr>
          <w:i/>
        </w:rPr>
      </w:pPr>
      <w:proofErr w:type="spellStart"/>
      <w:r>
        <w:t/>
      </w:r>
      <w:proofErr w:type="spellEnd"/>
      <w:r>
        <w:t xml:space="preserve"/>
      </w:r>
      <w:proofErr w:type="spellStart"/>
      <w:r>
        <w:t/>
      </w:r>
      <w:proofErr w:type="spellEnd"/>
      <w:r>
        <w:t xml:space="preserve"/>
      </w:r>
      <w:r>
        <w:tab/>
      </w:r>
      <w:r>
        <w:tab/>
      </w:r>
      <w:r>
        <w:tab/>
      </w:r>
      <w:r>
        <w:tab/>
      </w:r>
      <w:r>
        <w:tab/>
      </w:r>
      <w:r>
        <w:tab/>
      </w:r>
      <w:r>
        <w:tab/>
      </w:r>
      <w:r>
        <w:tab/>
        <w:t xml:space="preserve"/>
      </w:r>
      <w:r w:rsidRPr="001E6BDA">
        <w:rPr>
          <w:i/>
        </w:rPr>
        <w:t xml:space="preserve"/>
      </w:r>
      <w:r w:rsidRPr="001E6BDA">
        <w:rPr>
          <w:i/>
        </w:rPr>
        <w:tab/>
      </w:r>
      <w:r w:rsidRPr="001E6BDA">
        <w:rPr>
          <w:i/>
        </w:rPr>
        <w:tab/>
      </w:r>
      <w:r w:rsidRPr="001E6BDA">
        <w:rPr>
          <w:i/>
        </w:rPr>
        <w:tab/>
      </w:r>
      <w:r w:rsidRPr="001E6BDA">
        <w:rPr>
          <w:i/>
        </w:rPr>
        <w:tab/>
        <w:t xml:space="preserve"/>
      </w:r>
      <w:hyperlink r:id="rId5" w:history="1">
        <w:r w:rsidRPr="001E6BDA">
          <w:rPr>
            <w:rStyle w:val="Hyperlink"/>
            <w:i/>
          </w:rPr>
          <w:t/>
        </w:r>
      </w:hyperlink>
      <w:r w:rsidRPr="001E6BDA">
        <w:rPr>
          <w:i/>
        </w:rPr>
        <w:t xml:space="preserve"/>
      </w:r>
      <w:bookmarkStart w:id="0" w:name="_GoBack"/>
      <w:bookmarkEnd w:id="0"/>
    </w:p>
    <w:p w:rsidR="001E6BDA" w:rsidRDefault="001E6BDA" w:rsidP="003E3361">
      <w:pPr>
        <w:pStyle w:val="NormalWeb"/>
        <w:spacing w:before="0" w:beforeAutospacing="0" w:after="0" w:afterAutospacing="0" w:line="360" w:lineRule="auto"/>
        <w:jc w:val="both"/>
      </w:pPr>
    </w:p>
    <w:p w:rsidR="001E6BDA" w:rsidRDefault="001E6BDA" w:rsidP="003E3361">
      <w:pPr>
        <w:pStyle w:val="NormalWeb"/>
        <w:spacing w:before="0" w:beforeAutospacing="0" w:after="0" w:afterAutospacing="0" w:line="360" w:lineRule="auto"/>
        <w:jc w:val="both"/>
      </w:pPr>
      <w:proofErr w:type="spellStart"/>
      <w:r>
        <w:t/>
      </w:r>
      <w:proofErr w:type="spellEnd"/>
      <w:r>
        <w:t xml:space="preserve"/>
      </w:r>
      <w:proofErr w:type="spellStart"/>
      <w:r>
        <w:t/>
      </w:r>
      <w:proofErr w:type="spellEnd"/>
      <w:r>
        <w:t/>
      </w:r>
      <w:r>
        <w:tab/>
      </w:r>
      <w:r>
        <w:tab/>
      </w:r>
      <w:r>
        <w:tab/>
      </w:r>
      <w:r>
        <w:tab/>
      </w:r>
      <w:r>
        <w:tab/>
      </w:r>
      <w:r>
        <w:tab/>
      </w:r>
      <w:r>
        <w:tab/>
      </w:r>
      <w:r>
        <w:tab/>
      </w:r>
      <w:r>
        <w:tab/>
      </w:r>
      <w:r>
        <w:tab/>
        <w:t xml:space="preserve"/>
      </w:r>
      <w:r w:rsidRPr="001E6BDA">
        <w:rPr>
          <w:i/>
        </w:rPr>
        <w:t/>
      </w:r>
      <w:r>
        <w:t/>
      </w:r>
    </w:p>
    <w:p w:rsidR="001E6BDA" w:rsidRDefault="001E6BDA" w:rsidP="001E6BDA">
      <w:pPr>
        <w:pStyle w:val="NormalWeb"/>
        <w:spacing w:before="0" w:beforeAutospacing="0" w:after="0" w:afterAutospacing="0" w:line="360" w:lineRule="auto"/>
        <w:jc w:val="both"/>
      </w:pPr>
    </w:p>
    <w:p w:rsidR="001E6BDA" w:rsidRPr="00607D74" w:rsidRDefault="001E6BDA" w:rsidP="00607D74">
      <w:pPr>
        <w:pStyle w:val="NormalWeb"/>
        <w:spacing w:before="0" w:beforeAutospacing="0" w:after="0" w:afterAutospacing="0" w:line="360" w:lineRule="auto"/>
        <w:ind w:left="2880" w:firstLine="720"/>
        <w:jc w:val="both"/>
        <w:rPr>
          <w:b/>
        </w:rPr>
      </w:pPr>
      <w:r w:rsidRPr="00607D74">
        <w:rPr>
          <w:b/>
        </w:rPr>
        <w:t>Abstract</w:t>
      </w:r>
    </w:p>
    <w:p w:rsidR="002F7F38" w:rsidRPr="00607D74" w:rsidRDefault="001E6BDA" w:rsidP="001E6BDA">
      <w:pPr>
        <w:pStyle w:val="NormalWeb"/>
        <w:spacing w:before="0" w:beforeAutospacing="0" w:after="0" w:afterAutospacing="0" w:line="360" w:lineRule="auto"/>
        <w:jc w:val="both"/>
        <w:rPr>
          <w:i/>
        </w:rPr>
      </w:pPr>
      <w:r w:rsidRPr="00607D74">
        <w:rPr>
          <w:i/>
        </w:rPr>
        <w:t xml:space="preserve">Despite the existence of internal audit practices, inefficient performance is fast becoming the hallmark of the Nigeria Government Business Enterprises (GBEs). </w:t>
      </w:r>
      <w:r w:rsidR="002F7F38" w:rsidRPr="00607D74">
        <w:rPr>
          <w:i/>
        </w:rPr>
        <w:t>This study</w:t>
      </w:r>
      <w:r w:rsidRPr="00607D74">
        <w:rPr>
          <w:i/>
        </w:rPr>
        <w:t xml:space="preserve"> therefore</w:t>
      </w:r>
      <w:r w:rsidR="002F7F38" w:rsidRPr="00607D74">
        <w:rPr>
          <w:i/>
        </w:rPr>
        <w:t xml:space="preserve"> examined the effect of internal audit practices </w:t>
      </w:r>
      <w:r w:rsidRPr="00607D74">
        <w:rPr>
          <w:i/>
        </w:rPr>
        <w:t>on efficient service delivery of</w:t>
      </w:r>
      <w:r w:rsidR="00607D74" w:rsidRPr="00607D74">
        <w:rPr>
          <w:i/>
        </w:rPr>
        <w:t xml:space="preserve"> GBEs</w:t>
      </w:r>
      <w:r w:rsidR="002F7F38" w:rsidRPr="00607D74">
        <w:rPr>
          <w:i/>
        </w:rPr>
        <w:t xml:space="preserve"> in Ogun State, Nigeria. Anchored on Contingency Theory, the study investigated three</w:t>
      </w:r>
      <w:r w:rsidR="00607D74" w:rsidRPr="00607D74">
        <w:rPr>
          <w:i/>
        </w:rPr>
        <w:t xml:space="preserve"> dimensions of internal audit: </w:t>
      </w:r>
      <w:r w:rsidR="002F7F38" w:rsidRPr="00607D74">
        <w:rPr>
          <w:i/>
        </w:rPr>
        <w:t>auditor independence, auditor compe</w:t>
      </w:r>
      <w:r w:rsidR="00607D74" w:rsidRPr="00607D74">
        <w:rPr>
          <w:i/>
        </w:rPr>
        <w:t xml:space="preserve">tency, and management support </w:t>
      </w:r>
      <w:r w:rsidR="002F7F38" w:rsidRPr="00607D74">
        <w:rPr>
          <w:i/>
        </w:rPr>
        <w:t>as determinants of cost-efficient service delivery. A survey research design was adopted, targeting a population of 2,235 personnel across fifteen GBEs in Ogun State. Using Yamane's formula, a sample of 340 respondents comprising internal auditors, finance officers, and managers was drawn through simple random sampling, achieving a 96.5% usable response rate. Data were analyzed using Partial Least Squares Structural Equation Modelling (PLS-SEM). Findings revealed that auditor independence (β = 0.298, p &lt; 0.05), auditor competency (β = 0.231, p &lt; 0.05), and management support (β = 0.216, p &lt; 0.05) all exert positive and statistically significant effects on efficient service delivery, with auditor independence emerging as the strongest predictor. The model explained 28.6% of the variance in service delivery efficiency. The study concludes that strengthening internal audit practices through enhanced independence, continuous professional development, and robust management support is critical to improving public service outcomes in Nigerian GBEs.</w:t>
      </w:r>
    </w:p>
    <w:p w:rsidR="00D6267A" w:rsidRDefault="002F7F38" w:rsidP="002F7F38">
      <w:pPr>
        <w:pStyle w:val="NormalWeb"/>
        <w:spacing w:before="0" w:beforeAutospacing="0" w:after="0" w:afterAutospacing="0" w:line="360" w:lineRule="auto"/>
        <w:jc w:val="both"/>
      </w:pPr>
      <w:r w:rsidRPr="00607D74">
        <w:rPr>
          <w:b/>
        </w:rPr>
        <w:t>Keywords:</w:t>
      </w:r>
      <w:r>
        <w:t xml:space="preserve"> Internal audit, auditor independence, auditor competency, management support, service delivery, government business enterprises, Nigeria</w:t>
      </w:r>
    </w:p>
    <w:p w:rsidR="00607D74" w:rsidRDefault="00607D74" w:rsidP="003E3361">
      <w:pPr>
        <w:pStyle w:val="NormalWeb"/>
        <w:spacing w:before="0" w:beforeAutospacing="0" w:after="0" w:afterAutospacing="0" w:line="360" w:lineRule="auto"/>
        <w:jc w:val="both"/>
        <w:rPr>
          <w:b/>
        </w:rPr>
      </w:pPr>
    </w:p>
    <w:p w:rsidR="00D6267A" w:rsidRPr="00607D74" w:rsidRDefault="00D6267A" w:rsidP="003E3361">
      <w:pPr>
        <w:pStyle w:val="NormalWeb"/>
        <w:spacing w:before="0" w:beforeAutospacing="0" w:after="0" w:afterAutospacing="0" w:line="360" w:lineRule="auto"/>
        <w:jc w:val="both"/>
        <w:rPr>
          <w:b/>
        </w:rPr>
      </w:pPr>
      <w:r w:rsidRPr="00607D74">
        <w:rPr>
          <w:b/>
        </w:rPr>
        <w:lastRenderedPageBreak/>
        <w:t>1.1</w:t>
      </w:r>
      <w:r w:rsidRPr="00607D74">
        <w:rPr>
          <w:b/>
        </w:rPr>
        <w:tab/>
        <w:t>Introduction</w:t>
      </w:r>
    </w:p>
    <w:p w:rsidR="00D6267A" w:rsidRDefault="003E3361" w:rsidP="00D6267A">
      <w:pPr>
        <w:pStyle w:val="NormalWeb"/>
        <w:spacing w:before="0" w:beforeAutospacing="0" w:after="0" w:afterAutospacing="0" w:line="360" w:lineRule="auto"/>
        <w:jc w:val="both"/>
      </w:pPr>
      <w:r w:rsidRPr="00B4655B">
        <w:t xml:space="preserve">Globally, </w:t>
      </w:r>
      <w:r>
        <w:t xml:space="preserve">efficient </w:t>
      </w:r>
      <w:r w:rsidR="00D6267A">
        <w:t xml:space="preserve">service delivery </w:t>
      </w:r>
      <w:r w:rsidRPr="00B4655B">
        <w:t>in government business en</w:t>
      </w:r>
      <w:r w:rsidR="00607D74">
        <w:t>terprises represents a critical</w:t>
      </w:r>
      <w:r w:rsidR="00931714">
        <w:t xml:space="preserve"> </w:t>
      </w:r>
      <w:r w:rsidRPr="00B4655B">
        <w:t>cornerstone of economic development and public service delivery in any nation. In developing countries, government business organization</w:t>
      </w:r>
      <w:r>
        <w:t>s</w:t>
      </w:r>
      <w:r w:rsidRPr="00B4655B">
        <w:t xml:space="preserve"> provide the essential services and these establishment are critical to the nation’s economic wellbeing. In Nigeria, with the complex federal structure and vast land mass with abundance resources, network of government-owned enterprises spanning sectors from oil and gas to telecommunications and utilities hold the imperative status of the country economy. These GBEs are the drivers of the economy with entities such as Nigerian National Petroleum Corporation (NNPC), Power Holding Company of Nigeria (PHCN)</w:t>
      </w:r>
      <w:r>
        <w:t xml:space="preserve"> at the federal level</w:t>
      </w:r>
      <w:r w:rsidRPr="00B4655B">
        <w:t xml:space="preserve">, and numerous state-owned enterprises, collectively manage billions of naira in public </w:t>
      </w:r>
      <w:r>
        <w:t>fund</w:t>
      </w:r>
      <w:r w:rsidRPr="00B4655B">
        <w:t>. These enterprises serve dual purposes: generating revenue for government coffers while delivering essential services to citizens. However, the effectiveness of their financial management systems has been a subject of ongoing debate, with internal audit practices emerging as a crucial determinant of performance outcomes (Mahmoud &amp; Hassan, 2024).</w:t>
      </w:r>
    </w:p>
    <w:p w:rsidR="003E3361" w:rsidRPr="00B4655B" w:rsidRDefault="00D6267A" w:rsidP="003E3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3E3361" w:rsidRPr="00B4655B">
        <w:rPr>
          <w:rFonts w:ascii="Times New Roman" w:hAnsi="Times New Roman" w:cs="Times New Roman"/>
          <w:sz w:val="24"/>
          <w:szCs w:val="24"/>
        </w:rPr>
        <w:t>ervice deli</w:t>
      </w:r>
      <w:r>
        <w:rPr>
          <w:rFonts w:ascii="Times New Roman" w:hAnsi="Times New Roman" w:cs="Times New Roman"/>
          <w:sz w:val="24"/>
          <w:szCs w:val="24"/>
        </w:rPr>
        <w:t>very in Nigerian GBEs is an essential dimension, and</w:t>
      </w:r>
      <w:r w:rsidR="003E3361" w:rsidRPr="00B4655B">
        <w:rPr>
          <w:rFonts w:ascii="Times New Roman" w:hAnsi="Times New Roman" w:cs="Times New Roman"/>
          <w:sz w:val="24"/>
          <w:szCs w:val="24"/>
        </w:rPr>
        <w:t xml:space="preserve"> has generated a lot of abysmal scores. GBEs directly affect citizen welfare through public service delivery in aspect includes but not limited to healthcare, infrastructure and utilities. Assessing these Nigerian government organi</w:t>
      </w:r>
      <w:r w:rsidR="003E3361">
        <w:rPr>
          <w:rFonts w:ascii="Times New Roman" w:hAnsi="Times New Roman" w:cs="Times New Roman"/>
          <w:sz w:val="24"/>
          <w:szCs w:val="24"/>
        </w:rPr>
        <w:t>z</w:t>
      </w:r>
      <w:r w:rsidR="003E3361" w:rsidRPr="00B4655B">
        <w:rPr>
          <w:rFonts w:ascii="Times New Roman" w:hAnsi="Times New Roman" w:cs="Times New Roman"/>
          <w:sz w:val="24"/>
          <w:szCs w:val="24"/>
        </w:rPr>
        <w:t>ations services through economy, efficiency, and effectiveness in resource utilization revealed series of rots (</w:t>
      </w:r>
      <w:r w:rsidR="003E3361">
        <w:rPr>
          <w:rFonts w:ascii="Times New Roman" w:hAnsi="Times New Roman" w:cs="Times New Roman"/>
          <w:sz w:val="24"/>
          <w:szCs w:val="24"/>
        </w:rPr>
        <w:t>Ibrahim et al., 2022</w:t>
      </w:r>
      <w:r w:rsidR="003E3361" w:rsidRPr="00B4655B">
        <w:rPr>
          <w:rFonts w:ascii="Times New Roman" w:hAnsi="Times New Roman" w:cs="Times New Roman"/>
          <w:sz w:val="24"/>
          <w:szCs w:val="24"/>
        </w:rPr>
        <w:t xml:space="preserve">). </w:t>
      </w:r>
      <w:r w:rsidR="003E3361">
        <w:rPr>
          <w:rFonts w:ascii="Times New Roman" w:hAnsi="Times New Roman" w:cs="Times New Roman"/>
          <w:sz w:val="24"/>
          <w:szCs w:val="24"/>
        </w:rPr>
        <w:t>M</w:t>
      </w:r>
      <w:r w:rsidR="003E3361" w:rsidRPr="00B4655B">
        <w:rPr>
          <w:rFonts w:ascii="Times New Roman" w:hAnsi="Times New Roman" w:cs="Times New Roman"/>
          <w:sz w:val="24"/>
          <w:szCs w:val="24"/>
        </w:rPr>
        <w:t>isallocation of resources and procurement inefficiencies have been linked to poor infrastructure development and service disruptions. Effect of this, is felt in agricultural sector, where government keeps buying fertilizers and tractors on yearly basis, with existence of all the required resources</w:t>
      </w:r>
      <w:r w:rsidR="003E3361">
        <w:rPr>
          <w:rFonts w:ascii="Times New Roman" w:hAnsi="Times New Roman" w:cs="Times New Roman"/>
          <w:sz w:val="24"/>
          <w:szCs w:val="24"/>
        </w:rPr>
        <w:t>,</w:t>
      </w:r>
      <w:r w:rsidR="003E3361" w:rsidRPr="00B4655B">
        <w:rPr>
          <w:rFonts w:ascii="Times New Roman" w:hAnsi="Times New Roman" w:cs="Times New Roman"/>
          <w:sz w:val="24"/>
          <w:szCs w:val="24"/>
        </w:rPr>
        <w:t xml:space="preserve"> Nigeria still cannot afford to produce enough rice among other staple foods for consumption of her citizen alone. </w:t>
      </w:r>
    </w:p>
    <w:p w:rsidR="005D51C5" w:rsidRDefault="003E3361" w:rsidP="003E3361">
      <w:pPr>
        <w:spacing w:after="0" w:line="360" w:lineRule="auto"/>
        <w:jc w:val="both"/>
        <w:rPr>
          <w:rFonts w:ascii="Times New Roman" w:hAnsi="Times New Roman" w:cs="Times New Roman"/>
          <w:sz w:val="24"/>
          <w:szCs w:val="24"/>
        </w:rPr>
      </w:pPr>
      <w:r w:rsidRPr="00B4655B">
        <w:rPr>
          <w:rFonts w:ascii="Times New Roman" w:hAnsi="Times New Roman" w:cs="Times New Roman"/>
          <w:sz w:val="24"/>
          <w:szCs w:val="24"/>
        </w:rPr>
        <w:t xml:space="preserve">Internal audit practices have been recognized globally as essential components of effective organizational governance and financial management. In the context of Nigerian government business enterprises, internal audit </w:t>
      </w:r>
      <w:r w:rsidR="005D51C5">
        <w:rPr>
          <w:rFonts w:ascii="Times New Roman" w:hAnsi="Times New Roman" w:cs="Times New Roman"/>
          <w:sz w:val="24"/>
          <w:szCs w:val="24"/>
        </w:rPr>
        <w:t>assumed to performs</w:t>
      </w:r>
      <w:r w:rsidRPr="00B4655B">
        <w:rPr>
          <w:rFonts w:ascii="Times New Roman" w:hAnsi="Times New Roman" w:cs="Times New Roman"/>
          <w:sz w:val="24"/>
          <w:szCs w:val="24"/>
        </w:rPr>
        <w:t xml:space="preserve"> vital oversight role by evaluating and monitoring internal controls, financial processes, and governance frameworks. Internal audit functions serve as independent, objective assurance and consulting activities designed to add value and improve organizational operations</w:t>
      </w:r>
      <w:r w:rsidR="005D51C5">
        <w:rPr>
          <w:rFonts w:ascii="Times New Roman" w:hAnsi="Times New Roman" w:cs="Times New Roman"/>
          <w:sz w:val="24"/>
          <w:szCs w:val="24"/>
        </w:rPr>
        <w:t xml:space="preserve"> with competent personnel and management support</w:t>
      </w:r>
      <w:r w:rsidRPr="00B4655B">
        <w:rPr>
          <w:rFonts w:ascii="Times New Roman" w:hAnsi="Times New Roman" w:cs="Times New Roman"/>
          <w:sz w:val="24"/>
          <w:szCs w:val="24"/>
        </w:rPr>
        <w:t xml:space="preserve">. </w:t>
      </w:r>
    </w:p>
    <w:p w:rsidR="003E3361" w:rsidRPr="003F4CFE" w:rsidRDefault="005D51C5" w:rsidP="003F4CFE">
      <w:pPr>
        <w:spacing w:after="0" w:line="360" w:lineRule="auto"/>
        <w:jc w:val="both"/>
        <w:rPr>
          <w:rFonts w:ascii="Times New Roman" w:hAnsi="Times New Roman" w:cs="Times New Roman"/>
          <w:sz w:val="24"/>
          <w:szCs w:val="24"/>
        </w:rPr>
      </w:pPr>
      <w:r w:rsidRPr="003F4CFE">
        <w:rPr>
          <w:rFonts w:ascii="Times New Roman" w:hAnsi="Times New Roman" w:cs="Times New Roman"/>
          <w:sz w:val="24"/>
          <w:szCs w:val="24"/>
        </w:rPr>
        <w:t xml:space="preserve">However, incessant and persistence reports form national dailies and anti-corruption agency reports indicates series of  </w:t>
      </w:r>
      <w:r w:rsidR="003E3361" w:rsidRPr="003F4CFE">
        <w:rPr>
          <w:rFonts w:ascii="Times New Roman" w:hAnsi="Times New Roman" w:cs="Times New Roman"/>
          <w:sz w:val="24"/>
          <w:szCs w:val="24"/>
        </w:rPr>
        <w:t xml:space="preserve">financial mismanagement, which leads to ineffective allocation and </w:t>
      </w:r>
      <w:r w:rsidR="003E3361" w:rsidRPr="003F4CFE">
        <w:rPr>
          <w:rFonts w:ascii="Times New Roman" w:hAnsi="Times New Roman" w:cs="Times New Roman"/>
          <w:sz w:val="24"/>
          <w:szCs w:val="24"/>
        </w:rPr>
        <w:lastRenderedPageBreak/>
        <w:t>utilization of resources; resulting in delayed or substandard delivery of public services such as healthcare, infrastructure development, and utilities. Inefficient internal audits fail to identify operational bottlenecks and procurement malpractices, thereby sustaining wastage and reducing the quality and timeliness of services that directly affect citizen welfare (</w:t>
      </w:r>
      <w:proofErr w:type="spellStart"/>
      <w:r w:rsidR="003E3361" w:rsidRPr="003F4CFE">
        <w:rPr>
          <w:rFonts w:ascii="Times New Roman" w:hAnsi="Times New Roman" w:cs="Times New Roman"/>
          <w:sz w:val="24"/>
          <w:szCs w:val="24"/>
        </w:rPr>
        <w:t>Uremadu</w:t>
      </w:r>
      <w:proofErr w:type="spellEnd"/>
      <w:r w:rsidR="003E3361" w:rsidRPr="003F4CFE">
        <w:rPr>
          <w:rFonts w:ascii="Times New Roman" w:hAnsi="Times New Roman" w:cs="Times New Roman"/>
          <w:sz w:val="24"/>
          <w:szCs w:val="24"/>
        </w:rPr>
        <w:t xml:space="preserve">, 2004; </w:t>
      </w:r>
      <w:proofErr w:type="spellStart"/>
      <w:r w:rsidR="003E3361" w:rsidRPr="003F4CFE">
        <w:rPr>
          <w:rFonts w:ascii="Times New Roman" w:hAnsi="Times New Roman" w:cs="Times New Roman"/>
          <w:sz w:val="24"/>
          <w:szCs w:val="24"/>
        </w:rPr>
        <w:t>Tibyangye</w:t>
      </w:r>
      <w:proofErr w:type="spellEnd"/>
      <w:r w:rsidR="003E3361" w:rsidRPr="003F4CFE">
        <w:rPr>
          <w:rFonts w:ascii="Times New Roman" w:hAnsi="Times New Roman" w:cs="Times New Roman"/>
          <w:sz w:val="24"/>
          <w:szCs w:val="24"/>
        </w:rPr>
        <w:t xml:space="preserve"> et al., 2023).</w:t>
      </w:r>
    </w:p>
    <w:p w:rsidR="005D51C5" w:rsidRPr="003F4CFE" w:rsidRDefault="005D51C5" w:rsidP="003F4CFE">
      <w:pPr>
        <w:spacing w:after="0" w:line="360" w:lineRule="auto"/>
        <w:jc w:val="both"/>
        <w:rPr>
          <w:rFonts w:ascii="Times New Roman" w:hAnsi="Times New Roman" w:cs="Times New Roman"/>
          <w:sz w:val="24"/>
          <w:szCs w:val="24"/>
        </w:rPr>
      </w:pPr>
      <w:r w:rsidRPr="003F4CFE">
        <w:rPr>
          <w:rFonts w:ascii="Times New Roman" w:hAnsi="Times New Roman" w:cs="Times New Roman"/>
          <w:sz w:val="24"/>
          <w:szCs w:val="24"/>
        </w:rPr>
        <w:t>Therefore, there is need to empirically provide the answers to the following research Questions:</w:t>
      </w:r>
    </w:p>
    <w:p w:rsidR="005D51C5" w:rsidRPr="003F4CFE" w:rsidRDefault="007D3D11" w:rsidP="003F4CFE">
      <w:pPr>
        <w:pStyle w:val="ListParagraph"/>
        <w:numPr>
          <w:ilvl w:val="0"/>
          <w:numId w:val="4"/>
        </w:numPr>
        <w:spacing w:after="0" w:line="360" w:lineRule="auto"/>
        <w:jc w:val="both"/>
        <w:rPr>
          <w:rFonts w:ascii="Times New Roman" w:hAnsi="Times New Roman" w:cs="Times New Roman"/>
          <w:sz w:val="24"/>
          <w:szCs w:val="24"/>
        </w:rPr>
      </w:pPr>
      <w:r w:rsidRPr="003F4CFE">
        <w:rPr>
          <w:rFonts w:ascii="Times New Roman" w:hAnsi="Times New Roman" w:cs="Times New Roman"/>
          <w:sz w:val="24"/>
          <w:szCs w:val="24"/>
        </w:rPr>
        <w:t>What is the effect of</w:t>
      </w:r>
      <w:r w:rsidR="005D51C5" w:rsidRPr="003F4CFE">
        <w:rPr>
          <w:rFonts w:ascii="Times New Roman" w:hAnsi="Times New Roman" w:cs="Times New Roman"/>
          <w:sz w:val="24"/>
          <w:szCs w:val="24"/>
        </w:rPr>
        <w:t xml:space="preserve"> </w:t>
      </w:r>
      <w:r w:rsidRPr="003F4CFE">
        <w:rPr>
          <w:rFonts w:ascii="Times New Roman" w:hAnsi="Times New Roman" w:cs="Times New Roman"/>
          <w:sz w:val="24"/>
          <w:szCs w:val="24"/>
        </w:rPr>
        <w:t>auditor’s</w:t>
      </w:r>
      <w:r w:rsidR="005D51C5" w:rsidRPr="003F4CFE">
        <w:rPr>
          <w:rFonts w:ascii="Times New Roman" w:hAnsi="Times New Roman" w:cs="Times New Roman"/>
          <w:sz w:val="24"/>
          <w:szCs w:val="24"/>
        </w:rPr>
        <w:t xml:space="preserve"> independence</w:t>
      </w:r>
      <w:r w:rsidRPr="003F4CFE">
        <w:rPr>
          <w:rFonts w:ascii="Times New Roman" w:hAnsi="Times New Roman" w:cs="Times New Roman"/>
          <w:sz w:val="24"/>
          <w:szCs w:val="24"/>
        </w:rPr>
        <w:t xml:space="preserve"> on the efficient service delivery in Nigeria GBEs?</w:t>
      </w:r>
    </w:p>
    <w:p w:rsidR="003F4CFE" w:rsidRPr="003F4CFE" w:rsidRDefault="007D3D11" w:rsidP="003F4CFE">
      <w:pPr>
        <w:pStyle w:val="ListParagraph"/>
        <w:numPr>
          <w:ilvl w:val="0"/>
          <w:numId w:val="4"/>
        </w:numPr>
        <w:spacing w:after="0" w:line="360" w:lineRule="auto"/>
        <w:jc w:val="both"/>
        <w:rPr>
          <w:rFonts w:ascii="Times New Roman" w:hAnsi="Times New Roman" w:cs="Times New Roman"/>
          <w:sz w:val="24"/>
          <w:szCs w:val="24"/>
        </w:rPr>
      </w:pPr>
      <w:r w:rsidRPr="003F4CFE">
        <w:rPr>
          <w:rFonts w:ascii="Times New Roman" w:hAnsi="Times New Roman" w:cs="Times New Roman"/>
          <w:sz w:val="24"/>
          <w:szCs w:val="24"/>
        </w:rPr>
        <w:t>To what extent is the influence of auditor’s competence on the service delivery in Nigeria GBEs?</w:t>
      </w:r>
    </w:p>
    <w:p w:rsidR="007D3D11" w:rsidRPr="003F4CFE" w:rsidRDefault="007D3D11" w:rsidP="003F4CFE">
      <w:pPr>
        <w:pStyle w:val="ListParagraph"/>
        <w:numPr>
          <w:ilvl w:val="0"/>
          <w:numId w:val="4"/>
        </w:numPr>
        <w:spacing w:after="0" w:line="360" w:lineRule="auto"/>
        <w:jc w:val="both"/>
        <w:rPr>
          <w:rFonts w:ascii="Times New Roman" w:hAnsi="Times New Roman" w:cs="Times New Roman"/>
          <w:sz w:val="24"/>
          <w:szCs w:val="24"/>
        </w:rPr>
      </w:pPr>
      <w:r w:rsidRPr="003F4CFE">
        <w:rPr>
          <w:rFonts w:ascii="Times New Roman" w:hAnsi="Times New Roman" w:cs="Times New Roman"/>
          <w:sz w:val="24"/>
          <w:szCs w:val="24"/>
        </w:rPr>
        <w:t xml:space="preserve">How does the management support affect the service deliver efficiency in Nigeria GBEs? </w:t>
      </w:r>
    </w:p>
    <w:p w:rsidR="005D51C5" w:rsidRDefault="005D51C5" w:rsidP="005D51C5">
      <w:pPr>
        <w:spacing w:after="0" w:line="360" w:lineRule="auto"/>
        <w:jc w:val="both"/>
      </w:pPr>
    </w:p>
    <w:p w:rsidR="003E3361" w:rsidRPr="003F4CFE" w:rsidRDefault="007D3D11" w:rsidP="007D3D11">
      <w:pPr>
        <w:rPr>
          <w:rFonts w:ascii="Times New Roman" w:hAnsi="Times New Roman" w:cs="Times New Roman"/>
          <w:b/>
          <w:bCs/>
          <w:sz w:val="24"/>
          <w:szCs w:val="24"/>
        </w:rPr>
      </w:pPr>
      <w:r w:rsidRPr="003F4CFE">
        <w:rPr>
          <w:rFonts w:ascii="Times New Roman" w:hAnsi="Times New Roman" w:cs="Times New Roman"/>
          <w:b/>
          <w:sz w:val="24"/>
          <w:szCs w:val="24"/>
        </w:rPr>
        <w:t>2.</w:t>
      </w:r>
      <w:r w:rsidRPr="003F4CFE">
        <w:rPr>
          <w:rFonts w:ascii="Times New Roman" w:hAnsi="Times New Roman" w:cs="Times New Roman"/>
          <w:b/>
          <w:sz w:val="24"/>
          <w:szCs w:val="24"/>
        </w:rPr>
        <w:tab/>
        <w:t>Literature Review</w:t>
      </w:r>
      <w:r w:rsidR="003E3361" w:rsidRPr="003F4CFE">
        <w:rPr>
          <w:rFonts w:ascii="Times New Roman" w:hAnsi="Times New Roman" w:cs="Times New Roman"/>
          <w:b/>
          <w:bCs/>
          <w:sz w:val="24"/>
          <w:szCs w:val="24"/>
        </w:rPr>
        <w:t xml:space="preserve"> </w:t>
      </w:r>
    </w:p>
    <w:p w:rsidR="007D3D11" w:rsidRPr="002B62CE" w:rsidRDefault="00AB3179" w:rsidP="007D3D1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7D3D11" w:rsidRPr="002B62CE">
        <w:rPr>
          <w:rFonts w:ascii="Times New Roman" w:hAnsi="Times New Roman" w:cs="Times New Roman"/>
          <w:b/>
          <w:bCs/>
          <w:sz w:val="24"/>
          <w:szCs w:val="24"/>
        </w:rPr>
        <w:t xml:space="preserve">Service delivery in Nigerian Government Business Enterprises (GBEs) </w:t>
      </w:r>
    </w:p>
    <w:p w:rsidR="007D3D11" w:rsidRDefault="003E3361" w:rsidP="003E3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Service delivery </w:t>
      </w:r>
      <w:r w:rsidRPr="0050494A">
        <w:rPr>
          <w:rFonts w:ascii="Times New Roman" w:hAnsi="Times New Roman" w:cs="Times New Roman"/>
          <w:sz w:val="24"/>
          <w:szCs w:val="24"/>
        </w:rPr>
        <w:t>remains a critical yet underperforming aspect of public sector effectiveness, directly influencing citizen welfare and national development. Despite their strategic role in providing essential services such as healthcare, infrastructure, utilities, and education, GBEs in Nigeria have been plagued by inefficiencies, resource misallocation, and governance challenges that erode service quality and reliability (</w:t>
      </w:r>
      <w:proofErr w:type="spellStart"/>
      <w:r w:rsidRPr="0050494A">
        <w:rPr>
          <w:rFonts w:ascii="Times New Roman" w:hAnsi="Times New Roman" w:cs="Times New Roman"/>
          <w:sz w:val="24"/>
          <w:szCs w:val="24"/>
        </w:rPr>
        <w:t>Ariyo-Edu</w:t>
      </w:r>
      <w:proofErr w:type="spellEnd"/>
      <w:r w:rsidRPr="0050494A">
        <w:rPr>
          <w:rFonts w:ascii="Times New Roman" w:hAnsi="Times New Roman" w:cs="Times New Roman"/>
          <w:sz w:val="24"/>
          <w:szCs w:val="24"/>
        </w:rPr>
        <w:t xml:space="preserve">, 2024). </w:t>
      </w:r>
    </w:p>
    <w:p w:rsidR="003E3361" w:rsidRPr="0050494A" w:rsidRDefault="003E3361" w:rsidP="003E3361">
      <w:pPr>
        <w:spacing w:after="0" w:line="360" w:lineRule="auto"/>
        <w:jc w:val="both"/>
        <w:rPr>
          <w:rFonts w:ascii="Times New Roman" w:hAnsi="Times New Roman" w:cs="Times New Roman"/>
          <w:sz w:val="24"/>
          <w:szCs w:val="24"/>
        </w:rPr>
      </w:pPr>
      <w:r w:rsidRPr="0050494A">
        <w:rPr>
          <w:rFonts w:ascii="Times New Roman" w:hAnsi="Times New Roman" w:cs="Times New Roman"/>
          <w:sz w:val="24"/>
          <w:szCs w:val="24"/>
        </w:rPr>
        <w:t xml:space="preserve">Service delivery in the public sector broadly refers to how efficiently, effectively, and equitably public services </w:t>
      </w:r>
      <w:r w:rsidR="007D3D11">
        <w:rPr>
          <w:rFonts w:ascii="Times New Roman" w:hAnsi="Times New Roman" w:cs="Times New Roman"/>
          <w:sz w:val="24"/>
          <w:szCs w:val="24"/>
        </w:rPr>
        <w:t>are provided to citizens. In Nigeria</w:t>
      </w:r>
      <w:r w:rsidRPr="0050494A">
        <w:rPr>
          <w:rFonts w:ascii="Times New Roman" w:hAnsi="Times New Roman" w:cs="Times New Roman"/>
          <w:sz w:val="24"/>
          <w:szCs w:val="24"/>
        </w:rPr>
        <w:t>, service delivery by GBEs underpins development goals by ensuring access to critical resources and infrastructure (Thomson, 2020). However, several studies and reports indicate that these enterprises frequently fail to meet acceptable service standards due to systemic governance issues, including poor financial management, lack of accountability, and inadequate performance monitoring systems (</w:t>
      </w:r>
      <w:proofErr w:type="spellStart"/>
      <w:r w:rsidRPr="0050494A">
        <w:rPr>
          <w:rFonts w:ascii="Times New Roman" w:hAnsi="Times New Roman" w:cs="Times New Roman"/>
          <w:sz w:val="24"/>
          <w:szCs w:val="24"/>
        </w:rPr>
        <w:t>Ariyo-Edu</w:t>
      </w:r>
      <w:proofErr w:type="spellEnd"/>
      <w:r w:rsidRPr="0050494A">
        <w:rPr>
          <w:rFonts w:ascii="Times New Roman" w:hAnsi="Times New Roman" w:cs="Times New Roman"/>
          <w:sz w:val="24"/>
          <w:szCs w:val="24"/>
        </w:rPr>
        <w:t>, 2024</w:t>
      </w:r>
      <w:r>
        <w:rPr>
          <w:rFonts w:ascii="Times New Roman" w:hAnsi="Times New Roman" w:cs="Times New Roman"/>
          <w:sz w:val="24"/>
          <w:szCs w:val="24"/>
        </w:rPr>
        <w:t xml:space="preserve">; Thomson, </w:t>
      </w:r>
      <w:r w:rsidRPr="00F67018">
        <w:rPr>
          <w:rFonts w:ascii="Times New Roman" w:hAnsi="Times New Roman" w:cs="Times New Roman"/>
          <w:bCs/>
          <w:sz w:val="24"/>
          <w:szCs w:val="24"/>
        </w:rPr>
        <w:t>2020; Ibrahim, 2022).</w:t>
      </w:r>
      <w:r w:rsidRPr="00AC79FE">
        <w:rPr>
          <w:rFonts w:ascii="Times New Roman" w:hAnsi="Times New Roman" w:cs="Times New Roman"/>
          <w:color w:val="EE0000"/>
          <w:sz w:val="24"/>
          <w:szCs w:val="24"/>
        </w:rPr>
        <w:t xml:space="preserve"> </w:t>
      </w:r>
      <w:r w:rsidRPr="0050494A">
        <w:rPr>
          <w:rFonts w:ascii="Times New Roman" w:hAnsi="Times New Roman" w:cs="Times New Roman"/>
          <w:sz w:val="24"/>
          <w:szCs w:val="24"/>
        </w:rPr>
        <w:t>For example, infrastructural deficits, inconsistent electricity supply, frequent disruptions in water services, and healthcare delivery gaps are common across many Nigerian states, significantly affecting both urban and rural populations.</w:t>
      </w:r>
    </w:p>
    <w:p w:rsidR="00AB3179" w:rsidRPr="0050494A" w:rsidRDefault="00AB3179" w:rsidP="00AB3179">
      <w:pPr>
        <w:spacing w:after="0" w:line="360" w:lineRule="auto"/>
        <w:jc w:val="both"/>
        <w:rPr>
          <w:rFonts w:ascii="Times New Roman" w:hAnsi="Times New Roman" w:cs="Times New Roman"/>
          <w:sz w:val="24"/>
          <w:szCs w:val="24"/>
        </w:rPr>
      </w:pPr>
      <w:r w:rsidRPr="0050494A">
        <w:rPr>
          <w:rFonts w:ascii="Times New Roman" w:hAnsi="Times New Roman" w:cs="Times New Roman"/>
          <w:sz w:val="24"/>
          <w:szCs w:val="24"/>
        </w:rPr>
        <w:t xml:space="preserve">A significant contributing factor is </w:t>
      </w:r>
      <w:r>
        <w:rPr>
          <w:rFonts w:ascii="Times New Roman" w:hAnsi="Times New Roman" w:cs="Times New Roman"/>
          <w:sz w:val="24"/>
          <w:szCs w:val="24"/>
        </w:rPr>
        <w:t>funds mismanagements</w:t>
      </w:r>
      <w:r w:rsidRPr="0050494A">
        <w:rPr>
          <w:rFonts w:ascii="Times New Roman" w:hAnsi="Times New Roman" w:cs="Times New Roman"/>
          <w:sz w:val="24"/>
          <w:szCs w:val="24"/>
        </w:rPr>
        <w:t>,</w:t>
      </w:r>
      <w:r>
        <w:rPr>
          <w:rFonts w:ascii="Times New Roman" w:hAnsi="Times New Roman" w:cs="Times New Roman"/>
          <w:sz w:val="24"/>
          <w:szCs w:val="24"/>
        </w:rPr>
        <w:t xml:space="preserve"> misappropriations,</w:t>
      </w:r>
      <w:r w:rsidRPr="0050494A">
        <w:rPr>
          <w:rFonts w:ascii="Times New Roman" w:hAnsi="Times New Roman" w:cs="Times New Roman"/>
          <w:sz w:val="24"/>
          <w:szCs w:val="24"/>
        </w:rPr>
        <w:t xml:space="preserve"> inadequate training, low motivation, and </w:t>
      </w:r>
      <w:r>
        <w:rPr>
          <w:rFonts w:ascii="Times New Roman" w:hAnsi="Times New Roman" w:cs="Times New Roman"/>
          <w:sz w:val="24"/>
          <w:szCs w:val="24"/>
        </w:rPr>
        <w:t>contract fraud</w:t>
      </w:r>
      <w:r w:rsidRPr="0050494A">
        <w:rPr>
          <w:rFonts w:ascii="Times New Roman" w:hAnsi="Times New Roman" w:cs="Times New Roman"/>
          <w:sz w:val="24"/>
          <w:szCs w:val="24"/>
        </w:rPr>
        <w:t xml:space="preserve"> compromise service output (Thomson, 2020). Additionally, weak performance management and accountability mechanisms mean that poor </w:t>
      </w:r>
      <w:r w:rsidRPr="0050494A">
        <w:rPr>
          <w:rFonts w:ascii="Times New Roman" w:hAnsi="Times New Roman" w:cs="Times New Roman"/>
          <w:sz w:val="24"/>
          <w:szCs w:val="24"/>
        </w:rPr>
        <w:lastRenderedPageBreak/>
        <w:t>service delivery is often tolerated without consequences. The absence of reliable data collection and customer feedback systems further limits the ability of GBEs to monitor service quality and make evidence-based improvements (SERVICOM, 2020).</w:t>
      </w:r>
    </w:p>
    <w:p w:rsidR="00AB3179" w:rsidRPr="0050494A" w:rsidRDefault="00AB3179" w:rsidP="00AB31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Similarly, s</w:t>
      </w:r>
      <w:r w:rsidRPr="0050494A">
        <w:rPr>
          <w:rFonts w:ascii="Times New Roman" w:hAnsi="Times New Roman" w:cs="Times New Roman"/>
          <w:sz w:val="24"/>
          <w:szCs w:val="24"/>
        </w:rPr>
        <w:t>tructural corruption and political interference further exacerbate service delivery challenges. Political appointments and favoritism sometimes override merit-based management practices, weakening institutional capacity (</w:t>
      </w:r>
      <w:proofErr w:type="spellStart"/>
      <w:r w:rsidRPr="0050494A">
        <w:rPr>
          <w:rFonts w:ascii="Times New Roman" w:hAnsi="Times New Roman" w:cs="Times New Roman"/>
          <w:sz w:val="24"/>
          <w:szCs w:val="24"/>
        </w:rPr>
        <w:t>Ariyo-Edu</w:t>
      </w:r>
      <w:proofErr w:type="spellEnd"/>
      <w:r w:rsidRPr="0050494A">
        <w:rPr>
          <w:rFonts w:ascii="Times New Roman" w:hAnsi="Times New Roman" w:cs="Times New Roman"/>
          <w:sz w:val="24"/>
          <w:szCs w:val="24"/>
        </w:rPr>
        <w:t>, 2024). Such practices undermine professionalism and divert resources from intended uses, resulting in substandard services and public dissatisfaction. Studies have documented how corruption in procurement, contract management, and revenue collection adversely affects GBE performance, leading to loss of public funds and undermining trust (</w:t>
      </w:r>
      <w:proofErr w:type="spellStart"/>
      <w:r w:rsidRPr="0050494A">
        <w:rPr>
          <w:rFonts w:ascii="Times New Roman" w:hAnsi="Times New Roman" w:cs="Times New Roman"/>
          <w:sz w:val="24"/>
          <w:szCs w:val="24"/>
        </w:rPr>
        <w:t>Ezeajughu</w:t>
      </w:r>
      <w:proofErr w:type="spellEnd"/>
      <w:r w:rsidRPr="0050494A">
        <w:rPr>
          <w:rFonts w:ascii="Times New Roman" w:hAnsi="Times New Roman" w:cs="Times New Roman"/>
          <w:sz w:val="24"/>
          <w:szCs w:val="24"/>
        </w:rPr>
        <w:t>, 2024).</w:t>
      </w:r>
    </w:p>
    <w:p w:rsidR="00AB3179" w:rsidRDefault="00AB3179" w:rsidP="00AB3179">
      <w:pPr>
        <w:spacing w:after="0" w:line="360" w:lineRule="auto"/>
        <w:jc w:val="both"/>
        <w:rPr>
          <w:rFonts w:ascii="Times New Roman" w:hAnsi="Times New Roman" w:cs="Times New Roman"/>
          <w:b/>
          <w:bCs/>
          <w:sz w:val="24"/>
          <w:szCs w:val="24"/>
        </w:rPr>
      </w:pPr>
    </w:p>
    <w:p w:rsidR="00AB3179" w:rsidRPr="007E5414" w:rsidRDefault="00AB3179" w:rsidP="00AB31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7E5414">
        <w:rPr>
          <w:rFonts w:ascii="Times New Roman" w:hAnsi="Times New Roman" w:cs="Times New Roman"/>
          <w:b/>
          <w:bCs/>
          <w:sz w:val="24"/>
          <w:szCs w:val="24"/>
        </w:rPr>
        <w:t>Internal Auditing</w:t>
      </w:r>
    </w:p>
    <w:p w:rsidR="00AB3179" w:rsidRPr="00810A55" w:rsidRDefault="00AB3179" w:rsidP="00AB31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Internal audit </w:t>
      </w:r>
      <w:r w:rsidRPr="00810A55">
        <w:rPr>
          <w:rFonts w:ascii="Times New Roman" w:hAnsi="Times New Roman" w:cs="Times New Roman"/>
          <w:sz w:val="24"/>
          <w:szCs w:val="24"/>
        </w:rPr>
        <w:t>plays a pivotal role in enhancing financial management in Government Business Enterprises (</w:t>
      </w:r>
      <w:r>
        <w:rPr>
          <w:rFonts w:ascii="Times New Roman" w:hAnsi="Times New Roman" w:cs="Times New Roman"/>
          <w:sz w:val="24"/>
          <w:szCs w:val="24"/>
        </w:rPr>
        <w:t xml:space="preserve">Nurudeen and </w:t>
      </w: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2025</w:t>
      </w:r>
      <w:r w:rsidRPr="00810A55">
        <w:rPr>
          <w:rFonts w:ascii="Times New Roman" w:hAnsi="Times New Roman" w:cs="Times New Roman"/>
          <w:sz w:val="24"/>
          <w:szCs w:val="24"/>
        </w:rPr>
        <w:t>), serving as a critical mechanism for risk assessment, control evaluation, and governance assurance. In an environment where public resources are vast but often mismanaged, internal audit functions are integral to promoting transparency, accountability, and efficient resource utilization, which are essential for operational success and public trust (</w:t>
      </w:r>
      <w:proofErr w:type="spellStart"/>
      <w:r w:rsidRPr="00810A55">
        <w:rPr>
          <w:rFonts w:ascii="Times New Roman" w:hAnsi="Times New Roman" w:cs="Times New Roman"/>
          <w:sz w:val="24"/>
          <w:szCs w:val="24"/>
        </w:rPr>
        <w:t>Okee</w:t>
      </w:r>
      <w:proofErr w:type="spellEnd"/>
      <w:r w:rsidRPr="00810A55">
        <w:rPr>
          <w:rFonts w:ascii="Times New Roman" w:hAnsi="Times New Roman" w:cs="Times New Roman"/>
          <w:sz w:val="24"/>
          <w:szCs w:val="24"/>
        </w:rPr>
        <w:t xml:space="preserve"> &amp; Fred, 2021). Despite this importance, challenges persist within Nigerian GBEs that impede the effectiveness of internal audit, subsequently undermining financial management and institutional performance.</w:t>
      </w:r>
    </w:p>
    <w:p w:rsidR="00AB3179" w:rsidRPr="00810A55" w:rsidRDefault="00AB3179" w:rsidP="00AB3179">
      <w:pPr>
        <w:spacing w:after="0" w:line="360" w:lineRule="auto"/>
        <w:jc w:val="both"/>
        <w:rPr>
          <w:rFonts w:ascii="Times New Roman" w:hAnsi="Times New Roman" w:cs="Times New Roman"/>
          <w:sz w:val="24"/>
          <w:szCs w:val="24"/>
        </w:rPr>
      </w:pPr>
      <w:r w:rsidRPr="00810A55">
        <w:rPr>
          <w:rFonts w:ascii="Times New Roman" w:hAnsi="Times New Roman" w:cs="Times New Roman"/>
          <w:sz w:val="24"/>
          <w:szCs w:val="24"/>
        </w:rPr>
        <w:t>Internal audit in Nigeria's public enterprises is defined as an independent, objective assurance and consulting activity designed to add value by evaluating and improving the effectiveness of risk management, control, and governance processes (Singh et al., 2021). It provides continuous monitoring of financial operations, detecting irregularities, reducing fraud risks, and ensuring compliance with statutory regulations. Properly implemented, internal audit functions mitigate financial mismanagement through systematic checks and recommendation of corrective actions, fostering sound stewardship of public funds.</w:t>
      </w:r>
    </w:p>
    <w:p w:rsidR="00A81F00" w:rsidRDefault="00AB3179" w:rsidP="003E3361">
      <w:pPr>
        <w:spacing w:after="0" w:line="360" w:lineRule="auto"/>
        <w:jc w:val="both"/>
        <w:rPr>
          <w:rFonts w:ascii="Times New Roman" w:hAnsi="Times New Roman" w:cs="Times New Roman"/>
          <w:sz w:val="24"/>
          <w:szCs w:val="24"/>
        </w:rPr>
      </w:pPr>
      <w:r w:rsidRPr="00810A55">
        <w:rPr>
          <w:rFonts w:ascii="Times New Roman" w:hAnsi="Times New Roman" w:cs="Times New Roman"/>
          <w:sz w:val="24"/>
          <w:szCs w:val="24"/>
        </w:rPr>
        <w:t xml:space="preserve">However, the Nigerian public sector continues to grapple with challenges that negate the full benefits of internal </w:t>
      </w:r>
      <w:r w:rsidR="00E7111F">
        <w:rPr>
          <w:rFonts w:ascii="Times New Roman" w:hAnsi="Times New Roman" w:cs="Times New Roman"/>
          <w:sz w:val="24"/>
          <w:szCs w:val="24"/>
        </w:rPr>
        <w:t>audit functions. Most acknowledged and prominent challenges are insufficient</w:t>
      </w:r>
      <w:r w:rsidRPr="00810A55">
        <w:rPr>
          <w:rFonts w:ascii="Times New Roman" w:hAnsi="Times New Roman" w:cs="Times New Roman"/>
          <w:sz w:val="24"/>
          <w:szCs w:val="24"/>
        </w:rPr>
        <w:t xml:space="preserve"> of auditor independence, </w:t>
      </w:r>
      <w:r w:rsidR="00E7111F">
        <w:rPr>
          <w:rFonts w:ascii="Times New Roman" w:hAnsi="Times New Roman" w:cs="Times New Roman"/>
          <w:sz w:val="24"/>
          <w:szCs w:val="24"/>
        </w:rPr>
        <w:t xml:space="preserve">competency and management support; internal auditors are </w:t>
      </w:r>
      <w:r w:rsidRPr="00810A55">
        <w:rPr>
          <w:rFonts w:ascii="Times New Roman" w:hAnsi="Times New Roman" w:cs="Times New Roman"/>
          <w:sz w:val="24"/>
          <w:szCs w:val="24"/>
        </w:rPr>
        <w:t xml:space="preserve">often </w:t>
      </w:r>
      <w:r w:rsidRPr="00810A55">
        <w:rPr>
          <w:rFonts w:ascii="Times New Roman" w:hAnsi="Times New Roman" w:cs="Times New Roman"/>
          <w:sz w:val="24"/>
          <w:szCs w:val="24"/>
        </w:rPr>
        <w:lastRenderedPageBreak/>
        <w:t>compromised by political interference and executive dominance (</w:t>
      </w:r>
      <w:proofErr w:type="spellStart"/>
      <w:r w:rsidRPr="00810A55">
        <w:rPr>
          <w:rFonts w:ascii="Times New Roman" w:hAnsi="Times New Roman" w:cs="Times New Roman"/>
          <w:sz w:val="24"/>
          <w:szCs w:val="24"/>
        </w:rPr>
        <w:t>Okee</w:t>
      </w:r>
      <w:proofErr w:type="spellEnd"/>
      <w:r w:rsidRPr="00810A55">
        <w:rPr>
          <w:rFonts w:ascii="Times New Roman" w:hAnsi="Times New Roman" w:cs="Times New Roman"/>
          <w:sz w:val="24"/>
          <w:szCs w:val="24"/>
        </w:rPr>
        <w:t xml:space="preserve"> &amp; Fred, 2021). </w:t>
      </w:r>
      <w:r w:rsidR="00E7111F">
        <w:rPr>
          <w:rFonts w:ascii="Times New Roman" w:hAnsi="Times New Roman" w:cs="Times New Roman"/>
          <w:sz w:val="24"/>
          <w:szCs w:val="24"/>
        </w:rPr>
        <w:t xml:space="preserve">These three main factors were perceived as determinants to effectiveness of internal audit practice.  </w:t>
      </w:r>
    </w:p>
    <w:p w:rsidR="00AB3179" w:rsidRPr="00A81F00" w:rsidRDefault="00A81F00" w:rsidP="003E33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2.3</w:t>
      </w:r>
      <w:r w:rsidRPr="00A81F00">
        <w:rPr>
          <w:rFonts w:ascii="Times New Roman" w:hAnsi="Times New Roman" w:cs="Times New Roman"/>
          <w:b/>
          <w:sz w:val="24"/>
          <w:szCs w:val="24"/>
        </w:rPr>
        <w:t xml:space="preserve"> Internal Auditors Independence</w:t>
      </w:r>
    </w:p>
    <w:p w:rsidR="00A81F00" w:rsidRDefault="00A81F00" w:rsidP="00A81F00">
      <w:pPr>
        <w:spacing w:after="0" w:line="360" w:lineRule="auto"/>
        <w:jc w:val="both"/>
        <w:rPr>
          <w:rFonts w:ascii="Times New Roman" w:hAnsi="Times New Roman" w:cs="Times New Roman"/>
          <w:sz w:val="24"/>
          <w:szCs w:val="24"/>
        </w:rPr>
      </w:pPr>
      <w:r w:rsidRPr="00810A55">
        <w:rPr>
          <w:rFonts w:ascii="Times New Roman" w:hAnsi="Times New Roman" w:cs="Times New Roman"/>
          <w:sz w:val="24"/>
          <w:szCs w:val="24"/>
        </w:rPr>
        <w:t xml:space="preserve">One of the core dimensions of effective internal audit practice in Nigerian GBEs is auditor independence. Independence ensures that internal auditors operate without undue influence from management or political actors, enabling unbiased evaluations of financial practices (Oni &amp; </w:t>
      </w:r>
      <w:proofErr w:type="spellStart"/>
      <w:r w:rsidRPr="00810A55">
        <w:rPr>
          <w:rFonts w:ascii="Times New Roman" w:hAnsi="Times New Roman" w:cs="Times New Roman"/>
          <w:sz w:val="24"/>
          <w:szCs w:val="24"/>
        </w:rPr>
        <w:t>Adejuwon</w:t>
      </w:r>
      <w:proofErr w:type="spellEnd"/>
      <w:r w:rsidRPr="00810A55">
        <w:rPr>
          <w:rFonts w:ascii="Times New Roman" w:hAnsi="Times New Roman" w:cs="Times New Roman"/>
          <w:sz w:val="24"/>
          <w:szCs w:val="24"/>
        </w:rPr>
        <w:t xml:space="preserve">, 2025). </w:t>
      </w:r>
      <w:r w:rsidRPr="00CD4797">
        <w:rPr>
          <w:rFonts w:ascii="Times New Roman" w:hAnsi="Times New Roman" w:cs="Times New Roman"/>
          <w:bCs/>
          <w:sz w:val="24"/>
          <w:szCs w:val="24"/>
        </w:rPr>
        <w:t>Studies (</w:t>
      </w:r>
      <w:proofErr w:type="spellStart"/>
      <w:r w:rsidRPr="00CD4797">
        <w:rPr>
          <w:rFonts w:ascii="Times New Roman" w:hAnsi="Times New Roman" w:cs="Times New Roman"/>
          <w:bCs/>
          <w:sz w:val="24"/>
          <w:szCs w:val="24"/>
        </w:rPr>
        <w:t>Olatunde</w:t>
      </w:r>
      <w:proofErr w:type="spellEnd"/>
      <w:r w:rsidRPr="00CD4797">
        <w:rPr>
          <w:rFonts w:ascii="Times New Roman" w:hAnsi="Times New Roman" w:cs="Times New Roman"/>
          <w:bCs/>
          <w:sz w:val="24"/>
          <w:szCs w:val="24"/>
        </w:rPr>
        <w:t xml:space="preserve"> and Nurudeen, 2023;</w:t>
      </w:r>
      <w:r w:rsidRPr="00FC0BDF">
        <w:rPr>
          <w:rFonts w:ascii="Times New Roman" w:hAnsi="Times New Roman" w:cs="Times New Roman"/>
          <w:b/>
          <w:bCs/>
          <w:sz w:val="24"/>
          <w:szCs w:val="24"/>
        </w:rPr>
        <w:t xml:space="preserve"> </w:t>
      </w:r>
      <w:proofErr w:type="spellStart"/>
      <w:r w:rsidRPr="00810A55">
        <w:rPr>
          <w:rFonts w:ascii="Times New Roman" w:hAnsi="Times New Roman" w:cs="Times New Roman"/>
          <w:sz w:val="24"/>
          <w:szCs w:val="24"/>
        </w:rPr>
        <w:t>Ouda</w:t>
      </w:r>
      <w:proofErr w:type="spellEnd"/>
      <w:r w:rsidRPr="00810A55">
        <w:rPr>
          <w:rFonts w:ascii="Times New Roman" w:hAnsi="Times New Roman" w:cs="Times New Roman"/>
          <w:sz w:val="24"/>
          <w:szCs w:val="24"/>
        </w:rPr>
        <w:t xml:space="preserve"> </w:t>
      </w:r>
      <w:r>
        <w:rPr>
          <w:rFonts w:ascii="Times New Roman" w:hAnsi="Times New Roman" w:cs="Times New Roman"/>
          <w:sz w:val="24"/>
          <w:szCs w:val="24"/>
        </w:rPr>
        <w:t>and</w:t>
      </w:r>
      <w:r w:rsidRPr="00810A55">
        <w:rPr>
          <w:rFonts w:ascii="Times New Roman" w:hAnsi="Times New Roman" w:cs="Times New Roman"/>
          <w:sz w:val="24"/>
          <w:szCs w:val="24"/>
        </w:rPr>
        <w:t xml:space="preserve"> Al-</w:t>
      </w:r>
      <w:proofErr w:type="spellStart"/>
      <w:r w:rsidRPr="00810A55">
        <w:rPr>
          <w:rFonts w:ascii="Times New Roman" w:hAnsi="Times New Roman" w:cs="Times New Roman"/>
          <w:sz w:val="24"/>
          <w:szCs w:val="24"/>
        </w:rPr>
        <w:t>Htaybat</w:t>
      </w:r>
      <w:proofErr w:type="spellEnd"/>
      <w:r w:rsidRPr="00810A55">
        <w:rPr>
          <w:rFonts w:ascii="Times New Roman" w:hAnsi="Times New Roman" w:cs="Times New Roman"/>
          <w:sz w:val="24"/>
          <w:szCs w:val="24"/>
        </w:rPr>
        <w:t>, 2017</w:t>
      </w:r>
      <w:r>
        <w:rPr>
          <w:rFonts w:ascii="Times New Roman" w:hAnsi="Times New Roman" w:cs="Times New Roman"/>
          <w:sz w:val="24"/>
          <w:szCs w:val="24"/>
        </w:rPr>
        <w:t>)</w:t>
      </w:r>
      <w:r w:rsidRPr="00810A55">
        <w:rPr>
          <w:rFonts w:ascii="Times New Roman" w:hAnsi="Times New Roman" w:cs="Times New Roman"/>
          <w:sz w:val="24"/>
          <w:szCs w:val="24"/>
        </w:rPr>
        <w:t xml:space="preserve"> indicates that independence is the most impactful factor affecting internal audit quality and its contribution to governance outcomes. However, in Nigeria, political interference and conflicts of interest constrain auditor autonomy, often compromising the objectivity of audit findings. This limitation restricts auditors’ capacity to expose malpractices and advocate for corrective measures effectively.</w:t>
      </w:r>
    </w:p>
    <w:p w:rsidR="00A81F00" w:rsidRPr="00631D2B" w:rsidRDefault="00A81F00" w:rsidP="00A81F00">
      <w:pPr>
        <w:spacing w:after="0" w:line="360" w:lineRule="auto"/>
        <w:jc w:val="both"/>
        <w:rPr>
          <w:rFonts w:ascii="Times New Roman" w:hAnsi="Times New Roman" w:cs="Times New Roman"/>
          <w:sz w:val="24"/>
          <w:szCs w:val="24"/>
        </w:rPr>
      </w:pPr>
      <w:r w:rsidRPr="00631D2B">
        <w:rPr>
          <w:rFonts w:ascii="Times New Roman" w:hAnsi="Times New Roman" w:cs="Times New Roman"/>
          <w:sz w:val="24"/>
          <w:szCs w:val="24"/>
        </w:rPr>
        <w:t>Internal auditor independence refers to the freedom internal auditors possess to carry out their tasks without interference or undue influence from management, political bodies, or other stakeholders (Institute of Internal Auditors [IIA], 2012). It encapsulates both structural independence</w:t>
      </w:r>
      <w:r>
        <w:rPr>
          <w:rFonts w:ascii="Times New Roman" w:hAnsi="Times New Roman" w:cs="Times New Roman"/>
          <w:sz w:val="24"/>
          <w:szCs w:val="24"/>
        </w:rPr>
        <w:t xml:space="preserve"> </w:t>
      </w:r>
      <w:r w:rsidRPr="00631D2B">
        <w:rPr>
          <w:rFonts w:ascii="Times New Roman" w:hAnsi="Times New Roman" w:cs="Times New Roman"/>
          <w:sz w:val="24"/>
          <w:szCs w:val="24"/>
        </w:rPr>
        <w:t>such as reporting lines and autonomy in audit planning</w:t>
      </w:r>
      <w:r>
        <w:rPr>
          <w:rFonts w:ascii="Times New Roman" w:hAnsi="Times New Roman" w:cs="Times New Roman"/>
          <w:sz w:val="24"/>
          <w:szCs w:val="24"/>
        </w:rPr>
        <w:t xml:space="preserve"> </w:t>
      </w:r>
      <w:r w:rsidRPr="00631D2B">
        <w:rPr>
          <w:rFonts w:ascii="Times New Roman" w:hAnsi="Times New Roman" w:cs="Times New Roman"/>
          <w:sz w:val="24"/>
          <w:szCs w:val="24"/>
        </w:rPr>
        <w:t>and functional independence, which includes unbiased judgment and objective execution of audit activities (Christopher</w:t>
      </w:r>
      <w:r>
        <w:rPr>
          <w:rFonts w:ascii="Times New Roman" w:hAnsi="Times New Roman" w:cs="Times New Roman"/>
          <w:sz w:val="24"/>
          <w:szCs w:val="24"/>
        </w:rPr>
        <w:t xml:space="preserve"> et al.</w:t>
      </w:r>
      <w:r w:rsidRPr="00631D2B">
        <w:rPr>
          <w:rFonts w:ascii="Times New Roman" w:hAnsi="Times New Roman" w:cs="Times New Roman"/>
          <w:sz w:val="24"/>
          <w:szCs w:val="24"/>
        </w:rPr>
        <w:t xml:space="preserve">, 2009). As Stewart and </w:t>
      </w:r>
      <w:proofErr w:type="spellStart"/>
      <w:r w:rsidRPr="00631D2B">
        <w:rPr>
          <w:rFonts w:ascii="Times New Roman" w:hAnsi="Times New Roman" w:cs="Times New Roman"/>
          <w:sz w:val="24"/>
          <w:szCs w:val="24"/>
        </w:rPr>
        <w:t>Subramaniam</w:t>
      </w:r>
      <w:proofErr w:type="spellEnd"/>
      <w:r w:rsidRPr="00631D2B">
        <w:rPr>
          <w:rFonts w:ascii="Times New Roman" w:hAnsi="Times New Roman" w:cs="Times New Roman"/>
          <w:sz w:val="24"/>
          <w:szCs w:val="24"/>
        </w:rPr>
        <w:t xml:space="preserve"> (2010) articulate, independence is a “state of affairs” while objectivity is a “state of mind” enabling the internal auditor to act impartially in discharging duties.</w:t>
      </w:r>
    </w:p>
    <w:p w:rsidR="00A81F00" w:rsidRDefault="00A81F00" w:rsidP="00A81F00">
      <w:pPr>
        <w:spacing w:after="0" w:line="360" w:lineRule="auto"/>
        <w:jc w:val="both"/>
        <w:rPr>
          <w:rFonts w:ascii="Times New Roman" w:hAnsi="Times New Roman" w:cs="Times New Roman"/>
          <w:b/>
          <w:bCs/>
          <w:sz w:val="24"/>
          <w:szCs w:val="24"/>
        </w:rPr>
      </w:pPr>
    </w:p>
    <w:p w:rsidR="00A81F00" w:rsidRPr="00AA2B5C" w:rsidRDefault="00A81F00" w:rsidP="00A81F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AA2B5C">
        <w:rPr>
          <w:rFonts w:ascii="Times New Roman" w:hAnsi="Times New Roman" w:cs="Times New Roman"/>
          <w:b/>
          <w:bCs/>
          <w:sz w:val="24"/>
          <w:szCs w:val="24"/>
        </w:rPr>
        <w:t xml:space="preserve"> Internal Auditor’s Competence</w:t>
      </w:r>
    </w:p>
    <w:p w:rsidR="00A81F00" w:rsidRPr="00631D2B" w:rsidRDefault="00A81F00" w:rsidP="00A81F00">
      <w:pPr>
        <w:spacing w:after="0" w:line="360" w:lineRule="auto"/>
        <w:jc w:val="both"/>
        <w:rPr>
          <w:rFonts w:ascii="Times New Roman" w:hAnsi="Times New Roman" w:cs="Times New Roman"/>
          <w:sz w:val="24"/>
          <w:szCs w:val="24"/>
        </w:rPr>
      </w:pPr>
      <w:r w:rsidRPr="00631D2B">
        <w:rPr>
          <w:rFonts w:ascii="Times New Roman" w:hAnsi="Times New Roman" w:cs="Times New Roman"/>
          <w:sz w:val="24"/>
          <w:szCs w:val="24"/>
        </w:rPr>
        <w:t>Internal auditor competence is a critical factor in determining the effectiveness of internal audit functions within Nigeria’s Government Business Enterprises (GBEs). Competency encompasses the qualifications, skills, experience, and professional capability auditors possess to conduct thorough, insightful, and value</w:t>
      </w:r>
      <w:r>
        <w:rPr>
          <w:rFonts w:ascii="Times New Roman" w:hAnsi="Times New Roman" w:cs="Times New Roman"/>
          <w:sz w:val="24"/>
          <w:szCs w:val="24"/>
        </w:rPr>
        <w:t xml:space="preserve"> </w:t>
      </w:r>
      <w:r w:rsidRPr="00631D2B">
        <w:rPr>
          <w:rFonts w:ascii="Times New Roman" w:hAnsi="Times New Roman" w:cs="Times New Roman"/>
          <w:sz w:val="24"/>
          <w:szCs w:val="24"/>
        </w:rPr>
        <w:t>adding audits. In the public sector context of Nigeria, internal auditor competence significantly affects the quality of governance, transparency, accountability, and overall financial management outcomes.</w:t>
      </w:r>
    </w:p>
    <w:p w:rsidR="00A81F00" w:rsidRPr="00631D2B" w:rsidRDefault="00A81F00" w:rsidP="00A81F00">
      <w:pPr>
        <w:spacing w:after="0" w:line="360" w:lineRule="auto"/>
        <w:jc w:val="both"/>
        <w:rPr>
          <w:rFonts w:ascii="Times New Roman" w:hAnsi="Times New Roman" w:cs="Times New Roman"/>
          <w:sz w:val="24"/>
          <w:szCs w:val="24"/>
        </w:rPr>
      </w:pPr>
      <w:r w:rsidRPr="00631D2B">
        <w:rPr>
          <w:rFonts w:ascii="Times New Roman" w:hAnsi="Times New Roman" w:cs="Times New Roman"/>
          <w:sz w:val="24"/>
          <w:szCs w:val="24"/>
        </w:rPr>
        <w:t xml:space="preserve">Competence in internal auditing refers to the possession of adequate knowledge, technical skills, analytical abilities, and professional judgment required to execute audit responsibilities effectively (Institute of Internal Auditors [IIA], 2017). Competent internal auditors can identify financial irregularities, evaluate internal controls critically, assess risks accurately, and provide actionable </w:t>
      </w:r>
      <w:r w:rsidRPr="00631D2B">
        <w:rPr>
          <w:rFonts w:ascii="Times New Roman" w:hAnsi="Times New Roman" w:cs="Times New Roman"/>
          <w:sz w:val="24"/>
          <w:szCs w:val="24"/>
        </w:rPr>
        <w:lastRenderedPageBreak/>
        <w:t>recommendations that enhance organizational processes (Singh</w:t>
      </w:r>
      <w:r>
        <w:rPr>
          <w:rFonts w:ascii="Times New Roman" w:hAnsi="Times New Roman" w:cs="Times New Roman"/>
          <w:sz w:val="24"/>
          <w:szCs w:val="24"/>
        </w:rPr>
        <w:t xml:space="preserve"> et al.,</w:t>
      </w:r>
      <w:r w:rsidRPr="00631D2B">
        <w:rPr>
          <w:rFonts w:ascii="Times New Roman" w:hAnsi="Times New Roman" w:cs="Times New Roman"/>
          <w:sz w:val="24"/>
          <w:szCs w:val="24"/>
        </w:rPr>
        <w:t xml:space="preserve"> 2021). Competence is not only dependent on formal education and training but also on practical experience and continuous professional development to keep pace with evolving auditing standards and financial complexities (</w:t>
      </w:r>
      <w:proofErr w:type="spellStart"/>
      <w:r w:rsidRPr="00631D2B">
        <w:rPr>
          <w:rFonts w:ascii="Times New Roman" w:hAnsi="Times New Roman" w:cs="Times New Roman"/>
          <w:sz w:val="24"/>
          <w:szCs w:val="24"/>
        </w:rPr>
        <w:t>Nerantzidis</w:t>
      </w:r>
      <w:proofErr w:type="spellEnd"/>
      <w:r w:rsidRPr="00631D2B">
        <w:rPr>
          <w:rFonts w:ascii="Times New Roman" w:hAnsi="Times New Roman" w:cs="Times New Roman"/>
          <w:sz w:val="24"/>
          <w:szCs w:val="24"/>
        </w:rPr>
        <w:t xml:space="preserve"> et al., 2022).</w:t>
      </w:r>
    </w:p>
    <w:p w:rsidR="00A81F00" w:rsidRDefault="00A81F00" w:rsidP="003E3361">
      <w:pPr>
        <w:spacing w:after="0" w:line="360" w:lineRule="auto"/>
        <w:jc w:val="both"/>
        <w:rPr>
          <w:rFonts w:ascii="Times New Roman" w:hAnsi="Times New Roman" w:cs="Times New Roman"/>
          <w:sz w:val="24"/>
          <w:szCs w:val="24"/>
        </w:rPr>
      </w:pPr>
    </w:p>
    <w:p w:rsidR="00A81F00" w:rsidRPr="00B90C66" w:rsidRDefault="00A81F00" w:rsidP="00A81F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B90C66">
        <w:rPr>
          <w:rFonts w:ascii="Times New Roman" w:hAnsi="Times New Roman" w:cs="Times New Roman"/>
          <w:b/>
          <w:bCs/>
          <w:sz w:val="24"/>
          <w:szCs w:val="24"/>
        </w:rPr>
        <w:t xml:space="preserve"> </w:t>
      </w:r>
      <w:r w:rsidRPr="00B90C66">
        <w:rPr>
          <w:rFonts w:ascii="Times New Roman" w:hAnsi="Times New Roman" w:cs="Times New Roman"/>
          <w:b/>
          <w:bCs/>
          <w:sz w:val="24"/>
          <w:szCs w:val="24"/>
        </w:rPr>
        <w:tab/>
        <w:t>Management Support for Audit</w:t>
      </w:r>
    </w:p>
    <w:p w:rsidR="00A81F00" w:rsidRDefault="00A81F00" w:rsidP="00A81F00">
      <w:pPr>
        <w:spacing w:after="0" w:line="360" w:lineRule="auto"/>
        <w:jc w:val="both"/>
        <w:rPr>
          <w:rFonts w:ascii="Times New Roman" w:hAnsi="Times New Roman" w:cs="Times New Roman"/>
          <w:sz w:val="24"/>
          <w:szCs w:val="24"/>
        </w:rPr>
      </w:pPr>
      <w:r w:rsidRPr="00187248">
        <w:rPr>
          <w:rFonts w:ascii="Times New Roman" w:hAnsi="Times New Roman" w:cs="Times New Roman"/>
          <w:sz w:val="24"/>
          <w:szCs w:val="24"/>
        </w:rPr>
        <w:t xml:space="preserve">Management support is crucial for the effectiveness and efficiency of internal audit functions in Nigerian Government Business Enterprises (GBEs). It plays a pivotal role in empowering internal auditors to fulfill their responsibilities, facilitating robust financial and operational controls, enhancing accountability, and promoting transparency in public sector </w:t>
      </w:r>
      <w:r w:rsidRPr="004318EC">
        <w:rPr>
          <w:rFonts w:ascii="Times New Roman" w:hAnsi="Times New Roman" w:cs="Times New Roman"/>
          <w:sz w:val="24"/>
          <w:szCs w:val="24"/>
        </w:rPr>
        <w:t xml:space="preserve">organizations (Ibrahim, 2022). </w:t>
      </w:r>
      <w:r w:rsidRPr="00187248">
        <w:rPr>
          <w:rFonts w:ascii="Times New Roman" w:hAnsi="Times New Roman" w:cs="Times New Roman"/>
          <w:sz w:val="24"/>
          <w:szCs w:val="24"/>
        </w:rPr>
        <w:t>Internal audit functions as a key mechanism for monitoring and evaluating the adequacy of internal controls, compliance processes, risk management, and governance within organizations (Institute of Internal Auditors [IIA], 2017). However, the scope and impact of internal audit are highly contingent upon the extent of support it receives from top management. Management support generally encompasses resource allocation (financial, human, technological), organizational backing, recognition of internal audit’s value, facilitation of audit independence, and responsiveness to audit findings and recommendations (Singh,</w:t>
      </w:r>
      <w:r>
        <w:rPr>
          <w:rFonts w:ascii="Times New Roman" w:hAnsi="Times New Roman" w:cs="Times New Roman"/>
          <w:sz w:val="24"/>
          <w:szCs w:val="24"/>
        </w:rPr>
        <w:t xml:space="preserve"> et al.,</w:t>
      </w:r>
      <w:r w:rsidRPr="00187248">
        <w:rPr>
          <w:rFonts w:ascii="Times New Roman" w:hAnsi="Times New Roman" w:cs="Times New Roman"/>
          <w:sz w:val="24"/>
          <w:szCs w:val="24"/>
        </w:rPr>
        <w:t xml:space="preserve"> 2021).</w:t>
      </w:r>
    </w:p>
    <w:p w:rsidR="00A81F00" w:rsidRPr="00187248" w:rsidRDefault="00A81F00" w:rsidP="00A81F00">
      <w:pPr>
        <w:spacing w:after="0" w:line="360" w:lineRule="auto"/>
        <w:jc w:val="both"/>
        <w:rPr>
          <w:rFonts w:ascii="Times New Roman" w:hAnsi="Times New Roman" w:cs="Times New Roman"/>
          <w:sz w:val="24"/>
          <w:szCs w:val="24"/>
        </w:rPr>
      </w:pPr>
      <w:r w:rsidRPr="00187248">
        <w:rPr>
          <w:rFonts w:ascii="Times New Roman" w:hAnsi="Times New Roman" w:cs="Times New Roman"/>
          <w:sz w:val="24"/>
          <w:szCs w:val="24"/>
        </w:rPr>
        <w:t xml:space="preserve">Despite its importance, management support for internal audit in Nigerian GBEs is often inadequate. Multiple studies identify resource constraints, including insufficient financial allocations and limited professional staffing, as significant impediments (Oni &amp; </w:t>
      </w:r>
      <w:proofErr w:type="spellStart"/>
      <w:r w:rsidRPr="00187248">
        <w:rPr>
          <w:rFonts w:ascii="Times New Roman" w:hAnsi="Times New Roman" w:cs="Times New Roman"/>
          <w:sz w:val="24"/>
          <w:szCs w:val="24"/>
        </w:rPr>
        <w:t>Adejuwon</w:t>
      </w:r>
      <w:proofErr w:type="spellEnd"/>
      <w:r w:rsidRPr="00187248">
        <w:rPr>
          <w:rFonts w:ascii="Times New Roman" w:hAnsi="Times New Roman" w:cs="Times New Roman"/>
          <w:sz w:val="24"/>
          <w:szCs w:val="24"/>
        </w:rPr>
        <w:t xml:space="preserve">, 2025; </w:t>
      </w:r>
      <w:proofErr w:type="spellStart"/>
      <w:r w:rsidRPr="00187248">
        <w:rPr>
          <w:rFonts w:ascii="Times New Roman" w:hAnsi="Times New Roman" w:cs="Times New Roman"/>
          <w:sz w:val="24"/>
          <w:szCs w:val="24"/>
        </w:rPr>
        <w:t>Ariyo-Edu</w:t>
      </w:r>
      <w:proofErr w:type="spellEnd"/>
      <w:r w:rsidRPr="00187248">
        <w:rPr>
          <w:rFonts w:ascii="Times New Roman" w:hAnsi="Times New Roman" w:cs="Times New Roman"/>
          <w:sz w:val="24"/>
          <w:szCs w:val="24"/>
        </w:rPr>
        <w:t xml:space="preserve"> et al., 2024). In some cases, internal audit units suffer neglect or marginalization within organizational hierarchies, impairing their operational autonomy and access to senior decision-makers (</w:t>
      </w:r>
      <w:proofErr w:type="spellStart"/>
      <w:r w:rsidRPr="00187248">
        <w:rPr>
          <w:rFonts w:ascii="Times New Roman" w:hAnsi="Times New Roman" w:cs="Times New Roman"/>
          <w:sz w:val="24"/>
          <w:szCs w:val="24"/>
        </w:rPr>
        <w:t>Egbunike</w:t>
      </w:r>
      <w:proofErr w:type="spellEnd"/>
      <w:r w:rsidRPr="00187248">
        <w:rPr>
          <w:rFonts w:ascii="Times New Roman" w:hAnsi="Times New Roman" w:cs="Times New Roman"/>
          <w:sz w:val="24"/>
          <w:szCs w:val="24"/>
        </w:rPr>
        <w:t xml:space="preserve"> &amp; </w:t>
      </w:r>
      <w:proofErr w:type="spellStart"/>
      <w:r w:rsidRPr="00187248">
        <w:rPr>
          <w:rFonts w:ascii="Times New Roman" w:hAnsi="Times New Roman" w:cs="Times New Roman"/>
          <w:sz w:val="24"/>
          <w:szCs w:val="24"/>
        </w:rPr>
        <w:t>Egbunike</w:t>
      </w:r>
      <w:proofErr w:type="spellEnd"/>
      <w:r w:rsidRPr="00187248">
        <w:rPr>
          <w:rFonts w:ascii="Times New Roman" w:hAnsi="Times New Roman" w:cs="Times New Roman"/>
          <w:sz w:val="24"/>
          <w:szCs w:val="24"/>
        </w:rPr>
        <w:t>, 2017). These conditions undermine auditors’ capacity to conduct thorough reviews and diminish the perceived value of audit functions.</w:t>
      </w:r>
    </w:p>
    <w:p w:rsidR="00A81F00" w:rsidRDefault="00A81F00" w:rsidP="003E3361">
      <w:pPr>
        <w:spacing w:after="0" w:line="360" w:lineRule="auto"/>
        <w:jc w:val="both"/>
        <w:rPr>
          <w:rFonts w:ascii="Times New Roman" w:hAnsi="Times New Roman" w:cs="Times New Roman"/>
          <w:sz w:val="24"/>
          <w:szCs w:val="24"/>
        </w:rPr>
      </w:pPr>
    </w:p>
    <w:p w:rsidR="00645D73" w:rsidRDefault="00A81F00" w:rsidP="00645D7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00645D73">
        <w:rPr>
          <w:rFonts w:ascii="Times New Roman" w:hAnsi="Times New Roman" w:cs="Times New Roman"/>
          <w:b/>
          <w:bCs/>
          <w:sz w:val="24"/>
          <w:szCs w:val="24"/>
        </w:rPr>
        <w:t>Theoretical Framework</w:t>
      </w:r>
    </w:p>
    <w:p w:rsidR="00A81F00" w:rsidRPr="00A81F00" w:rsidRDefault="00A81F00" w:rsidP="00645D73">
      <w:pPr>
        <w:spacing w:after="0" w:line="360" w:lineRule="auto"/>
        <w:jc w:val="both"/>
        <w:rPr>
          <w:rFonts w:ascii="Times New Roman" w:hAnsi="Times New Roman" w:cs="Times New Roman"/>
          <w:b/>
          <w:bCs/>
          <w:sz w:val="24"/>
          <w:szCs w:val="24"/>
        </w:rPr>
      </w:pPr>
      <w:r w:rsidRPr="00A81F00">
        <w:rPr>
          <w:rFonts w:ascii="Times New Roman" w:eastAsia="Times New Roman" w:hAnsi="Times New Roman" w:cs="Times New Roman"/>
          <w:sz w:val="24"/>
          <w:szCs w:val="24"/>
        </w:rPr>
        <w:t xml:space="preserve">Contingency Theory, pioneered by Burns and Stalker (1961) and further developed by Lawrence and </w:t>
      </w:r>
      <w:proofErr w:type="spellStart"/>
      <w:r w:rsidRPr="00A81F00">
        <w:rPr>
          <w:rFonts w:ascii="Times New Roman" w:eastAsia="Times New Roman" w:hAnsi="Times New Roman" w:cs="Times New Roman"/>
          <w:sz w:val="24"/>
          <w:szCs w:val="24"/>
        </w:rPr>
        <w:t>Lorsch</w:t>
      </w:r>
      <w:proofErr w:type="spellEnd"/>
      <w:r w:rsidRPr="00A81F00">
        <w:rPr>
          <w:rFonts w:ascii="Times New Roman" w:eastAsia="Times New Roman" w:hAnsi="Times New Roman" w:cs="Times New Roman"/>
          <w:sz w:val="24"/>
          <w:szCs w:val="24"/>
        </w:rPr>
        <w:t xml:space="preserve"> (1967), forms the theoretical foundation of this study. The theory argues that no single management approach is universally optimal; rather, organizational effectiveness depends on the alignment between internal systems and prevailing contex</w:t>
      </w:r>
      <w:r w:rsidR="00645D73">
        <w:rPr>
          <w:rFonts w:ascii="Times New Roman" w:eastAsia="Times New Roman" w:hAnsi="Times New Roman" w:cs="Times New Roman"/>
          <w:sz w:val="24"/>
          <w:szCs w:val="24"/>
        </w:rPr>
        <w:t>tual factors (Nurudeen, 2022</w:t>
      </w:r>
      <w:r w:rsidRPr="00A81F00">
        <w:rPr>
          <w:rFonts w:ascii="Times New Roman" w:eastAsia="Times New Roman" w:hAnsi="Times New Roman" w:cs="Times New Roman"/>
          <w:sz w:val="24"/>
          <w:szCs w:val="24"/>
        </w:rPr>
        <w:t xml:space="preserve">). Applied to internal auditing, this theory suggests that the structure, independence, and effectiveness of an </w:t>
      </w:r>
      <w:r w:rsidRPr="00A81F00">
        <w:rPr>
          <w:rFonts w:ascii="Times New Roman" w:eastAsia="Times New Roman" w:hAnsi="Times New Roman" w:cs="Times New Roman"/>
          <w:sz w:val="24"/>
          <w:szCs w:val="24"/>
        </w:rPr>
        <w:lastRenderedPageBreak/>
        <w:t>internal audit function must be adapted to the specific organizational and environmental circumstances of an enterprise (</w:t>
      </w:r>
      <w:proofErr w:type="spellStart"/>
      <w:r w:rsidRPr="00A81F00">
        <w:rPr>
          <w:rFonts w:ascii="Times New Roman" w:eastAsia="Times New Roman" w:hAnsi="Times New Roman" w:cs="Times New Roman"/>
          <w:sz w:val="24"/>
          <w:szCs w:val="24"/>
        </w:rPr>
        <w:t>Endaya</w:t>
      </w:r>
      <w:proofErr w:type="spellEnd"/>
      <w:r w:rsidRPr="00A81F00">
        <w:rPr>
          <w:rFonts w:ascii="Times New Roman" w:eastAsia="Times New Roman" w:hAnsi="Times New Roman" w:cs="Times New Roman"/>
          <w:sz w:val="24"/>
          <w:szCs w:val="24"/>
        </w:rPr>
        <w:t xml:space="preserve"> &amp; </w:t>
      </w:r>
      <w:proofErr w:type="spellStart"/>
      <w:r w:rsidRPr="00A81F00">
        <w:rPr>
          <w:rFonts w:ascii="Times New Roman" w:eastAsia="Times New Roman" w:hAnsi="Times New Roman" w:cs="Times New Roman"/>
          <w:sz w:val="24"/>
          <w:szCs w:val="24"/>
        </w:rPr>
        <w:t>Hanefah</w:t>
      </w:r>
      <w:proofErr w:type="spellEnd"/>
      <w:r w:rsidRPr="00A81F00">
        <w:rPr>
          <w:rFonts w:ascii="Times New Roman" w:eastAsia="Times New Roman" w:hAnsi="Times New Roman" w:cs="Times New Roman"/>
          <w:sz w:val="24"/>
          <w:szCs w:val="24"/>
        </w:rPr>
        <w:t>, 2016).</w:t>
      </w:r>
    </w:p>
    <w:p w:rsidR="00A81F00" w:rsidRPr="00A81F00" w:rsidRDefault="00A81F00" w:rsidP="00645D73">
      <w:pPr>
        <w:spacing w:before="100" w:beforeAutospacing="1" w:after="100" w:afterAutospacing="1" w:line="360" w:lineRule="auto"/>
        <w:jc w:val="both"/>
        <w:rPr>
          <w:rFonts w:ascii="Times New Roman" w:eastAsia="Times New Roman" w:hAnsi="Times New Roman" w:cs="Times New Roman"/>
          <w:sz w:val="24"/>
          <w:szCs w:val="24"/>
        </w:rPr>
      </w:pPr>
      <w:r w:rsidRPr="00A81F00">
        <w:rPr>
          <w:rFonts w:ascii="Times New Roman" w:eastAsia="Times New Roman" w:hAnsi="Times New Roman" w:cs="Times New Roman"/>
          <w:sz w:val="24"/>
          <w:szCs w:val="24"/>
        </w:rPr>
        <w:t>Nigerian Government Business Enterprises (GBEs) operate within a complex institutional environment characterized by political interference, corruption risks, weak regulatory enforcement, and poor accountability mechanisms (</w:t>
      </w:r>
      <w:proofErr w:type="spellStart"/>
      <w:r w:rsidRPr="00A81F00">
        <w:rPr>
          <w:rFonts w:ascii="Times New Roman" w:eastAsia="Times New Roman" w:hAnsi="Times New Roman" w:cs="Times New Roman"/>
          <w:sz w:val="24"/>
          <w:szCs w:val="24"/>
        </w:rPr>
        <w:t>Adegbie</w:t>
      </w:r>
      <w:proofErr w:type="spellEnd"/>
      <w:r w:rsidRPr="00A81F00">
        <w:rPr>
          <w:rFonts w:ascii="Times New Roman" w:eastAsia="Times New Roman" w:hAnsi="Times New Roman" w:cs="Times New Roman"/>
          <w:sz w:val="24"/>
          <w:szCs w:val="24"/>
        </w:rPr>
        <w:t xml:space="preserve"> &amp; </w:t>
      </w:r>
      <w:proofErr w:type="spellStart"/>
      <w:r w:rsidRPr="00A81F00">
        <w:rPr>
          <w:rFonts w:ascii="Times New Roman" w:eastAsia="Times New Roman" w:hAnsi="Times New Roman" w:cs="Times New Roman"/>
          <w:sz w:val="24"/>
          <w:szCs w:val="24"/>
        </w:rPr>
        <w:t>Fofah</w:t>
      </w:r>
      <w:proofErr w:type="spellEnd"/>
      <w:r w:rsidRPr="00A81F00">
        <w:rPr>
          <w:rFonts w:ascii="Times New Roman" w:eastAsia="Times New Roman" w:hAnsi="Times New Roman" w:cs="Times New Roman"/>
          <w:sz w:val="24"/>
          <w:szCs w:val="24"/>
        </w:rPr>
        <w:t>, 2014). Contingency Theory provides a relevant analytical lens, asserting that internal audit functions configured to respond to th</w:t>
      </w:r>
      <w:r w:rsidR="00645D73">
        <w:rPr>
          <w:rFonts w:ascii="Times New Roman" w:eastAsia="Times New Roman" w:hAnsi="Times New Roman" w:cs="Times New Roman"/>
          <w:sz w:val="24"/>
          <w:szCs w:val="24"/>
        </w:rPr>
        <w:t>ese context-specific pressures</w:t>
      </w:r>
      <w:r w:rsidRPr="00A81F00">
        <w:rPr>
          <w:rFonts w:ascii="Times New Roman" w:eastAsia="Times New Roman" w:hAnsi="Times New Roman" w:cs="Times New Roman"/>
          <w:sz w:val="24"/>
          <w:szCs w:val="24"/>
        </w:rPr>
        <w:t xml:space="preserve"> through adequate independence, risk-based approaches, technical competence, an</w:t>
      </w:r>
      <w:r w:rsidR="00645D73">
        <w:rPr>
          <w:rFonts w:ascii="Times New Roman" w:eastAsia="Times New Roman" w:hAnsi="Times New Roman" w:cs="Times New Roman"/>
          <w:sz w:val="24"/>
          <w:szCs w:val="24"/>
        </w:rPr>
        <w:t>d management support</w:t>
      </w:r>
      <w:r w:rsidRPr="00A81F00">
        <w:rPr>
          <w:rFonts w:ascii="Times New Roman" w:eastAsia="Times New Roman" w:hAnsi="Times New Roman" w:cs="Times New Roman"/>
          <w:sz w:val="24"/>
          <w:szCs w:val="24"/>
        </w:rPr>
        <w:t xml:space="preserve"> will generate more effective oversight outcomes (Arena &amp; </w:t>
      </w:r>
      <w:proofErr w:type="spellStart"/>
      <w:r w:rsidRPr="00A81F00">
        <w:rPr>
          <w:rFonts w:ascii="Times New Roman" w:eastAsia="Times New Roman" w:hAnsi="Times New Roman" w:cs="Times New Roman"/>
          <w:sz w:val="24"/>
          <w:szCs w:val="24"/>
        </w:rPr>
        <w:t>Azzone</w:t>
      </w:r>
      <w:proofErr w:type="spellEnd"/>
      <w:r w:rsidRPr="00A81F00">
        <w:rPr>
          <w:rFonts w:ascii="Times New Roman" w:eastAsia="Times New Roman" w:hAnsi="Times New Roman" w:cs="Times New Roman"/>
          <w:sz w:val="24"/>
          <w:szCs w:val="24"/>
        </w:rPr>
        <w:t>, 2009).</w:t>
      </w:r>
    </w:p>
    <w:p w:rsidR="00A81F00" w:rsidRPr="00645D73" w:rsidRDefault="00A81F00" w:rsidP="00645D73">
      <w:pPr>
        <w:spacing w:before="100" w:beforeAutospacing="1" w:after="100" w:afterAutospacing="1" w:line="360" w:lineRule="auto"/>
        <w:jc w:val="both"/>
        <w:rPr>
          <w:rFonts w:ascii="Times New Roman" w:eastAsia="Times New Roman" w:hAnsi="Times New Roman" w:cs="Times New Roman"/>
          <w:sz w:val="24"/>
          <w:szCs w:val="24"/>
        </w:rPr>
      </w:pPr>
      <w:r w:rsidRPr="00A81F00">
        <w:rPr>
          <w:rFonts w:ascii="Times New Roman" w:eastAsia="Times New Roman" w:hAnsi="Times New Roman" w:cs="Times New Roman"/>
          <w:sz w:val="24"/>
          <w:szCs w:val="24"/>
        </w:rPr>
        <w:t>The framework posits a tripartite relationship: contingenc</w:t>
      </w:r>
      <w:r w:rsidR="00645D73">
        <w:rPr>
          <w:rFonts w:ascii="Times New Roman" w:eastAsia="Times New Roman" w:hAnsi="Times New Roman" w:cs="Times New Roman"/>
          <w:sz w:val="24"/>
          <w:szCs w:val="24"/>
        </w:rPr>
        <w:t xml:space="preserve">y variables (Auditor’s Independence </w:t>
      </w:r>
      <w:r w:rsidRPr="00A81F00">
        <w:rPr>
          <w:rFonts w:ascii="Times New Roman" w:eastAsia="Times New Roman" w:hAnsi="Times New Roman" w:cs="Times New Roman"/>
          <w:sz w:val="24"/>
          <w:szCs w:val="24"/>
        </w:rPr>
        <w:t>audit</w:t>
      </w:r>
      <w:r w:rsidR="00645D73">
        <w:rPr>
          <w:rFonts w:ascii="Times New Roman" w:eastAsia="Times New Roman" w:hAnsi="Times New Roman" w:cs="Times New Roman"/>
          <w:sz w:val="24"/>
          <w:szCs w:val="24"/>
        </w:rPr>
        <w:t>or’s competence</w:t>
      </w:r>
      <w:r w:rsidRPr="00A81F00">
        <w:rPr>
          <w:rFonts w:ascii="Times New Roman" w:eastAsia="Times New Roman" w:hAnsi="Times New Roman" w:cs="Times New Roman"/>
          <w:sz w:val="24"/>
          <w:szCs w:val="24"/>
        </w:rPr>
        <w:t xml:space="preserve">, </w:t>
      </w:r>
      <w:r w:rsidR="00645D73">
        <w:rPr>
          <w:rFonts w:ascii="Times New Roman" w:eastAsia="Times New Roman" w:hAnsi="Times New Roman" w:cs="Times New Roman"/>
          <w:sz w:val="24"/>
          <w:szCs w:val="24"/>
        </w:rPr>
        <w:t xml:space="preserve">and </w:t>
      </w:r>
      <w:r w:rsidRPr="00A81F00">
        <w:rPr>
          <w:rFonts w:ascii="Times New Roman" w:eastAsia="Times New Roman" w:hAnsi="Times New Roman" w:cs="Times New Roman"/>
          <w:sz w:val="24"/>
          <w:szCs w:val="24"/>
        </w:rPr>
        <w:t>management support) shape internal au</w:t>
      </w:r>
      <w:r w:rsidR="00645D73">
        <w:rPr>
          <w:rFonts w:ascii="Times New Roman" w:eastAsia="Times New Roman" w:hAnsi="Times New Roman" w:cs="Times New Roman"/>
          <w:sz w:val="24"/>
          <w:szCs w:val="24"/>
        </w:rPr>
        <w:t>dit effectiveness (objectivity and scope</w:t>
      </w:r>
      <w:r w:rsidRPr="00A81F00">
        <w:rPr>
          <w:rFonts w:ascii="Times New Roman" w:eastAsia="Times New Roman" w:hAnsi="Times New Roman" w:cs="Times New Roman"/>
          <w:sz w:val="24"/>
          <w:szCs w:val="24"/>
        </w:rPr>
        <w:t>), which in turn drives efficient service delivery (accountability, resource optimization, and public value) in Niger</w:t>
      </w:r>
      <w:r w:rsidR="00645D73">
        <w:rPr>
          <w:rFonts w:ascii="Times New Roman" w:eastAsia="Times New Roman" w:hAnsi="Times New Roman" w:cs="Times New Roman"/>
          <w:sz w:val="24"/>
          <w:szCs w:val="24"/>
        </w:rPr>
        <w:t>ian GBEs</w:t>
      </w:r>
      <w:r w:rsidRPr="00A81F00">
        <w:rPr>
          <w:rFonts w:ascii="Times New Roman" w:eastAsia="Times New Roman" w:hAnsi="Times New Roman" w:cs="Times New Roman"/>
          <w:sz w:val="24"/>
          <w:szCs w:val="24"/>
        </w:rPr>
        <w:t>. Where these contingencies are favorable, internal auditing functions as a critical governance mechanism that reduces waste, enforces compliance, and enhances operational effi</w:t>
      </w:r>
      <w:r w:rsidR="00645D73">
        <w:rPr>
          <w:rFonts w:ascii="Times New Roman" w:eastAsia="Times New Roman" w:hAnsi="Times New Roman" w:cs="Times New Roman"/>
          <w:sz w:val="24"/>
          <w:szCs w:val="24"/>
        </w:rPr>
        <w:t>ciency</w:t>
      </w:r>
      <w:r w:rsidRPr="00A81F00">
        <w:rPr>
          <w:rFonts w:ascii="Times New Roman" w:eastAsia="Times New Roman" w:hAnsi="Times New Roman" w:cs="Times New Roman"/>
          <w:sz w:val="24"/>
          <w:szCs w:val="24"/>
        </w:rPr>
        <w:t>.</w:t>
      </w:r>
    </w:p>
    <w:p w:rsidR="00DC4A1D" w:rsidRPr="00645D73" w:rsidRDefault="00645D73" w:rsidP="00645D73">
      <w:pPr>
        <w:pStyle w:val="ListParagraph"/>
        <w:numPr>
          <w:ilvl w:val="1"/>
          <w:numId w:val="8"/>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C4A1D" w:rsidRPr="00645D73">
        <w:rPr>
          <w:rFonts w:ascii="Times New Roman" w:hAnsi="Times New Roman" w:cs="Times New Roman"/>
          <w:b/>
          <w:bCs/>
          <w:sz w:val="24"/>
          <w:szCs w:val="24"/>
        </w:rPr>
        <w:t>Internal Audit Practices and Service Delivery</w:t>
      </w:r>
    </w:p>
    <w:p w:rsidR="00DC4A1D" w:rsidRPr="00AD6D97" w:rsidRDefault="00DC4A1D" w:rsidP="00DC4A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established in the literature that Service delivery depends on the internal audit practices to an extent, </w:t>
      </w:r>
      <w:proofErr w:type="spellStart"/>
      <w:r w:rsidRPr="00AD6D97">
        <w:rPr>
          <w:rFonts w:ascii="Times New Roman" w:hAnsi="Times New Roman" w:cs="Times New Roman"/>
          <w:sz w:val="24"/>
          <w:szCs w:val="24"/>
        </w:rPr>
        <w:t>Mutua</w:t>
      </w:r>
      <w:proofErr w:type="spellEnd"/>
      <w:r w:rsidRPr="00AD6D97">
        <w:rPr>
          <w:rFonts w:ascii="Times New Roman" w:hAnsi="Times New Roman" w:cs="Times New Roman"/>
          <w:sz w:val="24"/>
          <w:szCs w:val="24"/>
        </w:rPr>
        <w:t xml:space="preserve"> and </w:t>
      </w:r>
      <w:proofErr w:type="spellStart"/>
      <w:r w:rsidRPr="00AD6D97">
        <w:rPr>
          <w:rFonts w:ascii="Times New Roman" w:hAnsi="Times New Roman" w:cs="Times New Roman"/>
          <w:sz w:val="24"/>
          <w:szCs w:val="24"/>
        </w:rPr>
        <w:t>Kabiru</w:t>
      </w:r>
      <w:proofErr w:type="spellEnd"/>
      <w:r w:rsidRPr="00AD6D97">
        <w:rPr>
          <w:rFonts w:ascii="Times New Roman" w:hAnsi="Times New Roman" w:cs="Times New Roman"/>
          <w:sz w:val="24"/>
          <w:szCs w:val="24"/>
        </w:rPr>
        <w:t xml:space="preserve"> (2016) studied the influence of internal audit quality on service delivery in Kenyan public universities. Results showed that internal auditing positively impacts service delivery by improving financial controls and compliance, although practical impediments like inadequate training and managerial support persist.</w:t>
      </w:r>
      <w:r>
        <w:rPr>
          <w:rFonts w:ascii="Times New Roman" w:hAnsi="Times New Roman" w:cs="Times New Roman"/>
          <w:sz w:val="24"/>
          <w:szCs w:val="24"/>
        </w:rPr>
        <w:t xml:space="preserve"> </w:t>
      </w:r>
      <w:proofErr w:type="spellStart"/>
      <w:r w:rsidRPr="00AD6D97">
        <w:rPr>
          <w:rFonts w:ascii="Times New Roman" w:hAnsi="Times New Roman" w:cs="Times New Roman"/>
          <w:sz w:val="24"/>
          <w:szCs w:val="24"/>
        </w:rPr>
        <w:t>Mwazo</w:t>
      </w:r>
      <w:proofErr w:type="spellEnd"/>
      <w:r w:rsidRPr="00AD6D97">
        <w:rPr>
          <w:rFonts w:ascii="Times New Roman" w:hAnsi="Times New Roman" w:cs="Times New Roman"/>
          <w:sz w:val="24"/>
          <w:szCs w:val="24"/>
        </w:rPr>
        <w:t>,</w:t>
      </w:r>
      <w:r>
        <w:rPr>
          <w:rFonts w:ascii="Times New Roman" w:hAnsi="Times New Roman" w:cs="Times New Roman"/>
          <w:sz w:val="24"/>
          <w:szCs w:val="24"/>
        </w:rPr>
        <w:t xml:space="preserve"> et al.,</w:t>
      </w:r>
      <w:r w:rsidRPr="00AD6D97">
        <w:rPr>
          <w:rFonts w:ascii="Times New Roman" w:hAnsi="Times New Roman" w:cs="Times New Roman"/>
          <w:sz w:val="24"/>
          <w:szCs w:val="24"/>
        </w:rPr>
        <w:t xml:space="preserve"> (2017) assessed management control systems, including internal auditing, at the </w:t>
      </w:r>
      <w:proofErr w:type="spellStart"/>
      <w:r w:rsidRPr="00AD6D97">
        <w:rPr>
          <w:rFonts w:ascii="Times New Roman" w:hAnsi="Times New Roman" w:cs="Times New Roman"/>
          <w:sz w:val="24"/>
          <w:szCs w:val="24"/>
        </w:rPr>
        <w:t>Taita-Taveta</w:t>
      </w:r>
      <w:proofErr w:type="spellEnd"/>
      <w:r w:rsidRPr="00AD6D97">
        <w:rPr>
          <w:rFonts w:ascii="Times New Roman" w:hAnsi="Times New Roman" w:cs="Times New Roman"/>
          <w:sz w:val="24"/>
          <w:szCs w:val="24"/>
        </w:rPr>
        <w:t xml:space="preserve"> National Treasury in Kenya. The study concluded that effective internal control mechanisms, guided by competent audit practices, enhance service delivery by reducing risks and ensuring optimal use of resources.</w:t>
      </w:r>
    </w:p>
    <w:p w:rsidR="00DC4A1D" w:rsidRPr="00AD6D97" w:rsidRDefault="00DC4A1D" w:rsidP="00DC4A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Ghana, </w:t>
      </w:r>
      <w:proofErr w:type="spellStart"/>
      <w:r w:rsidRPr="00AD6D97">
        <w:rPr>
          <w:rFonts w:ascii="Times New Roman" w:hAnsi="Times New Roman" w:cs="Times New Roman"/>
          <w:sz w:val="24"/>
          <w:szCs w:val="24"/>
        </w:rPr>
        <w:t>Agyemang</w:t>
      </w:r>
      <w:proofErr w:type="spellEnd"/>
      <w:r w:rsidRPr="00AD6D97">
        <w:rPr>
          <w:rFonts w:ascii="Times New Roman" w:hAnsi="Times New Roman" w:cs="Times New Roman"/>
          <w:sz w:val="24"/>
          <w:szCs w:val="24"/>
        </w:rPr>
        <w:t xml:space="preserve"> and </w:t>
      </w:r>
      <w:proofErr w:type="spellStart"/>
      <w:r w:rsidRPr="00AD6D97">
        <w:rPr>
          <w:rFonts w:ascii="Times New Roman" w:hAnsi="Times New Roman" w:cs="Times New Roman"/>
          <w:sz w:val="24"/>
          <w:szCs w:val="24"/>
        </w:rPr>
        <w:t>Castellini</w:t>
      </w:r>
      <w:proofErr w:type="spellEnd"/>
      <w:r w:rsidRPr="00AD6D97">
        <w:rPr>
          <w:rFonts w:ascii="Times New Roman" w:hAnsi="Times New Roman" w:cs="Times New Roman"/>
          <w:sz w:val="24"/>
          <w:szCs w:val="24"/>
        </w:rPr>
        <w:t xml:space="preserve"> (2018) analyzed the role of internal audit in improving service delivery in Ghanaian public institutions. Their quantitative survey demonstrated that well-resourced and independent audit units enhance transparency and operational efficiency, contributing to higher public satisfaction with government services.</w:t>
      </w:r>
      <w:r>
        <w:rPr>
          <w:rFonts w:ascii="Times New Roman" w:hAnsi="Times New Roman" w:cs="Times New Roman"/>
          <w:sz w:val="24"/>
          <w:szCs w:val="24"/>
        </w:rPr>
        <w:t xml:space="preserve"> </w:t>
      </w:r>
      <w:proofErr w:type="spellStart"/>
      <w:r w:rsidRPr="00AD6D97">
        <w:rPr>
          <w:rFonts w:ascii="Times New Roman" w:hAnsi="Times New Roman" w:cs="Times New Roman"/>
          <w:sz w:val="24"/>
          <w:szCs w:val="24"/>
        </w:rPr>
        <w:t>Chebet</w:t>
      </w:r>
      <w:proofErr w:type="spellEnd"/>
      <w:r w:rsidRPr="00AD6D97">
        <w:rPr>
          <w:rFonts w:ascii="Times New Roman" w:hAnsi="Times New Roman" w:cs="Times New Roman"/>
          <w:sz w:val="24"/>
          <w:szCs w:val="24"/>
        </w:rPr>
        <w:t xml:space="preserve">, </w:t>
      </w:r>
      <w:r>
        <w:rPr>
          <w:rFonts w:ascii="Times New Roman" w:hAnsi="Times New Roman" w:cs="Times New Roman"/>
          <w:sz w:val="24"/>
          <w:szCs w:val="24"/>
        </w:rPr>
        <w:t>et al.,</w:t>
      </w:r>
      <w:r w:rsidRPr="00AD6D97">
        <w:rPr>
          <w:rFonts w:ascii="Times New Roman" w:hAnsi="Times New Roman" w:cs="Times New Roman"/>
          <w:sz w:val="24"/>
          <w:szCs w:val="24"/>
        </w:rPr>
        <w:t xml:space="preserve"> (2018) studied the effects of internal audit function on service delivery in </w:t>
      </w:r>
      <w:proofErr w:type="spellStart"/>
      <w:r w:rsidRPr="00AD6D97">
        <w:rPr>
          <w:rFonts w:ascii="Times New Roman" w:hAnsi="Times New Roman" w:cs="Times New Roman"/>
          <w:sz w:val="24"/>
          <w:szCs w:val="24"/>
        </w:rPr>
        <w:t>Bomet</w:t>
      </w:r>
      <w:proofErr w:type="spellEnd"/>
      <w:r w:rsidRPr="00AD6D97">
        <w:rPr>
          <w:rFonts w:ascii="Times New Roman" w:hAnsi="Times New Roman" w:cs="Times New Roman"/>
          <w:sz w:val="24"/>
          <w:szCs w:val="24"/>
        </w:rPr>
        <w:t xml:space="preserve"> County, Kenya. They found that </w:t>
      </w:r>
      <w:r w:rsidRPr="00AD6D97">
        <w:rPr>
          <w:rFonts w:ascii="Times New Roman" w:hAnsi="Times New Roman" w:cs="Times New Roman"/>
          <w:sz w:val="24"/>
          <w:szCs w:val="24"/>
        </w:rPr>
        <w:lastRenderedPageBreak/>
        <w:t>auditor independence and authority positively impact service delivery. Furthermore, technical competency in risk profiling, financial analysis, and use of ICT were significant in enhancing internal audit performance, which in turn improved organizational service delivery.</w:t>
      </w:r>
    </w:p>
    <w:p w:rsidR="00DC4A1D" w:rsidRDefault="00DC4A1D" w:rsidP="00DC4A1D">
      <w:pPr>
        <w:spacing w:after="0" w:line="360" w:lineRule="auto"/>
        <w:jc w:val="both"/>
        <w:rPr>
          <w:rFonts w:ascii="Times New Roman" w:hAnsi="Times New Roman" w:cs="Times New Roman"/>
          <w:sz w:val="24"/>
          <w:szCs w:val="24"/>
        </w:rPr>
      </w:pPr>
      <w:proofErr w:type="spellStart"/>
      <w:r w:rsidRPr="00AD6D97">
        <w:rPr>
          <w:rFonts w:ascii="Times New Roman" w:hAnsi="Times New Roman" w:cs="Times New Roman"/>
          <w:sz w:val="24"/>
          <w:szCs w:val="24"/>
        </w:rPr>
        <w:t>Alipour</w:t>
      </w:r>
      <w:proofErr w:type="spellEnd"/>
      <w:r w:rsidRPr="00AD6D97">
        <w:rPr>
          <w:rFonts w:ascii="Times New Roman" w:hAnsi="Times New Roman" w:cs="Times New Roman"/>
          <w:sz w:val="24"/>
          <w:szCs w:val="24"/>
        </w:rPr>
        <w:t xml:space="preserve">, </w:t>
      </w:r>
      <w:r>
        <w:rPr>
          <w:rFonts w:ascii="Times New Roman" w:hAnsi="Times New Roman" w:cs="Times New Roman"/>
          <w:sz w:val="24"/>
          <w:szCs w:val="24"/>
        </w:rPr>
        <w:t>et al.,</w:t>
      </w:r>
      <w:r w:rsidRPr="00AD6D97">
        <w:rPr>
          <w:rFonts w:ascii="Times New Roman" w:hAnsi="Times New Roman" w:cs="Times New Roman"/>
          <w:sz w:val="24"/>
          <w:szCs w:val="24"/>
        </w:rPr>
        <w:t xml:space="preserve"> (2019) examined the linkage between audit quality and public service delivery in Iran. The study empirically confirmed that internal audit quality positively affects service delivery metrics, highlighting the need for auditor competence and structural independence</w:t>
      </w:r>
      <w:r>
        <w:rPr>
          <w:rFonts w:ascii="Times New Roman" w:hAnsi="Times New Roman" w:cs="Times New Roman"/>
          <w:sz w:val="24"/>
          <w:szCs w:val="24"/>
        </w:rPr>
        <w:t xml:space="preserve">. </w:t>
      </w:r>
      <w:r w:rsidRPr="00AD6D97">
        <w:rPr>
          <w:rFonts w:ascii="Times New Roman" w:hAnsi="Times New Roman" w:cs="Times New Roman"/>
          <w:sz w:val="24"/>
          <w:szCs w:val="24"/>
        </w:rPr>
        <w:t>Rahman</w:t>
      </w:r>
      <w:r>
        <w:rPr>
          <w:rFonts w:ascii="Times New Roman" w:hAnsi="Times New Roman" w:cs="Times New Roman"/>
          <w:sz w:val="24"/>
          <w:szCs w:val="24"/>
        </w:rPr>
        <w:t>,</w:t>
      </w:r>
      <w:r w:rsidRPr="00AD6D97">
        <w:rPr>
          <w:rFonts w:ascii="Times New Roman" w:hAnsi="Times New Roman" w:cs="Times New Roman"/>
          <w:sz w:val="24"/>
          <w:szCs w:val="24"/>
        </w:rPr>
        <w:t xml:space="preserve"> (2019) conducted a cross-country comparative study on internal audit effectiveness in the public sector. They found that countries with established internal audit frameworks experience more transparent governance and better service delivery through reduced corruption and enhanced resource management.</w:t>
      </w:r>
    </w:p>
    <w:p w:rsidR="00DC4A1D" w:rsidRPr="00AD6D97" w:rsidRDefault="00DC4A1D" w:rsidP="00DC4A1D">
      <w:pPr>
        <w:spacing w:after="0" w:line="360" w:lineRule="auto"/>
        <w:jc w:val="both"/>
        <w:rPr>
          <w:rFonts w:ascii="Times New Roman" w:hAnsi="Times New Roman" w:cs="Times New Roman"/>
          <w:sz w:val="24"/>
          <w:szCs w:val="24"/>
        </w:rPr>
      </w:pPr>
      <w:proofErr w:type="spellStart"/>
      <w:r w:rsidRPr="00AD6D97">
        <w:rPr>
          <w:rFonts w:ascii="Times New Roman" w:hAnsi="Times New Roman" w:cs="Times New Roman"/>
          <w:sz w:val="24"/>
          <w:szCs w:val="24"/>
        </w:rPr>
        <w:t>Kabubo-Mariara</w:t>
      </w:r>
      <w:proofErr w:type="spellEnd"/>
      <w:r w:rsidRPr="00AD6D97">
        <w:rPr>
          <w:rFonts w:ascii="Times New Roman" w:hAnsi="Times New Roman" w:cs="Times New Roman"/>
          <w:sz w:val="24"/>
          <w:szCs w:val="24"/>
        </w:rPr>
        <w:t xml:space="preserve"> and </w:t>
      </w:r>
      <w:proofErr w:type="spellStart"/>
      <w:r w:rsidRPr="00AD6D97">
        <w:rPr>
          <w:rFonts w:ascii="Times New Roman" w:hAnsi="Times New Roman" w:cs="Times New Roman"/>
          <w:sz w:val="24"/>
          <w:szCs w:val="24"/>
        </w:rPr>
        <w:t>Mwabu</w:t>
      </w:r>
      <w:proofErr w:type="spellEnd"/>
      <w:r w:rsidRPr="00AD6D97">
        <w:rPr>
          <w:rFonts w:ascii="Times New Roman" w:hAnsi="Times New Roman" w:cs="Times New Roman"/>
          <w:sz w:val="24"/>
          <w:szCs w:val="24"/>
        </w:rPr>
        <w:t xml:space="preserve"> (2020) explored the impacts of public sector financial audits on service delivery in Kenyan counties. The findings underscored positive effects on infrastructure quality and health service outputs, emphasizing that internal audits are central to improving government accountability and efficiency</w:t>
      </w:r>
      <w:r>
        <w:rPr>
          <w:rFonts w:ascii="Times New Roman" w:hAnsi="Times New Roman" w:cs="Times New Roman"/>
          <w:sz w:val="24"/>
          <w:szCs w:val="24"/>
        </w:rPr>
        <w:t xml:space="preserve">.  </w:t>
      </w:r>
      <w:r w:rsidRPr="00AD6D97">
        <w:rPr>
          <w:rFonts w:ascii="Times New Roman" w:hAnsi="Times New Roman" w:cs="Times New Roman"/>
          <w:sz w:val="24"/>
          <w:szCs w:val="24"/>
        </w:rPr>
        <w:t>Dreyer,</w:t>
      </w:r>
      <w:r>
        <w:rPr>
          <w:rFonts w:ascii="Times New Roman" w:hAnsi="Times New Roman" w:cs="Times New Roman"/>
          <w:sz w:val="24"/>
          <w:szCs w:val="24"/>
        </w:rPr>
        <w:t xml:space="preserve"> et al., </w:t>
      </w:r>
      <w:r w:rsidRPr="00AD6D97">
        <w:rPr>
          <w:rFonts w:ascii="Times New Roman" w:hAnsi="Times New Roman" w:cs="Times New Roman"/>
          <w:sz w:val="24"/>
          <w:szCs w:val="24"/>
        </w:rPr>
        <w:t>(2022) focused on South African municipalities and reviewed the statutory roles and challenges of internal auditors related to service delivery. The study highlighted that internal audit units assist management in addressing service delivery issues by identifying control weaknesses and recommending corrective actions. However, challenges such as limited resources and political interference hamper effectiveness.</w:t>
      </w:r>
    </w:p>
    <w:p w:rsidR="00DC4A1D" w:rsidRDefault="00DC4A1D" w:rsidP="00DC4A1D">
      <w:pPr>
        <w:spacing w:after="0" w:line="360" w:lineRule="auto"/>
        <w:jc w:val="both"/>
        <w:rPr>
          <w:rFonts w:ascii="Times New Roman" w:hAnsi="Times New Roman" w:cs="Times New Roman"/>
          <w:sz w:val="24"/>
          <w:szCs w:val="24"/>
        </w:rPr>
      </w:pPr>
      <w:r w:rsidRPr="00AD6D97">
        <w:rPr>
          <w:rFonts w:ascii="Times New Roman" w:hAnsi="Times New Roman" w:cs="Times New Roman"/>
          <w:sz w:val="24"/>
          <w:szCs w:val="24"/>
        </w:rPr>
        <w:t xml:space="preserve">Oni and </w:t>
      </w:r>
      <w:proofErr w:type="spellStart"/>
      <w:r w:rsidRPr="00AD6D97">
        <w:rPr>
          <w:rFonts w:ascii="Times New Roman" w:hAnsi="Times New Roman" w:cs="Times New Roman"/>
          <w:sz w:val="24"/>
          <w:szCs w:val="24"/>
        </w:rPr>
        <w:t>Adejuwon</w:t>
      </w:r>
      <w:proofErr w:type="spellEnd"/>
      <w:r w:rsidRPr="00AD6D97">
        <w:rPr>
          <w:rFonts w:ascii="Times New Roman" w:hAnsi="Times New Roman" w:cs="Times New Roman"/>
          <w:sz w:val="24"/>
          <w:szCs w:val="24"/>
        </w:rPr>
        <w:t xml:space="preserve"> (2025) examined internal audit practices and local government performance in Oyo State, Nigeria. Their findings showed that internal auditor independence, monitoring, and competency significantly influence financial management, accountability, and service delivery outcomes, with auditor independence being the most impactful factor.</w:t>
      </w:r>
    </w:p>
    <w:p w:rsidR="00DC4A1D" w:rsidRDefault="00DC4A1D" w:rsidP="00DC4A1D">
      <w:pPr>
        <w:spacing w:after="0" w:line="360" w:lineRule="auto"/>
        <w:jc w:val="both"/>
        <w:rPr>
          <w:rFonts w:ascii="Times New Roman" w:hAnsi="Times New Roman" w:cs="Times New Roman"/>
          <w:sz w:val="24"/>
          <w:szCs w:val="24"/>
        </w:rPr>
      </w:pPr>
    </w:p>
    <w:p w:rsidR="00B7765A" w:rsidRPr="00B7765A" w:rsidRDefault="00B7765A" w:rsidP="00DC4A1D">
      <w:pPr>
        <w:pStyle w:val="ListParagraph"/>
        <w:numPr>
          <w:ilvl w:val="0"/>
          <w:numId w:val="8"/>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rsidR="00DC4A1D" w:rsidRDefault="00DC4A1D" w:rsidP="00DC4A1D">
      <w:pPr>
        <w:spacing w:after="0" w:line="360" w:lineRule="auto"/>
        <w:jc w:val="both"/>
        <w:rPr>
          <w:rFonts w:ascii="Times New Roman" w:hAnsi="Times New Roman" w:cs="Times New Roman"/>
          <w:sz w:val="24"/>
          <w:szCs w:val="24"/>
        </w:rPr>
      </w:pPr>
      <w:r w:rsidRPr="00B7765A">
        <w:rPr>
          <w:rFonts w:ascii="Times New Roman" w:hAnsi="Times New Roman" w:cs="Times New Roman"/>
          <w:sz w:val="24"/>
          <w:szCs w:val="24"/>
        </w:rPr>
        <w:t xml:space="preserve">This study adopts a survey research design, using the quantitative research approach to examine the effect of internal audit </w:t>
      </w:r>
      <w:r w:rsidR="00B7765A">
        <w:rPr>
          <w:rFonts w:ascii="Times New Roman" w:hAnsi="Times New Roman" w:cs="Times New Roman"/>
          <w:sz w:val="24"/>
          <w:szCs w:val="24"/>
        </w:rPr>
        <w:t>practices on efficient service delivery</w:t>
      </w:r>
      <w:r w:rsidRPr="00B7765A">
        <w:rPr>
          <w:rFonts w:ascii="Times New Roman" w:hAnsi="Times New Roman" w:cs="Times New Roman"/>
          <w:sz w:val="24"/>
          <w:szCs w:val="24"/>
        </w:rPr>
        <w:t xml:space="preserve"> in Government Business Enterprises (GBEs) within Ogun State, Nigeria. The descriptive and explanatory design enables the collection of primary data to evaluate the effect of internal audit dimensions</w:t>
      </w:r>
      <w:r w:rsidR="00B7765A">
        <w:rPr>
          <w:rFonts w:ascii="Times New Roman" w:hAnsi="Times New Roman" w:cs="Times New Roman"/>
          <w:sz w:val="24"/>
          <w:szCs w:val="24"/>
        </w:rPr>
        <w:t>.</w:t>
      </w:r>
      <w:r w:rsidRPr="00B7765A">
        <w:rPr>
          <w:rFonts w:ascii="Times New Roman" w:hAnsi="Times New Roman" w:cs="Times New Roman"/>
          <w:sz w:val="24"/>
          <w:szCs w:val="24"/>
        </w:rPr>
        <w:t xml:space="preserve"> </w:t>
      </w:r>
      <w:r w:rsidRPr="000832D5">
        <w:rPr>
          <w:rFonts w:ascii="Times New Roman" w:hAnsi="Times New Roman" w:cs="Times New Roman"/>
          <w:sz w:val="24"/>
          <w:szCs w:val="24"/>
        </w:rPr>
        <w:t xml:space="preserve">The </w:t>
      </w:r>
      <w:r w:rsidR="00B7765A">
        <w:rPr>
          <w:rFonts w:ascii="Times New Roman" w:hAnsi="Times New Roman" w:cs="Times New Roman"/>
          <w:sz w:val="24"/>
          <w:szCs w:val="24"/>
        </w:rPr>
        <w:t xml:space="preserve">study </w:t>
      </w:r>
      <w:r w:rsidRPr="000832D5">
        <w:rPr>
          <w:rFonts w:ascii="Times New Roman" w:hAnsi="Times New Roman" w:cs="Times New Roman"/>
          <w:sz w:val="24"/>
          <w:szCs w:val="24"/>
        </w:rPr>
        <w:t xml:space="preserve">population comprises </w:t>
      </w:r>
      <w:r w:rsidR="00B7765A">
        <w:rPr>
          <w:rFonts w:ascii="Times New Roman" w:hAnsi="Times New Roman" w:cs="Times New Roman"/>
          <w:sz w:val="24"/>
          <w:szCs w:val="24"/>
        </w:rPr>
        <w:t xml:space="preserve">of the entire personnel of fifteen (15) </w:t>
      </w:r>
      <w:r>
        <w:rPr>
          <w:rFonts w:ascii="Times New Roman" w:hAnsi="Times New Roman" w:cs="Times New Roman"/>
          <w:sz w:val="24"/>
          <w:szCs w:val="24"/>
        </w:rPr>
        <w:t>GBE’s</w:t>
      </w:r>
      <w:r w:rsidR="00B7765A">
        <w:rPr>
          <w:rFonts w:ascii="Times New Roman" w:hAnsi="Times New Roman" w:cs="Times New Roman"/>
          <w:sz w:val="24"/>
          <w:szCs w:val="24"/>
        </w:rPr>
        <w:t xml:space="preserve"> in Ogun State.</w:t>
      </w:r>
      <w:r>
        <w:t xml:space="preserve"> </w:t>
      </w:r>
      <w:r w:rsidRPr="000832D5">
        <w:rPr>
          <w:rFonts w:ascii="Times New Roman" w:hAnsi="Times New Roman" w:cs="Times New Roman"/>
          <w:sz w:val="24"/>
          <w:szCs w:val="24"/>
        </w:rPr>
        <w:t>The targeted respondents are internal auditors, finance officers, and managers directly involved in financial management and audit activities.</w:t>
      </w:r>
      <w:r>
        <w:rPr>
          <w:rFonts w:ascii="Times New Roman" w:hAnsi="Times New Roman" w:cs="Times New Roman"/>
          <w:sz w:val="24"/>
          <w:szCs w:val="24"/>
        </w:rPr>
        <w:t xml:space="preserve"> The population of the personnel in the above stated GBEs is </w:t>
      </w:r>
      <w:r>
        <w:rPr>
          <w:rFonts w:ascii="Times New Roman" w:hAnsi="Times New Roman" w:cs="Times New Roman"/>
          <w:sz w:val="24"/>
          <w:szCs w:val="24"/>
        </w:rPr>
        <w:lastRenderedPageBreak/>
        <w:t>2,235 Two Thousand, Two Hundred</w:t>
      </w:r>
      <w:r w:rsidR="00B7765A">
        <w:rPr>
          <w:rFonts w:ascii="Times New Roman" w:hAnsi="Times New Roman" w:cs="Times New Roman"/>
          <w:sz w:val="24"/>
          <w:szCs w:val="24"/>
        </w:rPr>
        <w:t xml:space="preserve"> and Thirty-Five as at March, 2026</w:t>
      </w:r>
      <w:r>
        <w:rPr>
          <w:rFonts w:ascii="Times New Roman" w:hAnsi="Times New Roman" w:cs="Times New Roman"/>
          <w:sz w:val="24"/>
          <w:szCs w:val="24"/>
        </w:rPr>
        <w:t xml:space="preserve"> presented in the official gazette.</w:t>
      </w:r>
    </w:p>
    <w:p w:rsidR="00B7765A" w:rsidRPr="00B7765A" w:rsidRDefault="00B7765A" w:rsidP="00B7765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With a population size of 2,235, the study will employ the </w:t>
      </w:r>
      <w:proofErr w:type="spellStart"/>
      <w:r>
        <w:rPr>
          <w:rFonts w:ascii="Times New Roman" w:hAnsi="Times New Roman" w:cs="Times New Roman"/>
          <w:sz w:val="24"/>
          <w:szCs w:val="24"/>
        </w:rPr>
        <w:t>Tyaro</w:t>
      </w:r>
      <w:proofErr w:type="spellEnd"/>
      <w:r>
        <w:rPr>
          <w:rFonts w:ascii="Times New Roman" w:hAnsi="Times New Roman" w:cs="Times New Roman"/>
          <w:sz w:val="24"/>
          <w:szCs w:val="24"/>
        </w:rPr>
        <w:t xml:space="preserve"> Yamane’s formula for determination of appropriate sample size.  </w:t>
      </w:r>
      <w:r w:rsidRPr="00693787">
        <w:rPr>
          <w:rFonts w:ascii="Times New Roman" w:hAnsi="Times New Roman" w:cs="Times New Roman"/>
          <w:sz w:val="24"/>
          <w:szCs w:val="24"/>
        </w:rPr>
        <w:t>Yamane's formula:</w:t>
      </w:r>
    </w:p>
    <w:p w:rsidR="00B7765A" w:rsidRDefault="00B7765A" w:rsidP="00B7765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 </w:t>
      </w:r>
      <w:r w:rsidRPr="00693787">
        <w:rPr>
          <w:rFonts w:ascii="Times New Roman" w:hAnsi="Times New Roman" w:cs="Times New Roman"/>
          <w:sz w:val="24"/>
          <w:szCs w:val="24"/>
        </w:rPr>
        <w:t>=</w:t>
      </w:r>
      <w:r>
        <w:rPr>
          <w:rFonts w:ascii="Times New Roman" w:hAnsi="Times New Roman" w:cs="Times New Roman"/>
          <w:sz w:val="24"/>
          <w:szCs w:val="24"/>
        </w:rPr>
        <w:t xml:space="preserve">   </w:t>
      </w:r>
      <w:r w:rsidRPr="00693787">
        <w:rPr>
          <w:rFonts w:ascii="Times New Roman" w:hAnsi="Times New Roman" w:cs="Times New Roman"/>
          <w:sz w:val="24"/>
          <w:szCs w:val="24"/>
          <w:u w:val="single"/>
        </w:rPr>
        <w:t>N</w:t>
      </w:r>
      <w:r w:rsidRPr="00693787">
        <w:rPr>
          <w:rFonts w:ascii="Times New Roman" w:hAnsi="Times New Roman" w:cs="Times New Roman"/>
          <w:sz w:val="24"/>
          <w:szCs w:val="24"/>
          <w:u w:val="single"/>
        </w:rPr>
        <w:tab/>
      </w:r>
    </w:p>
    <w:p w:rsidR="00B7765A" w:rsidRDefault="00B7765A" w:rsidP="00B7765A">
      <w:pPr>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93787">
        <w:rPr>
          <w:rFonts w:ascii="Times New Roman" w:hAnsi="Times New Roman" w:cs="Times New Roman"/>
          <w:sz w:val="24"/>
          <w:szCs w:val="24"/>
        </w:rPr>
        <w:t>1+</w:t>
      </w:r>
      <w:proofErr w:type="gramStart"/>
      <w:r w:rsidRPr="00693787">
        <w:rPr>
          <w:rFonts w:ascii="Times New Roman" w:hAnsi="Times New Roman" w:cs="Times New Roman"/>
          <w:sz w:val="24"/>
          <w:szCs w:val="24"/>
        </w:rPr>
        <w:t>N(</w:t>
      </w:r>
      <w:proofErr w:type="gramEnd"/>
      <w:r w:rsidRPr="00693787">
        <w:rPr>
          <w:rFonts w:ascii="Times New Roman" w:hAnsi="Times New Roman" w:cs="Times New Roman"/>
          <w:sz w:val="24"/>
          <w:szCs w:val="24"/>
        </w:rPr>
        <w:t>e)</w:t>
      </w:r>
      <w:r w:rsidRPr="00693787">
        <w:rPr>
          <w:rFonts w:ascii="Times New Roman" w:hAnsi="Times New Roman" w:cs="Times New Roman"/>
          <w:sz w:val="24"/>
          <w:szCs w:val="24"/>
          <w:vertAlign w:val="superscript"/>
        </w:rPr>
        <w:t>2</w:t>
      </w:r>
    </w:p>
    <w:p w:rsidR="00B7765A" w:rsidRDefault="00B7765A" w:rsidP="00B7765A">
      <w:pPr>
        <w:pStyle w:val="my-2"/>
      </w:pPr>
      <w:r>
        <w:t>Substituting values:</w:t>
      </w:r>
    </w:p>
    <w:p w:rsidR="00B7765A" w:rsidRPr="00DA020F" w:rsidRDefault="00B7765A" w:rsidP="00B7765A">
      <w:pPr>
        <w:rPr>
          <w:rStyle w:val="katex-mathml"/>
          <w:rFonts w:ascii="Times New Roman" w:hAnsi="Times New Roman" w:cs="Times New Roman"/>
          <w:sz w:val="24"/>
          <w:szCs w:val="24"/>
          <w:u w:val="single"/>
        </w:rPr>
      </w:pPr>
      <w:r w:rsidRPr="00DA020F">
        <w:rPr>
          <w:rStyle w:val="katex-mathml"/>
          <w:rFonts w:ascii="Times New Roman" w:hAnsi="Times New Roman" w:cs="Times New Roman"/>
          <w:sz w:val="24"/>
          <w:szCs w:val="24"/>
        </w:rPr>
        <w:t xml:space="preserve">n= </w:t>
      </w:r>
      <w:r>
        <w:rPr>
          <w:rStyle w:val="katex-mathml"/>
          <w:rFonts w:ascii="Times New Roman" w:hAnsi="Times New Roman" w:cs="Times New Roman"/>
          <w:sz w:val="24"/>
          <w:szCs w:val="24"/>
        </w:rPr>
        <w:t xml:space="preserve">  </w:t>
      </w:r>
      <w:r w:rsidRPr="00DA020F">
        <w:rPr>
          <w:rStyle w:val="katex-mathml"/>
          <w:rFonts w:ascii="Times New Roman" w:hAnsi="Times New Roman" w:cs="Times New Roman"/>
          <w:sz w:val="24"/>
          <w:szCs w:val="24"/>
        </w:rPr>
        <w:t xml:space="preserve"> </w:t>
      </w:r>
      <w:r w:rsidRPr="00DA020F">
        <w:rPr>
          <w:rStyle w:val="katex-mathml"/>
          <w:rFonts w:ascii="Times New Roman" w:hAnsi="Times New Roman" w:cs="Times New Roman"/>
          <w:sz w:val="24"/>
          <w:szCs w:val="24"/>
          <w:u w:val="single"/>
        </w:rPr>
        <w:t xml:space="preserve">2235 </w:t>
      </w:r>
      <w:r w:rsidRPr="00DA020F">
        <w:rPr>
          <w:rStyle w:val="katex-mathml"/>
          <w:rFonts w:ascii="Times New Roman" w:hAnsi="Times New Roman" w:cs="Times New Roman"/>
          <w:sz w:val="24"/>
          <w:szCs w:val="24"/>
        </w:rPr>
        <w:t xml:space="preserve">        </w:t>
      </w:r>
      <w:r w:rsidR="003F4CFE">
        <w:rPr>
          <w:rStyle w:val="katex-mathml"/>
          <w:rFonts w:ascii="Times New Roman" w:hAnsi="Times New Roman" w:cs="Times New Roman"/>
          <w:sz w:val="24"/>
          <w:szCs w:val="24"/>
        </w:rPr>
        <w:t xml:space="preserve">       </w:t>
      </w:r>
      <w:r w:rsidRPr="00DA020F">
        <w:rPr>
          <w:rStyle w:val="katex-mathml"/>
          <w:rFonts w:ascii="Times New Roman" w:hAnsi="Times New Roman" w:cs="Times New Roman"/>
          <w:sz w:val="24"/>
          <w:szCs w:val="24"/>
        </w:rPr>
        <w:t xml:space="preserve"> =</w:t>
      </w:r>
      <w:r w:rsidRPr="00DA020F">
        <w:rPr>
          <w:rStyle w:val="katex-mathml"/>
          <w:rFonts w:ascii="Times New Roman" w:hAnsi="Times New Roman" w:cs="Times New Roman"/>
          <w:sz w:val="24"/>
          <w:szCs w:val="24"/>
        </w:rPr>
        <w:tab/>
      </w:r>
      <w:r w:rsidRPr="00DA020F">
        <w:rPr>
          <w:rStyle w:val="katex-mathml"/>
          <w:rFonts w:ascii="Times New Roman" w:hAnsi="Times New Roman" w:cs="Times New Roman"/>
          <w:sz w:val="24"/>
          <w:szCs w:val="24"/>
        </w:rPr>
        <w:tab/>
      </w:r>
      <w:r w:rsidRPr="00DA020F">
        <w:rPr>
          <w:rStyle w:val="katex-mathml"/>
          <w:rFonts w:ascii="Times New Roman" w:hAnsi="Times New Roman" w:cs="Times New Roman"/>
          <w:sz w:val="24"/>
          <w:szCs w:val="24"/>
          <w:u w:val="single"/>
        </w:rPr>
        <w:t>2235</w:t>
      </w:r>
      <w:r w:rsidRPr="00DA020F">
        <w:rPr>
          <w:rStyle w:val="katex-mathml"/>
          <w:rFonts w:ascii="Times New Roman" w:hAnsi="Times New Roman" w:cs="Times New Roman"/>
          <w:sz w:val="24"/>
          <w:szCs w:val="24"/>
        </w:rPr>
        <w:tab/>
      </w:r>
      <w:r w:rsidRPr="00DA020F">
        <w:rPr>
          <w:rStyle w:val="katex-mathml"/>
          <w:rFonts w:ascii="Times New Roman" w:hAnsi="Times New Roman" w:cs="Times New Roman"/>
          <w:sz w:val="24"/>
          <w:szCs w:val="24"/>
        </w:rPr>
        <w:tab/>
        <w:t xml:space="preserve">=   </w:t>
      </w:r>
      <w:r w:rsidRPr="00DA020F">
        <w:rPr>
          <w:rStyle w:val="katex-mathml"/>
          <w:rFonts w:ascii="Times New Roman" w:hAnsi="Times New Roman" w:cs="Times New Roman"/>
          <w:sz w:val="24"/>
          <w:szCs w:val="24"/>
          <w:u w:val="single"/>
        </w:rPr>
        <w:t>2235</w:t>
      </w:r>
      <w:r w:rsidRPr="00DA020F">
        <w:rPr>
          <w:rStyle w:val="katex-mathml"/>
          <w:rFonts w:ascii="Times New Roman" w:hAnsi="Times New Roman" w:cs="Times New Roman"/>
          <w:sz w:val="24"/>
          <w:szCs w:val="24"/>
        </w:rPr>
        <w:t xml:space="preserve">       =     </w:t>
      </w:r>
      <w:r>
        <w:rPr>
          <w:rStyle w:val="katex-mathml"/>
          <w:rFonts w:ascii="Times New Roman" w:hAnsi="Times New Roman" w:cs="Times New Roman"/>
          <w:sz w:val="24"/>
          <w:szCs w:val="24"/>
        </w:rPr>
        <w:t xml:space="preserve">    </w:t>
      </w:r>
      <w:r w:rsidRPr="00DA020F">
        <w:rPr>
          <w:rStyle w:val="katex-mathml"/>
          <w:rFonts w:ascii="Times New Roman" w:hAnsi="Times New Roman" w:cs="Times New Roman"/>
          <w:sz w:val="24"/>
          <w:szCs w:val="24"/>
          <w:u w:val="single"/>
        </w:rPr>
        <w:t>2235</w:t>
      </w:r>
      <w:r w:rsidRPr="00DA020F">
        <w:rPr>
          <w:rStyle w:val="katex-mathml"/>
          <w:rFonts w:ascii="Times New Roman" w:hAnsi="Times New Roman" w:cs="Times New Roman"/>
          <w:sz w:val="24"/>
          <w:szCs w:val="24"/>
        </w:rPr>
        <w:t xml:space="preserve">      =   ≈339</w:t>
      </w:r>
    </w:p>
    <w:p w:rsidR="00B7765A" w:rsidRPr="00DA020F" w:rsidRDefault="00B7765A" w:rsidP="00B7765A">
      <w:pPr>
        <w:rPr>
          <w:rFonts w:ascii="Times New Roman" w:hAnsi="Times New Roman" w:cs="Times New Roman"/>
          <w:sz w:val="24"/>
          <w:szCs w:val="24"/>
        </w:rPr>
      </w:pPr>
      <w:r w:rsidRPr="00DA020F">
        <w:rPr>
          <w:rStyle w:val="katex-mathml"/>
          <w:rFonts w:ascii="Times New Roman" w:hAnsi="Times New Roman" w:cs="Times New Roman"/>
          <w:sz w:val="24"/>
          <w:szCs w:val="24"/>
        </w:rPr>
        <w:t>1+2235(0.05)</w:t>
      </w:r>
      <w:r w:rsidRPr="00DA020F">
        <w:rPr>
          <w:rStyle w:val="katex-mathml"/>
          <w:rFonts w:ascii="Times New Roman" w:hAnsi="Times New Roman" w:cs="Times New Roman"/>
          <w:sz w:val="24"/>
          <w:szCs w:val="24"/>
          <w:vertAlign w:val="superscript"/>
        </w:rPr>
        <w:t>2</w:t>
      </w:r>
      <w:r w:rsidRPr="00DA020F">
        <w:rPr>
          <w:rStyle w:val="katex-mathml"/>
          <w:rFonts w:ascii="Times New Roman" w:hAnsi="Times New Roman" w:cs="Times New Roman"/>
          <w:sz w:val="24"/>
          <w:szCs w:val="24"/>
        </w:rPr>
        <w:t xml:space="preserve">  </w:t>
      </w:r>
      <w:r w:rsidRPr="00DA020F">
        <w:rPr>
          <w:rStyle w:val="katex-mathml"/>
          <w:rFonts w:ascii="Times New Roman" w:hAnsi="Times New Roman" w:cs="Times New Roman"/>
          <w:sz w:val="24"/>
          <w:szCs w:val="24"/>
        </w:rPr>
        <w:tab/>
        <w:t xml:space="preserve">       1+2235(0.0025)       1+5.5875            6.5875     </w:t>
      </w:r>
    </w:p>
    <w:p w:rsidR="00DC4A1D" w:rsidRPr="003F4CFE" w:rsidRDefault="00B7765A" w:rsidP="00B7765A">
      <w:pPr>
        <w:spacing w:after="0" w:line="360" w:lineRule="auto"/>
        <w:jc w:val="both"/>
        <w:rPr>
          <w:rFonts w:ascii="Times New Roman" w:hAnsi="Times New Roman" w:cs="Times New Roman"/>
          <w:sz w:val="24"/>
          <w:szCs w:val="24"/>
        </w:rPr>
      </w:pPr>
      <w:r w:rsidRPr="003F4CFE">
        <w:rPr>
          <w:rFonts w:ascii="Times New Roman" w:hAnsi="Times New Roman" w:cs="Times New Roman"/>
          <w:sz w:val="24"/>
          <w:szCs w:val="24"/>
        </w:rPr>
        <w:t xml:space="preserve">Rounded up, the </w:t>
      </w:r>
      <w:r w:rsidRPr="003F4CFE">
        <w:rPr>
          <w:rStyle w:val="Strong"/>
          <w:rFonts w:ascii="Times New Roman" w:hAnsi="Times New Roman" w:cs="Times New Roman"/>
          <w:b w:val="0"/>
          <w:sz w:val="24"/>
          <w:szCs w:val="24"/>
        </w:rPr>
        <w:t>sample size is approximately 340 respondents</w:t>
      </w:r>
      <w:r w:rsidRPr="003F4CFE">
        <w:rPr>
          <w:rFonts w:ascii="Times New Roman" w:hAnsi="Times New Roman" w:cs="Times New Roman"/>
          <w:sz w:val="24"/>
          <w:szCs w:val="24"/>
        </w:rPr>
        <w:t>.</w:t>
      </w:r>
      <w:r w:rsidR="003F4CFE" w:rsidRPr="003F4CFE">
        <w:rPr>
          <w:rFonts w:ascii="Times New Roman" w:hAnsi="Times New Roman" w:cs="Times New Roman"/>
          <w:sz w:val="24"/>
          <w:szCs w:val="24"/>
        </w:rPr>
        <w:t xml:space="preserve"> The simple random sampling technique was employed to choose the respondents from the selected GBEs.</w:t>
      </w:r>
      <w:r w:rsidR="003F4CFE" w:rsidRPr="003F4CFE">
        <w:rPr>
          <w:rFonts w:ascii="Times New Roman" w:hAnsi="Times New Roman" w:cs="Times New Roman"/>
          <w:b/>
          <w:sz w:val="24"/>
          <w:szCs w:val="24"/>
        </w:rPr>
        <w:t xml:space="preserve"> </w:t>
      </w:r>
    </w:p>
    <w:p w:rsidR="00DC4A1D" w:rsidRPr="000832D5" w:rsidRDefault="00DC4A1D" w:rsidP="00DC4A1D">
      <w:pPr>
        <w:spacing w:after="0" w:line="360" w:lineRule="auto"/>
        <w:rPr>
          <w:rFonts w:ascii="Times New Roman" w:hAnsi="Times New Roman" w:cs="Times New Roman"/>
          <w:b/>
          <w:bCs/>
          <w:sz w:val="24"/>
          <w:szCs w:val="24"/>
        </w:rPr>
      </w:pPr>
    </w:p>
    <w:p w:rsidR="00DC4A1D" w:rsidRPr="000832D5" w:rsidRDefault="003F4CFE" w:rsidP="00DC4A1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DC4A1D" w:rsidRPr="00DA16EA">
        <w:rPr>
          <w:rFonts w:ascii="Times New Roman" w:hAnsi="Times New Roman" w:cs="Times New Roman"/>
          <w:b/>
          <w:bCs/>
          <w:sz w:val="24"/>
          <w:szCs w:val="24"/>
        </w:rPr>
        <w:t>.</w:t>
      </w:r>
      <w:r w:rsidR="00DC4A1D" w:rsidRPr="00DA16EA">
        <w:rPr>
          <w:rFonts w:ascii="Times New Roman" w:hAnsi="Times New Roman" w:cs="Times New Roman"/>
          <w:b/>
          <w:bCs/>
          <w:sz w:val="24"/>
          <w:szCs w:val="24"/>
        </w:rPr>
        <w:tab/>
      </w:r>
      <w:r w:rsidR="00DC4A1D" w:rsidRPr="000832D5">
        <w:rPr>
          <w:rFonts w:ascii="Times New Roman" w:hAnsi="Times New Roman" w:cs="Times New Roman"/>
          <w:b/>
          <w:bCs/>
          <w:sz w:val="24"/>
          <w:szCs w:val="24"/>
        </w:rPr>
        <w:t xml:space="preserve"> Measurement of Variables</w:t>
      </w:r>
    </w:p>
    <w:tbl>
      <w:tblPr>
        <w:tblW w:w="9782" w:type="dxa"/>
        <w:tblCellSpacing w:w="15" w:type="dxa"/>
        <w:tblInd w:w="-287" w:type="dxa"/>
        <w:tblCellMar>
          <w:top w:w="15" w:type="dxa"/>
          <w:left w:w="15" w:type="dxa"/>
          <w:bottom w:w="15" w:type="dxa"/>
          <w:right w:w="15" w:type="dxa"/>
        </w:tblCellMar>
        <w:tblLook w:val="04A0" w:firstRow="1" w:lastRow="0" w:firstColumn="1" w:lastColumn="0" w:noHBand="0" w:noVBand="1"/>
      </w:tblPr>
      <w:tblGrid>
        <w:gridCol w:w="1732"/>
        <w:gridCol w:w="3362"/>
        <w:gridCol w:w="1557"/>
        <w:gridCol w:w="877"/>
        <w:gridCol w:w="2254"/>
      </w:tblGrid>
      <w:tr w:rsidR="00DC4A1D" w:rsidRPr="000832D5" w:rsidTr="003F4CFE">
        <w:trPr>
          <w:tblHeader/>
          <w:tblCellSpacing w:w="15" w:type="dxa"/>
        </w:trPr>
        <w:tc>
          <w:tcPr>
            <w:tcW w:w="1687" w:type="dxa"/>
            <w:tcBorders>
              <w:top w:val="single" w:sz="4" w:space="0" w:color="auto"/>
              <w:bottom w:val="single" w:sz="4" w:space="0" w:color="auto"/>
            </w:tcBorders>
            <w:tcMar>
              <w:top w:w="120" w:type="dxa"/>
              <w:left w:w="120" w:type="dxa"/>
              <w:bottom w:w="120" w:type="dxa"/>
              <w:right w:w="120" w:type="dxa"/>
            </w:tcMar>
            <w:hideMark/>
          </w:tcPr>
          <w:p w:rsidR="00DC4A1D" w:rsidRPr="000832D5" w:rsidRDefault="00DC4A1D" w:rsidP="005D51C5">
            <w:pPr>
              <w:spacing w:after="0" w:line="360" w:lineRule="auto"/>
              <w:jc w:val="both"/>
              <w:rPr>
                <w:rFonts w:ascii="Times New Roman" w:hAnsi="Times New Roman" w:cs="Times New Roman"/>
                <w:b/>
                <w:bCs/>
                <w:sz w:val="24"/>
                <w:szCs w:val="24"/>
              </w:rPr>
            </w:pPr>
            <w:r w:rsidRPr="000832D5">
              <w:rPr>
                <w:rFonts w:ascii="Times New Roman" w:hAnsi="Times New Roman" w:cs="Times New Roman"/>
                <w:b/>
                <w:bCs/>
                <w:sz w:val="24"/>
                <w:szCs w:val="24"/>
              </w:rPr>
              <w:t>Variable</w:t>
            </w:r>
          </w:p>
        </w:tc>
        <w:tc>
          <w:tcPr>
            <w:tcW w:w="3332" w:type="dxa"/>
            <w:tcBorders>
              <w:top w:val="single" w:sz="4" w:space="0" w:color="auto"/>
              <w:bottom w:val="single" w:sz="4" w:space="0" w:color="auto"/>
            </w:tcBorders>
            <w:tcMar>
              <w:top w:w="120" w:type="dxa"/>
              <w:left w:w="120" w:type="dxa"/>
              <w:bottom w:w="120" w:type="dxa"/>
              <w:right w:w="120" w:type="dxa"/>
            </w:tcMar>
            <w:hideMark/>
          </w:tcPr>
          <w:p w:rsidR="00DC4A1D" w:rsidRPr="000832D5" w:rsidRDefault="00DC4A1D" w:rsidP="005D51C5">
            <w:pPr>
              <w:spacing w:after="0" w:line="360" w:lineRule="auto"/>
              <w:jc w:val="both"/>
              <w:rPr>
                <w:rFonts w:ascii="Times New Roman" w:hAnsi="Times New Roman" w:cs="Times New Roman"/>
                <w:b/>
                <w:bCs/>
                <w:sz w:val="24"/>
                <w:szCs w:val="24"/>
              </w:rPr>
            </w:pPr>
            <w:r w:rsidRPr="000832D5">
              <w:rPr>
                <w:rFonts w:ascii="Times New Roman" w:hAnsi="Times New Roman" w:cs="Times New Roman"/>
                <w:b/>
                <w:bCs/>
                <w:sz w:val="24"/>
                <w:szCs w:val="24"/>
              </w:rPr>
              <w:t>Measurement</w:t>
            </w:r>
          </w:p>
        </w:tc>
        <w:tc>
          <w:tcPr>
            <w:tcW w:w="1527" w:type="dxa"/>
            <w:tcBorders>
              <w:top w:val="single" w:sz="4" w:space="0" w:color="auto"/>
              <w:bottom w:val="single" w:sz="4" w:space="0" w:color="auto"/>
            </w:tcBorders>
            <w:tcMar>
              <w:top w:w="120" w:type="dxa"/>
              <w:left w:w="120" w:type="dxa"/>
              <w:bottom w:w="120" w:type="dxa"/>
              <w:right w:w="120" w:type="dxa"/>
            </w:tcMar>
            <w:hideMark/>
          </w:tcPr>
          <w:p w:rsidR="00DC4A1D" w:rsidRPr="000832D5" w:rsidRDefault="00DC4A1D" w:rsidP="005D51C5">
            <w:pPr>
              <w:spacing w:after="0" w:line="360" w:lineRule="auto"/>
              <w:jc w:val="both"/>
              <w:rPr>
                <w:rFonts w:ascii="Times New Roman" w:hAnsi="Times New Roman" w:cs="Times New Roman"/>
                <w:b/>
                <w:bCs/>
                <w:sz w:val="24"/>
                <w:szCs w:val="24"/>
              </w:rPr>
            </w:pPr>
            <w:r w:rsidRPr="000832D5">
              <w:rPr>
                <w:rFonts w:ascii="Times New Roman" w:hAnsi="Times New Roman" w:cs="Times New Roman"/>
                <w:b/>
                <w:bCs/>
                <w:sz w:val="24"/>
                <w:szCs w:val="24"/>
              </w:rPr>
              <w:t>Sources</w:t>
            </w:r>
          </w:p>
        </w:tc>
        <w:tc>
          <w:tcPr>
            <w:tcW w:w="847" w:type="dxa"/>
            <w:tcBorders>
              <w:top w:val="single" w:sz="4" w:space="0" w:color="auto"/>
              <w:bottom w:val="single" w:sz="4" w:space="0" w:color="auto"/>
            </w:tcBorders>
            <w:tcMar>
              <w:top w:w="120" w:type="dxa"/>
              <w:left w:w="120" w:type="dxa"/>
              <w:bottom w:w="120" w:type="dxa"/>
              <w:right w:w="120" w:type="dxa"/>
            </w:tcMar>
            <w:hideMark/>
          </w:tcPr>
          <w:p w:rsidR="00DC4A1D" w:rsidRPr="000832D5" w:rsidRDefault="00DC4A1D" w:rsidP="005D51C5">
            <w:pPr>
              <w:spacing w:after="0" w:line="360" w:lineRule="auto"/>
              <w:jc w:val="both"/>
              <w:rPr>
                <w:rFonts w:ascii="Times New Roman" w:hAnsi="Times New Roman" w:cs="Times New Roman"/>
                <w:b/>
                <w:bCs/>
                <w:sz w:val="24"/>
                <w:szCs w:val="24"/>
              </w:rPr>
            </w:pPr>
            <w:r w:rsidRPr="000832D5">
              <w:rPr>
                <w:rFonts w:ascii="Times New Roman" w:hAnsi="Times New Roman" w:cs="Times New Roman"/>
                <w:b/>
                <w:bCs/>
                <w:sz w:val="24"/>
                <w:szCs w:val="24"/>
              </w:rPr>
              <w:t>Scale</w:t>
            </w:r>
          </w:p>
        </w:tc>
        <w:tc>
          <w:tcPr>
            <w:tcW w:w="2209" w:type="dxa"/>
            <w:tcBorders>
              <w:top w:val="single" w:sz="4" w:space="0" w:color="auto"/>
              <w:bottom w:val="single" w:sz="4" w:space="0" w:color="auto"/>
            </w:tcBorders>
            <w:tcMar>
              <w:top w:w="120" w:type="dxa"/>
              <w:left w:w="120" w:type="dxa"/>
              <w:bottom w:w="120" w:type="dxa"/>
              <w:right w:w="120" w:type="dxa"/>
            </w:tcMar>
            <w:hideMark/>
          </w:tcPr>
          <w:p w:rsidR="00DC4A1D" w:rsidRPr="000832D5" w:rsidRDefault="00DC4A1D" w:rsidP="005D51C5">
            <w:pPr>
              <w:spacing w:after="0" w:line="360" w:lineRule="auto"/>
              <w:jc w:val="both"/>
              <w:rPr>
                <w:rFonts w:ascii="Times New Roman" w:hAnsi="Times New Roman" w:cs="Times New Roman"/>
                <w:b/>
                <w:bCs/>
                <w:sz w:val="24"/>
                <w:szCs w:val="24"/>
              </w:rPr>
            </w:pPr>
            <w:r w:rsidRPr="000832D5">
              <w:rPr>
                <w:rFonts w:ascii="Times New Roman" w:hAnsi="Times New Roman" w:cs="Times New Roman"/>
                <w:b/>
                <w:bCs/>
                <w:sz w:val="24"/>
                <w:szCs w:val="24"/>
              </w:rPr>
              <w:t>A-priori Expectation</w:t>
            </w:r>
          </w:p>
        </w:tc>
      </w:tr>
      <w:tr w:rsidR="00DC4A1D" w:rsidRPr="000832D5" w:rsidTr="003F4CFE">
        <w:trPr>
          <w:tblCellSpacing w:w="15" w:type="dxa"/>
        </w:trPr>
        <w:tc>
          <w:tcPr>
            <w:tcW w:w="1687"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Auditor Independence (IDP)</w:t>
            </w:r>
          </w:p>
        </w:tc>
        <w:tc>
          <w:tcPr>
            <w:tcW w:w="3332"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Items measuring freedom from management/political influence, formal autonomy policies, independent reporting channels</w:t>
            </w:r>
          </w:p>
        </w:tc>
        <w:tc>
          <w:tcPr>
            <w:tcW w:w="1527"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Mahmoud &amp; Hassan (2024), Oni et al. (2025)</w:t>
            </w:r>
          </w:p>
        </w:tc>
        <w:tc>
          <w:tcPr>
            <w:tcW w:w="847"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proofErr w:type="spellStart"/>
            <w:r w:rsidRPr="000832D5">
              <w:rPr>
                <w:rFonts w:ascii="Times New Roman" w:hAnsi="Times New Roman" w:cs="Times New Roman"/>
                <w:sz w:val="24"/>
                <w:szCs w:val="24"/>
              </w:rPr>
              <w:t>Likert</w:t>
            </w:r>
            <w:proofErr w:type="spellEnd"/>
            <w:r w:rsidRPr="000832D5">
              <w:rPr>
                <w:rFonts w:ascii="Times New Roman" w:hAnsi="Times New Roman" w:cs="Times New Roman"/>
                <w:sz w:val="24"/>
                <w:szCs w:val="24"/>
              </w:rPr>
              <w:t xml:space="preserve"> (1–5)</w:t>
            </w:r>
          </w:p>
        </w:tc>
        <w:tc>
          <w:tcPr>
            <w:tcW w:w="2209"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Positive effect on all financial management dimensions (TA, SD, AM)</w:t>
            </w:r>
          </w:p>
        </w:tc>
      </w:tr>
      <w:tr w:rsidR="00DC4A1D" w:rsidRPr="000832D5" w:rsidTr="003F4CFE">
        <w:trPr>
          <w:tblCellSpacing w:w="15" w:type="dxa"/>
        </w:trPr>
        <w:tc>
          <w:tcPr>
            <w:tcW w:w="1687"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Auditor Competency (CMP)</w:t>
            </w:r>
          </w:p>
        </w:tc>
        <w:tc>
          <w:tcPr>
            <w:tcW w:w="3332"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Assessed by qualifications, skills, experience, and training frequency</w:t>
            </w:r>
          </w:p>
        </w:tc>
        <w:tc>
          <w:tcPr>
            <w:tcW w:w="1527" w:type="dxa"/>
            <w:tcMar>
              <w:top w:w="137" w:type="dxa"/>
              <w:left w:w="120" w:type="dxa"/>
              <w:bottom w:w="137" w:type="dxa"/>
              <w:right w:w="120" w:type="dxa"/>
            </w:tcMar>
            <w:vAlign w:val="bottom"/>
            <w:hideMark/>
          </w:tcPr>
          <w:p w:rsidR="00DC4A1D" w:rsidRPr="000832D5" w:rsidRDefault="004F5CB2" w:rsidP="005D51C5">
            <w:pPr>
              <w:spacing w:after="0" w:line="360" w:lineRule="auto"/>
              <w:jc w:val="both"/>
              <w:rPr>
                <w:rFonts w:ascii="Times New Roman" w:hAnsi="Times New Roman" w:cs="Times New Roman"/>
                <w:sz w:val="24"/>
                <w:szCs w:val="24"/>
              </w:rPr>
            </w:pPr>
            <w:proofErr w:type="spellStart"/>
            <w:r w:rsidRPr="004F5CB2">
              <w:rPr>
                <w:rFonts w:ascii="Times New Roman" w:hAnsi="Times New Roman" w:cs="Times New Roman"/>
                <w:sz w:val="24"/>
                <w:szCs w:val="24"/>
              </w:rPr>
              <w:t>Mildawani</w:t>
            </w:r>
            <w:proofErr w:type="spellEnd"/>
            <w:r w:rsidR="00DC4A1D" w:rsidRPr="000832D5">
              <w:rPr>
                <w:rFonts w:ascii="Times New Roman" w:hAnsi="Times New Roman" w:cs="Times New Roman"/>
                <w:sz w:val="24"/>
                <w:szCs w:val="24"/>
              </w:rPr>
              <w:t xml:space="preserve"> (2023)</w:t>
            </w:r>
          </w:p>
        </w:tc>
        <w:tc>
          <w:tcPr>
            <w:tcW w:w="847"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proofErr w:type="spellStart"/>
            <w:r w:rsidRPr="000832D5">
              <w:rPr>
                <w:rFonts w:ascii="Times New Roman" w:hAnsi="Times New Roman" w:cs="Times New Roman"/>
                <w:sz w:val="24"/>
                <w:szCs w:val="24"/>
              </w:rPr>
              <w:t>Likert</w:t>
            </w:r>
            <w:proofErr w:type="spellEnd"/>
            <w:r w:rsidRPr="000832D5">
              <w:rPr>
                <w:rFonts w:ascii="Times New Roman" w:hAnsi="Times New Roman" w:cs="Times New Roman"/>
                <w:sz w:val="24"/>
                <w:szCs w:val="24"/>
              </w:rPr>
              <w:t xml:space="preserve"> (1–5)</w:t>
            </w:r>
          </w:p>
        </w:tc>
        <w:tc>
          <w:tcPr>
            <w:tcW w:w="2209"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Positive effect on transparency, service delivery, and asset management</w:t>
            </w:r>
          </w:p>
        </w:tc>
      </w:tr>
      <w:tr w:rsidR="00DC4A1D" w:rsidRPr="000832D5" w:rsidTr="003F4CFE">
        <w:trPr>
          <w:tblCellSpacing w:w="15" w:type="dxa"/>
        </w:trPr>
        <w:tc>
          <w:tcPr>
            <w:tcW w:w="1687"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Management Support (MGS)</w:t>
            </w:r>
          </w:p>
        </w:tc>
        <w:tc>
          <w:tcPr>
            <w:tcW w:w="3332"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 xml:space="preserve">Extent of resource allocation, responsiveness to audit </w:t>
            </w:r>
            <w:r w:rsidRPr="000832D5">
              <w:rPr>
                <w:rFonts w:ascii="Times New Roman" w:hAnsi="Times New Roman" w:cs="Times New Roman"/>
                <w:sz w:val="24"/>
                <w:szCs w:val="24"/>
              </w:rPr>
              <w:lastRenderedPageBreak/>
              <w:t>recommendations, management encouragement</w:t>
            </w:r>
          </w:p>
        </w:tc>
        <w:tc>
          <w:tcPr>
            <w:tcW w:w="1527" w:type="dxa"/>
            <w:tcMar>
              <w:top w:w="137" w:type="dxa"/>
              <w:left w:w="120" w:type="dxa"/>
              <w:bottom w:w="137" w:type="dxa"/>
              <w:right w:w="120" w:type="dxa"/>
            </w:tcMar>
            <w:vAlign w:val="bottom"/>
            <w:hideMark/>
          </w:tcPr>
          <w:p w:rsidR="00DC4A1D" w:rsidRPr="000832D5" w:rsidRDefault="00FB7035" w:rsidP="005D51C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Ofori</w:t>
            </w:r>
            <w:proofErr w:type="spellEnd"/>
            <w:r>
              <w:rPr>
                <w:rFonts w:ascii="Times New Roman" w:hAnsi="Times New Roman" w:cs="Times New Roman"/>
                <w:sz w:val="24"/>
                <w:szCs w:val="24"/>
              </w:rPr>
              <w:t xml:space="preserve"> &amp; Lu (2018</w:t>
            </w:r>
            <w:r w:rsidR="00DC4A1D" w:rsidRPr="000832D5">
              <w:rPr>
                <w:rFonts w:ascii="Times New Roman" w:hAnsi="Times New Roman" w:cs="Times New Roman"/>
                <w:sz w:val="24"/>
                <w:szCs w:val="24"/>
              </w:rPr>
              <w:t>), Oni et al. (2025)</w:t>
            </w:r>
          </w:p>
        </w:tc>
        <w:tc>
          <w:tcPr>
            <w:tcW w:w="847"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proofErr w:type="spellStart"/>
            <w:r w:rsidRPr="000832D5">
              <w:rPr>
                <w:rFonts w:ascii="Times New Roman" w:hAnsi="Times New Roman" w:cs="Times New Roman"/>
                <w:sz w:val="24"/>
                <w:szCs w:val="24"/>
              </w:rPr>
              <w:t>Likert</w:t>
            </w:r>
            <w:proofErr w:type="spellEnd"/>
            <w:r w:rsidRPr="000832D5">
              <w:rPr>
                <w:rFonts w:ascii="Times New Roman" w:hAnsi="Times New Roman" w:cs="Times New Roman"/>
                <w:sz w:val="24"/>
                <w:szCs w:val="24"/>
              </w:rPr>
              <w:t xml:space="preserve"> (1–5)</w:t>
            </w:r>
          </w:p>
        </w:tc>
        <w:tc>
          <w:tcPr>
            <w:tcW w:w="2209" w:type="dxa"/>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 xml:space="preserve">Positive relationship with audit effectiveness and </w:t>
            </w:r>
            <w:r w:rsidRPr="000832D5">
              <w:rPr>
                <w:rFonts w:ascii="Times New Roman" w:hAnsi="Times New Roman" w:cs="Times New Roman"/>
                <w:sz w:val="24"/>
                <w:szCs w:val="24"/>
              </w:rPr>
              <w:lastRenderedPageBreak/>
              <w:t>financial performance</w:t>
            </w:r>
          </w:p>
        </w:tc>
      </w:tr>
      <w:tr w:rsidR="00DC4A1D" w:rsidRPr="000832D5" w:rsidTr="00E10DDC">
        <w:trPr>
          <w:tblCellSpacing w:w="15" w:type="dxa"/>
        </w:trPr>
        <w:tc>
          <w:tcPr>
            <w:tcW w:w="1687" w:type="dxa"/>
            <w:tcBorders>
              <w:bottom w:val="single" w:sz="4" w:space="0" w:color="auto"/>
            </w:tcBorders>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Cost of </w:t>
            </w:r>
            <w:r w:rsidRPr="000832D5">
              <w:rPr>
                <w:rFonts w:ascii="Times New Roman" w:hAnsi="Times New Roman" w:cs="Times New Roman"/>
                <w:sz w:val="24"/>
                <w:szCs w:val="24"/>
              </w:rPr>
              <w:t>Service Delivery (</w:t>
            </w:r>
            <w:r>
              <w:rPr>
                <w:rFonts w:ascii="Times New Roman" w:hAnsi="Times New Roman" w:cs="Times New Roman"/>
                <w:sz w:val="24"/>
                <w:szCs w:val="24"/>
              </w:rPr>
              <w:t>C</w:t>
            </w:r>
            <w:r w:rsidRPr="000832D5">
              <w:rPr>
                <w:rFonts w:ascii="Times New Roman" w:hAnsi="Times New Roman" w:cs="Times New Roman"/>
                <w:sz w:val="24"/>
                <w:szCs w:val="24"/>
              </w:rPr>
              <w:t>SD)</w:t>
            </w:r>
          </w:p>
        </w:tc>
        <w:tc>
          <w:tcPr>
            <w:tcW w:w="3332" w:type="dxa"/>
            <w:tcBorders>
              <w:bottom w:val="single" w:sz="4" w:space="0" w:color="auto"/>
            </w:tcBorders>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Efficiency and effectiveness in public service outcomes (e.g., project completion, cost-efficiency)</w:t>
            </w:r>
          </w:p>
        </w:tc>
        <w:tc>
          <w:tcPr>
            <w:tcW w:w="1527" w:type="dxa"/>
            <w:tcBorders>
              <w:bottom w:val="single" w:sz="4" w:space="0" w:color="auto"/>
            </w:tcBorders>
            <w:tcMar>
              <w:top w:w="137" w:type="dxa"/>
              <w:left w:w="120" w:type="dxa"/>
              <w:bottom w:w="137" w:type="dxa"/>
              <w:right w:w="120" w:type="dxa"/>
            </w:tcMar>
            <w:vAlign w:val="bottom"/>
            <w:hideMark/>
          </w:tcPr>
          <w:p w:rsidR="00DC4A1D" w:rsidRPr="000832D5" w:rsidRDefault="00FB7035" w:rsidP="005D5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Charles</w:t>
            </w:r>
            <w:r w:rsidRPr="00FB7035">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Bathlomew</w:t>
            </w:r>
            <w:proofErr w:type="spellEnd"/>
            <w:r>
              <w:rPr>
                <w:rFonts w:ascii="Times New Roman" w:hAnsi="Times New Roman" w:cs="Times New Roman"/>
                <w:sz w:val="24"/>
                <w:szCs w:val="24"/>
              </w:rPr>
              <w:t xml:space="preserve"> </w:t>
            </w:r>
            <w:r w:rsidRPr="00FB7035">
              <w:rPr>
                <w:rFonts w:ascii="Times New Roman" w:hAnsi="Times New Roman" w:cs="Times New Roman"/>
                <w:sz w:val="24"/>
                <w:szCs w:val="24"/>
              </w:rPr>
              <w:t>(2019)</w:t>
            </w:r>
            <w:r>
              <w:t xml:space="preserve"> </w:t>
            </w:r>
            <w:r w:rsidR="00DC4A1D" w:rsidRPr="000832D5">
              <w:rPr>
                <w:rFonts w:ascii="Times New Roman" w:hAnsi="Times New Roman" w:cs="Times New Roman"/>
                <w:sz w:val="24"/>
                <w:szCs w:val="24"/>
              </w:rPr>
              <w:t>Ibrahim et al. (2022)</w:t>
            </w:r>
          </w:p>
        </w:tc>
        <w:tc>
          <w:tcPr>
            <w:tcW w:w="847" w:type="dxa"/>
            <w:tcBorders>
              <w:bottom w:val="single" w:sz="4" w:space="0" w:color="auto"/>
            </w:tcBorders>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proofErr w:type="spellStart"/>
            <w:r w:rsidRPr="000832D5">
              <w:rPr>
                <w:rFonts w:ascii="Times New Roman" w:hAnsi="Times New Roman" w:cs="Times New Roman"/>
                <w:sz w:val="24"/>
                <w:szCs w:val="24"/>
              </w:rPr>
              <w:t>Likert</w:t>
            </w:r>
            <w:proofErr w:type="spellEnd"/>
            <w:r w:rsidRPr="000832D5">
              <w:rPr>
                <w:rFonts w:ascii="Times New Roman" w:hAnsi="Times New Roman" w:cs="Times New Roman"/>
                <w:sz w:val="24"/>
                <w:szCs w:val="24"/>
              </w:rPr>
              <w:t xml:space="preserve"> (1–5)</w:t>
            </w:r>
          </w:p>
        </w:tc>
        <w:tc>
          <w:tcPr>
            <w:tcW w:w="2209" w:type="dxa"/>
            <w:tcBorders>
              <w:bottom w:val="single" w:sz="4" w:space="0" w:color="auto"/>
            </w:tcBorders>
            <w:tcMar>
              <w:top w:w="137" w:type="dxa"/>
              <w:left w:w="120" w:type="dxa"/>
              <w:bottom w:w="137" w:type="dxa"/>
              <w:right w:w="120" w:type="dxa"/>
            </w:tcMar>
            <w:vAlign w:val="bottom"/>
            <w:hideMark/>
          </w:tcPr>
          <w:p w:rsidR="00DC4A1D" w:rsidRPr="000832D5" w:rsidRDefault="00DC4A1D" w:rsidP="005D51C5">
            <w:pPr>
              <w:spacing w:after="0" w:line="360" w:lineRule="auto"/>
              <w:jc w:val="both"/>
              <w:rPr>
                <w:rFonts w:ascii="Times New Roman" w:hAnsi="Times New Roman" w:cs="Times New Roman"/>
                <w:sz w:val="24"/>
                <w:szCs w:val="24"/>
              </w:rPr>
            </w:pPr>
            <w:r w:rsidRPr="000832D5">
              <w:rPr>
                <w:rFonts w:ascii="Times New Roman" w:hAnsi="Times New Roman" w:cs="Times New Roman"/>
                <w:sz w:val="24"/>
                <w:szCs w:val="24"/>
              </w:rPr>
              <w:t>Dependent variable</w:t>
            </w:r>
          </w:p>
        </w:tc>
      </w:tr>
    </w:tbl>
    <w:p w:rsidR="00DC4A1D" w:rsidRDefault="00DC4A1D" w:rsidP="00DC4A1D">
      <w:pPr>
        <w:spacing w:after="0" w:line="360" w:lineRule="auto"/>
        <w:rPr>
          <w:rFonts w:ascii="Times New Roman" w:hAnsi="Times New Roman" w:cs="Times New Roman"/>
          <w:b/>
          <w:bCs/>
          <w:sz w:val="24"/>
          <w:szCs w:val="24"/>
        </w:rPr>
      </w:pPr>
    </w:p>
    <w:p w:rsidR="00DC4A1D" w:rsidRPr="008C3C0D" w:rsidRDefault="003F4CFE" w:rsidP="00DC4A1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3.3</w:t>
      </w:r>
      <w:r w:rsidR="00DC4A1D">
        <w:rPr>
          <w:rFonts w:ascii="Times New Roman" w:hAnsi="Times New Roman" w:cs="Times New Roman"/>
          <w:b/>
          <w:bCs/>
          <w:sz w:val="24"/>
          <w:szCs w:val="24"/>
        </w:rPr>
        <w:tab/>
      </w:r>
      <w:r w:rsidR="00DC4A1D" w:rsidRPr="008C3C0D">
        <w:rPr>
          <w:rFonts w:ascii="Times New Roman" w:hAnsi="Times New Roman" w:cs="Times New Roman"/>
          <w:b/>
          <w:bCs/>
          <w:sz w:val="24"/>
          <w:szCs w:val="24"/>
        </w:rPr>
        <w:t xml:space="preserve">Model Specification </w:t>
      </w:r>
    </w:p>
    <w:p w:rsidR="00DC4A1D" w:rsidRPr="00EA1F58" w:rsidRDefault="00DC4A1D" w:rsidP="00DC4A1D">
      <w:pPr>
        <w:spacing w:after="0" w:line="360" w:lineRule="auto"/>
        <w:jc w:val="both"/>
        <w:rPr>
          <w:rFonts w:ascii="Times New Roman" w:hAnsi="Times New Roman" w:cs="Times New Roman"/>
          <w:sz w:val="24"/>
          <w:szCs w:val="24"/>
        </w:rPr>
      </w:pPr>
      <w:r w:rsidRPr="008C3C0D">
        <w:rPr>
          <w:rFonts w:ascii="Times New Roman" w:hAnsi="Times New Roman" w:cs="Times New Roman"/>
          <w:sz w:val="24"/>
          <w:szCs w:val="24"/>
        </w:rPr>
        <w:t xml:space="preserve">The study </w:t>
      </w:r>
      <w:r w:rsidRPr="0079391B">
        <w:rPr>
          <w:rFonts w:ascii="Times New Roman" w:hAnsi="Times New Roman" w:cs="Times New Roman"/>
          <w:sz w:val="24"/>
          <w:szCs w:val="24"/>
        </w:rPr>
        <w:t xml:space="preserve">adopts a regression </w:t>
      </w:r>
      <w:r w:rsidRPr="008C3C0D">
        <w:rPr>
          <w:rFonts w:ascii="Times New Roman" w:hAnsi="Times New Roman" w:cs="Times New Roman"/>
          <w:sz w:val="24"/>
          <w:szCs w:val="24"/>
        </w:rPr>
        <w:t>model</w:t>
      </w:r>
      <w:r w:rsidRPr="0079391B">
        <w:rPr>
          <w:rFonts w:ascii="Times New Roman" w:hAnsi="Times New Roman" w:cs="Times New Roman"/>
          <w:sz w:val="24"/>
          <w:szCs w:val="24"/>
        </w:rPr>
        <w:t xml:space="preserve"> of Mahmoud &amp; Hassan (2024). The model was modified</w:t>
      </w:r>
      <w:r w:rsidRPr="008C3C0D">
        <w:rPr>
          <w:rFonts w:ascii="Times New Roman" w:hAnsi="Times New Roman" w:cs="Times New Roman"/>
          <w:sz w:val="24"/>
          <w:szCs w:val="24"/>
        </w:rPr>
        <w:t xml:space="preserve"> to capture the relationship between the internal audit practices and financial management within Nigerian Government Business Enterprises (GBEs), </w:t>
      </w:r>
    </w:p>
    <w:p w:rsidR="00DC4A1D" w:rsidRPr="008C3C0D" w:rsidRDefault="003F4CFE" w:rsidP="00DC4A1D">
      <w:pPr>
        <w:spacing w:after="0" w:line="360" w:lineRule="auto"/>
        <w:rPr>
          <w:rFonts w:ascii="Times New Roman" w:hAnsi="Times New Roman" w:cs="Times New Roman"/>
          <w:sz w:val="24"/>
          <w:szCs w:val="24"/>
        </w:rPr>
      </w:pPr>
      <w:r>
        <w:rPr>
          <w:rFonts w:ascii="Times New Roman" w:hAnsi="Times New Roman" w:cs="Times New Roman"/>
          <w:sz w:val="24"/>
          <w:szCs w:val="24"/>
        </w:rPr>
        <w:t>The model equations are:</w:t>
      </w:r>
    </w:p>
    <w:p w:rsidR="00DC4A1D" w:rsidRPr="008C3C0D" w:rsidRDefault="00DC4A1D" w:rsidP="00DC4A1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Cost of </w:t>
      </w:r>
      <w:r w:rsidRPr="008C3C0D">
        <w:rPr>
          <w:rFonts w:ascii="Times New Roman" w:hAnsi="Times New Roman" w:cs="Times New Roman"/>
          <w:sz w:val="24"/>
          <w:szCs w:val="24"/>
        </w:rPr>
        <w:t xml:space="preserve">Service Delivery (SD) = </w:t>
      </w:r>
      <w:proofErr w:type="gramStart"/>
      <w:r w:rsidRPr="008C3C0D">
        <w:rPr>
          <w:rFonts w:ascii="Times New Roman" w:hAnsi="Times New Roman" w:cs="Times New Roman"/>
          <w:sz w:val="24"/>
          <w:szCs w:val="24"/>
        </w:rPr>
        <w:t>f(</w:t>
      </w:r>
      <w:proofErr w:type="gramEnd"/>
      <w:r w:rsidRPr="008C3C0D">
        <w:rPr>
          <w:rFonts w:ascii="Times New Roman" w:hAnsi="Times New Roman" w:cs="Times New Roman"/>
          <w:sz w:val="24"/>
          <w:szCs w:val="24"/>
        </w:rPr>
        <w:t>IDP, CMP, MGS)</w:t>
      </w:r>
      <w:r>
        <w:rPr>
          <w:rFonts w:ascii="Times New Roman" w:hAnsi="Times New Roman" w:cs="Times New Roman"/>
          <w:sz w:val="24"/>
          <w:szCs w:val="24"/>
        </w:rPr>
        <w:t xml:space="preserve"> </w:t>
      </w:r>
    </w:p>
    <w:p w:rsidR="00DC4A1D" w:rsidRDefault="00DC4A1D" w:rsidP="00DC4A1D">
      <w:pPr>
        <w:spacing w:after="0" w:line="360" w:lineRule="auto"/>
        <w:rPr>
          <w:rFonts w:ascii="Times New Roman" w:hAnsi="Times New Roman" w:cs="Times New Roman"/>
          <w:sz w:val="24"/>
          <w:szCs w:val="24"/>
        </w:rPr>
      </w:pPr>
      <w:bookmarkStart w:id="1" w:name="_Hlk208152695"/>
      <w:r>
        <w:rPr>
          <w:rFonts w:ascii="Times New Roman" w:eastAsia="Calibri" w:hAnsi="Times New Roman" w:cs="Times New Roman"/>
          <w:sz w:val="24"/>
          <w:szCs w:val="24"/>
          <w:lang w:val="it-IT"/>
        </w:rPr>
        <w:t>CSD</w:t>
      </w:r>
      <w:r w:rsidRPr="0079391B">
        <w:rPr>
          <w:rFonts w:ascii="Times New Roman" w:eastAsia="Calibri" w:hAnsi="Times New Roman" w:cs="Times New Roman"/>
          <w:sz w:val="24"/>
          <w:szCs w:val="24"/>
          <w:vertAlign w:val="subscript"/>
          <w:lang w:val="it-IT"/>
        </w:rPr>
        <w:t>i</w:t>
      </w:r>
      <w:r w:rsidRPr="0079391B">
        <w:rPr>
          <w:rFonts w:ascii="Times New Roman" w:eastAsia="Calibri" w:hAnsi="Times New Roman" w:cs="Times New Roman"/>
          <w:sz w:val="24"/>
          <w:szCs w:val="24"/>
          <w:lang w:val="it-IT"/>
        </w:rPr>
        <w:t xml:space="preserve">= </w:t>
      </w:r>
      <w:r w:rsidRPr="0079391B">
        <w:rPr>
          <w:rFonts w:ascii="Times New Roman" w:eastAsia="Calibri" w:hAnsi="Times New Roman" w:cs="Times New Roman"/>
          <w:sz w:val="24"/>
          <w:szCs w:val="24"/>
        </w:rPr>
        <w:t>α</w:t>
      </w:r>
      <w:r w:rsidRPr="0079391B">
        <w:rPr>
          <w:rFonts w:ascii="Times New Roman" w:eastAsia="Calibri" w:hAnsi="Times New Roman" w:cs="Times New Roman"/>
          <w:sz w:val="24"/>
          <w:szCs w:val="24"/>
          <w:lang w:val="it-IT"/>
        </w:rPr>
        <w:t xml:space="preserve"> + </w:t>
      </w:r>
      <w:r w:rsidRPr="0079391B">
        <w:rPr>
          <w:rFonts w:ascii="Times New Roman" w:eastAsia="Calibri" w:hAnsi="Times New Roman" w:cs="Times New Roman"/>
          <w:sz w:val="24"/>
          <w:szCs w:val="24"/>
        </w:rPr>
        <w:t>β</w:t>
      </w:r>
      <w:r w:rsidRPr="0079391B">
        <w:rPr>
          <w:rFonts w:ascii="Times New Roman" w:eastAsia="Calibri" w:hAnsi="Times New Roman" w:cs="Times New Roman"/>
          <w:sz w:val="24"/>
          <w:szCs w:val="24"/>
          <w:vertAlign w:val="subscript"/>
          <w:lang w:val="it-IT"/>
        </w:rPr>
        <w:t>1</w:t>
      </w:r>
      <w:r w:rsidRPr="0079391B">
        <w:rPr>
          <w:rFonts w:ascii="Times New Roman" w:eastAsia="Calibri" w:hAnsi="Times New Roman" w:cs="Times New Roman"/>
          <w:sz w:val="24"/>
          <w:szCs w:val="24"/>
          <w:lang w:val="it-IT"/>
        </w:rPr>
        <w:t>IDP</w:t>
      </w:r>
      <w:r w:rsidRPr="0079391B">
        <w:rPr>
          <w:rFonts w:ascii="Times New Roman" w:eastAsia="Calibri" w:hAnsi="Times New Roman" w:cs="Times New Roman"/>
          <w:sz w:val="24"/>
          <w:szCs w:val="24"/>
          <w:vertAlign w:val="subscript"/>
          <w:lang w:val="it-IT"/>
        </w:rPr>
        <w:t>i</w:t>
      </w:r>
      <w:r w:rsidRPr="0079391B">
        <w:rPr>
          <w:rFonts w:ascii="Times New Roman" w:eastAsia="Calibri" w:hAnsi="Times New Roman" w:cs="Times New Roman"/>
          <w:sz w:val="24"/>
          <w:szCs w:val="24"/>
          <w:lang w:val="it-IT"/>
        </w:rPr>
        <w:t>+</w:t>
      </w:r>
      <w:r w:rsidRPr="0079391B">
        <w:rPr>
          <w:rFonts w:ascii="Times New Roman" w:eastAsia="Calibri" w:hAnsi="Times New Roman" w:cs="Times New Roman"/>
          <w:sz w:val="24"/>
          <w:szCs w:val="24"/>
        </w:rPr>
        <w:t>β</w:t>
      </w:r>
      <w:r w:rsidRPr="0079391B">
        <w:rPr>
          <w:rFonts w:ascii="Times New Roman" w:eastAsia="Calibri" w:hAnsi="Times New Roman" w:cs="Times New Roman"/>
          <w:sz w:val="24"/>
          <w:szCs w:val="24"/>
          <w:vertAlign w:val="subscript"/>
          <w:lang w:val="it-IT"/>
        </w:rPr>
        <w:t>2</w:t>
      </w:r>
      <w:r w:rsidRPr="0079391B">
        <w:rPr>
          <w:rFonts w:ascii="Times New Roman" w:eastAsia="Calibri" w:hAnsi="Times New Roman" w:cs="Times New Roman"/>
          <w:sz w:val="24"/>
          <w:szCs w:val="24"/>
          <w:lang w:val="it-IT"/>
        </w:rPr>
        <w:t>CMP</w:t>
      </w:r>
      <w:r w:rsidRPr="0079391B">
        <w:rPr>
          <w:rFonts w:ascii="Times New Roman" w:eastAsia="Calibri" w:hAnsi="Times New Roman" w:cs="Times New Roman"/>
          <w:sz w:val="24"/>
          <w:szCs w:val="24"/>
          <w:vertAlign w:val="subscript"/>
          <w:lang w:val="it-IT"/>
        </w:rPr>
        <w:t>i</w:t>
      </w:r>
      <w:r w:rsidRPr="0079391B">
        <w:rPr>
          <w:rFonts w:ascii="Times New Roman" w:eastAsia="Calibri" w:hAnsi="Times New Roman" w:cs="Times New Roman"/>
          <w:sz w:val="24"/>
          <w:szCs w:val="24"/>
          <w:lang w:val="it-IT"/>
        </w:rPr>
        <w:t xml:space="preserve">+ </w:t>
      </w:r>
      <w:r w:rsidRPr="0079391B">
        <w:rPr>
          <w:rFonts w:ascii="Times New Roman" w:eastAsia="Calibri" w:hAnsi="Times New Roman" w:cs="Times New Roman"/>
          <w:sz w:val="24"/>
          <w:szCs w:val="24"/>
        </w:rPr>
        <w:t>β</w:t>
      </w:r>
      <w:r w:rsidRPr="0079391B">
        <w:rPr>
          <w:rFonts w:ascii="Times New Roman" w:eastAsia="Calibri" w:hAnsi="Times New Roman" w:cs="Times New Roman"/>
          <w:sz w:val="24"/>
          <w:szCs w:val="24"/>
          <w:vertAlign w:val="subscript"/>
          <w:lang w:val="it-IT"/>
        </w:rPr>
        <w:t>3</w:t>
      </w:r>
      <w:r w:rsidRPr="0079391B">
        <w:rPr>
          <w:rFonts w:ascii="Times New Roman" w:eastAsia="Calibri" w:hAnsi="Times New Roman" w:cs="Times New Roman"/>
          <w:sz w:val="24"/>
          <w:szCs w:val="24"/>
          <w:lang w:val="it-IT"/>
        </w:rPr>
        <w:t>MGS</w:t>
      </w:r>
      <w:r w:rsidRPr="0079391B">
        <w:rPr>
          <w:rFonts w:ascii="Times New Roman" w:eastAsia="Calibri" w:hAnsi="Times New Roman" w:cs="Times New Roman"/>
          <w:sz w:val="24"/>
          <w:szCs w:val="24"/>
          <w:vertAlign w:val="subscript"/>
          <w:lang w:val="it-IT"/>
        </w:rPr>
        <w:t>i</w:t>
      </w:r>
      <w:r w:rsidRPr="0079391B">
        <w:rPr>
          <w:rFonts w:ascii="Times New Roman" w:eastAsia="Calibri" w:hAnsi="Times New Roman" w:cs="Times New Roman"/>
          <w:sz w:val="24"/>
          <w:szCs w:val="24"/>
          <w:lang w:val="it-IT"/>
        </w:rPr>
        <w:t>+ µ</w:t>
      </w:r>
      <w:r w:rsidRPr="0079391B">
        <w:rPr>
          <w:rFonts w:ascii="Times New Roman" w:eastAsia="Calibri" w:hAnsi="Times New Roman" w:cs="Times New Roman"/>
          <w:sz w:val="24"/>
          <w:szCs w:val="24"/>
          <w:vertAlign w:val="subscript"/>
          <w:lang w:val="it-IT"/>
        </w:rPr>
        <w:t>i</w:t>
      </w:r>
      <w:r>
        <w:rPr>
          <w:rFonts w:ascii="Times New Roman" w:hAnsi="Times New Roman" w:cs="Times New Roman"/>
          <w:sz w:val="24"/>
          <w:szCs w:val="24"/>
        </w:rPr>
        <w:t>…</w:t>
      </w:r>
      <w:bookmarkEnd w:id="1"/>
      <w:r w:rsidR="00E10DDC">
        <w:rPr>
          <w:rFonts w:ascii="Times New Roman" w:hAnsi="Times New Roman" w:cs="Times New Roman"/>
          <w:sz w:val="24"/>
          <w:szCs w:val="24"/>
        </w:rPr>
        <w:t>……………………………………………………..1</w:t>
      </w:r>
    </w:p>
    <w:p w:rsidR="00DC4A1D" w:rsidRPr="008C3C0D" w:rsidRDefault="00DC4A1D" w:rsidP="00DC4A1D">
      <w:pPr>
        <w:spacing w:after="0" w:line="360" w:lineRule="auto"/>
        <w:rPr>
          <w:rFonts w:ascii="Times New Roman" w:hAnsi="Times New Roman" w:cs="Times New Roman"/>
          <w:sz w:val="24"/>
          <w:szCs w:val="24"/>
        </w:rPr>
      </w:pPr>
      <w:r w:rsidRPr="008C3C0D">
        <w:rPr>
          <w:rFonts w:ascii="Times New Roman" w:hAnsi="Times New Roman" w:cs="Times New Roman"/>
          <w:sz w:val="24"/>
          <w:szCs w:val="24"/>
        </w:rPr>
        <w:t>Where:</w:t>
      </w:r>
    </w:p>
    <w:p w:rsidR="00DC4A1D" w:rsidRPr="008C3C0D" w:rsidRDefault="00DC4A1D" w:rsidP="00DC4A1D">
      <w:pPr>
        <w:numPr>
          <w:ilvl w:val="0"/>
          <w:numId w:val="2"/>
        </w:numPr>
        <w:spacing w:after="0" w:line="360" w:lineRule="auto"/>
        <w:rPr>
          <w:rFonts w:ascii="Times New Roman" w:hAnsi="Times New Roman" w:cs="Times New Roman"/>
          <w:sz w:val="24"/>
          <w:szCs w:val="24"/>
        </w:rPr>
      </w:pPr>
      <w:r w:rsidRPr="0079391B">
        <w:rPr>
          <w:rFonts w:ascii="Times New Roman" w:eastAsia="Calibri" w:hAnsi="Times New Roman" w:cs="Times New Roman"/>
          <w:sz w:val="24"/>
          <w:szCs w:val="24"/>
        </w:rPr>
        <w:t>α</w:t>
      </w:r>
      <w:r w:rsidRPr="008C3C0D">
        <w:rPr>
          <w:rFonts w:ascii="Times New Roman" w:hAnsi="Times New Roman" w:cs="Times New Roman"/>
          <w:sz w:val="24"/>
          <w:szCs w:val="24"/>
        </w:rPr>
        <w:t xml:space="preserve"> is the error term or other control variables;</w:t>
      </w:r>
    </w:p>
    <w:p w:rsidR="00DC4A1D" w:rsidRPr="008C3C0D" w:rsidRDefault="00DC4A1D" w:rsidP="00DC4A1D">
      <w:pPr>
        <w:numPr>
          <w:ilvl w:val="0"/>
          <w:numId w:val="2"/>
        </w:numPr>
        <w:spacing w:after="0" w:line="360" w:lineRule="auto"/>
        <w:rPr>
          <w:rFonts w:ascii="Times New Roman" w:hAnsi="Times New Roman" w:cs="Times New Roman"/>
          <w:sz w:val="24"/>
          <w:szCs w:val="24"/>
        </w:rPr>
      </w:pPr>
      <w:r w:rsidRPr="008C3C0D">
        <w:rPr>
          <w:rFonts w:ascii="Times New Roman" w:hAnsi="Times New Roman" w:cs="Times New Roman"/>
          <w:sz w:val="24"/>
          <w:szCs w:val="24"/>
        </w:rPr>
        <w:t>IDP represents Internal Auditor Independence;</w:t>
      </w:r>
    </w:p>
    <w:p w:rsidR="00DC4A1D" w:rsidRPr="008C3C0D" w:rsidRDefault="00DC4A1D" w:rsidP="00DC4A1D">
      <w:pPr>
        <w:numPr>
          <w:ilvl w:val="0"/>
          <w:numId w:val="2"/>
        </w:numPr>
        <w:spacing w:after="0" w:line="360" w:lineRule="auto"/>
        <w:rPr>
          <w:rFonts w:ascii="Times New Roman" w:hAnsi="Times New Roman" w:cs="Times New Roman"/>
          <w:sz w:val="24"/>
          <w:szCs w:val="24"/>
        </w:rPr>
      </w:pPr>
      <w:r w:rsidRPr="008C3C0D">
        <w:rPr>
          <w:rFonts w:ascii="Times New Roman" w:hAnsi="Times New Roman" w:cs="Times New Roman"/>
          <w:sz w:val="24"/>
          <w:szCs w:val="24"/>
        </w:rPr>
        <w:t>CMP represents Auditor Competency;</w:t>
      </w:r>
    </w:p>
    <w:p w:rsidR="00DC4A1D" w:rsidRDefault="00DC4A1D" w:rsidP="00DC4A1D">
      <w:pPr>
        <w:numPr>
          <w:ilvl w:val="0"/>
          <w:numId w:val="2"/>
        </w:numPr>
        <w:spacing w:after="0" w:line="360" w:lineRule="auto"/>
        <w:rPr>
          <w:rFonts w:ascii="Times New Roman" w:hAnsi="Times New Roman" w:cs="Times New Roman"/>
          <w:sz w:val="24"/>
          <w:szCs w:val="24"/>
        </w:rPr>
      </w:pPr>
      <w:r w:rsidRPr="008C3C0D">
        <w:rPr>
          <w:rFonts w:ascii="Times New Roman" w:hAnsi="Times New Roman" w:cs="Times New Roman"/>
          <w:sz w:val="24"/>
          <w:szCs w:val="24"/>
        </w:rPr>
        <w:t>MGS represents Management Support;</w:t>
      </w:r>
    </w:p>
    <w:p w:rsidR="003F4CFE" w:rsidRPr="008C3C0D" w:rsidRDefault="003F4CFE" w:rsidP="00DC4A1D">
      <w:pPr>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CSD represent Cost of Service Delivery</w:t>
      </w:r>
    </w:p>
    <w:p w:rsidR="003F4CFE" w:rsidRDefault="00E10DDC" w:rsidP="00DC4A1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Data Presentation and Analysis</w:t>
      </w:r>
    </w:p>
    <w:p w:rsidR="00B33256" w:rsidRPr="00B33256" w:rsidRDefault="00E10DDC" w:rsidP="00B33256">
      <w:pPr>
        <w:spacing w:after="0" w:line="360" w:lineRule="auto"/>
        <w:jc w:val="both"/>
        <w:rPr>
          <w:rFonts w:ascii="Times New Roman" w:hAnsi="Times New Roman" w:cs="Times New Roman"/>
          <w:b/>
          <w:bCs/>
          <w:sz w:val="24"/>
          <w:szCs w:val="24"/>
        </w:rPr>
      </w:pPr>
      <w:r w:rsidRPr="00B33256">
        <w:rPr>
          <w:rFonts w:ascii="Times New Roman" w:hAnsi="Times New Roman" w:cs="Times New Roman"/>
          <w:b/>
          <w:bCs/>
          <w:sz w:val="24"/>
          <w:szCs w:val="24"/>
        </w:rPr>
        <w:t>4.1</w:t>
      </w:r>
      <w:r w:rsidR="00DC4A1D" w:rsidRPr="00B33256">
        <w:rPr>
          <w:rFonts w:ascii="Times New Roman" w:hAnsi="Times New Roman" w:cs="Times New Roman"/>
          <w:b/>
          <w:bCs/>
          <w:sz w:val="24"/>
          <w:szCs w:val="24"/>
        </w:rPr>
        <w:t xml:space="preserve"> Response Rate</w:t>
      </w:r>
    </w:p>
    <w:p w:rsidR="00DC4A1D" w:rsidRPr="00B33256" w:rsidRDefault="00DC4A1D" w:rsidP="00B33256">
      <w:pPr>
        <w:spacing w:after="0" w:line="360" w:lineRule="auto"/>
        <w:jc w:val="both"/>
        <w:rPr>
          <w:rFonts w:ascii="Times New Roman" w:hAnsi="Times New Roman" w:cs="Times New Roman"/>
          <w:b/>
          <w:bCs/>
          <w:sz w:val="24"/>
          <w:szCs w:val="24"/>
        </w:rPr>
      </w:pPr>
      <w:r w:rsidRPr="00B33256">
        <w:rPr>
          <w:rFonts w:ascii="Times New Roman" w:eastAsia="Times New Roman" w:hAnsi="Times New Roman" w:cs="Times New Roman"/>
          <w:sz w:val="24"/>
          <w:szCs w:val="24"/>
          <w:lang w:val="en-GB" w:eastAsia="en-GB"/>
        </w:rPr>
        <w:t>A total of 340 questionnaires were distributed through simple random sampling</w:t>
      </w:r>
      <w:r w:rsidR="00AD5DA7" w:rsidRPr="00B33256">
        <w:rPr>
          <w:rFonts w:ascii="Times New Roman" w:eastAsia="Times New Roman" w:hAnsi="Times New Roman" w:cs="Times New Roman"/>
          <w:sz w:val="24"/>
          <w:szCs w:val="24"/>
          <w:lang w:val="en-GB" w:eastAsia="en-GB"/>
        </w:rPr>
        <w:t xml:space="preserve"> techniques</w:t>
      </w:r>
      <w:r w:rsidRPr="00B33256">
        <w:rPr>
          <w:rFonts w:ascii="Times New Roman" w:eastAsia="Times New Roman" w:hAnsi="Times New Roman" w:cs="Times New Roman"/>
          <w:sz w:val="24"/>
          <w:szCs w:val="24"/>
          <w:lang w:val="en-GB" w:eastAsia="en-GB"/>
        </w:rPr>
        <w:t xml:space="preserve">, ensuring a representative and statistically reliable sample with a 5% margin of error. </w:t>
      </w:r>
      <w:r w:rsidR="00AD5DA7" w:rsidRPr="00B33256">
        <w:rPr>
          <w:rFonts w:ascii="Times New Roman" w:eastAsia="Times New Roman" w:hAnsi="Times New Roman" w:cs="Times New Roman"/>
          <w:sz w:val="24"/>
          <w:szCs w:val="24"/>
          <w:lang w:val="en-GB" w:eastAsia="en-GB"/>
        </w:rPr>
        <w:t>The response rate was impressive with total of 332 (97%) returned.</w:t>
      </w:r>
      <w:r w:rsidR="00B33256" w:rsidRPr="00B33256">
        <w:rPr>
          <w:rFonts w:ascii="Times New Roman" w:eastAsia="Times New Roman" w:hAnsi="Times New Roman" w:cs="Times New Roman"/>
          <w:sz w:val="24"/>
          <w:szCs w:val="24"/>
          <w:lang w:val="en-GB" w:eastAsia="en-GB"/>
        </w:rPr>
        <w:t xml:space="preserve"> 328 responses were accepted as usable for data analysis, representing 96.5% of the issued questionnaires. This high response rate not only </w:t>
      </w:r>
      <w:r w:rsidR="00B33256" w:rsidRPr="00B33256">
        <w:rPr>
          <w:rFonts w:ascii="Times New Roman" w:eastAsia="Times New Roman" w:hAnsi="Times New Roman" w:cs="Times New Roman"/>
          <w:sz w:val="24"/>
          <w:szCs w:val="24"/>
          <w:lang w:val="en-GB" w:eastAsia="en-GB"/>
        </w:rPr>
        <w:lastRenderedPageBreak/>
        <w:t>enhances the credibility of the findings but also minimizes the risk of nonresponse bias, ensuring that the results accurately reflect the perceptions and experiences of the internal audit practices actors in the state GBEs.</w:t>
      </w:r>
    </w:p>
    <w:p w:rsidR="00DC4A1D" w:rsidRDefault="00B33256" w:rsidP="00DC4A1D">
      <w:pPr>
        <w:rPr>
          <w:rFonts w:asciiTheme="majorBidi" w:hAnsiTheme="majorBidi" w:cstheme="majorBidi"/>
          <w:b/>
          <w:bCs/>
        </w:rPr>
      </w:pPr>
      <w:r>
        <w:rPr>
          <w:rFonts w:asciiTheme="majorBidi" w:hAnsiTheme="majorBidi" w:cstheme="majorBidi"/>
          <w:b/>
          <w:bCs/>
        </w:rPr>
        <w:t>4.2</w:t>
      </w:r>
      <w:r w:rsidR="00DC4A1D">
        <w:rPr>
          <w:rFonts w:asciiTheme="majorBidi" w:hAnsiTheme="majorBidi" w:cstheme="majorBidi"/>
          <w:b/>
          <w:bCs/>
        </w:rPr>
        <w:t xml:space="preserve"> Descriptive Statistics of Study Variables.</w:t>
      </w:r>
    </w:p>
    <w:p w:rsidR="00DC4A1D" w:rsidRDefault="00B33256" w:rsidP="00DC4A1D">
      <w:pPr>
        <w:spacing w:after="0" w:line="360" w:lineRule="auto"/>
        <w:jc w:val="both"/>
        <w:rPr>
          <w:rFonts w:asciiTheme="majorBidi" w:hAnsiTheme="majorBidi" w:cstheme="majorBidi"/>
        </w:rPr>
      </w:pPr>
      <w:r>
        <w:rPr>
          <w:rFonts w:asciiTheme="majorBidi" w:hAnsiTheme="majorBidi" w:cstheme="majorBidi"/>
          <w:bCs/>
        </w:rPr>
        <w:t>Table 1, present</w:t>
      </w:r>
      <w:r w:rsidR="00DC4A1D">
        <w:rPr>
          <w:rFonts w:asciiTheme="majorBidi" w:hAnsiTheme="majorBidi" w:cstheme="majorBidi"/>
          <w:bCs/>
        </w:rPr>
        <w:t xml:space="preserve"> </w:t>
      </w:r>
      <w:r>
        <w:rPr>
          <w:rFonts w:asciiTheme="majorBidi" w:hAnsiTheme="majorBidi" w:cstheme="majorBidi"/>
        </w:rPr>
        <w:t>t</w:t>
      </w:r>
      <w:r w:rsidR="00DC4A1D" w:rsidRPr="009F40E4">
        <w:rPr>
          <w:rFonts w:asciiTheme="majorBidi" w:hAnsiTheme="majorBidi" w:cstheme="majorBidi"/>
        </w:rPr>
        <w:t>he descriptive statistics of the study variables</w:t>
      </w:r>
      <w:r>
        <w:rPr>
          <w:rFonts w:asciiTheme="majorBidi" w:hAnsiTheme="majorBidi" w:cstheme="majorBidi"/>
        </w:rPr>
        <w:t>, this</w:t>
      </w:r>
      <w:r w:rsidR="00DC4A1D" w:rsidRPr="009F40E4">
        <w:rPr>
          <w:rFonts w:asciiTheme="majorBidi" w:hAnsiTheme="majorBidi" w:cstheme="majorBidi"/>
        </w:rPr>
        <w:t xml:space="preserve"> reveal important insights into the </w:t>
      </w:r>
      <w:proofErr w:type="spellStart"/>
      <w:r w:rsidR="00DC4A1D" w:rsidRPr="009F40E4">
        <w:rPr>
          <w:rFonts w:asciiTheme="majorBidi" w:hAnsiTheme="majorBidi" w:cstheme="majorBidi"/>
        </w:rPr>
        <w:t>behaviour</w:t>
      </w:r>
      <w:proofErr w:type="spellEnd"/>
      <w:r w:rsidR="00DC4A1D" w:rsidRPr="009F40E4">
        <w:rPr>
          <w:rFonts w:asciiTheme="majorBidi" w:hAnsiTheme="majorBidi" w:cstheme="majorBidi"/>
        </w:rPr>
        <w:t xml:space="preserve"> and distribution of the data. The mean values across the variables show a consistently high level of agreement among respondents. Specifically</w:t>
      </w:r>
      <w:r>
        <w:rPr>
          <w:rFonts w:asciiTheme="majorBidi" w:hAnsiTheme="majorBidi" w:cstheme="majorBidi"/>
        </w:rPr>
        <w:t xml:space="preserve">, </w:t>
      </w:r>
      <w:r w:rsidR="00DC4A1D" w:rsidRPr="009F40E4">
        <w:rPr>
          <w:rFonts w:asciiTheme="majorBidi" w:hAnsiTheme="majorBidi" w:cstheme="majorBidi"/>
        </w:rPr>
        <w:t>Management Support (MGS) has a mean of about 0.775, and Cost of Service Delivery (CSD) stands around 0.770. In comparison, Asset Management (AM) records a mean of approximately 0.745, Auditor Competency (CMP) about 0.730, and Auditor Independence (IDP) has the lowe</w:t>
      </w:r>
      <w:r w:rsidR="00DC4A1D">
        <w:rPr>
          <w:rFonts w:asciiTheme="majorBidi" w:hAnsiTheme="majorBidi" w:cstheme="majorBidi"/>
        </w:rPr>
        <w:t xml:space="preserve">st mean at approximately 0.695. </w:t>
      </w:r>
      <w:r w:rsidR="00DC4A1D" w:rsidRPr="009F40E4">
        <w:rPr>
          <w:rFonts w:asciiTheme="majorBidi" w:hAnsiTheme="majorBidi" w:cstheme="majorBidi"/>
        </w:rPr>
        <w:t>These values indicate that respondents generally expressed agreement with all the constructs, although perceptions of auditor independence appear relatively weaker compared to other dimensio</w:t>
      </w:r>
      <w:r w:rsidR="00DC4A1D">
        <w:rPr>
          <w:rFonts w:asciiTheme="majorBidi" w:hAnsiTheme="majorBidi" w:cstheme="majorBidi"/>
        </w:rPr>
        <w:t>ns of internal audit practices.</w:t>
      </w:r>
    </w:p>
    <w:p w:rsidR="00DC4A1D" w:rsidRPr="00613998" w:rsidRDefault="00DC4A1D" w:rsidP="00DC4A1D">
      <w:pPr>
        <w:spacing w:after="0" w:line="360" w:lineRule="auto"/>
        <w:jc w:val="both"/>
        <w:rPr>
          <w:rFonts w:asciiTheme="majorBidi" w:hAnsiTheme="majorBidi" w:cstheme="majorBidi"/>
        </w:rPr>
      </w:pPr>
    </w:p>
    <w:p w:rsidR="00DC4A1D" w:rsidRDefault="00B33256" w:rsidP="00DC4A1D">
      <w:pPr>
        <w:spacing w:after="0" w:line="240" w:lineRule="auto"/>
        <w:rPr>
          <w:rFonts w:asciiTheme="majorBidi" w:hAnsiTheme="majorBidi" w:cstheme="majorBidi"/>
          <w:b/>
          <w:bCs/>
        </w:rPr>
      </w:pPr>
      <w:r>
        <w:rPr>
          <w:rFonts w:asciiTheme="majorBidi" w:hAnsiTheme="majorBidi" w:cstheme="majorBidi"/>
          <w:b/>
          <w:bCs/>
        </w:rPr>
        <w:t>Table 1</w:t>
      </w:r>
      <w:r w:rsidR="00DC4A1D">
        <w:rPr>
          <w:rFonts w:asciiTheme="majorBidi" w:hAnsiTheme="majorBidi" w:cstheme="majorBidi"/>
          <w:b/>
          <w:bCs/>
        </w:rPr>
        <w:t>: Descriptive Statistics of Study Variables’ Output</w:t>
      </w:r>
    </w:p>
    <w:tbl>
      <w:tblPr>
        <w:tblW w:w="9178" w:type="dxa"/>
        <w:tblCellSpacing w:w="15" w:type="dxa"/>
        <w:tblCellMar>
          <w:top w:w="15" w:type="dxa"/>
          <w:left w:w="15" w:type="dxa"/>
          <w:bottom w:w="15" w:type="dxa"/>
          <w:right w:w="15" w:type="dxa"/>
        </w:tblCellMar>
        <w:tblLook w:val="04A0" w:firstRow="1" w:lastRow="0" w:firstColumn="1" w:lastColumn="0" w:noHBand="0" w:noVBand="1"/>
      </w:tblPr>
      <w:tblGrid>
        <w:gridCol w:w="628"/>
        <w:gridCol w:w="840"/>
        <w:gridCol w:w="897"/>
        <w:gridCol w:w="802"/>
        <w:gridCol w:w="1090"/>
        <w:gridCol w:w="950"/>
        <w:gridCol w:w="881"/>
        <w:gridCol w:w="727"/>
        <w:gridCol w:w="909"/>
        <w:gridCol w:w="818"/>
        <w:gridCol w:w="636"/>
      </w:tblGrid>
      <w:tr w:rsidR="00B33256" w:rsidRPr="00220A17" w:rsidTr="00B33256">
        <w:trPr>
          <w:trHeight w:val="620"/>
          <w:tblHeader/>
          <w:tblCellSpacing w:w="15" w:type="dxa"/>
        </w:trPr>
        <w:tc>
          <w:tcPr>
            <w:tcW w:w="583"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proofErr w:type="spellStart"/>
            <w:r w:rsidRPr="00220A17">
              <w:rPr>
                <w:rFonts w:asciiTheme="majorBidi" w:hAnsiTheme="majorBidi" w:cstheme="majorBidi"/>
                <w:b/>
                <w:bCs/>
              </w:rPr>
              <w:t>Var</w:t>
            </w:r>
            <w:proofErr w:type="spellEnd"/>
          </w:p>
        </w:tc>
        <w:tc>
          <w:tcPr>
            <w:tcW w:w="810"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r w:rsidRPr="00220A17">
              <w:rPr>
                <w:rFonts w:asciiTheme="majorBidi" w:hAnsiTheme="majorBidi" w:cstheme="majorBidi"/>
                <w:b/>
                <w:bCs/>
              </w:rPr>
              <w:t>Mean</w:t>
            </w:r>
          </w:p>
        </w:tc>
        <w:tc>
          <w:tcPr>
            <w:tcW w:w="867"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r w:rsidRPr="00220A17">
              <w:rPr>
                <w:rFonts w:asciiTheme="majorBidi" w:hAnsiTheme="majorBidi" w:cstheme="majorBidi"/>
                <w:b/>
                <w:bCs/>
              </w:rPr>
              <w:t>Median</w:t>
            </w:r>
          </w:p>
        </w:tc>
        <w:tc>
          <w:tcPr>
            <w:tcW w:w="772"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proofErr w:type="spellStart"/>
            <w:r w:rsidRPr="00220A17">
              <w:rPr>
                <w:rFonts w:asciiTheme="majorBidi" w:hAnsiTheme="majorBidi" w:cstheme="majorBidi"/>
                <w:b/>
                <w:bCs/>
              </w:rPr>
              <w:t>Std</w:t>
            </w:r>
            <w:proofErr w:type="spellEnd"/>
            <w:r w:rsidRPr="00220A17">
              <w:rPr>
                <w:rFonts w:asciiTheme="majorBidi" w:hAnsiTheme="majorBidi" w:cstheme="majorBidi"/>
                <w:b/>
                <w:bCs/>
              </w:rPr>
              <w:t xml:space="preserve"> Dev</w:t>
            </w:r>
            <w:r>
              <w:rPr>
                <w:rFonts w:asciiTheme="majorBidi" w:hAnsiTheme="majorBidi" w:cstheme="majorBidi"/>
                <w:b/>
                <w:bCs/>
              </w:rPr>
              <w:t>.</w:t>
            </w:r>
          </w:p>
        </w:tc>
        <w:tc>
          <w:tcPr>
            <w:tcW w:w="1060"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proofErr w:type="spellStart"/>
            <w:r w:rsidRPr="00220A17">
              <w:rPr>
                <w:rFonts w:asciiTheme="majorBidi" w:hAnsiTheme="majorBidi" w:cstheme="majorBidi"/>
                <w:b/>
                <w:bCs/>
              </w:rPr>
              <w:t>Skew</w:t>
            </w:r>
            <w:r>
              <w:rPr>
                <w:rFonts w:asciiTheme="majorBidi" w:hAnsiTheme="majorBidi" w:cstheme="majorBidi"/>
                <w:b/>
                <w:bCs/>
              </w:rPr>
              <w:t>ness</w:t>
            </w:r>
            <w:proofErr w:type="spellEnd"/>
          </w:p>
        </w:tc>
        <w:tc>
          <w:tcPr>
            <w:tcW w:w="920"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r w:rsidRPr="00220A17">
              <w:rPr>
                <w:rFonts w:asciiTheme="majorBidi" w:hAnsiTheme="majorBidi" w:cstheme="majorBidi"/>
                <w:b/>
                <w:bCs/>
              </w:rPr>
              <w:t>Kurt</w:t>
            </w:r>
            <w:r>
              <w:rPr>
                <w:rFonts w:asciiTheme="majorBidi" w:hAnsiTheme="majorBidi" w:cstheme="majorBidi"/>
                <w:b/>
                <w:bCs/>
              </w:rPr>
              <w:t>osis</w:t>
            </w:r>
          </w:p>
        </w:tc>
        <w:tc>
          <w:tcPr>
            <w:tcW w:w="851"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proofErr w:type="spellStart"/>
            <w:r w:rsidRPr="00220A17">
              <w:rPr>
                <w:rFonts w:asciiTheme="majorBidi" w:hAnsiTheme="majorBidi" w:cstheme="majorBidi"/>
                <w:b/>
                <w:bCs/>
              </w:rPr>
              <w:t>Jarque-Bera</w:t>
            </w:r>
            <w:proofErr w:type="spellEnd"/>
          </w:p>
        </w:tc>
        <w:tc>
          <w:tcPr>
            <w:tcW w:w="697"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proofErr w:type="spellStart"/>
            <w:r w:rsidRPr="00220A17">
              <w:rPr>
                <w:rFonts w:asciiTheme="majorBidi" w:hAnsiTheme="majorBidi" w:cstheme="majorBidi"/>
                <w:b/>
                <w:bCs/>
              </w:rPr>
              <w:t>Prob</w:t>
            </w:r>
            <w:proofErr w:type="spellEnd"/>
          </w:p>
        </w:tc>
        <w:tc>
          <w:tcPr>
            <w:tcW w:w="879"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r w:rsidRPr="00220A17">
              <w:rPr>
                <w:rFonts w:asciiTheme="majorBidi" w:hAnsiTheme="majorBidi" w:cstheme="majorBidi"/>
                <w:b/>
                <w:bCs/>
              </w:rPr>
              <w:t>Sum</w:t>
            </w:r>
          </w:p>
        </w:tc>
        <w:tc>
          <w:tcPr>
            <w:tcW w:w="788"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r w:rsidRPr="00220A17">
              <w:rPr>
                <w:rFonts w:asciiTheme="majorBidi" w:hAnsiTheme="majorBidi" w:cstheme="majorBidi"/>
                <w:b/>
                <w:bCs/>
              </w:rPr>
              <w:t xml:space="preserve">Sum </w:t>
            </w:r>
            <w:proofErr w:type="spellStart"/>
            <w:r w:rsidRPr="00220A17">
              <w:rPr>
                <w:rFonts w:asciiTheme="majorBidi" w:hAnsiTheme="majorBidi" w:cstheme="majorBidi"/>
                <w:b/>
                <w:bCs/>
              </w:rPr>
              <w:t>Sq</w:t>
            </w:r>
            <w:proofErr w:type="spellEnd"/>
            <w:r w:rsidRPr="00220A17">
              <w:rPr>
                <w:rFonts w:asciiTheme="majorBidi" w:hAnsiTheme="majorBidi" w:cstheme="majorBidi"/>
                <w:b/>
                <w:bCs/>
              </w:rPr>
              <w:t xml:space="preserve"> </w:t>
            </w:r>
            <w:proofErr w:type="spellStart"/>
            <w:r w:rsidRPr="00220A17">
              <w:rPr>
                <w:rFonts w:asciiTheme="majorBidi" w:hAnsiTheme="majorBidi" w:cstheme="majorBidi"/>
                <w:b/>
                <w:bCs/>
              </w:rPr>
              <w:t>Dev</w:t>
            </w:r>
            <w:proofErr w:type="spellEnd"/>
          </w:p>
        </w:tc>
        <w:tc>
          <w:tcPr>
            <w:tcW w:w="591" w:type="dxa"/>
            <w:tcBorders>
              <w:top w:val="single" w:sz="4" w:space="0" w:color="auto"/>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b/>
                <w:bCs/>
              </w:rPr>
            </w:pPr>
            <w:proofErr w:type="spellStart"/>
            <w:r w:rsidRPr="00220A17">
              <w:rPr>
                <w:rFonts w:asciiTheme="majorBidi" w:hAnsiTheme="majorBidi" w:cstheme="majorBidi"/>
                <w:b/>
                <w:bCs/>
              </w:rPr>
              <w:t>Obs</w:t>
            </w:r>
            <w:proofErr w:type="spellEnd"/>
          </w:p>
        </w:tc>
      </w:tr>
      <w:tr w:rsidR="00B33256" w:rsidRPr="00220A17" w:rsidTr="00B33256">
        <w:trPr>
          <w:trHeight w:val="295"/>
          <w:tblCellSpacing w:w="15" w:type="dxa"/>
        </w:trPr>
        <w:tc>
          <w:tcPr>
            <w:tcW w:w="583"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CSD</w:t>
            </w:r>
          </w:p>
        </w:tc>
        <w:tc>
          <w:tcPr>
            <w:tcW w:w="810"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0.731</w:t>
            </w:r>
          </w:p>
        </w:tc>
        <w:tc>
          <w:tcPr>
            <w:tcW w:w="867"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0.760</w:t>
            </w:r>
          </w:p>
        </w:tc>
        <w:tc>
          <w:tcPr>
            <w:tcW w:w="772"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0.152</w:t>
            </w:r>
          </w:p>
        </w:tc>
        <w:tc>
          <w:tcPr>
            <w:tcW w:w="1060"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-0.142</w:t>
            </w:r>
          </w:p>
        </w:tc>
        <w:tc>
          <w:tcPr>
            <w:tcW w:w="920"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-1.019</w:t>
            </w:r>
          </w:p>
        </w:tc>
        <w:tc>
          <w:tcPr>
            <w:tcW w:w="851"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14.88</w:t>
            </w:r>
          </w:p>
        </w:tc>
        <w:tc>
          <w:tcPr>
            <w:tcW w:w="697"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0.001</w:t>
            </w:r>
          </w:p>
        </w:tc>
        <w:tc>
          <w:tcPr>
            <w:tcW w:w="879"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248.44</w:t>
            </w:r>
          </w:p>
        </w:tc>
        <w:tc>
          <w:tcPr>
            <w:tcW w:w="788"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7.81</w:t>
            </w:r>
          </w:p>
        </w:tc>
        <w:tc>
          <w:tcPr>
            <w:tcW w:w="591" w:type="dxa"/>
            <w:vAlign w:val="center"/>
            <w:hideMark/>
          </w:tcPr>
          <w:p w:rsidR="00B33256" w:rsidRPr="00220A17" w:rsidRDefault="00B33256" w:rsidP="005D51C5">
            <w:pPr>
              <w:spacing w:after="0" w:line="240" w:lineRule="auto"/>
              <w:rPr>
                <w:rFonts w:asciiTheme="majorBidi" w:hAnsiTheme="majorBidi" w:cstheme="majorBidi"/>
              </w:rPr>
            </w:pPr>
            <w:r>
              <w:rPr>
                <w:rFonts w:asciiTheme="majorBidi" w:hAnsiTheme="majorBidi" w:cstheme="majorBidi"/>
              </w:rPr>
              <w:t>328</w:t>
            </w:r>
          </w:p>
        </w:tc>
      </w:tr>
      <w:tr w:rsidR="00B33256" w:rsidRPr="00220A17" w:rsidTr="00B33256">
        <w:trPr>
          <w:trHeight w:val="295"/>
          <w:tblCellSpacing w:w="15" w:type="dxa"/>
        </w:trPr>
        <w:tc>
          <w:tcPr>
            <w:tcW w:w="583"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IDP</w:t>
            </w:r>
          </w:p>
        </w:tc>
        <w:tc>
          <w:tcPr>
            <w:tcW w:w="810"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0.753</w:t>
            </w:r>
          </w:p>
        </w:tc>
        <w:tc>
          <w:tcPr>
            <w:tcW w:w="867"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0.760</w:t>
            </w:r>
          </w:p>
        </w:tc>
        <w:tc>
          <w:tcPr>
            <w:tcW w:w="772"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0.126</w:t>
            </w:r>
          </w:p>
        </w:tc>
        <w:tc>
          <w:tcPr>
            <w:tcW w:w="1060"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-0.394</w:t>
            </w:r>
          </w:p>
        </w:tc>
        <w:tc>
          <w:tcPr>
            <w:tcW w:w="920"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0.618</w:t>
            </w:r>
          </w:p>
        </w:tc>
        <w:tc>
          <w:tcPr>
            <w:tcW w:w="851"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9.87</w:t>
            </w:r>
          </w:p>
        </w:tc>
        <w:tc>
          <w:tcPr>
            <w:tcW w:w="697"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0.007</w:t>
            </w:r>
          </w:p>
        </w:tc>
        <w:tc>
          <w:tcPr>
            <w:tcW w:w="879"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255.96</w:t>
            </w:r>
          </w:p>
        </w:tc>
        <w:tc>
          <w:tcPr>
            <w:tcW w:w="788"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5.39</w:t>
            </w:r>
          </w:p>
        </w:tc>
        <w:tc>
          <w:tcPr>
            <w:tcW w:w="591" w:type="dxa"/>
            <w:vAlign w:val="center"/>
            <w:hideMark/>
          </w:tcPr>
          <w:p w:rsidR="00B33256" w:rsidRPr="00220A17" w:rsidRDefault="00B33256" w:rsidP="005D51C5">
            <w:pPr>
              <w:spacing w:after="0" w:line="240" w:lineRule="auto"/>
              <w:rPr>
                <w:rFonts w:asciiTheme="majorBidi" w:hAnsiTheme="majorBidi" w:cstheme="majorBidi"/>
              </w:rPr>
            </w:pPr>
            <w:r>
              <w:rPr>
                <w:rFonts w:asciiTheme="majorBidi" w:hAnsiTheme="majorBidi" w:cstheme="majorBidi"/>
              </w:rPr>
              <w:t>328</w:t>
            </w:r>
          </w:p>
        </w:tc>
      </w:tr>
      <w:tr w:rsidR="00B33256" w:rsidRPr="00220A17" w:rsidTr="00B33256">
        <w:trPr>
          <w:trHeight w:val="295"/>
          <w:tblCellSpacing w:w="15" w:type="dxa"/>
        </w:trPr>
        <w:tc>
          <w:tcPr>
            <w:tcW w:w="583"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CMP</w:t>
            </w:r>
          </w:p>
        </w:tc>
        <w:tc>
          <w:tcPr>
            <w:tcW w:w="810"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0.786</w:t>
            </w:r>
          </w:p>
        </w:tc>
        <w:tc>
          <w:tcPr>
            <w:tcW w:w="867"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0.800</w:t>
            </w:r>
          </w:p>
        </w:tc>
        <w:tc>
          <w:tcPr>
            <w:tcW w:w="772"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0.104</w:t>
            </w:r>
          </w:p>
        </w:tc>
        <w:tc>
          <w:tcPr>
            <w:tcW w:w="1060"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-0.903</w:t>
            </w:r>
          </w:p>
        </w:tc>
        <w:tc>
          <w:tcPr>
            <w:tcW w:w="920"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1.342</w:t>
            </w:r>
          </w:p>
        </w:tc>
        <w:tc>
          <w:tcPr>
            <w:tcW w:w="851"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41.55</w:t>
            </w:r>
          </w:p>
        </w:tc>
        <w:tc>
          <w:tcPr>
            <w:tcW w:w="697"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0.000</w:t>
            </w:r>
          </w:p>
        </w:tc>
        <w:tc>
          <w:tcPr>
            <w:tcW w:w="879"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267.08</w:t>
            </w:r>
          </w:p>
        </w:tc>
        <w:tc>
          <w:tcPr>
            <w:tcW w:w="788" w:type="dxa"/>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3.66</w:t>
            </w:r>
          </w:p>
        </w:tc>
        <w:tc>
          <w:tcPr>
            <w:tcW w:w="591" w:type="dxa"/>
            <w:vAlign w:val="center"/>
            <w:hideMark/>
          </w:tcPr>
          <w:p w:rsidR="00B33256" w:rsidRPr="00220A17" w:rsidRDefault="00B33256" w:rsidP="005D51C5">
            <w:pPr>
              <w:spacing w:after="0" w:line="240" w:lineRule="auto"/>
              <w:rPr>
                <w:rFonts w:asciiTheme="majorBidi" w:hAnsiTheme="majorBidi" w:cstheme="majorBidi"/>
              </w:rPr>
            </w:pPr>
            <w:r>
              <w:rPr>
                <w:rFonts w:asciiTheme="majorBidi" w:hAnsiTheme="majorBidi" w:cstheme="majorBidi"/>
              </w:rPr>
              <w:t>328</w:t>
            </w:r>
          </w:p>
        </w:tc>
      </w:tr>
      <w:tr w:rsidR="00B33256" w:rsidRPr="00220A17" w:rsidTr="00B33256">
        <w:trPr>
          <w:trHeight w:val="295"/>
          <w:tblCellSpacing w:w="15" w:type="dxa"/>
        </w:trPr>
        <w:tc>
          <w:tcPr>
            <w:tcW w:w="583"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MGS</w:t>
            </w:r>
          </w:p>
        </w:tc>
        <w:tc>
          <w:tcPr>
            <w:tcW w:w="810"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0.743</w:t>
            </w:r>
          </w:p>
        </w:tc>
        <w:tc>
          <w:tcPr>
            <w:tcW w:w="867"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0.800</w:t>
            </w:r>
          </w:p>
        </w:tc>
        <w:tc>
          <w:tcPr>
            <w:tcW w:w="772"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0.154</w:t>
            </w:r>
          </w:p>
        </w:tc>
        <w:tc>
          <w:tcPr>
            <w:tcW w:w="1060"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-0.744</w:t>
            </w:r>
          </w:p>
        </w:tc>
        <w:tc>
          <w:tcPr>
            <w:tcW w:w="920"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-0.388</w:t>
            </w:r>
          </w:p>
        </w:tc>
        <w:tc>
          <w:tcPr>
            <w:tcW w:w="851"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18.42</w:t>
            </w:r>
          </w:p>
        </w:tc>
        <w:tc>
          <w:tcPr>
            <w:tcW w:w="697"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0.000</w:t>
            </w:r>
          </w:p>
        </w:tc>
        <w:tc>
          <w:tcPr>
            <w:tcW w:w="879"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252.48</w:t>
            </w:r>
          </w:p>
        </w:tc>
        <w:tc>
          <w:tcPr>
            <w:tcW w:w="788"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sidRPr="00220A17">
              <w:rPr>
                <w:rFonts w:asciiTheme="majorBidi" w:hAnsiTheme="majorBidi" w:cstheme="majorBidi"/>
              </w:rPr>
              <w:t>8.07</w:t>
            </w:r>
          </w:p>
        </w:tc>
        <w:tc>
          <w:tcPr>
            <w:tcW w:w="591" w:type="dxa"/>
            <w:tcBorders>
              <w:bottom w:val="single" w:sz="4" w:space="0" w:color="auto"/>
            </w:tcBorders>
            <w:vAlign w:val="center"/>
            <w:hideMark/>
          </w:tcPr>
          <w:p w:rsidR="00B33256" w:rsidRPr="00220A17" w:rsidRDefault="00B33256" w:rsidP="005D51C5">
            <w:pPr>
              <w:spacing w:after="0" w:line="240" w:lineRule="auto"/>
              <w:rPr>
                <w:rFonts w:asciiTheme="majorBidi" w:hAnsiTheme="majorBidi" w:cstheme="majorBidi"/>
              </w:rPr>
            </w:pPr>
            <w:r>
              <w:rPr>
                <w:rFonts w:asciiTheme="majorBidi" w:hAnsiTheme="majorBidi" w:cstheme="majorBidi"/>
              </w:rPr>
              <w:t>328</w:t>
            </w:r>
          </w:p>
        </w:tc>
      </w:tr>
    </w:tbl>
    <w:p w:rsidR="00DC4A1D" w:rsidRDefault="00DC4A1D" w:rsidP="00DC4A1D">
      <w:pPr>
        <w:rPr>
          <w:rFonts w:asciiTheme="majorBidi" w:hAnsiTheme="majorBidi" w:cstheme="majorBidi"/>
          <w:b/>
          <w:bCs/>
        </w:rPr>
      </w:pPr>
      <w:r>
        <w:rPr>
          <w:rFonts w:asciiTheme="majorBidi" w:hAnsiTheme="majorBidi" w:cstheme="majorBidi"/>
          <w:b/>
          <w:bCs/>
        </w:rPr>
        <w:t>Author’s Computation, 2026</w:t>
      </w:r>
    </w:p>
    <w:p w:rsidR="003A0A12" w:rsidRDefault="00DC4A1D" w:rsidP="00DC4A1D">
      <w:pPr>
        <w:spacing w:after="0" w:line="360" w:lineRule="auto"/>
        <w:jc w:val="both"/>
        <w:rPr>
          <w:rFonts w:asciiTheme="majorBidi" w:hAnsiTheme="majorBidi" w:cstheme="majorBidi"/>
        </w:rPr>
      </w:pPr>
      <w:r w:rsidRPr="009F40E4">
        <w:rPr>
          <w:rFonts w:asciiTheme="majorBidi" w:hAnsiTheme="majorBidi" w:cstheme="majorBidi"/>
        </w:rPr>
        <w:t xml:space="preserve">In terms of dispersion, the standard deviation values are low across all variables, further confirming the consistency of responses. For instance, MGS show </w:t>
      </w:r>
      <w:r w:rsidR="00B33256">
        <w:rPr>
          <w:rFonts w:asciiTheme="majorBidi" w:hAnsiTheme="majorBidi" w:cstheme="majorBidi"/>
        </w:rPr>
        <w:t>standard deviations around 0.154</w:t>
      </w:r>
      <w:r w:rsidR="003A0A12">
        <w:rPr>
          <w:rFonts w:asciiTheme="majorBidi" w:hAnsiTheme="majorBidi" w:cstheme="majorBidi"/>
        </w:rPr>
        <w:t>, while CSD and IDP</w:t>
      </w:r>
      <w:r w:rsidRPr="009F40E4">
        <w:rPr>
          <w:rFonts w:asciiTheme="majorBidi" w:hAnsiTheme="majorBidi" w:cstheme="majorBidi"/>
        </w:rPr>
        <w:t xml:space="preserve"> exhibit slightly hig</w:t>
      </w:r>
      <w:r w:rsidR="003A0A12">
        <w:rPr>
          <w:rFonts w:asciiTheme="majorBidi" w:hAnsiTheme="majorBidi" w:cstheme="majorBidi"/>
        </w:rPr>
        <w:t>her values ranging between 0.152 and 0.1</w:t>
      </w:r>
      <w:r w:rsidRPr="009F40E4">
        <w:rPr>
          <w:rFonts w:asciiTheme="majorBidi" w:hAnsiTheme="majorBidi" w:cstheme="majorBidi"/>
        </w:rPr>
        <w:t>2</w:t>
      </w:r>
      <w:r w:rsidR="003A0A12">
        <w:rPr>
          <w:rFonts w:asciiTheme="majorBidi" w:hAnsiTheme="majorBidi" w:cstheme="majorBidi"/>
        </w:rPr>
        <w:t xml:space="preserve">6. CMP with 0,104 also fall within the acceptable band. </w:t>
      </w:r>
      <w:r w:rsidRPr="009F40E4">
        <w:rPr>
          <w:rFonts w:asciiTheme="majorBidi" w:hAnsiTheme="majorBidi" w:cstheme="majorBidi"/>
        </w:rPr>
        <w:t xml:space="preserve">The implication of these figures is that respondents’ opinions are tightly clustered around the mean, suggesting a strong level of consensus and enhancing the reliability of the data. </w:t>
      </w:r>
    </w:p>
    <w:p w:rsidR="003A0A12" w:rsidRDefault="003A0A12" w:rsidP="00DC4A1D">
      <w:pPr>
        <w:spacing w:after="0" w:line="360" w:lineRule="auto"/>
        <w:jc w:val="both"/>
        <w:rPr>
          <w:rFonts w:asciiTheme="majorBidi" w:hAnsiTheme="majorBidi" w:cstheme="majorBidi"/>
        </w:rPr>
      </w:pPr>
    </w:p>
    <w:p w:rsidR="00DC4A1D" w:rsidRPr="009F40E4" w:rsidRDefault="00DC4A1D" w:rsidP="00DC4A1D">
      <w:pPr>
        <w:spacing w:after="0" w:line="360" w:lineRule="auto"/>
        <w:jc w:val="both"/>
        <w:rPr>
          <w:rFonts w:asciiTheme="majorBidi" w:hAnsiTheme="majorBidi" w:cstheme="majorBidi"/>
        </w:rPr>
      </w:pPr>
      <w:r w:rsidRPr="009F40E4">
        <w:rPr>
          <w:rFonts w:asciiTheme="majorBidi" w:hAnsiTheme="majorBidi" w:cstheme="majorBidi"/>
        </w:rPr>
        <w:t xml:space="preserve">The </w:t>
      </w:r>
      <w:proofErr w:type="spellStart"/>
      <w:r w:rsidRPr="009F40E4">
        <w:rPr>
          <w:rFonts w:asciiTheme="majorBidi" w:hAnsiTheme="majorBidi" w:cstheme="majorBidi"/>
        </w:rPr>
        <w:t>skewness</w:t>
      </w:r>
      <w:proofErr w:type="spellEnd"/>
      <w:r w:rsidRPr="009F40E4">
        <w:rPr>
          <w:rFonts w:asciiTheme="majorBidi" w:hAnsiTheme="majorBidi" w:cstheme="majorBidi"/>
        </w:rPr>
        <w:t xml:space="preserve"> statistics further provide insight into the distribution of the data. All variables exhibit negative </w:t>
      </w:r>
      <w:proofErr w:type="spellStart"/>
      <w:r w:rsidRPr="009F40E4">
        <w:rPr>
          <w:rFonts w:asciiTheme="majorBidi" w:hAnsiTheme="majorBidi" w:cstheme="majorBidi"/>
        </w:rPr>
        <w:t>skewness</w:t>
      </w:r>
      <w:proofErr w:type="spellEnd"/>
      <w:r w:rsidRPr="009F40E4">
        <w:rPr>
          <w:rFonts w:asciiTheme="majorBidi" w:hAnsiTheme="majorBidi" w:cstheme="majorBidi"/>
        </w:rPr>
        <w:t xml:space="preserve"> values, with figures generally ranging</w:t>
      </w:r>
      <w:r w:rsidR="003A0A12">
        <w:rPr>
          <w:rFonts w:asciiTheme="majorBidi" w:hAnsiTheme="majorBidi" w:cstheme="majorBidi"/>
        </w:rPr>
        <w:t xml:space="preserve"> between approximately -0.142 and -0.744</w:t>
      </w:r>
      <w:r w:rsidRPr="009F40E4">
        <w:rPr>
          <w:rFonts w:asciiTheme="majorBidi" w:hAnsiTheme="majorBidi" w:cstheme="majorBidi"/>
        </w:rPr>
        <w:t xml:space="preserve"> For example, </w:t>
      </w:r>
      <w:r w:rsidR="003A0A12" w:rsidRPr="009F40E4">
        <w:rPr>
          <w:rFonts w:asciiTheme="majorBidi" w:hAnsiTheme="majorBidi" w:cstheme="majorBidi"/>
        </w:rPr>
        <w:t>this</w:t>
      </w:r>
      <w:r w:rsidRPr="009F40E4">
        <w:rPr>
          <w:rFonts w:asciiTheme="majorBidi" w:hAnsiTheme="majorBidi" w:cstheme="majorBidi"/>
        </w:rPr>
        <w:t xml:space="preserve"> pattern indicates that the data is skewed towards the higher end of the scale, meaning that most respondents selected higher response categories such as “agree” and “strongly agree.”</w:t>
      </w:r>
    </w:p>
    <w:p w:rsidR="00DC4A1D" w:rsidRPr="009F40E4" w:rsidRDefault="00DC4A1D" w:rsidP="00DC4A1D">
      <w:pPr>
        <w:spacing w:after="0" w:line="360" w:lineRule="auto"/>
        <w:jc w:val="both"/>
        <w:rPr>
          <w:rFonts w:asciiTheme="majorBidi" w:hAnsiTheme="majorBidi" w:cstheme="majorBidi"/>
        </w:rPr>
      </w:pPr>
      <w:r w:rsidRPr="009F40E4">
        <w:rPr>
          <w:rFonts w:asciiTheme="majorBidi" w:hAnsiTheme="majorBidi" w:cstheme="majorBidi"/>
        </w:rPr>
        <w:t xml:space="preserve">The kurtosis values, although not extreme, fall within acceptable bounds (approximately between </w:t>
      </w:r>
      <w:r w:rsidR="003A0A12">
        <w:rPr>
          <w:rFonts w:asciiTheme="majorBidi" w:hAnsiTheme="majorBidi" w:cstheme="majorBidi"/>
        </w:rPr>
        <w:t>-1</w:t>
      </w:r>
      <w:r w:rsidRPr="009F40E4">
        <w:rPr>
          <w:rFonts w:asciiTheme="majorBidi" w:hAnsiTheme="majorBidi" w:cstheme="majorBidi"/>
        </w:rPr>
        <w:t xml:space="preserve"> and </w:t>
      </w:r>
      <w:r w:rsidR="003A0A12">
        <w:rPr>
          <w:rFonts w:asciiTheme="majorBidi" w:hAnsiTheme="majorBidi" w:cstheme="majorBidi"/>
        </w:rPr>
        <w:t>-3</w:t>
      </w:r>
      <w:r w:rsidRPr="009F40E4">
        <w:rPr>
          <w:rFonts w:asciiTheme="majorBidi" w:hAnsiTheme="majorBidi" w:cstheme="majorBidi"/>
        </w:rPr>
        <w:t>), suggesting that the distributions are neither overly peaked nor excessively flat. This indicates a reasonable level of normality in terms of distribution shape.</w:t>
      </w:r>
    </w:p>
    <w:p w:rsidR="00DC4A1D" w:rsidRDefault="00DC4A1D" w:rsidP="003A0A12">
      <w:pPr>
        <w:spacing w:after="0" w:line="360" w:lineRule="auto"/>
        <w:jc w:val="both"/>
        <w:rPr>
          <w:rFonts w:asciiTheme="majorBidi" w:hAnsiTheme="majorBidi" w:cstheme="majorBidi"/>
        </w:rPr>
      </w:pPr>
      <w:r w:rsidRPr="009F40E4">
        <w:rPr>
          <w:rFonts w:asciiTheme="majorBidi" w:hAnsiTheme="majorBidi" w:cstheme="majorBidi"/>
        </w:rPr>
        <w:lastRenderedPageBreak/>
        <w:t xml:space="preserve">However, the </w:t>
      </w:r>
      <w:proofErr w:type="spellStart"/>
      <w:r w:rsidRPr="009F40E4">
        <w:rPr>
          <w:rFonts w:asciiTheme="majorBidi" w:hAnsiTheme="majorBidi" w:cstheme="majorBidi"/>
        </w:rPr>
        <w:t>Jarque-Bera</w:t>
      </w:r>
      <w:proofErr w:type="spellEnd"/>
      <w:r w:rsidRPr="009F40E4">
        <w:rPr>
          <w:rFonts w:asciiTheme="majorBidi" w:hAnsiTheme="majorBidi" w:cstheme="majorBidi"/>
        </w:rPr>
        <w:t xml:space="preserve"> statistics reveal that the probability values for all variables are below 0.05, confirming that the data does not follow a perfect normal distribution. Despite this, the deviation from normality is not problematic, as the PLS-SEM technique employed in this study does not require strict normality assumptions an</w:t>
      </w:r>
      <w:r w:rsidR="003A0A12">
        <w:rPr>
          <w:rFonts w:asciiTheme="majorBidi" w:hAnsiTheme="majorBidi" w:cstheme="majorBidi"/>
        </w:rPr>
        <w:t>d is robust to such violations.</w:t>
      </w:r>
    </w:p>
    <w:p w:rsidR="003A0A12" w:rsidRPr="003A0A12" w:rsidRDefault="003A0A12" w:rsidP="003A0A12">
      <w:pPr>
        <w:spacing w:after="0" w:line="360" w:lineRule="auto"/>
        <w:jc w:val="both"/>
        <w:rPr>
          <w:rFonts w:asciiTheme="majorBidi" w:hAnsiTheme="majorBidi" w:cstheme="majorBidi"/>
        </w:rPr>
      </w:pPr>
    </w:p>
    <w:p w:rsidR="00DC4A1D" w:rsidRDefault="00B07C30" w:rsidP="00DC4A1D">
      <w:pPr>
        <w:spacing w:after="0" w:line="360" w:lineRule="auto"/>
        <w:jc w:val="both"/>
        <w:rPr>
          <w:rFonts w:asciiTheme="majorBidi" w:hAnsiTheme="majorBidi" w:cstheme="majorBidi"/>
          <w:b/>
          <w:bCs/>
          <w:noProof/>
        </w:rPr>
      </w:pPr>
      <w:r>
        <w:rPr>
          <w:rFonts w:asciiTheme="majorBidi" w:hAnsiTheme="majorBidi" w:cstheme="majorBidi"/>
          <w:b/>
          <w:bCs/>
          <w:noProof/>
        </w:rPr>
        <w:t>4.3.</w:t>
      </w:r>
      <w:r w:rsidR="00DC4A1D">
        <w:rPr>
          <w:rFonts w:asciiTheme="majorBidi" w:hAnsiTheme="majorBidi" w:cstheme="majorBidi"/>
          <w:b/>
          <w:bCs/>
          <w:noProof/>
        </w:rPr>
        <w:tab/>
        <w:t>Reliability Test</w:t>
      </w:r>
    </w:p>
    <w:p w:rsidR="00DC4A1D" w:rsidRPr="00CD085E" w:rsidRDefault="00DC4A1D" w:rsidP="00DC4A1D">
      <w:pPr>
        <w:spacing w:after="0" w:line="360" w:lineRule="auto"/>
        <w:jc w:val="both"/>
        <w:rPr>
          <w:rFonts w:asciiTheme="majorBidi" w:hAnsiTheme="majorBidi" w:cstheme="majorBidi"/>
          <w:noProof/>
        </w:rPr>
      </w:pPr>
      <w:r w:rsidRPr="00AD7690">
        <w:rPr>
          <w:rFonts w:asciiTheme="majorBidi" w:hAnsiTheme="majorBidi" w:cstheme="majorBidi"/>
          <w:bCs/>
          <w:noProof/>
        </w:rPr>
        <w:t xml:space="preserve">As presrequite test before regression analysis, relaibilty test on the data was conducted. </w:t>
      </w:r>
      <w:r w:rsidRPr="00AD7690">
        <w:rPr>
          <w:rFonts w:asciiTheme="majorBidi" w:hAnsiTheme="majorBidi" w:cstheme="majorBidi"/>
          <w:noProof/>
        </w:rPr>
        <w:t>The reliability of the measurement constructs was assessed using Cronbach’s Alpha (α), which evaluates the internal consistency of the items used to measure each latent variable.</w:t>
      </w:r>
      <w:r w:rsidR="00B07C30">
        <w:rPr>
          <w:rFonts w:asciiTheme="majorBidi" w:hAnsiTheme="majorBidi" w:cstheme="majorBidi"/>
          <w:noProof/>
        </w:rPr>
        <w:t xml:space="preserve"> </w:t>
      </w:r>
      <w:r w:rsidRPr="005637FA">
        <w:rPr>
          <w:rFonts w:asciiTheme="majorBidi" w:hAnsiTheme="majorBidi" w:cstheme="majorBidi"/>
          <w:noProof/>
        </w:rPr>
        <w:t xml:space="preserve">The results </w:t>
      </w:r>
      <w:r w:rsidR="00B07C30">
        <w:rPr>
          <w:rFonts w:asciiTheme="majorBidi" w:hAnsiTheme="majorBidi" w:cstheme="majorBidi"/>
          <w:noProof/>
        </w:rPr>
        <w:t>on table 2</w:t>
      </w:r>
      <w:r>
        <w:rPr>
          <w:rFonts w:asciiTheme="majorBidi" w:hAnsiTheme="majorBidi" w:cstheme="majorBidi"/>
          <w:noProof/>
        </w:rPr>
        <w:t>, shows a</w:t>
      </w:r>
      <w:r w:rsidRPr="005637FA">
        <w:rPr>
          <w:rFonts w:asciiTheme="majorBidi" w:hAnsiTheme="majorBidi" w:cstheme="majorBidi"/>
          <w:noProof/>
        </w:rPr>
        <w:t xml:space="preserve"> reliability analysis show varying levels of internal consistency across the constructs. Management Support (α = 0.836), S</w:t>
      </w:r>
      <w:r>
        <w:rPr>
          <w:rFonts w:asciiTheme="majorBidi" w:hAnsiTheme="majorBidi" w:cstheme="majorBidi"/>
          <w:noProof/>
        </w:rPr>
        <w:t>ervice Delivery (α = 0.805),</w:t>
      </w:r>
      <w:r w:rsidRPr="005637FA">
        <w:rPr>
          <w:rFonts w:asciiTheme="majorBidi" w:hAnsiTheme="majorBidi" w:cstheme="majorBidi"/>
          <w:noProof/>
        </w:rPr>
        <w:t xml:space="preserve"> </w:t>
      </w:r>
      <w:r>
        <w:rPr>
          <w:rFonts w:asciiTheme="majorBidi" w:hAnsiTheme="majorBidi" w:cstheme="majorBidi"/>
          <w:noProof/>
        </w:rPr>
        <w:t>and Auditor’s competency ((α = 0.710)</w:t>
      </w:r>
      <w:r w:rsidRPr="005637FA">
        <w:rPr>
          <w:rFonts w:asciiTheme="majorBidi" w:hAnsiTheme="majorBidi" w:cstheme="majorBidi"/>
          <w:noProof/>
        </w:rPr>
        <w:t xml:space="preserve"> all exceed the recommended threshold of 0.70, indicating strong internal consistency and high reliability of the measurement items. </w:t>
      </w:r>
    </w:p>
    <w:p w:rsidR="00DC4A1D" w:rsidRDefault="00DC4A1D" w:rsidP="00DC4A1D">
      <w:pPr>
        <w:spacing w:after="0" w:line="240" w:lineRule="auto"/>
        <w:jc w:val="both"/>
        <w:rPr>
          <w:rFonts w:asciiTheme="majorBidi" w:hAnsiTheme="majorBidi" w:cstheme="majorBidi"/>
          <w:b/>
          <w:bCs/>
          <w:noProof/>
        </w:rPr>
      </w:pPr>
    </w:p>
    <w:p w:rsidR="00DC4A1D" w:rsidRDefault="00B07C30" w:rsidP="00DC4A1D">
      <w:pPr>
        <w:spacing w:after="0" w:line="240" w:lineRule="auto"/>
        <w:jc w:val="both"/>
        <w:rPr>
          <w:rFonts w:asciiTheme="majorBidi" w:hAnsiTheme="majorBidi" w:cstheme="majorBidi"/>
          <w:b/>
          <w:bCs/>
          <w:noProof/>
        </w:rPr>
      </w:pPr>
      <w:r>
        <w:rPr>
          <w:rFonts w:asciiTheme="majorBidi" w:hAnsiTheme="majorBidi" w:cstheme="majorBidi"/>
          <w:b/>
          <w:bCs/>
          <w:noProof/>
        </w:rPr>
        <w:t>Table 2</w:t>
      </w:r>
      <w:r w:rsidR="00DC4A1D">
        <w:rPr>
          <w:rFonts w:asciiTheme="majorBidi" w:hAnsiTheme="majorBidi" w:cstheme="majorBidi"/>
          <w:b/>
          <w:bCs/>
          <w:noProof/>
        </w:rPr>
        <w:t>: Reliability Test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5"/>
        <w:gridCol w:w="2430"/>
        <w:gridCol w:w="1800"/>
      </w:tblGrid>
      <w:tr w:rsidR="00DC4A1D" w:rsidRPr="001F3DAF" w:rsidTr="005D51C5">
        <w:trPr>
          <w:tblHeader/>
          <w:tblCellSpacing w:w="15" w:type="dxa"/>
        </w:trPr>
        <w:tc>
          <w:tcPr>
            <w:tcW w:w="3640" w:type="dxa"/>
            <w:tcBorders>
              <w:top w:val="single" w:sz="4" w:space="0" w:color="auto"/>
              <w:bottom w:val="single" w:sz="4" w:space="0" w:color="auto"/>
            </w:tcBorders>
            <w:vAlign w:val="center"/>
            <w:hideMark/>
          </w:tcPr>
          <w:p w:rsidR="00DC4A1D" w:rsidRPr="001F3DAF" w:rsidRDefault="00DC4A1D" w:rsidP="005D51C5">
            <w:pPr>
              <w:spacing w:after="0" w:line="240" w:lineRule="auto"/>
              <w:jc w:val="both"/>
              <w:rPr>
                <w:rFonts w:asciiTheme="majorBidi" w:hAnsiTheme="majorBidi" w:cstheme="majorBidi"/>
                <w:b/>
                <w:bCs/>
                <w:noProof/>
              </w:rPr>
            </w:pPr>
            <w:r w:rsidRPr="001F3DAF">
              <w:rPr>
                <w:rFonts w:asciiTheme="majorBidi" w:hAnsiTheme="majorBidi" w:cstheme="majorBidi"/>
                <w:b/>
                <w:bCs/>
                <w:noProof/>
              </w:rPr>
              <w:t>Construct</w:t>
            </w:r>
          </w:p>
        </w:tc>
        <w:tc>
          <w:tcPr>
            <w:tcW w:w="2400" w:type="dxa"/>
            <w:tcBorders>
              <w:top w:val="single" w:sz="4" w:space="0" w:color="auto"/>
              <w:bottom w:val="single" w:sz="4" w:space="0" w:color="auto"/>
            </w:tcBorders>
            <w:vAlign w:val="center"/>
            <w:hideMark/>
          </w:tcPr>
          <w:p w:rsidR="00DC4A1D" w:rsidRPr="001F3DAF" w:rsidRDefault="00DC4A1D" w:rsidP="005D51C5">
            <w:pPr>
              <w:spacing w:after="0" w:line="240" w:lineRule="auto"/>
              <w:jc w:val="both"/>
              <w:rPr>
                <w:rFonts w:asciiTheme="majorBidi" w:hAnsiTheme="majorBidi" w:cstheme="majorBidi"/>
                <w:b/>
                <w:bCs/>
                <w:noProof/>
              </w:rPr>
            </w:pPr>
            <w:r w:rsidRPr="001F3DAF">
              <w:rPr>
                <w:rFonts w:asciiTheme="majorBidi" w:hAnsiTheme="majorBidi" w:cstheme="majorBidi"/>
                <w:b/>
                <w:bCs/>
                <w:noProof/>
              </w:rPr>
              <w:t>Cronbach’s Alpha</w:t>
            </w:r>
          </w:p>
        </w:tc>
        <w:tc>
          <w:tcPr>
            <w:tcW w:w="1755" w:type="dxa"/>
            <w:tcBorders>
              <w:top w:val="single" w:sz="4" w:space="0" w:color="auto"/>
              <w:bottom w:val="single" w:sz="4" w:space="0" w:color="auto"/>
            </w:tcBorders>
            <w:vAlign w:val="center"/>
            <w:hideMark/>
          </w:tcPr>
          <w:p w:rsidR="00DC4A1D" w:rsidRPr="001F3DAF" w:rsidRDefault="00DC4A1D" w:rsidP="005D51C5">
            <w:pPr>
              <w:spacing w:after="0" w:line="240" w:lineRule="auto"/>
              <w:jc w:val="both"/>
              <w:rPr>
                <w:rFonts w:asciiTheme="majorBidi" w:hAnsiTheme="majorBidi" w:cstheme="majorBidi"/>
                <w:b/>
                <w:bCs/>
                <w:noProof/>
              </w:rPr>
            </w:pPr>
            <w:r w:rsidRPr="001F3DAF">
              <w:rPr>
                <w:rFonts w:asciiTheme="majorBidi" w:hAnsiTheme="majorBidi" w:cstheme="majorBidi"/>
                <w:b/>
                <w:bCs/>
                <w:noProof/>
              </w:rPr>
              <w:t>Decision</w:t>
            </w:r>
          </w:p>
        </w:tc>
      </w:tr>
      <w:tr w:rsidR="00DC4A1D" w:rsidRPr="001F3DAF" w:rsidTr="005D51C5">
        <w:trPr>
          <w:tblCellSpacing w:w="15" w:type="dxa"/>
        </w:trPr>
        <w:tc>
          <w:tcPr>
            <w:tcW w:w="3640" w:type="dxa"/>
            <w:vAlign w:val="center"/>
            <w:hideMark/>
          </w:tcPr>
          <w:p w:rsidR="00DC4A1D" w:rsidRPr="001F3DAF" w:rsidRDefault="00DC4A1D" w:rsidP="005D51C5">
            <w:pPr>
              <w:spacing w:after="0" w:line="240" w:lineRule="auto"/>
              <w:jc w:val="both"/>
              <w:rPr>
                <w:rFonts w:asciiTheme="majorBidi" w:hAnsiTheme="majorBidi" w:cstheme="majorBidi"/>
                <w:noProof/>
              </w:rPr>
            </w:pPr>
            <w:r w:rsidRPr="001F3DAF">
              <w:rPr>
                <w:rFonts w:asciiTheme="majorBidi" w:hAnsiTheme="majorBidi" w:cstheme="majorBidi"/>
                <w:noProof/>
              </w:rPr>
              <w:t>Auditor Independence</w:t>
            </w:r>
          </w:p>
        </w:tc>
        <w:tc>
          <w:tcPr>
            <w:tcW w:w="2400" w:type="dxa"/>
            <w:vAlign w:val="center"/>
            <w:hideMark/>
          </w:tcPr>
          <w:p w:rsidR="00DC4A1D" w:rsidRPr="001F3DAF" w:rsidRDefault="00DC4A1D" w:rsidP="005D51C5">
            <w:pPr>
              <w:spacing w:after="0" w:line="240" w:lineRule="auto"/>
              <w:jc w:val="both"/>
              <w:rPr>
                <w:rFonts w:asciiTheme="majorBidi" w:hAnsiTheme="majorBidi" w:cstheme="majorBidi"/>
                <w:noProof/>
              </w:rPr>
            </w:pPr>
            <w:r>
              <w:rPr>
                <w:rFonts w:asciiTheme="majorBidi" w:hAnsiTheme="majorBidi" w:cstheme="majorBidi"/>
                <w:noProof/>
              </w:rPr>
              <w:t>0.6</w:t>
            </w:r>
            <w:r w:rsidRPr="001F3DAF">
              <w:rPr>
                <w:rFonts w:asciiTheme="majorBidi" w:hAnsiTheme="majorBidi" w:cstheme="majorBidi"/>
                <w:noProof/>
              </w:rPr>
              <w:t>8</w:t>
            </w:r>
            <w:r>
              <w:rPr>
                <w:rFonts w:asciiTheme="majorBidi" w:hAnsiTheme="majorBidi" w:cstheme="majorBidi"/>
                <w:noProof/>
              </w:rPr>
              <w:t>9</w:t>
            </w:r>
          </w:p>
        </w:tc>
        <w:tc>
          <w:tcPr>
            <w:tcW w:w="1755" w:type="dxa"/>
            <w:vAlign w:val="center"/>
            <w:hideMark/>
          </w:tcPr>
          <w:p w:rsidR="00DC4A1D" w:rsidRPr="001F3DAF" w:rsidRDefault="00DC4A1D" w:rsidP="005D51C5">
            <w:pPr>
              <w:spacing w:after="0" w:line="240" w:lineRule="auto"/>
              <w:jc w:val="both"/>
              <w:rPr>
                <w:rFonts w:asciiTheme="majorBidi" w:hAnsiTheme="majorBidi" w:cstheme="majorBidi"/>
                <w:noProof/>
              </w:rPr>
            </w:pPr>
            <w:r w:rsidRPr="001F3DAF">
              <w:rPr>
                <w:rFonts w:asciiTheme="majorBidi" w:hAnsiTheme="majorBidi" w:cstheme="majorBidi"/>
                <w:noProof/>
              </w:rPr>
              <w:t>Acceptable</w:t>
            </w:r>
          </w:p>
        </w:tc>
      </w:tr>
      <w:tr w:rsidR="00DC4A1D" w:rsidRPr="001F3DAF" w:rsidTr="005D51C5">
        <w:trPr>
          <w:tblCellSpacing w:w="15" w:type="dxa"/>
        </w:trPr>
        <w:tc>
          <w:tcPr>
            <w:tcW w:w="3640" w:type="dxa"/>
            <w:vAlign w:val="center"/>
            <w:hideMark/>
          </w:tcPr>
          <w:p w:rsidR="00DC4A1D" w:rsidRPr="001F3DAF" w:rsidRDefault="00DC4A1D" w:rsidP="005D51C5">
            <w:pPr>
              <w:spacing w:after="0" w:line="240" w:lineRule="auto"/>
              <w:jc w:val="both"/>
              <w:rPr>
                <w:rFonts w:asciiTheme="majorBidi" w:hAnsiTheme="majorBidi" w:cstheme="majorBidi"/>
                <w:noProof/>
              </w:rPr>
            </w:pPr>
            <w:r w:rsidRPr="001F3DAF">
              <w:rPr>
                <w:rFonts w:asciiTheme="majorBidi" w:hAnsiTheme="majorBidi" w:cstheme="majorBidi"/>
                <w:noProof/>
              </w:rPr>
              <w:t>Auditor Competency</w:t>
            </w:r>
          </w:p>
        </w:tc>
        <w:tc>
          <w:tcPr>
            <w:tcW w:w="2400" w:type="dxa"/>
            <w:vAlign w:val="center"/>
            <w:hideMark/>
          </w:tcPr>
          <w:p w:rsidR="00DC4A1D" w:rsidRPr="001F3DAF" w:rsidRDefault="00DC4A1D" w:rsidP="005D51C5">
            <w:pPr>
              <w:spacing w:after="0" w:line="240" w:lineRule="auto"/>
              <w:jc w:val="both"/>
              <w:rPr>
                <w:rFonts w:asciiTheme="majorBidi" w:hAnsiTheme="majorBidi" w:cstheme="majorBidi"/>
                <w:noProof/>
              </w:rPr>
            </w:pPr>
            <w:r>
              <w:rPr>
                <w:rFonts w:asciiTheme="majorBidi" w:hAnsiTheme="majorBidi" w:cstheme="majorBidi"/>
                <w:noProof/>
              </w:rPr>
              <w:t>0.710</w:t>
            </w:r>
          </w:p>
        </w:tc>
        <w:tc>
          <w:tcPr>
            <w:tcW w:w="1755" w:type="dxa"/>
            <w:vAlign w:val="center"/>
            <w:hideMark/>
          </w:tcPr>
          <w:p w:rsidR="00DC4A1D" w:rsidRPr="001F3DAF" w:rsidRDefault="00DC4A1D" w:rsidP="005D51C5">
            <w:pPr>
              <w:spacing w:after="0" w:line="240" w:lineRule="auto"/>
              <w:jc w:val="both"/>
              <w:rPr>
                <w:rFonts w:asciiTheme="majorBidi" w:hAnsiTheme="majorBidi" w:cstheme="majorBidi"/>
                <w:noProof/>
              </w:rPr>
            </w:pPr>
            <w:r>
              <w:rPr>
                <w:rFonts w:asciiTheme="majorBidi" w:hAnsiTheme="majorBidi" w:cstheme="majorBidi"/>
                <w:noProof/>
              </w:rPr>
              <w:t>Acceptable</w:t>
            </w:r>
          </w:p>
        </w:tc>
      </w:tr>
      <w:tr w:rsidR="00DC4A1D" w:rsidRPr="001F3DAF" w:rsidTr="005D51C5">
        <w:trPr>
          <w:tblCellSpacing w:w="15" w:type="dxa"/>
        </w:trPr>
        <w:tc>
          <w:tcPr>
            <w:tcW w:w="3640" w:type="dxa"/>
            <w:vAlign w:val="center"/>
            <w:hideMark/>
          </w:tcPr>
          <w:p w:rsidR="00DC4A1D" w:rsidRPr="001F3DAF" w:rsidRDefault="00DC4A1D" w:rsidP="005D51C5">
            <w:pPr>
              <w:spacing w:after="0" w:line="240" w:lineRule="auto"/>
              <w:jc w:val="both"/>
              <w:rPr>
                <w:rFonts w:asciiTheme="majorBidi" w:hAnsiTheme="majorBidi" w:cstheme="majorBidi"/>
                <w:noProof/>
              </w:rPr>
            </w:pPr>
            <w:r w:rsidRPr="001F3DAF">
              <w:rPr>
                <w:rFonts w:asciiTheme="majorBidi" w:hAnsiTheme="majorBidi" w:cstheme="majorBidi"/>
                <w:noProof/>
              </w:rPr>
              <w:t>Management Support</w:t>
            </w:r>
          </w:p>
        </w:tc>
        <w:tc>
          <w:tcPr>
            <w:tcW w:w="2400" w:type="dxa"/>
            <w:vAlign w:val="center"/>
            <w:hideMark/>
          </w:tcPr>
          <w:p w:rsidR="00DC4A1D" w:rsidRPr="001F3DAF" w:rsidRDefault="00DC4A1D" w:rsidP="005D51C5">
            <w:pPr>
              <w:spacing w:after="0" w:line="240" w:lineRule="auto"/>
              <w:jc w:val="both"/>
              <w:rPr>
                <w:rFonts w:asciiTheme="majorBidi" w:hAnsiTheme="majorBidi" w:cstheme="majorBidi"/>
                <w:noProof/>
              </w:rPr>
            </w:pPr>
            <w:r w:rsidRPr="001F3DAF">
              <w:rPr>
                <w:rFonts w:asciiTheme="majorBidi" w:hAnsiTheme="majorBidi" w:cstheme="majorBidi"/>
                <w:noProof/>
              </w:rPr>
              <w:t>0.836</w:t>
            </w:r>
          </w:p>
        </w:tc>
        <w:tc>
          <w:tcPr>
            <w:tcW w:w="1755" w:type="dxa"/>
            <w:vAlign w:val="center"/>
            <w:hideMark/>
          </w:tcPr>
          <w:p w:rsidR="00DC4A1D" w:rsidRPr="001F3DAF" w:rsidRDefault="00DC4A1D" w:rsidP="005D51C5">
            <w:pPr>
              <w:spacing w:after="0" w:line="240" w:lineRule="auto"/>
              <w:jc w:val="both"/>
              <w:rPr>
                <w:rFonts w:asciiTheme="majorBidi" w:hAnsiTheme="majorBidi" w:cstheme="majorBidi"/>
                <w:noProof/>
              </w:rPr>
            </w:pPr>
            <w:r w:rsidRPr="001F3DAF">
              <w:rPr>
                <w:rFonts w:asciiTheme="majorBidi" w:hAnsiTheme="majorBidi" w:cstheme="majorBidi"/>
                <w:noProof/>
              </w:rPr>
              <w:t>Good</w:t>
            </w:r>
          </w:p>
        </w:tc>
      </w:tr>
      <w:tr w:rsidR="00DC4A1D" w:rsidRPr="001F3DAF" w:rsidTr="005D51C5">
        <w:trPr>
          <w:tblCellSpacing w:w="15" w:type="dxa"/>
        </w:trPr>
        <w:tc>
          <w:tcPr>
            <w:tcW w:w="3640" w:type="dxa"/>
            <w:vAlign w:val="center"/>
            <w:hideMark/>
          </w:tcPr>
          <w:p w:rsidR="00DC4A1D" w:rsidRPr="001F3DAF" w:rsidRDefault="00DC4A1D" w:rsidP="005D51C5">
            <w:pPr>
              <w:spacing w:after="0" w:line="240" w:lineRule="auto"/>
              <w:jc w:val="both"/>
              <w:rPr>
                <w:rFonts w:asciiTheme="majorBidi" w:hAnsiTheme="majorBidi" w:cstheme="majorBidi"/>
                <w:noProof/>
              </w:rPr>
            </w:pPr>
            <w:r w:rsidRPr="001F3DAF">
              <w:rPr>
                <w:rFonts w:asciiTheme="majorBidi" w:hAnsiTheme="majorBidi" w:cstheme="majorBidi"/>
                <w:noProof/>
              </w:rPr>
              <w:t>Service Delivery</w:t>
            </w:r>
          </w:p>
        </w:tc>
        <w:tc>
          <w:tcPr>
            <w:tcW w:w="2400" w:type="dxa"/>
            <w:vAlign w:val="center"/>
            <w:hideMark/>
          </w:tcPr>
          <w:p w:rsidR="00DC4A1D" w:rsidRPr="001F3DAF" w:rsidRDefault="00DC4A1D" w:rsidP="005D51C5">
            <w:pPr>
              <w:spacing w:after="0" w:line="240" w:lineRule="auto"/>
              <w:jc w:val="both"/>
              <w:rPr>
                <w:rFonts w:asciiTheme="majorBidi" w:hAnsiTheme="majorBidi" w:cstheme="majorBidi"/>
                <w:noProof/>
              </w:rPr>
            </w:pPr>
            <w:r w:rsidRPr="001F3DAF">
              <w:rPr>
                <w:rFonts w:asciiTheme="majorBidi" w:hAnsiTheme="majorBidi" w:cstheme="majorBidi"/>
                <w:noProof/>
              </w:rPr>
              <w:t>0.805</w:t>
            </w:r>
          </w:p>
        </w:tc>
        <w:tc>
          <w:tcPr>
            <w:tcW w:w="1755" w:type="dxa"/>
            <w:vAlign w:val="center"/>
            <w:hideMark/>
          </w:tcPr>
          <w:p w:rsidR="00DC4A1D" w:rsidRPr="001F3DAF" w:rsidRDefault="00DC4A1D" w:rsidP="005D51C5">
            <w:pPr>
              <w:spacing w:after="0" w:line="240" w:lineRule="auto"/>
              <w:jc w:val="both"/>
              <w:rPr>
                <w:rFonts w:asciiTheme="majorBidi" w:hAnsiTheme="majorBidi" w:cstheme="majorBidi"/>
                <w:noProof/>
              </w:rPr>
            </w:pPr>
            <w:r w:rsidRPr="001F3DAF">
              <w:rPr>
                <w:rFonts w:asciiTheme="majorBidi" w:hAnsiTheme="majorBidi" w:cstheme="majorBidi"/>
                <w:noProof/>
              </w:rPr>
              <w:t>Good</w:t>
            </w:r>
          </w:p>
        </w:tc>
      </w:tr>
    </w:tbl>
    <w:p w:rsidR="00DC4A1D" w:rsidRDefault="00DC4A1D" w:rsidP="00DC4A1D">
      <w:pPr>
        <w:spacing w:line="480" w:lineRule="auto"/>
        <w:jc w:val="both"/>
        <w:rPr>
          <w:rFonts w:asciiTheme="majorBidi" w:hAnsiTheme="majorBidi" w:cstheme="majorBidi"/>
          <w:b/>
          <w:bCs/>
          <w:noProof/>
        </w:rPr>
      </w:pPr>
      <w:r>
        <w:rPr>
          <w:rFonts w:asciiTheme="majorBidi" w:hAnsiTheme="majorBidi" w:cstheme="majorBidi"/>
          <w:b/>
          <w:bCs/>
          <w:noProof/>
        </w:rPr>
        <w:t>Author’s Computation, 2026</w:t>
      </w:r>
    </w:p>
    <w:p w:rsidR="00DC4A1D" w:rsidRPr="005637FA" w:rsidRDefault="00B07C30" w:rsidP="00DC4A1D">
      <w:pPr>
        <w:spacing w:after="0" w:line="360" w:lineRule="auto"/>
        <w:jc w:val="both"/>
        <w:rPr>
          <w:rFonts w:asciiTheme="majorBidi" w:hAnsiTheme="majorBidi" w:cstheme="majorBidi"/>
          <w:noProof/>
        </w:rPr>
      </w:pPr>
      <w:r>
        <w:rPr>
          <w:rFonts w:asciiTheme="majorBidi" w:hAnsiTheme="majorBidi" w:cstheme="majorBidi"/>
          <w:noProof/>
        </w:rPr>
        <w:t>However, Auditors Independence (α = 0.</w:t>
      </w:r>
      <w:r w:rsidRPr="005637FA">
        <w:rPr>
          <w:rFonts w:asciiTheme="majorBidi" w:hAnsiTheme="majorBidi" w:cstheme="majorBidi"/>
          <w:noProof/>
        </w:rPr>
        <w:t>6</w:t>
      </w:r>
      <w:r>
        <w:rPr>
          <w:rFonts w:asciiTheme="majorBidi" w:hAnsiTheme="majorBidi" w:cstheme="majorBidi"/>
          <w:noProof/>
        </w:rPr>
        <w:t>89</w:t>
      </w:r>
      <w:r w:rsidRPr="005637FA">
        <w:rPr>
          <w:rFonts w:asciiTheme="majorBidi" w:hAnsiTheme="majorBidi" w:cstheme="majorBidi"/>
          <w:noProof/>
        </w:rPr>
        <w:t>)</w:t>
      </w:r>
      <w:r>
        <w:rPr>
          <w:rFonts w:asciiTheme="majorBidi" w:hAnsiTheme="majorBidi" w:cstheme="majorBidi"/>
          <w:noProof/>
        </w:rPr>
        <w:t>,</w:t>
      </w:r>
      <w:r w:rsidR="00DC4A1D" w:rsidRPr="005637FA">
        <w:rPr>
          <w:rFonts w:asciiTheme="majorBidi" w:hAnsiTheme="majorBidi" w:cstheme="majorBidi"/>
          <w:noProof/>
        </w:rPr>
        <w:t xml:space="preserve"> show sl</w:t>
      </w:r>
      <w:r>
        <w:rPr>
          <w:rFonts w:asciiTheme="majorBidi" w:hAnsiTheme="majorBidi" w:cstheme="majorBidi"/>
          <w:noProof/>
        </w:rPr>
        <w:t>ightly lower reliability values which</w:t>
      </w:r>
      <w:r w:rsidR="00DC4A1D" w:rsidRPr="005637FA">
        <w:rPr>
          <w:rFonts w:asciiTheme="majorBidi" w:hAnsiTheme="majorBidi" w:cstheme="majorBidi"/>
          <w:noProof/>
        </w:rPr>
        <w:t xml:space="preserve"> is marginally below the 0.70 threshold but still considered acceptable in exploratory research. </w:t>
      </w:r>
    </w:p>
    <w:p w:rsidR="00DC4A1D" w:rsidRPr="005637FA" w:rsidRDefault="00DC4A1D" w:rsidP="00DC4A1D">
      <w:pPr>
        <w:spacing w:after="0" w:line="360" w:lineRule="auto"/>
        <w:jc w:val="both"/>
        <w:rPr>
          <w:rFonts w:asciiTheme="majorBidi" w:hAnsiTheme="majorBidi" w:cstheme="majorBidi"/>
          <w:noProof/>
        </w:rPr>
      </w:pPr>
    </w:p>
    <w:p w:rsidR="00DC4A1D" w:rsidRPr="009E1852" w:rsidRDefault="00B07C30" w:rsidP="00DC4A1D">
      <w:pPr>
        <w:spacing w:line="360" w:lineRule="auto"/>
        <w:jc w:val="both"/>
        <w:rPr>
          <w:rFonts w:ascii="Times New Roman" w:hAnsi="Times New Roman" w:cs="Times New Roman"/>
          <w:b/>
          <w:bCs/>
          <w:noProof/>
        </w:rPr>
      </w:pPr>
      <w:r>
        <w:rPr>
          <w:rFonts w:ascii="Times New Roman" w:hAnsi="Times New Roman" w:cs="Times New Roman"/>
          <w:b/>
          <w:bCs/>
          <w:noProof/>
        </w:rPr>
        <w:t>4.4</w:t>
      </w:r>
      <w:r w:rsidR="00DC4A1D" w:rsidRPr="009E1852">
        <w:rPr>
          <w:rFonts w:ascii="Times New Roman" w:hAnsi="Times New Roman" w:cs="Times New Roman"/>
          <w:b/>
          <w:bCs/>
          <w:noProof/>
        </w:rPr>
        <w:t>. Validity Test</w:t>
      </w:r>
    </w:p>
    <w:p w:rsidR="00B07C30" w:rsidRDefault="00B07C30" w:rsidP="00DC4A1D">
      <w:pPr>
        <w:pStyle w:val="NormalWeb"/>
        <w:spacing w:after="0" w:afterAutospacing="0" w:line="360" w:lineRule="auto"/>
        <w:rPr>
          <w:rStyle w:val="Strong"/>
          <w:rFonts w:eastAsiaTheme="majorEastAsia"/>
        </w:rPr>
      </w:pPr>
      <w:bookmarkStart w:id="2" w:name="_Hlk200470594"/>
      <w:r>
        <w:rPr>
          <w:bCs/>
          <w:noProof/>
        </w:rPr>
        <w:t>Table 3, present the v</w:t>
      </w:r>
      <w:r w:rsidRPr="009E1852">
        <w:rPr>
          <w:bCs/>
          <w:noProof/>
        </w:rPr>
        <w:t xml:space="preserve">alidity measures the </w:t>
      </w:r>
      <w:r>
        <w:rPr>
          <w:bCs/>
          <w:noProof/>
        </w:rPr>
        <w:t xml:space="preserve">research </w:t>
      </w:r>
      <w:r w:rsidRPr="009E1852">
        <w:rPr>
          <w:bCs/>
          <w:noProof/>
        </w:rPr>
        <w:t>instrument</w:t>
      </w:r>
      <w:r>
        <w:rPr>
          <w:bCs/>
          <w:noProof/>
        </w:rPr>
        <w:t xml:space="preserve">. This revealed the instrument’s </w:t>
      </w:r>
      <w:r w:rsidRPr="009E1852">
        <w:rPr>
          <w:bCs/>
          <w:noProof/>
        </w:rPr>
        <w:t xml:space="preserve"> ability to </w:t>
      </w:r>
      <w:r>
        <w:rPr>
          <w:bCs/>
          <w:noProof/>
        </w:rPr>
        <w:t xml:space="preserve">capture </w:t>
      </w:r>
      <w:r w:rsidRPr="009E1852">
        <w:rPr>
          <w:bCs/>
          <w:noProof/>
        </w:rPr>
        <w:t xml:space="preserve">the construct value accurately and appropriately. </w:t>
      </w:r>
      <w:r>
        <w:t xml:space="preserve">The result indicates the entire four </w:t>
      </w:r>
      <w:r w:rsidRPr="009021D5">
        <w:t>constructs meet the criteria for construct validity. Kaiser-Meyer-</w:t>
      </w:r>
      <w:proofErr w:type="spellStart"/>
      <w:r w:rsidRPr="009021D5">
        <w:t>Olkin</w:t>
      </w:r>
      <w:proofErr w:type="spellEnd"/>
      <w:r w:rsidRPr="009021D5">
        <w:t xml:space="preserve"> (KMO) values ranged from 0.749 to 0.878, indicating sampling adequacy across all measurement scales. </w:t>
      </w:r>
    </w:p>
    <w:p w:rsidR="00DC4A1D" w:rsidRPr="009E1852" w:rsidRDefault="00B07C30" w:rsidP="00DC4A1D">
      <w:pPr>
        <w:pStyle w:val="NormalWeb"/>
        <w:spacing w:after="0" w:afterAutospacing="0" w:line="360" w:lineRule="auto"/>
      </w:pPr>
      <w:r>
        <w:rPr>
          <w:rStyle w:val="Strong"/>
          <w:rFonts w:eastAsiaTheme="majorEastAsia"/>
        </w:rPr>
        <w:t>Table 3</w:t>
      </w:r>
      <w:r w:rsidR="00DC4A1D" w:rsidRPr="009E1852">
        <w:rPr>
          <w:rStyle w:val="Strong"/>
          <w:rFonts w:eastAsiaTheme="majorEastAsia"/>
        </w:rPr>
        <w:t>: KMO and Bartlett’s Test Results</w:t>
      </w:r>
      <w:bookmarkEnd w:id="2"/>
    </w:p>
    <w:tbl>
      <w:tblPr>
        <w:tblStyle w:val="TableGrid"/>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1510"/>
        <w:gridCol w:w="2238"/>
        <w:gridCol w:w="470"/>
        <w:gridCol w:w="1022"/>
        <w:gridCol w:w="2126"/>
      </w:tblGrid>
      <w:tr w:rsidR="00DC4A1D" w:rsidRPr="009E1852" w:rsidTr="005D51C5">
        <w:tc>
          <w:tcPr>
            <w:tcW w:w="2983" w:type="dxa"/>
            <w:tcBorders>
              <w:top w:val="single" w:sz="4" w:space="0" w:color="auto"/>
              <w:bottom w:val="single" w:sz="4" w:space="0" w:color="auto"/>
            </w:tcBorders>
            <w:hideMark/>
          </w:tcPr>
          <w:p w:rsidR="00DC4A1D" w:rsidRPr="009E1852" w:rsidRDefault="00DC4A1D" w:rsidP="005D51C5">
            <w:pPr>
              <w:jc w:val="center"/>
              <w:rPr>
                <w:rFonts w:ascii="Times New Roman" w:hAnsi="Times New Roman"/>
                <w:b/>
                <w:bCs/>
                <w:sz w:val="24"/>
                <w:szCs w:val="24"/>
              </w:rPr>
            </w:pPr>
            <w:r w:rsidRPr="009E1852">
              <w:rPr>
                <w:rFonts w:ascii="Times New Roman" w:hAnsi="Times New Roman"/>
                <w:b/>
                <w:bCs/>
                <w:sz w:val="24"/>
                <w:szCs w:val="24"/>
              </w:rPr>
              <w:t>Construct</w:t>
            </w:r>
          </w:p>
        </w:tc>
        <w:tc>
          <w:tcPr>
            <w:tcW w:w="0" w:type="auto"/>
            <w:tcBorders>
              <w:top w:val="single" w:sz="4" w:space="0" w:color="auto"/>
              <w:bottom w:val="single" w:sz="4" w:space="0" w:color="auto"/>
            </w:tcBorders>
            <w:hideMark/>
          </w:tcPr>
          <w:p w:rsidR="00DC4A1D" w:rsidRPr="009E1852" w:rsidRDefault="00DC4A1D" w:rsidP="005D51C5">
            <w:pPr>
              <w:jc w:val="center"/>
              <w:rPr>
                <w:rFonts w:ascii="Times New Roman" w:hAnsi="Times New Roman"/>
                <w:b/>
                <w:bCs/>
                <w:sz w:val="24"/>
                <w:szCs w:val="24"/>
              </w:rPr>
            </w:pPr>
            <w:r w:rsidRPr="009E1852">
              <w:rPr>
                <w:rFonts w:ascii="Times New Roman" w:hAnsi="Times New Roman"/>
                <w:b/>
                <w:bCs/>
                <w:sz w:val="24"/>
                <w:szCs w:val="24"/>
              </w:rPr>
              <w:t>KMO Measure</w:t>
            </w:r>
          </w:p>
        </w:tc>
        <w:tc>
          <w:tcPr>
            <w:tcW w:w="0" w:type="auto"/>
            <w:tcBorders>
              <w:top w:val="single" w:sz="4" w:space="0" w:color="auto"/>
              <w:bottom w:val="single" w:sz="4" w:space="0" w:color="auto"/>
            </w:tcBorders>
            <w:hideMark/>
          </w:tcPr>
          <w:p w:rsidR="00DC4A1D" w:rsidRPr="009E1852" w:rsidRDefault="00DC4A1D" w:rsidP="005D51C5">
            <w:pPr>
              <w:jc w:val="center"/>
              <w:rPr>
                <w:rFonts w:ascii="Times New Roman" w:hAnsi="Times New Roman"/>
                <w:b/>
                <w:bCs/>
                <w:sz w:val="24"/>
                <w:szCs w:val="24"/>
              </w:rPr>
            </w:pPr>
            <w:r w:rsidRPr="009E1852">
              <w:rPr>
                <w:rFonts w:ascii="Times New Roman" w:hAnsi="Times New Roman"/>
                <w:b/>
                <w:bCs/>
                <w:sz w:val="24"/>
                <w:szCs w:val="24"/>
              </w:rPr>
              <w:t>Bartlett's Test Chi-Square</w:t>
            </w:r>
          </w:p>
        </w:tc>
        <w:tc>
          <w:tcPr>
            <w:tcW w:w="0" w:type="auto"/>
            <w:tcBorders>
              <w:top w:val="single" w:sz="4" w:space="0" w:color="auto"/>
              <w:bottom w:val="single" w:sz="4" w:space="0" w:color="auto"/>
            </w:tcBorders>
            <w:hideMark/>
          </w:tcPr>
          <w:p w:rsidR="00DC4A1D" w:rsidRPr="009E1852" w:rsidRDefault="00DC4A1D" w:rsidP="005D51C5">
            <w:pPr>
              <w:jc w:val="center"/>
              <w:rPr>
                <w:rFonts w:ascii="Times New Roman" w:hAnsi="Times New Roman"/>
                <w:b/>
                <w:bCs/>
                <w:sz w:val="24"/>
                <w:szCs w:val="24"/>
              </w:rPr>
            </w:pPr>
            <w:proofErr w:type="spellStart"/>
            <w:r w:rsidRPr="009E1852">
              <w:rPr>
                <w:rFonts w:ascii="Times New Roman" w:hAnsi="Times New Roman"/>
                <w:b/>
                <w:bCs/>
                <w:sz w:val="24"/>
                <w:szCs w:val="24"/>
              </w:rPr>
              <w:t>Df</w:t>
            </w:r>
            <w:proofErr w:type="spellEnd"/>
          </w:p>
        </w:tc>
        <w:tc>
          <w:tcPr>
            <w:tcW w:w="1022" w:type="dxa"/>
            <w:tcBorders>
              <w:top w:val="single" w:sz="4" w:space="0" w:color="auto"/>
              <w:bottom w:val="single" w:sz="4" w:space="0" w:color="auto"/>
            </w:tcBorders>
            <w:hideMark/>
          </w:tcPr>
          <w:p w:rsidR="00DC4A1D" w:rsidRPr="009E1852" w:rsidRDefault="00DC4A1D" w:rsidP="005D51C5">
            <w:pPr>
              <w:rPr>
                <w:rFonts w:ascii="Times New Roman" w:hAnsi="Times New Roman"/>
                <w:b/>
                <w:bCs/>
                <w:sz w:val="24"/>
                <w:szCs w:val="24"/>
              </w:rPr>
            </w:pPr>
            <w:r w:rsidRPr="009E1852">
              <w:rPr>
                <w:rFonts w:ascii="Times New Roman" w:hAnsi="Times New Roman"/>
                <w:b/>
                <w:bCs/>
                <w:sz w:val="24"/>
                <w:szCs w:val="24"/>
              </w:rPr>
              <w:t>p-value</w:t>
            </w:r>
          </w:p>
        </w:tc>
        <w:tc>
          <w:tcPr>
            <w:tcW w:w="2126" w:type="dxa"/>
            <w:tcBorders>
              <w:top w:val="single" w:sz="4" w:space="0" w:color="auto"/>
              <w:bottom w:val="single" w:sz="4" w:space="0" w:color="auto"/>
            </w:tcBorders>
            <w:hideMark/>
          </w:tcPr>
          <w:p w:rsidR="00DC4A1D" w:rsidRPr="009E1852" w:rsidRDefault="00DC4A1D" w:rsidP="005D51C5">
            <w:pPr>
              <w:jc w:val="center"/>
              <w:rPr>
                <w:rFonts w:ascii="Times New Roman" w:hAnsi="Times New Roman"/>
                <w:b/>
                <w:bCs/>
                <w:sz w:val="24"/>
                <w:szCs w:val="24"/>
              </w:rPr>
            </w:pPr>
            <w:r w:rsidRPr="009E1852">
              <w:rPr>
                <w:rFonts w:ascii="Times New Roman" w:hAnsi="Times New Roman"/>
                <w:b/>
                <w:bCs/>
                <w:sz w:val="24"/>
                <w:szCs w:val="24"/>
              </w:rPr>
              <w:t>Interpretation</w:t>
            </w:r>
          </w:p>
        </w:tc>
      </w:tr>
      <w:tr w:rsidR="00DC4A1D" w:rsidRPr="009E1852" w:rsidTr="005D51C5">
        <w:tc>
          <w:tcPr>
            <w:tcW w:w="2983" w:type="dxa"/>
            <w:tcBorders>
              <w:top w:val="single" w:sz="4" w:space="0" w:color="auto"/>
            </w:tcBorders>
            <w:vAlign w:val="center"/>
            <w:hideMark/>
          </w:tcPr>
          <w:p w:rsidR="00DC4A1D" w:rsidRPr="009E1852" w:rsidRDefault="00DC4A1D" w:rsidP="005D51C5">
            <w:pPr>
              <w:rPr>
                <w:rFonts w:ascii="Times New Roman" w:hAnsi="Times New Roman"/>
                <w:sz w:val="24"/>
                <w:szCs w:val="24"/>
              </w:rPr>
            </w:pPr>
            <w:r w:rsidRPr="001F3DAF">
              <w:rPr>
                <w:rFonts w:asciiTheme="majorBidi" w:hAnsiTheme="majorBidi" w:cstheme="majorBidi"/>
                <w:noProof/>
              </w:rPr>
              <w:t xml:space="preserve">Management Support </w:t>
            </w:r>
          </w:p>
        </w:tc>
        <w:tc>
          <w:tcPr>
            <w:tcW w:w="0" w:type="auto"/>
            <w:tcBorders>
              <w:top w:val="single" w:sz="4" w:space="0" w:color="auto"/>
            </w:tcBorders>
            <w:hideMark/>
          </w:tcPr>
          <w:p w:rsidR="00DC4A1D" w:rsidRPr="009E1852" w:rsidRDefault="00DC4A1D" w:rsidP="005D51C5">
            <w:pPr>
              <w:rPr>
                <w:rFonts w:ascii="Times New Roman" w:hAnsi="Times New Roman"/>
                <w:sz w:val="24"/>
                <w:szCs w:val="24"/>
              </w:rPr>
            </w:pPr>
            <w:r>
              <w:rPr>
                <w:rFonts w:ascii="Times New Roman" w:hAnsi="Times New Roman"/>
                <w:sz w:val="24"/>
                <w:szCs w:val="24"/>
              </w:rPr>
              <w:t>0.878</w:t>
            </w:r>
          </w:p>
        </w:tc>
        <w:tc>
          <w:tcPr>
            <w:tcW w:w="0" w:type="auto"/>
            <w:tcBorders>
              <w:top w:val="single" w:sz="4" w:space="0" w:color="auto"/>
            </w:tcBorders>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412.541</w:t>
            </w:r>
          </w:p>
        </w:tc>
        <w:tc>
          <w:tcPr>
            <w:tcW w:w="0" w:type="auto"/>
            <w:tcBorders>
              <w:top w:val="single" w:sz="4" w:space="0" w:color="auto"/>
            </w:tcBorders>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10</w:t>
            </w:r>
          </w:p>
        </w:tc>
        <w:tc>
          <w:tcPr>
            <w:tcW w:w="1022" w:type="dxa"/>
            <w:tcBorders>
              <w:top w:val="single" w:sz="4" w:space="0" w:color="auto"/>
            </w:tcBorders>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0.000</w:t>
            </w:r>
          </w:p>
        </w:tc>
        <w:tc>
          <w:tcPr>
            <w:tcW w:w="2126" w:type="dxa"/>
            <w:tcBorders>
              <w:top w:val="single" w:sz="4" w:space="0" w:color="auto"/>
            </w:tcBorders>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Valid construct</w:t>
            </w:r>
          </w:p>
        </w:tc>
      </w:tr>
      <w:tr w:rsidR="00DC4A1D" w:rsidRPr="009E1852" w:rsidTr="005D51C5">
        <w:tc>
          <w:tcPr>
            <w:tcW w:w="2983" w:type="dxa"/>
            <w:vAlign w:val="center"/>
            <w:hideMark/>
          </w:tcPr>
          <w:p w:rsidR="00DC4A1D" w:rsidRPr="009E1852" w:rsidRDefault="00DC4A1D" w:rsidP="005D51C5">
            <w:pPr>
              <w:rPr>
                <w:rFonts w:ascii="Times New Roman" w:hAnsi="Times New Roman"/>
                <w:sz w:val="24"/>
                <w:szCs w:val="24"/>
              </w:rPr>
            </w:pPr>
            <w:r w:rsidRPr="001F3DAF">
              <w:rPr>
                <w:rFonts w:asciiTheme="majorBidi" w:hAnsiTheme="majorBidi" w:cstheme="majorBidi"/>
                <w:noProof/>
              </w:rPr>
              <w:t>Auditor Competency</w:t>
            </w:r>
          </w:p>
        </w:tc>
        <w:tc>
          <w:tcPr>
            <w:tcW w:w="0" w:type="auto"/>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0.828</w:t>
            </w:r>
          </w:p>
        </w:tc>
        <w:tc>
          <w:tcPr>
            <w:tcW w:w="0" w:type="auto"/>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387.002</w:t>
            </w:r>
          </w:p>
        </w:tc>
        <w:tc>
          <w:tcPr>
            <w:tcW w:w="0" w:type="auto"/>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10</w:t>
            </w:r>
          </w:p>
        </w:tc>
        <w:tc>
          <w:tcPr>
            <w:tcW w:w="1022" w:type="dxa"/>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0.000</w:t>
            </w:r>
          </w:p>
        </w:tc>
        <w:tc>
          <w:tcPr>
            <w:tcW w:w="2126" w:type="dxa"/>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Valid construct</w:t>
            </w:r>
          </w:p>
        </w:tc>
      </w:tr>
      <w:tr w:rsidR="00DC4A1D" w:rsidRPr="009E1852" w:rsidTr="005D51C5">
        <w:tc>
          <w:tcPr>
            <w:tcW w:w="2983" w:type="dxa"/>
            <w:vAlign w:val="center"/>
            <w:hideMark/>
          </w:tcPr>
          <w:p w:rsidR="00DC4A1D" w:rsidRPr="009E1852" w:rsidRDefault="00DC4A1D" w:rsidP="005D51C5">
            <w:pPr>
              <w:rPr>
                <w:rFonts w:ascii="Times New Roman" w:hAnsi="Times New Roman"/>
                <w:sz w:val="24"/>
                <w:szCs w:val="24"/>
              </w:rPr>
            </w:pPr>
            <w:r w:rsidRPr="001F3DAF">
              <w:rPr>
                <w:rFonts w:asciiTheme="majorBidi" w:hAnsiTheme="majorBidi" w:cstheme="majorBidi"/>
                <w:noProof/>
              </w:rPr>
              <w:t>Auditor Independence</w:t>
            </w:r>
          </w:p>
        </w:tc>
        <w:tc>
          <w:tcPr>
            <w:tcW w:w="0" w:type="auto"/>
            <w:hideMark/>
          </w:tcPr>
          <w:p w:rsidR="00DC4A1D" w:rsidRPr="009E1852" w:rsidRDefault="00DC4A1D" w:rsidP="005D51C5">
            <w:pPr>
              <w:rPr>
                <w:rFonts w:ascii="Times New Roman" w:hAnsi="Times New Roman"/>
                <w:sz w:val="24"/>
                <w:szCs w:val="24"/>
              </w:rPr>
            </w:pPr>
            <w:r>
              <w:rPr>
                <w:rFonts w:ascii="Times New Roman" w:hAnsi="Times New Roman"/>
                <w:sz w:val="24"/>
                <w:szCs w:val="24"/>
              </w:rPr>
              <w:t>0.821</w:t>
            </w:r>
          </w:p>
        </w:tc>
        <w:tc>
          <w:tcPr>
            <w:tcW w:w="0" w:type="auto"/>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325.476</w:t>
            </w:r>
          </w:p>
        </w:tc>
        <w:tc>
          <w:tcPr>
            <w:tcW w:w="0" w:type="auto"/>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10</w:t>
            </w:r>
          </w:p>
        </w:tc>
        <w:tc>
          <w:tcPr>
            <w:tcW w:w="1022" w:type="dxa"/>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0.000</w:t>
            </w:r>
          </w:p>
        </w:tc>
        <w:tc>
          <w:tcPr>
            <w:tcW w:w="2126" w:type="dxa"/>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Valid construct</w:t>
            </w:r>
          </w:p>
        </w:tc>
      </w:tr>
      <w:tr w:rsidR="00DC4A1D" w:rsidRPr="009E1852" w:rsidTr="005D51C5">
        <w:tc>
          <w:tcPr>
            <w:tcW w:w="2983" w:type="dxa"/>
            <w:tcBorders>
              <w:bottom w:val="single" w:sz="4" w:space="0" w:color="auto"/>
            </w:tcBorders>
            <w:vAlign w:val="center"/>
            <w:hideMark/>
          </w:tcPr>
          <w:p w:rsidR="00DC4A1D" w:rsidRPr="009E1852" w:rsidRDefault="00DC4A1D" w:rsidP="005D51C5">
            <w:pPr>
              <w:rPr>
                <w:rFonts w:ascii="Times New Roman" w:hAnsi="Times New Roman"/>
                <w:sz w:val="24"/>
                <w:szCs w:val="24"/>
              </w:rPr>
            </w:pPr>
            <w:r w:rsidRPr="001F3DAF">
              <w:rPr>
                <w:rFonts w:asciiTheme="majorBidi" w:hAnsiTheme="majorBidi" w:cstheme="majorBidi"/>
                <w:noProof/>
              </w:rPr>
              <w:lastRenderedPageBreak/>
              <w:t>Service Delivery</w:t>
            </w:r>
          </w:p>
        </w:tc>
        <w:tc>
          <w:tcPr>
            <w:tcW w:w="0" w:type="auto"/>
            <w:tcBorders>
              <w:bottom w:val="single" w:sz="4" w:space="0" w:color="auto"/>
            </w:tcBorders>
            <w:hideMark/>
          </w:tcPr>
          <w:p w:rsidR="00DC4A1D" w:rsidRPr="009E1852" w:rsidRDefault="00DC4A1D" w:rsidP="005D51C5">
            <w:pPr>
              <w:rPr>
                <w:rFonts w:ascii="Times New Roman" w:hAnsi="Times New Roman"/>
                <w:sz w:val="24"/>
                <w:szCs w:val="24"/>
              </w:rPr>
            </w:pPr>
            <w:r>
              <w:rPr>
                <w:rFonts w:ascii="Times New Roman" w:hAnsi="Times New Roman"/>
                <w:sz w:val="24"/>
                <w:szCs w:val="24"/>
              </w:rPr>
              <w:t>0.749</w:t>
            </w:r>
          </w:p>
        </w:tc>
        <w:tc>
          <w:tcPr>
            <w:tcW w:w="0" w:type="auto"/>
            <w:tcBorders>
              <w:bottom w:val="single" w:sz="4" w:space="0" w:color="auto"/>
            </w:tcBorders>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298.112</w:t>
            </w:r>
          </w:p>
        </w:tc>
        <w:tc>
          <w:tcPr>
            <w:tcW w:w="0" w:type="auto"/>
            <w:tcBorders>
              <w:bottom w:val="single" w:sz="4" w:space="0" w:color="auto"/>
            </w:tcBorders>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6</w:t>
            </w:r>
          </w:p>
        </w:tc>
        <w:tc>
          <w:tcPr>
            <w:tcW w:w="1022" w:type="dxa"/>
            <w:tcBorders>
              <w:bottom w:val="single" w:sz="4" w:space="0" w:color="auto"/>
            </w:tcBorders>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0.000</w:t>
            </w:r>
          </w:p>
        </w:tc>
        <w:tc>
          <w:tcPr>
            <w:tcW w:w="2126" w:type="dxa"/>
            <w:tcBorders>
              <w:bottom w:val="single" w:sz="4" w:space="0" w:color="auto"/>
            </w:tcBorders>
            <w:hideMark/>
          </w:tcPr>
          <w:p w:rsidR="00DC4A1D" w:rsidRPr="009E1852" w:rsidRDefault="00DC4A1D" w:rsidP="005D51C5">
            <w:pPr>
              <w:rPr>
                <w:rFonts w:ascii="Times New Roman" w:hAnsi="Times New Roman"/>
                <w:sz w:val="24"/>
                <w:szCs w:val="24"/>
              </w:rPr>
            </w:pPr>
            <w:r w:rsidRPr="009E1852">
              <w:rPr>
                <w:rFonts w:ascii="Times New Roman" w:hAnsi="Times New Roman"/>
                <w:sz w:val="24"/>
                <w:szCs w:val="24"/>
              </w:rPr>
              <w:t>Valid construct</w:t>
            </w:r>
          </w:p>
        </w:tc>
      </w:tr>
    </w:tbl>
    <w:p w:rsidR="00DC4A1D" w:rsidRPr="009E1852" w:rsidRDefault="00DC4A1D" w:rsidP="00DC4A1D">
      <w:pPr>
        <w:spacing w:line="360" w:lineRule="auto"/>
        <w:jc w:val="both"/>
        <w:rPr>
          <w:rFonts w:ascii="Times New Roman" w:eastAsia="SimSun" w:hAnsi="Times New Roman" w:cs="Times New Roman"/>
          <w:b/>
          <w:bCs/>
          <w:i/>
          <w:iCs/>
          <w:color w:val="222222"/>
          <w:shd w:val="clear" w:color="auto" w:fill="FFFFFF"/>
          <w:lang w:val="en-GB"/>
        </w:rPr>
      </w:pPr>
      <w:r w:rsidRPr="009E1852">
        <w:rPr>
          <w:rFonts w:ascii="Times New Roman" w:eastAsia="SimSun" w:hAnsi="Times New Roman" w:cs="Times New Roman"/>
          <w:b/>
          <w:bCs/>
          <w:i/>
          <w:iCs/>
          <w:color w:val="222222"/>
          <w:shd w:val="clear" w:color="auto" w:fill="FFFFFF"/>
        </w:rPr>
        <w:t>Source: Author’s Computation (2026</w:t>
      </w:r>
      <w:proofErr w:type="gramStart"/>
      <w:r w:rsidRPr="009E1852">
        <w:rPr>
          <w:rFonts w:ascii="Times New Roman" w:eastAsia="SimSun" w:hAnsi="Times New Roman" w:cs="Times New Roman"/>
          <w:b/>
          <w:bCs/>
          <w:i/>
          <w:iCs/>
          <w:color w:val="222222"/>
          <w:shd w:val="clear" w:color="auto" w:fill="FFFFFF"/>
        </w:rPr>
        <w:t xml:space="preserve">) </w:t>
      </w:r>
      <w:r w:rsidRPr="009E1852">
        <w:rPr>
          <w:rFonts w:ascii="Times New Roman" w:eastAsia="SimSun" w:hAnsi="Times New Roman" w:cs="Times New Roman"/>
          <w:b/>
          <w:bCs/>
          <w:i/>
          <w:iCs/>
          <w:color w:val="222222"/>
          <w:shd w:val="clear" w:color="auto" w:fill="FFFFFF"/>
          <w:lang w:val="en-GB"/>
        </w:rPr>
        <w:t xml:space="preserve"> </w:t>
      </w:r>
      <w:r w:rsidRPr="009E1852">
        <w:rPr>
          <w:rFonts w:ascii="Times New Roman" w:eastAsia="Times New Roman" w:hAnsi="Times New Roman" w:cs="Times New Roman"/>
          <w:lang w:val="en-GB" w:eastAsia="en-GB"/>
        </w:rPr>
        <w:t>SPSS</w:t>
      </w:r>
      <w:proofErr w:type="gramEnd"/>
      <w:r w:rsidRPr="009E1852">
        <w:rPr>
          <w:rFonts w:ascii="Times New Roman" w:eastAsia="Times New Roman" w:hAnsi="Times New Roman" w:cs="Times New Roman"/>
          <w:lang w:val="en-GB" w:eastAsia="en-GB"/>
        </w:rPr>
        <w:t xml:space="preserve"> </w:t>
      </w:r>
    </w:p>
    <w:p w:rsidR="00B07C30" w:rsidRDefault="00B07C30" w:rsidP="00DC4A1D">
      <w:pPr>
        <w:spacing w:line="360" w:lineRule="auto"/>
        <w:jc w:val="both"/>
        <w:rPr>
          <w:rFonts w:ascii="Times New Roman" w:hAnsi="Times New Roman" w:cs="Times New Roman"/>
        </w:rPr>
      </w:pPr>
      <w:r w:rsidRPr="009021D5">
        <w:rPr>
          <w:rFonts w:ascii="Times New Roman" w:hAnsi="Times New Roman" w:cs="Times New Roman"/>
        </w:rPr>
        <w:t xml:space="preserve">Moreover, Bartlett’s Test of </w:t>
      </w:r>
      <w:proofErr w:type="spellStart"/>
      <w:r w:rsidRPr="009021D5">
        <w:rPr>
          <w:rFonts w:ascii="Times New Roman" w:hAnsi="Times New Roman" w:cs="Times New Roman"/>
        </w:rPr>
        <w:t>Sphericity</w:t>
      </w:r>
      <w:proofErr w:type="spellEnd"/>
      <w:r w:rsidRPr="009021D5">
        <w:rPr>
          <w:rFonts w:ascii="Times New Roman" w:hAnsi="Times New Roman" w:cs="Times New Roman"/>
        </w:rPr>
        <w:t xml:space="preserve"> was statistically significant (p &lt; 0.05) for all constructs, confirming that the data matrices are factorable.</w:t>
      </w:r>
    </w:p>
    <w:p w:rsidR="00DC4A1D" w:rsidRDefault="00B07C30" w:rsidP="00DC4A1D">
      <w:pPr>
        <w:spacing w:line="480" w:lineRule="auto"/>
        <w:jc w:val="both"/>
        <w:rPr>
          <w:rFonts w:asciiTheme="majorBidi" w:hAnsiTheme="majorBidi" w:cstheme="majorBidi"/>
          <w:b/>
          <w:bCs/>
        </w:rPr>
      </w:pPr>
      <w:r>
        <w:rPr>
          <w:rFonts w:asciiTheme="majorBidi" w:hAnsiTheme="majorBidi" w:cstheme="majorBidi"/>
          <w:b/>
          <w:bCs/>
          <w:noProof/>
        </w:rPr>
        <w:t>4.5</w:t>
      </w:r>
      <w:r w:rsidR="00DC4A1D">
        <w:rPr>
          <w:rFonts w:asciiTheme="majorBidi" w:hAnsiTheme="majorBidi" w:cstheme="majorBidi"/>
          <w:b/>
          <w:bCs/>
          <w:noProof/>
        </w:rPr>
        <w:t xml:space="preserve"> Effect of </w:t>
      </w:r>
      <w:r w:rsidR="00DC4A1D" w:rsidRPr="002D49A1">
        <w:rPr>
          <w:rFonts w:asciiTheme="majorBidi" w:hAnsiTheme="majorBidi" w:cstheme="majorBidi"/>
          <w:b/>
          <w:bCs/>
        </w:rPr>
        <w:t xml:space="preserve">Internal Audit Practices </w:t>
      </w:r>
      <w:r w:rsidR="00DC4A1D">
        <w:rPr>
          <w:rFonts w:asciiTheme="majorBidi" w:hAnsiTheme="majorBidi" w:cstheme="majorBidi"/>
          <w:b/>
          <w:bCs/>
        </w:rPr>
        <w:t>on</w:t>
      </w:r>
      <w:r w:rsidR="00DC4A1D" w:rsidRPr="002D49A1">
        <w:rPr>
          <w:rFonts w:asciiTheme="majorBidi" w:hAnsiTheme="majorBidi" w:cstheme="majorBidi"/>
          <w:b/>
          <w:bCs/>
        </w:rPr>
        <w:t xml:space="preserve"> </w:t>
      </w:r>
      <w:r w:rsidR="00DC4A1D">
        <w:rPr>
          <w:rFonts w:asciiTheme="majorBidi" w:hAnsiTheme="majorBidi" w:cstheme="majorBidi"/>
          <w:b/>
          <w:bCs/>
        </w:rPr>
        <w:t>the Efficient</w:t>
      </w:r>
      <w:r w:rsidR="00DC4A1D" w:rsidRPr="002D49A1">
        <w:rPr>
          <w:rFonts w:asciiTheme="majorBidi" w:hAnsiTheme="majorBidi" w:cstheme="majorBidi"/>
          <w:b/>
          <w:bCs/>
        </w:rPr>
        <w:t xml:space="preserve"> Service Delivery </w:t>
      </w:r>
      <w:r w:rsidR="00DC4A1D">
        <w:rPr>
          <w:rFonts w:asciiTheme="majorBidi" w:hAnsiTheme="majorBidi" w:cstheme="majorBidi"/>
          <w:b/>
          <w:bCs/>
        </w:rPr>
        <w:t>i</w:t>
      </w:r>
      <w:r w:rsidR="00DC4A1D" w:rsidRPr="002D49A1">
        <w:rPr>
          <w:rFonts w:asciiTheme="majorBidi" w:hAnsiTheme="majorBidi" w:cstheme="majorBidi"/>
          <w:b/>
          <w:bCs/>
        </w:rPr>
        <w:t>n Government Business Enterprises</w:t>
      </w:r>
    </w:p>
    <w:p w:rsidR="00DC4A1D" w:rsidRPr="009257B1" w:rsidRDefault="00DC4A1D" w:rsidP="00DC4A1D">
      <w:pPr>
        <w:spacing w:after="0" w:line="240" w:lineRule="auto"/>
        <w:rPr>
          <w:rFonts w:asciiTheme="majorBidi" w:hAnsiTheme="majorBidi" w:cstheme="majorBidi"/>
          <w:b/>
          <w:bCs/>
        </w:rPr>
      </w:pPr>
      <w:r>
        <w:rPr>
          <w:noProof/>
        </w:rPr>
        <w:drawing>
          <wp:inline distT="0" distB="0" distL="0" distR="0" wp14:anchorId="5D6882A6" wp14:editId="0D68FE7D">
            <wp:extent cx="5943600" cy="2702560"/>
            <wp:effectExtent l="0" t="0" r="0" b="2540"/>
            <wp:docPr id="1758840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40027" name=""/>
                    <pic:cNvPicPr/>
                  </pic:nvPicPr>
                  <pic:blipFill>
                    <a:blip r:embed="rId6"/>
                    <a:stretch>
                      <a:fillRect/>
                    </a:stretch>
                  </pic:blipFill>
                  <pic:spPr>
                    <a:xfrm>
                      <a:off x="0" y="0"/>
                      <a:ext cx="5943600" cy="2702560"/>
                    </a:xfrm>
                    <a:prstGeom prst="rect">
                      <a:avLst/>
                    </a:prstGeom>
                  </pic:spPr>
                </pic:pic>
              </a:graphicData>
            </a:graphic>
          </wp:inline>
        </w:drawing>
      </w:r>
    </w:p>
    <w:p w:rsidR="00DC4A1D" w:rsidRDefault="006C253C" w:rsidP="00DC4A1D">
      <w:pPr>
        <w:rPr>
          <w:rFonts w:asciiTheme="majorBidi" w:hAnsiTheme="majorBidi" w:cstheme="majorBidi"/>
          <w:b/>
          <w:bCs/>
          <w:noProof/>
        </w:rPr>
      </w:pPr>
      <w:r>
        <w:rPr>
          <w:rFonts w:asciiTheme="majorBidi" w:hAnsiTheme="majorBidi" w:cstheme="majorBidi"/>
          <w:b/>
          <w:bCs/>
        </w:rPr>
        <w:t>Figure 1</w:t>
      </w:r>
      <w:r w:rsidR="00DC4A1D" w:rsidRPr="00EA1C04">
        <w:rPr>
          <w:rFonts w:asciiTheme="majorBidi" w:hAnsiTheme="majorBidi" w:cstheme="majorBidi"/>
          <w:b/>
          <w:bCs/>
        </w:rPr>
        <w:t xml:space="preserve">: PLS-SEM Chart for the Effect of </w:t>
      </w:r>
      <w:r w:rsidR="00DC4A1D" w:rsidRPr="002D49A1">
        <w:rPr>
          <w:rFonts w:asciiTheme="majorBidi" w:hAnsiTheme="majorBidi" w:cstheme="majorBidi"/>
          <w:b/>
          <w:bCs/>
        </w:rPr>
        <w:t xml:space="preserve">Internal Audit Practices </w:t>
      </w:r>
      <w:r w:rsidR="00DC4A1D">
        <w:rPr>
          <w:rFonts w:asciiTheme="majorBidi" w:hAnsiTheme="majorBidi" w:cstheme="majorBidi"/>
          <w:b/>
          <w:bCs/>
        </w:rPr>
        <w:t>on</w:t>
      </w:r>
      <w:r w:rsidR="00DC4A1D" w:rsidRPr="002D49A1">
        <w:rPr>
          <w:rFonts w:asciiTheme="majorBidi" w:hAnsiTheme="majorBidi" w:cstheme="majorBidi"/>
          <w:b/>
          <w:bCs/>
        </w:rPr>
        <w:t xml:space="preserve"> </w:t>
      </w:r>
      <w:r w:rsidR="00DC4A1D">
        <w:rPr>
          <w:rFonts w:asciiTheme="majorBidi" w:hAnsiTheme="majorBidi" w:cstheme="majorBidi"/>
          <w:b/>
          <w:bCs/>
        </w:rPr>
        <w:t>t</w:t>
      </w:r>
      <w:r w:rsidR="00DC4A1D" w:rsidRPr="002D49A1">
        <w:rPr>
          <w:rFonts w:asciiTheme="majorBidi" w:hAnsiTheme="majorBidi" w:cstheme="majorBidi"/>
          <w:b/>
          <w:bCs/>
        </w:rPr>
        <w:t xml:space="preserve">he Cost </w:t>
      </w:r>
      <w:r w:rsidR="00DC4A1D">
        <w:rPr>
          <w:rFonts w:asciiTheme="majorBidi" w:hAnsiTheme="majorBidi" w:cstheme="majorBidi"/>
          <w:b/>
          <w:bCs/>
        </w:rPr>
        <w:t>o</w:t>
      </w:r>
      <w:r w:rsidR="00DC4A1D" w:rsidRPr="002D49A1">
        <w:rPr>
          <w:rFonts w:asciiTheme="majorBidi" w:hAnsiTheme="majorBidi" w:cstheme="majorBidi"/>
          <w:b/>
          <w:bCs/>
        </w:rPr>
        <w:t xml:space="preserve">f Service Delivery </w:t>
      </w:r>
      <w:r w:rsidR="00DC4A1D">
        <w:rPr>
          <w:rFonts w:asciiTheme="majorBidi" w:hAnsiTheme="majorBidi" w:cstheme="majorBidi"/>
          <w:b/>
          <w:bCs/>
        </w:rPr>
        <w:t>i</w:t>
      </w:r>
      <w:r w:rsidR="00DC4A1D" w:rsidRPr="002D49A1">
        <w:rPr>
          <w:rFonts w:asciiTheme="majorBidi" w:hAnsiTheme="majorBidi" w:cstheme="majorBidi"/>
          <w:b/>
          <w:bCs/>
        </w:rPr>
        <w:t>n Government Business Enterprises</w:t>
      </w:r>
    </w:p>
    <w:p w:rsidR="00DC4A1D" w:rsidRPr="003409EF" w:rsidRDefault="00DC4A1D" w:rsidP="00DC4A1D">
      <w:pPr>
        <w:spacing w:line="360" w:lineRule="auto"/>
        <w:jc w:val="both"/>
        <w:rPr>
          <w:rFonts w:ascii="Times New Roman" w:hAnsi="Times New Roman" w:cs="Times New Roman"/>
          <w:noProof/>
        </w:rPr>
      </w:pPr>
      <w:r w:rsidRPr="003409EF">
        <w:rPr>
          <w:rFonts w:ascii="Times New Roman" w:hAnsi="Times New Roman" w:cs="Times New Roman"/>
          <w:noProof/>
        </w:rPr>
        <w:t>Figure 2, shows the effects of the internal audit contruct on the efficiency of service delivery. The model reveals that auditor independence (β = 0.298, p &lt; 0.05), auditor competency (β = 0.231, p &lt; 0.05), and management support (β = 0.216, p &lt; 0.05) all have positive and significant effects on cost of service delivery. This suggests that internal audit practices collectively enhance efficiency and reduce operational costs.</w:t>
      </w:r>
    </w:p>
    <w:p w:rsidR="00DC4A1D" w:rsidRPr="003409EF" w:rsidRDefault="00DC4A1D" w:rsidP="00DC4A1D">
      <w:pPr>
        <w:spacing w:after="0" w:line="360" w:lineRule="auto"/>
        <w:rPr>
          <w:rFonts w:ascii="Times New Roman" w:hAnsi="Times New Roman" w:cs="Times New Roman"/>
          <w:b/>
          <w:bCs/>
        </w:rPr>
      </w:pPr>
    </w:p>
    <w:p w:rsidR="00DC4A1D" w:rsidRPr="003409EF" w:rsidRDefault="006C253C" w:rsidP="00DC4A1D">
      <w:pPr>
        <w:spacing w:after="0" w:line="360" w:lineRule="auto"/>
        <w:rPr>
          <w:rFonts w:ascii="Times New Roman" w:hAnsi="Times New Roman" w:cs="Times New Roman"/>
          <w:b/>
          <w:bCs/>
        </w:rPr>
      </w:pPr>
      <w:r>
        <w:rPr>
          <w:rFonts w:ascii="Times New Roman" w:hAnsi="Times New Roman" w:cs="Times New Roman"/>
          <w:b/>
          <w:bCs/>
        </w:rPr>
        <w:t>Table 4</w:t>
      </w:r>
      <w:r w:rsidR="00DC4A1D" w:rsidRPr="003409EF">
        <w:rPr>
          <w:rFonts w:ascii="Times New Roman" w:hAnsi="Times New Roman" w:cs="Times New Roman"/>
          <w:b/>
          <w:bCs/>
        </w:rPr>
        <w:t xml:space="preserve">: PLS-SEM Output for the </w:t>
      </w:r>
      <w:r w:rsidR="00DC4A1D" w:rsidRPr="003409EF">
        <w:rPr>
          <w:rFonts w:ascii="Times New Roman" w:hAnsi="Times New Roman" w:cs="Times New Roman"/>
          <w:b/>
          <w:bCs/>
          <w:noProof/>
        </w:rPr>
        <w:t xml:space="preserve">Effect of </w:t>
      </w:r>
      <w:r w:rsidR="00DC4A1D" w:rsidRPr="003409EF">
        <w:rPr>
          <w:rFonts w:ascii="Times New Roman" w:hAnsi="Times New Roman" w:cs="Times New Roman"/>
          <w:b/>
          <w:bCs/>
        </w:rPr>
        <w:t>Internal Audit Practices on the Cost of Service Delivery in Government Business Enterprises</w:t>
      </w:r>
    </w:p>
    <w:tbl>
      <w:tblPr>
        <w:tblW w:w="5000" w:type="pct"/>
        <w:tblCellMar>
          <w:top w:w="15" w:type="dxa"/>
          <w:left w:w="15" w:type="dxa"/>
          <w:bottom w:w="15" w:type="dxa"/>
          <w:right w:w="15" w:type="dxa"/>
        </w:tblCellMar>
        <w:tblLook w:val="04A0" w:firstRow="1" w:lastRow="0" w:firstColumn="1" w:lastColumn="0" w:noHBand="0" w:noVBand="1"/>
      </w:tblPr>
      <w:tblGrid>
        <w:gridCol w:w="1704"/>
        <w:gridCol w:w="631"/>
        <w:gridCol w:w="631"/>
        <w:gridCol w:w="1352"/>
        <w:gridCol w:w="811"/>
        <w:gridCol w:w="811"/>
        <w:gridCol w:w="1986"/>
        <w:gridCol w:w="1434"/>
      </w:tblGrid>
      <w:tr w:rsidR="00DC4A1D" w:rsidRPr="003409EF" w:rsidTr="005D51C5">
        <w:tc>
          <w:tcPr>
            <w:tcW w:w="911" w:type="pct"/>
            <w:tcBorders>
              <w:top w:val="single" w:sz="4" w:space="0" w:color="auto"/>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p>
        </w:tc>
        <w:tc>
          <w:tcPr>
            <w:tcW w:w="674" w:type="pct"/>
            <w:gridSpan w:val="2"/>
            <w:tcBorders>
              <w:top w:val="single" w:sz="4" w:space="0" w:color="auto"/>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Original sample (O) </w:t>
            </w:r>
          </w:p>
        </w:tc>
        <w:tc>
          <w:tcPr>
            <w:tcW w:w="722" w:type="pct"/>
            <w:tcBorders>
              <w:top w:val="single" w:sz="4" w:space="0" w:color="auto"/>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Sample mean (M) </w:t>
            </w:r>
          </w:p>
        </w:tc>
        <w:tc>
          <w:tcPr>
            <w:tcW w:w="866" w:type="pct"/>
            <w:gridSpan w:val="2"/>
            <w:tcBorders>
              <w:top w:val="single" w:sz="4" w:space="0" w:color="auto"/>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Standard deviation (STDEV) </w:t>
            </w:r>
          </w:p>
        </w:tc>
        <w:tc>
          <w:tcPr>
            <w:tcW w:w="1061" w:type="pct"/>
            <w:tcBorders>
              <w:top w:val="single" w:sz="4" w:space="0" w:color="auto"/>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T statistics (|O/STDEV|) </w:t>
            </w:r>
          </w:p>
        </w:tc>
        <w:tc>
          <w:tcPr>
            <w:tcW w:w="766" w:type="pct"/>
            <w:tcBorders>
              <w:top w:val="single" w:sz="4" w:space="0" w:color="auto"/>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P values </w:t>
            </w:r>
          </w:p>
        </w:tc>
      </w:tr>
      <w:tr w:rsidR="00DC4A1D" w:rsidRPr="003409EF" w:rsidTr="005D51C5">
        <w:tc>
          <w:tcPr>
            <w:tcW w:w="911" w:type="pct"/>
            <w:tcBorders>
              <w:top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CMP -&gt; CSD </w:t>
            </w:r>
          </w:p>
        </w:tc>
        <w:tc>
          <w:tcPr>
            <w:tcW w:w="674" w:type="pct"/>
            <w:gridSpan w:val="2"/>
            <w:tcBorders>
              <w:top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0.231 </w:t>
            </w:r>
          </w:p>
        </w:tc>
        <w:tc>
          <w:tcPr>
            <w:tcW w:w="722" w:type="pct"/>
            <w:tcBorders>
              <w:top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0.232 </w:t>
            </w:r>
          </w:p>
        </w:tc>
        <w:tc>
          <w:tcPr>
            <w:tcW w:w="866" w:type="pct"/>
            <w:gridSpan w:val="2"/>
            <w:tcBorders>
              <w:top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0.072 </w:t>
            </w:r>
          </w:p>
        </w:tc>
        <w:tc>
          <w:tcPr>
            <w:tcW w:w="1061" w:type="pct"/>
            <w:tcBorders>
              <w:top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3.188 </w:t>
            </w:r>
          </w:p>
        </w:tc>
        <w:tc>
          <w:tcPr>
            <w:tcW w:w="766" w:type="pct"/>
            <w:tcBorders>
              <w:top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0.001 </w:t>
            </w:r>
          </w:p>
        </w:tc>
      </w:tr>
      <w:tr w:rsidR="00DC4A1D" w:rsidRPr="003409EF" w:rsidTr="005D51C5">
        <w:tc>
          <w:tcPr>
            <w:tcW w:w="911" w:type="pct"/>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lastRenderedPageBreak/>
              <w:t xml:space="preserve">IDP -&gt; CSD </w:t>
            </w:r>
          </w:p>
        </w:tc>
        <w:tc>
          <w:tcPr>
            <w:tcW w:w="674" w:type="pct"/>
            <w:gridSpan w:val="2"/>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0.298 </w:t>
            </w:r>
          </w:p>
        </w:tc>
        <w:tc>
          <w:tcPr>
            <w:tcW w:w="722" w:type="pct"/>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0.298 </w:t>
            </w:r>
          </w:p>
        </w:tc>
        <w:tc>
          <w:tcPr>
            <w:tcW w:w="866" w:type="pct"/>
            <w:gridSpan w:val="2"/>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0.060 </w:t>
            </w:r>
          </w:p>
        </w:tc>
        <w:tc>
          <w:tcPr>
            <w:tcW w:w="1061" w:type="pct"/>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4.943 </w:t>
            </w:r>
          </w:p>
        </w:tc>
        <w:tc>
          <w:tcPr>
            <w:tcW w:w="766" w:type="pct"/>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0.000 </w:t>
            </w:r>
          </w:p>
        </w:tc>
      </w:tr>
      <w:tr w:rsidR="00DC4A1D" w:rsidRPr="003409EF" w:rsidTr="005D51C5">
        <w:tc>
          <w:tcPr>
            <w:tcW w:w="911" w:type="pct"/>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MGS -&gt; CSD </w:t>
            </w:r>
          </w:p>
        </w:tc>
        <w:tc>
          <w:tcPr>
            <w:tcW w:w="674" w:type="pct"/>
            <w:gridSpan w:val="2"/>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0.216 </w:t>
            </w:r>
          </w:p>
        </w:tc>
        <w:tc>
          <w:tcPr>
            <w:tcW w:w="722" w:type="pct"/>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0.217 </w:t>
            </w:r>
          </w:p>
        </w:tc>
        <w:tc>
          <w:tcPr>
            <w:tcW w:w="866" w:type="pct"/>
            <w:gridSpan w:val="2"/>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0.079 </w:t>
            </w:r>
          </w:p>
        </w:tc>
        <w:tc>
          <w:tcPr>
            <w:tcW w:w="1061" w:type="pct"/>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2.735 </w:t>
            </w:r>
          </w:p>
        </w:tc>
        <w:tc>
          <w:tcPr>
            <w:tcW w:w="766" w:type="pct"/>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0.006 </w:t>
            </w:r>
          </w:p>
        </w:tc>
      </w:tr>
      <w:tr w:rsidR="00DC4A1D" w:rsidRPr="003409EF" w:rsidTr="005D51C5">
        <w:tc>
          <w:tcPr>
            <w:tcW w:w="0" w:type="auto"/>
            <w:gridSpan w:val="2"/>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p>
        </w:tc>
        <w:tc>
          <w:tcPr>
            <w:tcW w:w="0" w:type="auto"/>
            <w:gridSpan w:val="3"/>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R-square </w:t>
            </w:r>
          </w:p>
        </w:tc>
        <w:tc>
          <w:tcPr>
            <w:tcW w:w="0" w:type="auto"/>
            <w:gridSpan w:val="3"/>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R-square adjusted </w:t>
            </w:r>
          </w:p>
        </w:tc>
      </w:tr>
      <w:tr w:rsidR="00DC4A1D" w:rsidRPr="003409EF" w:rsidTr="005D51C5">
        <w:tc>
          <w:tcPr>
            <w:tcW w:w="0" w:type="auto"/>
            <w:gridSpan w:val="2"/>
            <w:tcBorders>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CSD </w:t>
            </w:r>
          </w:p>
        </w:tc>
        <w:tc>
          <w:tcPr>
            <w:tcW w:w="0" w:type="auto"/>
            <w:gridSpan w:val="3"/>
            <w:tcBorders>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0.286 </w:t>
            </w:r>
          </w:p>
        </w:tc>
        <w:tc>
          <w:tcPr>
            <w:tcW w:w="0" w:type="auto"/>
            <w:gridSpan w:val="3"/>
            <w:tcBorders>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0.280 </w:t>
            </w:r>
          </w:p>
        </w:tc>
      </w:tr>
    </w:tbl>
    <w:p w:rsidR="00DC4A1D" w:rsidRPr="003409EF" w:rsidRDefault="00DC4A1D" w:rsidP="00DC4A1D">
      <w:pPr>
        <w:spacing w:line="360" w:lineRule="auto"/>
        <w:rPr>
          <w:rFonts w:ascii="Times New Roman" w:hAnsi="Times New Roman" w:cs="Times New Roman"/>
          <w:b/>
          <w:bCs/>
        </w:rPr>
      </w:pPr>
      <w:r w:rsidRPr="003409EF">
        <w:rPr>
          <w:rFonts w:ascii="Times New Roman" w:hAnsi="Times New Roman" w:cs="Times New Roman"/>
          <w:b/>
          <w:bCs/>
        </w:rPr>
        <w:t>Author’s Computation, 2026</w:t>
      </w:r>
    </w:p>
    <w:p w:rsidR="00DC4A1D" w:rsidRPr="003409EF" w:rsidRDefault="00DC4A1D" w:rsidP="00DC4A1D">
      <w:pPr>
        <w:spacing w:after="0" w:line="360" w:lineRule="auto"/>
        <w:jc w:val="both"/>
        <w:rPr>
          <w:rFonts w:ascii="Times New Roman" w:hAnsi="Times New Roman" w:cs="Times New Roman"/>
        </w:rPr>
      </w:pPr>
      <w:r w:rsidRPr="003409EF">
        <w:rPr>
          <w:rFonts w:ascii="Times New Roman" w:hAnsi="Times New Roman" w:cs="Times New Roman"/>
        </w:rPr>
        <w:t>The results for Cost of S</w:t>
      </w:r>
      <w:r w:rsidR="006C253C">
        <w:rPr>
          <w:rFonts w:ascii="Times New Roman" w:hAnsi="Times New Roman" w:cs="Times New Roman"/>
        </w:rPr>
        <w:t>ervice Delivery (CSD) on table 4</w:t>
      </w:r>
      <w:r w:rsidRPr="003409EF">
        <w:rPr>
          <w:rFonts w:ascii="Times New Roman" w:hAnsi="Times New Roman" w:cs="Times New Roman"/>
        </w:rPr>
        <w:t xml:space="preserve"> reveal that all the internal audit variables exert positive and statistically significant effects on service delivery efficiency. Auditor Competency (CMP) has a coefficient of β = 0.231, with a t-value of 3.188 and a p-value of 0.001, indicating a strong and significant effect. This suggests that higher auditor expertise contributes to better cost control and improved efficiency in service delivery.</w:t>
      </w:r>
    </w:p>
    <w:p w:rsidR="00DC4A1D" w:rsidRPr="003409EF" w:rsidRDefault="00DC4A1D" w:rsidP="00DC4A1D">
      <w:pPr>
        <w:spacing w:after="0" w:line="360" w:lineRule="auto"/>
        <w:jc w:val="both"/>
        <w:rPr>
          <w:rFonts w:ascii="Times New Roman" w:hAnsi="Times New Roman" w:cs="Times New Roman"/>
        </w:rPr>
      </w:pPr>
      <w:r w:rsidRPr="003409EF">
        <w:rPr>
          <w:rFonts w:ascii="Times New Roman" w:hAnsi="Times New Roman" w:cs="Times New Roman"/>
        </w:rPr>
        <w:t>Auditor Independence (IDP) demonstrates an even stronger effect on CSD, with β = 0.298, t = 4.943, and p = 0.000. The relatively higher coefficient implies that independence plays a crucial role in ensuring objective auditing, which in turn enhances cost efficiency and reduces wastage in service provision.</w:t>
      </w:r>
    </w:p>
    <w:p w:rsidR="00DC4A1D" w:rsidRPr="003409EF" w:rsidRDefault="00DC4A1D" w:rsidP="00DC4A1D">
      <w:pPr>
        <w:spacing w:after="0" w:line="360" w:lineRule="auto"/>
        <w:jc w:val="both"/>
        <w:rPr>
          <w:rFonts w:ascii="Times New Roman" w:hAnsi="Times New Roman" w:cs="Times New Roman"/>
        </w:rPr>
      </w:pPr>
      <w:r w:rsidRPr="003409EF">
        <w:rPr>
          <w:rFonts w:ascii="Times New Roman" w:hAnsi="Times New Roman" w:cs="Times New Roman"/>
        </w:rPr>
        <w:t>Management Support (MGS) also shows a positive and statistically significant relationship with CSD, with β = 0.216, t = 2.735, and p = 0.006. Although the magnitude of its coefficient is slightly lower than those of CMP and IDP, it still indicates that managerial backing is essential for achieving efficient service delivery outcomes.</w:t>
      </w:r>
    </w:p>
    <w:p w:rsidR="00DC4A1D" w:rsidRPr="003409EF" w:rsidRDefault="00DC4A1D" w:rsidP="00DC4A1D">
      <w:pPr>
        <w:spacing w:after="0" w:line="360" w:lineRule="auto"/>
        <w:jc w:val="both"/>
        <w:rPr>
          <w:rFonts w:ascii="Times New Roman" w:hAnsi="Times New Roman" w:cs="Times New Roman"/>
        </w:rPr>
      </w:pPr>
      <w:r w:rsidRPr="003409EF">
        <w:rPr>
          <w:rFonts w:ascii="Times New Roman" w:hAnsi="Times New Roman" w:cs="Times New Roman"/>
        </w:rPr>
        <w:t>The coefficient of determination for this model is R² = 0.286, which means that 28.6% of the variation in cost of service delivery is explained by the internal audit variables. This represents a moderate level of explanatory power, suggesting that internal audit practices play a meaningful role in improving operational efficiency.</w:t>
      </w:r>
    </w:p>
    <w:p w:rsidR="00DC4A1D" w:rsidRPr="003409EF" w:rsidRDefault="00DC4A1D" w:rsidP="00DC4A1D">
      <w:pPr>
        <w:spacing w:after="0" w:line="360" w:lineRule="auto"/>
        <w:jc w:val="both"/>
        <w:rPr>
          <w:rFonts w:ascii="Times New Roman" w:hAnsi="Times New Roman" w:cs="Times New Roman"/>
          <w:b/>
          <w:bCs/>
        </w:rPr>
      </w:pPr>
      <w:r w:rsidRPr="003409EF">
        <w:rPr>
          <w:rFonts w:ascii="Times New Roman" w:hAnsi="Times New Roman" w:cs="Times New Roman"/>
        </w:rPr>
        <w:t>The findings indicate that all three components of internal audit which are competency, independence, and management support are important drivers of cost efficiency, with auditor independence emerging as the strongest predictor in this model.</w:t>
      </w:r>
    </w:p>
    <w:p w:rsidR="00DC4A1D" w:rsidRDefault="00DC4A1D" w:rsidP="00DC4A1D">
      <w:pPr>
        <w:spacing w:after="0" w:line="360" w:lineRule="auto"/>
        <w:rPr>
          <w:rFonts w:ascii="Times New Roman" w:hAnsi="Times New Roman" w:cs="Times New Roman"/>
          <w:b/>
          <w:bCs/>
        </w:rPr>
      </w:pPr>
    </w:p>
    <w:p w:rsidR="00DC4A1D" w:rsidRPr="003409EF" w:rsidRDefault="006C253C" w:rsidP="00DC4A1D">
      <w:pPr>
        <w:spacing w:after="0" w:line="360" w:lineRule="auto"/>
        <w:rPr>
          <w:rFonts w:ascii="Times New Roman" w:hAnsi="Times New Roman" w:cs="Times New Roman"/>
          <w:b/>
          <w:bCs/>
        </w:rPr>
      </w:pPr>
      <w:r>
        <w:rPr>
          <w:rFonts w:ascii="Times New Roman" w:hAnsi="Times New Roman" w:cs="Times New Roman"/>
          <w:b/>
          <w:bCs/>
        </w:rPr>
        <w:t>Table 5</w:t>
      </w:r>
      <w:r w:rsidR="00DC4A1D" w:rsidRPr="003409EF">
        <w:rPr>
          <w:rFonts w:ascii="Times New Roman" w:hAnsi="Times New Roman" w:cs="Times New Roman"/>
          <w:b/>
          <w:bCs/>
        </w:rPr>
        <w:t xml:space="preserve">: PLS-SEM Model fit Output for the </w:t>
      </w:r>
      <w:r w:rsidR="00DC4A1D" w:rsidRPr="003409EF">
        <w:rPr>
          <w:rFonts w:ascii="Times New Roman" w:hAnsi="Times New Roman" w:cs="Times New Roman"/>
          <w:b/>
          <w:bCs/>
          <w:noProof/>
        </w:rPr>
        <w:t xml:space="preserve">Effect of </w:t>
      </w:r>
      <w:r w:rsidR="00DC4A1D" w:rsidRPr="003409EF">
        <w:rPr>
          <w:rFonts w:ascii="Times New Roman" w:hAnsi="Times New Roman" w:cs="Times New Roman"/>
          <w:b/>
          <w:bCs/>
        </w:rPr>
        <w:t>Internal Audit Practices on the Cost of Service Delivery in Government Business Enterprises</w:t>
      </w:r>
    </w:p>
    <w:tbl>
      <w:tblPr>
        <w:tblW w:w="5000" w:type="pct"/>
        <w:tblCellMar>
          <w:top w:w="15" w:type="dxa"/>
          <w:left w:w="15" w:type="dxa"/>
          <w:bottom w:w="15" w:type="dxa"/>
          <w:right w:w="15" w:type="dxa"/>
        </w:tblCellMar>
        <w:tblLook w:val="04A0" w:firstRow="1" w:lastRow="0" w:firstColumn="1" w:lastColumn="0" w:noHBand="0" w:noVBand="1"/>
      </w:tblPr>
      <w:tblGrid>
        <w:gridCol w:w="2461"/>
        <w:gridCol w:w="3427"/>
        <w:gridCol w:w="3472"/>
      </w:tblGrid>
      <w:tr w:rsidR="00DC4A1D" w:rsidRPr="003409EF" w:rsidTr="005D51C5">
        <w:tc>
          <w:tcPr>
            <w:tcW w:w="0" w:type="auto"/>
            <w:tcBorders>
              <w:top w:val="single" w:sz="4" w:space="0" w:color="auto"/>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Saturated model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Estimated model </w:t>
            </w:r>
          </w:p>
        </w:tc>
      </w:tr>
      <w:tr w:rsidR="00DC4A1D" w:rsidRPr="003409EF" w:rsidTr="005D51C5">
        <w:tc>
          <w:tcPr>
            <w:tcW w:w="0" w:type="auto"/>
            <w:tcBorders>
              <w:top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SRMR </w:t>
            </w:r>
          </w:p>
        </w:tc>
        <w:tc>
          <w:tcPr>
            <w:tcW w:w="0" w:type="auto"/>
            <w:tcBorders>
              <w:top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0.000 </w:t>
            </w:r>
          </w:p>
        </w:tc>
        <w:tc>
          <w:tcPr>
            <w:tcW w:w="0" w:type="auto"/>
            <w:tcBorders>
              <w:top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0.000 </w:t>
            </w:r>
          </w:p>
        </w:tc>
      </w:tr>
      <w:tr w:rsidR="00DC4A1D" w:rsidRPr="003409EF" w:rsidTr="005D51C5">
        <w:tc>
          <w:tcPr>
            <w:tcW w:w="0" w:type="auto"/>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proofErr w:type="spellStart"/>
            <w:r w:rsidRPr="003409EF">
              <w:rPr>
                <w:rFonts w:ascii="Times New Roman" w:hAnsi="Times New Roman" w:cs="Times New Roman"/>
                <w:b/>
                <w:bCs/>
              </w:rPr>
              <w:t>d_ULS</w:t>
            </w:r>
            <w:proofErr w:type="spellEnd"/>
            <w:r w:rsidRPr="003409EF">
              <w:rPr>
                <w:rFonts w:ascii="Times New Roman" w:hAnsi="Times New Roman" w:cs="Times New Roman"/>
                <w:b/>
                <w:bCs/>
              </w:rPr>
              <w:t xml:space="preserve"> </w:t>
            </w:r>
          </w:p>
        </w:tc>
        <w:tc>
          <w:tcPr>
            <w:tcW w:w="0" w:type="auto"/>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0.000 </w:t>
            </w:r>
          </w:p>
        </w:tc>
        <w:tc>
          <w:tcPr>
            <w:tcW w:w="0" w:type="auto"/>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0.000 </w:t>
            </w:r>
          </w:p>
        </w:tc>
      </w:tr>
      <w:tr w:rsidR="00DC4A1D" w:rsidRPr="003409EF" w:rsidTr="005D51C5">
        <w:tc>
          <w:tcPr>
            <w:tcW w:w="0" w:type="auto"/>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proofErr w:type="spellStart"/>
            <w:r w:rsidRPr="003409EF">
              <w:rPr>
                <w:rFonts w:ascii="Times New Roman" w:hAnsi="Times New Roman" w:cs="Times New Roman"/>
                <w:b/>
                <w:bCs/>
              </w:rPr>
              <w:lastRenderedPageBreak/>
              <w:t>d_G</w:t>
            </w:r>
            <w:proofErr w:type="spellEnd"/>
            <w:r w:rsidRPr="003409EF">
              <w:rPr>
                <w:rFonts w:ascii="Times New Roman" w:hAnsi="Times New Roman" w:cs="Times New Roman"/>
                <w:b/>
                <w:bCs/>
              </w:rPr>
              <w:t xml:space="preserve"> </w:t>
            </w:r>
          </w:p>
        </w:tc>
        <w:tc>
          <w:tcPr>
            <w:tcW w:w="0" w:type="auto"/>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0.000 </w:t>
            </w:r>
          </w:p>
        </w:tc>
        <w:tc>
          <w:tcPr>
            <w:tcW w:w="0" w:type="auto"/>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0.000 </w:t>
            </w:r>
          </w:p>
        </w:tc>
      </w:tr>
      <w:tr w:rsidR="00DC4A1D" w:rsidRPr="003409EF" w:rsidTr="005D51C5">
        <w:tc>
          <w:tcPr>
            <w:tcW w:w="0" w:type="auto"/>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Chi-square </w:t>
            </w:r>
          </w:p>
        </w:tc>
        <w:tc>
          <w:tcPr>
            <w:tcW w:w="0" w:type="auto"/>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-0.000 </w:t>
            </w:r>
          </w:p>
        </w:tc>
        <w:tc>
          <w:tcPr>
            <w:tcW w:w="0" w:type="auto"/>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-0.000 </w:t>
            </w:r>
          </w:p>
        </w:tc>
      </w:tr>
      <w:tr w:rsidR="00DC4A1D" w:rsidRPr="003409EF" w:rsidTr="005D51C5">
        <w:tc>
          <w:tcPr>
            <w:tcW w:w="0" w:type="auto"/>
            <w:tcBorders>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b/>
                <w:bCs/>
              </w:rPr>
            </w:pPr>
            <w:r w:rsidRPr="003409EF">
              <w:rPr>
                <w:rFonts w:ascii="Times New Roman" w:hAnsi="Times New Roman" w:cs="Times New Roman"/>
                <w:b/>
                <w:bCs/>
              </w:rPr>
              <w:t xml:space="preserve">NFI </w:t>
            </w:r>
          </w:p>
        </w:tc>
        <w:tc>
          <w:tcPr>
            <w:tcW w:w="0" w:type="auto"/>
            <w:tcBorders>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1.000 </w:t>
            </w:r>
          </w:p>
        </w:tc>
        <w:tc>
          <w:tcPr>
            <w:tcW w:w="0" w:type="auto"/>
            <w:tcBorders>
              <w:bottom w:val="single" w:sz="4" w:space="0" w:color="auto"/>
            </w:tcBorders>
            <w:tcMar>
              <w:top w:w="0" w:type="dxa"/>
              <w:left w:w="120" w:type="dxa"/>
              <w:bottom w:w="0" w:type="dxa"/>
              <w:right w:w="120" w:type="dxa"/>
            </w:tcMar>
            <w:vAlign w:val="center"/>
            <w:hideMark/>
          </w:tcPr>
          <w:p w:rsidR="00DC4A1D" w:rsidRPr="003409EF" w:rsidRDefault="00DC4A1D" w:rsidP="005D51C5">
            <w:pPr>
              <w:spacing w:line="360" w:lineRule="auto"/>
              <w:rPr>
                <w:rFonts w:ascii="Times New Roman" w:hAnsi="Times New Roman" w:cs="Times New Roman"/>
              </w:rPr>
            </w:pPr>
            <w:r w:rsidRPr="003409EF">
              <w:rPr>
                <w:rFonts w:ascii="Times New Roman" w:hAnsi="Times New Roman" w:cs="Times New Roman"/>
              </w:rPr>
              <w:t xml:space="preserve">1.000 </w:t>
            </w:r>
          </w:p>
        </w:tc>
      </w:tr>
    </w:tbl>
    <w:p w:rsidR="00DC4A1D" w:rsidRPr="003409EF" w:rsidRDefault="00DC4A1D" w:rsidP="00DC4A1D">
      <w:pPr>
        <w:spacing w:line="360" w:lineRule="auto"/>
        <w:rPr>
          <w:rFonts w:ascii="Times New Roman" w:hAnsi="Times New Roman" w:cs="Times New Roman"/>
          <w:b/>
          <w:bCs/>
        </w:rPr>
      </w:pPr>
      <w:r w:rsidRPr="003409EF">
        <w:rPr>
          <w:rFonts w:ascii="Times New Roman" w:hAnsi="Times New Roman" w:cs="Times New Roman"/>
          <w:b/>
          <w:bCs/>
        </w:rPr>
        <w:t>Author’s Computation, 2026</w:t>
      </w:r>
    </w:p>
    <w:p w:rsidR="00DC4A1D" w:rsidRPr="003409EF" w:rsidRDefault="006C253C" w:rsidP="00DC4A1D">
      <w:pPr>
        <w:tabs>
          <w:tab w:val="left" w:pos="900"/>
        </w:tabs>
        <w:spacing w:line="360" w:lineRule="auto"/>
        <w:jc w:val="both"/>
        <w:rPr>
          <w:rFonts w:ascii="Times New Roman" w:hAnsi="Times New Roman" w:cs="Times New Roman"/>
        </w:rPr>
      </w:pPr>
      <w:r>
        <w:rPr>
          <w:rFonts w:ascii="Times New Roman" w:hAnsi="Times New Roman" w:cs="Times New Roman"/>
        </w:rPr>
        <w:t>Table 5</w:t>
      </w:r>
      <w:r w:rsidR="00DC4A1D">
        <w:rPr>
          <w:rFonts w:ascii="Times New Roman" w:hAnsi="Times New Roman" w:cs="Times New Roman"/>
        </w:rPr>
        <w:t xml:space="preserve"> present the model fitness result f</w:t>
      </w:r>
      <w:r w:rsidR="00DC4A1D" w:rsidRPr="003409EF">
        <w:rPr>
          <w:rFonts w:ascii="Times New Roman" w:hAnsi="Times New Roman" w:cs="Times New Roman"/>
        </w:rPr>
        <w:t>or the Cost of Service Delivery (CSD) model, the assessment of global fit indices also reveals an SRMR value of 0.000. This value indicates a perfect alignment between the observed and predicted correlation matrices, suggesting that the model adequately captures the structure of the data without any observable error.</w:t>
      </w:r>
    </w:p>
    <w:p w:rsidR="00DC4A1D" w:rsidRPr="003409EF" w:rsidRDefault="00DC4A1D" w:rsidP="00DC4A1D">
      <w:pPr>
        <w:tabs>
          <w:tab w:val="left" w:pos="900"/>
        </w:tabs>
        <w:spacing w:line="360" w:lineRule="auto"/>
        <w:jc w:val="both"/>
        <w:rPr>
          <w:rFonts w:ascii="Times New Roman" w:hAnsi="Times New Roman" w:cs="Times New Roman"/>
        </w:rPr>
      </w:pPr>
      <w:r w:rsidRPr="003409EF">
        <w:rPr>
          <w:rFonts w:ascii="Times New Roman" w:hAnsi="Times New Roman" w:cs="Times New Roman"/>
        </w:rPr>
        <w:t>Similarly, the Normed Fit Index (NFI) is 1.000, which reflects an excellent level of model fit. This implies that the specified relationships among internal audit variables and cost of service delivery significantly improve upon the baseline model.</w:t>
      </w:r>
    </w:p>
    <w:p w:rsidR="00DC4A1D" w:rsidRPr="003409EF" w:rsidRDefault="00DC4A1D" w:rsidP="00DC4A1D">
      <w:pPr>
        <w:tabs>
          <w:tab w:val="left" w:pos="900"/>
        </w:tabs>
        <w:spacing w:line="360" w:lineRule="auto"/>
        <w:jc w:val="both"/>
        <w:rPr>
          <w:rFonts w:ascii="Times New Roman" w:hAnsi="Times New Roman" w:cs="Times New Roman"/>
        </w:rPr>
      </w:pPr>
      <w:r w:rsidRPr="003409EF">
        <w:rPr>
          <w:rFonts w:ascii="Times New Roman" w:hAnsi="Times New Roman" w:cs="Times New Roman"/>
        </w:rPr>
        <w:t>Therefore, the CSD model demonstrates an excellent overall fit, indicating that the model is well specified and reliable for analyzing the influence of internal audit practices on service delivery efficiency.</w:t>
      </w:r>
    </w:p>
    <w:p w:rsidR="00DC4A1D" w:rsidRDefault="00DC4A1D" w:rsidP="00DC4A1D">
      <w:pPr>
        <w:spacing w:after="0" w:line="360" w:lineRule="auto"/>
        <w:jc w:val="both"/>
        <w:rPr>
          <w:rFonts w:ascii="Times New Roman" w:hAnsi="Times New Roman" w:cs="Times New Roman"/>
          <w:sz w:val="24"/>
          <w:szCs w:val="24"/>
        </w:rPr>
      </w:pPr>
    </w:p>
    <w:p w:rsidR="00DC4A1D" w:rsidRPr="002635B0" w:rsidRDefault="00DC4A1D" w:rsidP="00DC4A1D">
      <w:pPr>
        <w:tabs>
          <w:tab w:val="left" w:pos="900"/>
        </w:tabs>
        <w:spacing w:after="0" w:line="360" w:lineRule="auto"/>
        <w:jc w:val="both"/>
        <w:rPr>
          <w:rFonts w:asciiTheme="majorBidi" w:hAnsiTheme="majorBidi" w:cstheme="majorBidi"/>
          <w:b/>
          <w:bCs/>
        </w:rPr>
      </w:pPr>
      <w:r w:rsidRPr="002635B0">
        <w:rPr>
          <w:rFonts w:asciiTheme="majorBidi" w:hAnsiTheme="majorBidi" w:cstheme="majorBidi"/>
          <w:b/>
          <w:bCs/>
        </w:rPr>
        <w:t>4.</w:t>
      </w:r>
      <w:r w:rsidR="006C253C">
        <w:rPr>
          <w:rFonts w:asciiTheme="majorBidi" w:hAnsiTheme="majorBidi" w:cstheme="majorBidi"/>
          <w:b/>
          <w:bCs/>
        </w:rPr>
        <w:t>6</w:t>
      </w:r>
      <w:r w:rsidRPr="002635B0">
        <w:rPr>
          <w:rFonts w:asciiTheme="majorBidi" w:hAnsiTheme="majorBidi" w:cstheme="majorBidi"/>
          <w:b/>
          <w:bCs/>
        </w:rPr>
        <w:t xml:space="preserve"> Hypothesis Two (H₀₂)</w:t>
      </w:r>
    </w:p>
    <w:p w:rsidR="006C253C" w:rsidRPr="003F2636" w:rsidRDefault="006C253C" w:rsidP="00DC4A1D">
      <w:pPr>
        <w:tabs>
          <w:tab w:val="left" w:pos="900"/>
        </w:tabs>
        <w:spacing w:after="0" w:line="360" w:lineRule="auto"/>
        <w:jc w:val="both"/>
        <w:rPr>
          <w:rFonts w:asciiTheme="majorBidi" w:hAnsiTheme="majorBidi" w:cstheme="majorBidi"/>
        </w:rPr>
      </w:pPr>
      <w:r w:rsidRPr="003F2636">
        <w:rPr>
          <w:rFonts w:asciiTheme="majorBidi" w:hAnsiTheme="majorBidi" w:cstheme="majorBidi"/>
        </w:rPr>
        <w:t>Based on the research questions and the findings of the study, the fo</w:t>
      </w:r>
      <w:r w:rsidR="003F2636" w:rsidRPr="003F2636">
        <w:rPr>
          <w:rFonts w:asciiTheme="majorBidi" w:hAnsiTheme="majorBidi" w:cstheme="majorBidi"/>
        </w:rPr>
        <w:t>llowing null hypotheses were re</w:t>
      </w:r>
      <w:r w:rsidRPr="003F2636">
        <w:rPr>
          <w:rFonts w:asciiTheme="majorBidi" w:hAnsiTheme="majorBidi" w:cstheme="majorBidi"/>
        </w:rPr>
        <w:t xml:space="preserve">jected; </w:t>
      </w:r>
    </w:p>
    <w:p w:rsidR="00DC4A1D" w:rsidRDefault="006C253C" w:rsidP="00DC4A1D">
      <w:pPr>
        <w:tabs>
          <w:tab w:val="left" w:pos="900"/>
        </w:tabs>
        <w:spacing w:after="0" w:line="360" w:lineRule="auto"/>
        <w:jc w:val="both"/>
        <w:rPr>
          <w:rFonts w:asciiTheme="majorBidi" w:hAnsiTheme="majorBidi" w:cstheme="majorBidi"/>
        </w:rPr>
      </w:pPr>
      <w:r>
        <w:rPr>
          <w:rFonts w:asciiTheme="majorBidi" w:hAnsiTheme="majorBidi" w:cstheme="majorBidi"/>
          <w:b/>
        </w:rPr>
        <w:t>H₀1</w:t>
      </w:r>
      <w:r w:rsidR="00DC4A1D" w:rsidRPr="002635B0">
        <w:rPr>
          <w:rFonts w:asciiTheme="majorBidi" w:hAnsiTheme="majorBidi" w:cstheme="majorBidi"/>
        </w:rPr>
        <w:t xml:space="preserve"> posits that </w:t>
      </w:r>
      <w:r>
        <w:rPr>
          <w:rFonts w:asciiTheme="majorBidi" w:hAnsiTheme="majorBidi" w:cstheme="majorBidi"/>
          <w:i/>
          <w:iCs/>
        </w:rPr>
        <w:t>independence auditors</w:t>
      </w:r>
      <w:r w:rsidR="00DC4A1D" w:rsidRPr="002635B0">
        <w:rPr>
          <w:rFonts w:asciiTheme="majorBidi" w:hAnsiTheme="majorBidi" w:cstheme="majorBidi"/>
          <w:i/>
          <w:iCs/>
        </w:rPr>
        <w:t xml:space="preserve"> do not significantly affect cost of service delivery in government business enterprises in Ogun State</w:t>
      </w:r>
      <w:r w:rsidR="00DC4A1D" w:rsidRPr="002635B0">
        <w:rPr>
          <w:rFonts w:asciiTheme="majorBidi" w:hAnsiTheme="majorBidi" w:cstheme="majorBidi"/>
        </w:rPr>
        <w:t>.</w:t>
      </w:r>
      <w:r w:rsidR="003F2636">
        <w:rPr>
          <w:rFonts w:asciiTheme="majorBidi" w:hAnsiTheme="majorBidi" w:cstheme="majorBidi"/>
        </w:rPr>
        <w:t xml:space="preserve">  The result revealed a </w:t>
      </w:r>
      <w:r w:rsidR="003F2636" w:rsidRPr="003409EF">
        <w:rPr>
          <w:rFonts w:ascii="Times New Roman" w:hAnsi="Times New Roman" w:cs="Times New Roman"/>
        </w:rPr>
        <w:t>β = 0.298, t = 4.943, and p = 0.000</w:t>
      </w:r>
      <w:r w:rsidR="003F2636">
        <w:rPr>
          <w:rFonts w:ascii="Times New Roman" w:hAnsi="Times New Roman" w:cs="Times New Roman"/>
        </w:rPr>
        <w:t xml:space="preserve">, therefore the </w:t>
      </w:r>
      <w:r w:rsidR="003F2636" w:rsidRPr="003F2636">
        <w:rPr>
          <w:rFonts w:ascii="Times New Roman" w:hAnsi="Times New Roman" w:cs="Times New Roman"/>
          <w:b/>
        </w:rPr>
        <w:t>null hypothesis is rejected.</w:t>
      </w:r>
    </w:p>
    <w:p w:rsidR="006C253C" w:rsidRDefault="006C253C" w:rsidP="00DC4A1D">
      <w:pPr>
        <w:tabs>
          <w:tab w:val="left" w:pos="900"/>
        </w:tabs>
        <w:spacing w:after="0" w:line="360" w:lineRule="auto"/>
        <w:jc w:val="both"/>
        <w:rPr>
          <w:rFonts w:asciiTheme="majorBidi" w:hAnsiTheme="majorBidi" w:cstheme="majorBidi"/>
          <w:b/>
        </w:rPr>
      </w:pPr>
      <w:r>
        <w:rPr>
          <w:rFonts w:asciiTheme="majorBidi" w:hAnsiTheme="majorBidi" w:cstheme="majorBidi"/>
          <w:b/>
        </w:rPr>
        <w:t xml:space="preserve">H₀2 </w:t>
      </w:r>
      <w:r w:rsidRPr="003F2636">
        <w:rPr>
          <w:rFonts w:asciiTheme="majorBidi" w:hAnsiTheme="majorBidi" w:cstheme="majorBidi"/>
          <w:i/>
        </w:rPr>
        <w:t>Competence of auditor have no</w:t>
      </w:r>
      <w:r>
        <w:rPr>
          <w:rFonts w:asciiTheme="majorBidi" w:hAnsiTheme="majorBidi" w:cstheme="majorBidi"/>
          <w:i/>
          <w:iCs/>
        </w:rPr>
        <w:t xml:space="preserve"> significant influence on the</w:t>
      </w:r>
      <w:r w:rsidRPr="002635B0">
        <w:rPr>
          <w:rFonts w:asciiTheme="majorBidi" w:hAnsiTheme="majorBidi" w:cstheme="majorBidi"/>
          <w:i/>
          <w:iCs/>
        </w:rPr>
        <w:t xml:space="preserve"> cost of service delivery in government business enterprises in Ogun State</w:t>
      </w:r>
      <w:r w:rsidRPr="002635B0">
        <w:rPr>
          <w:rFonts w:asciiTheme="majorBidi" w:hAnsiTheme="majorBidi" w:cstheme="majorBidi"/>
        </w:rPr>
        <w:t>.</w:t>
      </w:r>
      <w:r w:rsidR="003F2636">
        <w:rPr>
          <w:rFonts w:asciiTheme="majorBidi" w:hAnsiTheme="majorBidi" w:cstheme="majorBidi"/>
        </w:rPr>
        <w:t xml:space="preserve"> Findings from table 4 state a </w:t>
      </w:r>
      <w:r w:rsidR="003F2636" w:rsidRPr="003409EF">
        <w:rPr>
          <w:rFonts w:ascii="Times New Roman" w:hAnsi="Times New Roman" w:cs="Times New Roman"/>
        </w:rPr>
        <w:t>β = 0.231, with a t-value of 3.188 and a p-value of 0.001</w:t>
      </w:r>
      <w:r w:rsidR="003F2636">
        <w:rPr>
          <w:rFonts w:ascii="Times New Roman" w:hAnsi="Times New Roman" w:cs="Times New Roman"/>
        </w:rPr>
        <w:t xml:space="preserve">, subsequently </w:t>
      </w:r>
      <w:r w:rsidR="003F2636" w:rsidRPr="003F2636">
        <w:rPr>
          <w:rFonts w:ascii="Times New Roman" w:hAnsi="Times New Roman" w:cs="Times New Roman"/>
          <w:b/>
        </w:rPr>
        <w:t>the null hypothesis is rejected</w:t>
      </w:r>
    </w:p>
    <w:p w:rsidR="006C253C" w:rsidRPr="002635B0" w:rsidRDefault="006C253C" w:rsidP="00DC4A1D">
      <w:pPr>
        <w:tabs>
          <w:tab w:val="left" w:pos="900"/>
        </w:tabs>
        <w:spacing w:after="0" w:line="360" w:lineRule="auto"/>
        <w:jc w:val="both"/>
        <w:rPr>
          <w:rFonts w:asciiTheme="majorBidi" w:hAnsiTheme="majorBidi" w:cstheme="majorBidi"/>
        </w:rPr>
      </w:pPr>
      <w:r>
        <w:rPr>
          <w:rFonts w:asciiTheme="majorBidi" w:hAnsiTheme="majorBidi" w:cstheme="majorBidi"/>
          <w:b/>
        </w:rPr>
        <w:t xml:space="preserve">H₀3 </w:t>
      </w:r>
      <w:r w:rsidRPr="003F2636">
        <w:rPr>
          <w:rFonts w:asciiTheme="majorBidi" w:hAnsiTheme="majorBidi" w:cstheme="majorBidi"/>
          <w:i/>
        </w:rPr>
        <w:t>Management s</w:t>
      </w:r>
      <w:r w:rsidR="003F2636" w:rsidRPr="003F2636">
        <w:rPr>
          <w:rFonts w:asciiTheme="majorBidi" w:hAnsiTheme="majorBidi" w:cstheme="majorBidi"/>
          <w:i/>
        </w:rPr>
        <w:t>upport for the</w:t>
      </w:r>
      <w:r>
        <w:rPr>
          <w:rFonts w:asciiTheme="majorBidi" w:hAnsiTheme="majorBidi" w:cstheme="majorBidi"/>
          <w:i/>
          <w:iCs/>
        </w:rPr>
        <w:t xml:space="preserve"> auditors</w:t>
      </w:r>
      <w:r w:rsidRPr="002635B0">
        <w:rPr>
          <w:rFonts w:asciiTheme="majorBidi" w:hAnsiTheme="majorBidi" w:cstheme="majorBidi"/>
          <w:i/>
          <w:iCs/>
        </w:rPr>
        <w:t xml:space="preserve"> do not significantly affect cost of service delivery in government business enterprises in Ogun State</w:t>
      </w:r>
      <w:r w:rsidRPr="002635B0">
        <w:rPr>
          <w:rFonts w:asciiTheme="majorBidi" w:hAnsiTheme="majorBidi" w:cstheme="majorBidi"/>
        </w:rPr>
        <w:t>.</w:t>
      </w:r>
      <w:r w:rsidR="003F2636">
        <w:rPr>
          <w:rFonts w:asciiTheme="majorBidi" w:hAnsiTheme="majorBidi" w:cstheme="majorBidi"/>
        </w:rPr>
        <w:t xml:space="preserve"> In reference to the finding of the study (</w:t>
      </w:r>
      <w:r w:rsidR="003F2636" w:rsidRPr="003409EF">
        <w:rPr>
          <w:rFonts w:ascii="Times New Roman" w:hAnsi="Times New Roman" w:cs="Times New Roman"/>
        </w:rPr>
        <w:t>β = 0.216, t = 2.735, and p = 0.006</w:t>
      </w:r>
      <w:r w:rsidR="003F2636">
        <w:rPr>
          <w:rFonts w:ascii="Times New Roman" w:hAnsi="Times New Roman" w:cs="Times New Roman"/>
        </w:rPr>
        <w:t>) the</w:t>
      </w:r>
      <w:r w:rsidR="003F2636" w:rsidRPr="003F2636">
        <w:rPr>
          <w:rFonts w:ascii="Times New Roman" w:hAnsi="Times New Roman" w:cs="Times New Roman"/>
          <w:b/>
        </w:rPr>
        <w:t xml:space="preserve"> null hypothesis is rejected</w:t>
      </w:r>
    </w:p>
    <w:p w:rsidR="003E3361" w:rsidRDefault="003E3361"/>
    <w:p w:rsidR="00E90686" w:rsidRPr="004A05CE" w:rsidRDefault="00060B99" w:rsidP="00060B99">
      <w:pPr>
        <w:tabs>
          <w:tab w:val="left" w:pos="900"/>
        </w:tabs>
        <w:spacing w:after="0" w:line="360" w:lineRule="auto"/>
        <w:jc w:val="both"/>
        <w:rPr>
          <w:rFonts w:asciiTheme="majorBidi" w:hAnsiTheme="majorBidi" w:cstheme="majorBidi"/>
          <w:b/>
          <w:bCs/>
        </w:rPr>
      </w:pPr>
      <w:r>
        <w:rPr>
          <w:rFonts w:asciiTheme="majorBidi" w:hAnsiTheme="majorBidi" w:cstheme="majorBidi"/>
          <w:b/>
          <w:bCs/>
        </w:rPr>
        <w:t>4.7</w:t>
      </w:r>
      <w:r>
        <w:rPr>
          <w:rFonts w:asciiTheme="majorBidi" w:hAnsiTheme="majorBidi" w:cstheme="majorBidi"/>
          <w:b/>
          <w:bCs/>
        </w:rPr>
        <w:tab/>
      </w:r>
      <w:r w:rsidR="003F2636">
        <w:rPr>
          <w:rFonts w:asciiTheme="majorBidi" w:hAnsiTheme="majorBidi" w:cstheme="majorBidi"/>
          <w:b/>
          <w:bCs/>
        </w:rPr>
        <w:t xml:space="preserve">Discussion </w:t>
      </w:r>
      <w:r w:rsidR="00E90686" w:rsidRPr="004A05CE">
        <w:rPr>
          <w:rFonts w:asciiTheme="majorBidi" w:hAnsiTheme="majorBidi" w:cstheme="majorBidi"/>
          <w:b/>
          <w:bCs/>
        </w:rPr>
        <w:t>of Findings</w:t>
      </w:r>
    </w:p>
    <w:p w:rsidR="00E90686" w:rsidRPr="00060B99" w:rsidRDefault="00683861" w:rsidP="00060B99">
      <w:pPr>
        <w:tabs>
          <w:tab w:val="left" w:pos="900"/>
        </w:tabs>
        <w:spacing w:line="360" w:lineRule="auto"/>
        <w:jc w:val="both"/>
        <w:rPr>
          <w:rFonts w:asciiTheme="majorBidi" w:hAnsiTheme="majorBidi" w:cstheme="majorBidi"/>
        </w:rPr>
      </w:pPr>
      <w:r>
        <w:rPr>
          <w:rFonts w:asciiTheme="majorBidi" w:hAnsiTheme="majorBidi" w:cstheme="majorBidi"/>
        </w:rPr>
        <w:t>T</w:t>
      </w:r>
      <w:r w:rsidRPr="004A05CE">
        <w:rPr>
          <w:rFonts w:asciiTheme="majorBidi" w:hAnsiTheme="majorBidi" w:cstheme="majorBidi"/>
        </w:rPr>
        <w:t>he finding</w:t>
      </w:r>
      <w:r>
        <w:rPr>
          <w:rFonts w:asciiTheme="majorBidi" w:hAnsiTheme="majorBidi" w:cstheme="majorBidi"/>
        </w:rPr>
        <w:t>s</w:t>
      </w:r>
      <w:r w:rsidRPr="004A05CE">
        <w:rPr>
          <w:rFonts w:asciiTheme="majorBidi" w:hAnsiTheme="majorBidi" w:cstheme="majorBidi"/>
        </w:rPr>
        <w:t xml:space="preserve"> that internal audit practices significantly improve efficiency is cons</w:t>
      </w:r>
      <w:r>
        <w:rPr>
          <w:rFonts w:asciiTheme="majorBidi" w:hAnsiTheme="majorBidi" w:cstheme="majorBidi"/>
        </w:rPr>
        <w:t xml:space="preserve">istent with the work of Cohen and </w:t>
      </w:r>
      <w:proofErr w:type="spellStart"/>
      <w:r>
        <w:rPr>
          <w:rFonts w:asciiTheme="majorBidi" w:hAnsiTheme="majorBidi" w:cstheme="majorBidi"/>
        </w:rPr>
        <w:t>Sayag</w:t>
      </w:r>
      <w:proofErr w:type="spellEnd"/>
      <w:r w:rsidRPr="004A05CE">
        <w:rPr>
          <w:rFonts w:asciiTheme="majorBidi" w:hAnsiTheme="majorBidi" w:cstheme="majorBidi"/>
        </w:rPr>
        <w:t xml:space="preserve"> (2010), who established that internal audit quality enhances organizational performance and operational efficiency. The significant effects of auditor</w:t>
      </w:r>
      <w:r>
        <w:rPr>
          <w:rFonts w:asciiTheme="majorBidi" w:hAnsiTheme="majorBidi" w:cstheme="majorBidi"/>
        </w:rPr>
        <w:t>s independence (β ≈ 0.</w:t>
      </w:r>
      <w:r w:rsidRPr="004A05CE">
        <w:rPr>
          <w:rFonts w:asciiTheme="majorBidi" w:hAnsiTheme="majorBidi" w:cstheme="majorBidi"/>
        </w:rPr>
        <w:t>2</w:t>
      </w:r>
      <w:r>
        <w:rPr>
          <w:rFonts w:asciiTheme="majorBidi" w:hAnsiTheme="majorBidi" w:cstheme="majorBidi"/>
        </w:rPr>
        <w:t>98)</w:t>
      </w:r>
      <w:r w:rsidRPr="004A05CE">
        <w:rPr>
          <w:rFonts w:asciiTheme="majorBidi" w:hAnsiTheme="majorBidi" w:cstheme="majorBidi"/>
        </w:rPr>
        <w:t xml:space="preserve"> competency (β ≈ 0.</w:t>
      </w:r>
      <w:r>
        <w:rPr>
          <w:rFonts w:asciiTheme="majorBidi" w:hAnsiTheme="majorBidi" w:cstheme="majorBidi"/>
        </w:rPr>
        <w:t>231</w:t>
      </w:r>
      <w:r w:rsidRPr="004A05CE">
        <w:rPr>
          <w:rFonts w:asciiTheme="majorBidi" w:hAnsiTheme="majorBidi" w:cstheme="majorBidi"/>
        </w:rPr>
        <w:t xml:space="preserve">) </w:t>
      </w:r>
      <w:r>
        <w:rPr>
          <w:rFonts w:asciiTheme="majorBidi" w:hAnsiTheme="majorBidi" w:cstheme="majorBidi"/>
        </w:rPr>
        <w:t>and management support (β ≈ 0.216</w:t>
      </w:r>
      <w:r w:rsidRPr="004A05CE">
        <w:rPr>
          <w:rFonts w:asciiTheme="majorBidi" w:hAnsiTheme="majorBidi" w:cstheme="majorBidi"/>
        </w:rPr>
        <w:t xml:space="preserve">) also align with findings by </w:t>
      </w:r>
      <w:proofErr w:type="spellStart"/>
      <w:r w:rsidRPr="004A05CE">
        <w:rPr>
          <w:rFonts w:asciiTheme="majorBidi" w:hAnsiTheme="majorBidi" w:cstheme="majorBidi"/>
        </w:rPr>
        <w:t>Mihre</w:t>
      </w:r>
      <w:r>
        <w:rPr>
          <w:rFonts w:asciiTheme="majorBidi" w:hAnsiTheme="majorBidi" w:cstheme="majorBidi"/>
        </w:rPr>
        <w:t>t</w:t>
      </w:r>
      <w:proofErr w:type="spellEnd"/>
      <w:r>
        <w:rPr>
          <w:rFonts w:asciiTheme="majorBidi" w:hAnsiTheme="majorBidi" w:cstheme="majorBidi"/>
        </w:rPr>
        <w:t xml:space="preserve"> and </w:t>
      </w:r>
      <w:proofErr w:type="spellStart"/>
      <w:r>
        <w:rPr>
          <w:rFonts w:asciiTheme="majorBidi" w:hAnsiTheme="majorBidi" w:cstheme="majorBidi"/>
        </w:rPr>
        <w:t>Yismaw</w:t>
      </w:r>
      <w:proofErr w:type="spellEnd"/>
      <w:r>
        <w:rPr>
          <w:rFonts w:asciiTheme="majorBidi" w:hAnsiTheme="majorBidi" w:cstheme="majorBidi"/>
        </w:rPr>
        <w:t xml:space="preserve"> (2007); </w:t>
      </w:r>
      <w:proofErr w:type="spellStart"/>
      <w:r>
        <w:rPr>
          <w:rFonts w:asciiTheme="majorBidi" w:hAnsiTheme="majorBidi" w:cstheme="majorBidi"/>
        </w:rPr>
        <w:lastRenderedPageBreak/>
        <w:t>Ibraheem</w:t>
      </w:r>
      <w:proofErr w:type="spellEnd"/>
      <w:r>
        <w:rPr>
          <w:rFonts w:asciiTheme="majorBidi" w:hAnsiTheme="majorBidi" w:cstheme="majorBidi"/>
        </w:rPr>
        <w:t xml:space="preserve"> et al (2022); Nurudeen and </w:t>
      </w:r>
      <w:proofErr w:type="spellStart"/>
      <w:r>
        <w:rPr>
          <w:rFonts w:asciiTheme="majorBidi" w:hAnsiTheme="majorBidi" w:cstheme="majorBidi"/>
        </w:rPr>
        <w:t>Olatunde</w:t>
      </w:r>
      <w:proofErr w:type="spellEnd"/>
      <w:r>
        <w:rPr>
          <w:rFonts w:asciiTheme="majorBidi" w:hAnsiTheme="majorBidi" w:cstheme="majorBidi"/>
        </w:rPr>
        <w:t xml:space="preserve"> (2023) where the studies</w:t>
      </w:r>
      <w:r w:rsidRPr="004A05CE">
        <w:rPr>
          <w:rFonts w:asciiTheme="majorBidi" w:hAnsiTheme="majorBidi" w:cstheme="majorBidi"/>
        </w:rPr>
        <w:t xml:space="preserve"> emphasized that audit effectiveness depends largely on</w:t>
      </w:r>
      <w:r>
        <w:rPr>
          <w:rFonts w:asciiTheme="majorBidi" w:hAnsiTheme="majorBidi" w:cstheme="majorBidi"/>
        </w:rPr>
        <w:t xml:space="preserve"> audit</w:t>
      </w:r>
      <w:r w:rsidRPr="004A05CE">
        <w:rPr>
          <w:rFonts w:asciiTheme="majorBidi" w:hAnsiTheme="majorBidi" w:cstheme="majorBidi"/>
        </w:rPr>
        <w:t xml:space="preserve"> staff</w:t>
      </w:r>
      <w:r>
        <w:rPr>
          <w:rFonts w:asciiTheme="majorBidi" w:hAnsiTheme="majorBidi" w:cstheme="majorBidi"/>
        </w:rPr>
        <w:t xml:space="preserve"> independence,</w:t>
      </w:r>
      <w:r w:rsidRPr="004A05CE">
        <w:rPr>
          <w:rFonts w:asciiTheme="majorBidi" w:hAnsiTheme="majorBidi" w:cstheme="majorBidi"/>
        </w:rPr>
        <w:t xml:space="preserve"> competence</w:t>
      </w:r>
      <w:r>
        <w:rPr>
          <w:rFonts w:asciiTheme="majorBidi" w:hAnsiTheme="majorBidi" w:cstheme="majorBidi"/>
        </w:rPr>
        <w:t>,</w:t>
      </w:r>
      <w:r w:rsidRPr="004A05CE">
        <w:rPr>
          <w:rFonts w:asciiTheme="majorBidi" w:hAnsiTheme="majorBidi" w:cstheme="majorBidi"/>
        </w:rPr>
        <w:t xml:space="preserve"> and management cooperation. These results further validate the </w:t>
      </w:r>
      <w:r w:rsidR="00F51CF4">
        <w:rPr>
          <w:rFonts w:asciiTheme="majorBidi" w:hAnsiTheme="majorBidi" w:cstheme="majorBidi"/>
        </w:rPr>
        <w:t xml:space="preserve">postulations of the contingency theory, indicating that the success of audit assignment is contingent on the independence, competence of the auditor and support from the management. </w:t>
      </w:r>
      <w:r w:rsidR="00060B99">
        <w:rPr>
          <w:rFonts w:asciiTheme="majorBidi" w:hAnsiTheme="majorBidi" w:cstheme="majorBidi"/>
        </w:rPr>
        <w:t>The findings indicates the</w:t>
      </w:r>
      <w:r w:rsidR="00060B99" w:rsidRPr="004A05CE">
        <w:rPr>
          <w:rFonts w:asciiTheme="majorBidi" w:hAnsiTheme="majorBidi" w:cstheme="majorBidi"/>
        </w:rPr>
        <w:t xml:space="preserve"> internal audit practices significantly affect the cost of service delivery. Auditor</w:t>
      </w:r>
      <w:r w:rsidR="00060B99">
        <w:rPr>
          <w:rFonts w:asciiTheme="majorBidi" w:hAnsiTheme="majorBidi" w:cstheme="majorBidi"/>
        </w:rPr>
        <w:t xml:space="preserve"> independence,</w:t>
      </w:r>
      <w:r w:rsidR="00060B99" w:rsidRPr="004A05CE">
        <w:rPr>
          <w:rFonts w:asciiTheme="majorBidi" w:hAnsiTheme="majorBidi" w:cstheme="majorBidi"/>
        </w:rPr>
        <w:t xml:space="preserve"> competency and management support were identified as key drivers of efficiency, contributing to improved resource utilization and reduced operational costs. This indicates that internal audit functions play a crucial role in enhancing service delivery when supported by capable personnel and committed management.</w:t>
      </w:r>
    </w:p>
    <w:p w:rsidR="00E90686" w:rsidRPr="004A05CE" w:rsidRDefault="00060B99" w:rsidP="00E90686">
      <w:pPr>
        <w:tabs>
          <w:tab w:val="left" w:pos="900"/>
        </w:tabs>
        <w:spacing w:after="0" w:line="360" w:lineRule="auto"/>
        <w:jc w:val="both"/>
        <w:rPr>
          <w:rFonts w:asciiTheme="majorBidi" w:hAnsiTheme="majorBidi" w:cstheme="majorBidi"/>
          <w:b/>
          <w:bCs/>
        </w:rPr>
      </w:pPr>
      <w:r>
        <w:rPr>
          <w:rFonts w:asciiTheme="majorBidi" w:hAnsiTheme="majorBidi" w:cstheme="majorBidi"/>
          <w:b/>
          <w:bCs/>
        </w:rPr>
        <w:t>5.1</w:t>
      </w:r>
      <w:r w:rsidR="00E90686" w:rsidRPr="004A05CE">
        <w:rPr>
          <w:rFonts w:asciiTheme="majorBidi" w:hAnsiTheme="majorBidi" w:cstheme="majorBidi"/>
          <w:b/>
          <w:bCs/>
        </w:rPr>
        <w:t xml:space="preserve"> Conclusion</w:t>
      </w:r>
    </w:p>
    <w:p w:rsidR="00E90686" w:rsidRPr="004A05CE" w:rsidRDefault="00E90686" w:rsidP="00E90686">
      <w:pPr>
        <w:tabs>
          <w:tab w:val="left" w:pos="900"/>
        </w:tabs>
        <w:spacing w:after="0" w:line="360" w:lineRule="auto"/>
        <w:jc w:val="both"/>
        <w:rPr>
          <w:rFonts w:asciiTheme="majorBidi" w:hAnsiTheme="majorBidi" w:cstheme="majorBidi"/>
        </w:rPr>
      </w:pPr>
      <w:r w:rsidRPr="004A05CE">
        <w:rPr>
          <w:rFonts w:asciiTheme="majorBidi" w:hAnsiTheme="majorBidi" w:cstheme="majorBidi"/>
        </w:rPr>
        <w:t>Based on the findings of the study, it can be concluded that internal audit practices are essent</w:t>
      </w:r>
      <w:r w:rsidR="00060B99">
        <w:rPr>
          <w:rFonts w:asciiTheme="majorBidi" w:hAnsiTheme="majorBidi" w:cstheme="majorBidi"/>
        </w:rPr>
        <w:t>ial for improving operational efficiency</w:t>
      </w:r>
      <w:r w:rsidRPr="004A05CE">
        <w:rPr>
          <w:rFonts w:asciiTheme="majorBidi" w:hAnsiTheme="majorBidi" w:cstheme="majorBidi"/>
        </w:rPr>
        <w:t xml:space="preserve"> in government business enterprises, particularly in the areas</w:t>
      </w:r>
      <w:r w:rsidR="00060B99">
        <w:rPr>
          <w:rFonts w:asciiTheme="majorBidi" w:hAnsiTheme="majorBidi" w:cstheme="majorBidi"/>
        </w:rPr>
        <w:t xml:space="preserve"> of</w:t>
      </w:r>
      <w:r w:rsidRPr="004A05CE">
        <w:rPr>
          <w:rFonts w:asciiTheme="majorBidi" w:hAnsiTheme="majorBidi" w:cstheme="majorBidi"/>
        </w:rPr>
        <w:t xml:space="preserve"> service delivery However, the effectiveness of these practices depends largely on the level of management support</w:t>
      </w:r>
      <w:r w:rsidR="00060B99">
        <w:rPr>
          <w:rFonts w:asciiTheme="majorBidi" w:hAnsiTheme="majorBidi" w:cstheme="majorBidi"/>
        </w:rPr>
        <w:t>,</w:t>
      </w:r>
      <w:r w:rsidRPr="004A05CE">
        <w:rPr>
          <w:rFonts w:asciiTheme="majorBidi" w:hAnsiTheme="majorBidi" w:cstheme="majorBidi"/>
        </w:rPr>
        <w:t xml:space="preserve"> </w:t>
      </w:r>
      <w:r w:rsidR="00060B99">
        <w:rPr>
          <w:rFonts w:asciiTheme="majorBidi" w:hAnsiTheme="majorBidi" w:cstheme="majorBidi"/>
        </w:rPr>
        <w:t xml:space="preserve">independence </w:t>
      </w:r>
      <w:r w:rsidRPr="004A05CE">
        <w:rPr>
          <w:rFonts w:asciiTheme="majorBidi" w:hAnsiTheme="majorBidi" w:cstheme="majorBidi"/>
        </w:rPr>
        <w:t>and the competency of audit personnel.</w:t>
      </w:r>
    </w:p>
    <w:p w:rsidR="00E90686" w:rsidRDefault="00E90686" w:rsidP="00E90686">
      <w:pPr>
        <w:tabs>
          <w:tab w:val="left" w:pos="900"/>
        </w:tabs>
        <w:spacing w:after="0" w:line="360" w:lineRule="auto"/>
        <w:jc w:val="both"/>
        <w:rPr>
          <w:rFonts w:asciiTheme="majorBidi" w:hAnsiTheme="majorBidi" w:cstheme="majorBidi"/>
          <w:b/>
          <w:bCs/>
        </w:rPr>
      </w:pPr>
    </w:p>
    <w:p w:rsidR="00E90686" w:rsidRPr="004A05CE" w:rsidRDefault="00060B99" w:rsidP="00E90686">
      <w:pPr>
        <w:tabs>
          <w:tab w:val="left" w:pos="900"/>
        </w:tabs>
        <w:spacing w:after="0" w:line="360" w:lineRule="auto"/>
        <w:jc w:val="both"/>
        <w:rPr>
          <w:rFonts w:asciiTheme="majorBidi" w:hAnsiTheme="majorBidi" w:cstheme="majorBidi"/>
          <w:b/>
          <w:bCs/>
        </w:rPr>
      </w:pPr>
      <w:r>
        <w:rPr>
          <w:rFonts w:asciiTheme="majorBidi" w:hAnsiTheme="majorBidi" w:cstheme="majorBidi"/>
          <w:b/>
          <w:bCs/>
        </w:rPr>
        <w:t>5.2</w:t>
      </w:r>
      <w:r w:rsidR="00E90686" w:rsidRPr="004A05CE">
        <w:rPr>
          <w:rFonts w:asciiTheme="majorBidi" w:hAnsiTheme="majorBidi" w:cstheme="majorBidi"/>
          <w:b/>
          <w:bCs/>
        </w:rPr>
        <w:t xml:space="preserve"> Recommendations</w:t>
      </w:r>
    </w:p>
    <w:p w:rsidR="00E90686" w:rsidRPr="004A05CE" w:rsidRDefault="00E90686" w:rsidP="00E90686">
      <w:pPr>
        <w:tabs>
          <w:tab w:val="left" w:pos="900"/>
        </w:tabs>
        <w:spacing w:after="0" w:line="360" w:lineRule="auto"/>
        <w:jc w:val="both"/>
        <w:rPr>
          <w:rFonts w:asciiTheme="majorBidi" w:hAnsiTheme="majorBidi" w:cstheme="majorBidi"/>
        </w:rPr>
      </w:pPr>
      <w:r w:rsidRPr="004A05CE">
        <w:rPr>
          <w:rFonts w:asciiTheme="majorBidi" w:hAnsiTheme="majorBidi" w:cstheme="majorBidi"/>
        </w:rPr>
        <w:t>In line with the findings and conclusions of this study, the following recommendations are proposed:</w:t>
      </w:r>
    </w:p>
    <w:p w:rsidR="002F7F38" w:rsidRDefault="002F7F38" w:rsidP="00CA6C48">
      <w:pPr>
        <w:pStyle w:val="ListParagraph"/>
        <w:numPr>
          <w:ilvl w:val="0"/>
          <w:numId w:val="3"/>
        </w:numPr>
        <w:tabs>
          <w:tab w:val="left" w:pos="900"/>
        </w:tabs>
        <w:spacing w:after="0" w:line="360" w:lineRule="auto"/>
        <w:jc w:val="both"/>
        <w:rPr>
          <w:rFonts w:asciiTheme="majorBidi" w:hAnsiTheme="majorBidi" w:cstheme="majorBidi"/>
        </w:rPr>
      </w:pPr>
      <w:r>
        <w:rPr>
          <w:rFonts w:asciiTheme="majorBidi" w:hAnsiTheme="majorBidi" w:cstheme="majorBidi"/>
        </w:rPr>
        <w:t>The management should ensure of GBEs should ensure improved independence of the internal audit unit.</w:t>
      </w:r>
    </w:p>
    <w:p w:rsidR="00E90686" w:rsidRDefault="00E90686" w:rsidP="00CA6C48">
      <w:pPr>
        <w:pStyle w:val="ListParagraph"/>
        <w:numPr>
          <w:ilvl w:val="0"/>
          <w:numId w:val="3"/>
        </w:numPr>
        <w:tabs>
          <w:tab w:val="left" w:pos="900"/>
        </w:tabs>
        <w:spacing w:after="0" w:line="360" w:lineRule="auto"/>
        <w:jc w:val="both"/>
        <w:rPr>
          <w:rFonts w:asciiTheme="majorBidi" w:hAnsiTheme="majorBidi" w:cstheme="majorBidi"/>
        </w:rPr>
      </w:pPr>
      <w:r w:rsidRPr="00060B99">
        <w:rPr>
          <w:rFonts w:asciiTheme="majorBidi" w:hAnsiTheme="majorBidi" w:cstheme="majorBidi"/>
        </w:rPr>
        <w:t>There is a need to improve the competency of internal auditors through continuous professional training, certification,</w:t>
      </w:r>
      <w:r w:rsidR="00060B99">
        <w:rPr>
          <w:rFonts w:asciiTheme="majorBidi" w:hAnsiTheme="majorBidi" w:cstheme="majorBidi"/>
        </w:rPr>
        <w:t xml:space="preserve"> and capacity-building programs</w:t>
      </w:r>
      <w:r w:rsidRPr="00060B99">
        <w:rPr>
          <w:rFonts w:asciiTheme="majorBidi" w:hAnsiTheme="majorBidi" w:cstheme="majorBidi"/>
        </w:rPr>
        <w:t>.</w:t>
      </w:r>
    </w:p>
    <w:p w:rsidR="002F7F38" w:rsidRDefault="002F7F38" w:rsidP="002F7F38">
      <w:pPr>
        <w:pStyle w:val="ListParagraph"/>
        <w:numPr>
          <w:ilvl w:val="0"/>
          <w:numId w:val="3"/>
        </w:numPr>
        <w:tabs>
          <w:tab w:val="left" w:pos="900"/>
        </w:tabs>
        <w:spacing w:after="0" w:line="360" w:lineRule="auto"/>
        <w:jc w:val="both"/>
        <w:rPr>
          <w:rFonts w:asciiTheme="majorBidi" w:hAnsiTheme="majorBidi" w:cstheme="majorBidi"/>
        </w:rPr>
      </w:pPr>
      <w:r w:rsidRPr="00060B99">
        <w:rPr>
          <w:rFonts w:asciiTheme="majorBidi" w:hAnsiTheme="majorBidi" w:cstheme="majorBidi"/>
        </w:rPr>
        <w:t xml:space="preserve">Management of GBEs should provide stronger institutional support to internal audit units. </w:t>
      </w:r>
    </w:p>
    <w:p w:rsidR="002F7F38" w:rsidRPr="00060B99" w:rsidRDefault="002F7F38" w:rsidP="002F7F38">
      <w:pPr>
        <w:pStyle w:val="ListParagraph"/>
        <w:tabs>
          <w:tab w:val="left" w:pos="900"/>
        </w:tabs>
        <w:spacing w:after="0" w:line="360" w:lineRule="auto"/>
        <w:jc w:val="both"/>
        <w:rPr>
          <w:rFonts w:asciiTheme="majorBidi" w:hAnsiTheme="majorBidi" w:cstheme="majorBidi"/>
        </w:rPr>
      </w:pPr>
    </w:p>
    <w:p w:rsidR="00645D73" w:rsidRDefault="00645D73"/>
    <w:p w:rsidR="00FB7035" w:rsidRPr="00616D8C" w:rsidRDefault="00645D73" w:rsidP="00616D8C">
      <w:pPr>
        <w:spacing w:before="100" w:beforeAutospacing="1" w:after="100" w:afterAutospacing="1" w:line="240" w:lineRule="auto"/>
        <w:rPr>
          <w:rFonts w:ascii="Times New Roman" w:eastAsia="Times New Roman" w:hAnsi="Times New Roman" w:cs="Times New Roman"/>
          <w:sz w:val="24"/>
          <w:szCs w:val="24"/>
        </w:rPr>
      </w:pPr>
      <w:r w:rsidRPr="00A81F00">
        <w:rPr>
          <w:rFonts w:ascii="Times New Roman" w:eastAsia="Times New Roman" w:hAnsi="Times New Roman" w:cs="Times New Roman"/>
          <w:b/>
          <w:bCs/>
          <w:sz w:val="24"/>
          <w:szCs w:val="24"/>
        </w:rPr>
        <w:t>References</w:t>
      </w:r>
    </w:p>
    <w:p w:rsidR="00FB7035" w:rsidRPr="00A81F00" w:rsidRDefault="00FB7035" w:rsidP="00616D8C">
      <w:pPr>
        <w:spacing w:before="100" w:beforeAutospacing="1" w:after="100" w:afterAutospacing="1" w:line="240" w:lineRule="auto"/>
        <w:rPr>
          <w:rFonts w:ascii="Times New Roman" w:eastAsia="Times New Roman" w:hAnsi="Times New Roman" w:cs="Times New Roman"/>
          <w:sz w:val="24"/>
          <w:szCs w:val="24"/>
        </w:rPr>
      </w:pPr>
      <w:proofErr w:type="spellStart"/>
      <w:r w:rsidRPr="00A81F00">
        <w:rPr>
          <w:rFonts w:ascii="Times New Roman" w:eastAsia="Times New Roman" w:hAnsi="Times New Roman" w:cs="Times New Roman"/>
          <w:sz w:val="24"/>
          <w:szCs w:val="24"/>
        </w:rPr>
        <w:t>Adegbie</w:t>
      </w:r>
      <w:proofErr w:type="spellEnd"/>
      <w:r w:rsidRPr="00A81F00">
        <w:rPr>
          <w:rFonts w:ascii="Times New Roman" w:eastAsia="Times New Roman" w:hAnsi="Times New Roman" w:cs="Times New Roman"/>
          <w:sz w:val="24"/>
          <w:szCs w:val="24"/>
        </w:rPr>
        <w:t xml:space="preserve">, F. F., &amp; </w:t>
      </w:r>
      <w:proofErr w:type="spellStart"/>
      <w:r w:rsidRPr="00A81F00">
        <w:rPr>
          <w:rFonts w:ascii="Times New Roman" w:eastAsia="Times New Roman" w:hAnsi="Times New Roman" w:cs="Times New Roman"/>
          <w:sz w:val="24"/>
          <w:szCs w:val="24"/>
        </w:rPr>
        <w:t>Fofah</w:t>
      </w:r>
      <w:proofErr w:type="spellEnd"/>
      <w:r w:rsidRPr="00A81F00">
        <w:rPr>
          <w:rFonts w:ascii="Times New Roman" w:eastAsia="Times New Roman" w:hAnsi="Times New Roman" w:cs="Times New Roman"/>
          <w:sz w:val="24"/>
          <w:szCs w:val="24"/>
        </w:rPr>
        <w:t xml:space="preserve">, E. T. (2014). Internal audit quality and financial accountability in </w:t>
      </w:r>
      <w:r w:rsidRPr="00FB7035">
        <w:rPr>
          <w:rFonts w:ascii="Times New Roman" w:eastAsia="Times New Roman" w:hAnsi="Times New Roman" w:cs="Times New Roman"/>
          <w:sz w:val="24"/>
          <w:szCs w:val="24"/>
        </w:rPr>
        <w:tab/>
      </w:r>
      <w:r w:rsidRPr="00A81F00">
        <w:rPr>
          <w:rFonts w:ascii="Times New Roman" w:eastAsia="Times New Roman" w:hAnsi="Times New Roman" w:cs="Times New Roman"/>
          <w:sz w:val="24"/>
          <w:szCs w:val="24"/>
        </w:rPr>
        <w:t xml:space="preserve">Nigerian public sector. </w:t>
      </w:r>
      <w:r w:rsidRPr="00FB7035">
        <w:rPr>
          <w:rFonts w:ascii="Times New Roman" w:eastAsia="Times New Roman" w:hAnsi="Times New Roman" w:cs="Times New Roman"/>
          <w:i/>
          <w:iCs/>
          <w:sz w:val="24"/>
          <w:szCs w:val="24"/>
        </w:rPr>
        <w:t xml:space="preserve">European Journal of Accounting, Auditing and Finance Research, </w:t>
      </w:r>
      <w:r w:rsidRPr="00FB7035">
        <w:rPr>
          <w:rFonts w:ascii="Times New Roman" w:eastAsia="Times New Roman" w:hAnsi="Times New Roman" w:cs="Times New Roman"/>
          <w:i/>
          <w:iCs/>
          <w:sz w:val="24"/>
          <w:szCs w:val="24"/>
        </w:rPr>
        <w:tab/>
        <w:t>2</w:t>
      </w:r>
      <w:r w:rsidRPr="00A81F00">
        <w:rPr>
          <w:rFonts w:ascii="Times New Roman" w:eastAsia="Times New Roman" w:hAnsi="Times New Roman" w:cs="Times New Roman"/>
          <w:sz w:val="24"/>
          <w:szCs w:val="24"/>
        </w:rPr>
        <w:t>(6), 1–21.</w:t>
      </w:r>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Agyemang</w:t>
      </w:r>
      <w:proofErr w:type="spellEnd"/>
      <w:r w:rsidRPr="00FB7035">
        <w:rPr>
          <w:rFonts w:ascii="Times New Roman" w:hAnsi="Times New Roman" w:cs="Times New Roman"/>
          <w:sz w:val="24"/>
          <w:szCs w:val="24"/>
        </w:rPr>
        <w:t xml:space="preserve">, G., &amp; </w:t>
      </w:r>
      <w:proofErr w:type="spellStart"/>
      <w:r w:rsidRPr="00FB7035">
        <w:rPr>
          <w:rFonts w:ascii="Times New Roman" w:hAnsi="Times New Roman" w:cs="Times New Roman"/>
          <w:sz w:val="24"/>
          <w:szCs w:val="24"/>
        </w:rPr>
        <w:t>Castellini</w:t>
      </w:r>
      <w:proofErr w:type="spellEnd"/>
      <w:r w:rsidRPr="00FB7035">
        <w:rPr>
          <w:rFonts w:ascii="Times New Roman" w:hAnsi="Times New Roman" w:cs="Times New Roman"/>
          <w:sz w:val="24"/>
          <w:szCs w:val="24"/>
        </w:rPr>
        <w:t xml:space="preserve">, M. (2018). The impact of internal audit on service delivery in </w:t>
      </w:r>
      <w:r w:rsidRPr="00FB7035">
        <w:rPr>
          <w:rFonts w:ascii="Times New Roman" w:hAnsi="Times New Roman" w:cs="Times New Roman"/>
          <w:sz w:val="24"/>
          <w:szCs w:val="24"/>
        </w:rPr>
        <w:tab/>
        <w:t>Ghanaian public institutions. </w:t>
      </w:r>
      <w:r w:rsidRPr="00FB7035">
        <w:rPr>
          <w:rFonts w:ascii="Times New Roman" w:hAnsi="Times New Roman" w:cs="Times New Roman"/>
          <w:i/>
          <w:iCs/>
          <w:sz w:val="24"/>
          <w:szCs w:val="24"/>
        </w:rPr>
        <w:t xml:space="preserve">International Journal of Public Sector Performance </w:t>
      </w:r>
      <w:r w:rsidRPr="00FB7035">
        <w:rPr>
          <w:rFonts w:ascii="Times New Roman" w:hAnsi="Times New Roman" w:cs="Times New Roman"/>
          <w:i/>
          <w:iCs/>
          <w:sz w:val="24"/>
          <w:szCs w:val="24"/>
        </w:rPr>
        <w:tab/>
        <w:t>Management</w:t>
      </w:r>
      <w:r w:rsidRPr="00FB7035">
        <w:rPr>
          <w:rFonts w:ascii="Times New Roman" w:hAnsi="Times New Roman" w:cs="Times New Roman"/>
          <w:sz w:val="24"/>
          <w:szCs w:val="24"/>
        </w:rPr>
        <w:t>, 4(1), 22-38.</w:t>
      </w:r>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Alipour</w:t>
      </w:r>
      <w:proofErr w:type="spellEnd"/>
      <w:r w:rsidRPr="00FB7035">
        <w:rPr>
          <w:rFonts w:ascii="Times New Roman" w:hAnsi="Times New Roman" w:cs="Times New Roman"/>
          <w:sz w:val="24"/>
          <w:szCs w:val="24"/>
        </w:rPr>
        <w:t xml:space="preserve">, M., </w:t>
      </w:r>
      <w:proofErr w:type="spellStart"/>
      <w:r w:rsidRPr="00FB7035">
        <w:rPr>
          <w:rFonts w:ascii="Times New Roman" w:hAnsi="Times New Roman" w:cs="Times New Roman"/>
          <w:sz w:val="24"/>
          <w:szCs w:val="24"/>
        </w:rPr>
        <w:t>Sawan</w:t>
      </w:r>
      <w:proofErr w:type="spellEnd"/>
      <w:r w:rsidRPr="00FB7035">
        <w:rPr>
          <w:rFonts w:ascii="Times New Roman" w:hAnsi="Times New Roman" w:cs="Times New Roman"/>
          <w:sz w:val="24"/>
          <w:szCs w:val="24"/>
        </w:rPr>
        <w:t xml:space="preserve">, N., &amp; </w:t>
      </w:r>
      <w:proofErr w:type="spellStart"/>
      <w:r w:rsidRPr="00FB7035">
        <w:rPr>
          <w:rFonts w:ascii="Times New Roman" w:hAnsi="Times New Roman" w:cs="Times New Roman"/>
          <w:sz w:val="24"/>
          <w:szCs w:val="24"/>
        </w:rPr>
        <w:t>Dadashzadeh</w:t>
      </w:r>
      <w:proofErr w:type="spellEnd"/>
      <w:r w:rsidRPr="00FB7035">
        <w:rPr>
          <w:rFonts w:ascii="Times New Roman" w:hAnsi="Times New Roman" w:cs="Times New Roman"/>
          <w:sz w:val="24"/>
          <w:szCs w:val="24"/>
        </w:rPr>
        <w:t xml:space="preserve">, M. (2019). Audit quality and public service delivery: An </w:t>
      </w:r>
      <w:r w:rsidRPr="00FB7035">
        <w:rPr>
          <w:rFonts w:ascii="Times New Roman" w:hAnsi="Times New Roman" w:cs="Times New Roman"/>
          <w:sz w:val="24"/>
          <w:szCs w:val="24"/>
        </w:rPr>
        <w:tab/>
        <w:t>empirical study. </w:t>
      </w:r>
      <w:r w:rsidRPr="00FB7035">
        <w:rPr>
          <w:rFonts w:ascii="Times New Roman" w:hAnsi="Times New Roman" w:cs="Times New Roman"/>
          <w:i/>
          <w:iCs/>
          <w:sz w:val="24"/>
          <w:szCs w:val="24"/>
        </w:rPr>
        <w:t>Public Administration Quarterly</w:t>
      </w:r>
      <w:r w:rsidRPr="00FB7035">
        <w:rPr>
          <w:rFonts w:ascii="Times New Roman" w:hAnsi="Times New Roman" w:cs="Times New Roman"/>
          <w:sz w:val="24"/>
          <w:szCs w:val="24"/>
        </w:rPr>
        <w:t>, 43(3), 344-373.</w:t>
      </w:r>
    </w:p>
    <w:p w:rsidR="00FB7035" w:rsidRPr="00A81F00" w:rsidRDefault="00FB7035" w:rsidP="00616D8C">
      <w:pPr>
        <w:spacing w:before="100" w:beforeAutospacing="1" w:after="100" w:afterAutospacing="1" w:line="240" w:lineRule="auto"/>
        <w:rPr>
          <w:rFonts w:ascii="Times New Roman" w:eastAsia="Times New Roman" w:hAnsi="Times New Roman" w:cs="Times New Roman"/>
          <w:sz w:val="24"/>
          <w:szCs w:val="24"/>
        </w:rPr>
      </w:pPr>
      <w:r w:rsidRPr="00A81F00">
        <w:rPr>
          <w:rFonts w:ascii="Times New Roman" w:eastAsia="Times New Roman" w:hAnsi="Times New Roman" w:cs="Times New Roman"/>
          <w:sz w:val="24"/>
          <w:szCs w:val="24"/>
        </w:rPr>
        <w:lastRenderedPageBreak/>
        <w:t xml:space="preserve">Arena, M., &amp; </w:t>
      </w:r>
      <w:proofErr w:type="spellStart"/>
      <w:r w:rsidRPr="00A81F00">
        <w:rPr>
          <w:rFonts w:ascii="Times New Roman" w:eastAsia="Times New Roman" w:hAnsi="Times New Roman" w:cs="Times New Roman"/>
          <w:sz w:val="24"/>
          <w:szCs w:val="24"/>
        </w:rPr>
        <w:t>Azzone</w:t>
      </w:r>
      <w:proofErr w:type="spellEnd"/>
      <w:r w:rsidRPr="00A81F00">
        <w:rPr>
          <w:rFonts w:ascii="Times New Roman" w:eastAsia="Times New Roman" w:hAnsi="Times New Roman" w:cs="Times New Roman"/>
          <w:sz w:val="24"/>
          <w:szCs w:val="24"/>
        </w:rPr>
        <w:t xml:space="preserve">, G. (2009). Identifying organizational drivers of internal audit </w:t>
      </w:r>
      <w:r w:rsidRPr="00FB7035">
        <w:rPr>
          <w:rFonts w:ascii="Times New Roman" w:eastAsia="Times New Roman" w:hAnsi="Times New Roman" w:cs="Times New Roman"/>
          <w:sz w:val="24"/>
          <w:szCs w:val="24"/>
        </w:rPr>
        <w:tab/>
      </w:r>
      <w:r w:rsidRPr="00A81F00">
        <w:rPr>
          <w:rFonts w:ascii="Times New Roman" w:eastAsia="Times New Roman" w:hAnsi="Times New Roman" w:cs="Times New Roman"/>
          <w:sz w:val="24"/>
          <w:szCs w:val="24"/>
        </w:rPr>
        <w:t xml:space="preserve">effectiveness. </w:t>
      </w:r>
      <w:r w:rsidRPr="00FB7035">
        <w:rPr>
          <w:rFonts w:ascii="Times New Roman" w:eastAsia="Times New Roman" w:hAnsi="Times New Roman" w:cs="Times New Roman"/>
          <w:i/>
          <w:iCs/>
          <w:sz w:val="24"/>
          <w:szCs w:val="24"/>
        </w:rPr>
        <w:t>International Journal of Auditing, 13</w:t>
      </w:r>
      <w:r w:rsidRPr="00A81F00">
        <w:rPr>
          <w:rFonts w:ascii="Times New Roman" w:eastAsia="Times New Roman" w:hAnsi="Times New Roman" w:cs="Times New Roman"/>
          <w:sz w:val="24"/>
          <w:szCs w:val="24"/>
        </w:rPr>
        <w:t xml:space="preserve">(1), 43–60. </w:t>
      </w:r>
      <w:r w:rsidRPr="00FB7035">
        <w:rPr>
          <w:rFonts w:ascii="Times New Roman" w:eastAsia="Times New Roman" w:hAnsi="Times New Roman" w:cs="Times New Roman"/>
          <w:sz w:val="24"/>
          <w:szCs w:val="24"/>
        </w:rPr>
        <w:tab/>
      </w:r>
      <w:hyperlink r:id="rId7" w:history="1">
        <w:r w:rsidRPr="00FB7035">
          <w:rPr>
            <w:rFonts w:ascii="Times New Roman" w:eastAsia="Times New Roman" w:hAnsi="Times New Roman" w:cs="Times New Roman"/>
            <w:color w:val="0000FF"/>
            <w:sz w:val="24"/>
            <w:szCs w:val="24"/>
            <w:u w:val="single"/>
          </w:rPr>
          <w:t>https://doi.org/10.1111/j.1099-1123.2008.00392.x</w:t>
        </w:r>
      </w:hyperlink>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Ariyo-Edu</w:t>
      </w:r>
      <w:proofErr w:type="spellEnd"/>
      <w:r w:rsidRPr="00FB7035">
        <w:rPr>
          <w:rFonts w:ascii="Times New Roman" w:hAnsi="Times New Roman" w:cs="Times New Roman"/>
          <w:sz w:val="24"/>
          <w:szCs w:val="24"/>
        </w:rPr>
        <w:t xml:space="preserve">, A. A. (2024). Corporate governance and public sector performance in North-Central </w:t>
      </w:r>
      <w:r w:rsidRPr="00FB7035">
        <w:rPr>
          <w:rFonts w:ascii="Times New Roman" w:hAnsi="Times New Roman" w:cs="Times New Roman"/>
          <w:sz w:val="24"/>
          <w:szCs w:val="24"/>
        </w:rPr>
        <w:tab/>
        <w:t xml:space="preserve">Nigeria. </w:t>
      </w:r>
      <w:proofErr w:type="spellStart"/>
      <w:r w:rsidRPr="00FB7035">
        <w:rPr>
          <w:rFonts w:ascii="Times New Roman" w:hAnsi="Times New Roman" w:cs="Times New Roman"/>
          <w:sz w:val="24"/>
          <w:szCs w:val="24"/>
        </w:rPr>
        <w:t>Malete</w:t>
      </w:r>
      <w:proofErr w:type="spellEnd"/>
      <w:r w:rsidRPr="00FB7035">
        <w:rPr>
          <w:rFonts w:ascii="Times New Roman" w:hAnsi="Times New Roman" w:cs="Times New Roman"/>
          <w:sz w:val="24"/>
          <w:szCs w:val="24"/>
        </w:rPr>
        <w:t xml:space="preserve"> Journal of Accounting and Finance, 5(1), 91-111. </w:t>
      </w:r>
      <w:r w:rsidRPr="00FB7035">
        <w:rPr>
          <w:rFonts w:ascii="Times New Roman" w:hAnsi="Times New Roman" w:cs="Times New Roman"/>
          <w:sz w:val="24"/>
          <w:szCs w:val="24"/>
        </w:rPr>
        <w:tab/>
      </w:r>
      <w:hyperlink r:id="rId8" w:history="1">
        <w:r w:rsidRPr="00FB7035">
          <w:rPr>
            <w:rStyle w:val="Hyperlink"/>
            <w:rFonts w:ascii="Times New Roman" w:hAnsi="Times New Roman" w:cs="Times New Roman"/>
            <w:sz w:val="24"/>
            <w:szCs w:val="24"/>
          </w:rPr>
          <w:t>https://majaf.com.ng/index.php/majaf/article/view/175</w:t>
        </w:r>
      </w:hyperlink>
      <w:r w:rsidRPr="00FB7035">
        <w:rPr>
          <w:rFonts w:ascii="Times New Roman" w:hAnsi="Times New Roman" w:cs="Times New Roman"/>
          <w:sz w:val="24"/>
          <w:szCs w:val="24"/>
        </w:rPr>
        <w:t xml:space="preserve"> </w:t>
      </w:r>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Ariyo-Edu</w:t>
      </w:r>
      <w:proofErr w:type="spellEnd"/>
      <w:r w:rsidRPr="00FB7035">
        <w:rPr>
          <w:rFonts w:ascii="Times New Roman" w:hAnsi="Times New Roman" w:cs="Times New Roman"/>
          <w:sz w:val="24"/>
          <w:szCs w:val="24"/>
        </w:rPr>
        <w:t xml:space="preserve">, A. A., </w:t>
      </w:r>
      <w:proofErr w:type="spellStart"/>
      <w:r w:rsidRPr="00FB7035">
        <w:rPr>
          <w:rFonts w:ascii="Times New Roman" w:hAnsi="Times New Roman" w:cs="Times New Roman"/>
          <w:sz w:val="24"/>
          <w:szCs w:val="24"/>
        </w:rPr>
        <w:t>Woli-Jimoh</w:t>
      </w:r>
      <w:proofErr w:type="spellEnd"/>
      <w:r w:rsidRPr="00FB7035">
        <w:rPr>
          <w:rFonts w:ascii="Times New Roman" w:hAnsi="Times New Roman" w:cs="Times New Roman"/>
          <w:sz w:val="24"/>
          <w:szCs w:val="24"/>
        </w:rPr>
        <w:t xml:space="preserve">, I. A., &amp; </w:t>
      </w:r>
      <w:proofErr w:type="spellStart"/>
      <w:r w:rsidRPr="00FB7035">
        <w:rPr>
          <w:rFonts w:ascii="Times New Roman" w:hAnsi="Times New Roman" w:cs="Times New Roman"/>
          <w:sz w:val="24"/>
          <w:szCs w:val="24"/>
        </w:rPr>
        <w:t>Subair</w:t>
      </w:r>
      <w:proofErr w:type="spellEnd"/>
      <w:r w:rsidRPr="00FB7035">
        <w:rPr>
          <w:rFonts w:ascii="Times New Roman" w:hAnsi="Times New Roman" w:cs="Times New Roman"/>
          <w:sz w:val="24"/>
          <w:szCs w:val="24"/>
        </w:rPr>
        <w:t xml:space="preserve">, M. L. (2024). Internal audit efficiency and public </w:t>
      </w:r>
      <w:r w:rsidRPr="00FB7035">
        <w:rPr>
          <w:rFonts w:ascii="Times New Roman" w:hAnsi="Times New Roman" w:cs="Times New Roman"/>
          <w:sz w:val="24"/>
          <w:szCs w:val="24"/>
        </w:rPr>
        <w:tab/>
        <w:t xml:space="preserve">sector performance: A study of selected MDAs in </w:t>
      </w:r>
      <w:proofErr w:type="spellStart"/>
      <w:r w:rsidRPr="00FB7035">
        <w:rPr>
          <w:rFonts w:ascii="Times New Roman" w:hAnsi="Times New Roman" w:cs="Times New Roman"/>
          <w:sz w:val="24"/>
          <w:szCs w:val="24"/>
        </w:rPr>
        <w:t>Kwara</w:t>
      </w:r>
      <w:proofErr w:type="spellEnd"/>
      <w:r w:rsidRPr="00FB7035">
        <w:rPr>
          <w:rFonts w:ascii="Times New Roman" w:hAnsi="Times New Roman" w:cs="Times New Roman"/>
          <w:sz w:val="24"/>
          <w:szCs w:val="24"/>
        </w:rPr>
        <w:t xml:space="preserve"> State. </w:t>
      </w:r>
      <w:proofErr w:type="spellStart"/>
      <w:r w:rsidRPr="00FB7035">
        <w:rPr>
          <w:rFonts w:ascii="Times New Roman" w:hAnsi="Times New Roman" w:cs="Times New Roman"/>
          <w:i/>
          <w:iCs/>
          <w:sz w:val="24"/>
          <w:szCs w:val="24"/>
        </w:rPr>
        <w:t>Malete</w:t>
      </w:r>
      <w:proofErr w:type="spellEnd"/>
      <w:r w:rsidRPr="00FB7035">
        <w:rPr>
          <w:rFonts w:ascii="Times New Roman" w:hAnsi="Times New Roman" w:cs="Times New Roman"/>
          <w:i/>
          <w:iCs/>
          <w:sz w:val="24"/>
          <w:szCs w:val="24"/>
        </w:rPr>
        <w:t xml:space="preserve"> Journal of </w:t>
      </w:r>
      <w:r w:rsidRPr="00FB7035">
        <w:rPr>
          <w:rFonts w:ascii="Times New Roman" w:hAnsi="Times New Roman" w:cs="Times New Roman"/>
          <w:i/>
          <w:iCs/>
          <w:sz w:val="24"/>
          <w:szCs w:val="24"/>
        </w:rPr>
        <w:tab/>
        <w:t>Accounting and Finance</w:t>
      </w:r>
      <w:r w:rsidRPr="00FB7035">
        <w:rPr>
          <w:rFonts w:ascii="Times New Roman" w:hAnsi="Times New Roman" w:cs="Times New Roman"/>
          <w:sz w:val="24"/>
          <w:szCs w:val="24"/>
        </w:rPr>
        <w:t>, 4(2), 191-208. </w:t>
      </w:r>
      <w:hyperlink r:id="rId9" w:tgtFrame="_blank" w:history="1">
        <w:r w:rsidRPr="00FB7035">
          <w:rPr>
            <w:rStyle w:val="Hyperlink"/>
            <w:rFonts w:ascii="Times New Roman" w:hAnsi="Times New Roman" w:cs="Times New Roman"/>
            <w:sz w:val="24"/>
            <w:szCs w:val="24"/>
          </w:rPr>
          <w:t>https://majaf.com.ng/index.php/majaf/index</w:t>
        </w:r>
      </w:hyperlink>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t xml:space="preserve">Awoke, F., &amp; Singh, M. (2020). Auditor competency and digital tool adoption in public sector </w:t>
      </w:r>
      <w:r w:rsidRPr="00FB7035">
        <w:rPr>
          <w:rFonts w:ascii="Times New Roman" w:hAnsi="Times New Roman" w:cs="Times New Roman"/>
          <w:sz w:val="24"/>
          <w:szCs w:val="24"/>
        </w:rPr>
        <w:tab/>
        <w:t>asset audits. </w:t>
      </w:r>
      <w:r w:rsidRPr="00FB7035">
        <w:rPr>
          <w:rFonts w:ascii="Times New Roman" w:hAnsi="Times New Roman" w:cs="Times New Roman"/>
          <w:i/>
          <w:iCs/>
          <w:sz w:val="24"/>
          <w:szCs w:val="24"/>
        </w:rPr>
        <w:t>International Journal of Auditing Technology</w:t>
      </w:r>
      <w:r w:rsidRPr="00FB7035">
        <w:rPr>
          <w:rFonts w:ascii="Times New Roman" w:hAnsi="Times New Roman" w:cs="Times New Roman"/>
          <w:sz w:val="24"/>
          <w:szCs w:val="24"/>
        </w:rPr>
        <w:t>, 6(4), 215–234.</w:t>
      </w:r>
    </w:p>
    <w:p w:rsidR="00FB7035" w:rsidRPr="00A81F00" w:rsidRDefault="00FB7035" w:rsidP="00616D8C">
      <w:pPr>
        <w:spacing w:before="100" w:beforeAutospacing="1" w:after="100" w:afterAutospacing="1" w:line="240" w:lineRule="auto"/>
        <w:rPr>
          <w:rFonts w:ascii="Times New Roman" w:eastAsia="Times New Roman" w:hAnsi="Times New Roman" w:cs="Times New Roman"/>
          <w:sz w:val="24"/>
          <w:szCs w:val="24"/>
        </w:rPr>
      </w:pPr>
      <w:r w:rsidRPr="00A81F00">
        <w:rPr>
          <w:rFonts w:ascii="Times New Roman" w:eastAsia="Times New Roman" w:hAnsi="Times New Roman" w:cs="Times New Roman"/>
          <w:sz w:val="24"/>
          <w:szCs w:val="24"/>
        </w:rPr>
        <w:t xml:space="preserve">Burns, T., &amp; Stalker, G. M. (1961). </w:t>
      </w:r>
      <w:r w:rsidRPr="00FB7035">
        <w:rPr>
          <w:rFonts w:ascii="Times New Roman" w:eastAsia="Times New Roman" w:hAnsi="Times New Roman" w:cs="Times New Roman"/>
          <w:i/>
          <w:iCs/>
          <w:sz w:val="24"/>
          <w:szCs w:val="24"/>
        </w:rPr>
        <w:t>The management of innovation</w:t>
      </w:r>
      <w:r w:rsidRPr="00A81F00">
        <w:rPr>
          <w:rFonts w:ascii="Times New Roman" w:eastAsia="Times New Roman" w:hAnsi="Times New Roman" w:cs="Times New Roman"/>
          <w:sz w:val="24"/>
          <w:szCs w:val="24"/>
        </w:rPr>
        <w:t xml:space="preserve">. </w:t>
      </w:r>
      <w:proofErr w:type="spellStart"/>
      <w:r w:rsidRPr="00A81F00">
        <w:rPr>
          <w:rFonts w:ascii="Times New Roman" w:eastAsia="Times New Roman" w:hAnsi="Times New Roman" w:cs="Times New Roman"/>
          <w:sz w:val="24"/>
          <w:szCs w:val="24"/>
        </w:rPr>
        <w:t>Tavistock</w:t>
      </w:r>
      <w:proofErr w:type="spellEnd"/>
      <w:r w:rsidRPr="00A81F00">
        <w:rPr>
          <w:rFonts w:ascii="Times New Roman" w:eastAsia="Times New Roman" w:hAnsi="Times New Roman" w:cs="Times New Roman"/>
          <w:sz w:val="24"/>
          <w:szCs w:val="24"/>
        </w:rPr>
        <w:t>.</w:t>
      </w:r>
    </w:p>
    <w:p w:rsidR="00FB7035" w:rsidRPr="00FB7035" w:rsidRDefault="00FB7035" w:rsidP="00616D8C">
      <w:pPr>
        <w:pStyle w:val="PlainText"/>
        <w:rPr>
          <w:rFonts w:ascii="Times New Roman" w:hAnsi="Times New Roman" w:cs="Times New Roman"/>
          <w:sz w:val="24"/>
          <w:szCs w:val="24"/>
        </w:rPr>
      </w:pPr>
      <w:r w:rsidRPr="00FB7035">
        <w:rPr>
          <w:rFonts w:ascii="Times New Roman" w:hAnsi="Times New Roman" w:cs="Times New Roman"/>
          <w:sz w:val="24"/>
          <w:szCs w:val="24"/>
        </w:rPr>
        <w:t xml:space="preserve">Charles N., &amp; </w:t>
      </w:r>
      <w:proofErr w:type="spellStart"/>
      <w:r w:rsidRPr="00FB7035">
        <w:rPr>
          <w:rFonts w:ascii="Times New Roman" w:hAnsi="Times New Roman" w:cs="Times New Roman"/>
          <w:sz w:val="24"/>
          <w:szCs w:val="24"/>
        </w:rPr>
        <w:t>Bathlomew</w:t>
      </w:r>
      <w:proofErr w:type="spellEnd"/>
      <w:r w:rsidRPr="00FB7035">
        <w:rPr>
          <w:rFonts w:ascii="Times New Roman" w:hAnsi="Times New Roman" w:cs="Times New Roman"/>
          <w:sz w:val="24"/>
          <w:szCs w:val="24"/>
        </w:rPr>
        <w:t xml:space="preserve"> O.</w:t>
      </w:r>
      <w:proofErr w:type="gramStart"/>
      <w:r w:rsidRPr="00FB7035">
        <w:rPr>
          <w:rFonts w:ascii="Times New Roman" w:hAnsi="Times New Roman" w:cs="Times New Roman"/>
          <w:sz w:val="24"/>
          <w:szCs w:val="24"/>
        </w:rPr>
        <w:t>,(</w:t>
      </w:r>
      <w:proofErr w:type="gramEnd"/>
      <w:r w:rsidRPr="00FB7035">
        <w:rPr>
          <w:rFonts w:ascii="Times New Roman" w:hAnsi="Times New Roman" w:cs="Times New Roman"/>
          <w:sz w:val="24"/>
          <w:szCs w:val="24"/>
        </w:rPr>
        <w:t xml:space="preserve">2019) Public Service Reforms and Effective Service </w:t>
      </w:r>
      <w:r w:rsidRPr="00FB7035">
        <w:rPr>
          <w:rFonts w:ascii="Times New Roman" w:hAnsi="Times New Roman" w:cs="Times New Roman"/>
          <w:sz w:val="24"/>
          <w:szCs w:val="24"/>
        </w:rPr>
        <w:tab/>
        <w:t xml:space="preserve">Delivery in Nigeria. International Journal of Developing and Emerging </w:t>
      </w:r>
      <w:r w:rsidRPr="00FB7035">
        <w:rPr>
          <w:rFonts w:ascii="Times New Roman" w:hAnsi="Times New Roman" w:cs="Times New Roman"/>
          <w:sz w:val="24"/>
          <w:szCs w:val="24"/>
        </w:rPr>
        <w:tab/>
        <w:t xml:space="preserve">Economies. 7 (4), ECRTD-UK Print ISSN: 2055-608X (Print), Online ISSN: </w:t>
      </w:r>
      <w:r w:rsidRPr="00FB7035">
        <w:rPr>
          <w:rFonts w:ascii="Times New Roman" w:hAnsi="Times New Roman" w:cs="Times New Roman"/>
          <w:sz w:val="24"/>
          <w:szCs w:val="24"/>
        </w:rPr>
        <w:tab/>
        <w:t xml:space="preserve">2055-6098(Online) </w:t>
      </w:r>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Chebet</w:t>
      </w:r>
      <w:proofErr w:type="spellEnd"/>
      <w:r w:rsidRPr="00FB7035">
        <w:rPr>
          <w:rFonts w:ascii="Times New Roman" w:hAnsi="Times New Roman" w:cs="Times New Roman"/>
          <w:sz w:val="24"/>
          <w:szCs w:val="24"/>
        </w:rPr>
        <w:t xml:space="preserve">, C., </w:t>
      </w:r>
      <w:proofErr w:type="spellStart"/>
      <w:r w:rsidRPr="00FB7035">
        <w:rPr>
          <w:rFonts w:ascii="Times New Roman" w:hAnsi="Times New Roman" w:cs="Times New Roman"/>
          <w:sz w:val="24"/>
          <w:szCs w:val="24"/>
        </w:rPr>
        <w:t>Kamau</w:t>
      </w:r>
      <w:proofErr w:type="spellEnd"/>
      <w:r w:rsidRPr="00FB7035">
        <w:rPr>
          <w:rFonts w:ascii="Times New Roman" w:hAnsi="Times New Roman" w:cs="Times New Roman"/>
          <w:sz w:val="24"/>
          <w:szCs w:val="24"/>
        </w:rPr>
        <w:t xml:space="preserve">, D., &amp; </w:t>
      </w:r>
      <w:proofErr w:type="spellStart"/>
      <w:r w:rsidRPr="00FB7035">
        <w:rPr>
          <w:rFonts w:ascii="Times New Roman" w:hAnsi="Times New Roman" w:cs="Times New Roman"/>
          <w:sz w:val="24"/>
          <w:szCs w:val="24"/>
        </w:rPr>
        <w:t>Ombui</w:t>
      </w:r>
      <w:proofErr w:type="spellEnd"/>
      <w:r w:rsidRPr="00FB7035">
        <w:rPr>
          <w:rFonts w:ascii="Times New Roman" w:hAnsi="Times New Roman" w:cs="Times New Roman"/>
          <w:sz w:val="24"/>
          <w:szCs w:val="24"/>
        </w:rPr>
        <w:t xml:space="preserve">, K. (2018). Effects of internal audit function on service delivery </w:t>
      </w:r>
      <w:r w:rsidRPr="00FB7035">
        <w:rPr>
          <w:rFonts w:ascii="Times New Roman" w:hAnsi="Times New Roman" w:cs="Times New Roman"/>
          <w:sz w:val="24"/>
          <w:szCs w:val="24"/>
        </w:rPr>
        <w:tab/>
        <w:t xml:space="preserve">in Kenya: A case of </w:t>
      </w:r>
      <w:proofErr w:type="spellStart"/>
      <w:r w:rsidRPr="00FB7035">
        <w:rPr>
          <w:rFonts w:ascii="Times New Roman" w:hAnsi="Times New Roman" w:cs="Times New Roman"/>
          <w:sz w:val="24"/>
          <w:szCs w:val="24"/>
        </w:rPr>
        <w:t>Bomet</w:t>
      </w:r>
      <w:proofErr w:type="spellEnd"/>
      <w:r w:rsidRPr="00FB7035">
        <w:rPr>
          <w:rFonts w:ascii="Times New Roman" w:hAnsi="Times New Roman" w:cs="Times New Roman"/>
          <w:sz w:val="24"/>
          <w:szCs w:val="24"/>
        </w:rPr>
        <w:t xml:space="preserve"> County. </w:t>
      </w:r>
      <w:r w:rsidRPr="00FB7035">
        <w:rPr>
          <w:rFonts w:ascii="Times New Roman" w:hAnsi="Times New Roman" w:cs="Times New Roman"/>
          <w:i/>
          <w:iCs/>
          <w:sz w:val="24"/>
          <w:szCs w:val="24"/>
        </w:rPr>
        <w:t>Research Publish Journals</w:t>
      </w:r>
      <w:r w:rsidRPr="00FB7035">
        <w:rPr>
          <w:rFonts w:ascii="Times New Roman" w:hAnsi="Times New Roman" w:cs="Times New Roman"/>
          <w:sz w:val="24"/>
          <w:szCs w:val="24"/>
        </w:rPr>
        <w:t>, 5(2), 421-431.</w:t>
      </w:r>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t xml:space="preserve">Christopher, J., </w:t>
      </w:r>
      <w:proofErr w:type="spellStart"/>
      <w:r w:rsidRPr="00FB7035">
        <w:rPr>
          <w:rFonts w:ascii="Times New Roman" w:hAnsi="Times New Roman" w:cs="Times New Roman"/>
          <w:sz w:val="24"/>
          <w:szCs w:val="24"/>
        </w:rPr>
        <w:t>Sarens</w:t>
      </w:r>
      <w:proofErr w:type="spellEnd"/>
      <w:r w:rsidRPr="00FB7035">
        <w:rPr>
          <w:rFonts w:ascii="Times New Roman" w:hAnsi="Times New Roman" w:cs="Times New Roman"/>
          <w:sz w:val="24"/>
          <w:szCs w:val="24"/>
        </w:rPr>
        <w:t xml:space="preserve">, G., &amp; Leung, P. (2009). Independence of internal auditors: Perceptions of </w:t>
      </w:r>
      <w:r w:rsidRPr="00FB7035">
        <w:rPr>
          <w:rFonts w:ascii="Times New Roman" w:hAnsi="Times New Roman" w:cs="Times New Roman"/>
          <w:sz w:val="24"/>
          <w:szCs w:val="24"/>
        </w:rPr>
        <w:tab/>
        <w:t>internal audit effectiveness. </w:t>
      </w:r>
      <w:r w:rsidRPr="00FB7035">
        <w:rPr>
          <w:rFonts w:ascii="Times New Roman" w:hAnsi="Times New Roman" w:cs="Times New Roman"/>
          <w:i/>
          <w:iCs/>
          <w:sz w:val="24"/>
          <w:szCs w:val="24"/>
        </w:rPr>
        <w:t>Managerial Auditing Journal</w:t>
      </w:r>
      <w:r w:rsidRPr="00FB7035">
        <w:rPr>
          <w:rFonts w:ascii="Times New Roman" w:hAnsi="Times New Roman" w:cs="Times New Roman"/>
          <w:sz w:val="24"/>
          <w:szCs w:val="24"/>
        </w:rPr>
        <w:t>, 24(3), 227-245.</w:t>
      </w:r>
    </w:p>
    <w:p w:rsidR="00FB7035" w:rsidRPr="00FB7035" w:rsidRDefault="00FB7035" w:rsidP="00616D8C">
      <w:pPr>
        <w:spacing w:before="100" w:beforeAutospacing="1" w:after="100" w:afterAutospacing="1" w:line="240" w:lineRule="auto"/>
        <w:rPr>
          <w:rFonts w:ascii="Times New Roman" w:eastAsia="Times New Roman" w:hAnsi="Times New Roman" w:cs="Times New Roman"/>
          <w:sz w:val="24"/>
          <w:szCs w:val="24"/>
        </w:rPr>
      </w:pPr>
      <w:r w:rsidRPr="00A81F00">
        <w:rPr>
          <w:rFonts w:ascii="Times New Roman" w:eastAsia="Times New Roman" w:hAnsi="Times New Roman" w:cs="Times New Roman"/>
          <w:sz w:val="24"/>
          <w:szCs w:val="24"/>
        </w:rPr>
        <w:t xml:space="preserve">Coetzee, P., &amp; Erasmus, L. (2017). What drives and measures public sector internal audit </w:t>
      </w:r>
      <w:r w:rsidRPr="00FB7035">
        <w:rPr>
          <w:rFonts w:ascii="Times New Roman" w:eastAsia="Times New Roman" w:hAnsi="Times New Roman" w:cs="Times New Roman"/>
          <w:sz w:val="24"/>
          <w:szCs w:val="24"/>
        </w:rPr>
        <w:tab/>
      </w:r>
      <w:r w:rsidRPr="00A81F00">
        <w:rPr>
          <w:rFonts w:ascii="Times New Roman" w:eastAsia="Times New Roman" w:hAnsi="Times New Roman" w:cs="Times New Roman"/>
          <w:sz w:val="24"/>
          <w:szCs w:val="24"/>
        </w:rPr>
        <w:t xml:space="preserve">effectiveness? </w:t>
      </w:r>
      <w:r w:rsidRPr="00FB7035">
        <w:rPr>
          <w:rFonts w:ascii="Times New Roman" w:eastAsia="Times New Roman" w:hAnsi="Times New Roman" w:cs="Times New Roman"/>
          <w:i/>
          <w:iCs/>
          <w:sz w:val="24"/>
          <w:szCs w:val="24"/>
        </w:rPr>
        <w:t>Managerial Auditing Journal, 32</w:t>
      </w:r>
      <w:r w:rsidRPr="00A81F00">
        <w:rPr>
          <w:rFonts w:ascii="Times New Roman" w:eastAsia="Times New Roman" w:hAnsi="Times New Roman" w:cs="Times New Roman"/>
          <w:sz w:val="24"/>
          <w:szCs w:val="24"/>
        </w:rPr>
        <w:t xml:space="preserve">(4/5), 351–371. </w:t>
      </w:r>
      <w:r w:rsidRPr="00FB7035">
        <w:rPr>
          <w:rFonts w:ascii="Times New Roman" w:eastAsia="Times New Roman" w:hAnsi="Times New Roman" w:cs="Times New Roman"/>
          <w:sz w:val="24"/>
          <w:szCs w:val="24"/>
        </w:rPr>
        <w:tab/>
      </w:r>
      <w:hyperlink r:id="rId10" w:history="1">
        <w:r w:rsidRPr="00FB7035">
          <w:rPr>
            <w:rFonts w:ascii="Times New Roman" w:eastAsia="Times New Roman" w:hAnsi="Times New Roman" w:cs="Times New Roman"/>
            <w:color w:val="0000FF"/>
            <w:sz w:val="24"/>
            <w:szCs w:val="24"/>
            <w:u w:val="single"/>
          </w:rPr>
          <w:t>https://doi.org/10.1108/MAJ-09-2016-1447</w:t>
        </w:r>
      </w:hyperlink>
    </w:p>
    <w:p w:rsidR="00FB7035" w:rsidRPr="00FB7035" w:rsidRDefault="00FB7035" w:rsidP="00616D8C">
      <w:pPr>
        <w:spacing w:line="240" w:lineRule="auto"/>
        <w:rPr>
          <w:rFonts w:ascii="Times New Roman" w:hAnsi="Times New Roman" w:cs="Times New Roman"/>
          <w:b/>
          <w:sz w:val="24"/>
          <w:szCs w:val="24"/>
        </w:rPr>
      </w:pPr>
      <w:r w:rsidRPr="00FB7035">
        <w:rPr>
          <w:rFonts w:ascii="Times New Roman" w:hAnsi="Times New Roman" w:cs="Times New Roman"/>
          <w:color w:val="232323"/>
          <w:sz w:val="24"/>
          <w:szCs w:val="24"/>
          <w:shd w:val="clear" w:color="auto" w:fill="FFFFFF"/>
        </w:rPr>
        <w:t xml:space="preserve">Cohen, A. and </w:t>
      </w:r>
      <w:proofErr w:type="spellStart"/>
      <w:r w:rsidRPr="00FB7035">
        <w:rPr>
          <w:rFonts w:ascii="Times New Roman" w:hAnsi="Times New Roman" w:cs="Times New Roman"/>
          <w:color w:val="232323"/>
          <w:sz w:val="24"/>
          <w:szCs w:val="24"/>
          <w:shd w:val="clear" w:color="auto" w:fill="FFFFFF"/>
        </w:rPr>
        <w:t>Sayag</w:t>
      </w:r>
      <w:proofErr w:type="spellEnd"/>
      <w:r w:rsidRPr="00FB7035">
        <w:rPr>
          <w:rFonts w:ascii="Times New Roman" w:hAnsi="Times New Roman" w:cs="Times New Roman"/>
          <w:color w:val="232323"/>
          <w:sz w:val="24"/>
          <w:szCs w:val="24"/>
          <w:shd w:val="clear" w:color="auto" w:fill="FFFFFF"/>
        </w:rPr>
        <w:t xml:space="preserve">, G. (2010) </w:t>
      </w:r>
      <w:proofErr w:type="gramStart"/>
      <w:r w:rsidRPr="00FB7035">
        <w:rPr>
          <w:rFonts w:ascii="Times New Roman" w:hAnsi="Times New Roman" w:cs="Times New Roman"/>
          <w:color w:val="232323"/>
          <w:sz w:val="24"/>
          <w:szCs w:val="24"/>
          <w:shd w:val="clear" w:color="auto" w:fill="FFFFFF"/>
        </w:rPr>
        <w:t>The</w:t>
      </w:r>
      <w:proofErr w:type="gramEnd"/>
      <w:r w:rsidRPr="00FB7035">
        <w:rPr>
          <w:rFonts w:ascii="Times New Roman" w:hAnsi="Times New Roman" w:cs="Times New Roman"/>
          <w:color w:val="232323"/>
          <w:sz w:val="24"/>
          <w:szCs w:val="24"/>
          <w:shd w:val="clear" w:color="auto" w:fill="FFFFFF"/>
        </w:rPr>
        <w:t xml:space="preserve"> Effectiveness of Internal Auditing: An Empirical </w:t>
      </w:r>
      <w:r w:rsidRPr="00FB7035">
        <w:rPr>
          <w:rFonts w:ascii="Times New Roman" w:hAnsi="Times New Roman" w:cs="Times New Roman"/>
          <w:color w:val="232323"/>
          <w:sz w:val="24"/>
          <w:szCs w:val="24"/>
          <w:shd w:val="clear" w:color="auto" w:fill="FFFFFF"/>
        </w:rPr>
        <w:tab/>
        <w:t xml:space="preserve">Examination of Its Determinants in Israeli </w:t>
      </w:r>
      <w:proofErr w:type="spellStart"/>
      <w:r w:rsidRPr="00FB7035">
        <w:rPr>
          <w:rFonts w:ascii="Times New Roman" w:hAnsi="Times New Roman" w:cs="Times New Roman"/>
          <w:color w:val="232323"/>
          <w:sz w:val="24"/>
          <w:szCs w:val="24"/>
          <w:shd w:val="clear" w:color="auto" w:fill="FFFFFF"/>
        </w:rPr>
        <w:t>Organisations</w:t>
      </w:r>
      <w:proofErr w:type="spellEnd"/>
      <w:r w:rsidRPr="00FB7035">
        <w:rPr>
          <w:rFonts w:ascii="Times New Roman" w:hAnsi="Times New Roman" w:cs="Times New Roman"/>
          <w:color w:val="232323"/>
          <w:sz w:val="24"/>
          <w:szCs w:val="24"/>
          <w:shd w:val="clear" w:color="auto" w:fill="FFFFFF"/>
        </w:rPr>
        <w:t xml:space="preserve">. Australian Accounting </w:t>
      </w:r>
      <w:r w:rsidRPr="00FB7035">
        <w:rPr>
          <w:rFonts w:ascii="Times New Roman" w:hAnsi="Times New Roman" w:cs="Times New Roman"/>
          <w:color w:val="232323"/>
          <w:sz w:val="24"/>
          <w:szCs w:val="24"/>
          <w:shd w:val="clear" w:color="auto" w:fill="FFFFFF"/>
        </w:rPr>
        <w:tab/>
        <w:t>Review, 20, 296-307. https://doi.org/10.1111/j.1835-2561.2010.00092.x</w:t>
      </w:r>
    </w:p>
    <w:p w:rsidR="00FB7035" w:rsidRPr="00A81F00" w:rsidRDefault="00FB7035" w:rsidP="00616D8C">
      <w:pPr>
        <w:spacing w:before="100" w:beforeAutospacing="1" w:after="100" w:afterAutospacing="1" w:line="240" w:lineRule="auto"/>
        <w:rPr>
          <w:rFonts w:ascii="Times New Roman" w:eastAsia="Times New Roman" w:hAnsi="Times New Roman" w:cs="Times New Roman"/>
          <w:sz w:val="24"/>
          <w:szCs w:val="24"/>
        </w:rPr>
      </w:pPr>
      <w:r w:rsidRPr="00A81F00">
        <w:rPr>
          <w:rFonts w:ascii="Times New Roman" w:eastAsia="Times New Roman" w:hAnsi="Times New Roman" w:cs="Times New Roman"/>
          <w:sz w:val="24"/>
          <w:szCs w:val="24"/>
        </w:rPr>
        <w:t xml:space="preserve">Donaldson, L. (2001). </w:t>
      </w:r>
      <w:r w:rsidRPr="00FB7035">
        <w:rPr>
          <w:rFonts w:ascii="Times New Roman" w:eastAsia="Times New Roman" w:hAnsi="Times New Roman" w:cs="Times New Roman"/>
          <w:i/>
          <w:iCs/>
          <w:sz w:val="24"/>
          <w:szCs w:val="24"/>
        </w:rPr>
        <w:t>The contingency theory of organizations</w:t>
      </w:r>
      <w:r w:rsidRPr="00A81F00">
        <w:rPr>
          <w:rFonts w:ascii="Times New Roman" w:eastAsia="Times New Roman" w:hAnsi="Times New Roman" w:cs="Times New Roman"/>
          <w:sz w:val="24"/>
          <w:szCs w:val="24"/>
        </w:rPr>
        <w:t>. SAGE Publications.</w:t>
      </w:r>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t xml:space="preserve">Dreyer, M., </w:t>
      </w:r>
      <w:proofErr w:type="spellStart"/>
      <w:r w:rsidRPr="00FB7035">
        <w:rPr>
          <w:rFonts w:ascii="Times New Roman" w:hAnsi="Times New Roman" w:cs="Times New Roman"/>
          <w:sz w:val="24"/>
          <w:szCs w:val="24"/>
        </w:rPr>
        <w:t>Cloete</w:t>
      </w:r>
      <w:proofErr w:type="spellEnd"/>
      <w:r w:rsidRPr="00FB7035">
        <w:rPr>
          <w:rFonts w:ascii="Times New Roman" w:hAnsi="Times New Roman" w:cs="Times New Roman"/>
          <w:sz w:val="24"/>
          <w:szCs w:val="24"/>
        </w:rPr>
        <w:t xml:space="preserve">, F., &amp; van der </w:t>
      </w:r>
      <w:proofErr w:type="spellStart"/>
      <w:r w:rsidRPr="00FB7035">
        <w:rPr>
          <w:rFonts w:ascii="Times New Roman" w:hAnsi="Times New Roman" w:cs="Times New Roman"/>
          <w:sz w:val="24"/>
          <w:szCs w:val="24"/>
        </w:rPr>
        <w:t>Westhuizen</w:t>
      </w:r>
      <w:proofErr w:type="spellEnd"/>
      <w:r w:rsidRPr="00FB7035">
        <w:rPr>
          <w:rFonts w:ascii="Times New Roman" w:hAnsi="Times New Roman" w:cs="Times New Roman"/>
          <w:sz w:val="24"/>
          <w:szCs w:val="24"/>
        </w:rPr>
        <w:t xml:space="preserve">, D. (2022). Internal auditors and service delivery in </w:t>
      </w:r>
      <w:r w:rsidRPr="00FB7035">
        <w:rPr>
          <w:rFonts w:ascii="Times New Roman" w:hAnsi="Times New Roman" w:cs="Times New Roman"/>
          <w:sz w:val="24"/>
          <w:szCs w:val="24"/>
        </w:rPr>
        <w:tab/>
        <w:t>South African municipalities: Roles and challenges. </w:t>
      </w:r>
      <w:r w:rsidRPr="00FB7035">
        <w:rPr>
          <w:rFonts w:ascii="Times New Roman" w:hAnsi="Times New Roman" w:cs="Times New Roman"/>
          <w:i/>
          <w:iCs/>
          <w:sz w:val="24"/>
          <w:szCs w:val="24"/>
        </w:rPr>
        <w:t>Journal of Public Administration</w:t>
      </w:r>
      <w:r w:rsidRPr="00FB7035">
        <w:rPr>
          <w:rFonts w:ascii="Times New Roman" w:hAnsi="Times New Roman" w:cs="Times New Roman"/>
          <w:sz w:val="24"/>
          <w:szCs w:val="24"/>
        </w:rPr>
        <w:t xml:space="preserve">, </w:t>
      </w:r>
      <w:r w:rsidRPr="00FB7035">
        <w:rPr>
          <w:rFonts w:ascii="Times New Roman" w:hAnsi="Times New Roman" w:cs="Times New Roman"/>
          <w:sz w:val="24"/>
          <w:szCs w:val="24"/>
        </w:rPr>
        <w:tab/>
        <w:t>57(4), 597-619.</w:t>
      </w:r>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Egbunike</w:t>
      </w:r>
      <w:proofErr w:type="spellEnd"/>
      <w:r w:rsidRPr="00FB7035">
        <w:rPr>
          <w:rFonts w:ascii="Times New Roman" w:hAnsi="Times New Roman" w:cs="Times New Roman"/>
          <w:sz w:val="24"/>
          <w:szCs w:val="24"/>
        </w:rPr>
        <w:t xml:space="preserve">, F. C., &amp; </w:t>
      </w:r>
      <w:proofErr w:type="spellStart"/>
      <w:r w:rsidRPr="00FB7035">
        <w:rPr>
          <w:rFonts w:ascii="Times New Roman" w:hAnsi="Times New Roman" w:cs="Times New Roman"/>
          <w:sz w:val="24"/>
          <w:szCs w:val="24"/>
        </w:rPr>
        <w:t>Egbunike</w:t>
      </w:r>
      <w:proofErr w:type="spellEnd"/>
      <w:r w:rsidRPr="00FB7035">
        <w:rPr>
          <w:rFonts w:ascii="Times New Roman" w:hAnsi="Times New Roman" w:cs="Times New Roman"/>
          <w:sz w:val="24"/>
          <w:szCs w:val="24"/>
        </w:rPr>
        <w:t xml:space="preserve">, P. O. (2017). Challenges of internal audit function in Nigerian public </w:t>
      </w:r>
      <w:r w:rsidRPr="00FB7035">
        <w:rPr>
          <w:rFonts w:ascii="Times New Roman" w:hAnsi="Times New Roman" w:cs="Times New Roman"/>
          <w:sz w:val="24"/>
          <w:szCs w:val="24"/>
        </w:rPr>
        <w:tab/>
        <w:t>sector. </w:t>
      </w:r>
      <w:r w:rsidRPr="00FB7035">
        <w:rPr>
          <w:rFonts w:ascii="Times New Roman" w:hAnsi="Times New Roman" w:cs="Times New Roman"/>
          <w:i/>
          <w:iCs/>
          <w:sz w:val="24"/>
          <w:szCs w:val="24"/>
        </w:rPr>
        <w:t>International Journal of Advanced Research in Management and Social Sciences</w:t>
      </w:r>
      <w:r w:rsidRPr="00FB7035">
        <w:rPr>
          <w:rFonts w:ascii="Times New Roman" w:hAnsi="Times New Roman" w:cs="Times New Roman"/>
          <w:sz w:val="24"/>
          <w:szCs w:val="24"/>
        </w:rPr>
        <w:t xml:space="preserve">, </w:t>
      </w:r>
      <w:r w:rsidRPr="00FB7035">
        <w:rPr>
          <w:rFonts w:ascii="Times New Roman" w:hAnsi="Times New Roman" w:cs="Times New Roman"/>
          <w:sz w:val="24"/>
          <w:szCs w:val="24"/>
        </w:rPr>
        <w:tab/>
        <w:t>6(8), 47-58.</w:t>
      </w:r>
    </w:p>
    <w:p w:rsidR="00FB7035" w:rsidRPr="00A81F00" w:rsidRDefault="00FB7035" w:rsidP="00616D8C">
      <w:pPr>
        <w:spacing w:before="100" w:beforeAutospacing="1" w:after="100" w:afterAutospacing="1" w:line="240" w:lineRule="auto"/>
        <w:rPr>
          <w:rFonts w:ascii="Times New Roman" w:eastAsia="Times New Roman" w:hAnsi="Times New Roman" w:cs="Times New Roman"/>
          <w:sz w:val="24"/>
          <w:szCs w:val="24"/>
        </w:rPr>
      </w:pPr>
      <w:proofErr w:type="spellStart"/>
      <w:r w:rsidRPr="00A81F00">
        <w:rPr>
          <w:rFonts w:ascii="Times New Roman" w:eastAsia="Times New Roman" w:hAnsi="Times New Roman" w:cs="Times New Roman"/>
          <w:sz w:val="24"/>
          <w:szCs w:val="24"/>
        </w:rPr>
        <w:t>Endaya</w:t>
      </w:r>
      <w:proofErr w:type="spellEnd"/>
      <w:r w:rsidRPr="00A81F00">
        <w:rPr>
          <w:rFonts w:ascii="Times New Roman" w:eastAsia="Times New Roman" w:hAnsi="Times New Roman" w:cs="Times New Roman"/>
          <w:sz w:val="24"/>
          <w:szCs w:val="24"/>
        </w:rPr>
        <w:t xml:space="preserve">, K. A., &amp; </w:t>
      </w:r>
      <w:proofErr w:type="spellStart"/>
      <w:r w:rsidRPr="00A81F00">
        <w:rPr>
          <w:rFonts w:ascii="Times New Roman" w:eastAsia="Times New Roman" w:hAnsi="Times New Roman" w:cs="Times New Roman"/>
          <w:sz w:val="24"/>
          <w:szCs w:val="24"/>
        </w:rPr>
        <w:t>Hanefah</w:t>
      </w:r>
      <w:proofErr w:type="spellEnd"/>
      <w:r w:rsidRPr="00A81F00">
        <w:rPr>
          <w:rFonts w:ascii="Times New Roman" w:eastAsia="Times New Roman" w:hAnsi="Times New Roman" w:cs="Times New Roman"/>
          <w:sz w:val="24"/>
          <w:szCs w:val="24"/>
        </w:rPr>
        <w:t xml:space="preserve">, M. M. (2016). Internal auditor characteristics, internal audit </w:t>
      </w:r>
      <w:r w:rsidRPr="00FB7035">
        <w:rPr>
          <w:rFonts w:ascii="Times New Roman" w:eastAsia="Times New Roman" w:hAnsi="Times New Roman" w:cs="Times New Roman"/>
          <w:sz w:val="24"/>
          <w:szCs w:val="24"/>
        </w:rPr>
        <w:tab/>
      </w:r>
      <w:r w:rsidRPr="00A81F00">
        <w:rPr>
          <w:rFonts w:ascii="Times New Roman" w:eastAsia="Times New Roman" w:hAnsi="Times New Roman" w:cs="Times New Roman"/>
          <w:sz w:val="24"/>
          <w:szCs w:val="24"/>
        </w:rPr>
        <w:t xml:space="preserve">effectiveness, and moderating effect of senior management. </w:t>
      </w:r>
      <w:r w:rsidRPr="00FB7035">
        <w:rPr>
          <w:rFonts w:ascii="Times New Roman" w:eastAsia="Times New Roman" w:hAnsi="Times New Roman" w:cs="Times New Roman"/>
          <w:i/>
          <w:iCs/>
          <w:sz w:val="24"/>
          <w:szCs w:val="24"/>
        </w:rPr>
        <w:t xml:space="preserve">Journal of Economic and </w:t>
      </w:r>
      <w:r w:rsidRPr="00FB7035">
        <w:rPr>
          <w:rFonts w:ascii="Times New Roman" w:eastAsia="Times New Roman" w:hAnsi="Times New Roman" w:cs="Times New Roman"/>
          <w:i/>
          <w:iCs/>
          <w:sz w:val="24"/>
          <w:szCs w:val="24"/>
        </w:rPr>
        <w:tab/>
        <w:t>Administrative Sciences, 32</w:t>
      </w:r>
      <w:r w:rsidRPr="00A81F00">
        <w:rPr>
          <w:rFonts w:ascii="Times New Roman" w:eastAsia="Times New Roman" w:hAnsi="Times New Roman" w:cs="Times New Roman"/>
          <w:sz w:val="24"/>
          <w:szCs w:val="24"/>
        </w:rPr>
        <w:t xml:space="preserve">(2), 160–176. </w:t>
      </w:r>
      <w:hyperlink r:id="rId11" w:history="1">
        <w:r w:rsidRPr="00FB7035">
          <w:rPr>
            <w:rFonts w:ascii="Times New Roman" w:eastAsia="Times New Roman" w:hAnsi="Times New Roman" w:cs="Times New Roman"/>
            <w:color w:val="0000FF"/>
            <w:sz w:val="24"/>
            <w:szCs w:val="24"/>
            <w:u w:val="single"/>
          </w:rPr>
          <w:t>https://doi.org/10.1108/JEAS-07-2015-0023</w:t>
        </w:r>
      </w:hyperlink>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Ezeajughu</w:t>
      </w:r>
      <w:proofErr w:type="spellEnd"/>
      <w:r w:rsidRPr="00FB7035">
        <w:rPr>
          <w:rFonts w:ascii="Times New Roman" w:hAnsi="Times New Roman" w:cs="Times New Roman"/>
          <w:sz w:val="24"/>
          <w:szCs w:val="24"/>
        </w:rPr>
        <w:t xml:space="preserve">, C. (2021). Accountability and Transparency Concerns in the Nigerian Public Sector. </w:t>
      </w:r>
      <w:r w:rsidRPr="00FB7035">
        <w:rPr>
          <w:rFonts w:ascii="Times New Roman" w:hAnsi="Times New Roman" w:cs="Times New Roman"/>
          <w:sz w:val="24"/>
          <w:szCs w:val="24"/>
        </w:rPr>
        <w:tab/>
        <w:t>Review of Social Science and Public Policy, 3(1), 45-60.</w:t>
      </w:r>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lastRenderedPageBreak/>
        <w:t xml:space="preserve">Ibrahim, A., et al. (2022). Impact of Financial Transparency on Service Delivery in Nigerian </w:t>
      </w:r>
      <w:r w:rsidRPr="00FB7035">
        <w:rPr>
          <w:rFonts w:ascii="Times New Roman" w:hAnsi="Times New Roman" w:cs="Times New Roman"/>
          <w:sz w:val="24"/>
          <w:szCs w:val="24"/>
        </w:rPr>
        <w:tab/>
        <w:t>Government Enterprises. Journal of Public Administration, 34(1), 67-84.</w:t>
      </w:r>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t>Institute of Internal Auditors (2012). </w:t>
      </w:r>
      <w:r w:rsidRPr="00FB7035">
        <w:rPr>
          <w:rFonts w:ascii="Times New Roman" w:hAnsi="Times New Roman" w:cs="Times New Roman"/>
          <w:i/>
          <w:iCs/>
          <w:sz w:val="24"/>
          <w:szCs w:val="24"/>
        </w:rPr>
        <w:t xml:space="preserve">International Standards for the Professional Practice of </w:t>
      </w:r>
      <w:r w:rsidRPr="00FB7035">
        <w:rPr>
          <w:rFonts w:ascii="Times New Roman" w:hAnsi="Times New Roman" w:cs="Times New Roman"/>
          <w:i/>
          <w:iCs/>
          <w:sz w:val="24"/>
          <w:szCs w:val="24"/>
        </w:rPr>
        <w:tab/>
        <w:t>Internal Auditing</w:t>
      </w:r>
      <w:r w:rsidRPr="00FB7035">
        <w:rPr>
          <w:rFonts w:ascii="Times New Roman" w:hAnsi="Times New Roman" w:cs="Times New Roman"/>
          <w:sz w:val="24"/>
          <w:szCs w:val="24"/>
        </w:rPr>
        <w:t>. IIA Global.</w:t>
      </w:r>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t>Institute of Internal Auditors. (2017). </w:t>
      </w:r>
      <w:r w:rsidRPr="00FB7035">
        <w:rPr>
          <w:rFonts w:ascii="Times New Roman" w:hAnsi="Times New Roman" w:cs="Times New Roman"/>
          <w:i/>
          <w:iCs/>
          <w:sz w:val="24"/>
          <w:szCs w:val="24"/>
        </w:rPr>
        <w:t>International Professional Practices Framework (IPPF)</w:t>
      </w:r>
      <w:r w:rsidRPr="00FB7035">
        <w:rPr>
          <w:rFonts w:ascii="Times New Roman" w:hAnsi="Times New Roman" w:cs="Times New Roman"/>
          <w:sz w:val="24"/>
          <w:szCs w:val="24"/>
        </w:rPr>
        <w:t xml:space="preserve">. </w:t>
      </w:r>
      <w:r w:rsidRPr="00FB7035">
        <w:rPr>
          <w:rFonts w:ascii="Times New Roman" w:hAnsi="Times New Roman" w:cs="Times New Roman"/>
          <w:sz w:val="24"/>
          <w:szCs w:val="24"/>
        </w:rPr>
        <w:tab/>
        <w:t>IIA Global.</w:t>
      </w:r>
    </w:p>
    <w:p w:rsidR="00FB7035" w:rsidRPr="00FB7035" w:rsidRDefault="00FB7035" w:rsidP="00616D8C">
      <w:pPr>
        <w:spacing w:line="240" w:lineRule="auto"/>
        <w:rPr>
          <w:rFonts w:ascii="Times New Roman" w:hAnsi="Times New Roman" w:cs="Times New Roman"/>
          <w:b/>
          <w:sz w:val="24"/>
          <w:szCs w:val="24"/>
        </w:rPr>
      </w:pPr>
      <w:r w:rsidRPr="00FB7035">
        <w:rPr>
          <w:rFonts w:ascii="Times New Roman" w:hAnsi="Times New Roman" w:cs="Times New Roman"/>
          <w:sz w:val="24"/>
          <w:szCs w:val="24"/>
        </w:rPr>
        <w:t>International Public Sector Accounting Standards Board. (2020). </w:t>
      </w:r>
      <w:r w:rsidRPr="00FB7035">
        <w:rPr>
          <w:rFonts w:ascii="Times New Roman" w:hAnsi="Times New Roman" w:cs="Times New Roman"/>
          <w:i/>
          <w:iCs/>
          <w:sz w:val="24"/>
          <w:szCs w:val="24"/>
        </w:rPr>
        <w:t xml:space="preserve">Public Sector Internal Audit </w:t>
      </w:r>
      <w:r w:rsidRPr="00FB7035">
        <w:rPr>
          <w:rFonts w:ascii="Times New Roman" w:hAnsi="Times New Roman" w:cs="Times New Roman"/>
          <w:i/>
          <w:iCs/>
          <w:sz w:val="24"/>
          <w:szCs w:val="24"/>
        </w:rPr>
        <w:tab/>
        <w:t>Standards</w:t>
      </w:r>
      <w:r w:rsidRPr="00FB7035">
        <w:rPr>
          <w:rFonts w:ascii="Times New Roman" w:hAnsi="Times New Roman" w:cs="Times New Roman"/>
          <w:sz w:val="24"/>
          <w:szCs w:val="24"/>
        </w:rPr>
        <w:t>. IPSASB</w:t>
      </w:r>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Kabubo-Mariara</w:t>
      </w:r>
      <w:proofErr w:type="spellEnd"/>
      <w:r w:rsidRPr="00FB7035">
        <w:rPr>
          <w:rFonts w:ascii="Times New Roman" w:hAnsi="Times New Roman" w:cs="Times New Roman"/>
          <w:sz w:val="24"/>
          <w:szCs w:val="24"/>
        </w:rPr>
        <w:t xml:space="preserve">, J., &amp; </w:t>
      </w:r>
      <w:proofErr w:type="spellStart"/>
      <w:r w:rsidRPr="00FB7035">
        <w:rPr>
          <w:rFonts w:ascii="Times New Roman" w:hAnsi="Times New Roman" w:cs="Times New Roman"/>
          <w:sz w:val="24"/>
          <w:szCs w:val="24"/>
        </w:rPr>
        <w:t>Mwabu</w:t>
      </w:r>
      <w:proofErr w:type="spellEnd"/>
      <w:r w:rsidRPr="00FB7035">
        <w:rPr>
          <w:rFonts w:ascii="Times New Roman" w:hAnsi="Times New Roman" w:cs="Times New Roman"/>
          <w:sz w:val="24"/>
          <w:szCs w:val="24"/>
        </w:rPr>
        <w:t xml:space="preserve">, G. (2020). Financial audits and service delivery in Kenyan </w:t>
      </w:r>
      <w:r w:rsidRPr="00FB7035">
        <w:rPr>
          <w:rFonts w:ascii="Times New Roman" w:hAnsi="Times New Roman" w:cs="Times New Roman"/>
          <w:sz w:val="24"/>
          <w:szCs w:val="24"/>
        </w:rPr>
        <w:tab/>
        <w:t>counties. </w:t>
      </w:r>
      <w:r w:rsidRPr="00FB7035">
        <w:rPr>
          <w:rFonts w:ascii="Times New Roman" w:hAnsi="Times New Roman" w:cs="Times New Roman"/>
          <w:i/>
          <w:iCs/>
          <w:sz w:val="24"/>
          <w:szCs w:val="24"/>
        </w:rPr>
        <w:t>African Journal of Public Finance and Management</w:t>
      </w:r>
      <w:r w:rsidRPr="00FB7035">
        <w:rPr>
          <w:rFonts w:ascii="Times New Roman" w:hAnsi="Times New Roman" w:cs="Times New Roman"/>
          <w:sz w:val="24"/>
          <w:szCs w:val="24"/>
        </w:rPr>
        <w:t>, 32(1), 11-29.</w:t>
      </w:r>
    </w:p>
    <w:p w:rsidR="00FB7035" w:rsidRPr="00A81F00" w:rsidRDefault="00FB7035" w:rsidP="00616D8C">
      <w:pPr>
        <w:spacing w:before="100" w:beforeAutospacing="1" w:after="100" w:afterAutospacing="1" w:line="240" w:lineRule="auto"/>
        <w:rPr>
          <w:rFonts w:ascii="Times New Roman" w:eastAsia="Times New Roman" w:hAnsi="Times New Roman" w:cs="Times New Roman"/>
          <w:sz w:val="24"/>
          <w:szCs w:val="24"/>
        </w:rPr>
      </w:pPr>
      <w:r w:rsidRPr="00A81F00">
        <w:rPr>
          <w:rFonts w:ascii="Times New Roman" w:eastAsia="Times New Roman" w:hAnsi="Times New Roman" w:cs="Times New Roman"/>
          <w:sz w:val="24"/>
          <w:szCs w:val="24"/>
        </w:rPr>
        <w:t xml:space="preserve">Lawrence, P. R., &amp; </w:t>
      </w:r>
      <w:proofErr w:type="spellStart"/>
      <w:r w:rsidRPr="00A81F00">
        <w:rPr>
          <w:rFonts w:ascii="Times New Roman" w:eastAsia="Times New Roman" w:hAnsi="Times New Roman" w:cs="Times New Roman"/>
          <w:sz w:val="24"/>
          <w:szCs w:val="24"/>
        </w:rPr>
        <w:t>Lorsch</w:t>
      </w:r>
      <w:proofErr w:type="spellEnd"/>
      <w:r w:rsidRPr="00A81F00">
        <w:rPr>
          <w:rFonts w:ascii="Times New Roman" w:eastAsia="Times New Roman" w:hAnsi="Times New Roman" w:cs="Times New Roman"/>
          <w:sz w:val="24"/>
          <w:szCs w:val="24"/>
        </w:rPr>
        <w:t xml:space="preserve">, J. W. (1967). </w:t>
      </w:r>
      <w:r w:rsidRPr="00FB7035">
        <w:rPr>
          <w:rFonts w:ascii="Times New Roman" w:eastAsia="Times New Roman" w:hAnsi="Times New Roman" w:cs="Times New Roman"/>
          <w:i/>
          <w:iCs/>
          <w:sz w:val="24"/>
          <w:szCs w:val="24"/>
        </w:rPr>
        <w:t xml:space="preserve">Organization and environment: Managing </w:t>
      </w:r>
      <w:r w:rsidRPr="00FB7035">
        <w:rPr>
          <w:rFonts w:ascii="Times New Roman" w:eastAsia="Times New Roman" w:hAnsi="Times New Roman" w:cs="Times New Roman"/>
          <w:i/>
          <w:iCs/>
          <w:sz w:val="24"/>
          <w:szCs w:val="24"/>
        </w:rPr>
        <w:tab/>
        <w:t>differentiation and integration</w:t>
      </w:r>
      <w:r w:rsidRPr="00A81F00">
        <w:rPr>
          <w:rFonts w:ascii="Times New Roman" w:eastAsia="Times New Roman" w:hAnsi="Times New Roman" w:cs="Times New Roman"/>
          <w:sz w:val="24"/>
          <w:szCs w:val="24"/>
        </w:rPr>
        <w:t>. Harvard Business School Press.</w:t>
      </w:r>
    </w:p>
    <w:p w:rsidR="00FB7035" w:rsidRPr="00FB7035" w:rsidRDefault="00FB7035" w:rsidP="00616D8C">
      <w:pPr>
        <w:spacing w:line="240" w:lineRule="auto"/>
        <w:rPr>
          <w:rFonts w:ascii="Times New Roman" w:hAnsi="Times New Roman" w:cs="Times New Roman"/>
          <w:color w:val="333333"/>
          <w:sz w:val="24"/>
          <w:szCs w:val="24"/>
          <w:shd w:val="clear" w:color="auto" w:fill="FFFFFF"/>
        </w:rPr>
      </w:pPr>
      <w:r w:rsidRPr="00FB7035">
        <w:rPr>
          <w:rFonts w:ascii="Times New Roman" w:hAnsi="Times New Roman" w:cs="Times New Roman"/>
          <w:color w:val="333333"/>
          <w:sz w:val="24"/>
          <w:szCs w:val="24"/>
          <w:shd w:val="clear" w:color="auto" w:fill="FFFFFF"/>
        </w:rPr>
        <w:t xml:space="preserve">Mahmoud, H. S. (2024). The Effect of Both External Auditor's Experience and Specialist on </w:t>
      </w:r>
      <w:r w:rsidR="00616D8C">
        <w:rPr>
          <w:rFonts w:ascii="Times New Roman" w:hAnsi="Times New Roman" w:cs="Times New Roman"/>
          <w:color w:val="333333"/>
          <w:sz w:val="24"/>
          <w:szCs w:val="24"/>
          <w:shd w:val="clear" w:color="auto" w:fill="FFFFFF"/>
        </w:rPr>
        <w:tab/>
      </w:r>
      <w:r w:rsidRPr="00FB7035">
        <w:rPr>
          <w:rFonts w:ascii="Times New Roman" w:hAnsi="Times New Roman" w:cs="Times New Roman"/>
          <w:color w:val="333333"/>
          <w:sz w:val="24"/>
          <w:szCs w:val="24"/>
          <w:shd w:val="clear" w:color="auto" w:fill="FFFFFF"/>
        </w:rPr>
        <w:t xml:space="preserve">Audit Repot </w:t>
      </w:r>
      <w:r w:rsidRPr="00FB7035">
        <w:rPr>
          <w:rFonts w:ascii="Times New Roman" w:hAnsi="Times New Roman" w:cs="Times New Roman"/>
          <w:color w:val="333333"/>
          <w:sz w:val="24"/>
          <w:szCs w:val="24"/>
          <w:shd w:val="clear" w:color="auto" w:fill="FFFFFF"/>
        </w:rPr>
        <w:tab/>
        <w:t xml:space="preserve">Delay in the Light of Governance, Competition, and Auditor Tenure as </w:t>
      </w:r>
      <w:r w:rsidR="00616D8C">
        <w:rPr>
          <w:rFonts w:ascii="Times New Roman" w:hAnsi="Times New Roman" w:cs="Times New Roman"/>
          <w:color w:val="333333"/>
          <w:sz w:val="24"/>
          <w:szCs w:val="24"/>
          <w:shd w:val="clear" w:color="auto" w:fill="FFFFFF"/>
        </w:rPr>
        <w:tab/>
      </w:r>
      <w:r w:rsidRPr="00FB7035">
        <w:rPr>
          <w:rFonts w:ascii="Times New Roman" w:hAnsi="Times New Roman" w:cs="Times New Roman"/>
          <w:color w:val="333333"/>
          <w:sz w:val="24"/>
          <w:szCs w:val="24"/>
          <w:shd w:val="clear" w:color="auto" w:fill="FFFFFF"/>
        </w:rPr>
        <w:t xml:space="preserve">Modified Variables An </w:t>
      </w:r>
      <w:r w:rsidRPr="00FB7035">
        <w:rPr>
          <w:rFonts w:ascii="Times New Roman" w:hAnsi="Times New Roman" w:cs="Times New Roman"/>
          <w:color w:val="333333"/>
          <w:sz w:val="24"/>
          <w:szCs w:val="24"/>
          <w:shd w:val="clear" w:color="auto" w:fill="FFFFFF"/>
        </w:rPr>
        <w:tab/>
        <w:t xml:space="preserve">Applied Study from Non-Financial Registered Companies </w:t>
      </w:r>
      <w:r w:rsidR="00616D8C">
        <w:rPr>
          <w:rFonts w:ascii="Times New Roman" w:hAnsi="Times New Roman" w:cs="Times New Roman"/>
          <w:color w:val="333333"/>
          <w:sz w:val="24"/>
          <w:szCs w:val="24"/>
          <w:shd w:val="clear" w:color="auto" w:fill="FFFFFF"/>
        </w:rPr>
        <w:tab/>
      </w:r>
      <w:r w:rsidRPr="00FB7035">
        <w:rPr>
          <w:rFonts w:ascii="Times New Roman" w:hAnsi="Times New Roman" w:cs="Times New Roman"/>
          <w:color w:val="333333"/>
          <w:sz w:val="24"/>
          <w:szCs w:val="24"/>
          <w:shd w:val="clear" w:color="auto" w:fill="FFFFFF"/>
        </w:rPr>
        <w:t>in Egyptian Stock Exchange. </w:t>
      </w:r>
      <w:r w:rsidRPr="00FB7035">
        <w:rPr>
          <w:rStyle w:val="Emphasis"/>
          <w:rFonts w:ascii="Times New Roman" w:hAnsi="Times New Roman" w:cs="Times New Roman"/>
          <w:color w:val="333333"/>
          <w:sz w:val="24"/>
          <w:szCs w:val="24"/>
          <w:shd w:val="clear" w:color="auto" w:fill="FFFFFF"/>
        </w:rPr>
        <w:t xml:space="preserve">Alexandria </w:t>
      </w:r>
      <w:r w:rsidRPr="00FB7035">
        <w:rPr>
          <w:rStyle w:val="Emphasis"/>
          <w:rFonts w:ascii="Times New Roman" w:hAnsi="Times New Roman" w:cs="Times New Roman"/>
          <w:color w:val="333333"/>
          <w:sz w:val="24"/>
          <w:szCs w:val="24"/>
          <w:shd w:val="clear" w:color="auto" w:fill="FFFFFF"/>
        </w:rPr>
        <w:tab/>
        <w:t>Journal of Accounting Research</w:t>
      </w:r>
      <w:r w:rsidRPr="00FB7035">
        <w:rPr>
          <w:rFonts w:ascii="Times New Roman" w:hAnsi="Times New Roman" w:cs="Times New Roman"/>
          <w:color w:val="333333"/>
          <w:sz w:val="24"/>
          <w:szCs w:val="24"/>
          <w:shd w:val="clear" w:color="auto" w:fill="FFFFFF"/>
        </w:rPr>
        <w:t>, </w:t>
      </w:r>
      <w:r w:rsidRPr="00FB7035">
        <w:rPr>
          <w:rStyle w:val="Emphasis"/>
          <w:rFonts w:ascii="Times New Roman" w:hAnsi="Times New Roman" w:cs="Times New Roman"/>
          <w:color w:val="333333"/>
          <w:sz w:val="24"/>
          <w:szCs w:val="24"/>
          <w:shd w:val="clear" w:color="auto" w:fill="FFFFFF"/>
        </w:rPr>
        <w:t>8</w:t>
      </w:r>
      <w:r w:rsidRPr="00FB7035">
        <w:rPr>
          <w:rFonts w:ascii="Times New Roman" w:hAnsi="Times New Roman" w:cs="Times New Roman"/>
          <w:color w:val="333333"/>
          <w:sz w:val="24"/>
          <w:szCs w:val="24"/>
          <w:shd w:val="clear" w:color="auto" w:fill="FFFFFF"/>
        </w:rPr>
        <w:t>(2), 215-</w:t>
      </w:r>
      <w:r w:rsidR="00616D8C">
        <w:rPr>
          <w:rFonts w:ascii="Times New Roman" w:hAnsi="Times New Roman" w:cs="Times New Roman"/>
          <w:color w:val="333333"/>
          <w:sz w:val="24"/>
          <w:szCs w:val="24"/>
          <w:shd w:val="clear" w:color="auto" w:fill="FFFFFF"/>
        </w:rPr>
        <w:tab/>
      </w:r>
      <w:r w:rsidRPr="00FB7035">
        <w:rPr>
          <w:rFonts w:ascii="Times New Roman" w:hAnsi="Times New Roman" w:cs="Times New Roman"/>
          <w:color w:val="333333"/>
          <w:sz w:val="24"/>
          <w:szCs w:val="24"/>
          <w:shd w:val="clear" w:color="auto" w:fill="FFFFFF"/>
        </w:rPr>
        <w:t xml:space="preserve">290. </w:t>
      </w:r>
      <w:proofErr w:type="spellStart"/>
      <w:proofErr w:type="gramStart"/>
      <w:r w:rsidRPr="00FB7035">
        <w:rPr>
          <w:rFonts w:ascii="Times New Roman" w:hAnsi="Times New Roman" w:cs="Times New Roman"/>
          <w:color w:val="333333"/>
          <w:sz w:val="24"/>
          <w:szCs w:val="24"/>
          <w:shd w:val="clear" w:color="auto" w:fill="FFFFFF"/>
        </w:rPr>
        <w:t>doi</w:t>
      </w:r>
      <w:proofErr w:type="spellEnd"/>
      <w:proofErr w:type="gramEnd"/>
      <w:r w:rsidRPr="00FB7035">
        <w:rPr>
          <w:rFonts w:ascii="Times New Roman" w:hAnsi="Times New Roman" w:cs="Times New Roman"/>
          <w:color w:val="333333"/>
          <w:sz w:val="24"/>
          <w:szCs w:val="24"/>
          <w:shd w:val="clear" w:color="auto" w:fill="FFFFFF"/>
        </w:rPr>
        <w:t>: 10.21608/aljalexu.2024.371038.</w:t>
      </w:r>
    </w:p>
    <w:p w:rsidR="00FB7035" w:rsidRPr="00A81F00" w:rsidRDefault="00FB7035" w:rsidP="00616D8C">
      <w:pPr>
        <w:spacing w:before="100" w:beforeAutospacing="1" w:after="100" w:afterAutospacing="1" w:line="240" w:lineRule="auto"/>
        <w:rPr>
          <w:rFonts w:ascii="Times New Roman" w:eastAsia="Times New Roman" w:hAnsi="Times New Roman" w:cs="Times New Roman"/>
          <w:sz w:val="24"/>
          <w:szCs w:val="24"/>
        </w:rPr>
      </w:pPr>
      <w:proofErr w:type="spellStart"/>
      <w:r w:rsidRPr="00A81F00">
        <w:rPr>
          <w:rFonts w:ascii="Times New Roman" w:eastAsia="Times New Roman" w:hAnsi="Times New Roman" w:cs="Times New Roman"/>
          <w:sz w:val="24"/>
          <w:szCs w:val="24"/>
        </w:rPr>
        <w:t>Mihret</w:t>
      </w:r>
      <w:proofErr w:type="spellEnd"/>
      <w:r w:rsidRPr="00A81F00">
        <w:rPr>
          <w:rFonts w:ascii="Times New Roman" w:eastAsia="Times New Roman" w:hAnsi="Times New Roman" w:cs="Times New Roman"/>
          <w:sz w:val="24"/>
          <w:szCs w:val="24"/>
        </w:rPr>
        <w:t xml:space="preserve">, D. G., &amp; </w:t>
      </w:r>
      <w:proofErr w:type="spellStart"/>
      <w:r w:rsidRPr="00A81F00">
        <w:rPr>
          <w:rFonts w:ascii="Times New Roman" w:eastAsia="Times New Roman" w:hAnsi="Times New Roman" w:cs="Times New Roman"/>
          <w:sz w:val="24"/>
          <w:szCs w:val="24"/>
        </w:rPr>
        <w:t>Yismaw</w:t>
      </w:r>
      <w:proofErr w:type="spellEnd"/>
      <w:r w:rsidRPr="00A81F00">
        <w:rPr>
          <w:rFonts w:ascii="Times New Roman" w:eastAsia="Times New Roman" w:hAnsi="Times New Roman" w:cs="Times New Roman"/>
          <w:sz w:val="24"/>
          <w:szCs w:val="24"/>
        </w:rPr>
        <w:t xml:space="preserve">, A. W. (2007). Internal audit effectiveness: An Ethiopian public sector </w:t>
      </w:r>
      <w:r w:rsidRPr="00FB7035">
        <w:rPr>
          <w:rFonts w:ascii="Times New Roman" w:eastAsia="Times New Roman" w:hAnsi="Times New Roman" w:cs="Times New Roman"/>
          <w:sz w:val="24"/>
          <w:szCs w:val="24"/>
        </w:rPr>
        <w:tab/>
      </w:r>
      <w:r w:rsidRPr="00A81F00">
        <w:rPr>
          <w:rFonts w:ascii="Times New Roman" w:eastAsia="Times New Roman" w:hAnsi="Times New Roman" w:cs="Times New Roman"/>
          <w:sz w:val="24"/>
          <w:szCs w:val="24"/>
        </w:rPr>
        <w:t xml:space="preserve">case study. </w:t>
      </w:r>
      <w:r w:rsidRPr="00FB7035">
        <w:rPr>
          <w:rFonts w:ascii="Times New Roman" w:eastAsia="Times New Roman" w:hAnsi="Times New Roman" w:cs="Times New Roman"/>
          <w:i/>
          <w:iCs/>
          <w:sz w:val="24"/>
          <w:szCs w:val="24"/>
        </w:rPr>
        <w:t>Managerial Auditing Journal, 22</w:t>
      </w:r>
      <w:r w:rsidRPr="00A81F00">
        <w:rPr>
          <w:rFonts w:ascii="Times New Roman" w:eastAsia="Times New Roman" w:hAnsi="Times New Roman" w:cs="Times New Roman"/>
          <w:sz w:val="24"/>
          <w:szCs w:val="24"/>
        </w:rPr>
        <w:t xml:space="preserve">(5), 470–484. </w:t>
      </w:r>
      <w:r w:rsidRPr="00FB7035">
        <w:rPr>
          <w:rFonts w:ascii="Times New Roman" w:eastAsia="Times New Roman" w:hAnsi="Times New Roman" w:cs="Times New Roman"/>
          <w:sz w:val="24"/>
          <w:szCs w:val="24"/>
        </w:rPr>
        <w:tab/>
      </w:r>
      <w:hyperlink r:id="rId12" w:history="1">
        <w:r w:rsidRPr="00FB7035">
          <w:rPr>
            <w:rFonts w:ascii="Times New Roman" w:eastAsia="Times New Roman" w:hAnsi="Times New Roman" w:cs="Times New Roman"/>
            <w:color w:val="0000FF"/>
            <w:sz w:val="24"/>
            <w:szCs w:val="24"/>
            <w:u w:val="single"/>
          </w:rPr>
          <w:t>https://doi.org/10.1108/02686900710750757</w:t>
        </w:r>
      </w:hyperlink>
    </w:p>
    <w:p w:rsidR="00FB7035" w:rsidRPr="00FB7035" w:rsidRDefault="00FB7035" w:rsidP="00616D8C">
      <w:pPr>
        <w:pStyle w:val="PlainText"/>
        <w:rPr>
          <w:rFonts w:ascii="Times New Roman" w:hAnsi="Times New Roman" w:cs="Times New Roman"/>
          <w:sz w:val="24"/>
          <w:szCs w:val="24"/>
        </w:rPr>
      </w:pPr>
      <w:proofErr w:type="spellStart"/>
      <w:r w:rsidRPr="00FB7035">
        <w:rPr>
          <w:rFonts w:ascii="Times New Roman" w:hAnsi="Times New Roman" w:cs="Times New Roman"/>
          <w:sz w:val="24"/>
          <w:szCs w:val="24"/>
        </w:rPr>
        <w:t>Mildawani</w:t>
      </w:r>
      <w:proofErr w:type="spellEnd"/>
      <w:r w:rsidRPr="00FB7035">
        <w:rPr>
          <w:rFonts w:ascii="Times New Roman" w:hAnsi="Times New Roman" w:cs="Times New Roman"/>
          <w:sz w:val="24"/>
          <w:szCs w:val="24"/>
        </w:rPr>
        <w:t xml:space="preserve">, Mm. (2023). Competence and Motivation (Auditor) on Audit </w:t>
      </w:r>
      <w:r w:rsidRPr="00FB7035">
        <w:rPr>
          <w:rFonts w:ascii="Times New Roman" w:hAnsi="Times New Roman" w:cs="Times New Roman"/>
          <w:sz w:val="24"/>
          <w:szCs w:val="24"/>
        </w:rPr>
        <w:tab/>
        <w:t xml:space="preserve">Quality. </w:t>
      </w:r>
      <w:proofErr w:type="spellStart"/>
      <w:proofErr w:type="gramStart"/>
      <w:r w:rsidRPr="00FB7035">
        <w:rPr>
          <w:rFonts w:ascii="Times New Roman" w:hAnsi="Times New Roman" w:cs="Times New Roman"/>
          <w:sz w:val="24"/>
          <w:szCs w:val="24"/>
        </w:rPr>
        <w:t>Atestasi</w:t>
      </w:r>
      <w:proofErr w:type="spellEnd"/>
      <w:r w:rsidRPr="00FB7035">
        <w:rPr>
          <w:rFonts w:ascii="Times New Roman" w:hAnsi="Times New Roman" w:cs="Times New Roman"/>
          <w:sz w:val="24"/>
          <w:szCs w:val="24"/>
        </w:rPr>
        <w:t xml:space="preserve"> :</w:t>
      </w:r>
      <w:proofErr w:type="gramEnd"/>
      <w:r w:rsidRPr="00FB7035">
        <w:rPr>
          <w:rFonts w:ascii="Times New Roman" w:hAnsi="Times New Roman" w:cs="Times New Roman"/>
          <w:sz w:val="24"/>
          <w:szCs w:val="24"/>
        </w:rPr>
        <w:t xml:space="preserve"> </w:t>
      </w:r>
      <w:r w:rsidR="00616D8C">
        <w:rPr>
          <w:rFonts w:ascii="Times New Roman" w:hAnsi="Times New Roman" w:cs="Times New Roman"/>
          <w:sz w:val="24"/>
          <w:szCs w:val="24"/>
        </w:rPr>
        <w:tab/>
      </w:r>
      <w:proofErr w:type="spellStart"/>
      <w:r w:rsidRPr="00FB7035">
        <w:rPr>
          <w:rFonts w:ascii="Times New Roman" w:hAnsi="Times New Roman" w:cs="Times New Roman"/>
          <w:sz w:val="24"/>
          <w:szCs w:val="24"/>
        </w:rPr>
        <w:t>Jurnal</w:t>
      </w:r>
      <w:proofErr w:type="spellEnd"/>
      <w:r w:rsidRPr="00FB7035">
        <w:rPr>
          <w:rFonts w:ascii="Times New Roman" w:hAnsi="Times New Roman" w:cs="Times New Roman"/>
          <w:sz w:val="24"/>
          <w:szCs w:val="24"/>
        </w:rPr>
        <w:t xml:space="preserve"> </w:t>
      </w:r>
      <w:proofErr w:type="spellStart"/>
      <w:r w:rsidRPr="00FB7035">
        <w:rPr>
          <w:rFonts w:ascii="Times New Roman" w:hAnsi="Times New Roman" w:cs="Times New Roman"/>
          <w:sz w:val="24"/>
          <w:szCs w:val="24"/>
        </w:rPr>
        <w:t>Ilmiah</w:t>
      </w:r>
      <w:proofErr w:type="spellEnd"/>
      <w:r w:rsidRPr="00FB7035">
        <w:rPr>
          <w:rFonts w:ascii="Times New Roman" w:hAnsi="Times New Roman" w:cs="Times New Roman"/>
          <w:sz w:val="24"/>
          <w:szCs w:val="24"/>
        </w:rPr>
        <w:t xml:space="preserve"> </w:t>
      </w:r>
      <w:proofErr w:type="spellStart"/>
      <w:r w:rsidRPr="00FB7035">
        <w:rPr>
          <w:rFonts w:ascii="Times New Roman" w:hAnsi="Times New Roman" w:cs="Times New Roman"/>
          <w:sz w:val="24"/>
          <w:szCs w:val="24"/>
        </w:rPr>
        <w:t>Akuntansi</w:t>
      </w:r>
      <w:proofErr w:type="spellEnd"/>
      <w:r w:rsidRPr="00FB7035">
        <w:rPr>
          <w:rFonts w:ascii="Times New Roman" w:hAnsi="Times New Roman" w:cs="Times New Roman"/>
          <w:sz w:val="24"/>
          <w:szCs w:val="24"/>
        </w:rPr>
        <w:t xml:space="preserve">. 6. 251-262. </w:t>
      </w:r>
      <w:r w:rsidRPr="00FB7035">
        <w:rPr>
          <w:rFonts w:ascii="Times New Roman" w:hAnsi="Times New Roman" w:cs="Times New Roman"/>
          <w:sz w:val="24"/>
          <w:szCs w:val="24"/>
        </w:rPr>
        <w:tab/>
        <w:t xml:space="preserve">10.57178/atestasi.v6i1.679. </w:t>
      </w:r>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Mutua</w:t>
      </w:r>
      <w:proofErr w:type="spellEnd"/>
      <w:r w:rsidRPr="00FB7035">
        <w:rPr>
          <w:rFonts w:ascii="Times New Roman" w:hAnsi="Times New Roman" w:cs="Times New Roman"/>
          <w:sz w:val="24"/>
          <w:szCs w:val="24"/>
        </w:rPr>
        <w:t xml:space="preserve">, J., &amp; </w:t>
      </w:r>
      <w:proofErr w:type="spellStart"/>
      <w:r w:rsidRPr="00FB7035">
        <w:rPr>
          <w:rFonts w:ascii="Times New Roman" w:hAnsi="Times New Roman" w:cs="Times New Roman"/>
          <w:sz w:val="24"/>
          <w:szCs w:val="24"/>
        </w:rPr>
        <w:t>Kabiru</w:t>
      </w:r>
      <w:proofErr w:type="spellEnd"/>
      <w:r w:rsidRPr="00FB7035">
        <w:rPr>
          <w:rFonts w:ascii="Times New Roman" w:hAnsi="Times New Roman" w:cs="Times New Roman"/>
          <w:sz w:val="24"/>
          <w:szCs w:val="24"/>
        </w:rPr>
        <w:t xml:space="preserve">, R. (2016). Internal audit quality and service delivery in Kenyan public </w:t>
      </w:r>
      <w:r w:rsidRPr="00FB7035">
        <w:rPr>
          <w:rFonts w:ascii="Times New Roman" w:hAnsi="Times New Roman" w:cs="Times New Roman"/>
          <w:sz w:val="24"/>
          <w:szCs w:val="24"/>
        </w:rPr>
        <w:tab/>
        <w:t>universities. </w:t>
      </w:r>
      <w:r w:rsidRPr="00FB7035">
        <w:rPr>
          <w:rFonts w:ascii="Times New Roman" w:hAnsi="Times New Roman" w:cs="Times New Roman"/>
          <w:i/>
          <w:iCs/>
          <w:sz w:val="24"/>
          <w:szCs w:val="24"/>
        </w:rPr>
        <w:t>African Journal of Auditing</w:t>
      </w:r>
      <w:r w:rsidRPr="00FB7035">
        <w:rPr>
          <w:rFonts w:ascii="Times New Roman" w:hAnsi="Times New Roman" w:cs="Times New Roman"/>
          <w:sz w:val="24"/>
          <w:szCs w:val="24"/>
        </w:rPr>
        <w:t>, 7(1), 65-82.</w:t>
      </w:r>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Mwazo</w:t>
      </w:r>
      <w:proofErr w:type="spellEnd"/>
      <w:r w:rsidRPr="00FB7035">
        <w:rPr>
          <w:rFonts w:ascii="Times New Roman" w:hAnsi="Times New Roman" w:cs="Times New Roman"/>
          <w:sz w:val="24"/>
          <w:szCs w:val="24"/>
        </w:rPr>
        <w:t xml:space="preserve">, C., </w:t>
      </w:r>
      <w:proofErr w:type="spellStart"/>
      <w:r w:rsidRPr="00FB7035">
        <w:rPr>
          <w:rFonts w:ascii="Times New Roman" w:hAnsi="Times New Roman" w:cs="Times New Roman"/>
          <w:sz w:val="24"/>
          <w:szCs w:val="24"/>
        </w:rPr>
        <w:t>Weda</w:t>
      </w:r>
      <w:proofErr w:type="spellEnd"/>
      <w:r w:rsidRPr="00FB7035">
        <w:rPr>
          <w:rFonts w:ascii="Times New Roman" w:hAnsi="Times New Roman" w:cs="Times New Roman"/>
          <w:sz w:val="24"/>
          <w:szCs w:val="24"/>
        </w:rPr>
        <w:t xml:space="preserve">, C., </w:t>
      </w:r>
      <w:proofErr w:type="spellStart"/>
      <w:r w:rsidRPr="00FB7035">
        <w:rPr>
          <w:rFonts w:ascii="Times New Roman" w:hAnsi="Times New Roman" w:cs="Times New Roman"/>
          <w:sz w:val="24"/>
          <w:szCs w:val="24"/>
        </w:rPr>
        <w:t>Omondi</w:t>
      </w:r>
      <w:proofErr w:type="spellEnd"/>
      <w:r w:rsidRPr="00FB7035">
        <w:rPr>
          <w:rFonts w:ascii="Times New Roman" w:hAnsi="Times New Roman" w:cs="Times New Roman"/>
          <w:sz w:val="24"/>
          <w:szCs w:val="24"/>
        </w:rPr>
        <w:t xml:space="preserve">, N., &amp; </w:t>
      </w:r>
      <w:proofErr w:type="spellStart"/>
      <w:r w:rsidRPr="00FB7035">
        <w:rPr>
          <w:rFonts w:ascii="Times New Roman" w:hAnsi="Times New Roman" w:cs="Times New Roman"/>
          <w:sz w:val="24"/>
          <w:szCs w:val="24"/>
        </w:rPr>
        <w:t>Njenga</w:t>
      </w:r>
      <w:proofErr w:type="spellEnd"/>
      <w:r w:rsidRPr="00FB7035">
        <w:rPr>
          <w:rFonts w:ascii="Times New Roman" w:hAnsi="Times New Roman" w:cs="Times New Roman"/>
          <w:sz w:val="24"/>
          <w:szCs w:val="24"/>
        </w:rPr>
        <w:t xml:space="preserve">, K. (2017). Management control systems and service </w:t>
      </w:r>
      <w:r w:rsidRPr="00FB7035">
        <w:rPr>
          <w:rFonts w:ascii="Times New Roman" w:hAnsi="Times New Roman" w:cs="Times New Roman"/>
          <w:sz w:val="24"/>
          <w:szCs w:val="24"/>
        </w:rPr>
        <w:tab/>
        <w:t xml:space="preserve">delivery at </w:t>
      </w:r>
      <w:proofErr w:type="spellStart"/>
      <w:r w:rsidRPr="00FB7035">
        <w:rPr>
          <w:rFonts w:ascii="Times New Roman" w:hAnsi="Times New Roman" w:cs="Times New Roman"/>
          <w:sz w:val="24"/>
          <w:szCs w:val="24"/>
        </w:rPr>
        <w:t>Taita-Taveta</w:t>
      </w:r>
      <w:proofErr w:type="spellEnd"/>
      <w:r w:rsidRPr="00FB7035">
        <w:rPr>
          <w:rFonts w:ascii="Times New Roman" w:hAnsi="Times New Roman" w:cs="Times New Roman"/>
          <w:sz w:val="24"/>
          <w:szCs w:val="24"/>
        </w:rPr>
        <w:t xml:space="preserve"> National Treasury. </w:t>
      </w:r>
      <w:r w:rsidRPr="00FB7035">
        <w:rPr>
          <w:rFonts w:ascii="Times New Roman" w:hAnsi="Times New Roman" w:cs="Times New Roman"/>
          <w:i/>
          <w:iCs/>
          <w:sz w:val="24"/>
          <w:szCs w:val="24"/>
        </w:rPr>
        <w:t xml:space="preserve">International Journal of Business and </w:t>
      </w:r>
      <w:r w:rsidRPr="00FB7035">
        <w:rPr>
          <w:rFonts w:ascii="Times New Roman" w:hAnsi="Times New Roman" w:cs="Times New Roman"/>
          <w:i/>
          <w:iCs/>
          <w:sz w:val="24"/>
          <w:szCs w:val="24"/>
        </w:rPr>
        <w:tab/>
        <w:t>Management</w:t>
      </w:r>
      <w:r w:rsidRPr="00FB7035">
        <w:rPr>
          <w:rFonts w:ascii="Times New Roman" w:hAnsi="Times New Roman" w:cs="Times New Roman"/>
          <w:sz w:val="24"/>
          <w:szCs w:val="24"/>
        </w:rPr>
        <w:t>, 12(3), 199-212.</w:t>
      </w:r>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Nerantzidis</w:t>
      </w:r>
      <w:proofErr w:type="spellEnd"/>
      <w:r w:rsidRPr="00FB7035">
        <w:rPr>
          <w:rFonts w:ascii="Times New Roman" w:hAnsi="Times New Roman" w:cs="Times New Roman"/>
          <w:sz w:val="24"/>
          <w:szCs w:val="24"/>
        </w:rPr>
        <w:t xml:space="preserve">, M., et al. (2022). Continuous professional development and internal audit </w:t>
      </w:r>
      <w:r w:rsidRPr="00FB7035">
        <w:rPr>
          <w:rFonts w:ascii="Times New Roman" w:hAnsi="Times New Roman" w:cs="Times New Roman"/>
          <w:sz w:val="24"/>
          <w:szCs w:val="24"/>
        </w:rPr>
        <w:tab/>
        <w:t>effectiveness: A systematic literature review. </w:t>
      </w:r>
      <w:r w:rsidRPr="00FB7035">
        <w:rPr>
          <w:rFonts w:ascii="Times New Roman" w:hAnsi="Times New Roman" w:cs="Times New Roman"/>
          <w:i/>
          <w:iCs/>
          <w:sz w:val="24"/>
          <w:szCs w:val="24"/>
        </w:rPr>
        <w:t>International Journal of Auditing</w:t>
      </w:r>
      <w:r w:rsidRPr="00FB7035">
        <w:rPr>
          <w:rFonts w:ascii="Times New Roman" w:hAnsi="Times New Roman" w:cs="Times New Roman"/>
          <w:sz w:val="24"/>
          <w:szCs w:val="24"/>
        </w:rPr>
        <w:t xml:space="preserve">, 26(3), </w:t>
      </w:r>
      <w:r w:rsidRPr="00FB7035">
        <w:rPr>
          <w:rFonts w:ascii="Times New Roman" w:hAnsi="Times New Roman" w:cs="Times New Roman"/>
          <w:sz w:val="24"/>
          <w:szCs w:val="24"/>
        </w:rPr>
        <w:tab/>
        <w:t>456-474.</w:t>
      </w:r>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Northouse</w:t>
      </w:r>
      <w:proofErr w:type="spellEnd"/>
      <w:r w:rsidRPr="00FB7035">
        <w:rPr>
          <w:rFonts w:ascii="Times New Roman" w:hAnsi="Times New Roman" w:cs="Times New Roman"/>
          <w:sz w:val="24"/>
          <w:szCs w:val="24"/>
        </w:rPr>
        <w:t>, P. G. (2016). </w:t>
      </w:r>
      <w:r w:rsidRPr="00FB7035">
        <w:rPr>
          <w:rFonts w:ascii="Times New Roman" w:hAnsi="Times New Roman" w:cs="Times New Roman"/>
          <w:i/>
          <w:iCs/>
          <w:sz w:val="24"/>
          <w:szCs w:val="24"/>
        </w:rPr>
        <w:t>Leadership: Theory and practice</w:t>
      </w:r>
      <w:r w:rsidRPr="00FB7035">
        <w:rPr>
          <w:rFonts w:ascii="Times New Roman" w:hAnsi="Times New Roman" w:cs="Times New Roman"/>
          <w:sz w:val="24"/>
          <w:szCs w:val="24"/>
        </w:rPr>
        <w:t xml:space="preserve"> (7th </w:t>
      </w:r>
      <w:proofErr w:type="gramStart"/>
      <w:r w:rsidRPr="00FB7035">
        <w:rPr>
          <w:rFonts w:ascii="Times New Roman" w:hAnsi="Times New Roman" w:cs="Times New Roman"/>
          <w:sz w:val="24"/>
          <w:szCs w:val="24"/>
        </w:rPr>
        <w:t>ed</w:t>
      </w:r>
      <w:proofErr w:type="gramEnd"/>
      <w:r w:rsidRPr="00FB7035">
        <w:rPr>
          <w:rFonts w:ascii="Times New Roman" w:hAnsi="Times New Roman" w:cs="Times New Roman"/>
          <w:sz w:val="24"/>
          <w:szCs w:val="24"/>
        </w:rPr>
        <w:t>.). Sage Publications.</w:t>
      </w:r>
    </w:p>
    <w:p w:rsidR="00FB7035" w:rsidRPr="00A81F00" w:rsidRDefault="00FB7035" w:rsidP="00616D8C">
      <w:pPr>
        <w:spacing w:before="100" w:beforeAutospacing="1" w:after="100" w:afterAutospacing="1" w:line="240" w:lineRule="auto"/>
        <w:rPr>
          <w:rFonts w:ascii="Times New Roman" w:eastAsia="Times New Roman" w:hAnsi="Times New Roman" w:cs="Times New Roman"/>
          <w:sz w:val="24"/>
          <w:szCs w:val="24"/>
        </w:rPr>
      </w:pPr>
      <w:proofErr w:type="spellStart"/>
      <w:r w:rsidRPr="00FB7035">
        <w:rPr>
          <w:rFonts w:ascii="Times New Roman" w:eastAsia="Times New Roman" w:hAnsi="Times New Roman" w:cs="Times New Roman"/>
          <w:sz w:val="24"/>
          <w:szCs w:val="24"/>
        </w:rPr>
        <w:t>Ofori</w:t>
      </w:r>
      <w:proofErr w:type="spellEnd"/>
      <w:r w:rsidRPr="00FB7035">
        <w:rPr>
          <w:rFonts w:ascii="Times New Roman" w:eastAsia="Times New Roman" w:hAnsi="Times New Roman" w:cs="Times New Roman"/>
          <w:sz w:val="24"/>
          <w:szCs w:val="24"/>
        </w:rPr>
        <w:t xml:space="preserve">, C. &amp; LU, L. (2018). The Evaluation of Internal Audit Functions for Effective Public </w:t>
      </w:r>
      <w:r w:rsidRPr="00FB7035">
        <w:rPr>
          <w:rFonts w:ascii="Times New Roman" w:eastAsia="Times New Roman" w:hAnsi="Times New Roman" w:cs="Times New Roman"/>
          <w:sz w:val="24"/>
          <w:szCs w:val="24"/>
        </w:rPr>
        <w:tab/>
        <w:t xml:space="preserve">Sector Administration: A Survey of Accra Metropolitan Assembly, Ghana. </w:t>
      </w:r>
      <w:r w:rsidRPr="00FB7035">
        <w:rPr>
          <w:rFonts w:ascii="Times New Roman" w:eastAsia="Times New Roman" w:hAnsi="Times New Roman" w:cs="Times New Roman"/>
          <w:sz w:val="24"/>
          <w:szCs w:val="24"/>
        </w:rPr>
        <w:tab/>
        <w:t xml:space="preserve">International Journal of Academic Research in Accounting, Finance and Management </w:t>
      </w:r>
      <w:r w:rsidRPr="00FB7035">
        <w:rPr>
          <w:rFonts w:ascii="Times New Roman" w:eastAsia="Times New Roman" w:hAnsi="Times New Roman" w:cs="Times New Roman"/>
          <w:sz w:val="24"/>
          <w:szCs w:val="24"/>
        </w:rPr>
        <w:tab/>
        <w:t>Sciences. 8. 10.6007/IJARAFMS/v8-i2/4076.</w:t>
      </w:r>
    </w:p>
    <w:p w:rsidR="00FB7035" w:rsidRPr="00FB7035" w:rsidRDefault="00FB7035" w:rsidP="00616D8C">
      <w:pPr>
        <w:spacing w:after="0" w:line="240" w:lineRule="auto"/>
        <w:rPr>
          <w:rFonts w:ascii="Times New Roman" w:eastAsia="Times New Roman" w:hAnsi="Times New Roman" w:cs="Times New Roman"/>
          <w:color w:val="000000"/>
          <w:sz w:val="24"/>
          <w:szCs w:val="24"/>
          <w:shd w:val="clear" w:color="auto" w:fill="FFFFFF"/>
        </w:rPr>
      </w:pPr>
      <w:proofErr w:type="spellStart"/>
      <w:r w:rsidRPr="00FB7035">
        <w:rPr>
          <w:rFonts w:ascii="Times New Roman" w:eastAsia="Times New Roman" w:hAnsi="Times New Roman" w:cs="Times New Roman"/>
          <w:color w:val="000000"/>
          <w:sz w:val="24"/>
          <w:szCs w:val="24"/>
          <w:shd w:val="clear" w:color="auto" w:fill="FFFFFF"/>
        </w:rPr>
        <w:t>Ojo</w:t>
      </w:r>
      <w:proofErr w:type="spellEnd"/>
      <w:r w:rsidRPr="00FB7035">
        <w:rPr>
          <w:rFonts w:ascii="Times New Roman" w:eastAsia="Times New Roman" w:hAnsi="Times New Roman" w:cs="Times New Roman"/>
          <w:color w:val="000000"/>
          <w:sz w:val="24"/>
          <w:szCs w:val="24"/>
          <w:shd w:val="clear" w:color="auto" w:fill="FFFFFF"/>
        </w:rPr>
        <w:t xml:space="preserve"> A. D. (2025). Assessing the Role of the Code of Conduct Bureau in Promoting </w:t>
      </w:r>
      <w:r w:rsidRPr="00FB7035">
        <w:rPr>
          <w:rFonts w:ascii="Times New Roman" w:eastAsia="Times New Roman" w:hAnsi="Times New Roman" w:cs="Times New Roman"/>
          <w:color w:val="000000"/>
          <w:sz w:val="24"/>
          <w:szCs w:val="24"/>
          <w:shd w:val="clear" w:color="auto" w:fill="FFFFFF"/>
        </w:rPr>
        <w:tab/>
        <w:t xml:space="preserve">Transparency and Accountability in the Nigeria Public Service. INTERNATIONAL </w:t>
      </w:r>
      <w:r w:rsidRPr="00FB7035">
        <w:rPr>
          <w:rFonts w:ascii="Times New Roman" w:eastAsia="Times New Roman" w:hAnsi="Times New Roman" w:cs="Times New Roman"/>
          <w:color w:val="000000"/>
          <w:sz w:val="24"/>
          <w:szCs w:val="24"/>
          <w:shd w:val="clear" w:color="auto" w:fill="FFFFFF"/>
        </w:rPr>
        <w:tab/>
        <w:t xml:space="preserve">JOURNAL OF INNOVATIVE RESEARCH IN TECHNOLOGY.1 (1), </w:t>
      </w:r>
      <w:r w:rsidRPr="00FB7035">
        <w:rPr>
          <w:rFonts w:ascii="Times New Roman" w:eastAsia="Times New Roman" w:hAnsi="Times New Roman" w:cs="Times New Roman"/>
          <w:b/>
          <w:bCs/>
          <w:color w:val="000000"/>
          <w:sz w:val="24"/>
          <w:szCs w:val="24"/>
          <w:shd w:val="clear" w:color="auto" w:fill="FFFFFF"/>
        </w:rPr>
        <w:t>JATIR 140013</w:t>
      </w:r>
      <w:r w:rsidRPr="00FB7035">
        <w:rPr>
          <w:rFonts w:ascii="Times New Roman" w:eastAsia="Times New Roman" w:hAnsi="Times New Roman" w:cs="Times New Roman"/>
          <w:color w:val="000000"/>
          <w:sz w:val="24"/>
          <w:szCs w:val="24"/>
          <w:shd w:val="clear" w:color="auto" w:fill="FFFFFF"/>
        </w:rPr>
        <w:t xml:space="preserve">. </w:t>
      </w:r>
      <w:r w:rsidRPr="00FB7035">
        <w:rPr>
          <w:rFonts w:ascii="Times New Roman" w:eastAsia="Times New Roman" w:hAnsi="Times New Roman" w:cs="Times New Roman"/>
          <w:color w:val="000000"/>
          <w:sz w:val="24"/>
          <w:szCs w:val="24"/>
          <w:shd w:val="clear" w:color="auto" w:fill="FFFFFF"/>
        </w:rPr>
        <w:tab/>
      </w:r>
      <w:hyperlink r:id="rId13" w:history="1">
        <w:r w:rsidRPr="00FB7035">
          <w:rPr>
            <w:rStyle w:val="Hyperlink"/>
            <w:rFonts w:ascii="Times New Roman" w:eastAsia="Times New Roman" w:hAnsi="Times New Roman" w:cs="Times New Roman"/>
            <w:i/>
            <w:iCs/>
            <w:sz w:val="24"/>
            <w:szCs w:val="24"/>
            <w:shd w:val="clear" w:color="auto" w:fill="FFFFFF"/>
          </w:rPr>
          <w:t>http://doi.org/10.64643/JATIRV1I1-140013-001</w:t>
        </w:r>
      </w:hyperlink>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lastRenderedPageBreak/>
        <w:tab/>
      </w:r>
      <w:proofErr w:type="spellStart"/>
      <w:r w:rsidRPr="00FB7035">
        <w:rPr>
          <w:rFonts w:ascii="Times New Roman" w:hAnsi="Times New Roman" w:cs="Times New Roman"/>
          <w:sz w:val="24"/>
          <w:szCs w:val="24"/>
        </w:rPr>
        <w:t>Ojo</w:t>
      </w:r>
      <w:proofErr w:type="spellEnd"/>
      <w:r w:rsidRPr="00FB7035">
        <w:rPr>
          <w:rFonts w:ascii="Times New Roman" w:hAnsi="Times New Roman" w:cs="Times New Roman"/>
          <w:sz w:val="24"/>
          <w:szCs w:val="24"/>
        </w:rPr>
        <w:t xml:space="preserve">, A. (2019). Impact of internal audit on accountability and transparency in Nigerian </w:t>
      </w:r>
      <w:r w:rsidRPr="00FB7035">
        <w:rPr>
          <w:rFonts w:ascii="Times New Roman" w:hAnsi="Times New Roman" w:cs="Times New Roman"/>
          <w:sz w:val="24"/>
          <w:szCs w:val="24"/>
        </w:rPr>
        <w:tab/>
        <w:t>local governments. </w:t>
      </w:r>
      <w:r w:rsidRPr="00FB7035">
        <w:rPr>
          <w:rFonts w:ascii="Times New Roman" w:hAnsi="Times New Roman" w:cs="Times New Roman"/>
          <w:i/>
          <w:iCs/>
          <w:sz w:val="24"/>
          <w:szCs w:val="24"/>
        </w:rPr>
        <w:t>International Journal of Public Sector Accounting Research</w:t>
      </w:r>
      <w:r w:rsidRPr="00FB7035">
        <w:rPr>
          <w:rFonts w:ascii="Times New Roman" w:hAnsi="Times New Roman" w:cs="Times New Roman"/>
          <w:sz w:val="24"/>
          <w:szCs w:val="24"/>
        </w:rPr>
        <w:t>, 5(1), 47–</w:t>
      </w:r>
      <w:r w:rsidRPr="00FB7035">
        <w:rPr>
          <w:rFonts w:ascii="Times New Roman" w:hAnsi="Times New Roman" w:cs="Times New Roman"/>
          <w:sz w:val="24"/>
          <w:szCs w:val="24"/>
        </w:rPr>
        <w:tab/>
        <w:t>62.</w:t>
      </w:r>
    </w:p>
    <w:p w:rsidR="00FB7035" w:rsidRPr="00FB7035" w:rsidRDefault="00FB7035" w:rsidP="00616D8C">
      <w:pPr>
        <w:spacing w:after="0" w:line="240" w:lineRule="auto"/>
        <w:jc w:val="both"/>
        <w:rPr>
          <w:rStyle w:val="Hyperlink"/>
          <w:rFonts w:ascii="Times New Roman" w:hAnsi="Times New Roman" w:cs="Times New Roman"/>
          <w:sz w:val="24"/>
          <w:szCs w:val="24"/>
        </w:rPr>
      </w:pPr>
      <w:proofErr w:type="spellStart"/>
      <w:r w:rsidRPr="00FB7035">
        <w:rPr>
          <w:rFonts w:ascii="Times New Roman" w:hAnsi="Times New Roman" w:cs="Times New Roman"/>
          <w:sz w:val="24"/>
          <w:szCs w:val="24"/>
        </w:rPr>
        <w:t>Okee</w:t>
      </w:r>
      <w:proofErr w:type="spellEnd"/>
      <w:r w:rsidRPr="00FB7035">
        <w:rPr>
          <w:rFonts w:ascii="Times New Roman" w:hAnsi="Times New Roman" w:cs="Times New Roman"/>
          <w:sz w:val="24"/>
          <w:szCs w:val="24"/>
        </w:rPr>
        <w:t xml:space="preserve">, C. F., &amp; Fred, I. S. (2021). A review of the challenges with internal audit functions in public </w:t>
      </w:r>
      <w:r w:rsidRPr="00FB7035">
        <w:rPr>
          <w:rFonts w:ascii="Times New Roman" w:hAnsi="Times New Roman" w:cs="Times New Roman"/>
          <w:sz w:val="24"/>
          <w:szCs w:val="24"/>
        </w:rPr>
        <w:tab/>
        <w:t>institutions in Nigeria. </w:t>
      </w:r>
      <w:r w:rsidRPr="00FB7035">
        <w:rPr>
          <w:rFonts w:ascii="Times New Roman" w:hAnsi="Times New Roman" w:cs="Times New Roman"/>
          <w:i/>
          <w:iCs/>
          <w:sz w:val="24"/>
          <w:szCs w:val="24"/>
        </w:rPr>
        <w:t>International Journal of Business and Law Research</w:t>
      </w:r>
      <w:r w:rsidRPr="00FB7035">
        <w:rPr>
          <w:rFonts w:ascii="Times New Roman" w:hAnsi="Times New Roman" w:cs="Times New Roman"/>
          <w:sz w:val="24"/>
          <w:szCs w:val="24"/>
        </w:rPr>
        <w:t>, 9(1), 195-</w:t>
      </w:r>
      <w:r w:rsidRPr="00FB7035">
        <w:rPr>
          <w:rFonts w:ascii="Times New Roman" w:hAnsi="Times New Roman" w:cs="Times New Roman"/>
          <w:sz w:val="24"/>
          <w:szCs w:val="24"/>
        </w:rPr>
        <w:tab/>
        <w:t>207. </w:t>
      </w:r>
      <w:hyperlink r:id="rId14" w:history="1">
        <w:r w:rsidRPr="00FB7035">
          <w:rPr>
            <w:rStyle w:val="Hyperlink"/>
            <w:rFonts w:ascii="Times New Roman" w:hAnsi="Times New Roman" w:cs="Times New Roman"/>
            <w:sz w:val="24"/>
            <w:szCs w:val="24"/>
          </w:rPr>
          <w:t>https://www.seahipublications.org/wp-content/uploads/2024/05/IJBLR-M-</w:t>
        </w:r>
        <w:r w:rsidRPr="00FB7035">
          <w:rPr>
            <w:rStyle w:val="Hyperlink"/>
            <w:rFonts w:ascii="Times New Roman" w:hAnsi="Times New Roman" w:cs="Times New Roman"/>
            <w:sz w:val="24"/>
            <w:szCs w:val="24"/>
          </w:rPr>
          <w:tab/>
          <w:t>202021.pdf</w:t>
        </w:r>
      </w:hyperlink>
    </w:p>
    <w:p w:rsidR="00FB7035" w:rsidRPr="00FB7035" w:rsidRDefault="00FB7035" w:rsidP="00616D8C">
      <w:pPr>
        <w:pStyle w:val="PlainText"/>
        <w:rPr>
          <w:rFonts w:ascii="Times New Roman" w:hAnsi="Times New Roman" w:cs="Times New Roman"/>
          <w:sz w:val="24"/>
          <w:szCs w:val="24"/>
        </w:rPr>
      </w:pPr>
      <w:proofErr w:type="spellStart"/>
      <w:r w:rsidRPr="00FB7035">
        <w:rPr>
          <w:rFonts w:ascii="Times New Roman" w:hAnsi="Times New Roman" w:cs="Times New Roman"/>
          <w:sz w:val="24"/>
          <w:szCs w:val="24"/>
        </w:rPr>
        <w:t>Omotayo</w:t>
      </w:r>
      <w:proofErr w:type="spellEnd"/>
      <w:r w:rsidRPr="00FB7035">
        <w:rPr>
          <w:rFonts w:ascii="Times New Roman" w:hAnsi="Times New Roman" w:cs="Times New Roman"/>
          <w:sz w:val="24"/>
          <w:szCs w:val="24"/>
        </w:rPr>
        <w:t xml:space="preserve">, </w:t>
      </w:r>
      <w:proofErr w:type="spellStart"/>
      <w:r w:rsidRPr="00FB7035">
        <w:rPr>
          <w:rFonts w:ascii="Times New Roman" w:hAnsi="Times New Roman" w:cs="Times New Roman"/>
          <w:sz w:val="24"/>
          <w:szCs w:val="24"/>
        </w:rPr>
        <w:t>Abiodun</w:t>
      </w:r>
      <w:proofErr w:type="spellEnd"/>
      <w:r w:rsidRPr="00FB7035">
        <w:rPr>
          <w:rFonts w:ascii="Times New Roman" w:hAnsi="Times New Roman" w:cs="Times New Roman"/>
          <w:sz w:val="24"/>
          <w:szCs w:val="24"/>
        </w:rPr>
        <w:t xml:space="preserve"> &amp; Nurudeen, </w:t>
      </w:r>
      <w:proofErr w:type="spellStart"/>
      <w:r w:rsidRPr="00FB7035">
        <w:rPr>
          <w:rFonts w:ascii="Times New Roman" w:hAnsi="Times New Roman" w:cs="Times New Roman"/>
          <w:sz w:val="24"/>
          <w:szCs w:val="24"/>
        </w:rPr>
        <w:t>Abdulfatai</w:t>
      </w:r>
      <w:proofErr w:type="spellEnd"/>
      <w:r w:rsidRPr="00FB7035">
        <w:rPr>
          <w:rFonts w:ascii="Times New Roman" w:hAnsi="Times New Roman" w:cs="Times New Roman"/>
          <w:sz w:val="24"/>
          <w:szCs w:val="24"/>
        </w:rPr>
        <w:t xml:space="preserve">. (2023). AUDITORS INDEPENDENCE AND </w:t>
      </w:r>
      <w:r w:rsidRPr="00FB7035">
        <w:rPr>
          <w:rFonts w:ascii="Times New Roman" w:hAnsi="Times New Roman" w:cs="Times New Roman"/>
          <w:sz w:val="24"/>
          <w:szCs w:val="24"/>
        </w:rPr>
        <w:tab/>
        <w:t xml:space="preserve">AUDIT EXPECTATION IN OGUN STATE POLYTECHNICS. </w:t>
      </w:r>
      <w:r w:rsidRPr="00FB7035">
        <w:rPr>
          <w:rFonts w:ascii="Times New Roman" w:hAnsi="Times New Roman" w:cs="Times New Roman"/>
          <w:sz w:val="24"/>
          <w:szCs w:val="24"/>
        </w:rPr>
        <w:tab/>
        <w:t xml:space="preserve">10.13140/RG.2.2.12835.63521. </w:t>
      </w:r>
    </w:p>
    <w:p w:rsidR="00FB7035" w:rsidRPr="00FB7035" w:rsidRDefault="00FB7035" w:rsidP="00616D8C">
      <w:pPr>
        <w:spacing w:line="240" w:lineRule="auto"/>
        <w:rPr>
          <w:rFonts w:ascii="Times New Roman" w:hAnsi="Times New Roman" w:cs="Times New Roman"/>
          <w:sz w:val="24"/>
          <w:szCs w:val="24"/>
        </w:rPr>
      </w:pPr>
      <w:r w:rsidRPr="00FB7035">
        <w:rPr>
          <w:rFonts w:ascii="Times New Roman" w:hAnsi="Times New Roman" w:cs="Times New Roman"/>
          <w:color w:val="333333"/>
          <w:sz w:val="24"/>
          <w:szCs w:val="24"/>
        </w:rPr>
        <w:t xml:space="preserve">Oni O.O., </w:t>
      </w:r>
      <w:proofErr w:type="spellStart"/>
      <w:r w:rsidRPr="00FB7035">
        <w:rPr>
          <w:rFonts w:ascii="Times New Roman" w:hAnsi="Times New Roman" w:cs="Times New Roman"/>
          <w:color w:val="333333"/>
          <w:sz w:val="24"/>
          <w:szCs w:val="24"/>
        </w:rPr>
        <w:t>Sanni</w:t>
      </w:r>
      <w:proofErr w:type="spellEnd"/>
      <w:r w:rsidRPr="00FB7035">
        <w:rPr>
          <w:rFonts w:ascii="Times New Roman" w:hAnsi="Times New Roman" w:cs="Times New Roman"/>
          <w:color w:val="333333"/>
          <w:sz w:val="24"/>
          <w:szCs w:val="24"/>
        </w:rPr>
        <w:t xml:space="preserve"> M., &amp; </w:t>
      </w:r>
      <w:proofErr w:type="spellStart"/>
      <w:r w:rsidRPr="00FB7035">
        <w:rPr>
          <w:rFonts w:ascii="Times New Roman" w:hAnsi="Times New Roman" w:cs="Times New Roman"/>
          <w:color w:val="333333"/>
          <w:sz w:val="24"/>
          <w:szCs w:val="24"/>
        </w:rPr>
        <w:t>ABdulfatai</w:t>
      </w:r>
      <w:proofErr w:type="spellEnd"/>
      <w:r w:rsidRPr="00FB7035">
        <w:rPr>
          <w:rFonts w:ascii="Times New Roman" w:hAnsi="Times New Roman" w:cs="Times New Roman"/>
          <w:color w:val="333333"/>
          <w:sz w:val="24"/>
          <w:szCs w:val="24"/>
        </w:rPr>
        <w:t xml:space="preserve"> M. M</w:t>
      </w:r>
      <w:proofErr w:type="gramStart"/>
      <w:r w:rsidRPr="00FB7035">
        <w:rPr>
          <w:rFonts w:ascii="Times New Roman" w:hAnsi="Times New Roman" w:cs="Times New Roman"/>
          <w:color w:val="333333"/>
          <w:sz w:val="24"/>
          <w:szCs w:val="24"/>
        </w:rPr>
        <w:t>.(</w:t>
      </w:r>
      <w:proofErr w:type="gramEnd"/>
      <w:r w:rsidRPr="00FB7035">
        <w:rPr>
          <w:rFonts w:ascii="Times New Roman" w:hAnsi="Times New Roman" w:cs="Times New Roman"/>
          <w:color w:val="333333"/>
          <w:sz w:val="24"/>
          <w:szCs w:val="24"/>
        </w:rPr>
        <w:t xml:space="preserve">2025) EFFECTS OF AUDIT PROCESS QUALITY </w:t>
      </w:r>
      <w:r w:rsidR="00616D8C">
        <w:rPr>
          <w:rFonts w:ascii="Times New Roman" w:hAnsi="Times New Roman" w:cs="Times New Roman"/>
          <w:color w:val="333333"/>
          <w:sz w:val="24"/>
          <w:szCs w:val="24"/>
        </w:rPr>
        <w:tab/>
      </w:r>
      <w:r w:rsidRPr="00FB7035">
        <w:rPr>
          <w:rFonts w:ascii="Times New Roman" w:hAnsi="Times New Roman" w:cs="Times New Roman"/>
          <w:color w:val="333333"/>
          <w:sz w:val="24"/>
          <w:szCs w:val="24"/>
        </w:rPr>
        <w:t xml:space="preserve">AND </w:t>
      </w:r>
      <w:r w:rsidRPr="00FB7035">
        <w:rPr>
          <w:rFonts w:ascii="Times New Roman" w:hAnsi="Times New Roman" w:cs="Times New Roman"/>
          <w:color w:val="333333"/>
          <w:sz w:val="24"/>
          <w:szCs w:val="24"/>
        </w:rPr>
        <w:tab/>
        <w:t xml:space="preserve">MONITORING ON PUBLIC SECTOR ACCOUNTABILITY: EVIDENCE </w:t>
      </w:r>
      <w:r w:rsidR="00616D8C">
        <w:rPr>
          <w:rFonts w:ascii="Times New Roman" w:hAnsi="Times New Roman" w:cs="Times New Roman"/>
          <w:color w:val="333333"/>
          <w:sz w:val="24"/>
          <w:szCs w:val="24"/>
        </w:rPr>
        <w:tab/>
      </w:r>
      <w:r w:rsidRPr="00FB7035">
        <w:rPr>
          <w:rFonts w:ascii="Times New Roman" w:hAnsi="Times New Roman" w:cs="Times New Roman"/>
          <w:color w:val="333333"/>
          <w:sz w:val="24"/>
          <w:szCs w:val="24"/>
        </w:rPr>
        <w:t xml:space="preserve">FROM SELECTED </w:t>
      </w:r>
      <w:r w:rsidRPr="00FB7035">
        <w:rPr>
          <w:rFonts w:ascii="Times New Roman" w:hAnsi="Times New Roman" w:cs="Times New Roman"/>
          <w:color w:val="333333"/>
          <w:sz w:val="24"/>
          <w:szCs w:val="24"/>
        </w:rPr>
        <w:tab/>
        <w:t>GOVERNMENT AGENCIES IN NIGERIA. (2025). </w:t>
      </w:r>
      <w:r w:rsidRPr="00FB7035">
        <w:rPr>
          <w:rFonts w:ascii="Times New Roman" w:hAnsi="Times New Roman" w:cs="Times New Roman"/>
          <w:i/>
          <w:iCs/>
          <w:color w:val="333333"/>
          <w:sz w:val="24"/>
          <w:szCs w:val="24"/>
        </w:rPr>
        <w:t xml:space="preserve">International Journal of Accounting, </w:t>
      </w:r>
      <w:r w:rsidRPr="00FB7035">
        <w:rPr>
          <w:rFonts w:ascii="Times New Roman" w:hAnsi="Times New Roman" w:cs="Times New Roman"/>
          <w:i/>
          <w:iCs/>
          <w:color w:val="333333"/>
          <w:sz w:val="24"/>
          <w:szCs w:val="24"/>
        </w:rPr>
        <w:tab/>
        <w:t>Management and Economic Review</w:t>
      </w:r>
      <w:r w:rsidRPr="00FB7035">
        <w:rPr>
          <w:rFonts w:ascii="Times New Roman" w:hAnsi="Times New Roman" w:cs="Times New Roman"/>
          <w:color w:val="333333"/>
          <w:sz w:val="24"/>
          <w:szCs w:val="24"/>
        </w:rPr>
        <w:t>, </w:t>
      </w:r>
      <w:r w:rsidRPr="00FB7035">
        <w:rPr>
          <w:rFonts w:ascii="Times New Roman" w:hAnsi="Times New Roman" w:cs="Times New Roman"/>
          <w:i/>
          <w:iCs/>
          <w:color w:val="333333"/>
          <w:sz w:val="24"/>
          <w:szCs w:val="24"/>
        </w:rPr>
        <w:t>1</w:t>
      </w:r>
      <w:r w:rsidRPr="00FB7035">
        <w:rPr>
          <w:rFonts w:ascii="Times New Roman" w:hAnsi="Times New Roman" w:cs="Times New Roman"/>
          <w:color w:val="333333"/>
          <w:sz w:val="24"/>
          <w:szCs w:val="24"/>
        </w:rPr>
        <w:t>(3), 59-</w:t>
      </w:r>
      <w:r w:rsidR="00616D8C">
        <w:rPr>
          <w:rFonts w:ascii="Times New Roman" w:hAnsi="Times New Roman" w:cs="Times New Roman"/>
          <w:color w:val="333333"/>
          <w:sz w:val="24"/>
          <w:szCs w:val="24"/>
        </w:rPr>
        <w:tab/>
      </w:r>
      <w:r w:rsidRPr="00FB7035">
        <w:rPr>
          <w:rFonts w:ascii="Times New Roman" w:hAnsi="Times New Roman" w:cs="Times New Roman"/>
          <w:color w:val="333333"/>
          <w:sz w:val="24"/>
          <w:szCs w:val="24"/>
        </w:rPr>
        <w:t>82. </w:t>
      </w:r>
      <w:hyperlink r:id="rId15" w:history="1">
        <w:r w:rsidRPr="00FB7035">
          <w:rPr>
            <w:rStyle w:val="Hyperlink"/>
            <w:rFonts w:ascii="Times New Roman" w:hAnsi="Times New Roman" w:cs="Times New Roman"/>
            <w:color w:val="4B7D92"/>
            <w:sz w:val="24"/>
            <w:szCs w:val="24"/>
          </w:rPr>
          <w:t>https://doi.org/10.57233/ijamer.v1i3.05</w:t>
        </w:r>
      </w:hyperlink>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t xml:space="preserve">Oni, T. R., &amp; </w:t>
      </w:r>
      <w:proofErr w:type="spellStart"/>
      <w:r w:rsidRPr="00FB7035">
        <w:rPr>
          <w:rFonts w:ascii="Times New Roman" w:hAnsi="Times New Roman" w:cs="Times New Roman"/>
          <w:sz w:val="24"/>
          <w:szCs w:val="24"/>
        </w:rPr>
        <w:t>Adejuwon</w:t>
      </w:r>
      <w:proofErr w:type="spellEnd"/>
      <w:r w:rsidRPr="00FB7035">
        <w:rPr>
          <w:rFonts w:ascii="Times New Roman" w:hAnsi="Times New Roman" w:cs="Times New Roman"/>
          <w:sz w:val="24"/>
          <w:szCs w:val="24"/>
        </w:rPr>
        <w:t xml:space="preserve">, J. A. (2025). The impact of internal audit practices on the performance </w:t>
      </w:r>
      <w:r w:rsidRPr="00FB7035">
        <w:rPr>
          <w:rFonts w:ascii="Times New Roman" w:hAnsi="Times New Roman" w:cs="Times New Roman"/>
          <w:sz w:val="24"/>
          <w:szCs w:val="24"/>
        </w:rPr>
        <w:tab/>
        <w:t xml:space="preserve">of local governments in Oyo State, Nigeria: A study of governance, accountability, and </w:t>
      </w:r>
      <w:r w:rsidRPr="00FB7035">
        <w:rPr>
          <w:rFonts w:ascii="Times New Roman" w:hAnsi="Times New Roman" w:cs="Times New Roman"/>
          <w:sz w:val="24"/>
          <w:szCs w:val="24"/>
        </w:rPr>
        <w:tab/>
        <w:t>service delivery. </w:t>
      </w:r>
      <w:r w:rsidRPr="00FB7035">
        <w:rPr>
          <w:rFonts w:ascii="Times New Roman" w:hAnsi="Times New Roman" w:cs="Times New Roman"/>
          <w:i/>
          <w:iCs/>
          <w:sz w:val="24"/>
          <w:szCs w:val="24"/>
        </w:rPr>
        <w:t>International Journal of Research in Innovation and Social Sciences</w:t>
      </w:r>
      <w:r w:rsidRPr="00FB7035">
        <w:rPr>
          <w:rFonts w:ascii="Times New Roman" w:hAnsi="Times New Roman" w:cs="Times New Roman"/>
          <w:sz w:val="24"/>
          <w:szCs w:val="24"/>
        </w:rPr>
        <w:t xml:space="preserve">, </w:t>
      </w:r>
      <w:r w:rsidRPr="00FB7035">
        <w:rPr>
          <w:rFonts w:ascii="Times New Roman" w:hAnsi="Times New Roman" w:cs="Times New Roman"/>
          <w:sz w:val="24"/>
          <w:szCs w:val="24"/>
        </w:rPr>
        <w:tab/>
        <w:t>9(4), 3072-3085. </w:t>
      </w:r>
      <w:hyperlink r:id="rId16" w:tgtFrame="_blank" w:history="1">
        <w:r w:rsidRPr="00FB7035">
          <w:rPr>
            <w:rStyle w:val="Hyperlink"/>
            <w:rFonts w:ascii="Times New Roman" w:hAnsi="Times New Roman" w:cs="Times New Roman"/>
            <w:sz w:val="24"/>
            <w:szCs w:val="24"/>
          </w:rPr>
          <w:t>https://dx.doi.org/10.47772/IJRISS.2025.90400228</w:t>
        </w:r>
      </w:hyperlink>
    </w:p>
    <w:p w:rsidR="00FB7035" w:rsidRPr="00FB7035" w:rsidRDefault="00FB7035" w:rsidP="00616D8C">
      <w:pPr>
        <w:spacing w:after="0" w:line="240" w:lineRule="auto"/>
        <w:jc w:val="both"/>
        <w:rPr>
          <w:rFonts w:ascii="Times New Roman" w:hAnsi="Times New Roman" w:cs="Times New Roman"/>
          <w:sz w:val="24"/>
          <w:szCs w:val="24"/>
        </w:rPr>
      </w:pPr>
      <w:proofErr w:type="spellStart"/>
      <w:r w:rsidRPr="00FB7035">
        <w:rPr>
          <w:rFonts w:ascii="Times New Roman" w:hAnsi="Times New Roman" w:cs="Times New Roman"/>
          <w:sz w:val="24"/>
          <w:szCs w:val="24"/>
        </w:rPr>
        <w:t>Ouda</w:t>
      </w:r>
      <w:proofErr w:type="spellEnd"/>
      <w:r w:rsidRPr="00FB7035">
        <w:rPr>
          <w:rFonts w:ascii="Times New Roman" w:hAnsi="Times New Roman" w:cs="Times New Roman"/>
          <w:sz w:val="24"/>
          <w:szCs w:val="24"/>
        </w:rPr>
        <w:t>, H., &amp; Al-</w:t>
      </w:r>
      <w:proofErr w:type="spellStart"/>
      <w:r w:rsidRPr="00FB7035">
        <w:rPr>
          <w:rFonts w:ascii="Times New Roman" w:hAnsi="Times New Roman" w:cs="Times New Roman"/>
          <w:sz w:val="24"/>
          <w:szCs w:val="24"/>
        </w:rPr>
        <w:t>Htaybat</w:t>
      </w:r>
      <w:proofErr w:type="spellEnd"/>
      <w:r w:rsidRPr="00FB7035">
        <w:rPr>
          <w:rFonts w:ascii="Times New Roman" w:hAnsi="Times New Roman" w:cs="Times New Roman"/>
          <w:sz w:val="24"/>
          <w:szCs w:val="24"/>
        </w:rPr>
        <w:t xml:space="preserve">, K. (2017). Audit quality and internal control: Evidence from Nigeria </w:t>
      </w:r>
      <w:r w:rsidRPr="00FB7035">
        <w:rPr>
          <w:rFonts w:ascii="Times New Roman" w:hAnsi="Times New Roman" w:cs="Times New Roman"/>
          <w:sz w:val="24"/>
          <w:szCs w:val="24"/>
        </w:rPr>
        <w:tab/>
        <w:t>public sectors. </w:t>
      </w:r>
      <w:r w:rsidRPr="00FB7035">
        <w:rPr>
          <w:rFonts w:ascii="Times New Roman" w:hAnsi="Times New Roman" w:cs="Times New Roman"/>
          <w:i/>
          <w:iCs/>
          <w:sz w:val="24"/>
          <w:szCs w:val="24"/>
        </w:rPr>
        <w:t>Corporate Governance: The International Journal of Business in Society</w:t>
      </w:r>
      <w:r w:rsidRPr="00FB7035">
        <w:rPr>
          <w:rFonts w:ascii="Times New Roman" w:hAnsi="Times New Roman" w:cs="Times New Roman"/>
          <w:sz w:val="24"/>
          <w:szCs w:val="24"/>
        </w:rPr>
        <w:t xml:space="preserve">, </w:t>
      </w:r>
      <w:r w:rsidRPr="00FB7035">
        <w:rPr>
          <w:rFonts w:ascii="Times New Roman" w:hAnsi="Times New Roman" w:cs="Times New Roman"/>
          <w:sz w:val="24"/>
          <w:szCs w:val="24"/>
        </w:rPr>
        <w:tab/>
        <w:t>17(2), 228-243.</w:t>
      </w:r>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t xml:space="preserve">Rahman, M., </w:t>
      </w:r>
      <w:proofErr w:type="spellStart"/>
      <w:r w:rsidRPr="00FB7035">
        <w:rPr>
          <w:rFonts w:ascii="Times New Roman" w:hAnsi="Times New Roman" w:cs="Times New Roman"/>
          <w:sz w:val="24"/>
          <w:szCs w:val="24"/>
        </w:rPr>
        <w:t>Meah</w:t>
      </w:r>
      <w:proofErr w:type="spellEnd"/>
      <w:r w:rsidRPr="00FB7035">
        <w:rPr>
          <w:rFonts w:ascii="Times New Roman" w:hAnsi="Times New Roman" w:cs="Times New Roman"/>
          <w:sz w:val="24"/>
          <w:szCs w:val="24"/>
        </w:rPr>
        <w:t xml:space="preserve">, M., &amp; </w:t>
      </w:r>
      <w:proofErr w:type="spellStart"/>
      <w:r w:rsidRPr="00FB7035">
        <w:rPr>
          <w:rFonts w:ascii="Times New Roman" w:hAnsi="Times New Roman" w:cs="Times New Roman"/>
          <w:sz w:val="24"/>
          <w:szCs w:val="24"/>
        </w:rPr>
        <w:t>Chaudhory</w:t>
      </w:r>
      <w:proofErr w:type="spellEnd"/>
      <w:r w:rsidRPr="00FB7035">
        <w:rPr>
          <w:rFonts w:ascii="Times New Roman" w:hAnsi="Times New Roman" w:cs="Times New Roman"/>
          <w:sz w:val="24"/>
          <w:szCs w:val="24"/>
        </w:rPr>
        <w:t xml:space="preserve">, H. (2019). Internal auditing and transparency in public </w:t>
      </w:r>
      <w:r w:rsidRPr="00FB7035">
        <w:rPr>
          <w:rFonts w:ascii="Times New Roman" w:hAnsi="Times New Roman" w:cs="Times New Roman"/>
          <w:sz w:val="24"/>
          <w:szCs w:val="24"/>
        </w:rPr>
        <w:tab/>
        <w:t>sector: A cross-country study. </w:t>
      </w:r>
      <w:r w:rsidRPr="00FB7035">
        <w:rPr>
          <w:rFonts w:ascii="Times New Roman" w:hAnsi="Times New Roman" w:cs="Times New Roman"/>
          <w:i/>
          <w:iCs/>
          <w:sz w:val="24"/>
          <w:szCs w:val="24"/>
        </w:rPr>
        <w:t>Accounting and Finance Review</w:t>
      </w:r>
      <w:r w:rsidRPr="00FB7035">
        <w:rPr>
          <w:rFonts w:ascii="Times New Roman" w:hAnsi="Times New Roman" w:cs="Times New Roman"/>
          <w:sz w:val="24"/>
          <w:szCs w:val="24"/>
        </w:rPr>
        <w:t>, 12(3), 91–113.</w:t>
      </w:r>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t xml:space="preserve">SERVICOM. (2020). </w:t>
      </w:r>
      <w:proofErr w:type="gramStart"/>
      <w:r w:rsidRPr="00FB7035">
        <w:rPr>
          <w:rFonts w:ascii="Times New Roman" w:hAnsi="Times New Roman" w:cs="Times New Roman"/>
          <w:sz w:val="24"/>
          <w:szCs w:val="24"/>
        </w:rPr>
        <w:t>Delivering</w:t>
      </w:r>
      <w:proofErr w:type="gramEnd"/>
      <w:r w:rsidRPr="00FB7035">
        <w:rPr>
          <w:rFonts w:ascii="Times New Roman" w:hAnsi="Times New Roman" w:cs="Times New Roman"/>
          <w:sz w:val="24"/>
          <w:szCs w:val="24"/>
        </w:rPr>
        <w:t xml:space="preserve"> service in Nigeria: A roadmap. Office for Public Service Reform, </w:t>
      </w:r>
      <w:r w:rsidRPr="00FB7035">
        <w:rPr>
          <w:rFonts w:ascii="Times New Roman" w:hAnsi="Times New Roman" w:cs="Times New Roman"/>
          <w:sz w:val="24"/>
          <w:szCs w:val="24"/>
        </w:rPr>
        <w:tab/>
        <w:t xml:space="preserve">United Kingdom. </w:t>
      </w:r>
      <w:hyperlink r:id="rId17" w:history="1">
        <w:r w:rsidRPr="00FB7035">
          <w:rPr>
            <w:rStyle w:val="Hyperlink"/>
            <w:rFonts w:ascii="Times New Roman" w:hAnsi="Times New Roman" w:cs="Times New Roman"/>
            <w:sz w:val="24"/>
            <w:szCs w:val="24"/>
          </w:rPr>
          <w:t>https://servicom.gov.ng/wp-content/uploads/2020/08/Delivering-</w:t>
        </w:r>
        <w:r w:rsidRPr="00FB7035">
          <w:rPr>
            <w:rStyle w:val="Hyperlink"/>
            <w:rFonts w:ascii="Times New Roman" w:hAnsi="Times New Roman" w:cs="Times New Roman"/>
            <w:sz w:val="24"/>
            <w:szCs w:val="24"/>
          </w:rPr>
          <w:tab/>
          <w:t>Service-in-Nigeria-A-Roadmap-2.pdf</w:t>
        </w:r>
      </w:hyperlink>
      <w:r w:rsidRPr="00FB7035">
        <w:rPr>
          <w:rFonts w:ascii="Times New Roman" w:hAnsi="Times New Roman" w:cs="Times New Roman"/>
          <w:sz w:val="24"/>
          <w:szCs w:val="24"/>
        </w:rPr>
        <w:t xml:space="preserve"> </w:t>
      </w:r>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t xml:space="preserve">Singh, A., </w:t>
      </w:r>
      <w:proofErr w:type="spellStart"/>
      <w:r w:rsidRPr="00FB7035">
        <w:rPr>
          <w:rFonts w:ascii="Times New Roman" w:hAnsi="Times New Roman" w:cs="Times New Roman"/>
          <w:sz w:val="24"/>
          <w:szCs w:val="24"/>
        </w:rPr>
        <w:t>Abedin</w:t>
      </w:r>
      <w:proofErr w:type="spellEnd"/>
      <w:r w:rsidRPr="00FB7035">
        <w:rPr>
          <w:rFonts w:ascii="Times New Roman" w:hAnsi="Times New Roman" w:cs="Times New Roman"/>
          <w:sz w:val="24"/>
          <w:szCs w:val="24"/>
        </w:rPr>
        <w:t xml:space="preserve">, F., &amp; </w:t>
      </w:r>
      <w:proofErr w:type="spellStart"/>
      <w:r w:rsidRPr="00FB7035">
        <w:rPr>
          <w:rFonts w:ascii="Times New Roman" w:hAnsi="Times New Roman" w:cs="Times New Roman"/>
          <w:sz w:val="24"/>
          <w:szCs w:val="24"/>
        </w:rPr>
        <w:t>Alam</w:t>
      </w:r>
      <w:proofErr w:type="spellEnd"/>
      <w:r w:rsidRPr="00FB7035">
        <w:rPr>
          <w:rFonts w:ascii="Times New Roman" w:hAnsi="Times New Roman" w:cs="Times New Roman"/>
          <w:sz w:val="24"/>
          <w:szCs w:val="24"/>
        </w:rPr>
        <w:t xml:space="preserve">, M. (2021). Internal audit efficiency and public sector performance </w:t>
      </w:r>
      <w:r w:rsidRPr="00FB7035">
        <w:rPr>
          <w:rFonts w:ascii="Times New Roman" w:hAnsi="Times New Roman" w:cs="Times New Roman"/>
          <w:sz w:val="24"/>
          <w:szCs w:val="24"/>
        </w:rPr>
        <w:tab/>
        <w:t>in Nigeria. </w:t>
      </w:r>
      <w:r w:rsidRPr="00FB7035">
        <w:rPr>
          <w:rFonts w:ascii="Times New Roman" w:hAnsi="Times New Roman" w:cs="Times New Roman"/>
          <w:i/>
          <w:iCs/>
          <w:sz w:val="24"/>
          <w:szCs w:val="24"/>
        </w:rPr>
        <w:t xml:space="preserve">Global Journal of Management and Business Research: Accounting and </w:t>
      </w:r>
      <w:r w:rsidRPr="00FB7035">
        <w:rPr>
          <w:rFonts w:ascii="Times New Roman" w:hAnsi="Times New Roman" w:cs="Times New Roman"/>
          <w:i/>
          <w:iCs/>
          <w:sz w:val="24"/>
          <w:szCs w:val="24"/>
        </w:rPr>
        <w:tab/>
        <w:t>Auditing</w:t>
      </w:r>
      <w:r w:rsidRPr="00FB7035">
        <w:rPr>
          <w:rFonts w:ascii="Times New Roman" w:hAnsi="Times New Roman" w:cs="Times New Roman"/>
          <w:sz w:val="24"/>
          <w:szCs w:val="24"/>
        </w:rPr>
        <w:t xml:space="preserve">, 21(6), </w:t>
      </w:r>
      <w:r w:rsidRPr="00FB7035">
        <w:rPr>
          <w:rFonts w:ascii="Times New Roman" w:hAnsi="Times New Roman" w:cs="Times New Roman"/>
          <w:sz w:val="24"/>
          <w:szCs w:val="24"/>
        </w:rPr>
        <w:tab/>
        <w:t>30-40.</w:t>
      </w:r>
    </w:p>
    <w:p w:rsidR="00FB7035" w:rsidRPr="00FB7035" w:rsidRDefault="00FB7035" w:rsidP="00616D8C">
      <w:pPr>
        <w:spacing w:after="0" w:line="240" w:lineRule="auto"/>
        <w:jc w:val="both"/>
        <w:rPr>
          <w:rFonts w:ascii="Times New Roman" w:hAnsi="Times New Roman" w:cs="Times New Roman"/>
          <w:sz w:val="24"/>
          <w:szCs w:val="24"/>
        </w:rPr>
      </w:pPr>
      <w:r w:rsidRPr="00FB7035">
        <w:rPr>
          <w:rFonts w:ascii="Times New Roman" w:hAnsi="Times New Roman" w:cs="Times New Roman"/>
          <w:sz w:val="24"/>
          <w:szCs w:val="24"/>
        </w:rPr>
        <w:t xml:space="preserve">Thomson, W. (2020). Delivering service in Nigeria: The challenge of service quality and </w:t>
      </w:r>
      <w:r w:rsidRPr="00FB7035">
        <w:rPr>
          <w:rFonts w:ascii="Times New Roman" w:hAnsi="Times New Roman" w:cs="Times New Roman"/>
          <w:sz w:val="24"/>
          <w:szCs w:val="24"/>
        </w:rPr>
        <w:tab/>
        <w:t>responsiveness. Public Administration Review, 80(3), 473-487.</w:t>
      </w:r>
    </w:p>
    <w:p w:rsidR="002F7F38" w:rsidRDefault="002F7F38">
      <w:pPr>
        <w:rPr>
          <w:rFonts w:ascii="Times New Roman" w:hAnsi="Times New Roman" w:cs="Times New Roman"/>
          <w:sz w:val="24"/>
          <w:szCs w:val="24"/>
        </w:rPr>
      </w:pPr>
    </w:p>
    <w:sectPr w:rsidR="002F7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C8E"/>
    <w:multiLevelType w:val="multilevel"/>
    <w:tmpl w:val="15C488E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AE60B5"/>
    <w:multiLevelType w:val="multilevel"/>
    <w:tmpl w:val="742C40E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D984B41"/>
    <w:multiLevelType w:val="hybridMultilevel"/>
    <w:tmpl w:val="33906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B1C77"/>
    <w:multiLevelType w:val="multilevel"/>
    <w:tmpl w:val="6140443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8C6088"/>
    <w:multiLevelType w:val="multilevel"/>
    <w:tmpl w:val="20C4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112989"/>
    <w:multiLevelType w:val="hybridMultilevel"/>
    <w:tmpl w:val="1B4E0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BA1140"/>
    <w:multiLevelType w:val="multilevel"/>
    <w:tmpl w:val="E480A00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D7D1E6C"/>
    <w:multiLevelType w:val="multilevel"/>
    <w:tmpl w:val="ABEE7C6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2"/>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361"/>
    <w:rsid w:val="00060B99"/>
    <w:rsid w:val="001E6BDA"/>
    <w:rsid w:val="00247F09"/>
    <w:rsid w:val="00293721"/>
    <w:rsid w:val="002F7F38"/>
    <w:rsid w:val="003A0A12"/>
    <w:rsid w:val="003E3361"/>
    <w:rsid w:val="003F2636"/>
    <w:rsid w:val="003F4CFE"/>
    <w:rsid w:val="004F5CB2"/>
    <w:rsid w:val="005D51C5"/>
    <w:rsid w:val="00607D74"/>
    <w:rsid w:val="00616D8C"/>
    <w:rsid w:val="00645D73"/>
    <w:rsid w:val="00683861"/>
    <w:rsid w:val="006C253C"/>
    <w:rsid w:val="007D3D11"/>
    <w:rsid w:val="00931714"/>
    <w:rsid w:val="009642B1"/>
    <w:rsid w:val="009A427A"/>
    <w:rsid w:val="00A81F00"/>
    <w:rsid w:val="00AB3179"/>
    <w:rsid w:val="00AD5DA7"/>
    <w:rsid w:val="00B07C30"/>
    <w:rsid w:val="00B33256"/>
    <w:rsid w:val="00B41E64"/>
    <w:rsid w:val="00B7765A"/>
    <w:rsid w:val="00C3477D"/>
    <w:rsid w:val="00C80EC3"/>
    <w:rsid w:val="00D6267A"/>
    <w:rsid w:val="00DC4A1D"/>
    <w:rsid w:val="00E10DDC"/>
    <w:rsid w:val="00E554DE"/>
    <w:rsid w:val="00E7111F"/>
    <w:rsid w:val="00E90686"/>
    <w:rsid w:val="00F51CF4"/>
    <w:rsid w:val="00FB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F7B8B-FCD8-44D7-AB1A-F4D056A8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C4A1D"/>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E3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claude-response-body">
    <w:name w:val="font-claude-response-body"/>
    <w:basedOn w:val="Normal"/>
    <w:rsid w:val="00DC4A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4A1D"/>
    <w:rPr>
      <w:i/>
      <w:iCs/>
    </w:rPr>
  </w:style>
  <w:style w:type="paragraph" w:styleId="ListParagraph">
    <w:name w:val="List Paragraph"/>
    <w:basedOn w:val="Normal"/>
    <w:uiPriority w:val="34"/>
    <w:qFormat/>
    <w:rsid w:val="00DC4A1D"/>
    <w:pPr>
      <w:ind w:left="720"/>
      <w:contextualSpacing/>
    </w:pPr>
  </w:style>
  <w:style w:type="character" w:styleId="Strong">
    <w:name w:val="Strong"/>
    <w:basedOn w:val="DefaultParagraphFont"/>
    <w:uiPriority w:val="22"/>
    <w:qFormat/>
    <w:rsid w:val="00DC4A1D"/>
    <w:rPr>
      <w:b/>
      <w:bCs/>
    </w:rPr>
  </w:style>
  <w:style w:type="paragraph" w:customStyle="1" w:styleId="my-2">
    <w:name w:val="my-2"/>
    <w:basedOn w:val="Normal"/>
    <w:rsid w:val="00DC4A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DC4A1D"/>
  </w:style>
  <w:style w:type="character" w:customStyle="1" w:styleId="mord">
    <w:name w:val="mord"/>
    <w:basedOn w:val="DefaultParagraphFont"/>
    <w:rsid w:val="00DC4A1D"/>
  </w:style>
  <w:style w:type="character" w:customStyle="1" w:styleId="Heading3Char">
    <w:name w:val="Heading 3 Char"/>
    <w:basedOn w:val="DefaultParagraphFont"/>
    <w:link w:val="Heading3"/>
    <w:uiPriority w:val="9"/>
    <w:semiHidden/>
    <w:rsid w:val="00DC4A1D"/>
    <w:rPr>
      <w:rFonts w:eastAsiaTheme="majorEastAsia" w:cstheme="majorBidi"/>
      <w:color w:val="2E74B5" w:themeColor="accent1" w:themeShade="BF"/>
      <w:kern w:val="2"/>
      <w:sz w:val="28"/>
      <w:szCs w:val="28"/>
      <w14:ligatures w14:val="standardContextual"/>
    </w:rPr>
  </w:style>
  <w:style w:type="table" w:styleId="TableGrid">
    <w:name w:val="Table Grid"/>
    <w:basedOn w:val="TableNormal"/>
    <w:uiPriority w:val="39"/>
    <w:rsid w:val="00DC4A1D"/>
    <w:pPr>
      <w:spacing w:after="0" w:line="240" w:lineRule="auto"/>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1F00"/>
    <w:rPr>
      <w:color w:val="0000FF"/>
      <w:u w:val="single"/>
    </w:rPr>
  </w:style>
  <w:style w:type="paragraph" w:styleId="PlainText">
    <w:name w:val="Plain Text"/>
    <w:basedOn w:val="Normal"/>
    <w:link w:val="PlainTextChar"/>
    <w:uiPriority w:val="99"/>
    <w:unhideWhenUsed/>
    <w:rsid w:val="00B41E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41E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8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jaf.com.ng/index.php/majaf/article/view/175" TargetMode="External"/><Relationship Id="rId13" Type="http://schemas.openxmlformats.org/officeDocument/2006/relationships/hyperlink" Target="http://doi.org/10.64643/JATIRV1I1-140013-00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1099-1123.2008.00392.x" TargetMode="External"/><Relationship Id="rId12" Type="http://schemas.openxmlformats.org/officeDocument/2006/relationships/hyperlink" Target="https://doi.org/10.1108/02686900710750757" TargetMode="External"/><Relationship Id="rId17" Type="http://schemas.openxmlformats.org/officeDocument/2006/relationships/hyperlink" Target="https://servicom.gov.ng/wp-content/uploads/2020/08/Delivering-%09Service-in-Nigeria-A-Roadmap-2.pdf" TargetMode="External"/><Relationship Id="rId2" Type="http://schemas.openxmlformats.org/officeDocument/2006/relationships/styles" Target="styles.xml"/><Relationship Id="rId16" Type="http://schemas.openxmlformats.org/officeDocument/2006/relationships/hyperlink" Target="https://dx.doi.org/10.47772/IJRISS.2025.9040022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08/JEAS-07-2015-0023" TargetMode="External"/><Relationship Id="rId5" Type="http://schemas.openxmlformats.org/officeDocument/2006/relationships/hyperlink" Target="mailto:nurudeen313@gmail.com;+2348034652697-" TargetMode="External"/><Relationship Id="rId15" Type="http://schemas.openxmlformats.org/officeDocument/2006/relationships/hyperlink" Target="https://doi.org/10.57233/ijamer.v1i3.05" TargetMode="External"/><Relationship Id="rId10" Type="http://schemas.openxmlformats.org/officeDocument/2006/relationships/hyperlink" Target="https://doi.org/10.1108/MAJ-09-2016-14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jaf.com.ng/index.php/majaf/index" TargetMode="External"/><Relationship Id="rId14" Type="http://schemas.openxmlformats.org/officeDocument/2006/relationships/hyperlink" Target="https://www.seahipublications.org/wp-content/uploads/2024/05/IJBLR-M-%09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6548</Words>
  <Characters>37328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2026-04-27T11:21:00Z</dcterms:created>
  <dcterms:modified xsi:type="dcterms:W3CDTF">2026-04-27T11:21:00Z</dcterms:modified>
</cp:coreProperties>
</file>