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F844">
      <w:pPr>
        <w:spacing w:before="100" w:beforeAutospacing="1" w:after="100" w:afterAutospacing="1" w:line="240" w:lineRule="auto"/>
        <w:jc w:val="center"/>
        <w:outlineLvl w:val="0"/>
        <w:rPr>
          <w:rFonts w:ascii="Times New Roman" w:hAnsi="Times New Roman" w:eastAsia="Times New Roman" w:cs="Times New Roman"/>
          <w:kern w:val="36"/>
          <w:sz w:val="32"/>
          <w:szCs w:val="32"/>
          <w:lang w:eastAsia="id-ID" w:bidi="ar-SA"/>
          <w14:ligatures w14:val="none"/>
        </w:rPr>
      </w:pPr>
      <w:r>
        <w:rPr>
          <w:rFonts w:hint="default" w:ascii="Times New Roman" w:hAnsi="Times New Roman" w:eastAsia="Times New Roman" w:cs="Times New Roman"/>
          <w:kern w:val="36"/>
          <w:sz w:val="32"/>
          <w:szCs w:val="32"/>
          <w:lang w:val="en-US" w:eastAsia="id-ID" w:bidi="ar-SA"/>
          <w14:ligatures w14:val="none"/>
        </w:rPr>
        <w:t>The Influence of Skilled Labor on Economic and Social Growth in the ASEAN Region</w:t>
      </w:r>
    </w:p>
    <w:p w14:paraId="054894D9">
      <w:pPr>
        <w:spacing w:before="100" w:beforeAutospacing="1" w:after="100" w:afterAutospacing="1" w:line="240" w:lineRule="auto"/>
        <w:jc w:val="center"/>
        <w:outlineLvl w:val="0"/>
        <w:rPr>
          <w:rFonts w:ascii="Times New Roman" w:hAnsi="Times New Roman" w:eastAsia="Times New Roman" w:cs="Times New Roman"/>
          <w:kern w:val="36"/>
          <w:sz w:val="32"/>
          <w:szCs w:val="32"/>
          <w:lang w:eastAsia="id-ID" w:bidi="ar-SA"/>
          <w14:ligatures w14:val="none"/>
        </w:rPr>
      </w:pPr>
      <w:r>
        <w:rPr>
          <w:rFonts w:ascii="Times New Roman" w:hAnsi="Times New Roman" w:eastAsia="Times New Roman" w:cs="Times New Roman"/>
          <w:kern w:val="36"/>
          <w:sz w:val="32"/>
          <w:szCs w:val="32"/>
          <w:lang w:eastAsia="id-ID" w:bidi="ar-SA"/>
          <w14:ligatures w14:val="none"/>
        </w:rPr>
        <w:t xml:space="preserve"/>
      </w:r>
    </w:p>
    <w:p w14:paraId="33C8ACA5">
      <w:pPr>
        <w:spacing w:before="100" w:beforeAutospacing="1" w:after="100" w:afterAutospacing="1" w:line="240" w:lineRule="auto"/>
        <w:jc w:val="center"/>
        <w:outlineLvl w:val="0"/>
        <w:rPr>
          <w:rFonts w:hint="default" w:ascii="Times New Roman" w:hAnsi="Times New Roman" w:eastAsia="Times New Roman" w:cs="Times New Roman"/>
          <w:kern w:val="36"/>
          <w:sz w:val="32"/>
          <w:szCs w:val="32"/>
          <w:lang w:val="en-US" w:eastAsia="id-ID" w:bidi="ar-SA"/>
          <w14:ligatures w14:val="none"/>
        </w:rPr>
      </w:pPr>
      <w:r>
        <w:rPr>
          <w:rFonts w:hint="default" w:ascii="Times New Roman" w:hAnsi="Times New Roman" w:eastAsia="Times New Roman" w:cs="Times New Roman"/>
          <w:kern w:val="36"/>
          <w:sz w:val="32"/>
          <w:szCs w:val="32"/>
          <w:lang w:val="en-US" w:eastAsia="id-ID" w:bidi="ar-SA"/>
          <w14:ligatures w14:val="none"/>
        </w:rPr>
        <w:t/>
      </w:r>
    </w:p>
    <w:p w14:paraId="0FE33EF8">
      <w:pPr>
        <w:spacing w:before="100" w:beforeAutospacing="1" w:after="100" w:afterAutospacing="1" w:line="240" w:lineRule="auto"/>
        <w:jc w:val="center"/>
        <w:outlineLvl w:val="0"/>
        <w:rPr>
          <w:rFonts w:hint="default" w:ascii="Times New Roman" w:hAnsi="Times New Roman" w:eastAsia="Times New Roman" w:cs="Times New Roman"/>
          <w:kern w:val="36"/>
          <w:sz w:val="32"/>
          <w:szCs w:val="32"/>
          <w:lang w:val="en-US" w:eastAsia="id-ID" w:bidi="ar-SA"/>
          <w14:ligatures w14:val="none"/>
        </w:rPr>
      </w:pPr>
      <w:r>
        <w:rPr>
          <w:rFonts w:hint="default" w:ascii="Times New Roman" w:hAnsi="Times New Roman" w:eastAsia="Times New Roman" w:cs="Times New Roman"/>
          <w:kern w:val="36"/>
          <w:sz w:val="32"/>
          <w:szCs w:val="32"/>
          <w:lang w:val="en-US" w:eastAsia="id-ID" w:bidi="ar-SA"/>
          <w14:ligatures w14:val="none"/>
        </w:rPr>
        <w:t/>
      </w:r>
    </w:p>
    <w:p w14:paraId="3F2805E1">
      <w:pPr>
        <w:spacing w:before="100" w:beforeAutospacing="1" w:after="100" w:afterAutospacing="1" w:line="240" w:lineRule="auto"/>
        <w:jc w:val="center"/>
        <w:outlineLvl w:val="0"/>
        <w:rPr>
          <w:rFonts w:ascii="Times New Roman" w:hAnsi="Times New Roman" w:eastAsia="Times New Roman" w:cs="Times New Roman"/>
          <w:kern w:val="36"/>
          <w:sz w:val="32"/>
          <w:szCs w:val="32"/>
          <w:lang w:eastAsia="id-ID" w:bidi="ar-SA"/>
          <w14:ligatures w14:val="none"/>
        </w:rPr>
      </w:pPr>
      <w:r>
        <w:rPr>
          <w:rFonts w:ascii="Times New Roman" w:hAnsi="Times New Roman" w:eastAsia="Times New Roman" w:cs="Times New Roman"/>
          <w:kern w:val="36"/>
          <w:sz w:val="32"/>
          <w:szCs w:val="32"/>
          <w:lang w:eastAsia="id-ID" w:bidi="ar-SA"/>
          <w14:ligatures w14:val="none"/>
        </w:rPr>
        <w:t/>
      </w:r>
    </w:p>
    <w:p w14:paraId="5679EDAB">
      <w:pPr>
        <w:spacing w:before="100" w:beforeAutospacing="1" w:after="100" w:afterAutospacing="1" w:line="240" w:lineRule="auto"/>
        <w:jc w:val="center"/>
        <w:outlineLvl w:val="0"/>
        <w:rPr>
          <w:rFonts w:ascii="Times New Roman" w:hAnsi="Times New Roman" w:eastAsia="Times New Roman" w:cs="Times New Roman"/>
          <w:b/>
          <w:bCs/>
          <w:kern w:val="36"/>
          <w:sz w:val="36"/>
          <w:szCs w:val="36"/>
          <w:lang w:eastAsia="id-ID" w:bidi="ar-SA"/>
          <w14:ligatures w14:val="none"/>
        </w:rPr>
      </w:pPr>
    </w:p>
    <w:p w14:paraId="6941787E">
      <w:pPr>
        <w:spacing w:after="0" w:line="240" w:lineRule="auto"/>
        <w:jc w:val="center"/>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Abstract</w:t>
      </w:r>
    </w:p>
    <w:p w14:paraId="1B45445A">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1BE24029">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The availability of a skilled workforce is a crucial factor in driving economic growth and social development in the ASEAN region. In the era of globalization and regional economic integration, the quality of human resources is a key determinant of a country's competitiveness. This study aims to analyze how the availability of a skilled workforce and its contribution to economic growth impact social aspects in ASEAN countries. The research method used is a quantitative approach with descriptive analysis based on literature studies and secondary data from various international reports, such as the World Bank, the International Labour Organization (ILO), and the ASEAN Statistical Yearbook.</w:t>
      </w:r>
    </w:p>
    <w:p w14:paraId="5C27CA9A">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6A481D3F">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The results show that ASEAN countries with higher levels of skilled workforces tend to experience more stable economic growth, increased industrial productivity, and greater innovation capabilities. Furthermore, a skilled workforce also has social impacts such as improved quality of life, reduced unemployment rates, and increased social mobility. However, skills gaps exist among ASEAN countries, which remain a challenge to regional economic integration. Therefore, policies focused on strengthening education systems, vocational training, and regional cooperation in workforce skills development are needed. This research is expected to contribute to the development of human resource policies to support sustainable economic and social development in the ASEAN region.</w:t>
      </w:r>
    </w:p>
    <w:p w14:paraId="60D0A142">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5B14436F">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Keywords</w:t>
      </w:r>
      <w:r>
        <w:rPr>
          <w:rFonts w:hint="default" w:ascii="Times New Roman" w:hAnsi="Times New Roman" w:eastAsia="Times New Roman" w:cs="Times New Roman"/>
          <w:b w:val="0"/>
          <w:bCs w:val="0"/>
          <w:kern w:val="0"/>
          <w:sz w:val="24"/>
          <w:szCs w:val="24"/>
          <w:lang w:eastAsia="id-ID" w:bidi="ar-SA"/>
          <w14:ligatures w14:val="none"/>
        </w:rPr>
        <w:t>: Skilled Workforce, Economic Growth, Social Development, ASEAN, Human Resources</w:t>
      </w:r>
    </w:p>
    <w:p w14:paraId="359C2F67">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52EF5FB0">
      <w:pPr>
        <w:spacing w:after="0" w:line="240" w:lineRule="auto"/>
        <w:jc w:val="both"/>
        <w:rPr>
          <w:rFonts w:hint="default" w:ascii="Times New Roman" w:hAnsi="Times New Roman" w:eastAsia="Times New Roman" w:cs="Times New Roman"/>
          <w:b w:val="0"/>
          <w:bCs w:val="0"/>
          <w:kern w:val="0"/>
          <w:sz w:val="24"/>
          <w:szCs w:val="24"/>
          <w:lang w:eastAsia="id-ID" w:bidi="ar-SA"/>
          <w14:ligatures w14:val="none"/>
        </w:rPr>
      </w:pPr>
    </w:p>
    <w:p w14:paraId="3266B7E5">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75A0517F">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7FE7755E">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7EC1027C">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57C5AE7B">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20E938EA">
      <w:pPr>
        <w:spacing w:after="0" w:line="240" w:lineRule="auto"/>
        <w:rPr>
          <w:rFonts w:hint="default" w:ascii="Times New Roman" w:hAnsi="Times New Roman" w:eastAsia="Times New Roman" w:cs="Times New Roman"/>
          <w:b/>
          <w:bCs/>
          <w:kern w:val="0"/>
          <w:sz w:val="24"/>
          <w:szCs w:val="24"/>
          <w:lang w:eastAsia="id-ID" w:bidi="ar-SA"/>
          <w14:ligatures w14:val="none"/>
        </w:rPr>
      </w:pPr>
    </w:p>
    <w:p w14:paraId="4B4D0365">
      <w:pPr>
        <w:spacing w:after="0" w:line="240" w:lineRule="auto"/>
        <w:rPr>
          <w:rFonts w:ascii="Times New Roman" w:hAnsi="Times New Roman" w:eastAsia="Times New Roman" w:cs="Times New Roman"/>
          <w:kern w:val="0"/>
          <w:sz w:val="24"/>
          <w:szCs w:val="24"/>
          <w:lang w:eastAsia="id-ID" w:bidi="ar-SA"/>
          <w14:ligatures w14:val="none"/>
        </w:rPr>
      </w:pPr>
    </w:p>
    <w:p w14:paraId="561F7A86">
      <w:pPr>
        <w:spacing w:after="0" w:line="240" w:lineRule="auto"/>
        <w:rPr>
          <w:rFonts w:ascii="Times New Roman" w:hAnsi="Times New Roman" w:eastAsia="Times New Roman" w:cs="Times New Roman"/>
          <w:kern w:val="0"/>
          <w:sz w:val="24"/>
          <w:szCs w:val="24"/>
          <w:lang w:eastAsia="id-ID" w:bidi="ar-SA"/>
          <w14:ligatures w14:val="none"/>
        </w:rPr>
      </w:pPr>
    </w:p>
    <w:p w14:paraId="39EC4EBB">
      <w:pPr>
        <w:spacing w:after="0" w:line="240" w:lineRule="auto"/>
        <w:rPr>
          <w:rFonts w:ascii="Times New Roman" w:hAnsi="Times New Roman" w:eastAsia="Times New Roman" w:cs="Times New Roman"/>
          <w:kern w:val="0"/>
          <w:sz w:val="24"/>
          <w:szCs w:val="24"/>
          <w:lang w:eastAsia="id-ID" w:bidi="ar-SA"/>
          <w14:ligatures w14:val="none"/>
        </w:rPr>
      </w:pPr>
    </w:p>
    <w:p w14:paraId="2D95AF15">
      <w:pPr>
        <w:spacing w:after="0" w:line="240" w:lineRule="auto"/>
        <w:rPr>
          <w:rFonts w:ascii="Times New Roman" w:hAnsi="Times New Roman" w:eastAsia="Times New Roman" w:cs="Times New Roman"/>
          <w:kern w:val="0"/>
          <w:sz w:val="24"/>
          <w:szCs w:val="24"/>
          <w:lang w:eastAsia="id-ID" w:bidi="ar-SA"/>
          <w14:ligatures w14:val="none"/>
        </w:rPr>
      </w:pPr>
    </w:p>
    <w:p w14:paraId="3A3C78C1">
      <w:pPr>
        <w:pStyle w:val="17"/>
        <w:spacing w:line="276" w:lineRule="auto"/>
        <w:ind w:firstLine="720"/>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Background</w:t>
      </w:r>
    </w:p>
    <w:p w14:paraId="746E5B8F">
      <w:pPr>
        <w:pStyle w:val="17"/>
        <w:spacing w:line="276" w:lineRule="auto"/>
        <w:ind w:firstLine="720"/>
        <w:jc w:val="both"/>
        <w:rPr>
          <w:rFonts w:hint="default"/>
        </w:rPr>
      </w:pPr>
      <w:r>
        <w:rPr>
          <w:rFonts w:hint="default"/>
        </w:rPr>
        <w:t>The Association of Southeast Asian Nations (ASEAN) region has experienced dynamic economic growth in recent decades. Regional economic integration through the establishment of the ASEAN Economic Community (AEC) has opened up significant opportunities for increased trade, investment, and labor mobility among member countries. Within this economic integration, the quality of human resources is a crucial factor in determining a country's economic competitiveness. Countries that can provide a skilled and qualified workforce tend to be better able to drive sustainable economic growth and improve public welfare.</w:t>
      </w:r>
    </w:p>
    <w:p w14:paraId="5341F903">
      <w:pPr>
        <w:pStyle w:val="17"/>
        <w:spacing w:line="276" w:lineRule="auto"/>
        <w:ind w:firstLine="720"/>
        <w:jc w:val="both"/>
        <w:rPr>
          <w:rFonts w:hint="default"/>
        </w:rPr>
      </w:pPr>
      <w:r>
        <w:rPr>
          <w:rFonts w:hint="default"/>
        </w:rPr>
        <w:t>The increasingly competitive global economy demands that countries improve the quality of their workforce. The transformation to a knowledge-based economy has changed the structure of the labor market, where technical skills, technological adaptability, and innovation capacity are crucial factors. In this context, the availability of a skilled workforce is not only a necessity for the modern industrial sector but also a key pillar in increasing overall economic productivity and efficiency.</w:t>
      </w:r>
    </w:p>
    <w:p w14:paraId="3427AD21">
      <w:pPr>
        <w:pStyle w:val="17"/>
        <w:spacing w:line="276" w:lineRule="auto"/>
        <w:ind w:firstLine="720"/>
        <w:jc w:val="both"/>
        <w:rPr>
          <w:rFonts w:hint="default"/>
        </w:rPr>
      </w:pPr>
      <w:r>
        <w:rPr>
          <w:rFonts w:hint="default"/>
        </w:rPr>
        <w:t>A skilled workforce plays a strategic role in driving economic growth because it can increase productivity in the production sector and accelerate technological innovation. Human resources with adequate skills can contribute directly to increased economic output, both through increased work efficiency and through the development of more innovative products and services. Therefore, investing in workforce skills development through education and training is a crucial strategy for enhancing a country's economic competitiveness. In the ASEAN region, the availability of skilled labor still shows significant variation across countries. Several countries, such as Singapore and Malaysia, have successfully established education and training systems capable of producing a highly skilled workforce. These countries also have relatively strong policies for human resource development, including investment in higher education, vocational training, and digital skills development. This contributes to their ability to attract foreign investment and develop technology- and innovation-based industrial sectors. Conversely, several developing countries in ASEAN still face various challenges in improving the quality of their workforce. These challenges include limited access to quality education, low participation rates in skills training, and a mismatch between the skills possessed by the workforce and labor market needs.</w:t>
      </w:r>
    </w:p>
    <w:p w14:paraId="144D4779">
      <w:pPr>
        <w:pStyle w:val="17"/>
        <w:spacing w:line="276" w:lineRule="auto"/>
        <w:ind w:firstLine="720"/>
        <w:jc w:val="both"/>
        <w:rPr>
          <w:rFonts w:hint="default"/>
        </w:rPr>
      </w:pPr>
      <w:r>
        <w:rPr>
          <w:rFonts w:hint="default"/>
        </w:rPr>
        <w:t>As a result, the potential for economic growth cannot be optimally utilized. In addition to impacting economic growth, the availability of a skilled workforce also has significant implications for social development. A skilled workforce generally has greater job opportunities and earns higher incomes than less skilled workers. This contributes to improving public welfare, reducing poverty, and improving the overall quality of life. Therefore, workforce skills development is not only an economic issue but also a crucial part of social development efforts. In the context of ASEAN regional integration, skilled labor mobility has also become a strategic issue that is receiving increasing attention. ASEAN has developed various regional cooperation mechanisms, one of which is the Mutual Recognition Arrangements (MRAS), which allows for the recognition of professional qualifications among member countries. This policy aims to facilitate the mobility of professional workers such as engineers, architects, health workers, and other professions within the ASEAN region. This mechanism is expected to create a more dynamic and competitive regional labor market. However, the implementation of skilled labor mobility in the ASEAN region still faces various obstacles. Differences in educational standards, professional certification systems, and employment policies across countries often hinder regional labor market integration. Furthermore, disparities in economic development across ASEAN countries can also trigger unbalanced labor migration flows, which ultimately pose new challenges in labor market management.</w:t>
      </w:r>
    </w:p>
    <w:p w14:paraId="58B6788B">
      <w:pPr>
        <w:spacing w:before="100" w:beforeAutospacing="1" w:after="100" w:afterAutospacing="1" w:line="276" w:lineRule="auto"/>
        <w:jc w:val="both"/>
        <w:outlineLvl w:val="1"/>
        <w:rPr>
          <w:rFonts w:hint="default" w:ascii="Times New Roman" w:hAnsi="Times New Roman" w:cs="Times New Roman"/>
          <w:sz w:val="24"/>
          <w:szCs w:val="24"/>
        </w:rPr>
      </w:pPr>
      <w:r>
        <w:rPr>
          <w:rFonts w:hint="default" w:ascii="Times New Roman" w:hAnsi="Times New Roman" w:cs="Times New Roman"/>
          <w:sz w:val="24"/>
          <w:szCs w:val="24"/>
        </w:rPr>
        <w:t>Based on these various conditions, a study on the impact of the availability of skilled labor on economic growth and social development in the ASEAN region is very important to conduct. A more comprehensive understanding of the relationship between labor quality and economic development can provide a strong foundation for the formulation of more effective policies in human resource development. Therefore, this research is expected to provide academic contributions and serve as a reference for the government and stakeholders in formulating workforce development strategies capable of supporting sustainable economic growth and social welfare in the ASEAN region. Based on the background above, the problem formulation in this research is:</w:t>
      </w:r>
    </w:p>
    <w:p w14:paraId="154CB743">
      <w:pPr>
        <w:spacing w:before="100" w:beforeAutospacing="1" w:after="100" w:afterAutospacing="1" w:line="276" w:lineRule="auto"/>
        <w:ind w:firstLine="720" w:firstLineChars="0"/>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Formulation of the problem</w:t>
      </w:r>
    </w:p>
    <w:p w14:paraId="1F941C4F">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Based on this background, the research questions are as follows:</w:t>
      </w:r>
    </w:p>
    <w:p w14:paraId="20314506">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1. How does the availability of skilled labor affect economic growth in ASEAN </w:t>
      </w:r>
      <w:r>
        <w:rPr>
          <w:rFonts w:hint="default" w:ascii="Times New Roman" w:hAnsi="Times New Roman" w:eastAsia="Times New Roman" w:cs="Times New Roman"/>
          <w:kern w:val="0"/>
          <w:sz w:val="24"/>
          <w:szCs w:val="24"/>
          <w:lang w:val="en-US" w:eastAsia="id-ID" w:bidi="ar-SA"/>
          <w14:ligatures w14:val="none"/>
        </w:rPr>
        <w:tab/>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countries?</w:t>
      </w:r>
    </w:p>
    <w:p w14:paraId="78599C37">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2. How does the availability of skilled labor impact social development in the ASEAN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region?</w:t>
      </w:r>
    </w:p>
    <w:p w14:paraId="4B07B9F1">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 xml:space="preserve">3. What are the challenges and opportunities in developing a skilled labor force in </w:t>
      </w:r>
      <w:r>
        <w:rPr>
          <w:rFonts w:hint="default" w:ascii="Times New Roman" w:hAnsi="Times New Roman" w:eastAsia="Times New Roman" w:cs="Times New Roman"/>
          <w:kern w:val="0"/>
          <w:sz w:val="24"/>
          <w:szCs w:val="24"/>
          <w:lang w:val="en-US" w:eastAsia="id-ID" w:bidi="ar-SA"/>
          <w14:ligatures w14:val="none"/>
        </w:rPr>
        <w:tab/>
      </w:r>
      <w:r>
        <w:rPr>
          <w:rFonts w:hint="default" w:ascii="Times New Roman" w:hAnsi="Times New Roman" w:eastAsia="Times New Roman" w:cs="Times New Roman"/>
          <w:kern w:val="0"/>
          <w:sz w:val="24"/>
          <w:szCs w:val="24"/>
          <w:lang w:eastAsia="id-ID" w:bidi="ar-SA"/>
          <w14:ligatures w14:val="none"/>
        </w:rPr>
        <w:t>ASEAN countries?</w:t>
      </w:r>
    </w:p>
    <w:p w14:paraId="134E6ADA">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p>
    <w:p w14:paraId="3D8FDD82">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p>
    <w:p w14:paraId="24A76CB3">
      <w:pPr>
        <w:spacing w:before="100" w:beforeAutospacing="1" w:after="100" w:afterAutospacing="1" w:line="276" w:lineRule="auto"/>
        <w:ind w:firstLine="720" w:firstLineChars="0"/>
        <w:jc w:val="both"/>
        <w:rPr>
          <w:rFonts w:hint="default" w:ascii="Times New Roman" w:hAnsi="Times New Roman" w:eastAsia="Times New Roman" w:cs="Times New Roman"/>
          <w:kern w:val="0"/>
          <w:sz w:val="24"/>
          <w:szCs w:val="24"/>
          <w:lang w:eastAsia="id-ID" w:bidi="ar-SA"/>
          <w14:ligatures w14:val="none"/>
        </w:rPr>
      </w:pPr>
    </w:p>
    <w:p w14:paraId="65CFE2F8">
      <w:pPr>
        <w:spacing w:before="100" w:beforeAutospacing="1" w:after="100" w:afterAutospacing="1" w:line="276" w:lineRule="auto"/>
        <w:rPr>
          <w:rFonts w:ascii="Times New Roman" w:hAnsi="Times New Roman" w:eastAsia="Times New Roman" w:cs="Times New Roman"/>
          <w:kern w:val="0"/>
          <w:sz w:val="24"/>
          <w:szCs w:val="24"/>
          <w:lang w:eastAsia="id-ID" w:bidi="ar-SA"/>
          <w14:ligatures w14:val="none"/>
        </w:rPr>
      </w:pPr>
    </w:p>
    <w:p w14:paraId="579E80D8">
      <w:pPr>
        <w:spacing w:before="100" w:beforeAutospacing="1" w:after="100" w:afterAutospacing="1" w:line="240" w:lineRule="auto"/>
        <w:outlineLvl w:val="0"/>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Research Objectives</w:t>
      </w:r>
    </w:p>
    <w:p w14:paraId="5D181165">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This research aims to:</w:t>
      </w:r>
    </w:p>
    <w:p w14:paraId="4A72C79A">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 xml:space="preserve">1. Analyze the relationship between the availability of skilled labor and economic </w:t>
      </w:r>
      <w:r>
        <w:rPr>
          <w:rFonts w:hint="default" w:ascii="Times New Roman" w:hAnsi="Times New Roman" w:eastAsia="Times New Roman" w:cs="Times New Roman"/>
          <w:b w:val="0"/>
          <w:bCs w:val="0"/>
          <w:kern w:val="0"/>
          <w:sz w:val="24"/>
          <w:szCs w:val="24"/>
          <w:lang w:val="en-US" w:eastAsia="id-ID" w:bidi="ar-SA"/>
          <w14:ligatures w14:val="none"/>
        </w:rPr>
        <w:tab/>
      </w:r>
      <w:r>
        <w:rPr>
          <w:rFonts w:hint="default" w:ascii="Times New Roman" w:hAnsi="Times New Roman" w:eastAsia="Times New Roman" w:cs="Times New Roman"/>
          <w:b w:val="0"/>
          <w:bCs w:val="0"/>
          <w:kern w:val="0"/>
          <w:sz w:val="24"/>
          <w:szCs w:val="24"/>
          <w:lang w:eastAsia="id-ID" w:bidi="ar-SA"/>
          <w14:ligatures w14:val="none"/>
        </w:rPr>
        <w:t>growth in ASEAN.</w:t>
      </w:r>
    </w:p>
    <w:p w14:paraId="09A3BBD3">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2. Examine the social impact of the presence of skilled labor on society.</w:t>
      </w:r>
    </w:p>
    <w:p w14:paraId="2B9603C6">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 xml:space="preserve">3. Identify challenges and strategies for developing a skilled labor force to support </w:t>
      </w:r>
      <w:r>
        <w:rPr>
          <w:rFonts w:hint="default" w:ascii="Times New Roman" w:hAnsi="Times New Roman" w:eastAsia="Times New Roman" w:cs="Times New Roman"/>
          <w:b w:val="0"/>
          <w:bCs w:val="0"/>
          <w:kern w:val="0"/>
          <w:sz w:val="24"/>
          <w:szCs w:val="24"/>
          <w:lang w:val="en-US" w:eastAsia="id-ID" w:bidi="ar-SA"/>
          <w14:ligatures w14:val="none"/>
        </w:rPr>
        <w:tab/>
      </w:r>
      <w:r>
        <w:rPr>
          <w:rFonts w:hint="default" w:ascii="Times New Roman" w:hAnsi="Times New Roman" w:eastAsia="Times New Roman" w:cs="Times New Roman"/>
          <w:b w:val="0"/>
          <w:bCs w:val="0"/>
          <w:kern w:val="0"/>
          <w:sz w:val="24"/>
          <w:szCs w:val="24"/>
          <w:lang w:eastAsia="id-ID" w:bidi="ar-SA"/>
          <w14:ligatures w14:val="none"/>
        </w:rPr>
        <w:t>sustainable development in the ASEAN region.</w:t>
      </w:r>
    </w:p>
    <w:p w14:paraId="156FEB9A">
      <w:pPr>
        <w:spacing w:before="100" w:beforeAutospacing="1" w:after="100" w:afterAutospacing="1" w:line="240" w:lineRule="auto"/>
        <w:ind w:firstLine="720" w:firstLineChars="0"/>
        <w:jc w:val="both"/>
        <w:outlineLvl w:val="0"/>
        <w:rPr>
          <w:rFonts w:hint="default" w:ascii="Times New Roman" w:hAnsi="Times New Roman" w:eastAsia="Times New Roman" w:cs="Times New Roman"/>
          <w:b w:val="0"/>
          <w:bCs w:val="0"/>
          <w:kern w:val="0"/>
          <w:sz w:val="24"/>
          <w:szCs w:val="24"/>
          <w:lang w:eastAsia="id-ID" w:bidi="ar-SA"/>
          <w14:ligatures w14:val="none"/>
        </w:rPr>
      </w:pPr>
    </w:p>
    <w:p w14:paraId="0A3869E4">
      <w:pPr>
        <w:spacing w:before="100" w:beforeAutospacing="1" w:after="100" w:afterAutospacing="1" w:line="276" w:lineRule="auto"/>
        <w:ind w:firstLine="720"/>
        <w:jc w:val="both"/>
        <w:rPr>
          <w:rFonts w:hint="default" w:ascii="Times New Roman" w:hAnsi="Times New Roman" w:eastAsia="Times New Roman" w:cs="Times New Roman"/>
          <w:b/>
          <w:bCs/>
          <w:kern w:val="36"/>
          <w:sz w:val="24"/>
          <w:szCs w:val="24"/>
          <w:lang w:eastAsia="id-ID" w:bidi="ar-SA"/>
          <w14:ligatures w14:val="none"/>
        </w:rPr>
      </w:pPr>
      <w:r>
        <w:rPr>
          <w:rFonts w:hint="default" w:ascii="Times New Roman" w:hAnsi="Times New Roman" w:eastAsia="Times New Roman" w:cs="Times New Roman"/>
          <w:b/>
          <w:bCs/>
          <w:kern w:val="36"/>
          <w:sz w:val="24"/>
          <w:szCs w:val="24"/>
          <w:lang w:eastAsia="id-ID" w:bidi="ar-SA"/>
          <w14:ligatures w14:val="none"/>
        </w:rPr>
        <w:t>Research Methodology</w:t>
      </w:r>
    </w:p>
    <w:p w14:paraId="0B0E1A4C">
      <w:pPr>
        <w:spacing w:before="100" w:beforeAutospacing="1" w:after="100" w:afterAutospacing="1" w:line="276" w:lineRule="auto"/>
        <w:jc w:val="both"/>
        <w:rPr>
          <w:rFonts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This study uses a quantitative approach with simple regression analysis to examine the impact of skilled labor availability on economic growth and social development in the ASEAN region. A quantitative approach was chosen because this study aims to empirically measure the relationship between variables and identify the extent to which skilled labor influences economic growth in ASEAN countries. A quantitative approach allows researchers to systematically test relationships between variables through statistical analysis, allowing the results to provide a more objective picture of the phenomenon under study (Creswell, 2014). Simple regression methods were used to analyze the influence of independent variables on the dependent variable in this study. In the context of economic research, regression analysis is often used to determine the relationship between economic variables and to quantitatively measure the influence of one factor on another (Gujarati &amp; Porter, 2009). Through this method, the study can explain the extent to which skilled labor availability contributes to increased economic growth in the ASEAN region.</w:t>
      </w:r>
    </w:p>
    <w:p w14:paraId="5AB350A8">
      <w:pPr>
        <w:spacing w:before="100" w:beforeAutospacing="1" w:after="100" w:afterAutospacing="1" w:line="276" w:lineRule="auto"/>
        <w:ind w:firstLine="36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This model is used to determine the extent to which skilled labor influences economic growth in ASEAN countries. Simple regression analysis allows researchers to identify the direction of the relationship between variables, whether it is positive or negative, and to measure the magnitude of the resulting influence (Wooldridge, 2016). This study uses secondary data obtained from various relevant and highly credible sources. Primary data was obtained from reports from international institutions such as the World Bank, the International Labour Organization (ILO), the Asian Development Bank (ADB), and official ASEAN publications related to labor conditions and economic growth in the ASEAN region. Secondary data in this study comes from various scientific journals and academic books discussing human capital theory, economic growth, and skilled labor development. The collected data were then analyzed using descriptive statistical analysis techniques and simple regression to identify the relationship between the availability of skilled labor and economic growth in the ASEAN region.</w:t>
      </w:r>
    </w:p>
    <w:p w14:paraId="2AA69ACA">
      <w:pPr>
        <w:spacing w:before="100" w:beforeAutospacing="1" w:after="100" w:afterAutospacing="1" w:line="276" w:lineRule="auto"/>
        <w:ind w:firstLine="360"/>
        <w:jc w:val="both"/>
        <w:rPr>
          <w:rFonts w:hint="default" w:ascii="Times New Roman" w:hAnsi="Times New Roman" w:eastAsia="Times New Roman" w:cs="Times New Roman"/>
          <w:kern w:val="0"/>
          <w:sz w:val="24"/>
          <w:szCs w:val="24"/>
          <w:lang w:eastAsia="id-ID" w:bidi="ar-SA"/>
          <w14:ligatures w14:val="none"/>
        </w:rPr>
      </w:pPr>
    </w:p>
    <w:p w14:paraId="7AC621EC">
      <w:pPr>
        <w:spacing w:before="100" w:beforeAutospacing="1" w:after="100" w:afterAutospacing="1" w:line="276" w:lineRule="auto"/>
        <w:outlineLvl w:val="0"/>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Descriptive statistical analysis was used to describe the general condition of skilled labor in ASEAN countries, while regression analysis was used to empirically measure the influence of skilled labor on economic growth. Through this approach, the research is expected to provide a more comprehensive understanding of the role of skilled labor in supporting economic and social development in the ASEAN region.</w:t>
      </w:r>
    </w:p>
    <w:p w14:paraId="595298AA">
      <w:pPr>
        <w:spacing w:before="100" w:beforeAutospacing="1" w:after="100" w:afterAutospacing="1" w:line="276" w:lineRule="auto"/>
        <w:ind w:firstLine="720"/>
        <w:jc w:val="both"/>
        <w:rPr>
          <w:rFonts w:hint="default" w:ascii="Times New Roman" w:hAnsi="Times New Roman" w:eastAsia="Times New Roman" w:cs="Times New Roman"/>
          <w:b/>
          <w:bCs/>
          <w:kern w:val="36"/>
          <w:sz w:val="24"/>
          <w:szCs w:val="24"/>
          <w:lang w:eastAsia="id-ID" w:bidi="ar-SA"/>
          <w14:ligatures w14:val="none"/>
        </w:rPr>
      </w:pPr>
      <w:r>
        <w:rPr>
          <w:rFonts w:hint="default" w:ascii="Times New Roman" w:hAnsi="Times New Roman" w:eastAsia="Times New Roman" w:cs="Times New Roman"/>
          <w:b/>
          <w:bCs/>
          <w:kern w:val="36"/>
          <w:sz w:val="24"/>
          <w:szCs w:val="24"/>
          <w:lang w:eastAsia="id-ID" w:bidi="ar-SA"/>
          <w14:ligatures w14:val="none"/>
        </w:rPr>
        <w:t>Results and Discussion</w:t>
      </w:r>
    </w:p>
    <w:p w14:paraId="35554CD1">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The availability of skilled labor is a crucial factor in determining a country's economic competitiveness, particularly in the era of globalization and regional economic integration, as is the case in the ASEAN region. Skilled labor not only plays a role in increasing economic productivity but also plays a key role in driving innovation, technology adoption, and the development of high-value-added industrial sectors. In this context, the quality of human resources is a crucial element in determining the success of economic development in the ASEAN region. ASEAN member countries have varying economic characteristics and levels of development, resulting in significant variations in the availability of skilled labor in the region. Singapore has one of the highest levels of labor quality in the ASEAN region, compared to other ASEAN countries such as Brunei Darussalam, Malaysia, Thailand, and Vietnam (UNDP: 2025).</w:t>
      </w:r>
    </w:p>
    <w:p w14:paraId="05B6A13A">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An advanced education system, substantial investment in research and development, and government policies supporting innovation have made Singapore one of the leading knowledge-based economic hubs in Asia. Malaysia has also shown significant progress in developing a skilled workforce, particularly through various higher education and vocational training programs integrated with industry needs, with a human development index of 0.81. The Malaysian government actively promotes workforce skills development through policies that support technological development and improve the quality of education. Meanwhile, countries such as Indonesia, Vietnam, and the Philippines have large workforces but still face challenges in improving the quality of their workforce skills (UNDP: 2025). These challenges include limited access to quality education, a lack of vocational training programs relevant to industry needs, and a gap between the skills possessed by the workforce and the demands of the labor market.</w:t>
      </w:r>
    </w:p>
    <w:p w14:paraId="1FB03715">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These differences in workforce skill levels affect a country's ability to attract foreign investment and develop high-value-added industrial sectors. Countries with a skilled workforce tend to be better able to attract investment in high-tech sectors, while countries with a low-skilled workforce often rely more heavily on economic sectors based on cheap labor.</w:t>
      </w:r>
    </w:p>
    <w:p w14:paraId="4E4010BD">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p>
    <w:p w14:paraId="13597B8A">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p>
    <w:p w14:paraId="3948911A">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p>
    <w:p w14:paraId="7FB07733">
      <w:pPr>
        <w:numPr>
          <w:ilvl w:val="0"/>
          <w:numId w:val="1"/>
        </w:num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Analysis of the Impact of Skilled Labor on Economic Growth in ASEAN</w:t>
      </w:r>
    </w:p>
    <w:p w14:paraId="044F360F">
      <w:pPr>
        <w:numPr>
          <w:numId w:val="0"/>
        </w:numPr>
        <w:spacing w:after="0" w:line="276" w:lineRule="auto"/>
        <w:jc w:val="both"/>
        <w:rPr>
          <w:rFonts w:hint="default" w:ascii="Times New Roman" w:hAnsi="Times New Roman" w:eastAsia="Times New Roman" w:cs="Times New Roman"/>
          <w:kern w:val="0"/>
          <w:sz w:val="24"/>
          <w:szCs w:val="24"/>
          <w:lang w:eastAsia="id-ID" w:bidi="ar-SA"/>
          <w14:ligatures w14:val="none"/>
        </w:rPr>
      </w:pPr>
    </w:p>
    <w:p w14:paraId="03978091">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To analyze the relationship between the availability of skilled labor and economic growth in the ASEAN region, a simple regression model was used, utilizing secondary data from several ASEAN member countries. This analysis aims to determine the extent to which skilled labor contributes to increased economic growth in the region. The analytical model used in this study is as follows:</w:t>
      </w:r>
    </w:p>
    <w:p w14:paraId="48E8A148">
      <w:pPr>
        <w:spacing w:after="0" w:line="276" w:lineRule="auto"/>
        <w:jc w:val="both"/>
        <w:rPr>
          <w:rFonts w:hint="default" w:ascii="Times New Roman" w:hAnsi="Times New Roman" w:eastAsia="Times New Roman" w:cs="Times New Roman"/>
          <w:kern w:val="0"/>
          <w:sz w:val="24"/>
          <w:szCs w:val="24"/>
          <w:lang w:eastAsia="id-ID" w:bidi="ar-SA"/>
          <w14:ligatures w14:val="none"/>
        </w:rPr>
      </w:pPr>
    </w:p>
    <w:p w14:paraId="22D2E343">
      <w:pPr>
        <w:spacing w:after="0" w:line="276" w:lineRule="auto"/>
        <w:jc w:val="both"/>
        <w:rPr>
          <w:rFonts w:ascii="Times New Roman" w:hAnsi="Times New Roman" w:eastAsia="Times New Roman" w:cs="Times New Roman"/>
          <w:b/>
          <w:bCs/>
          <w:kern w:val="0"/>
          <w:sz w:val="24"/>
          <w:szCs w:val="24"/>
          <w:lang w:eastAsia="id-ID" w:bidi="ar-SA"/>
          <w14:ligatures w14:val="none"/>
        </w:rPr>
      </w:pPr>
      <m:oMathPara>
        <m:oMath>
          <m:r>
            <m:rPr>
              <m:sty m:val="bi"/>
            </m:rPr>
            <w:rPr>
              <w:rFonts w:ascii="Cambria Math" w:hAnsi="Cambria Math" w:eastAsia="Times New Roman" w:cs="Times New Roman"/>
              <w:kern w:val="0"/>
              <w:sz w:val="24"/>
              <w:szCs w:val="24"/>
              <w:lang w:eastAsia="id-ID" w:bidi="ar-SA"/>
              <w14:ligatures w14:val="none"/>
            </w:rPr>
            <m:t>GDP=</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0</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1</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Skilled Labor+</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2</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Education+</m:t>
          </m:r>
          <m:sSub>
            <m:sSubPr>
              <m:ctrlPr>
                <w:rPr>
                  <w:rFonts w:ascii="Cambria Math" w:hAnsi="Cambria Math" w:eastAsia="Times New Roman" w:cs="Times New Roman"/>
                  <w:b/>
                  <w:bCs/>
                  <w:kern w:val="0"/>
                  <w:sz w:val="24"/>
                  <w:szCs w:val="24"/>
                  <w:lang w:eastAsia="id-ID" w:bidi="ar-SA"/>
                  <w14:ligatures w14:val="none"/>
                </w:rPr>
              </m:ctrlPr>
            </m:sSubPr>
            <m:e>
              <m:r>
                <m:rPr>
                  <m:sty m:val="bi"/>
                </m:rPr>
                <w:rPr>
                  <w:rFonts w:ascii="Cambria Math" w:hAnsi="Cambria Math" w:eastAsia="Times New Roman" w:cs="Times New Roman"/>
                  <w:kern w:val="0"/>
                  <w:sz w:val="24"/>
                  <w:szCs w:val="24"/>
                  <w:lang w:eastAsia="id-ID" w:bidi="ar-SA"/>
                  <w14:ligatures w14:val="none"/>
                </w:rPr>
                <m:t>β</m:t>
              </m:r>
              <m:ctrlPr>
                <w:rPr>
                  <w:rFonts w:ascii="Cambria Math" w:hAnsi="Cambria Math" w:eastAsia="Times New Roman" w:cs="Times New Roman"/>
                  <w:b/>
                  <w:bCs/>
                  <w:kern w:val="0"/>
                  <w:sz w:val="24"/>
                  <w:szCs w:val="24"/>
                  <w:lang w:eastAsia="id-ID" w:bidi="ar-SA"/>
                  <w14:ligatures w14:val="none"/>
                </w:rPr>
              </m:ctrlPr>
            </m:e>
            <m:sub>
              <m:r>
                <m:rPr>
                  <m:sty m:val="bi"/>
                </m:rPr>
                <w:rPr>
                  <w:rFonts w:ascii="Cambria Math" w:hAnsi="Cambria Math" w:eastAsia="Times New Roman" w:cs="Times New Roman"/>
                  <w:kern w:val="0"/>
                  <w:sz w:val="24"/>
                  <w:szCs w:val="24"/>
                  <w:lang w:eastAsia="id-ID" w:bidi="ar-SA"/>
                  <w14:ligatures w14:val="none"/>
                </w:rPr>
                <m:t>3</m:t>
              </m:r>
              <m:ctrlPr>
                <w:rPr>
                  <w:rFonts w:ascii="Cambria Math" w:hAnsi="Cambria Math" w:eastAsia="Times New Roman" w:cs="Times New Roman"/>
                  <w:b/>
                  <w:bCs/>
                  <w:kern w:val="0"/>
                  <w:sz w:val="24"/>
                  <w:szCs w:val="24"/>
                  <w:lang w:eastAsia="id-ID" w:bidi="ar-SA"/>
                  <w14:ligatures w14:val="none"/>
                </w:rPr>
              </m:ctrlPr>
            </m:sub>
          </m:sSub>
          <m:r>
            <m:rPr>
              <m:sty m:val="bi"/>
            </m:rPr>
            <w:rPr>
              <w:rFonts w:ascii="Cambria Math" w:hAnsi="Cambria Math" w:eastAsia="Times New Roman" w:cs="Times New Roman"/>
              <w:kern w:val="0"/>
              <w:sz w:val="24"/>
              <w:szCs w:val="24"/>
              <w:lang w:eastAsia="id-ID" w:bidi="ar-SA"/>
              <w14:ligatures w14:val="none"/>
            </w:rPr>
            <m:t>Investment+ε</m:t>
          </m:r>
        </m:oMath>
      </m:oMathPara>
    </w:p>
    <w:p w14:paraId="2298BD02">
      <w:pPr>
        <w:spacing w:before="100" w:beforeAutospacing="1" w:after="100" w:afterAutospacing="1" w:line="276" w:lineRule="auto"/>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Variable description:</w:t>
      </w:r>
    </w:p>
    <w:p w14:paraId="037E61A3">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1. GDP: Economic growth</w:t>
      </w:r>
    </w:p>
    <w:p w14:paraId="2006463F">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2. Skilled Labor: Percentage of skilled labor</w:t>
      </w:r>
    </w:p>
    <w:p w14:paraId="11B7E849">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3. Education: Education level of the workforce</w:t>
      </w:r>
    </w:p>
    <w:p w14:paraId="4017774A">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4. Investment: Foreign direct investment</w:t>
      </w:r>
    </w:p>
    <w:p w14:paraId="3FE9EB98">
      <w:pPr>
        <w:spacing w:before="100" w:beforeAutospacing="1" w:after="100" w:afterAutospacing="1"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Based on the regression estimation results, the following results were obtained:</w:t>
      </w:r>
    </w:p>
    <w:tbl>
      <w:tblPr>
        <w:tblStyle w:val="12"/>
        <w:tblW w:w="0" w:type="auto"/>
        <w:tblCellSpacing w:w="15" w:type="dxa"/>
        <w:tblInd w:w="0" w:type="dxa"/>
        <w:tblLayout w:type="autofit"/>
        <w:tblCellMar>
          <w:top w:w="15" w:type="dxa"/>
          <w:left w:w="15" w:type="dxa"/>
          <w:bottom w:w="15" w:type="dxa"/>
          <w:right w:w="15" w:type="dxa"/>
        </w:tblCellMar>
      </w:tblPr>
      <w:tblGrid>
        <w:gridCol w:w="1299"/>
        <w:gridCol w:w="1190"/>
        <w:gridCol w:w="1007"/>
        <w:gridCol w:w="1256"/>
      </w:tblGrid>
      <w:tr w14:paraId="04FE3CF9">
        <w:tblPrEx>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4" w:space="0"/>
              <w:right w:val="single" w:color="auto" w:sz="4" w:space="0"/>
            </w:tcBorders>
            <w:vAlign w:val="center"/>
          </w:tcPr>
          <w:p w14:paraId="024113D0">
            <w:pPr>
              <w:spacing w:after="0" w:line="276" w:lineRule="auto"/>
              <w:jc w:val="both"/>
              <w:rPr>
                <w:rFonts w:hint="default" w:ascii="Times New Roman" w:hAnsi="Times New Roman" w:eastAsia="Times New Roman" w:cs="Times New Roman"/>
                <w:b/>
                <w:bCs/>
                <w:kern w:val="0"/>
                <w:sz w:val="24"/>
                <w:szCs w:val="24"/>
                <w:lang w:val="en-US" w:eastAsia="id-ID" w:bidi="ar-SA"/>
                <w14:ligatures w14:val="none"/>
              </w:rPr>
            </w:pPr>
            <w:r>
              <w:rPr>
                <w:rFonts w:ascii="Times New Roman" w:hAnsi="Times New Roman" w:eastAsia="Times New Roman" w:cs="Times New Roman"/>
                <w:b/>
                <w:bCs/>
                <w:kern w:val="0"/>
                <w:sz w:val="24"/>
                <w:szCs w:val="24"/>
                <w:lang w:eastAsia="id-ID" w:bidi="ar-SA"/>
                <w14:ligatures w14:val="none"/>
              </w:rPr>
              <w:t>Variabl</w:t>
            </w:r>
            <w:r>
              <w:rPr>
                <w:rFonts w:hint="default" w:ascii="Times New Roman" w:hAnsi="Times New Roman" w:eastAsia="Times New Roman" w:cs="Times New Roman"/>
                <w:b/>
                <w:bCs/>
                <w:kern w:val="0"/>
                <w:sz w:val="24"/>
                <w:szCs w:val="24"/>
                <w:lang w:val="en-US" w:eastAsia="id-ID" w:bidi="ar-SA"/>
                <w14:ligatures w14:val="none"/>
              </w:rPr>
              <w:t>e</w:t>
            </w:r>
          </w:p>
        </w:tc>
        <w:tc>
          <w:tcPr>
            <w:tcW w:w="0" w:type="auto"/>
            <w:tcBorders>
              <w:top w:val="single" w:color="auto" w:sz="4" w:space="0"/>
              <w:right w:val="single" w:color="auto" w:sz="4" w:space="0"/>
            </w:tcBorders>
            <w:vAlign w:val="center"/>
          </w:tcPr>
          <w:p w14:paraId="15A1C418">
            <w:pPr>
              <w:spacing w:after="0" w:line="276" w:lineRule="auto"/>
              <w:jc w:val="both"/>
              <w:rPr>
                <w:rFonts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Coefficient</w:t>
            </w:r>
          </w:p>
        </w:tc>
        <w:tc>
          <w:tcPr>
            <w:tcW w:w="0" w:type="auto"/>
            <w:tcBorders>
              <w:top w:val="single" w:color="auto" w:sz="4" w:space="0"/>
            </w:tcBorders>
            <w:vAlign w:val="center"/>
          </w:tcPr>
          <w:p w14:paraId="79EC82AB">
            <w:pPr>
              <w:spacing w:after="0" w:line="276" w:lineRule="auto"/>
              <w:jc w:val="both"/>
              <w:rPr>
                <w:rFonts w:hint="default" w:ascii="Times New Roman" w:hAnsi="Times New Roman" w:eastAsia="Times New Roman" w:cs="Times New Roman"/>
                <w:b/>
                <w:bCs/>
                <w:kern w:val="0"/>
                <w:sz w:val="24"/>
                <w:szCs w:val="24"/>
                <w:lang w:val="en-US" w:eastAsia="id-ID" w:bidi="ar-SA"/>
                <w14:ligatures w14:val="none"/>
              </w:rPr>
            </w:pPr>
            <w:r>
              <w:rPr>
                <w:rFonts w:ascii="Times New Roman" w:hAnsi="Times New Roman" w:eastAsia="Times New Roman" w:cs="Times New Roman"/>
                <w:b/>
                <w:bCs/>
                <w:kern w:val="0"/>
                <w:sz w:val="24"/>
                <w:szCs w:val="24"/>
                <w:lang w:eastAsia="id-ID" w:bidi="ar-SA"/>
                <w14:ligatures w14:val="none"/>
              </w:rPr>
              <w:t>t-statisti</w:t>
            </w:r>
            <w:r>
              <w:rPr>
                <w:rFonts w:hint="default" w:ascii="Times New Roman" w:hAnsi="Times New Roman" w:eastAsia="Times New Roman" w:cs="Times New Roman"/>
                <w:b/>
                <w:bCs/>
                <w:kern w:val="0"/>
                <w:sz w:val="24"/>
                <w:szCs w:val="24"/>
                <w:lang w:val="en-US" w:eastAsia="id-ID" w:bidi="ar-SA"/>
                <w14:ligatures w14:val="none"/>
              </w:rPr>
              <w:t>c</w:t>
            </w:r>
          </w:p>
        </w:tc>
        <w:tc>
          <w:tcPr>
            <w:tcW w:w="0" w:type="auto"/>
            <w:tcBorders>
              <w:top w:val="single" w:color="auto" w:sz="4" w:space="0"/>
              <w:left w:val="single" w:color="auto" w:sz="4" w:space="0"/>
              <w:right w:val="single" w:color="auto" w:sz="4" w:space="0"/>
            </w:tcBorders>
            <w:vAlign w:val="center"/>
          </w:tcPr>
          <w:p w14:paraId="015DC293">
            <w:pPr>
              <w:spacing w:after="0" w:line="276" w:lineRule="auto"/>
              <w:jc w:val="both"/>
              <w:rPr>
                <w:rFonts w:hint="default" w:ascii="Times New Roman" w:hAnsi="Times New Roman" w:eastAsia="Times New Roman" w:cs="Times New Roman"/>
                <w:b/>
                <w:bCs/>
                <w:kern w:val="0"/>
                <w:sz w:val="24"/>
                <w:szCs w:val="24"/>
                <w:lang w:val="en-US" w:eastAsia="id-ID" w:bidi="ar-SA"/>
                <w14:ligatures w14:val="none"/>
              </w:rPr>
            </w:pPr>
            <w:r>
              <w:rPr>
                <w:rFonts w:ascii="Times New Roman" w:hAnsi="Times New Roman" w:eastAsia="Times New Roman" w:cs="Times New Roman"/>
                <w:b/>
                <w:bCs/>
                <w:kern w:val="0"/>
                <w:sz w:val="24"/>
                <w:szCs w:val="24"/>
                <w:lang w:eastAsia="id-ID" w:bidi="ar-SA"/>
                <w14:ligatures w14:val="none"/>
              </w:rPr>
              <w:t>Probabilit</w:t>
            </w:r>
            <w:r>
              <w:rPr>
                <w:rFonts w:hint="default" w:ascii="Times New Roman" w:hAnsi="Times New Roman" w:eastAsia="Times New Roman" w:cs="Times New Roman"/>
                <w:b/>
                <w:bCs/>
                <w:kern w:val="0"/>
                <w:sz w:val="24"/>
                <w:szCs w:val="24"/>
                <w:lang w:val="en-US" w:eastAsia="id-ID" w:bidi="ar-SA"/>
                <w14:ligatures w14:val="none"/>
              </w:rPr>
              <w:t>y</w:t>
            </w:r>
          </w:p>
        </w:tc>
      </w:tr>
      <w:tr w14:paraId="05F90D87">
        <w:tblPrEx>
          <w:tblCellMar>
            <w:top w:w="15" w:type="dxa"/>
            <w:left w:w="15" w:type="dxa"/>
            <w:bottom w:w="15" w:type="dxa"/>
            <w:right w:w="15" w:type="dxa"/>
          </w:tblCellMar>
        </w:tblPrEx>
        <w:trPr>
          <w:tblCellSpacing w:w="15" w:type="dxa"/>
        </w:trPr>
        <w:tc>
          <w:tcPr>
            <w:tcW w:w="0" w:type="auto"/>
            <w:tcBorders>
              <w:top w:val="single" w:color="auto" w:sz="4" w:space="0"/>
              <w:left w:val="single" w:color="auto" w:sz="4" w:space="0"/>
              <w:right w:val="single" w:color="auto" w:sz="4" w:space="0"/>
            </w:tcBorders>
            <w:vAlign w:val="center"/>
          </w:tcPr>
          <w:p w14:paraId="2875DF72">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Constants</w:t>
            </w:r>
          </w:p>
        </w:tc>
        <w:tc>
          <w:tcPr>
            <w:tcW w:w="0" w:type="auto"/>
            <w:tcBorders>
              <w:top w:val="single" w:color="auto" w:sz="4" w:space="0"/>
              <w:right w:val="single" w:color="auto" w:sz="4" w:space="0"/>
            </w:tcBorders>
            <w:vAlign w:val="center"/>
          </w:tcPr>
          <w:p w14:paraId="4D09E639">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1.52</w:t>
            </w:r>
          </w:p>
        </w:tc>
        <w:tc>
          <w:tcPr>
            <w:tcW w:w="0" w:type="auto"/>
            <w:tcBorders>
              <w:top w:val="single" w:color="auto" w:sz="4" w:space="0"/>
            </w:tcBorders>
            <w:vAlign w:val="center"/>
          </w:tcPr>
          <w:p w14:paraId="0FD1F00A">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2.01</w:t>
            </w:r>
          </w:p>
        </w:tc>
        <w:tc>
          <w:tcPr>
            <w:tcW w:w="0" w:type="auto"/>
            <w:tcBorders>
              <w:top w:val="single" w:color="auto" w:sz="4" w:space="0"/>
              <w:left w:val="single" w:color="auto" w:sz="4" w:space="0"/>
              <w:right w:val="single" w:color="auto" w:sz="4" w:space="0"/>
            </w:tcBorders>
            <w:vAlign w:val="center"/>
          </w:tcPr>
          <w:p w14:paraId="03F26AD5">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0.048</w:t>
            </w:r>
          </w:p>
        </w:tc>
      </w:tr>
      <w:tr w14:paraId="51EAC5E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E88A499">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Skilled Labor</w:t>
            </w:r>
          </w:p>
        </w:tc>
        <w:tc>
          <w:tcPr>
            <w:tcW w:w="0" w:type="auto"/>
            <w:tcBorders>
              <w:right w:val="single" w:color="auto" w:sz="4" w:space="0"/>
            </w:tcBorders>
            <w:vAlign w:val="center"/>
          </w:tcPr>
          <w:p w14:paraId="1B1F5009">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0.47</w:t>
            </w:r>
          </w:p>
        </w:tc>
        <w:tc>
          <w:tcPr>
            <w:tcW w:w="0" w:type="auto"/>
            <w:vAlign w:val="center"/>
          </w:tcPr>
          <w:p w14:paraId="1B4E2391">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3.26</w:t>
            </w:r>
          </w:p>
        </w:tc>
        <w:tc>
          <w:tcPr>
            <w:tcW w:w="0" w:type="auto"/>
            <w:tcBorders>
              <w:left w:val="single" w:color="auto" w:sz="4" w:space="0"/>
              <w:right w:val="single" w:color="auto" w:sz="4" w:space="0"/>
            </w:tcBorders>
            <w:vAlign w:val="center"/>
          </w:tcPr>
          <w:p w14:paraId="1FB7314B">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0.002</w:t>
            </w:r>
          </w:p>
        </w:tc>
      </w:tr>
      <w:tr w14:paraId="5749F21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6B685C9">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Education</w:t>
            </w:r>
          </w:p>
        </w:tc>
        <w:tc>
          <w:tcPr>
            <w:tcW w:w="0" w:type="auto"/>
            <w:tcBorders>
              <w:right w:val="single" w:color="auto" w:sz="4" w:space="0"/>
            </w:tcBorders>
            <w:vAlign w:val="center"/>
          </w:tcPr>
          <w:p w14:paraId="13372E37">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0.39</w:t>
            </w:r>
          </w:p>
        </w:tc>
        <w:tc>
          <w:tcPr>
            <w:tcW w:w="0" w:type="auto"/>
            <w:vAlign w:val="center"/>
          </w:tcPr>
          <w:p w14:paraId="46F49E51">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2.84</w:t>
            </w:r>
          </w:p>
        </w:tc>
        <w:tc>
          <w:tcPr>
            <w:tcW w:w="0" w:type="auto"/>
            <w:tcBorders>
              <w:left w:val="single" w:color="auto" w:sz="4" w:space="0"/>
              <w:right w:val="single" w:color="auto" w:sz="4" w:space="0"/>
            </w:tcBorders>
            <w:vAlign w:val="center"/>
          </w:tcPr>
          <w:p w14:paraId="316A54F4">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0.006</w:t>
            </w:r>
          </w:p>
        </w:tc>
      </w:tr>
      <w:tr w14:paraId="5DB69C62">
        <w:tblPrEx>
          <w:tblCellMar>
            <w:top w:w="15" w:type="dxa"/>
            <w:left w:w="15" w:type="dxa"/>
            <w:bottom w:w="15" w:type="dxa"/>
            <w:right w:w="15" w:type="dxa"/>
          </w:tblCellMar>
        </w:tblPrEx>
        <w:trPr>
          <w:tblCellSpacing w:w="15" w:type="dxa"/>
        </w:trPr>
        <w:tc>
          <w:tcPr>
            <w:tcW w:w="0" w:type="auto"/>
            <w:tcBorders>
              <w:left w:val="single" w:color="auto" w:sz="4" w:space="0"/>
              <w:bottom w:val="single" w:color="auto" w:sz="4" w:space="0"/>
              <w:right w:val="single" w:color="auto" w:sz="4" w:space="0"/>
            </w:tcBorders>
            <w:vAlign w:val="center"/>
          </w:tcPr>
          <w:p w14:paraId="4AD8B026">
            <w:pPr>
              <w:spacing w:after="0" w:line="276" w:lineRule="auto"/>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cs="Times New Roman"/>
              </w:rPr>
              <w:t>Investment</w:t>
            </w:r>
          </w:p>
        </w:tc>
        <w:tc>
          <w:tcPr>
            <w:tcW w:w="0" w:type="auto"/>
            <w:tcBorders>
              <w:bottom w:val="single" w:color="auto" w:sz="4" w:space="0"/>
              <w:right w:val="single" w:color="auto" w:sz="4" w:space="0"/>
            </w:tcBorders>
            <w:vAlign w:val="center"/>
          </w:tcPr>
          <w:p w14:paraId="75EA7532">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0.31</w:t>
            </w:r>
          </w:p>
        </w:tc>
        <w:tc>
          <w:tcPr>
            <w:tcW w:w="0" w:type="auto"/>
            <w:tcBorders>
              <w:bottom w:val="single" w:color="auto" w:sz="4" w:space="0"/>
            </w:tcBorders>
            <w:vAlign w:val="center"/>
          </w:tcPr>
          <w:p w14:paraId="3E9F05BC">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2.19</w:t>
            </w:r>
          </w:p>
        </w:tc>
        <w:tc>
          <w:tcPr>
            <w:tcW w:w="0" w:type="auto"/>
            <w:tcBorders>
              <w:left w:val="single" w:color="auto" w:sz="4" w:space="0"/>
              <w:bottom w:val="single" w:color="auto" w:sz="4" w:space="0"/>
              <w:right w:val="single" w:color="auto" w:sz="4" w:space="0"/>
            </w:tcBorders>
            <w:vAlign w:val="center"/>
          </w:tcPr>
          <w:p w14:paraId="75ABDFD3">
            <w:pPr>
              <w:spacing w:after="0" w:line="276"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0.034</w:t>
            </w:r>
          </w:p>
        </w:tc>
      </w:tr>
    </w:tbl>
    <w:p w14:paraId="5D167952">
      <w:pPr>
        <w:pStyle w:val="34"/>
        <w:numPr>
          <w:numId w:val="0"/>
        </w:numPr>
        <w:spacing w:before="100" w:beforeAutospacing="1" w:after="100" w:afterAutospacing="1" w:line="276" w:lineRule="auto"/>
        <w:ind w:left="720" w:leftChars="0"/>
        <w:jc w:val="both"/>
        <w:rPr>
          <w:rFonts w:hint="default" w:ascii="Times New Roman" w:hAnsi="Times New Roman" w:eastAsia="Times New Roman" w:cs="Times New Roman"/>
          <w:kern w:val="0"/>
          <w:sz w:val="24"/>
          <w:szCs w:val="24"/>
          <w:lang w:eastAsia="id-ID" w:bidi="ar-SA"/>
          <w14:ligatures w14:val="none"/>
        </w:rPr>
      </w:pPr>
    </w:p>
    <w:p w14:paraId="266B39BD">
      <w:pPr>
        <w:pStyle w:val="34"/>
        <w:numPr>
          <w:numId w:val="0"/>
        </w:numPr>
        <w:spacing w:before="100" w:beforeAutospacing="1" w:after="100" w:afterAutospacing="1" w:line="276" w:lineRule="auto"/>
        <w:ind w:left="720" w:leftChars="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The analysis results show that the skilled labor variable has a positive coefficient of 0.47 and is statistically significant. This indicates that an increase in skilled labor has a positive and significant influence on economic growth in ASEAN countries. Interpretation of these results indicates that every 1 percent increase in skilled labor can increase economic growth by approximately 0.47 percent. This finding is in line with human capital theory, which states that improving the quality of human resources can increase economic productivity and encourage long-term economic growth. The education variable shows a significant influence on economic growth with a coefficient of 0.39. This indicates that a higher level of education can improve the quality of the workforce and strengthen the capacity for innovation in the economy. Education plays a role in improving individuals' ability to adopt new technologies, increasing work efficiency, and generating innovations that can enhance economic competitiveness. The investment variable also shows a positive influence on economic growth with a coefficient of 0.31. Foreign investment plays a significant role in increasing production capacity, introducing new technologies, and creating jobs in various economic sectors. In the ASEAN context, foreign investment is often directed towards the manufacturing, technology, and service sectors that require a relatively highly skilled workforce.</w:t>
      </w:r>
    </w:p>
    <w:p w14:paraId="6E842C2E">
      <w:pPr>
        <w:pStyle w:val="34"/>
        <w:numPr>
          <w:numId w:val="0"/>
        </w:numPr>
        <w:spacing w:before="100" w:beforeAutospacing="1" w:after="100" w:afterAutospacing="1" w:line="276" w:lineRule="auto"/>
        <w:ind w:left="720" w:leftChars="0"/>
        <w:jc w:val="both"/>
        <w:rPr>
          <w:rFonts w:hint="default" w:ascii="Times New Roman" w:hAnsi="Times New Roman" w:eastAsia="Times New Roman" w:cs="Times New Roman"/>
          <w:kern w:val="0"/>
          <w:sz w:val="24"/>
          <w:szCs w:val="24"/>
          <w:lang w:eastAsia="id-ID" w:bidi="ar-SA"/>
          <w14:ligatures w14:val="none"/>
        </w:rPr>
      </w:pPr>
    </w:p>
    <w:p w14:paraId="293B8A04">
      <w:pPr>
        <w:spacing w:before="100" w:beforeAutospacing="1" w:after="100" w:afterAutospacing="1" w:line="276" w:lineRule="auto"/>
        <w:ind w:firstLine="720" w:firstLineChars="0"/>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Social Impact of Skilled Labor Availability</w:t>
      </w:r>
    </w:p>
    <w:p w14:paraId="02ADD2F1">
      <w:pPr>
        <w:spacing w:before="100" w:beforeAutospacing="1" w:after="100" w:afterAutospacing="1" w:line="276" w:lineRule="auto"/>
        <w:jc w:val="both"/>
        <w:outlineLvl w:val="1"/>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In addition to contributing to economic growth, the availability of a skilled workforce also has a significant impact on social development. A skilled workforce generally has greater job opportunities and higher income levels compared to less skilled workers. Increasing community income can improve the overall quality of life, including access to education, healthcare, and various other social facilities. Developing workforce skills can be an effective strategy for improving community welfare and reducing poverty levels in ASEAN countries. A skilled workforce can also increase social mobility within society. Individuals with better skills and education have a greater opportunity to obtain better jobs and improve their socioeconomic status. This can help reduce the social disparities that often exist in society. Furthermore, a highly skilled workforce also tends to be better able to adapt to economic and technological changes. In the rapidly evolving digital era, the ability to adapt to new technologies is crucial for the workforce to remain relevant in the job market.</w:t>
      </w:r>
    </w:p>
    <w:p w14:paraId="483E191A">
      <w:pPr>
        <w:numPr>
          <w:ilvl w:val="0"/>
          <w:numId w:val="1"/>
        </w:numPr>
        <w:spacing w:before="100" w:beforeAutospacing="1" w:after="100" w:afterAutospacing="1" w:line="276" w:lineRule="auto"/>
        <w:ind w:left="0" w:leftChars="0" w:firstLine="0" w:firstLineChars="0"/>
        <w:jc w:val="both"/>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Challenges of Skilled Workforce Development in ASEAN</w:t>
      </w:r>
    </w:p>
    <w:p w14:paraId="4F016C37">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Although skilled labor plays a crucial role in economic and social development, ASEAN countries still face various challenges in improving the quality of human resources. One major challenge is the gap between the skills possessed by the workforce and industry needs, known as skill mismatch. This phenomenon is a significant concern in labor economics studies because it can hamper productivity and labor market efficiency (World Bank, 2020). Skill mismatch occurs when the skills possessed by the workforce do not match the needs of the labor market. This condition can lead to relatively high unemployment rates despite the availability of numerous job opportunities. This problem is often caused by education systems that have not fully adapted to technological developments and changing industry needs. In the context of a knowledge-based global economy, the skills gap can be a major obstacle to increasing a country's competitiveness (Organization for Economic Co-operation and Development, 2019). Furthermore, limited access to quality education also poses a challenge to developing a skilled workforce in several ASEAN countries. In rural areas, access to higher education and skills training remains relatively limited, hampering efforts to improve the quality of human resources. This inequality in access to education often leads to a gap in the quality of the workforce between urban and rural areas (Asian Development Bank, 2021).</w:t>
      </w:r>
    </w:p>
    <w:p w14:paraId="70B21A40">
      <w:pPr>
        <w:spacing w:before="100" w:beforeAutospacing="1" w:after="100" w:afterAutospacing="1" w:line="276" w:lineRule="auto"/>
        <w:jc w:val="both"/>
        <w:outlineLvl w:val="1"/>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Another challenge is the disparity in economic development among ASEAN countries. Countries with higher levels of economic development typically have greater resources to invest in education and workforce training. Conversely, countries with limited resources often struggle to improve the quality of their education systems. This situation can ultimately widen the skills gap in the ASEAN workforce (International Labour Organization, 2020).</w:t>
      </w:r>
    </w:p>
    <w:p w14:paraId="7A70542D">
      <w:pPr>
        <w:spacing w:before="100" w:beforeAutospacing="1" w:after="100" w:afterAutospacing="1" w:line="276" w:lineRule="auto"/>
        <w:jc w:val="both"/>
        <w:outlineLvl w:val="0"/>
        <w:rPr>
          <w:rFonts w:hint="default" w:ascii="Times New Roman" w:hAnsi="Times New Roman" w:eastAsia="Times New Roman" w:cs="Times New Roman"/>
          <w:b/>
          <w:bCs/>
          <w:kern w:val="0"/>
          <w:sz w:val="24"/>
          <w:szCs w:val="24"/>
          <w:lang w:eastAsia="id-ID" w:bidi="ar-SA"/>
          <w14:ligatures w14:val="none"/>
        </w:rPr>
      </w:pPr>
      <w:r>
        <w:rPr>
          <w:rFonts w:hint="default" w:ascii="Times New Roman" w:hAnsi="Times New Roman" w:eastAsia="Times New Roman" w:cs="Times New Roman"/>
          <w:b/>
          <w:bCs/>
          <w:kern w:val="0"/>
          <w:sz w:val="24"/>
          <w:szCs w:val="24"/>
          <w:lang w:eastAsia="id-ID" w:bidi="ar-SA"/>
          <w14:ligatures w14:val="none"/>
        </w:rPr>
        <w:t>4. Policy Implications for ASEAN Countries</w:t>
      </w:r>
    </w:p>
    <w:p w14:paraId="66D8C6CD">
      <w:pPr>
        <w:spacing w:before="100" w:beforeAutospacing="1" w:after="100" w:afterAutospacing="1" w:line="276" w:lineRule="auto"/>
        <w:jc w:val="both"/>
        <w:outlineLvl w:val="0"/>
        <w:rPr>
          <w:rFonts w:hint="default" w:ascii="Times New Roman" w:hAnsi="Times New Roman" w:eastAsia="Times New Roman" w:cs="Times New Roman"/>
          <w:b w:val="0"/>
          <w:bCs w:val="0"/>
          <w:kern w:val="0"/>
          <w:sz w:val="24"/>
          <w:szCs w:val="24"/>
          <w:lang w:eastAsia="id-ID" w:bidi="ar-SA"/>
          <w14:ligatures w14:val="none"/>
        </w:rPr>
      </w:pPr>
      <w:r>
        <w:rPr>
          <w:rFonts w:hint="default" w:ascii="Times New Roman" w:hAnsi="Times New Roman" w:eastAsia="Times New Roman" w:cs="Times New Roman"/>
          <w:b w:val="0"/>
          <w:bCs w:val="0"/>
          <w:kern w:val="0"/>
          <w:sz w:val="24"/>
          <w:szCs w:val="24"/>
          <w:lang w:eastAsia="id-ID" w:bidi="ar-SA"/>
          <w14:ligatures w14:val="none"/>
        </w:rPr>
        <w:t>Based on the analysis, skilled workforce development needs to be a top priority in economic development policies in the ASEAN region. Governments need to increase investment in workforce education and training and strengthen education systems capable of producing graduates with skills aligned with industry needs. Investment in workforce education and skills development has been shown to significantly contribute to increased productivity and long-term economic growth (Becker, 1964; Schultz, 1961). Furthermore, the development of vocational education should also be a focus of human resource development policies. Vocational education can provide practical skills much needed by industry, thereby narrowing the gap between education and the world of work. Countries with strong vocational education systems tend to have lower unemployment rates and higher labor productivity (Organization for Economic Co-operation and Development, 2019). Collaboration between educational institutions and the industrial sector also needs to be strengthened so that educational curricula can be adapted to technological developments and labor market needs. Thus, graduates produced by the education system will be better prepared to enter the workforce and able to adapt to rapid economic changes (World Bank, 2020). At the regional level, cooperation between ASEAN countries in developing a skilled workforce also needs to be strengthened through various joint training programs and the recognition of professional qualifications between member countries. Through mechanisms such as Mutual Recognition Arrangements (MRAs), the mobility of professional workers within the ASEAN region can be enhanced, thereby supporting regional labor market integration (ASEAN Secretariat, 2022). This policy is expected to increase the mobility of skilled workers and strengthen the economic competitiveness of the ASEAN region as a whole.</w:t>
      </w:r>
    </w:p>
    <w:p w14:paraId="21F1C9A9">
      <w:pPr>
        <w:spacing w:before="100" w:beforeAutospacing="1" w:after="100" w:afterAutospacing="1" w:line="276" w:lineRule="auto"/>
        <w:jc w:val="both"/>
        <w:outlineLvl w:val="0"/>
        <w:rPr>
          <w:rFonts w:hint="default" w:ascii="Times New Roman" w:hAnsi="Times New Roman" w:eastAsia="Times New Roman" w:cs="Times New Roman"/>
          <w:b/>
          <w:bCs/>
          <w:kern w:val="36"/>
          <w:sz w:val="24"/>
          <w:szCs w:val="24"/>
          <w:lang w:val="en-US" w:eastAsia="id-ID" w:bidi="ar-SA"/>
          <w14:ligatures w14:val="none"/>
        </w:rPr>
      </w:pPr>
      <w:r>
        <w:rPr>
          <w:rFonts w:hint="default" w:ascii="Times New Roman" w:hAnsi="Times New Roman" w:eastAsia="Times New Roman" w:cs="Times New Roman"/>
          <w:b/>
          <w:bCs/>
          <w:kern w:val="36"/>
          <w:sz w:val="24"/>
          <w:szCs w:val="24"/>
          <w:lang w:val="en-US" w:eastAsia="id-ID" w:bidi="ar-SA"/>
          <w14:ligatures w14:val="none"/>
        </w:rPr>
        <w:t>Conclution</w:t>
      </w:r>
    </w:p>
    <w:p w14:paraId="4CA4D968">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Based on the analysis, it can be concluded that the availability of skilled labor plays a crucial role in driving economic growth and social development in the ASEAN region. A skilled workforce is a key component in human capital development, contributing to increased productivity, innovation, and a country's economic competitiveness. In the era of globalization and regional economic integration, the quality of human resources is a strategic factor determining a country's ability to compete in the global market. The analysis shows that ASEAN countries with higher levels of workforce skills tend to have more stable economic growth and higher productivity.</w:t>
      </w:r>
    </w:p>
    <w:p w14:paraId="236B2AA8">
      <w:pPr>
        <w:spacing w:before="100" w:beforeAutospacing="1" w:after="100" w:afterAutospacing="1" w:line="276" w:lineRule="auto"/>
        <w:ind w:firstLine="720"/>
        <w:jc w:val="both"/>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This is based on the experience of countries like Singapore and Malaysia, which have successfully developed technology- and innovation-based economic sectors through significant investments in education and workforce skills development. Meanwhile, countries that still face limitations in human resource development tend to struggle to increase economic value and attract investment in high-tech industrial sectors. This research also shows that a skilled workforce has a positive impact on economic growth in the ASEAN region.</w:t>
      </w:r>
    </w:p>
    <w:p w14:paraId="6BC685C3">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r>
        <w:rPr>
          <w:rFonts w:hint="default" w:ascii="Times New Roman" w:hAnsi="Times New Roman" w:eastAsia="Times New Roman" w:cs="Times New Roman"/>
          <w:kern w:val="0"/>
          <w:sz w:val="24"/>
          <w:szCs w:val="24"/>
          <w:lang w:eastAsia="id-ID" w:bidi="ar-SA"/>
          <w14:ligatures w14:val="none"/>
        </w:rPr>
        <w:t>Research shows that increasing the skilled workforce contributes significantly to economic growth in the ASEAN region. This finding aligns with human capital theory, which states that investment in education and workforce skills development can increase economic productivity and drive long-term economic growth. In addition to impacting economic growth, the availability of a skilled workforce also has important implications for social development. A workforce with good skills tends to have greater job opportunities and higher income levels. This condition can improve community welfare, expand access to education and health services, and reduce poverty and social inequality within society. Thus, workforce skills development not only contributes to economic growth but also plays a vital role in improving people's quality of life. However, the development of a skilled workforce in the ASEAN region still faces various challenges. One of the main challenges is the gap between the skills possessed by the workforce and the needs of the labor market, known as skill mismatch. Furthermore, differences in the level of economic development among ASEAN countries also cause disparities in the quality of human resources. Countries with higher levels of economic development tend to have better education and training systems compared to other countries that are still developing.</w:t>
      </w:r>
    </w:p>
    <w:p w14:paraId="3678AAAD">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4100DFA1">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31851DBF">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3E70048F">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2BD197FA">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7E9EB93B">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07995CEA">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144EEA30">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5ABCF2AB">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7C8262E4">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4CCEB637">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06C1647B">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47BF5828">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6096841F">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71F698CE">
      <w:pPr>
        <w:spacing w:before="100" w:beforeAutospacing="1" w:after="100" w:afterAutospacing="1" w:line="240" w:lineRule="auto"/>
        <w:jc w:val="both"/>
        <w:outlineLvl w:val="0"/>
        <w:rPr>
          <w:rFonts w:hint="default" w:ascii="Times New Roman" w:hAnsi="Times New Roman" w:eastAsia="Times New Roman" w:cs="Times New Roman"/>
          <w:kern w:val="0"/>
          <w:sz w:val="24"/>
          <w:szCs w:val="24"/>
          <w:lang w:eastAsia="id-ID" w:bidi="ar-SA"/>
          <w14:ligatures w14:val="none"/>
        </w:rPr>
      </w:pPr>
    </w:p>
    <w:p w14:paraId="3A07CEF9">
      <w:pPr>
        <w:spacing w:before="100" w:beforeAutospacing="1" w:after="100" w:afterAutospacing="1" w:line="240" w:lineRule="auto"/>
        <w:jc w:val="center"/>
        <w:rPr>
          <w:rFonts w:hint="default" w:ascii="Times New Roman" w:hAnsi="Times New Roman" w:eastAsia="Times New Roman" w:cs="Times New Roman"/>
          <w:b/>
          <w:bCs/>
          <w:kern w:val="36"/>
          <w:sz w:val="24"/>
          <w:szCs w:val="24"/>
          <w:lang w:eastAsia="id-ID" w:bidi="ar-SA"/>
          <w14:ligatures w14:val="none"/>
        </w:rPr>
      </w:pPr>
      <w:r>
        <w:rPr>
          <w:rFonts w:hint="default" w:ascii="Times New Roman" w:hAnsi="Times New Roman" w:eastAsia="Times New Roman" w:cs="Times New Roman"/>
          <w:b/>
          <w:bCs/>
          <w:kern w:val="36"/>
          <w:sz w:val="24"/>
          <w:szCs w:val="24"/>
          <w:lang w:eastAsia="id-ID" w:bidi="ar-SA"/>
          <w14:ligatures w14:val="none"/>
        </w:rPr>
        <w:t>Bibliography</w:t>
      </w:r>
      <w:bookmarkStart w:id="0" w:name="_GoBack"/>
      <w:bookmarkEnd w:id="0"/>
    </w:p>
    <w:p w14:paraId="48C1AB28">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Asian Development Bank. (2021). </w:t>
      </w:r>
      <w:r>
        <w:rPr>
          <w:rFonts w:ascii="Times New Roman" w:hAnsi="Times New Roman" w:eastAsia="Times New Roman" w:cs="Times New Roman"/>
          <w:i/>
          <w:iCs/>
          <w:kern w:val="0"/>
          <w:sz w:val="24"/>
          <w:szCs w:val="24"/>
          <w:lang w:eastAsia="id-ID" w:bidi="ar-SA"/>
          <w14:ligatures w14:val="none"/>
        </w:rPr>
        <w:t>Asian Development Outlook 2021: Financing a Green and Inclusive Recovery</w:t>
      </w:r>
      <w:r>
        <w:rPr>
          <w:rFonts w:ascii="Times New Roman" w:hAnsi="Times New Roman" w:eastAsia="Times New Roman" w:cs="Times New Roman"/>
          <w:kern w:val="0"/>
          <w:sz w:val="24"/>
          <w:szCs w:val="24"/>
          <w:lang w:eastAsia="id-ID" w:bidi="ar-SA"/>
          <w14:ligatures w14:val="none"/>
        </w:rPr>
        <w:t>. Manila: Asian Development Bank.</w:t>
      </w:r>
    </w:p>
    <w:p w14:paraId="48CFEA7B">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Barro, Robert J. (2013). </w:t>
      </w:r>
      <w:r>
        <w:rPr>
          <w:rFonts w:ascii="Times New Roman" w:hAnsi="Times New Roman" w:eastAsia="Times New Roman" w:cs="Times New Roman"/>
          <w:i/>
          <w:iCs/>
          <w:kern w:val="0"/>
          <w:sz w:val="24"/>
          <w:szCs w:val="24"/>
          <w:lang w:eastAsia="id-ID" w:bidi="ar-SA"/>
          <w14:ligatures w14:val="none"/>
        </w:rPr>
        <w:t>Education and Economic Growth</w:t>
      </w:r>
      <w:r>
        <w:rPr>
          <w:rFonts w:ascii="Times New Roman" w:hAnsi="Times New Roman" w:eastAsia="Times New Roman" w:cs="Times New Roman"/>
          <w:kern w:val="0"/>
          <w:sz w:val="24"/>
          <w:szCs w:val="24"/>
          <w:lang w:eastAsia="id-ID" w:bidi="ar-SA"/>
          <w14:ligatures w14:val="none"/>
        </w:rPr>
        <w:t>. Cambridge, Massachusetts: Harvard University Press.</w:t>
      </w:r>
    </w:p>
    <w:p w14:paraId="6B635F6D">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Becker, Gary S. (1964). </w:t>
      </w:r>
      <w:r>
        <w:rPr>
          <w:rFonts w:ascii="Times New Roman" w:hAnsi="Times New Roman" w:eastAsia="Times New Roman" w:cs="Times New Roman"/>
          <w:i/>
          <w:iCs/>
          <w:kern w:val="0"/>
          <w:sz w:val="24"/>
          <w:szCs w:val="24"/>
          <w:lang w:eastAsia="id-ID" w:bidi="ar-SA"/>
          <w14:ligatures w14:val="none"/>
        </w:rPr>
        <w:t>Human Capital: A Theoretical and Empirical Analysis with Special Reference to Education</w:t>
      </w:r>
      <w:r>
        <w:rPr>
          <w:rFonts w:ascii="Times New Roman" w:hAnsi="Times New Roman" w:eastAsia="Times New Roman" w:cs="Times New Roman"/>
          <w:kern w:val="0"/>
          <w:sz w:val="24"/>
          <w:szCs w:val="24"/>
          <w:lang w:eastAsia="id-ID" w:bidi="ar-SA"/>
          <w14:ligatures w14:val="none"/>
        </w:rPr>
        <w:t>. Chicago: The University of Chicago Press.</w:t>
      </w:r>
    </w:p>
    <w:p w14:paraId="5E50C445">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Hanushek, Eric A., dan Ludger Woessmann. (2015). </w:t>
      </w:r>
      <w:r>
        <w:rPr>
          <w:rFonts w:ascii="Times New Roman" w:hAnsi="Times New Roman" w:eastAsia="Times New Roman" w:cs="Times New Roman"/>
          <w:i/>
          <w:iCs/>
          <w:kern w:val="0"/>
          <w:sz w:val="24"/>
          <w:szCs w:val="24"/>
          <w:lang w:eastAsia="id-ID" w:bidi="ar-SA"/>
          <w14:ligatures w14:val="none"/>
        </w:rPr>
        <w:t>The Knowledge Capital of Nations: Education and the Economics of Growth</w:t>
      </w:r>
      <w:r>
        <w:rPr>
          <w:rFonts w:ascii="Times New Roman" w:hAnsi="Times New Roman" w:eastAsia="Times New Roman" w:cs="Times New Roman"/>
          <w:kern w:val="0"/>
          <w:sz w:val="24"/>
          <w:szCs w:val="24"/>
          <w:lang w:eastAsia="id-ID" w:bidi="ar-SA"/>
          <w14:ligatures w14:val="none"/>
        </w:rPr>
        <w:t>. Cambridge, Massachusetts: The MIT Press.</w:t>
      </w:r>
    </w:p>
    <w:p w14:paraId="5B8665A7">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International Labour Organization. (2020). </w:t>
      </w:r>
      <w:r>
        <w:rPr>
          <w:rFonts w:ascii="Times New Roman" w:hAnsi="Times New Roman" w:eastAsia="Times New Roman" w:cs="Times New Roman"/>
          <w:i/>
          <w:iCs/>
          <w:kern w:val="0"/>
          <w:sz w:val="24"/>
          <w:szCs w:val="24"/>
          <w:lang w:eastAsia="id-ID" w:bidi="ar-SA"/>
          <w14:ligatures w14:val="none"/>
        </w:rPr>
        <w:t>Global Employment Trends for Youth 2020: Technology and the Future of Jobs</w:t>
      </w:r>
      <w:r>
        <w:rPr>
          <w:rFonts w:ascii="Times New Roman" w:hAnsi="Times New Roman" w:eastAsia="Times New Roman" w:cs="Times New Roman"/>
          <w:kern w:val="0"/>
          <w:sz w:val="24"/>
          <w:szCs w:val="24"/>
          <w:lang w:eastAsia="id-ID" w:bidi="ar-SA"/>
          <w14:ligatures w14:val="none"/>
        </w:rPr>
        <w:t>. Geneva: International Labour Organization.</w:t>
      </w:r>
    </w:p>
    <w:p w14:paraId="4DF6A8A9">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Lucas, Robert E. (1988). On the Mechanics of Economic Development. </w:t>
      </w:r>
      <w:r>
        <w:rPr>
          <w:rFonts w:ascii="Times New Roman" w:hAnsi="Times New Roman" w:eastAsia="Times New Roman" w:cs="Times New Roman"/>
          <w:i/>
          <w:iCs/>
          <w:kern w:val="0"/>
          <w:sz w:val="24"/>
          <w:szCs w:val="24"/>
          <w:lang w:eastAsia="id-ID" w:bidi="ar-SA"/>
          <w14:ligatures w14:val="none"/>
        </w:rPr>
        <w:t>Journal of Monetary Economics</w:t>
      </w:r>
      <w:r>
        <w:rPr>
          <w:rFonts w:ascii="Times New Roman" w:hAnsi="Times New Roman" w:eastAsia="Times New Roman" w:cs="Times New Roman"/>
          <w:kern w:val="0"/>
          <w:sz w:val="24"/>
          <w:szCs w:val="24"/>
          <w:lang w:eastAsia="id-ID" w:bidi="ar-SA"/>
          <w14:ligatures w14:val="none"/>
        </w:rPr>
        <w:t>, 22(1), 3–42.</w:t>
      </w:r>
    </w:p>
    <w:p w14:paraId="0AB131F1">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Organisation for Economic Co-operation and Development. (2019). </w:t>
      </w:r>
      <w:r>
        <w:rPr>
          <w:rFonts w:ascii="Times New Roman" w:hAnsi="Times New Roman" w:eastAsia="Times New Roman" w:cs="Times New Roman"/>
          <w:i/>
          <w:iCs/>
          <w:kern w:val="0"/>
          <w:sz w:val="24"/>
          <w:szCs w:val="24"/>
          <w:lang w:eastAsia="id-ID" w:bidi="ar-SA"/>
          <w14:ligatures w14:val="none"/>
        </w:rPr>
        <w:t>Skills Outlook 2019: Thriving in a Digital World</w:t>
      </w:r>
      <w:r>
        <w:rPr>
          <w:rFonts w:ascii="Times New Roman" w:hAnsi="Times New Roman" w:eastAsia="Times New Roman" w:cs="Times New Roman"/>
          <w:kern w:val="0"/>
          <w:sz w:val="24"/>
          <w:szCs w:val="24"/>
          <w:lang w:eastAsia="id-ID" w:bidi="ar-SA"/>
          <w14:ligatures w14:val="none"/>
        </w:rPr>
        <w:t>. Paris: Organisation for Economic Co-operation and Development Publishing.</w:t>
      </w:r>
    </w:p>
    <w:p w14:paraId="4AD59629">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Porter, Michael E. (1990). </w:t>
      </w:r>
      <w:r>
        <w:rPr>
          <w:rFonts w:ascii="Times New Roman" w:hAnsi="Times New Roman" w:eastAsia="Times New Roman" w:cs="Times New Roman"/>
          <w:i/>
          <w:iCs/>
          <w:kern w:val="0"/>
          <w:sz w:val="24"/>
          <w:szCs w:val="24"/>
          <w:lang w:eastAsia="id-ID" w:bidi="ar-SA"/>
          <w14:ligatures w14:val="none"/>
        </w:rPr>
        <w:t>The Competitive Advantage of Nations</w:t>
      </w:r>
      <w:r>
        <w:rPr>
          <w:rFonts w:ascii="Times New Roman" w:hAnsi="Times New Roman" w:eastAsia="Times New Roman" w:cs="Times New Roman"/>
          <w:kern w:val="0"/>
          <w:sz w:val="24"/>
          <w:szCs w:val="24"/>
          <w:lang w:eastAsia="id-ID" w:bidi="ar-SA"/>
          <w14:ligatures w14:val="none"/>
        </w:rPr>
        <w:t>. New York: The Free Press.</w:t>
      </w:r>
    </w:p>
    <w:p w14:paraId="7EEE71CA">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Romer, Paul M. (1990). Endogenous Technological Change. </w:t>
      </w:r>
      <w:r>
        <w:rPr>
          <w:rFonts w:ascii="Times New Roman" w:hAnsi="Times New Roman" w:eastAsia="Times New Roman" w:cs="Times New Roman"/>
          <w:i/>
          <w:iCs/>
          <w:kern w:val="0"/>
          <w:sz w:val="24"/>
          <w:szCs w:val="24"/>
          <w:lang w:eastAsia="id-ID" w:bidi="ar-SA"/>
          <w14:ligatures w14:val="none"/>
        </w:rPr>
        <w:t>Journal of Political Economy</w:t>
      </w:r>
      <w:r>
        <w:rPr>
          <w:rFonts w:ascii="Times New Roman" w:hAnsi="Times New Roman" w:eastAsia="Times New Roman" w:cs="Times New Roman"/>
          <w:kern w:val="0"/>
          <w:sz w:val="24"/>
          <w:szCs w:val="24"/>
          <w:lang w:eastAsia="id-ID" w:bidi="ar-SA"/>
          <w14:ligatures w14:val="none"/>
        </w:rPr>
        <w:t>, 98(5), 71–102.</w:t>
      </w:r>
    </w:p>
    <w:p w14:paraId="1C905CDA">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Schultz, Theodore W. (1961). Investment in Human Capital. </w:t>
      </w:r>
      <w:r>
        <w:rPr>
          <w:rFonts w:ascii="Times New Roman" w:hAnsi="Times New Roman" w:eastAsia="Times New Roman" w:cs="Times New Roman"/>
          <w:i/>
          <w:iCs/>
          <w:kern w:val="0"/>
          <w:sz w:val="24"/>
          <w:szCs w:val="24"/>
          <w:lang w:eastAsia="id-ID" w:bidi="ar-SA"/>
          <w14:ligatures w14:val="none"/>
        </w:rPr>
        <w:t>The American Economic Review</w:t>
      </w:r>
      <w:r>
        <w:rPr>
          <w:rFonts w:ascii="Times New Roman" w:hAnsi="Times New Roman" w:eastAsia="Times New Roman" w:cs="Times New Roman"/>
          <w:kern w:val="0"/>
          <w:sz w:val="24"/>
          <w:szCs w:val="24"/>
          <w:lang w:eastAsia="id-ID" w:bidi="ar-SA"/>
          <w14:ligatures w14:val="none"/>
        </w:rPr>
        <w:t>, 51(1), 1–17.</w:t>
      </w:r>
    </w:p>
    <w:p w14:paraId="6946E472">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Todaro, Michael P., dan Stephen C. Smith. (2015). </w:t>
      </w:r>
      <w:r>
        <w:rPr>
          <w:rFonts w:ascii="Times New Roman" w:hAnsi="Times New Roman" w:eastAsia="Times New Roman" w:cs="Times New Roman"/>
          <w:i/>
          <w:iCs/>
          <w:kern w:val="0"/>
          <w:sz w:val="24"/>
          <w:szCs w:val="24"/>
          <w:lang w:eastAsia="id-ID" w:bidi="ar-SA"/>
          <w14:ligatures w14:val="none"/>
        </w:rPr>
        <w:t>Economic Development</w:t>
      </w:r>
      <w:r>
        <w:rPr>
          <w:rFonts w:ascii="Times New Roman" w:hAnsi="Times New Roman" w:eastAsia="Times New Roman" w:cs="Times New Roman"/>
          <w:kern w:val="0"/>
          <w:sz w:val="24"/>
          <w:szCs w:val="24"/>
          <w:lang w:eastAsia="id-ID" w:bidi="ar-SA"/>
          <w14:ligatures w14:val="none"/>
        </w:rPr>
        <w:t xml:space="preserve"> (Twelfth Edition). Boston: Pearson Education.</w:t>
      </w:r>
    </w:p>
    <w:p w14:paraId="5FB6CDAB">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United Nations. (2019). </w:t>
      </w:r>
      <w:r>
        <w:rPr>
          <w:rFonts w:ascii="Times New Roman" w:hAnsi="Times New Roman" w:eastAsia="Times New Roman" w:cs="Times New Roman"/>
          <w:i/>
          <w:iCs/>
          <w:kern w:val="0"/>
          <w:sz w:val="24"/>
          <w:szCs w:val="24"/>
          <w:lang w:eastAsia="id-ID" w:bidi="ar-SA"/>
          <w14:ligatures w14:val="none"/>
        </w:rPr>
        <w:t>The Sustainable Development Goals Report 2019</w:t>
      </w:r>
      <w:r>
        <w:rPr>
          <w:rFonts w:ascii="Times New Roman" w:hAnsi="Times New Roman" w:eastAsia="Times New Roman" w:cs="Times New Roman"/>
          <w:kern w:val="0"/>
          <w:sz w:val="24"/>
          <w:szCs w:val="24"/>
          <w:lang w:eastAsia="id-ID" w:bidi="ar-SA"/>
          <w14:ligatures w14:val="none"/>
        </w:rPr>
        <w:t>. New York: United Nations.</w:t>
      </w:r>
    </w:p>
    <w:p w14:paraId="02FCF450">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r>
        <w:rPr>
          <w:rFonts w:ascii="Times New Roman" w:hAnsi="Times New Roman" w:eastAsia="Times New Roman" w:cs="Times New Roman"/>
          <w:kern w:val="0"/>
          <w:sz w:val="24"/>
          <w:szCs w:val="24"/>
          <w:lang w:eastAsia="id-ID" w:bidi="ar-SA"/>
          <w14:ligatures w14:val="none"/>
        </w:rPr>
        <w:t xml:space="preserve">World Bank. (2020). </w:t>
      </w:r>
      <w:r>
        <w:rPr>
          <w:rFonts w:ascii="Times New Roman" w:hAnsi="Times New Roman" w:eastAsia="Times New Roman" w:cs="Times New Roman"/>
          <w:i/>
          <w:iCs/>
          <w:kern w:val="0"/>
          <w:sz w:val="24"/>
          <w:szCs w:val="24"/>
          <w:lang w:eastAsia="id-ID" w:bidi="ar-SA"/>
          <w14:ligatures w14:val="none"/>
        </w:rPr>
        <w:t>World Development Report 2020: Trading for Development in the Age of Global Value Chains</w:t>
      </w:r>
      <w:r>
        <w:rPr>
          <w:rFonts w:ascii="Times New Roman" w:hAnsi="Times New Roman" w:eastAsia="Times New Roman" w:cs="Times New Roman"/>
          <w:kern w:val="0"/>
          <w:sz w:val="24"/>
          <w:szCs w:val="24"/>
          <w:lang w:eastAsia="id-ID" w:bidi="ar-SA"/>
          <w14:ligatures w14:val="none"/>
        </w:rPr>
        <w:t>. Washington, District of Columbia: The World Bank.</w:t>
      </w:r>
    </w:p>
    <w:p w14:paraId="35AE043E">
      <w:pPr>
        <w:spacing w:before="100" w:beforeAutospacing="1" w:after="100" w:afterAutospacing="1" w:line="240" w:lineRule="auto"/>
        <w:jc w:val="both"/>
        <w:rPr>
          <w:rFonts w:ascii="Times New Roman" w:hAnsi="Times New Roman" w:eastAsia="Times New Roman" w:cs="Times New Roman"/>
          <w:kern w:val="0"/>
          <w:sz w:val="24"/>
          <w:szCs w:val="24"/>
          <w:lang w:eastAsia="id-ID" w:bidi="ar-SA"/>
          <w14:ligatures w14:val="none"/>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4453388"/>
      <w:docPartObj>
        <w:docPartGallery w:val="AutoText"/>
      </w:docPartObj>
    </w:sdtPr>
    <w:sdtContent>
      <w:p w14:paraId="5D08030C">
        <w:pPr>
          <w:pStyle w:val="14"/>
          <w:jc w:val="center"/>
        </w:pPr>
        <w:r>
          <w:fldChar w:fldCharType="begin"/>
        </w:r>
        <w:r>
          <w:instrText xml:space="preserve">PAGE   \* MERGEFORMAT</w:instrText>
        </w:r>
        <w:r>
          <w:fldChar w:fldCharType="separate"/>
        </w:r>
        <w:r>
          <w:t>2</w:t>
        </w:r>
        <w:r>
          <w:fldChar w:fldCharType="end"/>
        </w:r>
      </w:p>
    </w:sdtContent>
  </w:sdt>
  <w:p w14:paraId="3897E0E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8F12E"/>
    <w:multiLevelType w:val="singleLevel"/>
    <w:tmpl w:val="2798F12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wNDMwNzQzN7U0NjVX0lEKTi0uzszPAykwrQUALpnauCwAAAA="/>
  </w:docVars>
  <w:rsids>
    <w:rsidRoot w:val="00134508"/>
    <w:rsid w:val="00016291"/>
    <w:rsid w:val="00050EEE"/>
    <w:rsid w:val="00064AA5"/>
    <w:rsid w:val="00134508"/>
    <w:rsid w:val="00182D93"/>
    <w:rsid w:val="00270CB3"/>
    <w:rsid w:val="003261A2"/>
    <w:rsid w:val="00347BD3"/>
    <w:rsid w:val="003A1FCE"/>
    <w:rsid w:val="004978ED"/>
    <w:rsid w:val="004C16D7"/>
    <w:rsid w:val="0058171C"/>
    <w:rsid w:val="005F2687"/>
    <w:rsid w:val="006341F5"/>
    <w:rsid w:val="007340FE"/>
    <w:rsid w:val="007B59D7"/>
    <w:rsid w:val="007E24EA"/>
    <w:rsid w:val="00836F00"/>
    <w:rsid w:val="008F1601"/>
    <w:rsid w:val="009178EE"/>
    <w:rsid w:val="009B3006"/>
    <w:rsid w:val="00A17612"/>
    <w:rsid w:val="00A2782A"/>
    <w:rsid w:val="00AD2E85"/>
    <w:rsid w:val="00BF790F"/>
    <w:rsid w:val="00C1402F"/>
    <w:rsid w:val="00CC06E1"/>
    <w:rsid w:val="00CD4158"/>
    <w:rsid w:val="00CE219C"/>
    <w:rsid w:val="00D249B6"/>
    <w:rsid w:val="00F11B91"/>
    <w:rsid w:val="00F25C44"/>
    <w:rsid w:val="00FC4BDA"/>
    <w:rsid w:val="3679454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8"/>
      <w:lang w:val="id-ID" w:eastAsia="en-US" w:bidi="th-TH"/>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2"/>
    <w:unhideWhenUsed/>
    <w:qFormat/>
    <w:uiPriority w:val="99"/>
    <w:pPr>
      <w:tabs>
        <w:tab w:val="center" w:pos="4513"/>
        <w:tab w:val="right" w:pos="9026"/>
      </w:tabs>
      <w:spacing w:after="0" w:line="240" w:lineRule="auto"/>
    </w:pPr>
  </w:style>
  <w:style w:type="paragraph" w:styleId="15">
    <w:name w:val="header"/>
    <w:basedOn w:val="1"/>
    <w:link w:val="41"/>
    <w:unhideWhenUsed/>
    <w:qFormat/>
    <w:uiPriority w:val="99"/>
    <w:pPr>
      <w:tabs>
        <w:tab w:val="center" w:pos="4513"/>
        <w:tab w:val="right" w:pos="9026"/>
      </w:tabs>
      <w:spacing w:after="0" w:line="240" w:lineRule="auto"/>
    </w:pPr>
  </w:style>
  <w:style w:type="paragraph" w:styleId="16">
    <w:name w:val="HTML Preformatted"/>
    <w:basedOn w:val="1"/>
    <w:link w:val="3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id-ID" w:bidi="ar-SA"/>
      <w14:ligatures w14:val="non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id-ID" w:bidi="ar-SA"/>
      <w14:ligatures w14:val="none"/>
    </w:rPr>
  </w:style>
  <w:style w:type="character" w:styleId="18">
    <w:name w:val="Strong"/>
    <w:basedOn w:val="11"/>
    <w:qFormat/>
    <w:uiPriority w:val="22"/>
    <w:rPr>
      <w:b/>
      <w:bCs/>
    </w:rPr>
  </w:style>
  <w:style w:type="paragraph" w:styleId="19">
    <w:name w:val="Subtitle"/>
    <w:basedOn w:val="1"/>
    <w:next w:val="1"/>
    <w:link w:val="31"/>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21">
    <w:name w:val="Judul 1 KAR"/>
    <w:basedOn w:val="11"/>
    <w:link w:val="2"/>
    <w:qFormat/>
    <w:uiPriority w:val="9"/>
    <w:rPr>
      <w:rFonts w:asciiTheme="majorHAnsi" w:hAnsiTheme="majorHAnsi" w:eastAsiaTheme="majorEastAsia" w:cstheme="majorBidi"/>
      <w:color w:val="2F5597" w:themeColor="accent1" w:themeShade="BF"/>
      <w:sz w:val="40"/>
      <w:szCs w:val="50"/>
    </w:rPr>
  </w:style>
  <w:style w:type="character" w:customStyle="1" w:styleId="22">
    <w:name w:val="Judul 2 KAR"/>
    <w:basedOn w:val="11"/>
    <w:link w:val="3"/>
    <w:qFormat/>
    <w:uiPriority w:val="9"/>
    <w:rPr>
      <w:rFonts w:asciiTheme="majorHAnsi" w:hAnsiTheme="majorHAnsi" w:eastAsiaTheme="majorEastAsia" w:cstheme="majorBidi"/>
      <w:color w:val="2F5597" w:themeColor="accent1" w:themeShade="BF"/>
      <w:sz w:val="32"/>
      <w:szCs w:val="40"/>
    </w:rPr>
  </w:style>
  <w:style w:type="character" w:customStyle="1" w:styleId="23">
    <w:name w:val="Judul 3 KAR"/>
    <w:basedOn w:val="11"/>
    <w:link w:val="4"/>
    <w:semiHidden/>
    <w:qFormat/>
    <w:uiPriority w:val="9"/>
    <w:rPr>
      <w:rFonts w:eastAsiaTheme="majorEastAsia" w:cstheme="majorBidi"/>
      <w:color w:val="2F5597" w:themeColor="accent1" w:themeShade="BF"/>
      <w:sz w:val="28"/>
      <w:szCs w:val="35"/>
    </w:rPr>
  </w:style>
  <w:style w:type="character" w:customStyle="1" w:styleId="24">
    <w:name w:val="Judul 4 KAR"/>
    <w:basedOn w:val="11"/>
    <w:link w:val="5"/>
    <w:semiHidden/>
    <w:qFormat/>
    <w:uiPriority w:val="9"/>
    <w:rPr>
      <w:rFonts w:eastAsiaTheme="majorEastAsia" w:cstheme="majorBidi"/>
      <w:i/>
      <w:iCs/>
      <w:color w:val="2F5597" w:themeColor="accent1" w:themeShade="BF"/>
    </w:rPr>
  </w:style>
  <w:style w:type="character" w:customStyle="1" w:styleId="25">
    <w:name w:val="Judul 5 KAR"/>
    <w:basedOn w:val="11"/>
    <w:link w:val="6"/>
    <w:semiHidden/>
    <w:qFormat/>
    <w:uiPriority w:val="9"/>
    <w:rPr>
      <w:rFonts w:eastAsiaTheme="majorEastAsia" w:cstheme="majorBidi"/>
      <w:color w:val="2F5597" w:themeColor="accent1" w:themeShade="BF"/>
    </w:rPr>
  </w:style>
  <w:style w:type="character" w:customStyle="1" w:styleId="26">
    <w:name w:val="Judul 6 K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Judul 7 K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Judul 8 K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Judul 9 K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Judul KAR"/>
    <w:basedOn w:val="11"/>
    <w:link w:val="20"/>
    <w:qFormat/>
    <w:uiPriority w:val="10"/>
    <w:rPr>
      <w:rFonts w:asciiTheme="majorHAnsi" w:hAnsiTheme="majorHAnsi" w:eastAsiaTheme="majorEastAsia" w:cstheme="majorBidi"/>
      <w:spacing w:val="-10"/>
      <w:kern w:val="28"/>
      <w:sz w:val="56"/>
      <w:szCs w:val="71"/>
    </w:rPr>
  </w:style>
  <w:style w:type="character" w:customStyle="1" w:styleId="31">
    <w:name w:val="Subjudul KAR"/>
    <w:basedOn w:val="11"/>
    <w:link w:val="19"/>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Kutipan K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Kutipan yang Sering K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HTML Sudah Diformat KAR"/>
    <w:basedOn w:val="11"/>
    <w:link w:val="16"/>
    <w:semiHidden/>
    <w:qFormat/>
    <w:uiPriority w:val="99"/>
    <w:rPr>
      <w:rFonts w:ascii="Courier New" w:hAnsi="Courier New" w:eastAsia="Times New Roman" w:cs="Courier New"/>
      <w:kern w:val="0"/>
      <w:sz w:val="20"/>
      <w:szCs w:val="20"/>
      <w:lang w:eastAsia="id-ID" w:bidi="ar-SA"/>
      <w14:ligatures w14:val="none"/>
    </w:rPr>
  </w:style>
  <w:style w:type="character" w:customStyle="1" w:styleId="40">
    <w:name w:val="y2iqfc"/>
    <w:basedOn w:val="11"/>
    <w:qFormat/>
    <w:uiPriority w:val="0"/>
  </w:style>
  <w:style w:type="character" w:customStyle="1" w:styleId="41">
    <w:name w:val="Header KAR"/>
    <w:basedOn w:val="11"/>
    <w:link w:val="15"/>
    <w:qFormat/>
    <w:uiPriority w:val="99"/>
  </w:style>
  <w:style w:type="character" w:customStyle="1" w:styleId="42">
    <w:name w:val="Footer K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863B-DD36-454B-ADD1-BAD95A87B091}">
  <ds:schemaRefs/>
</ds:datastoreItem>
</file>

<file path=docProps/app.xml><?xml version="1.0" encoding="utf-8"?>
<Properties xmlns="http://schemas.openxmlformats.org/officeDocument/2006/extended-properties" xmlns:vt="http://schemas.openxmlformats.org/officeDocument/2006/docPropsVTypes">
  <Template>Normal</Template>
  <Pages>10</Pages>
  <Words>3443</Words>
  <Characters>23949</Characters>
  <Lines>194</Lines>
  <Paragraphs>54</Paragraphs>
  <TotalTime>86</TotalTime>
  <ScaleCrop>false</ScaleCrop>
  <LinksUpToDate>false</LinksUpToDate>
  <CharactersWithSpaces>27255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2026-03-15T02:41:00Z</dcterms:created>
  <dc:creator>Dave Bembot</dc:creator>
  <cp:lastModifiedBy>Maria Bernadetha</cp:lastModifiedBy>
  <dcterms:modified xsi:type="dcterms:W3CDTF">2026-06-17T12:14:59Z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eyJoZGlkIjoiMDljYzUzMWQ4OWI0YzBkYjYzMDRhZTY5ZjZkYmFmYTgiLCJ1c2VySWQiOiI4ODEzOTczODY2NzIyIn0=</vt:lpwstr>
  </property>
  <property fmtid="{D5CDD505-2E9C-101B-9397-08002B2CF9AE}" pid="3" name="KSOProductBuildVer">
    <vt:lpwstr>1057-12.1.0.26880</vt:lpwstr>
  </property>
  <property fmtid="{D5CDD505-2E9C-101B-9397-08002B2CF9AE}" pid="4" name="ICV">
    <vt:lpwstr>2112627335214085B1EDA50304A62813_12</vt:lpwstr>
  </property>
</Properties>
</file>