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line="264" w:lineRule="auto"/>
        <w:jc w:val="center"/>
      </w:pPr>
      <w:r>
        <w:rPr>
          <w:rFonts w:ascii="Times New Roman" w:cs="Times New Roman" w:eastAsia="Times New Roman" w:hAnsi="Times New Roman"/>
          <w:b/>
          <w:bCs/>
          <w:sz w:val="36"/>
          <w:szCs w:val="36"/>
        </w:rPr>
        <w:t xml:space="preserve">Development of a STEM Training Module Integrating GeoGebra and Augmented Reality for the Topic of Functions Based on the Sidek Module Development Model and the STEM Education Quality Framework</w:t>
      </w:r>
    </w:p>
    <w:p>
      <w:pPr>
        <w:spacing w:after="80" w:before="0" w:line="264" w:lineRule="auto"/>
        <w:jc w:val="center"/>
      </w:pP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p>
    <w:p>
      <w:pPr>
        <w:spacing w:after="40" w:before="0" w:line="264" w:lineRule="auto"/>
        <w:jc w:val="center"/>
      </w:pPr>
      <w:r>
        <w:rPr>
          <w:rFonts w:ascii="Times New Roman" w:cs="Times New Roman" w:eastAsia="Times New Roman" w:hAnsi="Times New Roman"/>
          <w:sz w:val="18"/>
          <w:szCs w:val="18"/>
          <w:vertAlign w:val="superscript"/>
        </w:rPr>
        <w:t xml:space="preserve"/>
      </w:r>
      <w:r>
        <w:rPr>
          <w:rFonts w:ascii="Times New Roman" w:cs="Times New Roman" w:eastAsia="Times New Roman" w:hAnsi="Times New Roman"/>
          <w:sz w:val="24"/>
          <w:szCs w:val="24"/>
        </w:rPr>
        <w:t xml:space="preserve"/>
      </w:r>
    </w:p>
    <w:p>
      <w:pPr>
        <w:spacing w:after="240" w:before="0" w:line="264" w:lineRule="auto"/>
        <w:jc w:val="center"/>
      </w:pPr>
      <w:r>
        <w:rPr>
          <w:rFonts w:ascii="Times New Roman" w:cs="Times New Roman" w:eastAsia="Times New Roman" w:hAnsi="Times New Roman"/>
          <w:sz w:val="24"/>
          <w:szCs w:val="24"/>
        </w:rPr>
        <w:t xml:space="preserve"/>
      </w:r>
    </w:p>
    <w:p>
      <w:pPr>
        <w:spacing w:after="120" w:before="120" w:line="240" w:lineRule="auto"/>
        <w:jc w:val="left"/>
      </w:pPr>
      <w:r>
        <w:rPr>
          <w:rFonts w:ascii="Times New Roman" w:cs="Times New Roman" w:eastAsia="Times New Roman" w:hAnsi="Times New Roman"/>
          <w:b/>
          <w:bCs/>
          <w:sz w:val="28"/>
          <w:szCs w:val="28"/>
        </w:rPr>
        <w:t xml:space="preserve">ABSTRACT</w:t>
      </w:r>
    </w:p>
    <w:p>
      <w:pPr>
        <w:spacing w:after="240" w:before="240" w:line="240" w:lineRule="auto"/>
        <w:jc w:val="both"/>
      </w:pPr>
      <w:r>
        <w:rPr>
          <w:rFonts w:ascii="Times New Roman" w:cs="Times New Roman" w:eastAsia="Times New Roman" w:hAnsi="Times New Roman"/>
          <w:sz w:val="24"/>
          <w:szCs w:val="24"/>
        </w:rPr>
        <w:t xml:space="preserve">Learning the topic of Functions is often perceived as difficult because of its abstract nature and the lack of visual representation in the teaching and learning process. This paper reports the development process of a STEM Training Module for the topic of Functions that integrates GeoGebra software and Augmented Reality (AR) technology. The module was developed using a design and development research approach, operationalised through the first phase of the Sidek Module Development Model (SMDM), namely the nine steps of drafting the module, with the STEM Education Quality Framework and the topic of Functions serving as the two content pillars. The development produced a module comprising four learning units based on real-world contexts related to temperature and heat, namely temperature scales (Composite Functions), temperature conversion (Inverse Functions), and hypothermia and hyperthermia (Quadratic Functions). Each unit contains six fixed components, namely Introduction, Knowledge Test, Real-World Application Exercise, Revision Exercise, GeoGebra AR Activity and GeoGebra Applet. The module applies constructivist and active learning theories, uses Polya’s four-phase problem-solving model as its strategy, and provides three-dimensional GeoGebra and interactive AR applets to enable students to visualise the concept of Functions. This paper contributes a concrete example of a systematic, technology-based STEM module design that can be adapted by other teachers and researchers.</w:t>
      </w:r>
    </w:p>
    <w:p>
      <w:pPr>
        <w:spacing w:after="240" w:before="240" w:line="240" w:lineRule="auto"/>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STEM Training Module, topic of Functions, GeoGebra, Augmented Reality, Sidek Module Development Model</w:t>
      </w:r>
    </w:p>
    <w:p>
      <w:pPr>
        <w:spacing w:after="200" w:before="280" w:line="240" w:lineRule="auto"/>
        <w:jc w:val="left"/>
      </w:pPr>
      <w:r>
        <w:rPr>
          <w:rFonts w:ascii="Times New Roman" w:cs="Times New Roman" w:eastAsia="Times New Roman" w:hAnsi="Times New Roman"/>
          <w:b/>
          <w:bCs/>
          <w:sz w:val="28"/>
          <w:szCs w:val="28"/>
        </w:rPr>
        <w:t xml:space="preserve">INTRODUCTION</w:t>
      </w:r>
    </w:p>
    <w:p>
      <w:pPr>
        <w:spacing w:after="240" w:before="240" w:line="240" w:lineRule="auto"/>
        <w:jc w:val="both"/>
      </w:pPr>
      <w:r>
        <w:rPr>
          <w:rFonts w:ascii="Times New Roman" w:cs="Times New Roman" w:eastAsia="Times New Roman" w:hAnsi="Times New Roman"/>
          <w:sz w:val="24"/>
          <w:szCs w:val="24"/>
        </w:rPr>
        <w:t xml:space="preserve">Science, Technology, Engineering and Mathematics (STEM) education requires students not only to master knowledge but also to apply it in real-world contexts (Roehrig, Dare, Ellis &amp; Ring-Whalen, 2021). However, the implementation of STEM in schools is often constrained by a shortage of systematic teaching materials and modules to support teachers (Markus, Sungkim &amp; Ishak, 2021). This situation is even more challenging for the topic of Functions in Additional Mathematics, which is abstract and difficult for students to visualise (Shahrul, Nasir &amp; Suryadi, 2024; Zulnaidi, Oktavika &amp; Hidayat, 2020).</w:t>
      </w:r>
    </w:p>
    <w:p>
      <w:pPr>
        <w:spacing w:after="240" w:before="240" w:line="240" w:lineRule="auto"/>
        <w:jc w:val="both"/>
      </w:pPr>
      <w:r>
        <w:rPr>
          <w:rFonts w:ascii="Times New Roman" w:cs="Times New Roman" w:eastAsia="Times New Roman" w:hAnsi="Times New Roman"/>
          <w:sz w:val="24"/>
          <w:szCs w:val="24"/>
        </w:rPr>
        <w:t xml:space="preserve">A needs analysis conducted earlier in this research showed that the subtopics of Inverse Functions and Composite Functions are among the most difficult for Form Four students to master. Those findings provide the justification for developing a training module that focuses on delivering the concept of Functions visually with the support of technology. This paper reports the development process of a STEM Training Module for the topic of Functions that integrates GeoGebra software and Augmented Reality (AR) technology, guided by the Sidek Module Development Model (SMDM) and the STEM Education Quality Framework.</w:t>
      </w:r>
    </w:p>
    <w:p>
      <w:pPr>
        <w:spacing w:after="200" w:before="280" w:line="240" w:lineRule="auto"/>
        <w:jc w:val="left"/>
      </w:pPr>
      <w:r>
        <w:rPr>
          <w:rFonts w:ascii="Times New Roman" w:cs="Times New Roman" w:eastAsia="Times New Roman" w:hAnsi="Times New Roman"/>
          <w:b/>
          <w:bCs/>
          <w:sz w:val="28"/>
          <w:szCs w:val="28"/>
        </w:rPr>
        <w:t xml:space="preserve">LITERATURE REVIEW</w:t>
      </w:r>
    </w:p>
    <w:p>
      <w:pPr>
        <w:spacing w:after="120" w:before="200" w:line="240" w:lineRule="auto"/>
        <w:jc w:val="left"/>
      </w:pPr>
      <w:r>
        <w:rPr>
          <w:rFonts w:ascii="Times New Roman" w:cs="Times New Roman" w:eastAsia="Times New Roman" w:hAnsi="Times New Roman"/>
          <w:b/>
          <w:bCs/>
          <w:sz w:val="24"/>
          <w:szCs w:val="24"/>
        </w:rPr>
        <w:t xml:space="preserve">The Sidek Module Development Model (SMDM)</w:t>
      </w:r>
    </w:p>
    <w:p>
      <w:pPr>
        <w:spacing w:after="240" w:before="240" w:line="240" w:lineRule="auto"/>
        <w:jc w:val="both"/>
      </w:pPr>
      <w:r>
        <w:rPr>
          <w:rFonts w:ascii="Times New Roman" w:cs="Times New Roman" w:eastAsia="Times New Roman" w:hAnsi="Times New Roman"/>
          <w:sz w:val="24"/>
          <w:szCs w:val="24"/>
        </w:rPr>
        <w:t xml:space="preserve">The Sidek Module Development Model is a comprehensive model that provides a complete and orderly procedure from the beginning of module construction through to module testing. The SMDM is divided into two main stages, namely the module-drafting stage, which contains nine steps, and the stage of trialling and evaluating the module. This model was chosen because it is systematic and has been shown to produce effective modules across various fields, including recent mathematics module-development studies (Hamzah, Ramli &amp; Khairani, 2022; Jahudin &amp; Siew, 2023). This approach is consistent with design and development research, which emphasises the systematic design, development and evaluation of educational products (Hamzah, Ramli &amp; Khairani, 2022).</w:t>
      </w:r>
    </w:p>
    <w:p>
      <w:pPr>
        <w:spacing w:after="120" w:before="200" w:line="240" w:lineRule="auto"/>
        <w:jc w:val="left"/>
      </w:pPr>
      <w:r>
        <w:rPr>
          <w:rFonts w:ascii="Times New Roman" w:cs="Times New Roman" w:eastAsia="Times New Roman" w:hAnsi="Times New Roman"/>
          <w:b/>
          <w:bCs/>
          <w:sz w:val="24"/>
          <w:szCs w:val="24"/>
        </w:rPr>
        <w:t xml:space="preserve">The STEM Education Quality Framework</w:t>
      </w:r>
    </w:p>
    <w:p>
      <w:pPr>
        <w:spacing w:after="240" w:before="240" w:line="240" w:lineRule="auto"/>
        <w:jc w:val="both"/>
      </w:pPr>
      <w:r>
        <w:rPr>
          <w:rFonts w:ascii="Times New Roman" w:cs="Times New Roman" w:eastAsia="Times New Roman" w:hAnsi="Times New Roman"/>
          <w:sz w:val="24"/>
          <w:szCs w:val="24"/>
        </w:rPr>
        <w:t xml:space="preserve">The STEM Education Quality Framework, developed through the collaboration of the Dayton Regional STEM Center, provides a reference for conceptualising and communicating about high-quality STEM teaching and learning (Rowley, Preiss, Pinnell &amp; Franco, 2012). The framework contains ten components of the STEM learning experience, as summarised in Table 1. Applying this framework within each module unit aims to ensure that students’ learning experiences meet the characteristics of high-quality STEM education, while also serving as material for reflection and self-assessment.</w:t>
      </w:r>
    </w:p>
    <w:p>
      <w:pPr>
        <w:spacing w:after="80" w:before="200" w:line="240" w:lineRule="auto"/>
      </w:pPr>
      <w:r>
        <w:rPr>
          <w:rFonts w:ascii="Times New Roman" w:cs="Times New Roman" w:eastAsia="Times New Roman" w:hAnsi="Times New Roman"/>
          <w:b/>
          <w:bCs/>
          <w:sz w:val="24"/>
          <w:szCs w:val="24"/>
        </w:rPr>
        <w:t xml:space="preserve">Table 1. </w:t>
      </w:r>
      <w:r>
        <w:rPr>
          <w:rFonts w:ascii="Times New Roman" w:cs="Times New Roman" w:eastAsia="Times New Roman" w:hAnsi="Times New Roman"/>
          <w:i/>
          <w:iCs/>
          <w:sz w:val="24"/>
          <w:szCs w:val="24"/>
        </w:rPr>
        <w:t xml:space="preserve">The ten components of the STEM Education Quality Framework</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900"/>
        <w:gridCol w:w="9796"/>
      </w:tblGrid>
      <w:tr>
        <w:trPr>
          <w:tblHeader/>
        </w:trPr>
        <w:tc>
          <w:tcPr>
            <w:tcW w:type="dxa" w:w="9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No.</w:t>
            </w:r>
          </w:p>
        </w:tc>
        <w:tc>
          <w:tcPr>
            <w:tcW w:type="dxa" w:w="97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Component of the STEM Education Quality Framework</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1</w:t>
            </w:r>
          </w:p>
        </w:tc>
        <w:tc>
          <w:tcPr>
            <w:tcW w:type="dxa" w:w="97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Potential for Student Engagement</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2</w:t>
            </w:r>
          </w:p>
        </w:tc>
        <w:tc>
          <w:tcPr>
            <w:tcW w:type="dxa" w:w="9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Degree of STEM Integration</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w:t>
            </w:r>
          </w:p>
        </w:tc>
        <w:tc>
          <w:tcPr>
            <w:tcW w:type="dxa" w:w="97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Connections to Non-STEM Disciplines</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4</w:t>
            </w:r>
          </w:p>
        </w:tc>
        <w:tc>
          <w:tcPr>
            <w:tcW w:type="dxa" w:w="9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Integrity of Academic Content</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5</w:t>
            </w:r>
          </w:p>
        </w:tc>
        <w:tc>
          <w:tcPr>
            <w:tcW w:type="dxa" w:w="97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Quality of Cognitive Task</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6</w:t>
            </w:r>
          </w:p>
        </w:tc>
        <w:tc>
          <w:tcPr>
            <w:tcW w:type="dxa" w:w="9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Connections to STEM Careers</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7</w:t>
            </w:r>
          </w:p>
        </w:tc>
        <w:tc>
          <w:tcPr>
            <w:tcW w:type="dxa" w:w="97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Individual Accountability in a Collaborative Culture</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8</w:t>
            </w:r>
          </w:p>
        </w:tc>
        <w:tc>
          <w:tcPr>
            <w:tcW w:type="dxa" w:w="9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Nature of Assessment</w:t>
            </w:r>
          </w:p>
        </w:tc>
      </w:tr>
      <w:tr>
        <w:tc>
          <w:tcPr>
            <w:tcW w:type="dxa" w:w="9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9</w:t>
            </w:r>
          </w:p>
        </w:tc>
        <w:tc>
          <w:tcPr>
            <w:tcW w:type="dxa" w:w="97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Application of the Engineering Design Process</w:t>
            </w:r>
          </w:p>
        </w:tc>
      </w:tr>
      <w:tr>
        <w:tc>
          <w:tcPr>
            <w:tcW w:type="dxa" w:w="9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10</w:t>
            </w:r>
          </w:p>
        </w:tc>
        <w:tc>
          <w:tcPr>
            <w:tcW w:type="dxa" w:w="9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Quality of Technology Integration</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Adapted from Rowley et al. (2012) and the Dayton Regional STEM Center’s STEM Education Quality Framework (2011).</w:t>
      </w:r>
    </w:p>
    <w:p>
      <w:pPr>
        <w:spacing w:after="120" w:before="200" w:line="240" w:lineRule="auto"/>
        <w:jc w:val="left"/>
      </w:pPr>
      <w:r>
        <w:rPr>
          <w:rFonts w:ascii="Times New Roman" w:cs="Times New Roman" w:eastAsia="Times New Roman" w:hAnsi="Times New Roman"/>
          <w:b/>
          <w:bCs/>
          <w:sz w:val="24"/>
          <w:szCs w:val="24"/>
        </w:rPr>
        <w:t xml:space="preserve">Integrating GeoGebra and Augmented Reality in mathematics learning</w:t>
      </w:r>
    </w:p>
    <w:p>
      <w:pPr>
        <w:spacing w:after="240" w:before="240" w:line="240" w:lineRule="auto"/>
        <w:jc w:val="both"/>
      </w:pPr>
      <w:r>
        <w:rPr>
          <w:rFonts w:ascii="Times New Roman" w:cs="Times New Roman" w:eastAsia="Times New Roman" w:hAnsi="Times New Roman"/>
          <w:sz w:val="24"/>
          <w:szCs w:val="24"/>
        </w:rPr>
        <w:t xml:space="preserve">GeoGebra is dynamic mathematics software that allows students to explore concepts in multiple representations simultaneously. A range of studies has shown that the use of GeoGebra enhances students’ understanding and motivation in learning mathematics (Hidayat, Noor, Nasir &amp; Ayub, 2024; Yohannes &amp; Chen, 2023; Zulnaidi, Oktavika &amp; Hidayat, 2020). Augmented Reality (AR) technology adds further value by allowing students to manipulate three-dimensional mathematical objects in real space, thereby supporting more interactive STEM learning (Ahmad &amp; Junaini, 2020; Hidayat &amp; Wardat, 2024). The capacity of both technologies to generate visual representations in two and three dimensions is highly suited to overcoming the visualisation challenges in the topic of Functions (Hidayat et al., 2024; Ziatdinov &amp; Valles, 2022).</w:t>
      </w:r>
    </w:p>
    <w:p>
      <w:pPr>
        <w:spacing w:after="200" w:before="280" w:line="240" w:lineRule="auto"/>
        <w:jc w:val="left"/>
      </w:pPr>
      <w:r>
        <w:rPr>
          <w:rFonts w:ascii="Times New Roman" w:cs="Times New Roman" w:eastAsia="Times New Roman" w:hAnsi="Times New Roman"/>
          <w:b/>
          <w:bCs/>
          <w:sz w:val="28"/>
          <w:szCs w:val="28"/>
        </w:rPr>
        <w:t xml:space="preserve">CONCEPTUAL FRAMEWORK OF THE STUDY</w:t>
      </w:r>
    </w:p>
    <w:p>
      <w:pPr>
        <w:spacing w:after="240" w:before="240" w:line="240" w:lineRule="auto"/>
        <w:jc w:val="both"/>
      </w:pPr>
      <w:r>
        <w:rPr>
          <w:rFonts w:ascii="Times New Roman" w:cs="Times New Roman" w:eastAsia="Times New Roman" w:hAnsi="Times New Roman"/>
          <w:sz w:val="24"/>
          <w:szCs w:val="24"/>
        </w:rPr>
        <w:t xml:space="preserve">The development of this STEM Training Module is guided by three interrelated pillars. The first pillar is the STEM Education Quality Framework (Rowley et al., 2012), which serves as a guide to the quality of the STEM learning experience. The second pillar is the topic of Functions as the targeted mathematical content, particularly the subtopics of Composite Functions, Inverse Functions and Quadratic Functions. The third pillar is the Sidek Module Development Model, as applied in recent module-development studies (Jahudin &amp; Siew, 2023), which serves as the procedural framework for module construction. The combination of these three pillars produces a STEM Training Module for Form Four students.</w:t>
      </w:r>
    </w:p>
    <w:p>
      <w:pPr>
        <w:spacing w:after="200" w:before="280" w:line="240" w:lineRule="auto"/>
        <w:jc w:val="left"/>
      </w:pPr>
      <w:r>
        <w:rPr>
          <w:rFonts w:ascii="Times New Roman" w:cs="Times New Roman" w:eastAsia="Times New Roman" w:hAnsi="Times New Roman"/>
          <w:b/>
          <w:bCs/>
          <w:sz w:val="28"/>
          <w:szCs w:val="28"/>
        </w:rPr>
        <w:t xml:space="preserve">DEVELOPMENT METHODOLOGY</w:t>
      </w:r>
    </w:p>
    <w:p>
      <w:pPr>
        <w:spacing w:after="240" w:before="240" w:line="240" w:lineRule="auto"/>
        <w:jc w:val="both"/>
      </w:pPr>
      <w:r>
        <w:rPr>
          <w:rFonts w:ascii="Times New Roman" w:cs="Times New Roman" w:eastAsia="Times New Roman" w:hAnsi="Times New Roman"/>
          <w:sz w:val="24"/>
          <w:szCs w:val="24"/>
        </w:rPr>
        <w:t xml:space="preserve">The module was developed using a design and development research approach (Hamzah, Ramli &amp; Khairani, 2022), operationalised through the first phase of the SMDM. The first phase comprises nine sequential steps, beginning with the construction of goals and ending with the assembly of the module draft. Each step and the action taken are summarised in Table 2. The following section discusses the outcomes of the module development according to these steps.</w:t>
      </w:r>
    </w:p>
    <w:p>
      <w:pPr>
        <w:spacing w:after="80" w:before="200" w:line="240" w:lineRule="auto"/>
      </w:pPr>
      <w:r>
        <w:rPr>
          <w:rFonts w:ascii="Times New Roman" w:cs="Times New Roman" w:eastAsia="Times New Roman" w:hAnsi="Times New Roman"/>
          <w:b/>
          <w:bCs/>
          <w:sz w:val="24"/>
          <w:szCs w:val="24"/>
        </w:rPr>
        <w:t xml:space="preserve">Table 2. </w:t>
      </w:r>
      <w:r>
        <w:rPr>
          <w:rFonts w:ascii="Times New Roman" w:cs="Times New Roman" w:eastAsia="Times New Roman" w:hAnsi="Times New Roman"/>
          <w:i/>
          <w:iCs/>
          <w:sz w:val="24"/>
          <w:szCs w:val="24"/>
        </w:rPr>
        <w:t xml:space="preserve">The nine steps of the first phase of the SMDM in developing the STEM Training Module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700"/>
        <w:gridCol w:w="3200"/>
        <w:gridCol w:w="6796"/>
      </w:tblGrid>
      <w:tr>
        <w:trPr>
          <w:tblHeader/>
        </w:trPr>
        <w:tc>
          <w:tcPr>
            <w:tcW w:type="dxa" w:w="7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No.</w:t>
            </w:r>
          </w:p>
        </w:tc>
        <w:tc>
          <w:tcPr>
            <w:tcW w:type="dxa" w:w="32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Step</w:t>
            </w:r>
          </w:p>
        </w:tc>
        <w:tc>
          <w:tcPr>
            <w:tcW w:type="dxa" w:w="67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Action in module development</w:t>
            </w:r>
          </w:p>
        </w:tc>
      </w:tr>
      <w:tr>
        <w:tc>
          <w:tcPr>
            <w:tcW w:type="dxa" w:w="7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1</w:t>
            </w:r>
          </w:p>
        </w:tc>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Constructing goals</w:t>
            </w:r>
          </w:p>
        </w:tc>
        <w:tc>
          <w:tcPr>
            <w:tcW w:type="dxa" w:w="67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Setting the goal of improving students’ ability to apply the concept of Functions in everyday life through an integrated STEM approach supported by GeoGebra and AR.</w:t>
            </w:r>
          </w:p>
        </w:tc>
      </w:tr>
      <w:tr>
        <w:tc>
          <w:tcPr>
            <w:tcW w:type="dxa" w:w="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2</w:t>
            </w:r>
          </w:p>
        </w:tc>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Identifying theory, rationale, philosophy, concept, target group and time frame</w:t>
            </w:r>
          </w:p>
        </w:tc>
        <w:tc>
          <w:tcPr>
            <w:tcW w:type="dxa" w:w="6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Applying constructivist and active learning theories; the module as a complement to the textbook; the concept of drill and problem solving; targeting Form Four science students; duration of 8 periods (2 weeks).</w:t>
            </w:r>
          </w:p>
        </w:tc>
      </w:tr>
      <w:tr>
        <w:tc>
          <w:tcPr>
            <w:tcW w:type="dxa" w:w="7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3</w:t>
            </w:r>
          </w:p>
        </w:tc>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Studying needs</w:t>
            </w:r>
          </w:p>
        </w:tc>
        <w:tc>
          <w:tcPr>
            <w:tcW w:type="dxa" w:w="67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 survey of the difficulty level of Additional Mathematics topics and subtopics; the subtopics of Inverse Functions and Composite Functions were identified as the most difficult.</w:t>
            </w:r>
          </w:p>
        </w:tc>
      </w:tr>
      <w:tr>
        <w:tc>
          <w:tcPr>
            <w:tcW w:type="dxa" w:w="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4</w:t>
            </w:r>
          </w:p>
        </w:tc>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Setting objectives</w:t>
            </w:r>
          </w:p>
        </w:tc>
        <w:tc>
          <w:tcPr>
            <w:tcW w:type="dxa" w:w="6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Setting behavioural objectives for each unit based on the Form Four Additional Mathematics Curriculum and Assessment Standards Document (DSKP).</w:t>
            </w:r>
          </w:p>
        </w:tc>
      </w:tr>
      <w:tr>
        <w:tc>
          <w:tcPr>
            <w:tcW w:type="dxa" w:w="7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5</w:t>
            </w:r>
          </w:p>
        </w:tc>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Selecting content</w:t>
            </w:r>
          </w:p>
        </w:tc>
        <w:tc>
          <w:tcPr>
            <w:tcW w:type="dxa" w:w="67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Determining four content units with a mapping of STEM elements for each unit.</w:t>
            </w:r>
          </w:p>
        </w:tc>
      </w:tr>
      <w:tr>
        <w:tc>
          <w:tcPr>
            <w:tcW w:type="dxa" w:w="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6</w:t>
            </w:r>
          </w:p>
        </w:tc>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Selecting strategy</w:t>
            </w:r>
          </w:p>
        </w:tc>
        <w:tc>
          <w:tcPr>
            <w:tcW w:type="dxa" w:w="6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Selecting exploration activities, teacher guidance and applet use; Polya’s four-phase problem-solving model.</w:t>
            </w:r>
          </w:p>
        </w:tc>
      </w:tr>
      <w:tr>
        <w:tc>
          <w:tcPr>
            <w:tcW w:type="dxa" w:w="7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7</w:t>
            </w:r>
          </w:p>
        </w:tc>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Selecting logistics</w:t>
            </w:r>
          </w:p>
        </w:tc>
        <w:tc>
          <w:tcPr>
            <w:tcW w:type="dxa" w:w="67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Listing teaching aids including computers (GeoGebra) and smartphones (GeoGebra AR).</w:t>
            </w:r>
          </w:p>
        </w:tc>
      </w:tr>
      <w:tr>
        <w:tc>
          <w:tcPr>
            <w:tcW w:type="dxa" w:w="7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8</w:t>
            </w:r>
          </w:p>
        </w:tc>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Selecting media</w:t>
            </w:r>
          </w:p>
        </w:tc>
        <w:tc>
          <w:tcPr>
            <w:tcW w:type="dxa" w:w="67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Building three-dimensional GeoGebra and interactive AR applets for each unit.</w:t>
            </w:r>
          </w:p>
        </w:tc>
      </w:tr>
      <w:tr>
        <w:tc>
          <w:tcPr>
            <w:tcW w:type="dxa" w:w="7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9</w:t>
            </w:r>
          </w:p>
        </w:tc>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Assembling the module draft</w:t>
            </w:r>
          </w:p>
        </w:tc>
        <w:tc>
          <w:tcPr>
            <w:tcW w:type="dxa" w:w="67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Combining the four units, the cover page, the contents and the user manual into a complete module draft.</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Adapted from the Sidek Module Development Model as applied in recent module-development studies (Hamzah et al., 2022; Jahudin &amp; Siew, 2023).</w:t>
      </w:r>
    </w:p>
    <w:p>
      <w:pPr>
        <w:spacing w:after="200" w:before="280" w:line="240" w:lineRule="auto"/>
        <w:jc w:val="left"/>
      </w:pPr>
      <w:r>
        <w:rPr>
          <w:rFonts w:ascii="Times New Roman" w:cs="Times New Roman" w:eastAsia="Times New Roman" w:hAnsi="Times New Roman"/>
          <w:b/>
          <w:bCs/>
          <w:sz w:val="28"/>
          <w:szCs w:val="28"/>
        </w:rPr>
        <w:t xml:space="preserve">OUTCOMES OF THE STEM TRAINING MODULE DEVELOPMENT</w:t>
      </w:r>
    </w:p>
    <w:p>
      <w:pPr>
        <w:spacing w:after="120" w:before="200" w:line="240" w:lineRule="auto"/>
        <w:jc w:val="left"/>
      </w:pPr>
      <w:r>
        <w:rPr>
          <w:rFonts w:ascii="Times New Roman" w:cs="Times New Roman" w:eastAsia="Times New Roman" w:hAnsi="Times New Roman"/>
          <w:b/>
          <w:bCs/>
          <w:sz w:val="24"/>
          <w:szCs w:val="24"/>
        </w:rPr>
        <w:t xml:space="preserve">Goals, theory and philosophy of the module</w:t>
      </w:r>
    </w:p>
    <w:p>
      <w:pPr>
        <w:spacing w:after="240" w:before="240" w:line="240" w:lineRule="auto"/>
        <w:jc w:val="both"/>
      </w:pPr>
      <w:r>
        <w:rPr>
          <w:rFonts w:ascii="Times New Roman" w:cs="Times New Roman" w:eastAsia="Times New Roman" w:hAnsi="Times New Roman"/>
          <w:sz w:val="24"/>
          <w:szCs w:val="24"/>
        </w:rPr>
        <w:t xml:space="preserve">The goal of the module is to enhance students’ understanding in applying the concept of Functions to solve real-world problems through GeoGebra and GeoGebra AR software, while also helping teachers deliver a well-organised activity module. The module applies constructivist learning theory, in which students construct new knowledge based on prior knowledge, an approach reflected in recent GeoGebra-based mathematics studies (Zulnaidi, Oktavika &amp; Hidayat, 2020), as well as active learning theory, which allows students to engage in concept exploration assisted by mathematics software (Yatim, Saleh, Zulnaidi, Yew &amp; Yatim, 2022). The philosophy of the module is to serve as a complement to textbooks and exercise books, as it is built upon the Form Four Additional Mathematics, Physics, Chemistry and Biology syllabi.</w:t>
      </w:r>
    </w:p>
    <w:p>
      <w:pPr>
        <w:spacing w:after="120" w:before="200" w:line="240" w:lineRule="auto"/>
        <w:jc w:val="left"/>
      </w:pPr>
      <w:r>
        <w:rPr>
          <w:rFonts w:ascii="Times New Roman" w:cs="Times New Roman" w:eastAsia="Times New Roman" w:hAnsi="Times New Roman"/>
          <w:b/>
          <w:bCs/>
          <w:sz w:val="24"/>
          <w:szCs w:val="24"/>
        </w:rPr>
        <w:t xml:space="preserve">Structure and content of the module</w:t>
      </w:r>
    </w:p>
    <w:p>
      <w:pPr>
        <w:spacing w:after="240" w:before="240" w:line="240" w:lineRule="auto"/>
        <w:jc w:val="both"/>
      </w:pPr>
      <w:r>
        <w:rPr>
          <w:rFonts w:ascii="Times New Roman" w:cs="Times New Roman" w:eastAsia="Times New Roman" w:hAnsi="Times New Roman"/>
          <w:sz w:val="24"/>
          <w:szCs w:val="24"/>
        </w:rPr>
        <w:t xml:space="preserve">The STEM Training Module consists of four learning units built around real-world contexts related to temperature and heat. Each unit explicitly maps the elements of Science, Technology, Engineering and Mathematics. The targeted Functions subtopics are Composite Functions (one unit), Inverse Functions (one unit) and Quadratic Functions (two units). The structure of the four units is summarised in Table 3.</w:t>
      </w:r>
    </w:p>
    <w:p>
      <w:pPr>
        <w:spacing w:after="80" w:before="200" w:line="240" w:lineRule="auto"/>
      </w:pPr>
      <w:r>
        <w:rPr>
          <w:rFonts w:ascii="Times New Roman" w:cs="Times New Roman" w:eastAsia="Times New Roman" w:hAnsi="Times New Roman"/>
          <w:b/>
          <w:bCs/>
          <w:sz w:val="24"/>
          <w:szCs w:val="24"/>
        </w:rPr>
        <w:t xml:space="preserve">Table 3. </w:t>
      </w:r>
      <w:r>
        <w:rPr>
          <w:rFonts w:ascii="Times New Roman" w:cs="Times New Roman" w:eastAsia="Times New Roman" w:hAnsi="Times New Roman"/>
          <w:i/>
          <w:iCs/>
          <w:sz w:val="24"/>
          <w:szCs w:val="24"/>
        </w:rPr>
        <w:t xml:space="preserve">The structure of the four units of the STEM Training Module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400"/>
        <w:gridCol w:w="3800"/>
        <w:gridCol w:w="2400"/>
        <w:gridCol w:w="3096"/>
      </w:tblGrid>
      <w:tr>
        <w:trPr>
          <w:tblHeader/>
        </w:trPr>
        <w:tc>
          <w:tcPr>
            <w:tcW w:type="dxa" w:w="1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Unit</w:t>
            </w:r>
          </w:p>
        </w:tc>
        <w:tc>
          <w:tcPr>
            <w:tcW w:type="dxa" w:w="38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Real-world context</w:t>
            </w:r>
          </w:p>
        </w:tc>
        <w:tc>
          <w:tcPr>
            <w:tcW w:type="dxa" w:w="2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Functions subtopic</w:t>
            </w:r>
          </w:p>
        </w:tc>
        <w:tc>
          <w:tcPr>
            <w:tcW w:type="dxa" w:w="30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Science area &amp; media</w:t>
            </w:r>
          </w:p>
        </w:tc>
      </w:tr>
      <w:tr>
        <w:tc>
          <w:tcPr>
            <w:tcW w:type="dxa" w:w="1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1</w:t>
            </w:r>
          </w:p>
        </w:tc>
        <w:tc>
          <w:tcPr>
            <w:tcW w:type="dxa" w:w="38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 fixed temperature expressed in the Celsius, Kelvin and Fahrenheit scales</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Composite Functions</w:t>
            </w:r>
          </w:p>
        </w:tc>
        <w:tc>
          <w:tcPr>
            <w:tcW w:type="dxa" w:w="30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Physics, Chemistry; GeoGebra &amp; AR</w:t>
            </w:r>
          </w:p>
        </w:tc>
      </w:tr>
      <w:tr>
        <w:tc>
          <w:tcPr>
            <w:tcW w:type="dxa" w:w="1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2</w:t>
            </w:r>
          </w:p>
        </w:tc>
        <w:tc>
          <w:tcPr>
            <w:tcW w:type="dxa" w:w="3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Temperature conversion</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Inverse Functions</w:t>
            </w:r>
          </w:p>
        </w:tc>
        <w:tc>
          <w:tcPr>
            <w:tcW w:type="dxa" w:w="3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Physics, Chemistry; GeoGebra &amp; AR</w:t>
            </w:r>
          </w:p>
        </w:tc>
      </w:tr>
      <w:tr>
        <w:tc>
          <w:tcPr>
            <w:tcW w:type="dxa" w:w="1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3</w:t>
            </w:r>
          </w:p>
        </w:tc>
        <w:tc>
          <w:tcPr>
            <w:tcW w:type="dxa" w:w="38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Hypothermia</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Quadratic Functions</w:t>
            </w:r>
          </w:p>
        </w:tc>
        <w:tc>
          <w:tcPr>
            <w:tcW w:type="dxa" w:w="30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Biology; GeoGebra &amp; AR</w:t>
            </w:r>
          </w:p>
        </w:tc>
      </w:tr>
      <w:tr>
        <w:tc>
          <w:tcPr>
            <w:tcW w:type="dxa" w:w="1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4</w:t>
            </w:r>
          </w:p>
        </w:tc>
        <w:tc>
          <w:tcPr>
            <w:tcW w:type="dxa" w:w="3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Hyperthermia</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Quadratic Functions</w:t>
            </w:r>
          </w:p>
        </w:tc>
        <w:tc>
          <w:tcPr>
            <w:tcW w:type="dxa" w:w="3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Biology; GeoGebra &amp; AR</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Each unit is allocated two learning periods (1 hour 30 minutes).</w:t>
      </w:r>
    </w:p>
    <w:p>
      <w:pPr>
        <w:spacing w:after="240" w:before="240" w:line="240" w:lineRule="auto"/>
        <w:jc w:val="both"/>
      </w:pPr>
      <w:r>
        <w:rPr>
          <w:rFonts w:ascii="Times New Roman" w:cs="Times New Roman" w:eastAsia="Times New Roman" w:hAnsi="Times New Roman"/>
          <w:sz w:val="24"/>
          <w:szCs w:val="24"/>
        </w:rPr>
        <w:t xml:space="preserve">Each unit is organised according to six fixed components explained in the module’s user manual. These components, as summarised in Table 4, form a learning flow from the introduction of the concept to visual exploration through technology.</w:t>
      </w:r>
    </w:p>
    <w:p>
      <w:pPr>
        <w:spacing w:after="80" w:before="200" w:line="240" w:lineRule="auto"/>
      </w:pPr>
      <w:r>
        <w:rPr>
          <w:rFonts w:ascii="Times New Roman" w:cs="Times New Roman" w:eastAsia="Times New Roman" w:hAnsi="Times New Roman"/>
          <w:b/>
          <w:bCs/>
          <w:sz w:val="24"/>
          <w:szCs w:val="24"/>
        </w:rPr>
        <w:t xml:space="preserve">Table 4. </w:t>
      </w:r>
      <w:r>
        <w:rPr>
          <w:rFonts w:ascii="Times New Roman" w:cs="Times New Roman" w:eastAsia="Times New Roman" w:hAnsi="Times New Roman"/>
          <w:i/>
          <w:iCs/>
          <w:sz w:val="24"/>
          <w:szCs w:val="24"/>
        </w:rPr>
        <w:t xml:space="preserve">The six components of each unit of the STEM Training Module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3200"/>
        <w:gridCol w:w="7496"/>
      </w:tblGrid>
      <w:tr>
        <w:trPr>
          <w:tblHeader/>
        </w:trPr>
        <w:tc>
          <w:tcPr>
            <w:tcW w:type="dxa" w:w="32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Component</w:t>
            </w:r>
          </w:p>
        </w:tc>
        <w:tc>
          <w:tcPr>
            <w:tcW w:type="dxa" w:w="74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Pedagogical function</w:t>
            </w:r>
          </w:p>
        </w:tc>
      </w:tr>
      <w:tr>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Introduction</w:t>
            </w:r>
          </w:p>
        </w:tc>
        <w:tc>
          <w:tcPr>
            <w:tcW w:type="dxa" w:w="74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Provides a scientific overview and links the topic of Functions to everyday life.</w:t>
            </w:r>
          </w:p>
        </w:tc>
      </w:tr>
      <w:tr>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Knowledge Test</w:t>
            </w:r>
          </w:p>
        </w:tc>
        <w:tc>
          <w:tcPr>
            <w:tcW w:type="dxa" w:w="74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Tests students’ prior understanding based on what has already been learned.</w:t>
            </w:r>
          </w:p>
        </w:tc>
      </w:tr>
      <w:tr>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Real-World Application Exercise</w:t>
            </w:r>
          </w:p>
        </w:tc>
        <w:tc>
          <w:tcPr>
            <w:tcW w:type="dxa" w:w="74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Trains students to give their views and connect knowledge to real-world problems.</w:t>
            </w:r>
          </w:p>
        </w:tc>
      </w:tr>
      <w:tr>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Revision Exercise</w:t>
            </w:r>
          </w:p>
        </w:tc>
        <w:tc>
          <w:tcPr>
            <w:tcW w:type="dxa" w:w="74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Asks students to solve problems while showing their calculation steps.</w:t>
            </w:r>
          </w:p>
        </w:tc>
      </w:tr>
      <w:tr>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GeoGebra AR Activity</w:t>
            </w:r>
          </w:p>
        </w:tc>
        <w:tc>
          <w:tcPr>
            <w:tcW w:type="dxa" w:w="74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Enables students to explore graphs of functions in three dimensions through Augmented Reality.</w:t>
            </w:r>
          </w:p>
        </w:tc>
      </w:tr>
      <w:tr>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GeoGebra Applet</w:t>
            </w:r>
          </w:p>
        </w:tc>
        <w:tc>
          <w:tcPr>
            <w:tcW w:type="dxa" w:w="74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Enables students to check their answers by comparing their own calculations with the applet’s output.</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The module does not provide an answer key; students check their answers through the GeoGebra and AR applets.</w:t>
      </w:r>
    </w:p>
    <w:p>
      <w:pPr>
        <w:spacing w:after="120" w:before="200" w:line="240" w:lineRule="auto"/>
        <w:jc w:val="left"/>
      </w:pPr>
      <w:r>
        <w:rPr>
          <w:rFonts w:ascii="Times New Roman" w:cs="Times New Roman" w:eastAsia="Times New Roman" w:hAnsi="Times New Roman"/>
          <w:b/>
          <w:bCs/>
          <w:sz w:val="24"/>
          <w:szCs w:val="24"/>
        </w:rPr>
        <w:t xml:space="preserve">Strategy and logistics</w:t>
      </w:r>
    </w:p>
    <w:p>
      <w:pPr>
        <w:spacing w:after="240" w:before="240" w:line="240" w:lineRule="auto"/>
        <w:jc w:val="both"/>
      </w:pPr>
      <w:r>
        <w:rPr>
          <w:rFonts w:ascii="Times New Roman" w:cs="Times New Roman" w:eastAsia="Times New Roman" w:hAnsi="Times New Roman"/>
          <w:sz w:val="24"/>
          <w:szCs w:val="24"/>
        </w:rPr>
        <w:t xml:space="preserve">The chosen learning strategies are exploration activities, teacher guidance and the use of applets, in line with the learning theories and the STEM Education Quality Framework. The module focuses on problem-solving questions using Polya’s four-phase problem-solving model, namely understanding the problem, devising a plan, carrying out the plan, and reflecting (Jahudin &amp; Siew, 2023). In terms of logistics, the teaching aids listed include the textbook and the Additional Mathematics curriculum specifications, stationery and a calculator, the STEM Training Module, computers for the GeoGebra applets, and smartphones for GeoGebra AR, with the teacher acting as a facilitator.</w:t>
      </w:r>
    </w:p>
    <w:p>
      <w:pPr>
        <w:spacing w:after="120" w:before="200" w:line="240" w:lineRule="auto"/>
        <w:jc w:val="left"/>
      </w:pPr>
      <w:r>
        <w:rPr>
          <w:rFonts w:ascii="Times New Roman" w:cs="Times New Roman" w:eastAsia="Times New Roman" w:hAnsi="Times New Roman"/>
          <w:b/>
          <w:bCs/>
          <w:sz w:val="24"/>
          <w:szCs w:val="24"/>
        </w:rPr>
        <w:t xml:space="preserve">Integration of GeoGebra and Augmented Reality media</w:t>
      </w:r>
    </w:p>
    <w:p>
      <w:pPr>
        <w:spacing w:after="240" w:before="240" w:line="240" w:lineRule="auto"/>
        <w:jc w:val="both"/>
      </w:pPr>
      <w:r>
        <w:rPr>
          <w:rFonts w:ascii="Times New Roman" w:cs="Times New Roman" w:eastAsia="Times New Roman" w:hAnsi="Times New Roman"/>
          <w:sz w:val="24"/>
          <w:szCs w:val="24"/>
        </w:rPr>
        <w:t xml:space="preserve">The main media of this module are applets built using a combination of three-dimensional GeoGebra software and interactive AR. Each unit is equipped with a GeoGebra applet and a GeoGebra AR activity that allow students to visualise and manipulate graphs of functions directly. The use of AR allows students to view graphs of Quadratic Functions in three-dimensional form, thereby overcoming the visualisation challenges that often make learning the abstract concept of Functions difficult (Shahrul, Nasir &amp; Suryadi, 2024). This media integration directly satisfies the Quality of Technology Integration component of the STEM Education Quality Framework.</w:t>
      </w:r>
    </w:p>
    <w:p>
      <w:pPr>
        <w:spacing w:after="200" w:before="280" w:line="240" w:lineRule="auto"/>
        <w:jc w:val="left"/>
      </w:pPr>
      <w:r>
        <w:rPr>
          <w:rFonts w:ascii="Times New Roman" w:cs="Times New Roman" w:eastAsia="Times New Roman" w:hAnsi="Times New Roman"/>
          <w:b/>
          <w:bCs/>
          <w:sz w:val="28"/>
          <w:szCs w:val="28"/>
        </w:rPr>
        <w:t xml:space="preserve">DISCUSSION</w:t>
      </w:r>
    </w:p>
    <w:p>
      <w:pPr>
        <w:spacing w:after="240" w:before="240" w:line="240" w:lineRule="auto"/>
        <w:jc w:val="both"/>
      </w:pPr>
      <w:r>
        <w:rPr>
          <w:rFonts w:ascii="Times New Roman" w:cs="Times New Roman" w:eastAsia="Times New Roman" w:hAnsi="Times New Roman"/>
          <w:sz w:val="24"/>
          <w:szCs w:val="24"/>
        </w:rPr>
        <w:t xml:space="preserve">The development process of this module demonstrates how a STEM quality framework, mathematical content and a module-development model can be systematically combined to produce an integrated teaching resource. The use of the SMDM ensures that every design decision, from goal setting through to media selection, is made in sequence and grounded in the real needs of students (Jahudin &amp; Siew, 2023). This approach overcomes the weakness of material development that is often carried out ad hoc without a clear procedural framework.</w:t>
      </w:r>
    </w:p>
    <w:p>
      <w:pPr>
        <w:spacing w:after="240" w:before="240" w:line="240" w:lineRule="auto"/>
        <w:jc w:val="both"/>
      </w:pPr>
      <w:r>
        <w:rPr>
          <w:rFonts w:ascii="Times New Roman" w:cs="Times New Roman" w:eastAsia="Times New Roman" w:hAnsi="Times New Roman"/>
          <w:sz w:val="24"/>
          <w:szCs w:val="24"/>
        </w:rPr>
        <w:t xml:space="preserve">The choice of real-world contexts related to temperature and heat, such as hypothermia and hyperthermia, allows the module to connect the concept of Functions to the fields of Physics, Chemistry and Biology, thereby highlighting the integrated nature of STEM education (Roehrig, Dare, Ellis &amp; Ring-Whalen, 2021). The application of Polya’s problem-solving model supports the development of more systematic student thinking in solving word problems (Jahudin &amp; Siew, 2023). Most importantly, the integration of GeoGebra and AR addresses the visualisation needs identified in the literature as a primary cause of students’ difficulty in mastering the topic of Functions (Hidayat, Noor, Nasir &amp; Ayub, 2024; Shahrul, Nasir &amp; Suryadi, 2024).</w:t>
      </w:r>
    </w:p>
    <w:p>
      <w:pPr>
        <w:spacing w:after="200" w:before="280" w:line="240" w:lineRule="auto"/>
        <w:jc w:val="left"/>
      </w:pPr>
      <w:r>
        <w:rPr>
          <w:rFonts w:ascii="Times New Roman" w:cs="Times New Roman" w:eastAsia="Times New Roman" w:hAnsi="Times New Roman"/>
          <w:b/>
          <w:bCs/>
          <w:sz w:val="28"/>
          <w:szCs w:val="28"/>
        </w:rPr>
        <w:t xml:space="preserve">CONCLUSION AND RECOMMENDATIONS</w:t>
      </w:r>
    </w:p>
    <w:p>
      <w:pPr>
        <w:spacing w:after="240" w:before="240" w:line="240" w:lineRule="auto"/>
        <w:jc w:val="both"/>
      </w:pPr>
      <w:r>
        <w:rPr>
          <w:rFonts w:ascii="Times New Roman" w:cs="Times New Roman" w:eastAsia="Times New Roman" w:hAnsi="Times New Roman"/>
          <w:sz w:val="24"/>
          <w:szCs w:val="24"/>
        </w:rPr>
        <w:t xml:space="preserve">This paper has reported the development process of a STEM Training Module for the topic of Functions that integrates GeoGebra and Augmented Reality, built systematically through the first phase of the SMDM with the support of the STEM Education Quality Framework. The result is a four-unit module based on real-world contexts with six consistent learning components and the support of visualisation technology. This module contributes a concrete example of a technology-based STEM module design that can be adapted by other teachers and researchers.</w:t>
      </w:r>
    </w:p>
    <w:p>
      <w:pPr>
        <w:spacing w:after="240" w:before="240" w:line="240" w:lineRule="auto"/>
        <w:jc w:val="both"/>
      </w:pPr>
      <w:r>
        <w:rPr>
          <w:rFonts w:ascii="Times New Roman" w:cs="Times New Roman" w:eastAsia="Times New Roman" w:hAnsi="Times New Roman"/>
          <w:sz w:val="24"/>
          <w:szCs w:val="24"/>
        </w:rPr>
        <w:t xml:space="preserve">As a next step, this module draft needs to undergo validity, reliability and usability testing among experts and students to ensure its quality. Further research is also recommended to evaluate the effect of using the module on students’ achievement and motivation in the topic of Functions, as well as to extend this development approach to other Additional Mathematics topics.</w:t>
      </w:r>
    </w:p>
    <w:p>
      <w:pPr>
        <w:spacing w:after="200" w:before="280" w:line="240" w:lineRule="auto"/>
        <w:jc w:val="left"/>
      </w:pPr>
      <w:r>
        <w:rPr>
          <w:rFonts w:ascii="Times New Roman" w:cs="Times New Roman" w:eastAsia="Times New Roman" w:hAnsi="Times New Roman"/>
          <w:b/>
          <w:bCs/>
          <w:sz w:val="28"/>
          <w:szCs w:val="28"/>
        </w:rPr>
        <w:t xml:space="preserve">ACKNOWLEDGEMENT</w:t>
      </w:r>
    </w:p>
    <w:p>
      <w:pPr>
        <w:spacing w:after="240" w:before="240" w:line="240" w:lineRule="auto"/>
        <w:jc w:val="both"/>
      </w:pPr>
      <w:r>
        <w:rPr>
          <w:rFonts w:ascii="Times New Roman" w:cs="Times New Roman" w:eastAsia="Times New Roman" w:hAnsi="Times New Roman"/>
          <w:sz w:val="24"/>
          <w:szCs w:val="24"/>
        </w:rPr>
        <w:t xml:space="preserve">This research was funded by Universiti Pendidikan Sultan Idris under the Education-Based University Research Grant (2019-0092-107-01).</w:t>
      </w:r>
    </w:p>
    <w:p>
      <w:pPr>
        <w:spacing w:after="200" w:before="280" w:line="240" w:lineRule="auto"/>
        <w:jc w:val="left"/>
      </w:pPr>
      <w:r>
        <w:rPr>
          <w:rFonts w:ascii="Times New Roman" w:cs="Times New Roman" w:eastAsia="Times New Roman" w:hAnsi="Times New Roman"/>
          <w:b/>
          <w:bCs/>
          <w:sz w:val="28"/>
          <w:szCs w:val="28"/>
        </w:rPr>
        <w:t xml:space="preserve">REFERENCES</w:t>
      </w:r>
    </w:p>
    <w:p>
      <w:pPr>
        <w:spacing w:after="60" w:before="60" w:line="240" w:lineRule="auto"/>
        <w:ind w:left="480" w:hanging="480"/>
        <w:jc w:val="both"/>
      </w:pPr>
      <w:r>
        <w:rPr>
          <w:rFonts w:ascii="Times New Roman" w:cs="Times New Roman" w:eastAsia="Times New Roman" w:hAnsi="Times New Roman"/>
          <w:sz w:val="24"/>
          <w:szCs w:val="24"/>
        </w:rPr>
        <w:t xml:space="preserve">1.	Ahmad, N., &amp; Junaini, S. (2020). Augmented reality for learning mathematics: A systematic literature review. International Journal of Emerging Technologies in Learning (iJET), 15(16), 106–122. https://doi.org/10.3991/ijet.v15i16.14961</w:t>
      </w:r>
    </w:p>
    <w:p>
      <w:pPr>
        <w:spacing w:after="60" w:before="60" w:line="240" w:lineRule="auto"/>
        <w:ind w:left="480" w:hanging="480"/>
        <w:jc w:val="both"/>
      </w:pPr>
      <w:r>
        <w:rPr>
          <w:rFonts w:ascii="Times New Roman" w:cs="Times New Roman" w:eastAsia="Times New Roman" w:hAnsi="Times New Roman"/>
          <w:sz w:val="24"/>
          <w:szCs w:val="24"/>
        </w:rPr>
        <w:t xml:space="preserve">2.	Hamzah, M. I., Ramli, R., &amp; Khairani, A. Z. (2022). Validating a problem-solving-based learning module for enhancing mathematical resilience. International Journal of Instruction, 15(1), 119–134. https://doi.org/10.29333/iji.2022.1518a</w:t>
      </w:r>
    </w:p>
    <w:p>
      <w:pPr>
        <w:spacing w:after="60" w:before="60" w:line="240" w:lineRule="auto"/>
        <w:ind w:left="480" w:hanging="480"/>
        <w:jc w:val="both"/>
      </w:pPr>
      <w:r>
        <w:rPr>
          <w:rFonts w:ascii="Times New Roman" w:cs="Times New Roman" w:eastAsia="Times New Roman" w:hAnsi="Times New Roman"/>
          <w:sz w:val="24"/>
          <w:szCs w:val="24"/>
        </w:rPr>
        <w:t xml:space="preserve">3.	Hidayat, R., Noor, W. N. W. M., Nasir, N., &amp; Ayub, A. F. M. (2024). The role of GeoGebra software in conceptual understanding and engagement among secondary school students. Infinity Journal, 13(2), 317–332. https://doi.org/10.22460/infinity.v13i2.p317-332</w:t>
      </w:r>
    </w:p>
    <w:p>
      <w:pPr>
        <w:spacing w:after="60" w:before="60" w:line="240" w:lineRule="auto"/>
        <w:ind w:left="480" w:hanging="480"/>
        <w:jc w:val="both"/>
      </w:pPr>
      <w:r>
        <w:rPr>
          <w:rFonts w:ascii="Times New Roman" w:cs="Times New Roman" w:eastAsia="Times New Roman" w:hAnsi="Times New Roman"/>
          <w:sz w:val="24"/>
          <w:szCs w:val="24"/>
        </w:rPr>
        <w:t xml:space="preserve">4.	Hidayat, R., &amp; Wardat, Y. (2024). A systematic review of augmented reality in science, technology, engineering and mathematics education. Education and Information Technologies, 29, 9257–9282. https://doi.org/10.1007/s10639-023-12157-x</w:t>
      </w:r>
    </w:p>
    <w:p>
      <w:pPr>
        <w:spacing w:after="60" w:before="60" w:line="240" w:lineRule="auto"/>
        <w:ind w:left="480" w:hanging="480"/>
        <w:jc w:val="both"/>
      </w:pPr>
      <w:r>
        <w:rPr>
          <w:rFonts w:ascii="Times New Roman" w:cs="Times New Roman" w:eastAsia="Times New Roman" w:hAnsi="Times New Roman"/>
          <w:sz w:val="24"/>
          <w:szCs w:val="24"/>
        </w:rPr>
        <w:t xml:space="preserve">5.	Jabar, J. M., Hidayat, R., Samat, N. A., Rohizan, M. F. H., Rosdin, N. ’A., Salim, N., &amp; Norazhar, S. A. (2022). Augmented reality learning in mathematics education: A systematic literature review. Journal of Higher Education Theory and Practice, 22(15), 183–202. https://doi.org/10.33423/jhetp.v22i15.5570</w:t>
      </w:r>
    </w:p>
    <w:p>
      <w:pPr>
        <w:spacing w:after="60" w:before="60" w:line="240" w:lineRule="auto"/>
        <w:ind w:left="480" w:hanging="480"/>
        <w:jc w:val="both"/>
      </w:pPr>
      <w:r>
        <w:rPr>
          <w:rFonts w:ascii="Times New Roman" w:cs="Times New Roman" w:eastAsia="Times New Roman" w:hAnsi="Times New Roman"/>
          <w:sz w:val="24"/>
          <w:szCs w:val="24"/>
        </w:rPr>
        <w:t xml:space="preserve">6.	Jahudin, J., &amp; Siew, N. M. (2023). Infusion of Polya and digital bar model: An algebraic thinking module for seventh graders. Problems of Education in the 21st Century, 81(4), 481–500. https://doi.org/10.33225/pec/23.81.481</w:t>
      </w:r>
    </w:p>
    <w:p>
      <w:pPr>
        <w:spacing w:after="60" w:before="60" w:line="240" w:lineRule="auto"/>
        <w:ind w:left="480" w:hanging="480"/>
        <w:jc w:val="both"/>
      </w:pPr>
      <w:r>
        <w:rPr>
          <w:rFonts w:ascii="Times New Roman" w:cs="Times New Roman" w:eastAsia="Times New Roman" w:hAnsi="Times New Roman"/>
          <w:sz w:val="24"/>
          <w:szCs w:val="24"/>
        </w:rPr>
        <w:t xml:space="preserve">7.	Markus, L., Sungkim, S., &amp; Ishak, M. Z. (2021). Issues and challenges in teaching secondary school quantum physics with integrated STEM education in Malaysia. Malaysian Journal of Social Sciences and Humanities (MJSSH), 6(5), 190–202. https://doi.org/10.47405/mjssh.v6i5.776</w:t>
      </w:r>
    </w:p>
    <w:p>
      <w:pPr>
        <w:spacing w:after="60" w:before="60" w:line="240" w:lineRule="auto"/>
        <w:ind w:left="480" w:hanging="480"/>
        <w:jc w:val="both"/>
      </w:pPr>
      <w:r>
        <w:rPr>
          <w:rFonts w:ascii="Times New Roman" w:cs="Times New Roman" w:eastAsia="Times New Roman" w:hAnsi="Times New Roman"/>
          <w:sz w:val="24"/>
          <w:szCs w:val="24"/>
        </w:rPr>
        <w:t xml:space="preserve">8.	Roehrig, G. H., Dare, E. A., Ellis, J. A., &amp; Ring-Whalen, E. (2021). Beyond the basics: A detailed conceptual framework of integrated STEM. Disciplinary and Interdisciplinary Science Education Research, 3(1), Article 11. https://doi.org/10.1186/s43031-021-00041-y</w:t>
      </w:r>
    </w:p>
    <w:p>
      <w:pPr>
        <w:spacing w:after="60" w:before="60" w:line="240" w:lineRule="auto"/>
        <w:ind w:left="480" w:hanging="480"/>
        <w:jc w:val="both"/>
      </w:pPr>
      <w:r>
        <w:rPr>
          <w:rFonts w:ascii="Times New Roman" w:cs="Times New Roman" w:eastAsia="Times New Roman" w:hAnsi="Times New Roman"/>
          <w:sz w:val="24"/>
          <w:szCs w:val="24"/>
        </w:rPr>
        <w:t xml:space="preserve">9.	Rowley, J., Preiss, S., Pinnell, M., &amp; Franco, S. (2012). Engineering innovation and design for STEM teachers and the STEM Education Quality Framework. Mechanical and Aerospace Engineering Faculty Publications, 194.</w:t>
      </w:r>
    </w:p>
    <w:p>
      <w:pPr>
        <w:spacing w:after="60" w:before="60" w:line="240" w:lineRule="auto"/>
        <w:ind w:left="480" w:hanging="480"/>
        <w:jc w:val="both"/>
      </w:pPr>
      <w:r>
        <w:rPr>
          <w:rFonts w:ascii="Times New Roman" w:cs="Times New Roman" w:eastAsia="Times New Roman" w:hAnsi="Times New Roman"/>
          <w:sz w:val="24"/>
          <w:szCs w:val="24"/>
        </w:rPr>
        <w:t xml:space="preserve">10.	Shahrul, Q. D., Nasir, N., &amp; Suryadi, D. (2024). Analysis of Form Two Mathematics Textbook content for the Functional Graph topic using the praxeology method. Jurnal Pendidikan Sains dan Matematik Malaysia, 14(2), 99–122. https://doi.org/10.37134/jpsmm.vol14.2.9.2024</w:t>
      </w:r>
    </w:p>
    <w:p>
      <w:pPr>
        <w:spacing w:after="60" w:before="60" w:line="240" w:lineRule="auto"/>
        <w:ind w:left="480" w:hanging="480"/>
        <w:jc w:val="both"/>
      </w:pPr>
      <w:r>
        <w:rPr>
          <w:rFonts w:ascii="Times New Roman" w:cs="Times New Roman" w:eastAsia="Times New Roman" w:hAnsi="Times New Roman"/>
          <w:sz w:val="24"/>
          <w:szCs w:val="24"/>
        </w:rPr>
        <w:t xml:space="preserve">11.	Yatim, S. S. K. M., Saleh, S., Zulnaidi, H., Yew, W. T., &amp; Yatim, S. A. M. (2022). Effects of brain-based teaching approach integrated with GeoGebra (B-Geo Module) on students’ conceptual understanding. International Journal of Instruction, 15(1), 327–346. https://doi.org/10.29333/iji.2022.15119a</w:t>
      </w:r>
    </w:p>
    <w:p>
      <w:pPr>
        <w:spacing w:after="60" w:before="60" w:line="240" w:lineRule="auto"/>
        <w:ind w:left="480" w:hanging="480"/>
        <w:jc w:val="both"/>
      </w:pPr>
      <w:r>
        <w:rPr>
          <w:rFonts w:ascii="Times New Roman" w:cs="Times New Roman" w:eastAsia="Times New Roman" w:hAnsi="Times New Roman"/>
          <w:sz w:val="24"/>
          <w:szCs w:val="24"/>
        </w:rPr>
        <w:t xml:space="preserve">12.	Yohannes, A., &amp; Chen, H.-L. (2023). GeoGebra in mathematics education: A systematic review of journal articles published from 2010 to 2020. Interactive Learning Environments, 31(9), 5682–5697. https://doi.org/10.1080/10494820.2021.2016861</w:t>
      </w:r>
    </w:p>
    <w:p>
      <w:pPr>
        <w:spacing w:after="60" w:before="60" w:line="240" w:lineRule="auto"/>
        <w:ind w:left="480" w:hanging="480"/>
        <w:jc w:val="both"/>
      </w:pPr>
      <w:r>
        <w:rPr>
          <w:rFonts w:ascii="Times New Roman" w:cs="Times New Roman" w:eastAsia="Times New Roman" w:hAnsi="Times New Roman"/>
          <w:sz w:val="24"/>
          <w:szCs w:val="24"/>
        </w:rPr>
        <w:t xml:space="preserve">13.	Ziatdinov, R., &amp; Valles, J. R. (2022). Synthesis of modeling, visualization, and programming in GeoGebra as an effective approach for teaching and learning STEM topics. Mathematics, 10(3), 398. https://doi.org/10.3390/math10030398</w:t>
      </w:r>
    </w:p>
    <w:p>
      <w:pPr>
        <w:spacing w:after="60" w:before="60" w:line="240" w:lineRule="auto"/>
        <w:ind w:left="480" w:hanging="480"/>
        <w:jc w:val="both"/>
      </w:pPr>
      <w:r>
        <w:rPr>
          <w:rFonts w:ascii="Times New Roman" w:cs="Times New Roman" w:eastAsia="Times New Roman" w:hAnsi="Times New Roman"/>
          <w:sz w:val="24"/>
          <w:szCs w:val="24"/>
        </w:rPr>
        <w:t xml:space="preserve">14.	Zulnaidi, H., Oktavika, E., &amp; Hidayat, R. (2020). Effect of use of GeoGebra on achievement of high school mathematics students. Education and Information Technologies, 25(1), 51–72. https://doi.org/10.1007/s10639-019-09899-y</w:t>
      </w:r>
    </w:p>
    <w:sectPr>
      <w:pgSz w:w="11906" w:h="16838" w:orient="portrait"/>
      <w:pgMar w:top="1080"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2026-06-27T03:16:35.132Z</dcterms:created>
  <dcterms:modified xsi:type="dcterms:W3CDTF">2026-06-27T03:16:35.144Z</dcterms:modified>
</cp:coreProperties>
</file>

<file path=docProps/custom.xml><?xml version="1.0" encoding="utf-8"?>
<Properties xmlns="http://schemas.openxmlformats.org/officeDocument/2006/custom-properties" xmlns:vt="http://schemas.openxmlformats.org/officeDocument/2006/docPropsVTypes"/>
</file>