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9781" w14:textId="1939EBDA" w:rsidR="00FF16B2" w:rsidRDefault="0023214F">
      <w:pPr>
        <w:pStyle w:val="Text"/>
        <w:tabs>
          <w:tab w:val="left" w:pos="4220"/>
        </w:tabs>
        <w:spacing w:line="240" w:lineRule="auto"/>
        <w:ind w:firstLine="0"/>
        <w:jc w:val="center"/>
        <w:rPr>
          <w:color w:val="000000"/>
          <w:sz w:val="36"/>
          <w:szCs w:val="36"/>
        </w:rPr>
      </w:pPr>
      <w:r w:rsidRPr="0023214F">
        <w:rPr>
          <w:color w:val="000000"/>
          <w:sz w:val="36"/>
          <w:szCs w:val="36"/>
        </w:rPr>
        <w:t xml:space="preserve"> Co-Curricular </w:t>
      </w:r>
      <w:r>
        <w:rPr>
          <w:color w:val="000000"/>
          <w:sz w:val="36"/>
          <w:szCs w:val="36"/>
        </w:rPr>
        <w:t>a</w:t>
      </w:r>
      <w:r w:rsidRPr="0023214F">
        <w:rPr>
          <w:color w:val="000000"/>
          <w:sz w:val="36"/>
          <w:szCs w:val="36"/>
        </w:rPr>
        <w:t xml:space="preserve">nd Extracurricular Activities </w:t>
      </w:r>
      <w:r>
        <w:rPr>
          <w:color w:val="000000"/>
          <w:sz w:val="36"/>
          <w:szCs w:val="36"/>
        </w:rPr>
        <w:t>a</w:t>
      </w:r>
      <w:r w:rsidRPr="0023214F">
        <w:rPr>
          <w:color w:val="000000"/>
          <w:sz w:val="36"/>
          <w:szCs w:val="36"/>
        </w:rPr>
        <w:t xml:space="preserve">nd </w:t>
      </w:r>
      <w:r>
        <w:rPr>
          <w:color w:val="000000"/>
          <w:sz w:val="36"/>
          <w:szCs w:val="36"/>
        </w:rPr>
        <w:t>t</w:t>
      </w:r>
      <w:r w:rsidRPr="0023214F">
        <w:rPr>
          <w:color w:val="000000"/>
          <w:sz w:val="36"/>
          <w:szCs w:val="36"/>
        </w:rPr>
        <w:t xml:space="preserve">he Academic Performance </w:t>
      </w:r>
      <w:r>
        <w:rPr>
          <w:color w:val="000000"/>
          <w:sz w:val="36"/>
          <w:szCs w:val="36"/>
        </w:rPr>
        <w:t>of MSU-</w:t>
      </w:r>
      <w:proofErr w:type="spellStart"/>
      <w:r>
        <w:rPr>
          <w:color w:val="000000"/>
          <w:sz w:val="36"/>
          <w:szCs w:val="36"/>
        </w:rPr>
        <w:t>Buug</w:t>
      </w:r>
      <w:proofErr w:type="spellEnd"/>
      <w:r w:rsidRPr="0023214F">
        <w:rPr>
          <w:color w:val="000000"/>
          <w:sz w:val="36"/>
          <w:szCs w:val="36"/>
        </w:rPr>
        <w:t xml:space="preserve"> Laboratory High School Students</w:t>
      </w:r>
    </w:p>
    <w:p w14:paraId="548197B1" w14:textId="77777777" w:rsidR="0023214F" w:rsidRDefault="0023214F">
      <w:pPr>
        <w:pStyle w:val="Text"/>
        <w:tabs>
          <w:tab w:val="left" w:pos="4220"/>
        </w:tabs>
        <w:spacing w:line="240" w:lineRule="auto"/>
        <w:ind w:firstLine="0"/>
        <w:jc w:val="center"/>
        <w:rPr>
          <w:color w:val="000000"/>
          <w:sz w:val="24"/>
          <w:szCs w:val="24"/>
        </w:rPr>
      </w:pPr>
    </w:p>
    <w:p w14:paraId="56409783" w14:textId="1CCF8370" w:rsidR="00FF16B2" w:rsidRDefault="00B05217" w:rsidP="00B05217">
      <w:pPr>
        <w:jc w:val="center"/>
        <w:rPr>
          <w:sz w:val="24"/>
          <w:szCs w:val="24"/>
        </w:rPr>
      </w:pPr>
      <w:r w:rsidRPr="00B05217">
        <w:rPr>
          <w:b/>
          <w:bCs/>
          <w:color w:val="000000"/>
          <w:sz w:val="24"/>
          <w:szCs w:val="24"/>
        </w:rPr>
        <w:t xml:space="preserve">Steffany Zyrin D. </w:t>
      </w:r>
      <w:proofErr w:type="spellStart"/>
      <w:r w:rsidRPr="00B05217">
        <w:rPr>
          <w:b/>
          <w:bCs/>
          <w:color w:val="000000"/>
          <w:sz w:val="24"/>
          <w:szCs w:val="24"/>
        </w:rPr>
        <w:t>Birao</w:t>
      </w:r>
      <w:proofErr w:type="spellEnd"/>
      <w:r>
        <w:rPr>
          <w:b/>
          <w:bCs/>
          <w:color w:val="000000"/>
          <w:sz w:val="24"/>
          <w:szCs w:val="24"/>
        </w:rPr>
        <w:t xml:space="preserve">*, </w:t>
      </w:r>
      <w:r w:rsidRPr="00B05217">
        <w:rPr>
          <w:b/>
          <w:bCs/>
          <w:color w:val="000000"/>
          <w:sz w:val="24"/>
          <w:szCs w:val="24"/>
        </w:rPr>
        <w:t>Prince Justine P. Galope</w:t>
      </w:r>
      <w:r w:rsidR="00154EBB">
        <w:rPr>
          <w:b/>
          <w:bCs/>
          <w:color w:val="000000"/>
          <w:sz w:val="24"/>
          <w:szCs w:val="24"/>
        </w:rPr>
        <w:t xml:space="preserve">*, </w:t>
      </w:r>
      <w:r w:rsidRPr="00B05217">
        <w:rPr>
          <w:b/>
          <w:bCs/>
          <w:color w:val="000000"/>
          <w:sz w:val="24"/>
          <w:szCs w:val="24"/>
        </w:rPr>
        <w:t>Kent A. Samonte</w:t>
      </w:r>
      <w:r w:rsidR="00154EBB">
        <w:rPr>
          <w:b/>
          <w:bCs/>
          <w:color w:val="000000"/>
          <w:sz w:val="24"/>
          <w:szCs w:val="24"/>
        </w:rPr>
        <w:t xml:space="preserve">*, </w:t>
      </w:r>
      <w:r w:rsidRPr="00B05217">
        <w:rPr>
          <w:b/>
          <w:bCs/>
          <w:color w:val="000000"/>
          <w:sz w:val="24"/>
          <w:szCs w:val="24"/>
        </w:rPr>
        <w:t xml:space="preserve">Meryll Dawn C. </w:t>
      </w:r>
      <w:proofErr w:type="spellStart"/>
      <w:r w:rsidRPr="00B05217">
        <w:rPr>
          <w:b/>
          <w:bCs/>
          <w:color w:val="000000"/>
          <w:sz w:val="24"/>
          <w:szCs w:val="24"/>
        </w:rPr>
        <w:t>Villarba</w:t>
      </w:r>
      <w:proofErr w:type="spellEnd"/>
      <w:r w:rsidR="00154EBB">
        <w:rPr>
          <w:b/>
          <w:bCs/>
          <w:color w:val="000000"/>
          <w:sz w:val="24"/>
          <w:szCs w:val="24"/>
        </w:rPr>
        <w:t xml:space="preserve">*, </w:t>
      </w:r>
      <w:r w:rsidRPr="00B05217">
        <w:rPr>
          <w:b/>
          <w:bCs/>
          <w:color w:val="000000"/>
          <w:sz w:val="24"/>
          <w:szCs w:val="24"/>
        </w:rPr>
        <w:t xml:space="preserve">Prince </w:t>
      </w:r>
      <w:proofErr w:type="spellStart"/>
      <w:r w:rsidRPr="00B05217">
        <w:rPr>
          <w:b/>
          <w:bCs/>
          <w:color w:val="000000"/>
          <w:sz w:val="24"/>
          <w:szCs w:val="24"/>
        </w:rPr>
        <w:t>Xyruz</w:t>
      </w:r>
      <w:proofErr w:type="spellEnd"/>
      <w:r w:rsidRPr="00B05217">
        <w:rPr>
          <w:b/>
          <w:bCs/>
          <w:color w:val="000000"/>
          <w:sz w:val="24"/>
          <w:szCs w:val="24"/>
        </w:rPr>
        <w:t xml:space="preserve"> Mykel D. Yepes</w:t>
      </w:r>
      <w:r w:rsidR="00154EBB">
        <w:rPr>
          <w:b/>
          <w:bCs/>
          <w:color w:val="000000"/>
          <w:sz w:val="24"/>
          <w:szCs w:val="24"/>
        </w:rPr>
        <w:t xml:space="preserve">*, Alven M. </w:t>
      </w:r>
      <w:proofErr w:type="spellStart"/>
      <w:r w:rsidR="00154EBB">
        <w:rPr>
          <w:b/>
          <w:bCs/>
          <w:color w:val="000000"/>
          <w:sz w:val="24"/>
          <w:szCs w:val="24"/>
        </w:rPr>
        <w:t>Bolotaolo</w:t>
      </w:r>
      <w:proofErr w:type="spellEnd"/>
      <w:r w:rsidR="00154EBB">
        <w:rPr>
          <w:b/>
          <w:bCs/>
          <w:color w:val="000000"/>
          <w:sz w:val="24"/>
          <w:szCs w:val="24"/>
        </w:rPr>
        <w:t xml:space="preserve">*, Mary Joy A. de Guzman*, </w:t>
      </w:r>
      <w:proofErr w:type="spellStart"/>
      <w:r w:rsidR="00154EBB">
        <w:rPr>
          <w:b/>
          <w:bCs/>
          <w:color w:val="000000"/>
          <w:sz w:val="24"/>
          <w:szCs w:val="24"/>
        </w:rPr>
        <w:t>Mariefe</w:t>
      </w:r>
      <w:proofErr w:type="spellEnd"/>
      <w:r w:rsidR="00154EBB">
        <w:rPr>
          <w:b/>
          <w:bCs/>
          <w:color w:val="000000"/>
          <w:sz w:val="24"/>
          <w:szCs w:val="24"/>
        </w:rPr>
        <w:t xml:space="preserve"> T. Saga*</w:t>
      </w:r>
    </w:p>
    <w:p w14:paraId="2E1EFA43" w14:textId="77777777" w:rsidR="00154EBB" w:rsidRDefault="00154EBB">
      <w:pPr>
        <w:jc w:val="center"/>
        <w:rPr>
          <w:sz w:val="24"/>
          <w:szCs w:val="24"/>
        </w:rPr>
      </w:pPr>
    </w:p>
    <w:p w14:paraId="56409786" w14:textId="23957A24" w:rsidR="00FF16B2" w:rsidRDefault="0093381F">
      <w:pPr>
        <w:jc w:val="center"/>
        <w:rPr>
          <w:sz w:val="24"/>
          <w:szCs w:val="24"/>
        </w:rPr>
      </w:pPr>
      <w:r>
        <w:rPr>
          <w:sz w:val="24"/>
          <w:szCs w:val="24"/>
        </w:rPr>
        <w:t xml:space="preserve">Mindanao State University </w:t>
      </w:r>
      <w:r w:rsidR="00E8551C">
        <w:rPr>
          <w:sz w:val="24"/>
          <w:szCs w:val="24"/>
        </w:rPr>
        <w:t>Zamboanga Sibugay</w:t>
      </w:r>
    </w:p>
    <w:p w14:paraId="49323D4F" w14:textId="67A3D09D" w:rsidR="005D6C0C" w:rsidRPr="00D72563" w:rsidRDefault="005D6C0C" w:rsidP="00E8551C">
      <w:pPr>
        <w:adjustRightInd w:val="0"/>
        <w:ind w:left="360"/>
        <w:jc w:val="center"/>
        <w:rPr>
          <w:i/>
          <w:iCs/>
        </w:rPr>
      </w:pPr>
      <w:r w:rsidRPr="00D72563">
        <w:rPr>
          <w:i/>
          <w:iCs/>
        </w:rPr>
        <w:t>Biraosteffanyzyrin23@gmail.com</w:t>
      </w:r>
    </w:p>
    <w:p w14:paraId="2A11DF79" w14:textId="1B4BDE5E" w:rsidR="006644B4" w:rsidRPr="00F235A9" w:rsidRDefault="006644B4" w:rsidP="00E8551C">
      <w:pPr>
        <w:adjustRightInd w:val="0"/>
        <w:ind w:left="360"/>
        <w:jc w:val="center"/>
        <w:rPr>
          <w:rStyle w:val="Hyperlink"/>
          <w:i/>
          <w:iCs/>
          <w:color w:val="auto"/>
          <w:u w:val="none"/>
        </w:rPr>
      </w:pPr>
      <w:r w:rsidRPr="00F235A9">
        <w:rPr>
          <w:rStyle w:val="Hyperlink"/>
          <w:i/>
          <w:iCs/>
          <w:color w:val="auto"/>
          <w:u w:val="none"/>
        </w:rPr>
        <w:t xml:space="preserve">princejustinegalope@gmail.com </w:t>
      </w:r>
    </w:p>
    <w:p w14:paraId="505C4456" w14:textId="7EB67559" w:rsidR="00B30E97" w:rsidRPr="00F235A9" w:rsidRDefault="00B30E97" w:rsidP="00E8551C">
      <w:pPr>
        <w:adjustRightInd w:val="0"/>
        <w:ind w:left="360"/>
        <w:jc w:val="center"/>
        <w:rPr>
          <w:rStyle w:val="Hyperlink"/>
          <w:i/>
          <w:iCs/>
          <w:color w:val="auto"/>
          <w:u w:val="none"/>
        </w:rPr>
      </w:pPr>
      <w:r w:rsidRPr="00630EA2">
        <w:rPr>
          <w:rStyle w:val="Hyperlink"/>
          <w:i/>
          <w:iCs/>
          <w:color w:val="auto"/>
          <w:u w:val="none"/>
        </w:rPr>
        <w:t>kentsamonte4@gmail.com</w:t>
      </w:r>
    </w:p>
    <w:p w14:paraId="07D95B7A" w14:textId="17F56D86" w:rsidR="003228A7" w:rsidRPr="00630EA2" w:rsidRDefault="00630EA2" w:rsidP="00E8551C">
      <w:pPr>
        <w:adjustRightInd w:val="0"/>
        <w:ind w:left="360"/>
        <w:jc w:val="center"/>
        <w:rPr>
          <w:rStyle w:val="Hyperlink"/>
          <w:i/>
          <w:iCs/>
          <w:color w:val="auto"/>
          <w:u w:val="none"/>
        </w:rPr>
      </w:pPr>
      <w:hyperlink r:id="rId7" w:history="1">
        <w:r w:rsidRPr="00630EA2">
          <w:rPr>
            <w:rStyle w:val="Hyperlink"/>
            <w:i/>
            <w:iCs/>
            <w:color w:val="auto"/>
            <w:u w:val="none"/>
          </w:rPr>
          <w:t>villarbamyell62210@gmail.com</w:t>
        </w:r>
      </w:hyperlink>
    </w:p>
    <w:p w14:paraId="62DDA628" w14:textId="3D777B61" w:rsidR="00630EA2" w:rsidRPr="00630EA2" w:rsidRDefault="00630EA2" w:rsidP="00E8551C">
      <w:pPr>
        <w:adjustRightInd w:val="0"/>
        <w:ind w:left="360"/>
        <w:jc w:val="center"/>
        <w:rPr>
          <w:rStyle w:val="Hyperlink"/>
          <w:color w:val="auto"/>
          <w:u w:val="none"/>
        </w:rPr>
      </w:pPr>
      <w:r w:rsidRPr="00630EA2">
        <w:rPr>
          <w:rStyle w:val="Hyperlink"/>
          <w:i/>
          <w:iCs/>
          <w:color w:val="auto"/>
          <w:u w:val="none"/>
        </w:rPr>
        <w:t>princexyruzmykelyepes@gmail.com</w:t>
      </w:r>
    </w:p>
    <w:p w14:paraId="1B5D1941" w14:textId="77777777" w:rsidR="00C1279D" w:rsidRPr="00630EA2" w:rsidRDefault="00C1279D" w:rsidP="00C1279D">
      <w:pPr>
        <w:adjustRightInd w:val="0"/>
        <w:ind w:left="360"/>
        <w:jc w:val="center"/>
        <w:rPr>
          <w:rStyle w:val="Hyperlink"/>
          <w:i/>
          <w:iCs/>
          <w:color w:val="auto"/>
          <w:u w:val="none"/>
        </w:rPr>
      </w:pPr>
      <w:hyperlink r:id="rId8" w:history="1">
        <w:r w:rsidRPr="00630EA2">
          <w:rPr>
            <w:rStyle w:val="Hyperlink"/>
            <w:i/>
            <w:iCs/>
            <w:color w:val="auto"/>
            <w:u w:val="none"/>
          </w:rPr>
          <w:t>bolotaoloalven18@gmail.com</w:t>
        </w:r>
      </w:hyperlink>
    </w:p>
    <w:p w14:paraId="48F57663" w14:textId="77777777" w:rsidR="00FF16B2" w:rsidRDefault="00C1279D" w:rsidP="00C1279D">
      <w:pPr>
        <w:contextualSpacing/>
        <w:jc w:val="center"/>
      </w:pPr>
      <w:hyperlink r:id="rId9" w:history="1">
        <w:r w:rsidRPr="008B6AAA">
          <w:rPr>
            <w:rStyle w:val="Hyperlink"/>
            <w:i/>
            <w:iCs/>
            <w:color w:val="auto"/>
            <w:u w:val="none"/>
          </w:rPr>
          <w:t>maryjoy.deguzman@msubuug.edu.ph</w:t>
        </w:r>
      </w:hyperlink>
    </w:p>
    <w:p w14:paraId="5B332E67" w14:textId="77777777" w:rsidR="00C1279D" w:rsidRPr="00630EA2" w:rsidRDefault="00C1279D" w:rsidP="00C1279D">
      <w:pPr>
        <w:adjustRightInd w:val="0"/>
        <w:ind w:left="360"/>
        <w:jc w:val="center"/>
        <w:rPr>
          <w:rStyle w:val="Hyperlink"/>
          <w:i/>
          <w:iCs/>
          <w:color w:val="auto"/>
          <w:u w:val="none"/>
        </w:rPr>
      </w:pPr>
      <w:hyperlink r:id="rId10" w:history="1">
        <w:r w:rsidRPr="001F5B2A">
          <w:rPr>
            <w:rStyle w:val="Hyperlink"/>
            <w:i/>
            <w:iCs/>
            <w:color w:val="auto"/>
            <w:u w:val="none"/>
          </w:rPr>
          <w:t>mariefe.saga@msubuug.edu.ph</w:t>
        </w:r>
      </w:hyperlink>
    </w:p>
    <w:p w14:paraId="2B4C9A71" w14:textId="77777777" w:rsidR="00C1279D" w:rsidRDefault="00C1279D" w:rsidP="00C1279D">
      <w:pPr>
        <w:contextualSpacing/>
        <w:jc w:val="center"/>
        <w:rPr>
          <w:rFonts w:eastAsia="MS Mincho"/>
          <w:b/>
          <w:bCs/>
          <w:sz w:val="24"/>
          <w:szCs w:val="24"/>
        </w:rPr>
      </w:pPr>
    </w:p>
    <w:p w14:paraId="5640978B" w14:textId="5D9EA58F" w:rsidR="00C1279D" w:rsidRDefault="00C1279D" w:rsidP="00C1279D">
      <w:pPr>
        <w:contextualSpacing/>
        <w:jc w:val="center"/>
        <w:rPr>
          <w:rFonts w:eastAsia="MS Mincho"/>
          <w:b/>
          <w:bCs/>
          <w:sz w:val="24"/>
          <w:szCs w:val="24"/>
        </w:rPr>
        <w:sectPr w:rsidR="00C1279D">
          <w:headerReference w:type="default" r:id="rId11"/>
          <w:footerReference w:type="default" r:id="rId12"/>
          <w:type w:val="continuous"/>
          <w:pgSz w:w="11907" w:h="16839"/>
          <w:pgMar w:top="1094" w:right="605" w:bottom="605" w:left="605" w:header="346" w:footer="403" w:gutter="0"/>
          <w:cols w:space="288"/>
          <w:docGrid w:linePitch="272"/>
        </w:sectPr>
      </w:pPr>
    </w:p>
    <w:p w14:paraId="5640978D" w14:textId="1224A241" w:rsidR="00FF16B2" w:rsidRDefault="0093381F" w:rsidP="008D23D2">
      <w:pPr>
        <w:contextualSpacing/>
        <w:jc w:val="both"/>
        <w:rPr>
          <w:color w:val="000000"/>
          <w:sz w:val="24"/>
          <w:szCs w:val="24"/>
        </w:rPr>
      </w:pPr>
      <w:r>
        <w:rPr>
          <w:rFonts w:eastAsia="MS Mincho"/>
          <w:b/>
          <w:bCs/>
          <w:sz w:val="24"/>
          <w:szCs w:val="24"/>
        </w:rPr>
        <w:t>Abstract:</w:t>
      </w:r>
      <w:r>
        <w:rPr>
          <w:b/>
          <w:bCs/>
          <w:sz w:val="24"/>
          <w:szCs w:val="24"/>
        </w:rPr>
        <w:t xml:space="preserve"> </w:t>
      </w:r>
      <w:r w:rsidR="008D23D2" w:rsidRPr="008D23D2">
        <w:rPr>
          <w:color w:val="000000"/>
          <w:sz w:val="24"/>
          <w:szCs w:val="24"/>
        </w:rPr>
        <w:t>This study aimed to find out the correlation between students' participation in co-curricular and extracurricular activities and their academic performance. The research employed a descriptive–correlational design to determine whether participation in school activities significantly relates to students' academic achievement. In order to guarantee representation across grade levels, a total of 120 junior high school students were chosen as responders using stratified random sampling. The weighted mean, frequency and percentage distributions, and Pearson Product–Moment Correlation Coefficient (Pearson r) were utilized to examine the data. The findings showed that students' involvement in extracurricular and co-curricular activities was moderate. While organizations, leadership programs, and journalism demonstrated moderate to low interest, clubs, music, and dance demonstrated comparatively high participation. The majority of responders had mediocre academic results. Academic achievement and involvement in extracurricular or co-curricular activities are not significantly related (Correlational studies). The study found that students' involvement in school activities does not directly affect the academic achievement of MSU-</w:t>
      </w:r>
      <w:proofErr w:type="spellStart"/>
      <w:r w:rsidR="008D23D2" w:rsidRPr="008D23D2">
        <w:rPr>
          <w:color w:val="000000"/>
          <w:sz w:val="24"/>
          <w:szCs w:val="24"/>
        </w:rPr>
        <w:t>Buug</w:t>
      </w:r>
      <w:proofErr w:type="spellEnd"/>
      <w:r w:rsidR="008D23D2" w:rsidRPr="008D23D2">
        <w:rPr>
          <w:color w:val="000000"/>
          <w:sz w:val="24"/>
          <w:szCs w:val="24"/>
        </w:rPr>
        <w:t xml:space="preserve"> LHS. Schools need to continue to promote these programs and fund academic support initiatives that address motivation, time management, and study habits to improve students' overall progress.</w:t>
      </w:r>
    </w:p>
    <w:p w14:paraId="41AD36AB" w14:textId="77777777" w:rsidR="008D23D2" w:rsidRDefault="008D23D2" w:rsidP="008D23D2">
      <w:pPr>
        <w:contextualSpacing/>
        <w:jc w:val="both"/>
        <w:rPr>
          <w:rFonts w:eastAsia="MS Mincho"/>
          <w:sz w:val="24"/>
          <w:szCs w:val="24"/>
        </w:rPr>
      </w:pPr>
    </w:p>
    <w:p w14:paraId="5640978E" w14:textId="662C09EA" w:rsidR="00FF16B2" w:rsidRDefault="0093381F">
      <w:pPr>
        <w:contextualSpacing/>
        <w:jc w:val="both"/>
        <w:rPr>
          <w:sz w:val="24"/>
          <w:szCs w:val="24"/>
        </w:rPr>
      </w:pPr>
      <w:bookmarkStart w:id="0" w:name="PointTmp"/>
      <w:r>
        <w:rPr>
          <w:sz w:val="24"/>
          <w:szCs w:val="24"/>
        </w:rPr>
        <w:t xml:space="preserve">Keywords: </w:t>
      </w:r>
      <w:r w:rsidR="00BA65F3" w:rsidRPr="00BA65F3">
        <w:rPr>
          <w:color w:val="000000"/>
          <w:sz w:val="24"/>
          <w:szCs w:val="24"/>
        </w:rPr>
        <w:t>Student Participation; Co-Curricular Activities; Extracurricular Activities; Academic Performance; Laboratory High School Students</w:t>
      </w:r>
    </w:p>
    <w:p w14:paraId="5640978F" w14:textId="77777777" w:rsidR="00FF16B2" w:rsidRDefault="00FF16B2">
      <w:pPr>
        <w:rPr>
          <w:sz w:val="24"/>
          <w:szCs w:val="24"/>
        </w:rPr>
      </w:pPr>
    </w:p>
    <w:bookmarkEnd w:id="0"/>
    <w:p w14:paraId="56409790" w14:textId="77777777" w:rsidR="00FF16B2" w:rsidRDefault="0093381F">
      <w:pPr>
        <w:pStyle w:val="Heading1"/>
        <w:numPr>
          <w:ilvl w:val="0"/>
          <w:numId w:val="3"/>
        </w:numPr>
        <w:tabs>
          <w:tab w:val="clear" w:pos="425"/>
        </w:tabs>
        <w:spacing w:before="0" w:after="0"/>
        <w:ind w:left="360" w:hanging="360"/>
        <w:rPr>
          <w:b/>
          <w:sz w:val="28"/>
          <w:szCs w:val="28"/>
        </w:rPr>
      </w:pPr>
      <w:r>
        <w:rPr>
          <w:b/>
          <w:sz w:val="28"/>
          <w:szCs w:val="28"/>
        </w:rPr>
        <w:t>INTRODUCTION</w:t>
      </w:r>
    </w:p>
    <w:p w14:paraId="56409791" w14:textId="77777777" w:rsidR="00FF16B2" w:rsidRDefault="00FF16B2">
      <w:pPr>
        <w:pStyle w:val="Text"/>
        <w:spacing w:line="240" w:lineRule="auto"/>
        <w:ind w:firstLine="0"/>
        <w:rPr>
          <w:sz w:val="24"/>
          <w:szCs w:val="24"/>
        </w:rPr>
      </w:pPr>
    </w:p>
    <w:p w14:paraId="45FE2A9E" w14:textId="77777777" w:rsidR="00723F05" w:rsidRPr="00723F05" w:rsidRDefault="00723F05" w:rsidP="00723F05">
      <w:pPr>
        <w:pStyle w:val="Text"/>
        <w:rPr>
          <w:sz w:val="24"/>
          <w:szCs w:val="24"/>
          <w:lang w:eastAsia="en-PH"/>
        </w:rPr>
      </w:pPr>
      <w:r w:rsidRPr="00723F05">
        <w:rPr>
          <w:sz w:val="24"/>
          <w:szCs w:val="24"/>
          <w:lang w:eastAsia="en-PH"/>
        </w:rPr>
        <w:t xml:space="preserve">Academic accomplishment alone is insufficient to support the development of 21st-century students. To </w:t>
      </w:r>
      <w:r w:rsidRPr="00723F05">
        <w:rPr>
          <w:sz w:val="24"/>
          <w:szCs w:val="24"/>
          <w:lang w:eastAsia="en-PH"/>
        </w:rPr>
        <w:t>succeed in today's educational settings, students must demonstrate a range of essential skills, including teamwork, leadership, and effective communication. If you want to do well in school and in real life, you must learn self-management. In today's competitive environment, where professional and interpersonal abilities must supplement academic accomplishments, these skills are growing more and more important, according to Parvin (2021). In a similar vein, the current study shows how extracurricular activities help kids develop these abilities through leadership, cooperation, and decision-making tasks (</w:t>
      </w:r>
      <w:proofErr w:type="spellStart"/>
      <w:r w:rsidRPr="00723F05">
        <w:rPr>
          <w:sz w:val="24"/>
          <w:szCs w:val="24"/>
          <w:lang w:eastAsia="en-PH"/>
        </w:rPr>
        <w:t>Mkude</w:t>
      </w:r>
      <w:proofErr w:type="spellEnd"/>
      <w:r w:rsidRPr="00723F05">
        <w:rPr>
          <w:sz w:val="24"/>
          <w:szCs w:val="24"/>
          <w:lang w:eastAsia="en-PH"/>
        </w:rPr>
        <w:t xml:space="preserve"> &amp; </w:t>
      </w:r>
      <w:proofErr w:type="spellStart"/>
      <w:r w:rsidRPr="00723F05">
        <w:rPr>
          <w:sz w:val="24"/>
          <w:szCs w:val="24"/>
          <w:lang w:eastAsia="en-PH"/>
        </w:rPr>
        <w:t>Mubofu</w:t>
      </w:r>
      <w:proofErr w:type="spellEnd"/>
      <w:r w:rsidRPr="00723F05">
        <w:rPr>
          <w:sz w:val="24"/>
          <w:szCs w:val="24"/>
          <w:lang w:eastAsia="en-PH"/>
        </w:rPr>
        <w:t>, 2022).</w:t>
      </w:r>
    </w:p>
    <w:p w14:paraId="42B5B9A7" w14:textId="77777777" w:rsidR="00723F05" w:rsidRPr="00723F05" w:rsidRDefault="00723F05" w:rsidP="00723F05">
      <w:pPr>
        <w:pStyle w:val="Text"/>
        <w:rPr>
          <w:sz w:val="24"/>
          <w:szCs w:val="24"/>
          <w:lang w:eastAsia="en-PH"/>
        </w:rPr>
      </w:pPr>
    </w:p>
    <w:p w14:paraId="50A015BB" w14:textId="77777777" w:rsidR="00723F05" w:rsidRPr="00723F05" w:rsidRDefault="00723F05" w:rsidP="00723F05">
      <w:pPr>
        <w:pStyle w:val="Text"/>
        <w:rPr>
          <w:sz w:val="24"/>
          <w:szCs w:val="24"/>
          <w:lang w:eastAsia="en-PH"/>
        </w:rPr>
      </w:pPr>
      <w:r w:rsidRPr="00723F05">
        <w:rPr>
          <w:sz w:val="24"/>
          <w:szCs w:val="24"/>
          <w:lang w:eastAsia="en-PH"/>
        </w:rPr>
        <w:t>Additionally, research indicates that organized extracurricular activities enhance individuals' emotional and behavioral abilities (Nature Scientific Reports Team, 2023). A study by the Nature Scientific Reports Team (2023) found that teens who engage in arts-based extracurricular activities are more emotionally stable and show fewer externalizing behaviors. Their results emphasize that attaining favorable developmental outcomes requires individual participation rather than just program attendance. This result is in line with research by Buckley and Daly (2025), which shows that students who actively participate in clubs have higher drive, a stronger sense of belonging, and school loyalty—all of which lead to better academic accomplishment.</w:t>
      </w:r>
    </w:p>
    <w:p w14:paraId="286E8D83" w14:textId="77777777" w:rsidR="00723F05" w:rsidRPr="00723F05" w:rsidRDefault="00723F05" w:rsidP="00723F05">
      <w:pPr>
        <w:pStyle w:val="Text"/>
        <w:rPr>
          <w:sz w:val="24"/>
          <w:szCs w:val="24"/>
          <w:lang w:eastAsia="en-PH"/>
        </w:rPr>
      </w:pPr>
    </w:p>
    <w:p w14:paraId="3437A79E" w14:textId="77777777" w:rsidR="00723F05" w:rsidRPr="00723F05" w:rsidRDefault="00723F05" w:rsidP="00723F05">
      <w:pPr>
        <w:pStyle w:val="Text"/>
        <w:rPr>
          <w:sz w:val="24"/>
          <w:szCs w:val="24"/>
          <w:lang w:eastAsia="en-PH"/>
        </w:rPr>
      </w:pPr>
      <w:r w:rsidRPr="00723F05">
        <w:rPr>
          <w:sz w:val="24"/>
          <w:szCs w:val="24"/>
          <w:lang w:eastAsia="en-PH"/>
        </w:rPr>
        <w:t xml:space="preserve">Recent research has suggested that involvement in extracurricular and co-curricular activities might be associated with improved academic outcomes. Rotich et al. (2025) found that Kenyan secondary school pupils who are involved in academic groups, athletics, debates, and the performing arts demonstrate much </w:t>
      </w:r>
      <w:r w:rsidRPr="00723F05">
        <w:rPr>
          <w:sz w:val="24"/>
          <w:szCs w:val="24"/>
          <w:lang w:eastAsia="en-PH"/>
        </w:rPr>
        <w:lastRenderedPageBreak/>
        <w:t xml:space="preserve">higher levels of academic achievement and classroom engagement. To support this position, Anjum (2021) said that participating in extracurricular activities builds essential habits, including self-control, time management, problem-solving, and resilience; qualities that are connected to academic and lifetime success. Additionally, a recent study conducted in the Philippines by </w:t>
      </w:r>
      <w:proofErr w:type="spellStart"/>
      <w:r w:rsidRPr="00723F05">
        <w:rPr>
          <w:sz w:val="24"/>
          <w:szCs w:val="24"/>
          <w:lang w:eastAsia="en-PH"/>
        </w:rPr>
        <w:t>Capuso</w:t>
      </w:r>
      <w:proofErr w:type="spellEnd"/>
      <w:r w:rsidRPr="00723F05">
        <w:rPr>
          <w:sz w:val="24"/>
          <w:szCs w:val="24"/>
          <w:lang w:eastAsia="en-PH"/>
        </w:rPr>
        <w:t xml:space="preserve"> (2026) emphasizes that although extracurricular activities foster cognitive development, a student's "activity breadth", the variety of activities they participate in, must be balanced to prevent academic burnout, which is a crucial issue for students attending high-pressure laboratory high schools.</w:t>
      </w:r>
    </w:p>
    <w:p w14:paraId="562627BF" w14:textId="77777777" w:rsidR="00723F05" w:rsidRPr="00723F05" w:rsidRDefault="00723F05" w:rsidP="00723F05">
      <w:pPr>
        <w:pStyle w:val="Text"/>
        <w:rPr>
          <w:sz w:val="24"/>
          <w:szCs w:val="24"/>
          <w:lang w:eastAsia="en-PH"/>
        </w:rPr>
      </w:pPr>
    </w:p>
    <w:p w14:paraId="10CFB1F1" w14:textId="77777777" w:rsidR="00723F05" w:rsidRPr="00723F05" w:rsidRDefault="00723F05" w:rsidP="00723F05">
      <w:pPr>
        <w:pStyle w:val="Text"/>
        <w:rPr>
          <w:sz w:val="24"/>
          <w:szCs w:val="24"/>
          <w:lang w:eastAsia="en-PH"/>
        </w:rPr>
      </w:pPr>
      <w:r w:rsidRPr="00723F05">
        <w:rPr>
          <w:sz w:val="24"/>
          <w:szCs w:val="24"/>
          <w:lang w:eastAsia="en-PH"/>
        </w:rPr>
        <w:t xml:space="preserve">Additionally, extracurricular activities have a big impact on students' growth. According to Ahmad (2016), extracurricular activities promote positive connections, social skills, and general growth that includes mental, emotional, and physical health. In the Philippines, the Department of Education (2013) advocates a comprehensive strategy that integrates academic and non-academic experiences into the K-12 curriculum. Cabacungan (2015) found that Filipino children who participated in academic clubs performed better academically because of hands-on reinforcement of classroom material. Correspondingly, Sanchez (2018) discovered that participation in sports fosters discipline, perseverance, and teamwork, all of which are substantially associated with increased academic achievement. Guiterrez's (2023) correlational study also supports the idea that participation in extracurricular activities enhances students' skills and competencies, which ultimately lead to better academic status. Similarly, </w:t>
      </w:r>
      <w:proofErr w:type="spellStart"/>
      <w:r w:rsidRPr="00723F05">
        <w:rPr>
          <w:sz w:val="24"/>
          <w:szCs w:val="24"/>
          <w:lang w:eastAsia="en-PH"/>
        </w:rPr>
        <w:t>Capuso</w:t>
      </w:r>
      <w:proofErr w:type="spellEnd"/>
      <w:r w:rsidRPr="00723F05">
        <w:rPr>
          <w:sz w:val="24"/>
          <w:szCs w:val="24"/>
          <w:lang w:eastAsia="en-PH"/>
        </w:rPr>
        <w:t xml:space="preserve"> (2026) observed that pupils in larger and more diverse school systems in Philippine regions are more likely to attain higher developmental results than those in smaller and less diverse learning contexts. </w:t>
      </w:r>
    </w:p>
    <w:p w14:paraId="0AEA1F14" w14:textId="77777777" w:rsidR="00723F05" w:rsidRPr="00723F05" w:rsidRDefault="00723F05" w:rsidP="00723F05">
      <w:pPr>
        <w:pStyle w:val="Text"/>
        <w:rPr>
          <w:sz w:val="24"/>
          <w:szCs w:val="24"/>
          <w:lang w:eastAsia="en-PH"/>
        </w:rPr>
      </w:pPr>
    </w:p>
    <w:p w14:paraId="5640979F" w14:textId="52B70267" w:rsidR="00FF16B2" w:rsidRDefault="00723F05" w:rsidP="00723F05">
      <w:pPr>
        <w:pStyle w:val="Text"/>
        <w:spacing w:line="240" w:lineRule="auto"/>
        <w:rPr>
          <w:sz w:val="24"/>
          <w:szCs w:val="24"/>
          <w:lang w:eastAsia="en-PH"/>
        </w:rPr>
      </w:pPr>
      <w:r w:rsidRPr="00723F05">
        <w:rPr>
          <w:sz w:val="24"/>
          <w:szCs w:val="24"/>
          <w:lang w:eastAsia="en-PH"/>
        </w:rPr>
        <w:t>Despite extensive worldwide and local research, limited studies have investigated the influence of co-curricular and extracurricular activities on students' academic performance at MSU-</w:t>
      </w:r>
      <w:proofErr w:type="spellStart"/>
      <w:r w:rsidRPr="00723F05">
        <w:rPr>
          <w:sz w:val="24"/>
          <w:szCs w:val="24"/>
          <w:lang w:eastAsia="en-PH"/>
        </w:rPr>
        <w:t>Buug</w:t>
      </w:r>
      <w:proofErr w:type="spellEnd"/>
      <w:r w:rsidRPr="00723F05">
        <w:rPr>
          <w:sz w:val="24"/>
          <w:szCs w:val="24"/>
          <w:lang w:eastAsia="en-PH"/>
        </w:rPr>
        <w:t xml:space="preserve"> Laboratory High School. Comprehending this link is essential for creating programs that promote comprehensive learner development, increase student engagement, and improve academic success. This study seeks to evaluate the extent of student participation in co-curricular and extracurricular activities and to ascertain the correlation between these activities and </w:t>
      </w:r>
      <w:r w:rsidRPr="00723F05">
        <w:rPr>
          <w:sz w:val="24"/>
          <w:szCs w:val="24"/>
          <w:lang w:eastAsia="en-PH"/>
        </w:rPr>
        <w:t>their academic achievement.</w:t>
      </w:r>
    </w:p>
    <w:p w14:paraId="5EC64251" w14:textId="77777777" w:rsidR="00723F05" w:rsidRDefault="00723F05" w:rsidP="00723F05">
      <w:pPr>
        <w:pStyle w:val="Text"/>
        <w:spacing w:line="240" w:lineRule="auto"/>
        <w:rPr>
          <w:sz w:val="24"/>
          <w:szCs w:val="24"/>
        </w:rPr>
      </w:pPr>
    </w:p>
    <w:p w14:paraId="564097A0" w14:textId="77777777" w:rsidR="00FF16B2" w:rsidRDefault="0093381F">
      <w:pPr>
        <w:pStyle w:val="Heading1"/>
        <w:numPr>
          <w:ilvl w:val="0"/>
          <w:numId w:val="3"/>
        </w:numPr>
        <w:tabs>
          <w:tab w:val="clear" w:pos="425"/>
        </w:tabs>
        <w:spacing w:before="0" w:after="0"/>
        <w:jc w:val="both"/>
        <w:rPr>
          <w:b/>
          <w:sz w:val="28"/>
          <w:szCs w:val="28"/>
        </w:rPr>
      </w:pPr>
      <w:r>
        <w:rPr>
          <w:b/>
          <w:sz w:val="28"/>
          <w:szCs w:val="28"/>
        </w:rPr>
        <w:t xml:space="preserve">STATEMENT OF THE PROBLEM </w:t>
      </w:r>
    </w:p>
    <w:p w14:paraId="564097A1" w14:textId="77777777" w:rsidR="00FF16B2" w:rsidRDefault="00FF16B2">
      <w:pPr>
        <w:pStyle w:val="Text"/>
        <w:spacing w:line="240" w:lineRule="auto"/>
        <w:ind w:firstLine="0"/>
        <w:rPr>
          <w:sz w:val="24"/>
          <w:szCs w:val="24"/>
        </w:rPr>
      </w:pPr>
    </w:p>
    <w:p w14:paraId="27FAEBE8" w14:textId="77777777" w:rsidR="0058159C" w:rsidRPr="0058159C" w:rsidRDefault="0058159C" w:rsidP="0058159C">
      <w:pPr>
        <w:pStyle w:val="Text"/>
        <w:rPr>
          <w:sz w:val="24"/>
          <w:szCs w:val="24"/>
        </w:rPr>
      </w:pPr>
      <w:r w:rsidRPr="0058159C">
        <w:rPr>
          <w:sz w:val="24"/>
          <w:szCs w:val="24"/>
        </w:rPr>
        <w:t>This study examined the relationship of co-curricular and extracurricular activities to the academic performance of the children of MSU-</w:t>
      </w:r>
      <w:proofErr w:type="spellStart"/>
      <w:r w:rsidRPr="0058159C">
        <w:rPr>
          <w:sz w:val="24"/>
          <w:szCs w:val="24"/>
        </w:rPr>
        <w:t>Buug</w:t>
      </w:r>
      <w:proofErr w:type="spellEnd"/>
      <w:r w:rsidRPr="0058159C">
        <w:rPr>
          <w:sz w:val="24"/>
          <w:szCs w:val="24"/>
        </w:rPr>
        <w:t xml:space="preserve"> Laboratory High School. It seeks to answer the following questions: </w:t>
      </w:r>
    </w:p>
    <w:p w14:paraId="6038F45A" w14:textId="77777777" w:rsidR="0058159C" w:rsidRPr="0058159C" w:rsidRDefault="0058159C" w:rsidP="0058159C">
      <w:pPr>
        <w:pStyle w:val="Text"/>
        <w:rPr>
          <w:sz w:val="24"/>
          <w:szCs w:val="24"/>
        </w:rPr>
      </w:pPr>
      <w:r w:rsidRPr="0058159C">
        <w:rPr>
          <w:sz w:val="24"/>
          <w:szCs w:val="24"/>
        </w:rPr>
        <w:t>1.</w:t>
      </w:r>
      <w:r w:rsidRPr="0058159C">
        <w:rPr>
          <w:sz w:val="24"/>
          <w:szCs w:val="24"/>
        </w:rPr>
        <w:tab/>
        <w:t>What is the level of participation of Laboratory High School students in co-curricular activities, specifically in:</w:t>
      </w:r>
    </w:p>
    <w:p w14:paraId="04030F12" w14:textId="77777777" w:rsidR="0058159C" w:rsidRPr="0058159C" w:rsidRDefault="0058159C" w:rsidP="0058159C">
      <w:pPr>
        <w:pStyle w:val="Text"/>
        <w:rPr>
          <w:sz w:val="24"/>
          <w:szCs w:val="24"/>
        </w:rPr>
      </w:pPr>
      <w:r w:rsidRPr="0058159C">
        <w:rPr>
          <w:sz w:val="24"/>
          <w:szCs w:val="24"/>
        </w:rPr>
        <w:t>a.</w:t>
      </w:r>
      <w:r w:rsidRPr="0058159C">
        <w:rPr>
          <w:sz w:val="24"/>
          <w:szCs w:val="24"/>
        </w:rPr>
        <w:tab/>
        <w:t>Clubs</w:t>
      </w:r>
    </w:p>
    <w:p w14:paraId="0465C803" w14:textId="77777777" w:rsidR="0058159C" w:rsidRPr="0058159C" w:rsidRDefault="0058159C" w:rsidP="0058159C">
      <w:pPr>
        <w:pStyle w:val="Text"/>
        <w:rPr>
          <w:sz w:val="24"/>
          <w:szCs w:val="24"/>
        </w:rPr>
      </w:pPr>
      <w:r w:rsidRPr="0058159C">
        <w:rPr>
          <w:sz w:val="24"/>
          <w:szCs w:val="24"/>
        </w:rPr>
        <w:t>b.</w:t>
      </w:r>
      <w:r w:rsidRPr="0058159C">
        <w:rPr>
          <w:sz w:val="24"/>
          <w:szCs w:val="24"/>
        </w:rPr>
        <w:tab/>
        <w:t>Organizations</w:t>
      </w:r>
    </w:p>
    <w:p w14:paraId="4FB6BD7B" w14:textId="77777777" w:rsidR="0058159C" w:rsidRPr="0058159C" w:rsidRDefault="0058159C" w:rsidP="0058159C">
      <w:pPr>
        <w:pStyle w:val="Text"/>
        <w:rPr>
          <w:sz w:val="24"/>
          <w:szCs w:val="24"/>
        </w:rPr>
      </w:pPr>
      <w:r w:rsidRPr="0058159C">
        <w:rPr>
          <w:sz w:val="24"/>
          <w:szCs w:val="24"/>
        </w:rPr>
        <w:t>c.</w:t>
      </w:r>
      <w:r w:rsidRPr="0058159C">
        <w:rPr>
          <w:sz w:val="24"/>
          <w:szCs w:val="24"/>
        </w:rPr>
        <w:tab/>
        <w:t>Student leadership programs</w:t>
      </w:r>
    </w:p>
    <w:p w14:paraId="308FFFD6" w14:textId="77777777" w:rsidR="0058159C" w:rsidRPr="0058159C" w:rsidRDefault="0058159C" w:rsidP="0058159C">
      <w:pPr>
        <w:pStyle w:val="Text"/>
        <w:rPr>
          <w:sz w:val="24"/>
          <w:szCs w:val="24"/>
        </w:rPr>
      </w:pPr>
      <w:r w:rsidRPr="0058159C">
        <w:rPr>
          <w:sz w:val="24"/>
          <w:szCs w:val="24"/>
        </w:rPr>
        <w:t>2.</w:t>
      </w:r>
      <w:r w:rsidRPr="0058159C">
        <w:rPr>
          <w:sz w:val="24"/>
          <w:szCs w:val="24"/>
        </w:rPr>
        <w:tab/>
        <w:t>What is the level of participation of Laboratory High School students in extracurricular activities, specifically in:</w:t>
      </w:r>
    </w:p>
    <w:p w14:paraId="1F567AA7" w14:textId="77777777" w:rsidR="0058159C" w:rsidRPr="0058159C" w:rsidRDefault="0058159C" w:rsidP="0058159C">
      <w:pPr>
        <w:pStyle w:val="Text"/>
        <w:rPr>
          <w:sz w:val="24"/>
          <w:szCs w:val="24"/>
        </w:rPr>
      </w:pPr>
      <w:r w:rsidRPr="0058159C">
        <w:rPr>
          <w:sz w:val="24"/>
          <w:szCs w:val="24"/>
        </w:rPr>
        <w:t>a.</w:t>
      </w:r>
      <w:r w:rsidRPr="0058159C">
        <w:rPr>
          <w:sz w:val="24"/>
          <w:szCs w:val="24"/>
        </w:rPr>
        <w:tab/>
        <w:t>Music</w:t>
      </w:r>
    </w:p>
    <w:p w14:paraId="53AC1E33" w14:textId="77777777" w:rsidR="0058159C" w:rsidRPr="0058159C" w:rsidRDefault="0058159C" w:rsidP="0058159C">
      <w:pPr>
        <w:pStyle w:val="Text"/>
        <w:rPr>
          <w:sz w:val="24"/>
          <w:szCs w:val="24"/>
        </w:rPr>
      </w:pPr>
      <w:r w:rsidRPr="0058159C">
        <w:rPr>
          <w:sz w:val="24"/>
          <w:szCs w:val="24"/>
        </w:rPr>
        <w:t>b.</w:t>
      </w:r>
      <w:r w:rsidRPr="0058159C">
        <w:rPr>
          <w:sz w:val="24"/>
          <w:szCs w:val="24"/>
        </w:rPr>
        <w:tab/>
        <w:t>Dance</w:t>
      </w:r>
    </w:p>
    <w:p w14:paraId="0D0F79F3" w14:textId="77777777" w:rsidR="0058159C" w:rsidRPr="0058159C" w:rsidRDefault="0058159C" w:rsidP="0058159C">
      <w:pPr>
        <w:pStyle w:val="Text"/>
        <w:rPr>
          <w:sz w:val="24"/>
          <w:szCs w:val="24"/>
        </w:rPr>
      </w:pPr>
      <w:r w:rsidRPr="0058159C">
        <w:rPr>
          <w:sz w:val="24"/>
          <w:szCs w:val="24"/>
        </w:rPr>
        <w:t>c.</w:t>
      </w:r>
      <w:r w:rsidRPr="0058159C">
        <w:rPr>
          <w:sz w:val="24"/>
          <w:szCs w:val="24"/>
        </w:rPr>
        <w:tab/>
        <w:t>Journalism</w:t>
      </w:r>
    </w:p>
    <w:p w14:paraId="25C61694" w14:textId="77777777" w:rsidR="0058159C" w:rsidRPr="0058159C" w:rsidRDefault="0058159C" w:rsidP="0058159C">
      <w:pPr>
        <w:pStyle w:val="Text"/>
        <w:rPr>
          <w:sz w:val="24"/>
          <w:szCs w:val="24"/>
        </w:rPr>
      </w:pPr>
      <w:r w:rsidRPr="0058159C">
        <w:rPr>
          <w:sz w:val="24"/>
          <w:szCs w:val="24"/>
        </w:rPr>
        <w:t>3.</w:t>
      </w:r>
      <w:r w:rsidRPr="0058159C">
        <w:rPr>
          <w:sz w:val="24"/>
          <w:szCs w:val="24"/>
        </w:rPr>
        <w:tab/>
        <w:t xml:space="preserve">What is the level of academic performance of Laboratory High School students? </w:t>
      </w:r>
    </w:p>
    <w:p w14:paraId="3B5CE131" w14:textId="77777777" w:rsidR="0058159C" w:rsidRPr="0058159C" w:rsidRDefault="0058159C" w:rsidP="0058159C">
      <w:pPr>
        <w:pStyle w:val="Text"/>
        <w:ind w:firstLine="0"/>
        <w:rPr>
          <w:sz w:val="24"/>
          <w:szCs w:val="24"/>
        </w:rPr>
      </w:pPr>
      <w:r w:rsidRPr="0058159C">
        <w:rPr>
          <w:sz w:val="24"/>
          <w:szCs w:val="24"/>
        </w:rPr>
        <w:t>4.</w:t>
      </w:r>
      <w:r w:rsidRPr="0058159C">
        <w:rPr>
          <w:sz w:val="24"/>
          <w:szCs w:val="24"/>
        </w:rPr>
        <w:tab/>
        <w:t xml:space="preserve">Is there a significant relationship between co-curricular activities and students’ academic performance? </w:t>
      </w:r>
    </w:p>
    <w:p w14:paraId="564097A9" w14:textId="7537DBD4" w:rsidR="00FF16B2" w:rsidRDefault="0058159C" w:rsidP="0058159C">
      <w:pPr>
        <w:pStyle w:val="Text"/>
        <w:spacing w:line="240" w:lineRule="auto"/>
        <w:ind w:firstLine="0"/>
        <w:rPr>
          <w:sz w:val="24"/>
          <w:szCs w:val="24"/>
        </w:rPr>
      </w:pPr>
      <w:r w:rsidRPr="0058159C">
        <w:rPr>
          <w:sz w:val="24"/>
          <w:szCs w:val="24"/>
        </w:rPr>
        <w:t>5.</w:t>
      </w:r>
      <w:r w:rsidRPr="0058159C">
        <w:rPr>
          <w:sz w:val="24"/>
          <w:szCs w:val="24"/>
        </w:rPr>
        <w:tab/>
        <w:t xml:space="preserve">Is there a significant relationship between extracurricular activities and students’ academic performance? The primary aim of this study was to examine the technostress among BSED students in the new normal in one of the higher institutions under the Zamboanga Sibugay province during the first semester of S.Y. 2020-2021. </w:t>
      </w:r>
    </w:p>
    <w:p w14:paraId="0812D6EC" w14:textId="77777777" w:rsidR="0058159C" w:rsidRDefault="0058159C" w:rsidP="0058159C">
      <w:pPr>
        <w:pStyle w:val="Text"/>
        <w:spacing w:line="240" w:lineRule="auto"/>
        <w:ind w:firstLine="0"/>
        <w:rPr>
          <w:sz w:val="24"/>
          <w:szCs w:val="24"/>
        </w:rPr>
      </w:pPr>
    </w:p>
    <w:p w14:paraId="564097AA" w14:textId="77777777" w:rsidR="00FF16B2" w:rsidRDefault="0093381F">
      <w:pPr>
        <w:pStyle w:val="Heading1"/>
        <w:numPr>
          <w:ilvl w:val="0"/>
          <w:numId w:val="3"/>
        </w:numPr>
        <w:tabs>
          <w:tab w:val="clear" w:pos="425"/>
        </w:tabs>
        <w:spacing w:before="0" w:after="0"/>
        <w:jc w:val="both"/>
        <w:rPr>
          <w:b/>
          <w:sz w:val="28"/>
          <w:szCs w:val="28"/>
        </w:rPr>
      </w:pPr>
      <w:r>
        <w:rPr>
          <w:b/>
          <w:sz w:val="28"/>
          <w:szCs w:val="28"/>
        </w:rPr>
        <w:t xml:space="preserve">SIGNIFICANCE OF THE STUDY </w:t>
      </w:r>
    </w:p>
    <w:p w14:paraId="564097AB" w14:textId="77777777" w:rsidR="00FF16B2" w:rsidRDefault="00FF16B2">
      <w:pPr>
        <w:pStyle w:val="Text"/>
        <w:spacing w:line="240" w:lineRule="auto"/>
        <w:ind w:firstLine="0"/>
        <w:rPr>
          <w:sz w:val="24"/>
          <w:szCs w:val="24"/>
        </w:rPr>
      </w:pPr>
    </w:p>
    <w:p w14:paraId="6E959C88" w14:textId="77777777" w:rsidR="00A92D0A" w:rsidRPr="00A92D0A" w:rsidRDefault="00A92D0A" w:rsidP="00A92D0A">
      <w:pPr>
        <w:pStyle w:val="Text"/>
        <w:rPr>
          <w:sz w:val="24"/>
          <w:szCs w:val="24"/>
        </w:rPr>
      </w:pPr>
      <w:r w:rsidRPr="00A92D0A">
        <w:rPr>
          <w:sz w:val="24"/>
          <w:szCs w:val="24"/>
        </w:rPr>
        <w:t xml:space="preserve">This study will benefit students, teachers, school administrators, and parents. </w:t>
      </w:r>
    </w:p>
    <w:p w14:paraId="7CA2FD32" w14:textId="77777777" w:rsidR="00A92D0A" w:rsidRPr="00A92D0A" w:rsidRDefault="00A92D0A" w:rsidP="00A92D0A">
      <w:pPr>
        <w:pStyle w:val="Text"/>
        <w:rPr>
          <w:sz w:val="24"/>
          <w:szCs w:val="24"/>
        </w:rPr>
      </w:pPr>
      <w:r w:rsidRPr="00A92D0A">
        <w:rPr>
          <w:sz w:val="24"/>
          <w:szCs w:val="24"/>
        </w:rPr>
        <w:t>To the students. This study aims to help students understand how engagement in activities can support academic growth.</w:t>
      </w:r>
    </w:p>
    <w:p w14:paraId="13D867AB" w14:textId="77777777" w:rsidR="00A92D0A" w:rsidRPr="00A92D0A" w:rsidRDefault="00A92D0A" w:rsidP="00A92D0A">
      <w:pPr>
        <w:pStyle w:val="Text"/>
        <w:rPr>
          <w:sz w:val="24"/>
          <w:szCs w:val="24"/>
        </w:rPr>
      </w:pPr>
    </w:p>
    <w:p w14:paraId="700DD260" w14:textId="77777777" w:rsidR="00A92D0A" w:rsidRPr="00A92D0A" w:rsidRDefault="00A92D0A" w:rsidP="00A92D0A">
      <w:pPr>
        <w:pStyle w:val="Text"/>
        <w:rPr>
          <w:sz w:val="24"/>
          <w:szCs w:val="24"/>
        </w:rPr>
      </w:pPr>
      <w:r w:rsidRPr="00A92D0A">
        <w:rPr>
          <w:sz w:val="24"/>
          <w:szCs w:val="24"/>
        </w:rPr>
        <w:t>To teachers. This study will guide advising and student development programs.</w:t>
      </w:r>
    </w:p>
    <w:p w14:paraId="5D4CA31C" w14:textId="77777777" w:rsidR="00A92D0A" w:rsidRPr="00A92D0A" w:rsidRDefault="00A92D0A" w:rsidP="00A92D0A">
      <w:pPr>
        <w:pStyle w:val="Text"/>
        <w:rPr>
          <w:sz w:val="24"/>
          <w:szCs w:val="24"/>
        </w:rPr>
      </w:pPr>
    </w:p>
    <w:p w14:paraId="601A5B49" w14:textId="77777777" w:rsidR="00A92D0A" w:rsidRPr="00A92D0A" w:rsidRDefault="00A92D0A" w:rsidP="00A92D0A">
      <w:pPr>
        <w:pStyle w:val="Text"/>
        <w:rPr>
          <w:sz w:val="24"/>
          <w:szCs w:val="24"/>
        </w:rPr>
      </w:pPr>
      <w:r w:rsidRPr="00A92D0A">
        <w:rPr>
          <w:sz w:val="24"/>
          <w:szCs w:val="24"/>
        </w:rPr>
        <w:t>To the school administrators. This study will enhance the planning of clubs and extracurricular activities.</w:t>
      </w:r>
    </w:p>
    <w:p w14:paraId="6E2CF1DC" w14:textId="77777777" w:rsidR="00A92D0A" w:rsidRPr="00A92D0A" w:rsidRDefault="00A92D0A" w:rsidP="00A92D0A">
      <w:pPr>
        <w:pStyle w:val="Text"/>
        <w:rPr>
          <w:sz w:val="24"/>
          <w:szCs w:val="24"/>
        </w:rPr>
      </w:pPr>
    </w:p>
    <w:p w14:paraId="4D4765CE" w14:textId="77777777" w:rsidR="00A92D0A" w:rsidRPr="00A92D0A" w:rsidRDefault="00A92D0A" w:rsidP="00A92D0A">
      <w:pPr>
        <w:pStyle w:val="Text"/>
        <w:rPr>
          <w:sz w:val="24"/>
          <w:szCs w:val="24"/>
        </w:rPr>
      </w:pPr>
      <w:r w:rsidRPr="00A92D0A">
        <w:rPr>
          <w:sz w:val="24"/>
          <w:szCs w:val="24"/>
        </w:rPr>
        <w:t>To Parents. This study aims to promote balanced student involvement.</w:t>
      </w:r>
    </w:p>
    <w:p w14:paraId="4719646E" w14:textId="77777777" w:rsidR="00A92D0A" w:rsidRPr="00A92D0A" w:rsidRDefault="00A92D0A" w:rsidP="00A92D0A">
      <w:pPr>
        <w:pStyle w:val="Text"/>
        <w:rPr>
          <w:sz w:val="24"/>
          <w:szCs w:val="24"/>
        </w:rPr>
      </w:pPr>
    </w:p>
    <w:p w14:paraId="564097AD" w14:textId="342EAC93" w:rsidR="00FF16B2" w:rsidRDefault="00A92D0A" w:rsidP="00A92D0A">
      <w:pPr>
        <w:pStyle w:val="Text"/>
        <w:spacing w:line="240" w:lineRule="auto"/>
        <w:ind w:firstLine="0"/>
        <w:rPr>
          <w:sz w:val="24"/>
          <w:szCs w:val="24"/>
        </w:rPr>
      </w:pPr>
      <w:r w:rsidRPr="00A92D0A">
        <w:rPr>
          <w:sz w:val="24"/>
          <w:szCs w:val="24"/>
        </w:rPr>
        <w:lastRenderedPageBreak/>
        <w:t>Future researchers. The study will be a starting point for more academic research. Future studies can study other characteristics such as motivation, socio-emotional development, time management, or compare different schools. Researchers may also broaden the group to different grade levels or areas to increase generalizability.</w:t>
      </w:r>
    </w:p>
    <w:p w14:paraId="0E72CE88" w14:textId="77777777" w:rsidR="0093657C" w:rsidRDefault="0093657C" w:rsidP="00A92D0A">
      <w:pPr>
        <w:pStyle w:val="Text"/>
        <w:spacing w:line="240" w:lineRule="auto"/>
        <w:ind w:firstLine="0"/>
        <w:rPr>
          <w:sz w:val="24"/>
          <w:szCs w:val="24"/>
        </w:rPr>
      </w:pPr>
    </w:p>
    <w:p w14:paraId="564097AE" w14:textId="77777777" w:rsidR="00FF16B2" w:rsidRDefault="0093381F">
      <w:pPr>
        <w:pStyle w:val="Heading1"/>
        <w:numPr>
          <w:ilvl w:val="0"/>
          <w:numId w:val="3"/>
        </w:numPr>
        <w:tabs>
          <w:tab w:val="clear" w:pos="425"/>
        </w:tabs>
        <w:spacing w:before="0" w:after="0"/>
        <w:rPr>
          <w:b/>
          <w:sz w:val="28"/>
          <w:szCs w:val="28"/>
        </w:rPr>
      </w:pPr>
      <w:r>
        <w:rPr>
          <w:b/>
          <w:sz w:val="28"/>
          <w:szCs w:val="28"/>
        </w:rPr>
        <w:t>RELATED LITERATURE AND STUDIES</w:t>
      </w:r>
    </w:p>
    <w:p w14:paraId="564097AF" w14:textId="77777777" w:rsidR="00FF16B2" w:rsidRPr="00E71C84" w:rsidRDefault="00FF16B2">
      <w:pPr>
        <w:pStyle w:val="Text"/>
        <w:spacing w:line="240" w:lineRule="auto"/>
        <w:ind w:firstLine="0"/>
        <w:rPr>
          <w:sz w:val="24"/>
          <w:szCs w:val="24"/>
        </w:rPr>
      </w:pPr>
    </w:p>
    <w:p w14:paraId="0CECED41" w14:textId="77777777" w:rsidR="00E71C84" w:rsidRPr="00E71C84" w:rsidRDefault="00E71C84" w:rsidP="00E71C84">
      <w:pPr>
        <w:pStyle w:val="Text"/>
        <w:rPr>
          <w:sz w:val="24"/>
          <w:szCs w:val="24"/>
        </w:rPr>
      </w:pPr>
      <w:r w:rsidRPr="00E71C84">
        <w:rPr>
          <w:sz w:val="24"/>
          <w:szCs w:val="24"/>
        </w:rPr>
        <w:t>This chapter presented an extensive literature and research review of how extracurricular and co-curricular activities influenced students' academic performance, based on the context of MSU-</w:t>
      </w:r>
      <w:proofErr w:type="spellStart"/>
      <w:r w:rsidRPr="00E71C84">
        <w:rPr>
          <w:sz w:val="24"/>
          <w:szCs w:val="24"/>
        </w:rPr>
        <w:t>Buug</w:t>
      </w:r>
      <w:proofErr w:type="spellEnd"/>
      <w:r w:rsidRPr="00E71C84">
        <w:rPr>
          <w:sz w:val="24"/>
          <w:szCs w:val="24"/>
        </w:rPr>
        <w:t xml:space="preserve"> Laboratory High School. It attempts to determine whether and how students’ out-of-class involvement in organizations, such as clubs, sports, student organizations, and scholastic competitions, affects their academic performance. </w:t>
      </w:r>
    </w:p>
    <w:p w14:paraId="78569720" w14:textId="77777777" w:rsidR="00E71C84" w:rsidRPr="00E71C84" w:rsidRDefault="00E71C84" w:rsidP="00E71C84">
      <w:pPr>
        <w:pStyle w:val="Text"/>
        <w:rPr>
          <w:sz w:val="24"/>
          <w:szCs w:val="24"/>
        </w:rPr>
      </w:pPr>
    </w:p>
    <w:p w14:paraId="2CF08F87" w14:textId="77777777" w:rsidR="00E71C84" w:rsidRPr="00E71C84" w:rsidRDefault="00E71C84" w:rsidP="00E71C84">
      <w:pPr>
        <w:pStyle w:val="Text"/>
        <w:rPr>
          <w:sz w:val="24"/>
          <w:szCs w:val="24"/>
        </w:rPr>
      </w:pPr>
      <w:r w:rsidRPr="00E71C84">
        <w:rPr>
          <w:sz w:val="24"/>
          <w:szCs w:val="24"/>
        </w:rPr>
        <w:t xml:space="preserve">Criticism is drawn from both local and foreign sources, providing commentary on the benefits, limitations, and overall effects of student participation in these activities. The chapter will attempt to identify connections between active student participation and grades, as well as gaps and inconsistencies among studies. This will serve as the basis for determining the study's significance and scope. </w:t>
      </w:r>
    </w:p>
    <w:p w14:paraId="23BEECE9" w14:textId="77777777" w:rsidR="00E71C84" w:rsidRPr="00E71C84" w:rsidRDefault="00E71C84" w:rsidP="00E71C84">
      <w:pPr>
        <w:pStyle w:val="Text"/>
        <w:rPr>
          <w:sz w:val="24"/>
          <w:szCs w:val="24"/>
        </w:rPr>
      </w:pPr>
    </w:p>
    <w:p w14:paraId="6E936954" w14:textId="77777777" w:rsidR="00E71C84" w:rsidRPr="00E71C84" w:rsidRDefault="00E71C84" w:rsidP="00E71C84">
      <w:pPr>
        <w:pStyle w:val="Text"/>
        <w:rPr>
          <w:sz w:val="24"/>
          <w:szCs w:val="24"/>
        </w:rPr>
      </w:pPr>
      <w:r w:rsidRPr="00E71C84">
        <w:rPr>
          <w:sz w:val="24"/>
          <w:szCs w:val="24"/>
        </w:rPr>
        <w:t>Parvin (2021) pointed out that academic laurels are not enough in the progressivist period. Students need to develop important soft skills, including communication, leadership, interpersonal interactions, management, and teamwork, to be successful in their careers. Similarly, Jenkins (2011) noted the importance of extracurricular activities in the acquisition of these "soft skills" and personal traits, including self-esteem and time management.</w:t>
      </w:r>
    </w:p>
    <w:p w14:paraId="283CAEAF" w14:textId="77777777" w:rsidR="00E71C84" w:rsidRPr="00E71C84" w:rsidRDefault="00E71C84" w:rsidP="00E71C84">
      <w:pPr>
        <w:pStyle w:val="Text"/>
        <w:rPr>
          <w:sz w:val="24"/>
          <w:szCs w:val="24"/>
        </w:rPr>
      </w:pPr>
    </w:p>
    <w:p w14:paraId="3B062A18" w14:textId="77777777" w:rsidR="00E71C84" w:rsidRPr="00E71C84" w:rsidRDefault="00E71C84" w:rsidP="00E71C84">
      <w:pPr>
        <w:pStyle w:val="Text"/>
        <w:rPr>
          <w:sz w:val="24"/>
          <w:szCs w:val="24"/>
        </w:rPr>
      </w:pPr>
      <w:r w:rsidRPr="00E71C84">
        <w:rPr>
          <w:sz w:val="24"/>
          <w:szCs w:val="24"/>
        </w:rPr>
        <w:t>Larson (2000) stated that psychology has been remiss in "ignoring the positive" of teenage development, and that regulated extracurricular activities provide a key forum for developing internal qualities for youth. Participation in extracurricular arts is linked to fewer externalizing behaviors in students; these effects were more strongly related to individual engagement than to school-level characteristics (Nature Scientific Reports Team, 2023).</w:t>
      </w:r>
    </w:p>
    <w:p w14:paraId="7689AF3C" w14:textId="77777777" w:rsidR="00E71C84" w:rsidRPr="00E71C84" w:rsidRDefault="00E71C84" w:rsidP="00E71C84">
      <w:pPr>
        <w:pStyle w:val="Text"/>
        <w:rPr>
          <w:sz w:val="24"/>
          <w:szCs w:val="24"/>
        </w:rPr>
      </w:pPr>
    </w:p>
    <w:p w14:paraId="1B148CCE" w14:textId="77777777" w:rsidR="00E71C84" w:rsidRPr="00E71C84" w:rsidRDefault="00E71C84" w:rsidP="00E71C84">
      <w:pPr>
        <w:pStyle w:val="Text"/>
        <w:rPr>
          <w:sz w:val="24"/>
          <w:szCs w:val="24"/>
        </w:rPr>
      </w:pPr>
      <w:r w:rsidRPr="00E71C84">
        <w:rPr>
          <w:sz w:val="24"/>
          <w:szCs w:val="24"/>
        </w:rPr>
        <w:t xml:space="preserve">According to </w:t>
      </w:r>
      <w:proofErr w:type="spellStart"/>
      <w:r w:rsidRPr="00E71C84">
        <w:rPr>
          <w:sz w:val="24"/>
          <w:szCs w:val="24"/>
        </w:rPr>
        <w:t>Mkude</w:t>
      </w:r>
      <w:proofErr w:type="spellEnd"/>
      <w:r w:rsidRPr="00E71C84">
        <w:rPr>
          <w:sz w:val="24"/>
          <w:szCs w:val="24"/>
        </w:rPr>
        <w:t xml:space="preserve"> and </w:t>
      </w:r>
      <w:proofErr w:type="spellStart"/>
      <w:r w:rsidRPr="00E71C84">
        <w:rPr>
          <w:sz w:val="24"/>
          <w:szCs w:val="24"/>
        </w:rPr>
        <w:t>Mubofu</w:t>
      </w:r>
      <w:proofErr w:type="spellEnd"/>
      <w:r w:rsidRPr="00E71C84">
        <w:rPr>
          <w:sz w:val="24"/>
          <w:szCs w:val="24"/>
        </w:rPr>
        <w:t xml:space="preserve"> (2022), extracurricular activities are very important for the growth of secondary school pupils since they are exposed to real-world situations. These engagements promote creativity, innovation, and flexibility even in resource-constrained settings. In a comparable study, Rotich et al. (2025) investigated the academic performance of Kenyan public secondary schools. They discovered that participation in intellectual clubs and debates, music, drama, and sport had a favorable effect. But they said such benefits are typically hampered by a lack of resources and trained workers.</w:t>
      </w:r>
    </w:p>
    <w:p w14:paraId="7E6A85FC" w14:textId="77777777" w:rsidR="00E71C84" w:rsidRPr="00E71C84" w:rsidRDefault="00E71C84" w:rsidP="00E71C84">
      <w:pPr>
        <w:pStyle w:val="Text"/>
        <w:rPr>
          <w:sz w:val="24"/>
          <w:szCs w:val="24"/>
        </w:rPr>
      </w:pPr>
    </w:p>
    <w:p w14:paraId="57A31BDE" w14:textId="77777777" w:rsidR="00E71C84" w:rsidRPr="00E71C84" w:rsidRDefault="00E71C84" w:rsidP="00E71C84">
      <w:pPr>
        <w:pStyle w:val="Text"/>
        <w:rPr>
          <w:sz w:val="24"/>
          <w:szCs w:val="24"/>
        </w:rPr>
      </w:pPr>
      <w:r w:rsidRPr="00E71C84">
        <w:rPr>
          <w:sz w:val="24"/>
          <w:szCs w:val="24"/>
        </w:rPr>
        <w:t>Buckley and Daly (2025) examined the effect of extracurricular activities on student loyalty in secondary schools. Their findings suggested that active involvement in clubs and school programs resulted in a greater sense of belonging, pride, and drive for kids, which led to better academic accomplishment. This was supported by Wang and Shiveley (2009) in their longitudinal study, which indicated that students involved in roles such as Orientation Leaders and club officers had higher GPAs, retention rates, and graduation rates. Even individuals with lower high school GPAs and requiring academic remediation showed gains.</w:t>
      </w:r>
    </w:p>
    <w:p w14:paraId="2770EF4A" w14:textId="77777777" w:rsidR="00E71C84" w:rsidRPr="00E71C84" w:rsidRDefault="00E71C84" w:rsidP="00E71C84">
      <w:pPr>
        <w:pStyle w:val="Text"/>
        <w:rPr>
          <w:sz w:val="24"/>
          <w:szCs w:val="24"/>
        </w:rPr>
      </w:pPr>
    </w:p>
    <w:p w14:paraId="3298A2FB" w14:textId="77777777" w:rsidR="00E71C84" w:rsidRPr="00E71C84" w:rsidRDefault="00E71C84" w:rsidP="00E71C84">
      <w:pPr>
        <w:pStyle w:val="Text"/>
        <w:rPr>
          <w:sz w:val="24"/>
          <w:szCs w:val="24"/>
        </w:rPr>
      </w:pPr>
      <w:r w:rsidRPr="00E71C84">
        <w:rPr>
          <w:sz w:val="24"/>
          <w:szCs w:val="24"/>
        </w:rPr>
        <w:t xml:space="preserve">Furthermore, Anjum (2021) also stated that students who participate in extracurricular activities are better problem solvers, have a positive attitude, manage their routine well, and follow an orderly set of standards that is beneficial for lifelong success. However, Marsh and </w:t>
      </w:r>
      <w:proofErr w:type="spellStart"/>
      <w:r w:rsidRPr="00E71C84">
        <w:rPr>
          <w:sz w:val="24"/>
          <w:szCs w:val="24"/>
        </w:rPr>
        <w:t>Kleitman</w:t>
      </w:r>
      <w:proofErr w:type="spellEnd"/>
      <w:r w:rsidRPr="00E71C84">
        <w:rPr>
          <w:sz w:val="24"/>
          <w:szCs w:val="24"/>
        </w:rPr>
        <w:t xml:space="preserve"> (2002) found that too much emphasis on extracurricular activities may sometimes interfere with academic obligations and hence may hinder performance.</w:t>
      </w:r>
    </w:p>
    <w:p w14:paraId="24B13A65" w14:textId="77777777" w:rsidR="00E71C84" w:rsidRPr="00E71C84" w:rsidRDefault="00E71C84" w:rsidP="00E71C84">
      <w:pPr>
        <w:pStyle w:val="Text"/>
        <w:rPr>
          <w:sz w:val="24"/>
          <w:szCs w:val="24"/>
        </w:rPr>
      </w:pPr>
    </w:p>
    <w:p w14:paraId="3E1A0BE9" w14:textId="77777777" w:rsidR="00E71C84" w:rsidRPr="00E71C84" w:rsidRDefault="00E71C84" w:rsidP="00E71C84">
      <w:pPr>
        <w:pStyle w:val="Text"/>
        <w:rPr>
          <w:sz w:val="24"/>
          <w:szCs w:val="24"/>
        </w:rPr>
      </w:pPr>
      <w:r w:rsidRPr="00E71C84">
        <w:rPr>
          <w:sz w:val="24"/>
          <w:szCs w:val="24"/>
        </w:rPr>
        <w:t>Ahmad (2016) highlighted the importance of co-curricular activities in improving students' social skills and preparing them for their future employment. These activities foster excellent teacher-peer interactions and development in the physical, emotional, intellectual, and spiritual aspects.</w:t>
      </w:r>
    </w:p>
    <w:p w14:paraId="0847AD9C" w14:textId="77777777" w:rsidR="00E71C84" w:rsidRPr="00E71C84" w:rsidRDefault="00E71C84" w:rsidP="00E71C84">
      <w:pPr>
        <w:pStyle w:val="Text"/>
        <w:rPr>
          <w:sz w:val="24"/>
          <w:szCs w:val="24"/>
        </w:rPr>
      </w:pPr>
    </w:p>
    <w:p w14:paraId="40DBE37B" w14:textId="77777777" w:rsidR="00E71C84" w:rsidRPr="00E71C84" w:rsidRDefault="00E71C84" w:rsidP="00E71C84">
      <w:pPr>
        <w:pStyle w:val="Text"/>
        <w:rPr>
          <w:sz w:val="24"/>
          <w:szCs w:val="24"/>
        </w:rPr>
      </w:pPr>
      <w:r w:rsidRPr="00E71C84">
        <w:rPr>
          <w:sz w:val="24"/>
          <w:szCs w:val="24"/>
        </w:rPr>
        <w:t xml:space="preserve">In the Philippines, the Department of Education (DepEd, 2013) promotes holistic student development, emphasizing a balanced approach to academics and extracurricular participation. In line with this idea, Cabacungan (2015) observed that students who participated in academic clubs fared better in related topics since classroom concepts were </w:t>
      </w:r>
      <w:r w:rsidRPr="00E71C84">
        <w:rPr>
          <w:sz w:val="24"/>
          <w:szCs w:val="24"/>
        </w:rPr>
        <w:lastRenderedPageBreak/>
        <w:t>reinforced by hands-on experiences. Similarly, Sanchez (2018) found that school-sponsored sports help students develop discipline and teamwork abilities that are substantially related to academic success.</w:t>
      </w:r>
    </w:p>
    <w:p w14:paraId="4EB2CD29" w14:textId="77777777" w:rsidR="00E71C84" w:rsidRPr="00E71C84" w:rsidRDefault="00E71C84" w:rsidP="00E71C84">
      <w:pPr>
        <w:pStyle w:val="Text"/>
        <w:rPr>
          <w:sz w:val="24"/>
          <w:szCs w:val="24"/>
        </w:rPr>
      </w:pPr>
    </w:p>
    <w:p w14:paraId="3C7571D1" w14:textId="77777777" w:rsidR="00E71C84" w:rsidRPr="00E71C84" w:rsidRDefault="00E71C84" w:rsidP="00E71C84">
      <w:pPr>
        <w:pStyle w:val="Text"/>
        <w:rPr>
          <w:sz w:val="24"/>
          <w:szCs w:val="24"/>
        </w:rPr>
      </w:pPr>
      <w:r w:rsidRPr="00E71C84">
        <w:rPr>
          <w:sz w:val="24"/>
          <w:szCs w:val="24"/>
        </w:rPr>
        <w:t>According to the existing literature, in today's progressing period, academic honors are not adequate for professional success, and students have to build soft skills like communication, leadership, and cooperation to be successful. Research in a variety of settings suggests that structured extracurricular activities are one of the key ways in which these internal strengths, creativity, and time management are developed. While some scholars caution that an overemphasis on such activities can sometimes detract from academic responsibilities, many researchers and the Philippine Department of Education agree that active participation reinforces classroom concepts and leads to higher GPAs, better retention, and a stronger sense of school loyalty. Additionally, such participation fosters overall growth and improved behavioral outcomes. But the degree of these benefits is often limited because of the accessibility of resources and qualified personnel in some educational settings. Finally, the literature supports a balanced educational approach that uses extracurricular activity to augment formal learning to equip students for success throughout life.</w:t>
      </w:r>
    </w:p>
    <w:p w14:paraId="009C2331" w14:textId="77777777" w:rsidR="00E71C84" w:rsidRPr="00E71C84" w:rsidRDefault="00E71C84" w:rsidP="00E71C84">
      <w:pPr>
        <w:pStyle w:val="Text"/>
        <w:rPr>
          <w:sz w:val="24"/>
          <w:szCs w:val="24"/>
        </w:rPr>
      </w:pPr>
    </w:p>
    <w:p w14:paraId="00FEAE20" w14:textId="77777777" w:rsidR="00E71C84" w:rsidRPr="00E71C84" w:rsidRDefault="00E71C84" w:rsidP="00E71C84">
      <w:pPr>
        <w:pStyle w:val="Text"/>
        <w:rPr>
          <w:sz w:val="24"/>
          <w:szCs w:val="24"/>
        </w:rPr>
      </w:pPr>
      <w:r w:rsidRPr="00E71C84">
        <w:rPr>
          <w:sz w:val="24"/>
          <w:szCs w:val="24"/>
        </w:rPr>
        <w:t>Anjum (2021) studied the secondary school students of Multan and found a strong, favorable association between participation in extracurricular activities (ECAs) and academic achievement. Students in ECAs had better attendance, discipline, and academic performance. This indicates that ECAs promote learning behavior and motivation.</w:t>
      </w:r>
    </w:p>
    <w:p w14:paraId="456AB241" w14:textId="77777777" w:rsidR="00E71C84" w:rsidRPr="00E71C84" w:rsidRDefault="00E71C84" w:rsidP="00E71C84">
      <w:pPr>
        <w:pStyle w:val="Text"/>
        <w:rPr>
          <w:sz w:val="24"/>
          <w:szCs w:val="24"/>
        </w:rPr>
      </w:pPr>
    </w:p>
    <w:p w14:paraId="29454888" w14:textId="77777777" w:rsidR="00E71C84" w:rsidRPr="00E71C84" w:rsidRDefault="00E71C84" w:rsidP="00E71C84">
      <w:pPr>
        <w:pStyle w:val="Text"/>
        <w:rPr>
          <w:sz w:val="24"/>
          <w:szCs w:val="24"/>
        </w:rPr>
      </w:pPr>
      <w:r w:rsidRPr="00E71C84">
        <w:rPr>
          <w:sz w:val="24"/>
          <w:szCs w:val="24"/>
        </w:rPr>
        <w:t>In higher education, students' sense of belonging, emotional well-being, and academic engagement are considerably enhanced by participation in ECAs (Buckley &amp; Lee, 2018). Farman, Tahir, and Saeed (2018) surveyed 320 university students in Haripur and discovered that students who participated in sports and literary activities had higher GPA's than students who did not. The authors suggested institutional support be directed to maximize these benefits.</w:t>
      </w:r>
    </w:p>
    <w:p w14:paraId="61FC5DA0" w14:textId="77777777" w:rsidR="00E71C84" w:rsidRPr="00E71C84" w:rsidRDefault="00E71C84" w:rsidP="00E71C84">
      <w:pPr>
        <w:pStyle w:val="Text"/>
        <w:rPr>
          <w:sz w:val="24"/>
          <w:szCs w:val="24"/>
        </w:rPr>
      </w:pPr>
    </w:p>
    <w:p w14:paraId="29A0A342" w14:textId="77777777" w:rsidR="00E71C84" w:rsidRPr="00E71C84" w:rsidRDefault="00E71C84" w:rsidP="00E71C84">
      <w:pPr>
        <w:pStyle w:val="Text"/>
        <w:rPr>
          <w:sz w:val="24"/>
          <w:szCs w:val="24"/>
        </w:rPr>
      </w:pPr>
      <w:r w:rsidRPr="00E71C84">
        <w:rPr>
          <w:sz w:val="24"/>
          <w:szCs w:val="24"/>
        </w:rPr>
        <w:t xml:space="preserve">Kim (2023) states that students who undertook leadership roles in the ECAs at the University of </w:t>
      </w:r>
      <w:r w:rsidRPr="00E71C84">
        <w:rPr>
          <w:sz w:val="24"/>
          <w:szCs w:val="24"/>
        </w:rPr>
        <w:t>Idaho had enhanced decision-making skills, communication skills, and confidence. In particular, leadership gains were found in governance and student organizations. Involvement in music, sports, and conversations increased mental stability, physical well-being, and positive interactions among students in secondary schools in Kampala, according to Vincent (2024).</w:t>
      </w:r>
    </w:p>
    <w:p w14:paraId="12A3F68B" w14:textId="77777777" w:rsidR="00E71C84" w:rsidRPr="00E71C84" w:rsidRDefault="00E71C84" w:rsidP="00E71C84">
      <w:pPr>
        <w:pStyle w:val="Text"/>
        <w:rPr>
          <w:sz w:val="24"/>
          <w:szCs w:val="24"/>
        </w:rPr>
      </w:pPr>
    </w:p>
    <w:p w14:paraId="3735E4A0" w14:textId="77777777" w:rsidR="00E71C84" w:rsidRPr="00E71C84" w:rsidRDefault="00E71C84" w:rsidP="00E71C84">
      <w:pPr>
        <w:pStyle w:val="Text"/>
        <w:rPr>
          <w:sz w:val="24"/>
          <w:szCs w:val="24"/>
        </w:rPr>
      </w:pPr>
      <w:r w:rsidRPr="00E71C84">
        <w:rPr>
          <w:sz w:val="24"/>
          <w:szCs w:val="24"/>
        </w:rPr>
        <w:t xml:space="preserve">In Ghana, Alhassan (2023) used qualitative interviews and concluded that involvement in ECAs fostered discipline, social connectedness, and time management. Students reported being more prepared for real-world issues. Balal, </w:t>
      </w:r>
      <w:proofErr w:type="spellStart"/>
      <w:r w:rsidRPr="00E71C84">
        <w:rPr>
          <w:sz w:val="24"/>
          <w:szCs w:val="24"/>
        </w:rPr>
        <w:t>Tacbas</w:t>
      </w:r>
      <w:proofErr w:type="spellEnd"/>
      <w:r w:rsidRPr="00E71C84">
        <w:rPr>
          <w:sz w:val="24"/>
          <w:szCs w:val="24"/>
        </w:rPr>
        <w:t>, and Mendoza (2022) studied Filipino college students and found that ECAs helped to relieve stress, increase academic confidence, and enhance support structures in the Philippines.</w:t>
      </w:r>
    </w:p>
    <w:p w14:paraId="29909575" w14:textId="77777777" w:rsidR="00E71C84" w:rsidRPr="00E71C84" w:rsidRDefault="00E71C84" w:rsidP="00E71C84">
      <w:pPr>
        <w:pStyle w:val="Text"/>
        <w:rPr>
          <w:sz w:val="24"/>
          <w:szCs w:val="24"/>
        </w:rPr>
      </w:pPr>
    </w:p>
    <w:p w14:paraId="2AC28059" w14:textId="77777777" w:rsidR="00E71C84" w:rsidRPr="00E71C84" w:rsidRDefault="00E71C84" w:rsidP="00E71C84">
      <w:pPr>
        <w:pStyle w:val="Text"/>
        <w:rPr>
          <w:sz w:val="24"/>
          <w:szCs w:val="24"/>
        </w:rPr>
      </w:pPr>
      <w:r w:rsidRPr="00E71C84">
        <w:rPr>
          <w:sz w:val="24"/>
          <w:szCs w:val="24"/>
        </w:rPr>
        <w:t>In a similar vein, Maher and Khan (2022) highlighted the transferability of skills learned via ECAs, such as critical thinking, communication, and leadership, to academic and professional contexts.</w:t>
      </w:r>
    </w:p>
    <w:p w14:paraId="02C29DD1" w14:textId="77777777" w:rsidR="00E71C84" w:rsidRPr="00E71C84" w:rsidRDefault="00E71C84" w:rsidP="00E71C84">
      <w:pPr>
        <w:pStyle w:val="Text"/>
        <w:rPr>
          <w:sz w:val="24"/>
          <w:szCs w:val="24"/>
        </w:rPr>
      </w:pPr>
    </w:p>
    <w:p w14:paraId="7F2D1956" w14:textId="77777777" w:rsidR="00E71C84" w:rsidRPr="00E71C84" w:rsidRDefault="00E71C84" w:rsidP="00E71C84">
      <w:pPr>
        <w:pStyle w:val="Text"/>
        <w:rPr>
          <w:sz w:val="24"/>
          <w:szCs w:val="24"/>
        </w:rPr>
      </w:pPr>
      <w:r w:rsidRPr="00E71C84">
        <w:rPr>
          <w:sz w:val="24"/>
          <w:szCs w:val="24"/>
        </w:rPr>
        <w:t xml:space="preserve">Jayasinghe et al. (2024) expanded similar findings to non-traditional learners in Sri Lanka, finding that ECA activity, especially among distance learners, increased social inclusion, academic engagement, and self-confidence. Meanwhile, El </w:t>
      </w:r>
      <w:proofErr w:type="spellStart"/>
      <w:r w:rsidRPr="00E71C84">
        <w:rPr>
          <w:sz w:val="24"/>
          <w:szCs w:val="24"/>
        </w:rPr>
        <w:t>Hajoui</w:t>
      </w:r>
      <w:proofErr w:type="spellEnd"/>
      <w:r w:rsidRPr="00E71C84">
        <w:rPr>
          <w:sz w:val="24"/>
          <w:szCs w:val="24"/>
        </w:rPr>
        <w:t xml:space="preserve"> (2023) observed that Moroccan high school pupils who were involved in ECAs developed civic </w:t>
      </w:r>
    </w:p>
    <w:p w14:paraId="00320437" w14:textId="77777777" w:rsidR="00E71C84" w:rsidRPr="00E71C84" w:rsidRDefault="00E71C84" w:rsidP="00E71C84">
      <w:pPr>
        <w:pStyle w:val="Text"/>
        <w:rPr>
          <w:sz w:val="24"/>
          <w:szCs w:val="24"/>
        </w:rPr>
      </w:pPr>
      <w:r w:rsidRPr="00E71C84">
        <w:rPr>
          <w:sz w:val="24"/>
          <w:szCs w:val="24"/>
        </w:rPr>
        <w:t>duty, inventiveness, and cooperation abilities.</w:t>
      </w:r>
    </w:p>
    <w:p w14:paraId="19D861DD" w14:textId="77777777" w:rsidR="00E71C84" w:rsidRPr="00E71C84" w:rsidRDefault="00E71C84" w:rsidP="00E71C84">
      <w:pPr>
        <w:pStyle w:val="Text"/>
        <w:rPr>
          <w:sz w:val="24"/>
          <w:szCs w:val="24"/>
        </w:rPr>
      </w:pPr>
    </w:p>
    <w:p w14:paraId="1D2F1163" w14:textId="77777777" w:rsidR="00E71C84" w:rsidRPr="00E71C84" w:rsidRDefault="00E71C84" w:rsidP="00E71C84">
      <w:pPr>
        <w:pStyle w:val="Text"/>
        <w:rPr>
          <w:sz w:val="24"/>
          <w:szCs w:val="24"/>
        </w:rPr>
      </w:pPr>
      <w:r w:rsidRPr="00E71C84">
        <w:rPr>
          <w:sz w:val="24"/>
          <w:szCs w:val="24"/>
        </w:rPr>
        <w:t>Channa, Khurum, and Alwi (2025) conducted a qualitative study with five secondary school teachers and noted the need for institutional assistance to maximize the academic benefits of co-curricular programs. The study found that systematic involvement in ECAs helped to develop emotional intelligence, motivation, time management, and interpersonal skills.</w:t>
      </w:r>
    </w:p>
    <w:p w14:paraId="31BACA5B" w14:textId="77777777" w:rsidR="00E71C84" w:rsidRPr="00E71C84" w:rsidRDefault="00E71C84" w:rsidP="00E71C84">
      <w:pPr>
        <w:pStyle w:val="Text"/>
        <w:rPr>
          <w:sz w:val="24"/>
          <w:szCs w:val="24"/>
        </w:rPr>
      </w:pPr>
    </w:p>
    <w:p w14:paraId="65F1C45F" w14:textId="77777777" w:rsidR="00E71C84" w:rsidRPr="00E71C84" w:rsidRDefault="00E71C84" w:rsidP="00E71C84">
      <w:pPr>
        <w:pStyle w:val="Text"/>
        <w:rPr>
          <w:sz w:val="24"/>
          <w:szCs w:val="24"/>
        </w:rPr>
      </w:pPr>
      <w:r w:rsidRPr="00E71C84">
        <w:rPr>
          <w:sz w:val="24"/>
          <w:szCs w:val="24"/>
        </w:rPr>
        <w:t>Chansa et al. (2024) did a descriptive correlational study with 200 respondents from selected secondary schools in Lusaka, Zambia. They found that participating in sports, arts, and groups helped apply theoretical concepts, promote motivation, and support social-emotional development.</w:t>
      </w:r>
    </w:p>
    <w:p w14:paraId="07075D03" w14:textId="77777777" w:rsidR="00E71C84" w:rsidRPr="00E71C84" w:rsidRDefault="00E71C84" w:rsidP="00E71C84">
      <w:pPr>
        <w:pStyle w:val="Text"/>
        <w:rPr>
          <w:sz w:val="24"/>
          <w:szCs w:val="24"/>
        </w:rPr>
      </w:pPr>
    </w:p>
    <w:p w14:paraId="4087F02A" w14:textId="77777777" w:rsidR="00E71C84" w:rsidRPr="00E71C84" w:rsidRDefault="00E71C84" w:rsidP="00E71C84">
      <w:pPr>
        <w:pStyle w:val="Text"/>
        <w:rPr>
          <w:sz w:val="24"/>
          <w:szCs w:val="24"/>
        </w:rPr>
      </w:pPr>
      <w:r w:rsidRPr="00E71C84">
        <w:rPr>
          <w:sz w:val="24"/>
          <w:szCs w:val="24"/>
        </w:rPr>
        <w:t xml:space="preserve">These findings are also confirmed by other studies, also carried out in the Philippines. Dela Cruz and </w:t>
      </w:r>
      <w:r w:rsidRPr="00E71C84">
        <w:rPr>
          <w:sz w:val="24"/>
          <w:szCs w:val="24"/>
        </w:rPr>
        <w:lastRenderedPageBreak/>
        <w:t>Reyes (2017) discovered a substantial positive correlation between student organization engagement and academic achievement in a high school in Metro Manila, citing increased confidence and leadership skills as the reasons. Similarly, Pineda and Rodriguez (2019) showed that students taking governance in Mindanao University had higher GPAs, thus confirming the favorable relationship between leadership experience and academic success.</w:t>
      </w:r>
    </w:p>
    <w:p w14:paraId="3A155E50" w14:textId="77777777" w:rsidR="00E71C84" w:rsidRPr="00E71C84" w:rsidRDefault="00E71C84" w:rsidP="00E71C84">
      <w:pPr>
        <w:pStyle w:val="Text"/>
        <w:rPr>
          <w:sz w:val="24"/>
          <w:szCs w:val="24"/>
        </w:rPr>
      </w:pPr>
    </w:p>
    <w:p w14:paraId="564097D8" w14:textId="60D001D8" w:rsidR="00FF16B2" w:rsidRPr="00E71C84" w:rsidRDefault="00E71C84" w:rsidP="00E71C84">
      <w:pPr>
        <w:pStyle w:val="Text"/>
        <w:spacing w:line="240" w:lineRule="auto"/>
        <w:ind w:firstLine="0"/>
        <w:rPr>
          <w:sz w:val="24"/>
          <w:szCs w:val="24"/>
        </w:rPr>
      </w:pPr>
      <w:r w:rsidRPr="00E71C84">
        <w:rPr>
          <w:sz w:val="24"/>
          <w:szCs w:val="24"/>
        </w:rPr>
        <w:t>Studies from several international contexts have shown that engagement in extracurricular activities, including sports and student government as well as arts and literary societies, is a key factor in both academic achievement and overall individual development. Students engaged in these activities consistently achieve higher GPAs, demonstrate improved attendance, and exhibit greater academic persistence compared to their non-participating peers. Beyond the basic measurements, extracurricular activities can help develop abilities such as leadership, communication, time management, and critical thinking that are very applicable to the workplace. In addition, these programs are highly effective in improving psychosocial well-being by reducing stress, increasing self-confidence, promoting social connection, and developing civic responsibility. Research indicates that to capitalize on these varied benefits, there is a need to increase student motivation and social-emotional development through strong institutional support and structured co-curricular programming.</w:t>
      </w:r>
    </w:p>
    <w:p w14:paraId="3D76A06D" w14:textId="77777777" w:rsidR="00E71C84" w:rsidRDefault="00E71C84" w:rsidP="00E71C84">
      <w:pPr>
        <w:pStyle w:val="Text"/>
        <w:spacing w:line="240" w:lineRule="auto"/>
        <w:ind w:firstLine="0"/>
        <w:rPr>
          <w:sz w:val="24"/>
          <w:szCs w:val="24"/>
        </w:rPr>
      </w:pPr>
    </w:p>
    <w:p w14:paraId="564097D9" w14:textId="77777777" w:rsidR="00FF16B2" w:rsidRDefault="0093381F">
      <w:pPr>
        <w:pStyle w:val="Heading1"/>
        <w:numPr>
          <w:ilvl w:val="0"/>
          <w:numId w:val="3"/>
        </w:numPr>
        <w:tabs>
          <w:tab w:val="clear" w:pos="425"/>
        </w:tabs>
        <w:spacing w:before="0" w:after="0"/>
        <w:rPr>
          <w:b/>
          <w:bCs/>
          <w:sz w:val="28"/>
          <w:szCs w:val="28"/>
        </w:rPr>
      </w:pPr>
      <w:r>
        <w:rPr>
          <w:b/>
          <w:sz w:val="28"/>
          <w:szCs w:val="28"/>
        </w:rPr>
        <w:t xml:space="preserve">MATERIALS </w:t>
      </w:r>
      <w:r>
        <w:rPr>
          <w:b/>
          <w:bCs/>
          <w:sz w:val="28"/>
          <w:szCs w:val="28"/>
        </w:rPr>
        <w:t xml:space="preserve">AND METHODS </w:t>
      </w:r>
    </w:p>
    <w:p w14:paraId="564097DA" w14:textId="77777777" w:rsidR="00FF16B2" w:rsidRDefault="00FF16B2">
      <w:pPr>
        <w:rPr>
          <w:sz w:val="24"/>
          <w:szCs w:val="24"/>
        </w:rPr>
      </w:pPr>
    </w:p>
    <w:p w14:paraId="564097DB" w14:textId="77777777"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5.1 Research Design </w:t>
      </w:r>
    </w:p>
    <w:p w14:paraId="564097E1" w14:textId="40FF5A33" w:rsidR="00FF16B2" w:rsidRDefault="00AF383A" w:rsidP="00AF383A">
      <w:pPr>
        <w:pStyle w:val="NoSpacing"/>
        <w:jc w:val="both"/>
        <w:rPr>
          <w:rFonts w:ascii="Times New Roman" w:hAnsi="Times New Roman" w:cs="Times New Roman"/>
          <w:sz w:val="24"/>
          <w:szCs w:val="24"/>
        </w:rPr>
      </w:pPr>
      <w:r w:rsidRPr="00AF383A">
        <w:rPr>
          <w:rFonts w:ascii="Times New Roman" w:hAnsi="Times New Roman" w:cs="Times New Roman"/>
          <w:sz w:val="24"/>
          <w:szCs w:val="24"/>
        </w:rPr>
        <w:t>The study used a descriptive-correlational methodology to identify the association between co-curricular/extracurricular activities and student performance.</w:t>
      </w:r>
    </w:p>
    <w:p w14:paraId="3548A877" w14:textId="77777777" w:rsidR="00AF383A" w:rsidRDefault="00AF383A">
      <w:pPr>
        <w:pStyle w:val="NoSpacing"/>
        <w:jc w:val="both"/>
        <w:rPr>
          <w:rFonts w:ascii="Times New Roman" w:hAnsi="Times New Roman" w:cs="Times New Roman"/>
          <w:b/>
          <w:bCs/>
          <w:sz w:val="24"/>
          <w:szCs w:val="24"/>
        </w:rPr>
      </w:pPr>
    </w:p>
    <w:p w14:paraId="564097E2" w14:textId="5A66D00F"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5.2 Research Environment </w:t>
      </w:r>
    </w:p>
    <w:p w14:paraId="564097E3" w14:textId="0D5636A9" w:rsidR="00FF16B2" w:rsidRDefault="00AE6CE0">
      <w:pPr>
        <w:pStyle w:val="NoSpacing"/>
        <w:jc w:val="both"/>
        <w:rPr>
          <w:rFonts w:ascii="Times New Roman" w:hAnsi="Times New Roman" w:cs="Times New Roman"/>
          <w:sz w:val="24"/>
          <w:szCs w:val="24"/>
        </w:rPr>
      </w:pPr>
      <w:r w:rsidRPr="00AE6CE0">
        <w:rPr>
          <w:rFonts w:ascii="Times New Roman" w:hAnsi="Times New Roman" w:cs="Times New Roman"/>
          <w:sz w:val="24"/>
          <w:szCs w:val="24"/>
        </w:rPr>
        <w:t>The study was conducted at MSU-</w:t>
      </w:r>
      <w:proofErr w:type="spellStart"/>
      <w:r w:rsidRPr="00AE6CE0">
        <w:rPr>
          <w:rFonts w:ascii="Times New Roman" w:hAnsi="Times New Roman" w:cs="Times New Roman"/>
          <w:sz w:val="24"/>
          <w:szCs w:val="24"/>
        </w:rPr>
        <w:t>Buug</w:t>
      </w:r>
      <w:proofErr w:type="spellEnd"/>
      <w:r w:rsidRPr="00AE6CE0">
        <w:rPr>
          <w:rFonts w:ascii="Times New Roman" w:hAnsi="Times New Roman" w:cs="Times New Roman"/>
          <w:sz w:val="24"/>
          <w:szCs w:val="24"/>
        </w:rPr>
        <w:t xml:space="preserve"> Laboratory High School, </w:t>
      </w:r>
      <w:proofErr w:type="spellStart"/>
      <w:r w:rsidRPr="00AE6CE0">
        <w:rPr>
          <w:rFonts w:ascii="Times New Roman" w:hAnsi="Times New Roman" w:cs="Times New Roman"/>
          <w:sz w:val="24"/>
          <w:szCs w:val="24"/>
        </w:rPr>
        <w:t>Buug</w:t>
      </w:r>
      <w:proofErr w:type="spellEnd"/>
      <w:r w:rsidRPr="00AE6CE0">
        <w:rPr>
          <w:rFonts w:ascii="Times New Roman" w:hAnsi="Times New Roman" w:cs="Times New Roman"/>
          <w:sz w:val="24"/>
          <w:szCs w:val="24"/>
        </w:rPr>
        <w:t xml:space="preserve">, Zamboanga Sibugay. The school is a laboratory school of the College of Education of the Mindanao State University System. It provides a variety of academic, co-curricular, and extracurricular activities for the general development of the students. The university offers an ideal context to investigate the association between engagement in these activities and academic achievement, with a wide range of clubs, organizations, leadership programs, and </w:t>
      </w:r>
      <w:r w:rsidRPr="00AE6CE0">
        <w:rPr>
          <w:rFonts w:ascii="Times New Roman" w:hAnsi="Times New Roman" w:cs="Times New Roman"/>
          <w:sz w:val="24"/>
          <w:szCs w:val="24"/>
        </w:rPr>
        <w:t>extracurricular activities such as music, dance, and journalism</w:t>
      </w:r>
      <w:r w:rsidR="0093381F">
        <w:rPr>
          <w:rFonts w:ascii="Times New Roman" w:hAnsi="Times New Roman" w:cs="Times New Roman"/>
          <w:sz w:val="24"/>
          <w:szCs w:val="24"/>
        </w:rPr>
        <w:t xml:space="preserve">. </w:t>
      </w:r>
    </w:p>
    <w:p w14:paraId="564097E4" w14:textId="77777777" w:rsidR="00FF16B2" w:rsidRDefault="00FF16B2">
      <w:pPr>
        <w:pStyle w:val="NoSpacing"/>
        <w:jc w:val="both"/>
        <w:rPr>
          <w:rFonts w:ascii="Times New Roman" w:hAnsi="Times New Roman" w:cs="Times New Roman"/>
          <w:sz w:val="24"/>
          <w:szCs w:val="24"/>
        </w:rPr>
      </w:pPr>
    </w:p>
    <w:p w14:paraId="564097E5" w14:textId="77777777"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5.3 Research Subject  </w:t>
      </w:r>
    </w:p>
    <w:p w14:paraId="564097E7" w14:textId="4DD0BD3F" w:rsidR="00FF16B2" w:rsidRDefault="00287F65">
      <w:pPr>
        <w:pStyle w:val="NoSpacing"/>
        <w:jc w:val="both"/>
        <w:rPr>
          <w:rFonts w:ascii="Times New Roman" w:hAnsi="Times New Roman" w:cs="Times New Roman"/>
          <w:sz w:val="24"/>
          <w:szCs w:val="24"/>
        </w:rPr>
      </w:pPr>
      <w:r w:rsidRPr="00287F65">
        <w:rPr>
          <w:rFonts w:ascii="Times New Roman" w:hAnsi="Times New Roman" w:cs="Times New Roman"/>
          <w:sz w:val="24"/>
          <w:szCs w:val="24"/>
        </w:rPr>
        <w:t>The respondents of the study were junior high school students enrolled in MSU-</w:t>
      </w:r>
      <w:proofErr w:type="spellStart"/>
      <w:r w:rsidRPr="00287F65">
        <w:rPr>
          <w:rFonts w:ascii="Times New Roman" w:hAnsi="Times New Roman" w:cs="Times New Roman"/>
          <w:sz w:val="24"/>
          <w:szCs w:val="24"/>
        </w:rPr>
        <w:t>Buug</w:t>
      </w:r>
      <w:proofErr w:type="spellEnd"/>
      <w:r w:rsidRPr="00287F65">
        <w:rPr>
          <w:rFonts w:ascii="Times New Roman" w:hAnsi="Times New Roman" w:cs="Times New Roman"/>
          <w:sz w:val="24"/>
          <w:szCs w:val="24"/>
        </w:rPr>
        <w:t xml:space="preserve"> Laboratory High School during the academic year. These students were chosen because they actively participate in various school-based activities and have official General Averages that reflect their academic performance. Inclusion criteria included students who were officially enrolled during the study period, participated in at least one co-curricular or extracurricular activity, and voluntarily agreed to participate in the research survey.</w:t>
      </w:r>
    </w:p>
    <w:p w14:paraId="4B6A17E9" w14:textId="77777777" w:rsidR="00287F65" w:rsidRDefault="00287F65">
      <w:pPr>
        <w:pStyle w:val="NoSpacing"/>
        <w:jc w:val="both"/>
        <w:rPr>
          <w:rFonts w:ascii="Times New Roman" w:hAnsi="Times New Roman" w:cs="Times New Roman"/>
          <w:sz w:val="24"/>
          <w:szCs w:val="24"/>
        </w:rPr>
      </w:pPr>
    </w:p>
    <w:p w14:paraId="564097E8" w14:textId="77777777" w:rsidR="00FF16B2" w:rsidRDefault="0093381F">
      <w:pPr>
        <w:pStyle w:val="No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5.4 Sampling Technique </w:t>
      </w:r>
    </w:p>
    <w:p w14:paraId="564097EA" w14:textId="280AD369" w:rsidR="00FF16B2" w:rsidRDefault="00C010D4">
      <w:pPr>
        <w:pStyle w:val="NoSpacing"/>
        <w:jc w:val="both"/>
        <w:rPr>
          <w:rFonts w:ascii="Times New Roman" w:hAnsi="Times New Roman" w:cs="Times New Roman"/>
          <w:sz w:val="24"/>
          <w:szCs w:val="24"/>
        </w:rPr>
      </w:pPr>
      <w:r w:rsidRPr="00C010D4">
        <w:rPr>
          <w:rFonts w:ascii="Times New Roman" w:hAnsi="Times New Roman" w:cs="Times New Roman"/>
          <w:sz w:val="24"/>
          <w:szCs w:val="24"/>
        </w:rPr>
        <w:t>The research was done by using the technique of Stratified Random Sampling. Students were stratified by grade level (e.g., Grade 7, 8, 9, 10), with each grade level being represented proportionately to its enrollment. Following stratification, random sampling was done in each grade section to eliminate sample bias.</w:t>
      </w:r>
    </w:p>
    <w:p w14:paraId="0C4EFAD1" w14:textId="77777777" w:rsidR="00C010D4" w:rsidRDefault="00C010D4">
      <w:pPr>
        <w:pStyle w:val="NoSpacing"/>
        <w:jc w:val="both"/>
        <w:rPr>
          <w:rFonts w:ascii="Times New Roman" w:hAnsi="Times New Roman" w:cs="Times New Roman"/>
          <w:sz w:val="24"/>
          <w:szCs w:val="24"/>
        </w:rPr>
      </w:pPr>
    </w:p>
    <w:p w14:paraId="564097EB" w14:textId="77777777"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5.5 Research Instruments </w:t>
      </w:r>
    </w:p>
    <w:p w14:paraId="5240E97F" w14:textId="77777777" w:rsidR="00831B90" w:rsidRPr="00831B90" w:rsidRDefault="00831B90" w:rsidP="00831B90">
      <w:pPr>
        <w:pStyle w:val="NoSpacing"/>
        <w:jc w:val="both"/>
        <w:rPr>
          <w:rFonts w:ascii="Times New Roman" w:eastAsia="Times New Roman" w:hAnsi="Times New Roman" w:cs="Times New Roman"/>
          <w:sz w:val="24"/>
          <w:szCs w:val="24"/>
          <w:lang w:val="en-US"/>
        </w:rPr>
      </w:pPr>
      <w:r w:rsidRPr="00831B90">
        <w:rPr>
          <w:rFonts w:ascii="Times New Roman" w:eastAsia="Times New Roman" w:hAnsi="Times New Roman" w:cs="Times New Roman"/>
          <w:sz w:val="24"/>
          <w:szCs w:val="24"/>
          <w:lang w:val="en-US"/>
        </w:rPr>
        <w:t>This study is the main tool for collecting the data needed to answer the given research topics. These instruments were carefully created to ensure that the information collected was accurate, relevant, and aligned with the variables being investigated. The questionnaire was constructed to find out the level of participation of students in co-curricular and extracurricular activities and their academic achievement. Its content was validated by experts to verify that it was clear, reliable, and appropriate for the target respondents.</w:t>
      </w:r>
    </w:p>
    <w:p w14:paraId="1F4A8840" w14:textId="77777777" w:rsidR="00831B90" w:rsidRPr="00831B90" w:rsidRDefault="00831B90" w:rsidP="00831B90">
      <w:pPr>
        <w:pStyle w:val="NoSpacing"/>
        <w:jc w:val="both"/>
        <w:rPr>
          <w:rFonts w:ascii="Times New Roman" w:eastAsia="Times New Roman" w:hAnsi="Times New Roman" w:cs="Times New Roman"/>
          <w:sz w:val="24"/>
          <w:szCs w:val="24"/>
          <w:lang w:val="en-US"/>
        </w:rPr>
      </w:pPr>
    </w:p>
    <w:p w14:paraId="0959D44C" w14:textId="77777777" w:rsidR="00831B90" w:rsidRPr="00831B90" w:rsidRDefault="00831B90" w:rsidP="00831B90">
      <w:pPr>
        <w:pStyle w:val="NoSpacing"/>
        <w:jc w:val="both"/>
        <w:rPr>
          <w:rFonts w:ascii="Times New Roman" w:eastAsia="Times New Roman" w:hAnsi="Times New Roman" w:cs="Times New Roman"/>
          <w:sz w:val="24"/>
          <w:szCs w:val="24"/>
          <w:lang w:val="en-US"/>
        </w:rPr>
      </w:pPr>
      <w:r w:rsidRPr="00831B90">
        <w:rPr>
          <w:rFonts w:ascii="Times New Roman" w:eastAsia="Times New Roman" w:hAnsi="Times New Roman" w:cs="Times New Roman"/>
          <w:sz w:val="24"/>
          <w:szCs w:val="24"/>
          <w:lang w:val="en-US"/>
        </w:rPr>
        <w:t>The primary research instruments were a researcher-made questionnaire composed of four parts. Part I gathers the student profile, including age, sex, grade level, and section. Part II, the Co-Curricular Participation Scale, is a 5-point Likert scale where students are asked how often they participate in clubs, groups, and leadership programs, with examples given for explanation. Part III, Extracurricular Engagement Scale, uses a 5-point Likert scale to assess engagement in music, dance, and journalism activities. Part IV concerns academic performance. Students will provide their latest General Average that can be verified through class counselors or school records when allowed.</w:t>
      </w:r>
    </w:p>
    <w:p w14:paraId="5632214E" w14:textId="77777777" w:rsidR="00831B90" w:rsidRPr="00831B90" w:rsidRDefault="00831B90" w:rsidP="00831B90">
      <w:pPr>
        <w:pStyle w:val="NoSpacing"/>
        <w:jc w:val="both"/>
        <w:rPr>
          <w:rFonts w:ascii="Times New Roman" w:eastAsia="Times New Roman" w:hAnsi="Times New Roman" w:cs="Times New Roman"/>
          <w:sz w:val="24"/>
          <w:szCs w:val="24"/>
          <w:lang w:val="en-US"/>
        </w:rPr>
      </w:pPr>
    </w:p>
    <w:p w14:paraId="5C3481EE" w14:textId="77777777" w:rsidR="00831B90" w:rsidRPr="00831B90" w:rsidRDefault="00831B90" w:rsidP="00831B90">
      <w:pPr>
        <w:pStyle w:val="NoSpacing"/>
        <w:jc w:val="both"/>
        <w:rPr>
          <w:rFonts w:ascii="Times New Roman" w:eastAsia="Times New Roman" w:hAnsi="Times New Roman" w:cs="Times New Roman"/>
          <w:sz w:val="24"/>
          <w:szCs w:val="24"/>
          <w:lang w:val="en-US"/>
        </w:rPr>
      </w:pPr>
      <w:r w:rsidRPr="00831B90">
        <w:rPr>
          <w:rFonts w:ascii="Times New Roman" w:eastAsia="Times New Roman" w:hAnsi="Times New Roman" w:cs="Times New Roman"/>
          <w:sz w:val="24"/>
          <w:szCs w:val="24"/>
          <w:lang w:val="en-US"/>
        </w:rPr>
        <w:lastRenderedPageBreak/>
        <w:t>The questionnaires were validated by experts (e.g., advisers, teachers, or methodologists) to ensure clarity, relevance, and content validity.</w:t>
      </w:r>
    </w:p>
    <w:p w14:paraId="775C27A5" w14:textId="77777777" w:rsidR="00831B90" w:rsidRDefault="00831B90">
      <w:pPr>
        <w:pStyle w:val="NoSpacing"/>
        <w:jc w:val="both"/>
        <w:rPr>
          <w:rFonts w:ascii="Times New Roman" w:hAnsi="Times New Roman" w:cs="Times New Roman"/>
          <w:b/>
          <w:bCs/>
          <w:sz w:val="24"/>
          <w:szCs w:val="24"/>
        </w:rPr>
      </w:pPr>
    </w:p>
    <w:p w14:paraId="564097F2" w14:textId="402C1CDD"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5.6 Data Gathering Procedure</w:t>
      </w:r>
    </w:p>
    <w:p w14:paraId="564097F6" w14:textId="047D31CF" w:rsidR="00FF16B2" w:rsidRDefault="005737C2">
      <w:pPr>
        <w:pStyle w:val="NoSpacing"/>
        <w:jc w:val="both"/>
        <w:rPr>
          <w:rFonts w:ascii="Times New Roman" w:hAnsi="Times New Roman" w:cs="Times New Roman"/>
          <w:sz w:val="24"/>
          <w:szCs w:val="24"/>
        </w:rPr>
      </w:pPr>
      <w:r w:rsidRPr="005737C2">
        <w:rPr>
          <w:rFonts w:ascii="Times New Roman" w:hAnsi="Times New Roman" w:cs="Times New Roman"/>
          <w:sz w:val="24"/>
          <w:szCs w:val="24"/>
        </w:rPr>
        <w:t xml:space="preserve">The data collection process described the systematic processes followed to collect the information required to address the research questions of this study. It helped to make sure that data collection was orderly, ethical, and reliable. Through this process, the researchers aim to gather accurate and valid responses from the participants regarding their level of participation in co-curricular and extracurricular activities as well as their academic performance. The procedures were meticulously designed to preserve ethical standards, safeguard the integrity of the research, and ensure that the data generated were appropriate for analysis and interpretation. Formal permission to perform the study was acquired from the </w:t>
      </w:r>
      <w:proofErr w:type="gramStart"/>
      <w:r w:rsidRPr="005737C2">
        <w:rPr>
          <w:rFonts w:ascii="Times New Roman" w:hAnsi="Times New Roman" w:cs="Times New Roman"/>
          <w:sz w:val="24"/>
          <w:szCs w:val="24"/>
        </w:rPr>
        <w:t>Principal</w:t>
      </w:r>
      <w:proofErr w:type="gramEnd"/>
      <w:r w:rsidRPr="005737C2">
        <w:rPr>
          <w:rFonts w:ascii="Times New Roman" w:hAnsi="Times New Roman" w:cs="Times New Roman"/>
          <w:sz w:val="24"/>
          <w:szCs w:val="24"/>
        </w:rPr>
        <w:t xml:space="preserve"> of the school. After approval was granted, the respondents were oriented about the purpose of the research, their rights as participants, and the measures taken to ensure confidentiality. The questionnaires were then distributed either personally. Once completed, the questionnaires were retrieved, checked for completeness, and prepared for encoding. The researchers confirmed the participants' General Average by coordination with the class advisers or any other authorized individuals, as long as they have the required authorization. Finally, all the data obtained were encoded, tabulated, and analyzed using proper statistical methods to ensure accurate interpretation of the results.</w:t>
      </w:r>
    </w:p>
    <w:p w14:paraId="52D27ECD" w14:textId="77777777" w:rsidR="005737C2" w:rsidRDefault="005737C2">
      <w:pPr>
        <w:pStyle w:val="NoSpacing"/>
        <w:jc w:val="both"/>
        <w:rPr>
          <w:rFonts w:ascii="Times New Roman" w:hAnsi="Times New Roman" w:cs="Times New Roman"/>
          <w:sz w:val="24"/>
          <w:szCs w:val="24"/>
        </w:rPr>
      </w:pPr>
    </w:p>
    <w:p w14:paraId="564097F7" w14:textId="77777777" w:rsidR="00FF16B2" w:rsidRDefault="0093381F">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5.7 Data Analysis  </w:t>
      </w:r>
    </w:p>
    <w:p w14:paraId="7126C7BC" w14:textId="77777777" w:rsidR="00BC22B8" w:rsidRPr="00BC22B8" w:rsidRDefault="00BC22B8" w:rsidP="00BC22B8">
      <w:pPr>
        <w:jc w:val="both"/>
        <w:rPr>
          <w:sz w:val="24"/>
          <w:szCs w:val="24"/>
        </w:rPr>
      </w:pPr>
      <w:r w:rsidRPr="00BC22B8">
        <w:rPr>
          <w:sz w:val="24"/>
          <w:szCs w:val="24"/>
        </w:rPr>
        <w:t>This was a significant step in the research process, since it translated raw data into useful conclusions that helped answer the study objectives. This part talks about the tabulation, treatment, and analysis of the replies collected with the use of proper statistical techniques. The study methodologies allowed the researchers to identify levels of participation and to evaluate the association of co-curricular and extracurricular activities with academic performance. The study was analyzed in a systematic way to draw accurate results that actually reflect the data patterns and trends.</w:t>
      </w:r>
    </w:p>
    <w:p w14:paraId="77C96703" w14:textId="77777777" w:rsidR="00BC22B8" w:rsidRPr="00BC22B8" w:rsidRDefault="00BC22B8" w:rsidP="00BC22B8">
      <w:pPr>
        <w:rPr>
          <w:sz w:val="24"/>
          <w:szCs w:val="24"/>
        </w:rPr>
      </w:pPr>
    </w:p>
    <w:p w14:paraId="564097FB" w14:textId="0481D7B4" w:rsidR="00FF16B2" w:rsidRDefault="00BC22B8" w:rsidP="00BC22B8">
      <w:pPr>
        <w:jc w:val="both"/>
        <w:rPr>
          <w:sz w:val="24"/>
          <w:szCs w:val="24"/>
        </w:rPr>
      </w:pPr>
      <w:r w:rsidRPr="00BC22B8">
        <w:rPr>
          <w:sz w:val="24"/>
          <w:szCs w:val="24"/>
        </w:rPr>
        <w:t xml:space="preserve">The data obtained from the surveys were carefully coded and then analyzed in a number of ways. The raw responses were first tabulated for ease of understanding and clarity. Then, the average level of participation was determined from the responses on the Likert scale and interpreted on the basis of the </w:t>
      </w:r>
      <w:r w:rsidRPr="00BC22B8">
        <w:rPr>
          <w:sz w:val="24"/>
          <w:szCs w:val="24"/>
        </w:rPr>
        <w:t>defined level of participation scale. The Pearson correlation coefficient (r) was used to assess the strength and direction of the link between co-curricular engagement and academic performance, and between extracurricular activity and academic performance. The values of the correlation were considered according to the conventional recommendations, such as 0.00–0.19 very weak, 0.20–0.39 weak, etc. Finally, the results of the analysis drew conclusions regarding whether students’ participation in co-curricular and extracurricular activities has a significant relationship with their academic performance.</w:t>
      </w:r>
    </w:p>
    <w:p w14:paraId="3ACC0342" w14:textId="77777777" w:rsidR="00BC22B8" w:rsidRDefault="00BC22B8" w:rsidP="00BC22B8">
      <w:pPr>
        <w:jc w:val="both"/>
        <w:rPr>
          <w:sz w:val="24"/>
          <w:szCs w:val="24"/>
        </w:rPr>
      </w:pPr>
    </w:p>
    <w:p w14:paraId="564097FC" w14:textId="77777777" w:rsidR="00FF16B2" w:rsidRDefault="0093381F">
      <w:pPr>
        <w:pStyle w:val="Heading1"/>
        <w:numPr>
          <w:ilvl w:val="0"/>
          <w:numId w:val="3"/>
        </w:numPr>
        <w:tabs>
          <w:tab w:val="clear" w:pos="425"/>
        </w:tabs>
        <w:spacing w:before="0" w:after="0"/>
        <w:rPr>
          <w:b/>
          <w:sz w:val="28"/>
          <w:szCs w:val="28"/>
        </w:rPr>
      </w:pPr>
      <w:r>
        <w:rPr>
          <w:b/>
          <w:sz w:val="28"/>
          <w:szCs w:val="28"/>
        </w:rPr>
        <w:t xml:space="preserve">RESULTS AND DISCUSSION  </w:t>
      </w:r>
    </w:p>
    <w:p w14:paraId="564097FD" w14:textId="77777777" w:rsidR="00FF16B2" w:rsidRDefault="00FF16B2">
      <w:pPr>
        <w:pStyle w:val="Text"/>
        <w:spacing w:line="240" w:lineRule="auto"/>
        <w:ind w:firstLine="0"/>
        <w:rPr>
          <w:sz w:val="24"/>
          <w:szCs w:val="24"/>
        </w:rPr>
      </w:pPr>
    </w:p>
    <w:p w14:paraId="253EEA27" w14:textId="77777777" w:rsidR="00FE20B2" w:rsidRPr="00FE20B2" w:rsidRDefault="00FE20B2" w:rsidP="00FE20B2">
      <w:pPr>
        <w:pStyle w:val="Text"/>
        <w:rPr>
          <w:b/>
          <w:bCs/>
          <w:sz w:val="24"/>
          <w:szCs w:val="24"/>
        </w:rPr>
      </w:pPr>
      <w:r w:rsidRPr="00FE20B2">
        <w:rPr>
          <w:b/>
          <w:bCs/>
          <w:sz w:val="24"/>
          <w:szCs w:val="24"/>
        </w:rPr>
        <w:t>6.1 SOP1. What is the level of participation of students in co-curricular activities in terms of:</w:t>
      </w:r>
    </w:p>
    <w:p w14:paraId="79A992D0" w14:textId="77777777" w:rsidR="00FE20B2" w:rsidRPr="00FE20B2" w:rsidRDefault="00FE20B2" w:rsidP="00FE20B2">
      <w:pPr>
        <w:pStyle w:val="Text"/>
        <w:rPr>
          <w:sz w:val="24"/>
          <w:szCs w:val="24"/>
        </w:rPr>
      </w:pPr>
      <w:r w:rsidRPr="00FE20B2">
        <w:rPr>
          <w:sz w:val="24"/>
          <w:szCs w:val="24"/>
        </w:rPr>
        <w:t>a)</w:t>
      </w:r>
      <w:r w:rsidRPr="00FE20B2">
        <w:rPr>
          <w:sz w:val="24"/>
          <w:szCs w:val="24"/>
        </w:rPr>
        <w:tab/>
        <w:t>Clubs</w:t>
      </w:r>
    </w:p>
    <w:p w14:paraId="79721BB0" w14:textId="77777777" w:rsidR="00FE20B2" w:rsidRPr="00FE20B2" w:rsidRDefault="00FE20B2" w:rsidP="00FE20B2">
      <w:pPr>
        <w:pStyle w:val="Text"/>
        <w:rPr>
          <w:sz w:val="24"/>
          <w:szCs w:val="24"/>
        </w:rPr>
      </w:pPr>
      <w:r w:rsidRPr="00FE20B2">
        <w:rPr>
          <w:sz w:val="24"/>
          <w:szCs w:val="24"/>
        </w:rPr>
        <w:t>b)</w:t>
      </w:r>
      <w:r w:rsidRPr="00FE20B2">
        <w:rPr>
          <w:sz w:val="24"/>
          <w:szCs w:val="24"/>
        </w:rPr>
        <w:tab/>
        <w:t>Organizations</w:t>
      </w:r>
    </w:p>
    <w:p w14:paraId="299D1EF5" w14:textId="77777777" w:rsidR="00FE20B2" w:rsidRPr="00FE20B2" w:rsidRDefault="00FE20B2" w:rsidP="00FE20B2">
      <w:pPr>
        <w:pStyle w:val="Text"/>
        <w:rPr>
          <w:sz w:val="24"/>
          <w:szCs w:val="24"/>
        </w:rPr>
      </w:pPr>
      <w:r w:rsidRPr="00FE20B2">
        <w:rPr>
          <w:sz w:val="24"/>
          <w:szCs w:val="24"/>
        </w:rPr>
        <w:t>c)</w:t>
      </w:r>
      <w:r w:rsidRPr="00FE20B2">
        <w:rPr>
          <w:sz w:val="24"/>
          <w:szCs w:val="24"/>
        </w:rPr>
        <w:tab/>
        <w:t>Student Leadership Programs?</w:t>
      </w:r>
    </w:p>
    <w:p w14:paraId="0BB965C3" w14:textId="77777777" w:rsidR="00FE20B2" w:rsidRPr="00FE20B2" w:rsidRDefault="00FE20B2" w:rsidP="00FE20B2">
      <w:pPr>
        <w:pStyle w:val="Text"/>
        <w:rPr>
          <w:sz w:val="24"/>
          <w:szCs w:val="24"/>
        </w:rPr>
      </w:pPr>
    </w:p>
    <w:p w14:paraId="6281ABA0" w14:textId="77777777" w:rsidR="00FE20B2" w:rsidRPr="00FE20B2" w:rsidRDefault="00FE20B2" w:rsidP="00FE20B2">
      <w:pPr>
        <w:pStyle w:val="Text"/>
        <w:rPr>
          <w:sz w:val="24"/>
          <w:szCs w:val="24"/>
        </w:rPr>
      </w:pPr>
      <w:r w:rsidRPr="00FE20B2">
        <w:rPr>
          <w:sz w:val="24"/>
          <w:szCs w:val="24"/>
        </w:rPr>
        <w:t>Table 4. 1. Level of Participation in Co-Curricular Activities</w:t>
      </w:r>
      <w:r w:rsidRPr="00FE20B2">
        <w:rPr>
          <w:sz w:val="24"/>
          <w:szCs w:val="24"/>
        </w:rPr>
        <w:tab/>
      </w:r>
    </w:p>
    <w:tbl>
      <w:tblPr>
        <w:tblW w:w="4950" w:type="dxa"/>
        <w:tblCellSpacing w:w="15" w:type="dxa"/>
        <w:tblInd w:w="180" w:type="dxa"/>
        <w:tblCellMar>
          <w:top w:w="15" w:type="dxa"/>
          <w:left w:w="15" w:type="dxa"/>
          <w:bottom w:w="15" w:type="dxa"/>
          <w:right w:w="15" w:type="dxa"/>
        </w:tblCellMar>
        <w:tblLook w:val="04A0" w:firstRow="1" w:lastRow="0" w:firstColumn="1" w:lastColumn="0" w:noHBand="0" w:noVBand="1"/>
      </w:tblPr>
      <w:tblGrid>
        <w:gridCol w:w="1620"/>
        <w:gridCol w:w="1890"/>
        <w:gridCol w:w="1440"/>
      </w:tblGrid>
      <w:tr w:rsidR="00DF2674" w:rsidRPr="00F14779" w14:paraId="476544C7" w14:textId="77777777" w:rsidTr="00DF2674">
        <w:trPr>
          <w:trHeight w:val="144"/>
          <w:tblHeader/>
          <w:tblCellSpacing w:w="15" w:type="dxa"/>
        </w:trPr>
        <w:tc>
          <w:tcPr>
            <w:tcW w:w="1575" w:type="dxa"/>
            <w:tcBorders>
              <w:top w:val="single" w:sz="4" w:space="0" w:color="auto"/>
              <w:bottom w:val="single" w:sz="4" w:space="0" w:color="auto"/>
            </w:tcBorders>
            <w:vAlign w:val="center"/>
          </w:tcPr>
          <w:p w14:paraId="6A18E5F0" w14:textId="77777777" w:rsidR="00DF2674" w:rsidRPr="00F14779" w:rsidRDefault="00DF2674" w:rsidP="00B9543B">
            <w:pPr>
              <w:jc w:val="center"/>
              <w:rPr>
                <w:b/>
                <w:bCs/>
              </w:rPr>
            </w:pPr>
            <w:r w:rsidRPr="00F14779">
              <w:rPr>
                <w:b/>
                <w:bCs/>
              </w:rPr>
              <w:t>Co-Curricular Activities</w:t>
            </w:r>
          </w:p>
        </w:tc>
        <w:tc>
          <w:tcPr>
            <w:tcW w:w="1860" w:type="dxa"/>
            <w:tcBorders>
              <w:top w:val="single" w:sz="4" w:space="0" w:color="auto"/>
              <w:bottom w:val="single" w:sz="4" w:space="0" w:color="auto"/>
            </w:tcBorders>
            <w:vAlign w:val="center"/>
          </w:tcPr>
          <w:p w14:paraId="583A2611" w14:textId="77777777" w:rsidR="00DF2674" w:rsidRPr="00F14779" w:rsidRDefault="00DF2674" w:rsidP="00B9543B">
            <w:pPr>
              <w:jc w:val="center"/>
              <w:rPr>
                <w:b/>
                <w:bCs/>
              </w:rPr>
            </w:pPr>
            <w:r w:rsidRPr="00F14779">
              <w:rPr>
                <w:b/>
                <w:bCs/>
              </w:rPr>
              <w:t>Weighted Mean</w:t>
            </w:r>
          </w:p>
        </w:tc>
        <w:tc>
          <w:tcPr>
            <w:tcW w:w="1395" w:type="dxa"/>
            <w:tcBorders>
              <w:top w:val="single" w:sz="4" w:space="0" w:color="auto"/>
              <w:bottom w:val="single" w:sz="4" w:space="0" w:color="auto"/>
            </w:tcBorders>
            <w:vAlign w:val="center"/>
          </w:tcPr>
          <w:p w14:paraId="49D33A02" w14:textId="77777777" w:rsidR="00DF2674" w:rsidRPr="00F14779" w:rsidRDefault="00DF2674" w:rsidP="00B9543B">
            <w:pPr>
              <w:jc w:val="center"/>
              <w:rPr>
                <w:b/>
                <w:bCs/>
              </w:rPr>
            </w:pPr>
            <w:r w:rsidRPr="00F14779">
              <w:rPr>
                <w:b/>
                <w:bCs/>
              </w:rPr>
              <w:t>Interpretation</w:t>
            </w:r>
          </w:p>
        </w:tc>
      </w:tr>
      <w:tr w:rsidR="00DF2674" w:rsidRPr="00F14779" w14:paraId="4EC2F539" w14:textId="77777777" w:rsidTr="00DF2674">
        <w:trPr>
          <w:trHeight w:val="144"/>
          <w:tblCellSpacing w:w="15" w:type="dxa"/>
        </w:trPr>
        <w:tc>
          <w:tcPr>
            <w:tcW w:w="1575" w:type="dxa"/>
            <w:vAlign w:val="center"/>
          </w:tcPr>
          <w:p w14:paraId="130C6F45" w14:textId="77777777" w:rsidR="00DF2674" w:rsidRPr="00F14779" w:rsidRDefault="00DF2674" w:rsidP="00B9543B">
            <w:pPr>
              <w:jc w:val="center"/>
            </w:pPr>
            <w:r w:rsidRPr="00F14779">
              <w:t>Clubs</w:t>
            </w:r>
          </w:p>
        </w:tc>
        <w:tc>
          <w:tcPr>
            <w:tcW w:w="1860" w:type="dxa"/>
            <w:vAlign w:val="center"/>
          </w:tcPr>
          <w:p w14:paraId="5F156FE6" w14:textId="77777777" w:rsidR="00DF2674" w:rsidRPr="00F14779" w:rsidRDefault="00DF2674" w:rsidP="00B9543B">
            <w:pPr>
              <w:jc w:val="center"/>
            </w:pPr>
            <w:r w:rsidRPr="00F14779">
              <w:t>3.67</w:t>
            </w:r>
          </w:p>
        </w:tc>
        <w:tc>
          <w:tcPr>
            <w:tcW w:w="1395" w:type="dxa"/>
            <w:vAlign w:val="center"/>
          </w:tcPr>
          <w:p w14:paraId="5472AF7B" w14:textId="77777777" w:rsidR="00DF2674" w:rsidRPr="00F14779" w:rsidRDefault="00DF2674" w:rsidP="00B9543B">
            <w:pPr>
              <w:jc w:val="center"/>
            </w:pPr>
            <w:r w:rsidRPr="00F14779">
              <w:t>High Participation</w:t>
            </w:r>
          </w:p>
        </w:tc>
      </w:tr>
      <w:tr w:rsidR="00DF2674" w:rsidRPr="00F14779" w14:paraId="78FD00A9" w14:textId="77777777" w:rsidTr="00DF2674">
        <w:trPr>
          <w:trHeight w:val="144"/>
          <w:tblCellSpacing w:w="15" w:type="dxa"/>
        </w:trPr>
        <w:tc>
          <w:tcPr>
            <w:tcW w:w="1575" w:type="dxa"/>
            <w:vAlign w:val="center"/>
          </w:tcPr>
          <w:p w14:paraId="284668FF" w14:textId="77777777" w:rsidR="00DF2674" w:rsidRPr="00F14779" w:rsidRDefault="00DF2674" w:rsidP="00B9543B">
            <w:pPr>
              <w:jc w:val="center"/>
            </w:pPr>
            <w:r w:rsidRPr="00F14779">
              <w:t>Organizations</w:t>
            </w:r>
          </w:p>
        </w:tc>
        <w:tc>
          <w:tcPr>
            <w:tcW w:w="1860" w:type="dxa"/>
            <w:vAlign w:val="center"/>
          </w:tcPr>
          <w:p w14:paraId="3036B795" w14:textId="77777777" w:rsidR="00DF2674" w:rsidRPr="00F14779" w:rsidRDefault="00DF2674" w:rsidP="00B9543B">
            <w:pPr>
              <w:jc w:val="center"/>
            </w:pPr>
            <w:r w:rsidRPr="00F14779">
              <w:t>3.35</w:t>
            </w:r>
          </w:p>
        </w:tc>
        <w:tc>
          <w:tcPr>
            <w:tcW w:w="1395" w:type="dxa"/>
            <w:vAlign w:val="center"/>
          </w:tcPr>
          <w:p w14:paraId="3E2DAAC4" w14:textId="77777777" w:rsidR="00DF2674" w:rsidRPr="00F14779" w:rsidRDefault="00DF2674" w:rsidP="00B9543B">
            <w:pPr>
              <w:jc w:val="center"/>
            </w:pPr>
            <w:r w:rsidRPr="00F14779">
              <w:t>Moderate Participation</w:t>
            </w:r>
          </w:p>
        </w:tc>
      </w:tr>
      <w:tr w:rsidR="00DF2674" w:rsidRPr="00F14779" w14:paraId="7E24323D" w14:textId="77777777" w:rsidTr="00DF2674">
        <w:trPr>
          <w:trHeight w:val="144"/>
          <w:tblCellSpacing w:w="15" w:type="dxa"/>
        </w:trPr>
        <w:tc>
          <w:tcPr>
            <w:tcW w:w="1575" w:type="dxa"/>
            <w:vAlign w:val="center"/>
          </w:tcPr>
          <w:p w14:paraId="1D0F3CF9" w14:textId="77777777" w:rsidR="00DF2674" w:rsidRPr="00F14779" w:rsidRDefault="00DF2674" w:rsidP="00B9543B">
            <w:pPr>
              <w:jc w:val="center"/>
            </w:pPr>
            <w:r w:rsidRPr="00F14779">
              <w:t>Student Leadership Programs</w:t>
            </w:r>
          </w:p>
        </w:tc>
        <w:tc>
          <w:tcPr>
            <w:tcW w:w="1860" w:type="dxa"/>
            <w:vAlign w:val="center"/>
          </w:tcPr>
          <w:p w14:paraId="6CA2CD62" w14:textId="77777777" w:rsidR="00DF2674" w:rsidRPr="00F14779" w:rsidRDefault="00DF2674" w:rsidP="00B9543B">
            <w:pPr>
              <w:jc w:val="center"/>
            </w:pPr>
            <w:r w:rsidRPr="00F14779">
              <w:t>3.18</w:t>
            </w:r>
          </w:p>
        </w:tc>
        <w:tc>
          <w:tcPr>
            <w:tcW w:w="1395" w:type="dxa"/>
            <w:vAlign w:val="center"/>
          </w:tcPr>
          <w:p w14:paraId="3CAE19E5" w14:textId="77777777" w:rsidR="00DF2674" w:rsidRPr="00F14779" w:rsidRDefault="00DF2674" w:rsidP="00B9543B">
            <w:pPr>
              <w:jc w:val="center"/>
            </w:pPr>
            <w:r w:rsidRPr="00F14779">
              <w:t>Moderate Participation</w:t>
            </w:r>
          </w:p>
        </w:tc>
      </w:tr>
      <w:tr w:rsidR="00DF2674" w:rsidRPr="00F14779" w14:paraId="0FA1D51E" w14:textId="77777777" w:rsidTr="00DF2674">
        <w:trPr>
          <w:trHeight w:val="144"/>
          <w:tblCellSpacing w:w="15" w:type="dxa"/>
        </w:trPr>
        <w:tc>
          <w:tcPr>
            <w:tcW w:w="1575" w:type="dxa"/>
            <w:tcBorders>
              <w:bottom w:val="single" w:sz="4" w:space="0" w:color="000000" w:themeColor="text1"/>
            </w:tcBorders>
            <w:vAlign w:val="center"/>
          </w:tcPr>
          <w:p w14:paraId="4DA85C60" w14:textId="77777777" w:rsidR="00DF2674" w:rsidRPr="00F14779" w:rsidRDefault="00DF2674" w:rsidP="00B9543B">
            <w:pPr>
              <w:jc w:val="center"/>
            </w:pPr>
            <w:r w:rsidRPr="00F14779">
              <w:rPr>
                <w:b/>
                <w:bCs/>
              </w:rPr>
              <w:t>Overall Mean</w:t>
            </w:r>
          </w:p>
        </w:tc>
        <w:tc>
          <w:tcPr>
            <w:tcW w:w="1860" w:type="dxa"/>
            <w:tcBorders>
              <w:bottom w:val="single" w:sz="4" w:space="0" w:color="000000" w:themeColor="text1"/>
            </w:tcBorders>
            <w:vAlign w:val="center"/>
          </w:tcPr>
          <w:p w14:paraId="4EEC9F6C" w14:textId="77777777" w:rsidR="00DF2674" w:rsidRPr="00F14779" w:rsidRDefault="00DF2674" w:rsidP="00B9543B">
            <w:pPr>
              <w:jc w:val="center"/>
            </w:pPr>
            <w:r w:rsidRPr="00F14779">
              <w:rPr>
                <w:b/>
                <w:bCs/>
              </w:rPr>
              <w:t>3.40</w:t>
            </w:r>
          </w:p>
        </w:tc>
        <w:tc>
          <w:tcPr>
            <w:tcW w:w="1395" w:type="dxa"/>
            <w:tcBorders>
              <w:bottom w:val="single" w:sz="4" w:space="0" w:color="000000" w:themeColor="text1"/>
            </w:tcBorders>
            <w:vAlign w:val="center"/>
          </w:tcPr>
          <w:p w14:paraId="66ACD630" w14:textId="77777777" w:rsidR="00DF2674" w:rsidRPr="00F14779" w:rsidRDefault="00DF2674" w:rsidP="00B9543B">
            <w:pPr>
              <w:jc w:val="center"/>
            </w:pPr>
            <w:r w:rsidRPr="00F14779">
              <w:rPr>
                <w:b/>
                <w:bCs/>
              </w:rPr>
              <w:t>Moderate Participation</w:t>
            </w:r>
          </w:p>
        </w:tc>
      </w:tr>
    </w:tbl>
    <w:p w14:paraId="35E35266" w14:textId="77777777" w:rsidR="00FE20B2" w:rsidRPr="00FE20B2" w:rsidRDefault="00FE20B2" w:rsidP="00FE20B2">
      <w:pPr>
        <w:pStyle w:val="Text"/>
        <w:rPr>
          <w:sz w:val="24"/>
          <w:szCs w:val="24"/>
        </w:rPr>
      </w:pPr>
    </w:p>
    <w:p w14:paraId="6CDCEC24" w14:textId="77777777" w:rsidR="00FE20B2" w:rsidRPr="00FE20B2" w:rsidRDefault="00FE20B2" w:rsidP="00FE20B2">
      <w:pPr>
        <w:pStyle w:val="Text"/>
        <w:rPr>
          <w:sz w:val="24"/>
          <w:szCs w:val="24"/>
        </w:rPr>
      </w:pPr>
      <w:r w:rsidRPr="00FE20B2">
        <w:rPr>
          <w:sz w:val="24"/>
          <w:szCs w:val="24"/>
        </w:rPr>
        <w:t xml:space="preserve">Legend: </w:t>
      </w:r>
    </w:p>
    <w:p w14:paraId="725C2027" w14:textId="77777777" w:rsidR="00FE20B2" w:rsidRPr="00FE20B2" w:rsidRDefault="00FE20B2" w:rsidP="00FE20B2">
      <w:pPr>
        <w:pStyle w:val="Text"/>
        <w:rPr>
          <w:sz w:val="24"/>
          <w:szCs w:val="24"/>
        </w:rPr>
      </w:pPr>
      <w:r w:rsidRPr="00FE20B2">
        <w:rPr>
          <w:sz w:val="24"/>
          <w:szCs w:val="24"/>
        </w:rPr>
        <w:t>4.21-5.00 – Very High Participation</w:t>
      </w:r>
    </w:p>
    <w:p w14:paraId="534A7AC4" w14:textId="77777777" w:rsidR="00FE20B2" w:rsidRPr="00FE20B2" w:rsidRDefault="00FE20B2" w:rsidP="00FE20B2">
      <w:pPr>
        <w:pStyle w:val="Text"/>
        <w:rPr>
          <w:sz w:val="24"/>
          <w:szCs w:val="24"/>
        </w:rPr>
      </w:pPr>
      <w:r w:rsidRPr="00FE20B2">
        <w:rPr>
          <w:sz w:val="24"/>
          <w:szCs w:val="24"/>
        </w:rPr>
        <w:t>3.41-4.20- High Participation</w:t>
      </w:r>
    </w:p>
    <w:p w14:paraId="6B54A21E" w14:textId="77777777" w:rsidR="00FE20B2" w:rsidRPr="00FE20B2" w:rsidRDefault="00FE20B2" w:rsidP="00FE20B2">
      <w:pPr>
        <w:pStyle w:val="Text"/>
        <w:rPr>
          <w:sz w:val="24"/>
          <w:szCs w:val="24"/>
        </w:rPr>
      </w:pPr>
      <w:r w:rsidRPr="00FE20B2">
        <w:rPr>
          <w:sz w:val="24"/>
          <w:szCs w:val="24"/>
        </w:rPr>
        <w:t>2.61-3.40-Moderate Participation</w:t>
      </w:r>
    </w:p>
    <w:p w14:paraId="28DC4ED6" w14:textId="77777777" w:rsidR="00FE20B2" w:rsidRPr="00FE20B2" w:rsidRDefault="00FE20B2" w:rsidP="00FE20B2">
      <w:pPr>
        <w:pStyle w:val="Text"/>
        <w:rPr>
          <w:sz w:val="24"/>
          <w:szCs w:val="24"/>
        </w:rPr>
      </w:pPr>
      <w:r w:rsidRPr="00FE20B2">
        <w:rPr>
          <w:sz w:val="24"/>
          <w:szCs w:val="24"/>
        </w:rPr>
        <w:t xml:space="preserve">1.81-2.60 -Low Participation </w:t>
      </w:r>
    </w:p>
    <w:p w14:paraId="26C93DFD" w14:textId="77777777" w:rsidR="00FE20B2" w:rsidRPr="00FE20B2" w:rsidRDefault="00FE20B2" w:rsidP="00FE20B2">
      <w:pPr>
        <w:pStyle w:val="Text"/>
        <w:rPr>
          <w:sz w:val="24"/>
          <w:szCs w:val="24"/>
        </w:rPr>
      </w:pPr>
      <w:r w:rsidRPr="00FE20B2">
        <w:rPr>
          <w:sz w:val="24"/>
          <w:szCs w:val="24"/>
        </w:rPr>
        <w:t xml:space="preserve">1.00-1.80 – Very Low Participation </w:t>
      </w:r>
    </w:p>
    <w:p w14:paraId="115BC903" w14:textId="77777777" w:rsidR="00FE20B2" w:rsidRPr="00FE20B2" w:rsidRDefault="00FE20B2" w:rsidP="00FE20B2">
      <w:pPr>
        <w:pStyle w:val="Text"/>
        <w:rPr>
          <w:sz w:val="24"/>
          <w:szCs w:val="24"/>
        </w:rPr>
      </w:pPr>
    </w:p>
    <w:p w14:paraId="093B311D" w14:textId="77777777" w:rsidR="00FE20B2" w:rsidRPr="00FE20B2" w:rsidRDefault="00FE20B2" w:rsidP="00FE20B2">
      <w:pPr>
        <w:pStyle w:val="Text"/>
        <w:rPr>
          <w:sz w:val="24"/>
          <w:szCs w:val="24"/>
        </w:rPr>
      </w:pPr>
      <w:r w:rsidRPr="00FE20B2">
        <w:rPr>
          <w:sz w:val="24"/>
          <w:szCs w:val="24"/>
        </w:rPr>
        <w:t xml:space="preserve">Table 4.1 presents the level of participation of students in co-curricular activities. Clubs obtained the highest weighted mean of 3.67, interpreted as high participation. Organizations recorded a weighted mean of 3.35, while student leadership programs obtained 3.18, both interpreted as moderate participation. The overall mean of 3.40 indicates moderate participation among students in co-curricular activities. The overall mean of 3.40 indicates moderate participation, which implies that </w:t>
      </w:r>
      <w:r w:rsidRPr="00FE20B2">
        <w:rPr>
          <w:sz w:val="24"/>
          <w:szCs w:val="24"/>
        </w:rPr>
        <w:lastRenderedPageBreak/>
        <w:t>while students participate in school activities, additional encouragement may further enhance their involvement, particularly in organizations and leadership programs.</w:t>
      </w:r>
    </w:p>
    <w:p w14:paraId="3ED7E1C7" w14:textId="77777777" w:rsidR="00FE20B2" w:rsidRPr="00FE20B2" w:rsidRDefault="00FE20B2" w:rsidP="00FE20B2">
      <w:pPr>
        <w:pStyle w:val="Text"/>
        <w:rPr>
          <w:sz w:val="24"/>
          <w:szCs w:val="24"/>
        </w:rPr>
      </w:pPr>
    </w:p>
    <w:p w14:paraId="7AFD6AA1" w14:textId="77777777" w:rsidR="00FE20B2" w:rsidRPr="00DF2674" w:rsidRDefault="00FE20B2" w:rsidP="00FE20B2">
      <w:pPr>
        <w:pStyle w:val="Text"/>
        <w:rPr>
          <w:b/>
          <w:bCs/>
          <w:sz w:val="24"/>
          <w:szCs w:val="24"/>
        </w:rPr>
      </w:pPr>
      <w:r w:rsidRPr="00DF2674">
        <w:rPr>
          <w:b/>
          <w:bCs/>
          <w:sz w:val="24"/>
          <w:szCs w:val="24"/>
        </w:rPr>
        <w:t>6.2 SOP 2. What is the level of participation of students in extracurricular activities in terms of:</w:t>
      </w:r>
    </w:p>
    <w:p w14:paraId="66F08C6F" w14:textId="77777777" w:rsidR="00FE20B2" w:rsidRPr="00FE20B2" w:rsidRDefault="00FE20B2" w:rsidP="00FE20B2">
      <w:pPr>
        <w:pStyle w:val="Text"/>
        <w:rPr>
          <w:sz w:val="24"/>
          <w:szCs w:val="24"/>
        </w:rPr>
      </w:pPr>
      <w:r w:rsidRPr="00FE20B2">
        <w:rPr>
          <w:sz w:val="24"/>
          <w:szCs w:val="24"/>
        </w:rPr>
        <w:t>d)</w:t>
      </w:r>
      <w:r w:rsidRPr="00FE20B2">
        <w:rPr>
          <w:sz w:val="24"/>
          <w:szCs w:val="24"/>
        </w:rPr>
        <w:tab/>
        <w:t>Music</w:t>
      </w:r>
    </w:p>
    <w:p w14:paraId="35487889" w14:textId="77777777" w:rsidR="00FE20B2" w:rsidRPr="00FE20B2" w:rsidRDefault="00FE20B2" w:rsidP="00FE20B2">
      <w:pPr>
        <w:pStyle w:val="Text"/>
        <w:rPr>
          <w:sz w:val="24"/>
          <w:szCs w:val="24"/>
        </w:rPr>
      </w:pPr>
      <w:r w:rsidRPr="00FE20B2">
        <w:rPr>
          <w:sz w:val="24"/>
          <w:szCs w:val="24"/>
        </w:rPr>
        <w:t>e)</w:t>
      </w:r>
      <w:r w:rsidRPr="00FE20B2">
        <w:rPr>
          <w:sz w:val="24"/>
          <w:szCs w:val="24"/>
        </w:rPr>
        <w:tab/>
        <w:t>Dance</w:t>
      </w:r>
    </w:p>
    <w:p w14:paraId="3844DD10" w14:textId="77777777" w:rsidR="00FE20B2" w:rsidRPr="00FE20B2" w:rsidRDefault="00FE20B2" w:rsidP="00FE20B2">
      <w:pPr>
        <w:pStyle w:val="Text"/>
        <w:rPr>
          <w:sz w:val="24"/>
          <w:szCs w:val="24"/>
        </w:rPr>
      </w:pPr>
      <w:r w:rsidRPr="00FE20B2">
        <w:rPr>
          <w:sz w:val="24"/>
          <w:szCs w:val="24"/>
        </w:rPr>
        <w:t>f)</w:t>
      </w:r>
      <w:r w:rsidRPr="00FE20B2">
        <w:rPr>
          <w:sz w:val="24"/>
          <w:szCs w:val="24"/>
        </w:rPr>
        <w:tab/>
        <w:t>Journalism?</w:t>
      </w:r>
    </w:p>
    <w:p w14:paraId="44E1789E" w14:textId="77777777" w:rsidR="00FE20B2" w:rsidRPr="00FE20B2" w:rsidRDefault="00FE20B2" w:rsidP="00FE20B2">
      <w:pPr>
        <w:pStyle w:val="Text"/>
        <w:rPr>
          <w:sz w:val="24"/>
          <w:szCs w:val="24"/>
        </w:rPr>
      </w:pPr>
    </w:p>
    <w:p w14:paraId="18DD1C05" w14:textId="77777777" w:rsidR="00FE20B2" w:rsidRPr="00FE20B2" w:rsidRDefault="00FE20B2" w:rsidP="00FE20B2">
      <w:pPr>
        <w:pStyle w:val="Text"/>
        <w:rPr>
          <w:sz w:val="24"/>
          <w:szCs w:val="24"/>
        </w:rPr>
      </w:pPr>
      <w:r w:rsidRPr="00FE20B2">
        <w:rPr>
          <w:sz w:val="24"/>
          <w:szCs w:val="24"/>
        </w:rPr>
        <w:t>Table 4. 2. Level of Participation in Extracurricular Activities</w:t>
      </w:r>
    </w:p>
    <w:tbl>
      <w:tblPr>
        <w:tblW w:w="4865"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1442"/>
        <w:gridCol w:w="1765"/>
        <w:gridCol w:w="1658"/>
      </w:tblGrid>
      <w:tr w:rsidR="00A82D0B" w:rsidRPr="0023172A" w14:paraId="5523C3EA" w14:textId="77777777" w:rsidTr="00A82D0B">
        <w:trPr>
          <w:trHeight w:val="192"/>
          <w:tblHeader/>
          <w:tblCellSpacing w:w="15" w:type="dxa"/>
        </w:trPr>
        <w:tc>
          <w:tcPr>
            <w:tcW w:w="1358" w:type="dxa"/>
            <w:tcBorders>
              <w:top w:val="single" w:sz="4" w:space="0" w:color="auto"/>
              <w:bottom w:val="single" w:sz="4" w:space="0" w:color="auto"/>
            </w:tcBorders>
            <w:vAlign w:val="center"/>
          </w:tcPr>
          <w:p w14:paraId="6A4C1D85" w14:textId="77777777" w:rsidR="00A82D0B" w:rsidRPr="0023172A" w:rsidRDefault="00A82D0B" w:rsidP="00B9543B">
            <w:pPr>
              <w:jc w:val="center"/>
              <w:rPr>
                <w:b/>
                <w:bCs/>
              </w:rPr>
            </w:pPr>
            <w:r w:rsidRPr="0023172A">
              <w:rPr>
                <w:b/>
                <w:bCs/>
              </w:rPr>
              <w:t>Extracurricular Activities</w:t>
            </w:r>
          </w:p>
        </w:tc>
        <w:tc>
          <w:tcPr>
            <w:tcW w:w="1763" w:type="dxa"/>
            <w:tcBorders>
              <w:top w:val="single" w:sz="4" w:space="0" w:color="auto"/>
              <w:bottom w:val="single" w:sz="4" w:space="0" w:color="auto"/>
            </w:tcBorders>
            <w:vAlign w:val="center"/>
          </w:tcPr>
          <w:p w14:paraId="0515628B" w14:textId="77777777" w:rsidR="00A82D0B" w:rsidRPr="0023172A" w:rsidRDefault="00A82D0B" w:rsidP="00B9543B">
            <w:pPr>
              <w:jc w:val="center"/>
              <w:rPr>
                <w:b/>
                <w:bCs/>
              </w:rPr>
            </w:pPr>
            <w:r w:rsidRPr="0023172A">
              <w:rPr>
                <w:b/>
                <w:bCs/>
              </w:rPr>
              <w:t>Weighted Mean</w:t>
            </w:r>
          </w:p>
        </w:tc>
        <w:tc>
          <w:tcPr>
            <w:tcW w:w="1624" w:type="dxa"/>
            <w:tcBorders>
              <w:top w:val="single" w:sz="4" w:space="0" w:color="auto"/>
              <w:bottom w:val="single" w:sz="4" w:space="0" w:color="auto"/>
            </w:tcBorders>
            <w:vAlign w:val="center"/>
          </w:tcPr>
          <w:p w14:paraId="20721F34" w14:textId="77777777" w:rsidR="00A82D0B" w:rsidRPr="0023172A" w:rsidRDefault="00A82D0B" w:rsidP="00B9543B">
            <w:pPr>
              <w:jc w:val="center"/>
              <w:rPr>
                <w:b/>
                <w:bCs/>
              </w:rPr>
            </w:pPr>
            <w:r w:rsidRPr="0023172A">
              <w:rPr>
                <w:b/>
                <w:bCs/>
              </w:rPr>
              <w:t>Interpretation</w:t>
            </w:r>
          </w:p>
        </w:tc>
      </w:tr>
      <w:tr w:rsidR="00A82D0B" w:rsidRPr="0023172A" w14:paraId="116E98FD" w14:textId="77777777" w:rsidTr="00A82D0B">
        <w:trPr>
          <w:trHeight w:val="26"/>
          <w:tblCellSpacing w:w="15" w:type="dxa"/>
        </w:trPr>
        <w:tc>
          <w:tcPr>
            <w:tcW w:w="1358" w:type="dxa"/>
            <w:vAlign w:val="center"/>
          </w:tcPr>
          <w:p w14:paraId="581FC06C" w14:textId="77777777" w:rsidR="00A82D0B" w:rsidRPr="0023172A" w:rsidRDefault="00A82D0B" w:rsidP="00B9543B">
            <w:pPr>
              <w:jc w:val="center"/>
            </w:pPr>
            <w:r w:rsidRPr="0023172A">
              <w:t>Music</w:t>
            </w:r>
          </w:p>
        </w:tc>
        <w:tc>
          <w:tcPr>
            <w:tcW w:w="1763" w:type="dxa"/>
            <w:vAlign w:val="center"/>
          </w:tcPr>
          <w:p w14:paraId="5525D5F6" w14:textId="77777777" w:rsidR="00A82D0B" w:rsidRPr="0023172A" w:rsidRDefault="00A82D0B" w:rsidP="00B9543B">
            <w:pPr>
              <w:jc w:val="center"/>
            </w:pPr>
            <w:r w:rsidRPr="0023172A">
              <w:t>3.58</w:t>
            </w:r>
          </w:p>
        </w:tc>
        <w:tc>
          <w:tcPr>
            <w:tcW w:w="1624" w:type="dxa"/>
            <w:vAlign w:val="center"/>
          </w:tcPr>
          <w:p w14:paraId="278E1955" w14:textId="77777777" w:rsidR="00A82D0B" w:rsidRPr="0023172A" w:rsidRDefault="00A82D0B" w:rsidP="00B9543B">
            <w:pPr>
              <w:jc w:val="center"/>
            </w:pPr>
            <w:r w:rsidRPr="0023172A">
              <w:t>High Participation</w:t>
            </w:r>
          </w:p>
        </w:tc>
      </w:tr>
      <w:tr w:rsidR="00A82D0B" w:rsidRPr="0023172A" w14:paraId="7CB335AA" w14:textId="77777777" w:rsidTr="00A82D0B">
        <w:trPr>
          <w:trHeight w:val="26"/>
          <w:tblCellSpacing w:w="15" w:type="dxa"/>
        </w:trPr>
        <w:tc>
          <w:tcPr>
            <w:tcW w:w="1358" w:type="dxa"/>
            <w:vAlign w:val="center"/>
          </w:tcPr>
          <w:p w14:paraId="5AEFE3D9" w14:textId="77777777" w:rsidR="00A82D0B" w:rsidRPr="0023172A" w:rsidRDefault="00A82D0B" w:rsidP="00B9543B">
            <w:pPr>
              <w:jc w:val="center"/>
            </w:pPr>
            <w:r w:rsidRPr="0023172A">
              <w:t>Dance</w:t>
            </w:r>
          </w:p>
        </w:tc>
        <w:tc>
          <w:tcPr>
            <w:tcW w:w="1763" w:type="dxa"/>
            <w:vAlign w:val="center"/>
          </w:tcPr>
          <w:p w14:paraId="4004CFAD" w14:textId="77777777" w:rsidR="00A82D0B" w:rsidRPr="0023172A" w:rsidRDefault="00A82D0B" w:rsidP="00B9543B">
            <w:pPr>
              <w:jc w:val="center"/>
            </w:pPr>
            <w:r w:rsidRPr="0023172A">
              <w:t>3.82</w:t>
            </w:r>
          </w:p>
        </w:tc>
        <w:tc>
          <w:tcPr>
            <w:tcW w:w="1624" w:type="dxa"/>
            <w:vAlign w:val="center"/>
          </w:tcPr>
          <w:p w14:paraId="13A00381" w14:textId="77777777" w:rsidR="00A82D0B" w:rsidRPr="0023172A" w:rsidRDefault="00A82D0B" w:rsidP="00B9543B">
            <w:pPr>
              <w:jc w:val="center"/>
            </w:pPr>
            <w:r w:rsidRPr="0023172A">
              <w:t>High Participation</w:t>
            </w:r>
          </w:p>
        </w:tc>
      </w:tr>
      <w:tr w:rsidR="00A82D0B" w:rsidRPr="0023172A" w14:paraId="75C7B0C3" w14:textId="77777777" w:rsidTr="00A82D0B">
        <w:trPr>
          <w:trHeight w:val="26"/>
          <w:tblCellSpacing w:w="15" w:type="dxa"/>
        </w:trPr>
        <w:tc>
          <w:tcPr>
            <w:tcW w:w="1358" w:type="dxa"/>
            <w:vAlign w:val="center"/>
          </w:tcPr>
          <w:p w14:paraId="021EB7BE" w14:textId="77777777" w:rsidR="00A82D0B" w:rsidRPr="0023172A" w:rsidRDefault="00A82D0B" w:rsidP="00B9543B">
            <w:pPr>
              <w:jc w:val="center"/>
            </w:pPr>
            <w:r w:rsidRPr="0023172A">
              <w:t>Journalism</w:t>
            </w:r>
          </w:p>
        </w:tc>
        <w:tc>
          <w:tcPr>
            <w:tcW w:w="1763" w:type="dxa"/>
            <w:vAlign w:val="center"/>
          </w:tcPr>
          <w:p w14:paraId="6F7BA699" w14:textId="77777777" w:rsidR="00A82D0B" w:rsidRPr="0023172A" w:rsidRDefault="00A82D0B" w:rsidP="00B9543B">
            <w:pPr>
              <w:jc w:val="center"/>
            </w:pPr>
            <w:r w:rsidRPr="0023172A">
              <w:t>2.17</w:t>
            </w:r>
          </w:p>
        </w:tc>
        <w:tc>
          <w:tcPr>
            <w:tcW w:w="1624" w:type="dxa"/>
            <w:vAlign w:val="center"/>
          </w:tcPr>
          <w:p w14:paraId="75B32CB9" w14:textId="77777777" w:rsidR="00A82D0B" w:rsidRPr="0023172A" w:rsidRDefault="00A82D0B" w:rsidP="00B9543B">
            <w:pPr>
              <w:jc w:val="center"/>
            </w:pPr>
            <w:r w:rsidRPr="0023172A">
              <w:t>Low Participation</w:t>
            </w:r>
          </w:p>
        </w:tc>
      </w:tr>
      <w:tr w:rsidR="00A82D0B" w:rsidRPr="0023172A" w14:paraId="329B39A3" w14:textId="77777777" w:rsidTr="00A82D0B">
        <w:trPr>
          <w:trHeight w:val="26"/>
          <w:tblCellSpacing w:w="15" w:type="dxa"/>
        </w:trPr>
        <w:tc>
          <w:tcPr>
            <w:tcW w:w="1358" w:type="dxa"/>
            <w:tcBorders>
              <w:bottom w:val="single" w:sz="4" w:space="0" w:color="000000" w:themeColor="text1"/>
            </w:tcBorders>
            <w:vAlign w:val="center"/>
          </w:tcPr>
          <w:p w14:paraId="08D516EA" w14:textId="77777777" w:rsidR="00A82D0B" w:rsidRPr="0023172A" w:rsidRDefault="00A82D0B" w:rsidP="00B9543B">
            <w:pPr>
              <w:jc w:val="center"/>
            </w:pPr>
            <w:r w:rsidRPr="0023172A">
              <w:rPr>
                <w:b/>
                <w:bCs/>
              </w:rPr>
              <w:t>Overall Mean</w:t>
            </w:r>
          </w:p>
        </w:tc>
        <w:tc>
          <w:tcPr>
            <w:tcW w:w="1763" w:type="dxa"/>
            <w:tcBorders>
              <w:bottom w:val="single" w:sz="4" w:space="0" w:color="000000" w:themeColor="text1"/>
            </w:tcBorders>
            <w:vAlign w:val="center"/>
          </w:tcPr>
          <w:p w14:paraId="71DCBC09" w14:textId="77777777" w:rsidR="00A82D0B" w:rsidRPr="0023172A" w:rsidRDefault="00A82D0B" w:rsidP="00B9543B">
            <w:pPr>
              <w:jc w:val="center"/>
            </w:pPr>
            <w:r w:rsidRPr="0023172A">
              <w:rPr>
                <w:b/>
                <w:bCs/>
              </w:rPr>
              <w:t>3.19</w:t>
            </w:r>
          </w:p>
        </w:tc>
        <w:tc>
          <w:tcPr>
            <w:tcW w:w="1624" w:type="dxa"/>
            <w:tcBorders>
              <w:bottom w:val="single" w:sz="4" w:space="0" w:color="000000" w:themeColor="text1"/>
            </w:tcBorders>
            <w:vAlign w:val="center"/>
          </w:tcPr>
          <w:p w14:paraId="3C26ABD7" w14:textId="77777777" w:rsidR="00A82D0B" w:rsidRPr="0023172A" w:rsidRDefault="00A82D0B" w:rsidP="00B9543B">
            <w:pPr>
              <w:jc w:val="center"/>
            </w:pPr>
            <w:r w:rsidRPr="0023172A">
              <w:rPr>
                <w:b/>
                <w:bCs/>
              </w:rPr>
              <w:t>Moderate Participation</w:t>
            </w:r>
          </w:p>
        </w:tc>
      </w:tr>
    </w:tbl>
    <w:p w14:paraId="7399FEF7" w14:textId="381C53BA" w:rsidR="00FE20B2" w:rsidRPr="00FE20B2" w:rsidRDefault="00FE20B2" w:rsidP="00FE20B2">
      <w:pPr>
        <w:pStyle w:val="Text"/>
        <w:rPr>
          <w:sz w:val="24"/>
          <w:szCs w:val="24"/>
        </w:rPr>
      </w:pPr>
      <w:r w:rsidRPr="00FE20B2">
        <w:rPr>
          <w:sz w:val="24"/>
          <w:szCs w:val="24"/>
        </w:rPr>
        <w:t xml:space="preserve">Legend: </w:t>
      </w:r>
    </w:p>
    <w:p w14:paraId="75D73374" w14:textId="77777777" w:rsidR="00FE20B2" w:rsidRPr="00FE20B2" w:rsidRDefault="00FE20B2" w:rsidP="00FE20B2">
      <w:pPr>
        <w:pStyle w:val="Text"/>
        <w:rPr>
          <w:sz w:val="24"/>
          <w:szCs w:val="24"/>
        </w:rPr>
      </w:pPr>
      <w:r w:rsidRPr="00FE20B2">
        <w:rPr>
          <w:sz w:val="24"/>
          <w:szCs w:val="24"/>
        </w:rPr>
        <w:t>4.21-5.00 – Very High Participation</w:t>
      </w:r>
    </w:p>
    <w:p w14:paraId="5BDDCE5E" w14:textId="77777777" w:rsidR="00FE20B2" w:rsidRPr="00FE20B2" w:rsidRDefault="00FE20B2" w:rsidP="00FE20B2">
      <w:pPr>
        <w:pStyle w:val="Text"/>
        <w:rPr>
          <w:sz w:val="24"/>
          <w:szCs w:val="24"/>
        </w:rPr>
      </w:pPr>
      <w:r w:rsidRPr="00FE20B2">
        <w:rPr>
          <w:sz w:val="24"/>
          <w:szCs w:val="24"/>
        </w:rPr>
        <w:t>3.41-4.20- High Participation</w:t>
      </w:r>
    </w:p>
    <w:p w14:paraId="6742D545" w14:textId="77777777" w:rsidR="00FE20B2" w:rsidRPr="00FE20B2" w:rsidRDefault="00FE20B2" w:rsidP="00FE20B2">
      <w:pPr>
        <w:pStyle w:val="Text"/>
        <w:rPr>
          <w:sz w:val="24"/>
          <w:szCs w:val="24"/>
        </w:rPr>
      </w:pPr>
      <w:r w:rsidRPr="00FE20B2">
        <w:rPr>
          <w:sz w:val="24"/>
          <w:szCs w:val="24"/>
        </w:rPr>
        <w:t>2.61-3.40-Moderate Participation</w:t>
      </w:r>
    </w:p>
    <w:p w14:paraId="09FCB234" w14:textId="77777777" w:rsidR="00FE20B2" w:rsidRPr="00FE20B2" w:rsidRDefault="00FE20B2" w:rsidP="00FE20B2">
      <w:pPr>
        <w:pStyle w:val="Text"/>
        <w:rPr>
          <w:sz w:val="24"/>
          <w:szCs w:val="24"/>
        </w:rPr>
      </w:pPr>
      <w:r w:rsidRPr="00FE20B2">
        <w:rPr>
          <w:sz w:val="24"/>
          <w:szCs w:val="24"/>
        </w:rPr>
        <w:t xml:space="preserve">1.81-2.60 -Low Participation </w:t>
      </w:r>
    </w:p>
    <w:p w14:paraId="3E4D2B37" w14:textId="77777777" w:rsidR="00FE20B2" w:rsidRPr="00FE20B2" w:rsidRDefault="00FE20B2" w:rsidP="00FE20B2">
      <w:pPr>
        <w:pStyle w:val="Text"/>
        <w:rPr>
          <w:sz w:val="24"/>
          <w:szCs w:val="24"/>
        </w:rPr>
      </w:pPr>
      <w:r w:rsidRPr="00FE20B2">
        <w:rPr>
          <w:sz w:val="24"/>
          <w:szCs w:val="24"/>
        </w:rPr>
        <w:t xml:space="preserve">1.00-1.80 – Very Low Participation </w:t>
      </w:r>
    </w:p>
    <w:p w14:paraId="317FAAE8" w14:textId="77777777" w:rsidR="00FE20B2" w:rsidRPr="00FE20B2" w:rsidRDefault="00FE20B2" w:rsidP="00FE20B2">
      <w:pPr>
        <w:pStyle w:val="Text"/>
        <w:rPr>
          <w:sz w:val="24"/>
          <w:szCs w:val="24"/>
        </w:rPr>
      </w:pPr>
    </w:p>
    <w:p w14:paraId="09CC5C87" w14:textId="77777777" w:rsidR="00FE20B2" w:rsidRPr="00FE20B2" w:rsidRDefault="00FE20B2" w:rsidP="00FE20B2">
      <w:pPr>
        <w:pStyle w:val="Text"/>
        <w:rPr>
          <w:sz w:val="24"/>
          <w:szCs w:val="24"/>
        </w:rPr>
      </w:pPr>
      <w:r w:rsidRPr="00FE20B2">
        <w:rPr>
          <w:sz w:val="24"/>
          <w:szCs w:val="24"/>
        </w:rPr>
        <w:t xml:space="preserve">As shown in Table 4.2, students demonstrated high participation in dance (3.82) and music (3.58). Journalism, however, recorded a weighted mean of 2.17, interpreted as low participation. The overall mean of 3.19 indicates moderate participation in extracurricular activities. </w:t>
      </w:r>
    </w:p>
    <w:p w14:paraId="00065D25" w14:textId="77777777" w:rsidR="00FE20B2" w:rsidRPr="00FE20B2" w:rsidRDefault="00FE20B2" w:rsidP="00FE20B2">
      <w:pPr>
        <w:pStyle w:val="Text"/>
        <w:rPr>
          <w:sz w:val="24"/>
          <w:szCs w:val="24"/>
        </w:rPr>
      </w:pPr>
    </w:p>
    <w:p w14:paraId="0F300D77" w14:textId="77777777" w:rsidR="00FE20B2" w:rsidRPr="00A82D0B" w:rsidRDefault="00FE20B2" w:rsidP="00FE20B2">
      <w:pPr>
        <w:pStyle w:val="Text"/>
        <w:rPr>
          <w:b/>
          <w:bCs/>
          <w:sz w:val="24"/>
          <w:szCs w:val="24"/>
        </w:rPr>
      </w:pPr>
      <w:r w:rsidRPr="00A82D0B">
        <w:rPr>
          <w:b/>
          <w:bCs/>
          <w:sz w:val="24"/>
          <w:szCs w:val="24"/>
        </w:rPr>
        <w:t>6.3 SOP 3. What is the level of academic performance of the respondents?</w:t>
      </w:r>
    </w:p>
    <w:p w14:paraId="41814A79" w14:textId="77777777" w:rsidR="00FE20B2" w:rsidRPr="00FE20B2" w:rsidRDefault="00FE20B2" w:rsidP="00FE20B2">
      <w:pPr>
        <w:pStyle w:val="Text"/>
        <w:rPr>
          <w:sz w:val="24"/>
          <w:szCs w:val="24"/>
        </w:rPr>
      </w:pPr>
      <w:r w:rsidRPr="00FE20B2">
        <w:rPr>
          <w:sz w:val="24"/>
          <w:szCs w:val="24"/>
        </w:rPr>
        <w:t>Table 4.3 Level of Academic Performance of the respondents</w:t>
      </w:r>
    </w:p>
    <w:tbl>
      <w:tblPr>
        <w:tblW w:w="4833"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2027"/>
        <w:gridCol w:w="1351"/>
        <w:gridCol w:w="1455"/>
      </w:tblGrid>
      <w:tr w:rsidR="0080672A" w:rsidRPr="00800AE9" w14:paraId="264DC0A1" w14:textId="77777777" w:rsidTr="0080672A">
        <w:trPr>
          <w:trHeight w:val="172"/>
          <w:tblHeader/>
          <w:tblCellSpacing w:w="15" w:type="dxa"/>
        </w:trPr>
        <w:tc>
          <w:tcPr>
            <w:tcW w:w="1982" w:type="dxa"/>
            <w:tcBorders>
              <w:top w:val="single" w:sz="4" w:space="0" w:color="auto"/>
              <w:bottom w:val="single" w:sz="4" w:space="0" w:color="auto"/>
            </w:tcBorders>
            <w:vAlign w:val="center"/>
          </w:tcPr>
          <w:p w14:paraId="7C419C69" w14:textId="77777777" w:rsidR="0080672A" w:rsidRPr="00800AE9" w:rsidRDefault="0080672A" w:rsidP="00B9543B">
            <w:pPr>
              <w:jc w:val="center"/>
              <w:rPr>
                <w:b/>
                <w:bCs/>
              </w:rPr>
            </w:pPr>
            <w:r w:rsidRPr="00800AE9">
              <w:rPr>
                <w:b/>
                <w:bCs/>
              </w:rPr>
              <w:t>Academic Performance Level</w:t>
            </w:r>
          </w:p>
        </w:tc>
        <w:tc>
          <w:tcPr>
            <w:tcW w:w="1321" w:type="dxa"/>
            <w:tcBorders>
              <w:top w:val="single" w:sz="4" w:space="0" w:color="auto"/>
              <w:bottom w:val="single" w:sz="4" w:space="0" w:color="auto"/>
            </w:tcBorders>
            <w:vAlign w:val="center"/>
          </w:tcPr>
          <w:p w14:paraId="7C1A5743" w14:textId="77777777" w:rsidR="0080672A" w:rsidRPr="00800AE9" w:rsidRDefault="0080672A" w:rsidP="00B9543B">
            <w:pPr>
              <w:jc w:val="center"/>
              <w:rPr>
                <w:b/>
                <w:bCs/>
              </w:rPr>
            </w:pPr>
            <w:r w:rsidRPr="00800AE9">
              <w:rPr>
                <w:b/>
                <w:bCs/>
              </w:rPr>
              <w:t>Frequency</w:t>
            </w:r>
          </w:p>
        </w:tc>
        <w:tc>
          <w:tcPr>
            <w:tcW w:w="1410" w:type="dxa"/>
            <w:tcBorders>
              <w:top w:val="single" w:sz="4" w:space="0" w:color="auto"/>
              <w:bottom w:val="single" w:sz="4" w:space="0" w:color="auto"/>
            </w:tcBorders>
            <w:vAlign w:val="center"/>
          </w:tcPr>
          <w:p w14:paraId="19928D91" w14:textId="77777777" w:rsidR="0080672A" w:rsidRPr="00800AE9" w:rsidRDefault="0080672A" w:rsidP="00B9543B">
            <w:pPr>
              <w:jc w:val="center"/>
              <w:rPr>
                <w:b/>
                <w:bCs/>
              </w:rPr>
            </w:pPr>
            <w:r w:rsidRPr="00800AE9">
              <w:rPr>
                <w:b/>
                <w:bCs/>
              </w:rPr>
              <w:t>Percentage</w:t>
            </w:r>
          </w:p>
        </w:tc>
      </w:tr>
      <w:tr w:rsidR="0080672A" w:rsidRPr="00800AE9" w14:paraId="11F88000" w14:textId="77777777" w:rsidTr="0080672A">
        <w:trPr>
          <w:trHeight w:val="172"/>
          <w:tblCellSpacing w:w="15" w:type="dxa"/>
        </w:trPr>
        <w:tc>
          <w:tcPr>
            <w:tcW w:w="1982" w:type="dxa"/>
            <w:vAlign w:val="center"/>
          </w:tcPr>
          <w:p w14:paraId="0FE3A8DF" w14:textId="77777777" w:rsidR="0080672A" w:rsidRPr="00800AE9" w:rsidRDefault="0080672A" w:rsidP="00B9543B">
            <w:pPr>
              <w:jc w:val="center"/>
            </w:pPr>
            <w:r w:rsidRPr="00800AE9">
              <w:t>Very High (93–100)</w:t>
            </w:r>
          </w:p>
        </w:tc>
        <w:tc>
          <w:tcPr>
            <w:tcW w:w="1321" w:type="dxa"/>
            <w:vAlign w:val="center"/>
          </w:tcPr>
          <w:p w14:paraId="2BD23852" w14:textId="77777777" w:rsidR="0080672A" w:rsidRPr="00800AE9" w:rsidRDefault="0080672A" w:rsidP="00B9543B">
            <w:pPr>
              <w:jc w:val="center"/>
            </w:pPr>
            <w:r w:rsidRPr="00800AE9">
              <w:t>1</w:t>
            </w:r>
          </w:p>
        </w:tc>
        <w:tc>
          <w:tcPr>
            <w:tcW w:w="1410" w:type="dxa"/>
            <w:vAlign w:val="center"/>
          </w:tcPr>
          <w:p w14:paraId="3AC77C4E" w14:textId="77777777" w:rsidR="0080672A" w:rsidRPr="00800AE9" w:rsidRDefault="0080672A" w:rsidP="00B9543B">
            <w:pPr>
              <w:jc w:val="center"/>
            </w:pPr>
            <w:r w:rsidRPr="00800AE9">
              <w:t>0.84%</w:t>
            </w:r>
          </w:p>
        </w:tc>
      </w:tr>
      <w:tr w:rsidR="0080672A" w:rsidRPr="00800AE9" w14:paraId="3AD9FF37" w14:textId="77777777" w:rsidTr="0080672A">
        <w:trPr>
          <w:trHeight w:val="172"/>
          <w:tblCellSpacing w:w="15" w:type="dxa"/>
        </w:trPr>
        <w:tc>
          <w:tcPr>
            <w:tcW w:w="1982" w:type="dxa"/>
            <w:vAlign w:val="center"/>
          </w:tcPr>
          <w:p w14:paraId="0553344E" w14:textId="77777777" w:rsidR="0080672A" w:rsidRPr="00800AE9" w:rsidRDefault="0080672A" w:rsidP="00B9543B">
            <w:pPr>
              <w:jc w:val="center"/>
            </w:pPr>
            <w:r w:rsidRPr="00800AE9">
              <w:t>High (87–92)</w:t>
            </w:r>
          </w:p>
        </w:tc>
        <w:tc>
          <w:tcPr>
            <w:tcW w:w="1321" w:type="dxa"/>
            <w:vAlign w:val="center"/>
          </w:tcPr>
          <w:p w14:paraId="640A3F91" w14:textId="77777777" w:rsidR="0080672A" w:rsidRPr="00800AE9" w:rsidRDefault="0080672A" w:rsidP="00B9543B">
            <w:pPr>
              <w:jc w:val="center"/>
            </w:pPr>
            <w:r w:rsidRPr="00800AE9">
              <w:t>32</w:t>
            </w:r>
          </w:p>
        </w:tc>
        <w:tc>
          <w:tcPr>
            <w:tcW w:w="1410" w:type="dxa"/>
            <w:vAlign w:val="center"/>
          </w:tcPr>
          <w:p w14:paraId="78359675" w14:textId="77777777" w:rsidR="0080672A" w:rsidRPr="00800AE9" w:rsidRDefault="0080672A" w:rsidP="00B9543B">
            <w:pPr>
              <w:jc w:val="center"/>
            </w:pPr>
            <w:r w:rsidRPr="00800AE9">
              <w:t>26.67%</w:t>
            </w:r>
          </w:p>
        </w:tc>
      </w:tr>
      <w:tr w:rsidR="0080672A" w:rsidRPr="00800AE9" w14:paraId="74000356" w14:textId="77777777" w:rsidTr="0080672A">
        <w:trPr>
          <w:trHeight w:val="172"/>
          <w:tblCellSpacing w:w="15" w:type="dxa"/>
        </w:trPr>
        <w:tc>
          <w:tcPr>
            <w:tcW w:w="1982" w:type="dxa"/>
            <w:tcBorders>
              <w:bottom w:val="single" w:sz="4" w:space="0" w:color="auto"/>
            </w:tcBorders>
            <w:shd w:val="clear" w:color="auto" w:fill="FFFFFF" w:themeFill="background1"/>
            <w:vAlign w:val="center"/>
          </w:tcPr>
          <w:p w14:paraId="5820AC6F" w14:textId="77777777" w:rsidR="0080672A" w:rsidRPr="00800AE9" w:rsidRDefault="0080672A" w:rsidP="00B9543B">
            <w:pPr>
              <w:jc w:val="center"/>
            </w:pPr>
            <w:r w:rsidRPr="00800AE9">
              <w:t>Average (81–86)</w:t>
            </w:r>
          </w:p>
          <w:p w14:paraId="7883F4CA" w14:textId="77777777" w:rsidR="0080672A" w:rsidRPr="00800AE9" w:rsidRDefault="0080672A" w:rsidP="00B9543B">
            <w:pPr>
              <w:jc w:val="center"/>
            </w:pPr>
            <w:r w:rsidRPr="00800AE9">
              <w:t>Low (75–80)</w:t>
            </w:r>
          </w:p>
          <w:p w14:paraId="7952DABF" w14:textId="77777777" w:rsidR="0080672A" w:rsidRPr="00800AE9" w:rsidRDefault="0080672A" w:rsidP="00B9543B">
            <w:pPr>
              <w:jc w:val="center"/>
            </w:pPr>
            <w:r w:rsidRPr="00800AE9">
              <w:t>Very Low (Below 75)</w:t>
            </w:r>
          </w:p>
          <w:p w14:paraId="7A9ECAD8" w14:textId="77777777" w:rsidR="0080672A" w:rsidRPr="00800AE9" w:rsidRDefault="0080672A" w:rsidP="00B9543B">
            <w:pPr>
              <w:jc w:val="center"/>
            </w:pPr>
            <w:r w:rsidRPr="00800AE9">
              <w:rPr>
                <w:b/>
                <w:bCs/>
              </w:rPr>
              <w:t>Total</w:t>
            </w:r>
          </w:p>
        </w:tc>
        <w:tc>
          <w:tcPr>
            <w:tcW w:w="1321" w:type="dxa"/>
            <w:tcBorders>
              <w:bottom w:val="single" w:sz="4" w:space="0" w:color="auto"/>
            </w:tcBorders>
            <w:vAlign w:val="center"/>
          </w:tcPr>
          <w:p w14:paraId="38D8AB3E" w14:textId="77777777" w:rsidR="0080672A" w:rsidRPr="00800AE9" w:rsidRDefault="0080672A" w:rsidP="00B9543B">
            <w:pPr>
              <w:jc w:val="center"/>
            </w:pPr>
            <w:r w:rsidRPr="00800AE9">
              <w:t>57</w:t>
            </w:r>
          </w:p>
          <w:p w14:paraId="6B2E3D37" w14:textId="77777777" w:rsidR="0080672A" w:rsidRPr="00800AE9" w:rsidRDefault="0080672A" w:rsidP="00B9543B">
            <w:pPr>
              <w:jc w:val="center"/>
            </w:pPr>
            <w:r w:rsidRPr="00800AE9">
              <w:t>30</w:t>
            </w:r>
          </w:p>
          <w:p w14:paraId="67EF630F" w14:textId="77777777" w:rsidR="0080672A" w:rsidRPr="00800AE9" w:rsidRDefault="0080672A" w:rsidP="00B9543B">
            <w:pPr>
              <w:jc w:val="center"/>
            </w:pPr>
            <w:r w:rsidRPr="00800AE9">
              <w:t>0</w:t>
            </w:r>
          </w:p>
          <w:p w14:paraId="65B82EDB" w14:textId="77777777" w:rsidR="0080672A" w:rsidRPr="00800AE9" w:rsidRDefault="0080672A" w:rsidP="00B9543B">
            <w:pPr>
              <w:jc w:val="center"/>
            </w:pPr>
            <w:r w:rsidRPr="00800AE9">
              <w:t>120</w:t>
            </w:r>
          </w:p>
        </w:tc>
        <w:tc>
          <w:tcPr>
            <w:tcW w:w="1410" w:type="dxa"/>
            <w:tcBorders>
              <w:bottom w:val="single" w:sz="4" w:space="0" w:color="auto"/>
            </w:tcBorders>
            <w:vAlign w:val="center"/>
          </w:tcPr>
          <w:p w14:paraId="65EA83CA" w14:textId="77777777" w:rsidR="0080672A" w:rsidRPr="00800AE9" w:rsidRDefault="0080672A" w:rsidP="00B9543B">
            <w:pPr>
              <w:jc w:val="center"/>
            </w:pPr>
            <w:r w:rsidRPr="00800AE9">
              <w:t>47.50%</w:t>
            </w:r>
          </w:p>
          <w:p w14:paraId="70CEBC5D" w14:textId="77777777" w:rsidR="0080672A" w:rsidRPr="00800AE9" w:rsidRDefault="0080672A" w:rsidP="00B9543B">
            <w:pPr>
              <w:jc w:val="center"/>
            </w:pPr>
            <w:r w:rsidRPr="00800AE9">
              <w:t>25%</w:t>
            </w:r>
          </w:p>
          <w:p w14:paraId="461D2FC6" w14:textId="77777777" w:rsidR="0080672A" w:rsidRPr="00800AE9" w:rsidRDefault="0080672A" w:rsidP="00B9543B">
            <w:pPr>
              <w:jc w:val="center"/>
            </w:pPr>
            <w:r w:rsidRPr="00800AE9">
              <w:t>0%</w:t>
            </w:r>
          </w:p>
          <w:p w14:paraId="68BE9FA9" w14:textId="77777777" w:rsidR="0080672A" w:rsidRPr="00800AE9" w:rsidRDefault="0080672A" w:rsidP="00B9543B">
            <w:pPr>
              <w:jc w:val="center"/>
            </w:pPr>
            <w:r w:rsidRPr="00800AE9">
              <w:rPr>
                <w:b/>
                <w:bCs/>
              </w:rPr>
              <w:t>100%</w:t>
            </w:r>
          </w:p>
        </w:tc>
      </w:tr>
    </w:tbl>
    <w:p w14:paraId="5DDD55CE" w14:textId="7CA8FB3B" w:rsidR="00FE20B2" w:rsidRPr="00FE20B2" w:rsidRDefault="00FE20B2" w:rsidP="00FE20B2">
      <w:pPr>
        <w:pStyle w:val="Text"/>
        <w:rPr>
          <w:sz w:val="24"/>
          <w:szCs w:val="24"/>
        </w:rPr>
      </w:pPr>
      <w:r w:rsidRPr="00FE20B2">
        <w:rPr>
          <w:sz w:val="24"/>
          <w:szCs w:val="24"/>
        </w:rPr>
        <w:t xml:space="preserve">Legend: </w:t>
      </w:r>
    </w:p>
    <w:p w14:paraId="0F31B0A5" w14:textId="77777777" w:rsidR="00FE20B2" w:rsidRPr="00FE20B2" w:rsidRDefault="00FE20B2" w:rsidP="00FE20B2">
      <w:pPr>
        <w:pStyle w:val="Text"/>
        <w:rPr>
          <w:sz w:val="24"/>
          <w:szCs w:val="24"/>
        </w:rPr>
      </w:pPr>
      <w:r w:rsidRPr="00FE20B2">
        <w:rPr>
          <w:sz w:val="24"/>
          <w:szCs w:val="24"/>
        </w:rPr>
        <w:t>93-100 - Very High Performance</w:t>
      </w:r>
    </w:p>
    <w:p w14:paraId="00525BD9" w14:textId="77777777" w:rsidR="00FE20B2" w:rsidRPr="00FE20B2" w:rsidRDefault="00FE20B2" w:rsidP="00FE20B2">
      <w:pPr>
        <w:pStyle w:val="Text"/>
        <w:rPr>
          <w:sz w:val="24"/>
          <w:szCs w:val="24"/>
        </w:rPr>
      </w:pPr>
      <w:r w:rsidRPr="00FE20B2">
        <w:rPr>
          <w:sz w:val="24"/>
          <w:szCs w:val="24"/>
        </w:rPr>
        <w:t>87-92 - High Performance</w:t>
      </w:r>
    </w:p>
    <w:p w14:paraId="729A4642" w14:textId="77777777" w:rsidR="00FE20B2" w:rsidRPr="00FE20B2" w:rsidRDefault="00FE20B2" w:rsidP="00FE20B2">
      <w:pPr>
        <w:pStyle w:val="Text"/>
        <w:rPr>
          <w:sz w:val="24"/>
          <w:szCs w:val="24"/>
        </w:rPr>
      </w:pPr>
      <w:r w:rsidRPr="00FE20B2">
        <w:rPr>
          <w:sz w:val="24"/>
          <w:szCs w:val="24"/>
        </w:rPr>
        <w:t>81-86 - Moderate Performance</w:t>
      </w:r>
    </w:p>
    <w:p w14:paraId="2386352F" w14:textId="77777777" w:rsidR="00FE20B2" w:rsidRPr="00FE20B2" w:rsidRDefault="00FE20B2" w:rsidP="00FE20B2">
      <w:pPr>
        <w:pStyle w:val="Text"/>
        <w:rPr>
          <w:sz w:val="24"/>
          <w:szCs w:val="24"/>
        </w:rPr>
      </w:pPr>
      <w:r w:rsidRPr="00FE20B2">
        <w:rPr>
          <w:sz w:val="24"/>
          <w:szCs w:val="24"/>
        </w:rPr>
        <w:t xml:space="preserve">75-80 - Low Performance </w:t>
      </w:r>
    </w:p>
    <w:p w14:paraId="6EB320D1" w14:textId="77777777" w:rsidR="00FE20B2" w:rsidRPr="00FE20B2" w:rsidRDefault="00FE20B2" w:rsidP="00FE20B2">
      <w:pPr>
        <w:pStyle w:val="Text"/>
        <w:rPr>
          <w:sz w:val="24"/>
          <w:szCs w:val="24"/>
        </w:rPr>
      </w:pPr>
      <w:r w:rsidRPr="00FE20B2">
        <w:rPr>
          <w:sz w:val="24"/>
          <w:szCs w:val="24"/>
        </w:rPr>
        <w:t xml:space="preserve">Below 75 - Very Low Participation </w:t>
      </w:r>
    </w:p>
    <w:p w14:paraId="68FEDC79" w14:textId="77777777" w:rsidR="00FE20B2" w:rsidRPr="00FE20B2" w:rsidRDefault="00FE20B2" w:rsidP="00FE20B2">
      <w:pPr>
        <w:pStyle w:val="Text"/>
        <w:rPr>
          <w:sz w:val="24"/>
          <w:szCs w:val="24"/>
        </w:rPr>
      </w:pPr>
    </w:p>
    <w:p w14:paraId="145CF330" w14:textId="77777777" w:rsidR="00FE20B2" w:rsidRPr="00FE20B2" w:rsidRDefault="00FE20B2" w:rsidP="00FE20B2">
      <w:pPr>
        <w:pStyle w:val="Text"/>
        <w:rPr>
          <w:sz w:val="24"/>
          <w:szCs w:val="24"/>
        </w:rPr>
      </w:pPr>
      <w:r w:rsidRPr="00FE20B2">
        <w:rPr>
          <w:sz w:val="24"/>
          <w:szCs w:val="24"/>
        </w:rPr>
        <w:t>Table 4.3: Academic Performance of the Respondents. The majority of the pupils have an average level of academic performance (47.50%), followed by High performance (26.67%) and Low performance (25%). Only one student (0.84%) was rated Very High academically, while no student was rated Very Low.</w:t>
      </w:r>
    </w:p>
    <w:p w14:paraId="4CEA3B20" w14:textId="77777777" w:rsidR="00FE20B2" w:rsidRPr="00FE20B2" w:rsidRDefault="00FE20B2" w:rsidP="00FE20B2">
      <w:pPr>
        <w:pStyle w:val="Text"/>
        <w:rPr>
          <w:sz w:val="24"/>
          <w:szCs w:val="24"/>
        </w:rPr>
      </w:pPr>
    </w:p>
    <w:p w14:paraId="50EB076D" w14:textId="77777777" w:rsidR="00FE20B2" w:rsidRPr="0080672A" w:rsidRDefault="00FE20B2" w:rsidP="00FE20B2">
      <w:pPr>
        <w:pStyle w:val="Text"/>
        <w:rPr>
          <w:b/>
          <w:bCs/>
          <w:sz w:val="24"/>
          <w:szCs w:val="24"/>
        </w:rPr>
      </w:pPr>
      <w:r w:rsidRPr="0080672A">
        <w:rPr>
          <w:b/>
          <w:bCs/>
          <w:sz w:val="24"/>
          <w:szCs w:val="24"/>
        </w:rPr>
        <w:t>6.4 SOP 4. Is there a significant relationship between students’ participation in co-curricular activities and their academic performance?</w:t>
      </w:r>
    </w:p>
    <w:p w14:paraId="6388C167" w14:textId="77777777" w:rsidR="00FE20B2" w:rsidRPr="00FE20B2" w:rsidRDefault="00FE20B2" w:rsidP="00FE20B2">
      <w:pPr>
        <w:pStyle w:val="Text"/>
        <w:rPr>
          <w:sz w:val="24"/>
          <w:szCs w:val="24"/>
        </w:rPr>
      </w:pPr>
    </w:p>
    <w:p w14:paraId="10708056" w14:textId="77777777" w:rsidR="00FE20B2" w:rsidRPr="00FE20B2" w:rsidRDefault="00FE20B2" w:rsidP="00FE20B2">
      <w:pPr>
        <w:pStyle w:val="Text"/>
        <w:rPr>
          <w:sz w:val="24"/>
          <w:szCs w:val="24"/>
        </w:rPr>
      </w:pPr>
      <w:r w:rsidRPr="00FE20B2">
        <w:rPr>
          <w:sz w:val="24"/>
          <w:szCs w:val="24"/>
        </w:rPr>
        <w:t>Table 4.4 Relationship Between Co-Curricular Activities and Academic Performance</w:t>
      </w:r>
    </w:p>
    <w:tbl>
      <w:tblPr>
        <w:tblStyle w:val="PlainTable21"/>
        <w:tblW w:w="0" w:type="auto"/>
        <w:tblInd w:w="180" w:type="dxa"/>
        <w:tblLook w:val="04A0" w:firstRow="1" w:lastRow="0" w:firstColumn="1" w:lastColumn="0" w:noHBand="0" w:noVBand="1"/>
      </w:tblPr>
      <w:tblGrid>
        <w:gridCol w:w="1027"/>
        <w:gridCol w:w="617"/>
        <w:gridCol w:w="695"/>
        <w:gridCol w:w="617"/>
        <w:gridCol w:w="1108"/>
        <w:gridCol w:w="744"/>
      </w:tblGrid>
      <w:tr w:rsidR="001018B5" w:rsidRPr="001018B5" w14:paraId="3248BCE0" w14:textId="77777777" w:rsidTr="00B9543B">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themeColor="text1"/>
              <w:bottom w:val="single" w:sz="4" w:space="0" w:color="000000" w:themeColor="text1"/>
            </w:tcBorders>
          </w:tcPr>
          <w:p w14:paraId="15BA03B8" w14:textId="77777777" w:rsidR="001018B5" w:rsidRPr="001018B5" w:rsidRDefault="001018B5" w:rsidP="00B9543B">
            <w:pPr>
              <w:jc w:val="center"/>
              <w:rPr>
                <w:rFonts w:ascii="Times New Roman" w:hAnsi="Times New Roman" w:cs="Times New Roman"/>
              </w:rPr>
            </w:pPr>
            <w:r w:rsidRPr="001018B5">
              <w:rPr>
                <w:rFonts w:ascii="Times New Roman" w:eastAsia="SimSun" w:hAnsi="Times New Roman" w:cs="Times New Roman"/>
                <w:lang w:eastAsia="zh-CN" w:bidi="ar"/>
                <w14:ligatures w14:val="standardContextual"/>
              </w:rPr>
              <w:t>Variables</w:t>
            </w:r>
          </w:p>
        </w:tc>
        <w:tc>
          <w:tcPr>
            <w:tcW w:w="1080" w:type="dxa"/>
            <w:tcBorders>
              <w:top w:val="single" w:sz="4" w:space="0" w:color="000000" w:themeColor="text1"/>
              <w:bottom w:val="single" w:sz="4" w:space="0" w:color="000000" w:themeColor="text1"/>
            </w:tcBorders>
          </w:tcPr>
          <w:p w14:paraId="1C2D7094"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018B5">
              <w:rPr>
                <w:rFonts w:ascii="Times New Roman" w:eastAsia="SimSun" w:hAnsi="Times New Roman" w:cs="Times New Roman"/>
                <w:lang w:eastAsia="zh-CN" w:bidi="ar"/>
                <w14:ligatures w14:val="standardContextual"/>
              </w:rPr>
              <w:t>r-value</w:t>
            </w:r>
            <w:proofErr w:type="spellEnd"/>
          </w:p>
        </w:tc>
        <w:tc>
          <w:tcPr>
            <w:tcW w:w="1170" w:type="dxa"/>
            <w:tcBorders>
              <w:top w:val="single" w:sz="4" w:space="0" w:color="000000" w:themeColor="text1"/>
              <w:bottom w:val="single" w:sz="4" w:space="0" w:color="000000" w:themeColor="text1"/>
            </w:tcBorders>
          </w:tcPr>
          <w:p w14:paraId="1644A33A"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t-statistic</w:t>
            </w:r>
          </w:p>
        </w:tc>
        <w:tc>
          <w:tcPr>
            <w:tcW w:w="1055" w:type="dxa"/>
            <w:tcBorders>
              <w:top w:val="single" w:sz="4" w:space="0" w:color="000000" w:themeColor="text1"/>
              <w:bottom w:val="single" w:sz="4" w:space="0" w:color="000000" w:themeColor="text1"/>
            </w:tcBorders>
          </w:tcPr>
          <w:p w14:paraId="6236AA28"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p-value</w:t>
            </w:r>
          </w:p>
        </w:tc>
        <w:tc>
          <w:tcPr>
            <w:tcW w:w="0" w:type="auto"/>
            <w:tcBorders>
              <w:top w:val="single" w:sz="4" w:space="0" w:color="000000" w:themeColor="text1"/>
              <w:bottom w:val="single" w:sz="4" w:space="0" w:color="000000" w:themeColor="text1"/>
            </w:tcBorders>
          </w:tcPr>
          <w:p w14:paraId="662AA250"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Interpretation</w:t>
            </w:r>
          </w:p>
        </w:tc>
        <w:tc>
          <w:tcPr>
            <w:tcW w:w="0" w:type="auto"/>
            <w:tcBorders>
              <w:top w:val="single" w:sz="4" w:space="0" w:color="000000" w:themeColor="text1"/>
              <w:bottom w:val="single" w:sz="4" w:space="0" w:color="000000" w:themeColor="text1"/>
            </w:tcBorders>
          </w:tcPr>
          <w:p w14:paraId="0CA1B27A" w14:textId="77777777" w:rsidR="001018B5" w:rsidRPr="001018B5" w:rsidRDefault="001018B5" w:rsidP="00B954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Decision</w:t>
            </w:r>
          </w:p>
        </w:tc>
      </w:tr>
      <w:tr w:rsidR="001018B5" w:rsidRPr="001018B5" w14:paraId="45EBC775" w14:textId="77777777" w:rsidTr="00B9543B">
        <w:trPr>
          <w:trHeight w:val="144"/>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000000" w:themeColor="text1"/>
              <w:bottom w:val="single" w:sz="4" w:space="0" w:color="000000" w:themeColor="text1"/>
            </w:tcBorders>
          </w:tcPr>
          <w:p w14:paraId="2B82ACF3" w14:textId="77777777" w:rsidR="001018B5" w:rsidRPr="001018B5" w:rsidRDefault="001018B5" w:rsidP="00B9543B">
            <w:pPr>
              <w:rPr>
                <w:rFonts w:ascii="Times New Roman" w:hAnsi="Times New Roman" w:cs="Times New Roman"/>
              </w:rPr>
            </w:pPr>
            <w:r w:rsidRPr="001018B5">
              <w:rPr>
                <w:rFonts w:ascii="Times New Roman" w:eastAsia="SimSun" w:hAnsi="Times New Roman" w:cs="Times New Roman"/>
                <w:lang w:eastAsia="zh-CN" w:bidi="ar"/>
                <w14:ligatures w14:val="standardContextual"/>
              </w:rPr>
              <w:t>Co-Curricular Activities and Academic Performance</w:t>
            </w:r>
          </w:p>
        </w:tc>
        <w:tc>
          <w:tcPr>
            <w:tcW w:w="1080" w:type="dxa"/>
            <w:tcBorders>
              <w:top w:val="single" w:sz="4" w:space="0" w:color="000000" w:themeColor="text1"/>
              <w:bottom w:val="single" w:sz="4" w:space="0" w:color="000000" w:themeColor="text1"/>
            </w:tcBorders>
          </w:tcPr>
          <w:p w14:paraId="4F31BC5F"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0.0608</w:t>
            </w:r>
          </w:p>
        </w:tc>
        <w:tc>
          <w:tcPr>
            <w:tcW w:w="1170" w:type="dxa"/>
            <w:tcBorders>
              <w:top w:val="single" w:sz="4" w:space="0" w:color="000000" w:themeColor="text1"/>
              <w:bottom w:val="single" w:sz="4" w:space="0" w:color="000000" w:themeColor="text1"/>
            </w:tcBorders>
          </w:tcPr>
          <w:p w14:paraId="42145709"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0.6611</w:t>
            </w:r>
          </w:p>
        </w:tc>
        <w:tc>
          <w:tcPr>
            <w:tcW w:w="1055" w:type="dxa"/>
            <w:tcBorders>
              <w:top w:val="single" w:sz="4" w:space="0" w:color="000000" w:themeColor="text1"/>
              <w:bottom w:val="single" w:sz="4" w:space="0" w:color="000000" w:themeColor="text1"/>
            </w:tcBorders>
          </w:tcPr>
          <w:p w14:paraId="215BDBE6"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0.9999</w:t>
            </w:r>
          </w:p>
        </w:tc>
        <w:tc>
          <w:tcPr>
            <w:tcW w:w="0" w:type="auto"/>
            <w:tcBorders>
              <w:top w:val="single" w:sz="4" w:space="0" w:color="000000" w:themeColor="text1"/>
              <w:bottom w:val="single" w:sz="4" w:space="0" w:color="000000" w:themeColor="text1"/>
            </w:tcBorders>
          </w:tcPr>
          <w:p w14:paraId="5C0FC20C"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No Significant Relationship</w:t>
            </w:r>
          </w:p>
        </w:tc>
        <w:tc>
          <w:tcPr>
            <w:tcW w:w="0" w:type="auto"/>
            <w:tcBorders>
              <w:top w:val="single" w:sz="4" w:space="0" w:color="000000" w:themeColor="text1"/>
              <w:bottom w:val="single" w:sz="4" w:space="0" w:color="000000" w:themeColor="text1"/>
            </w:tcBorders>
          </w:tcPr>
          <w:p w14:paraId="639428BD" w14:textId="77777777" w:rsidR="001018B5" w:rsidRPr="001018B5" w:rsidRDefault="001018B5" w:rsidP="00B954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18B5">
              <w:rPr>
                <w:rFonts w:ascii="Times New Roman" w:eastAsia="SimSun" w:hAnsi="Times New Roman" w:cs="Times New Roman"/>
                <w:lang w:eastAsia="zh-CN" w:bidi="ar"/>
                <w14:ligatures w14:val="standardContextual"/>
              </w:rPr>
              <w:t>Fail to Reject H₀</w:t>
            </w:r>
          </w:p>
        </w:tc>
      </w:tr>
    </w:tbl>
    <w:p w14:paraId="5465D173" w14:textId="77777777" w:rsidR="00FE20B2" w:rsidRPr="00FE20B2" w:rsidRDefault="00FE20B2" w:rsidP="00FE20B2">
      <w:pPr>
        <w:pStyle w:val="Text"/>
        <w:rPr>
          <w:sz w:val="24"/>
          <w:szCs w:val="24"/>
        </w:rPr>
      </w:pPr>
      <w:r w:rsidRPr="00FE20B2">
        <w:rPr>
          <w:sz w:val="24"/>
          <w:szCs w:val="24"/>
        </w:rPr>
        <w:t xml:space="preserve">Legend: </w:t>
      </w:r>
    </w:p>
    <w:p w14:paraId="61211CFD" w14:textId="77777777" w:rsidR="00FE20B2" w:rsidRPr="00FE20B2" w:rsidRDefault="00FE20B2" w:rsidP="00FE20B2">
      <w:pPr>
        <w:pStyle w:val="Text"/>
        <w:rPr>
          <w:sz w:val="24"/>
          <w:szCs w:val="24"/>
        </w:rPr>
      </w:pPr>
      <w:r w:rsidRPr="00FE20B2">
        <w:rPr>
          <w:sz w:val="24"/>
          <w:szCs w:val="24"/>
        </w:rPr>
        <w:t>0.00 – 0.19 - Very weak correlation</w:t>
      </w:r>
    </w:p>
    <w:p w14:paraId="4E620B8C" w14:textId="77777777" w:rsidR="00FE20B2" w:rsidRPr="00FE20B2" w:rsidRDefault="00FE20B2" w:rsidP="00FE20B2">
      <w:pPr>
        <w:pStyle w:val="Text"/>
        <w:rPr>
          <w:sz w:val="24"/>
          <w:szCs w:val="24"/>
        </w:rPr>
      </w:pPr>
      <w:r w:rsidRPr="00FE20B2">
        <w:rPr>
          <w:sz w:val="24"/>
          <w:szCs w:val="24"/>
        </w:rPr>
        <w:t>0.20 – 0.39 - Weak correlation</w:t>
      </w:r>
    </w:p>
    <w:p w14:paraId="2261DA72" w14:textId="77777777" w:rsidR="00FE20B2" w:rsidRPr="00FE20B2" w:rsidRDefault="00FE20B2" w:rsidP="00FE20B2">
      <w:pPr>
        <w:pStyle w:val="Text"/>
        <w:rPr>
          <w:sz w:val="24"/>
          <w:szCs w:val="24"/>
        </w:rPr>
      </w:pPr>
      <w:r w:rsidRPr="00FE20B2">
        <w:rPr>
          <w:sz w:val="24"/>
          <w:szCs w:val="24"/>
        </w:rPr>
        <w:t>0.40 – 0.59 - Moderate correlation</w:t>
      </w:r>
    </w:p>
    <w:p w14:paraId="1F060010" w14:textId="77777777" w:rsidR="00FE20B2" w:rsidRPr="00FE20B2" w:rsidRDefault="00FE20B2" w:rsidP="00FE20B2">
      <w:pPr>
        <w:pStyle w:val="Text"/>
        <w:rPr>
          <w:sz w:val="24"/>
          <w:szCs w:val="24"/>
        </w:rPr>
      </w:pPr>
      <w:r w:rsidRPr="00FE20B2">
        <w:rPr>
          <w:sz w:val="24"/>
          <w:szCs w:val="24"/>
        </w:rPr>
        <w:t>0.60 – 0.79 - Strong correlation</w:t>
      </w:r>
    </w:p>
    <w:p w14:paraId="443D2594" w14:textId="77777777" w:rsidR="00FE20B2" w:rsidRPr="00FE20B2" w:rsidRDefault="00FE20B2" w:rsidP="00FE20B2">
      <w:pPr>
        <w:pStyle w:val="Text"/>
        <w:rPr>
          <w:sz w:val="24"/>
          <w:szCs w:val="24"/>
        </w:rPr>
      </w:pPr>
      <w:r w:rsidRPr="00FE20B2">
        <w:rPr>
          <w:sz w:val="24"/>
          <w:szCs w:val="24"/>
        </w:rPr>
        <w:t>0.80 – 1.00 - Very strong correlation</w:t>
      </w:r>
    </w:p>
    <w:p w14:paraId="78D76858" w14:textId="77777777" w:rsidR="00FE20B2" w:rsidRPr="00FE20B2" w:rsidRDefault="00FE20B2" w:rsidP="00FE20B2">
      <w:pPr>
        <w:pStyle w:val="Text"/>
        <w:rPr>
          <w:sz w:val="24"/>
          <w:szCs w:val="24"/>
        </w:rPr>
      </w:pPr>
    </w:p>
    <w:p w14:paraId="7ACAE00A" w14:textId="77777777" w:rsidR="00FE20B2" w:rsidRPr="00FE20B2" w:rsidRDefault="00FE20B2" w:rsidP="00FE20B2">
      <w:pPr>
        <w:pStyle w:val="Text"/>
        <w:rPr>
          <w:sz w:val="24"/>
          <w:szCs w:val="24"/>
        </w:rPr>
      </w:pPr>
      <w:r w:rsidRPr="00FE20B2">
        <w:rPr>
          <w:sz w:val="24"/>
          <w:szCs w:val="24"/>
        </w:rPr>
        <w:t>Table 4.4 presents the Pearson Product-Moment Correlation between co-curricular activities and academic performance. The computed correlation coefficient (r = 0.0608) indicates a negligible positive relationship between the variables.</w:t>
      </w:r>
    </w:p>
    <w:p w14:paraId="5401EB60" w14:textId="77777777" w:rsidR="00FE20B2" w:rsidRPr="00FE20B2" w:rsidRDefault="00FE20B2" w:rsidP="00FE20B2">
      <w:pPr>
        <w:pStyle w:val="Text"/>
        <w:rPr>
          <w:sz w:val="24"/>
          <w:szCs w:val="24"/>
        </w:rPr>
      </w:pPr>
      <w:r w:rsidRPr="00FE20B2">
        <w:rPr>
          <w:sz w:val="24"/>
          <w:szCs w:val="24"/>
        </w:rPr>
        <w:t>However, the obtained p-value (0.9999) is significantly higher than the 0.05 level of significance, which means that the relationship is not statistically significant.</w:t>
      </w:r>
    </w:p>
    <w:p w14:paraId="68AF9292" w14:textId="77777777" w:rsidR="00FE20B2" w:rsidRPr="00FE20B2" w:rsidRDefault="00FE20B2" w:rsidP="00FE20B2">
      <w:pPr>
        <w:pStyle w:val="Text"/>
        <w:rPr>
          <w:sz w:val="24"/>
          <w:szCs w:val="24"/>
        </w:rPr>
      </w:pPr>
      <w:r w:rsidRPr="00FE20B2">
        <w:rPr>
          <w:sz w:val="24"/>
          <w:szCs w:val="24"/>
        </w:rPr>
        <w:t>Therefore, the null hypothesis is failed to be rejected, which means that participation in co-curricular activities does not have a substantial effect on the academic achievement of the students.</w:t>
      </w:r>
    </w:p>
    <w:p w14:paraId="3296DCEE" w14:textId="77777777" w:rsidR="00FE20B2" w:rsidRPr="00FE20B2" w:rsidRDefault="00FE20B2" w:rsidP="00FE20B2">
      <w:pPr>
        <w:pStyle w:val="Text"/>
        <w:rPr>
          <w:sz w:val="24"/>
          <w:szCs w:val="24"/>
        </w:rPr>
      </w:pPr>
    </w:p>
    <w:p w14:paraId="60A673E5" w14:textId="77777777" w:rsidR="00FE20B2" w:rsidRPr="001018B5" w:rsidRDefault="00FE20B2" w:rsidP="00FE20B2">
      <w:pPr>
        <w:pStyle w:val="Text"/>
        <w:rPr>
          <w:b/>
          <w:bCs/>
          <w:sz w:val="24"/>
          <w:szCs w:val="24"/>
        </w:rPr>
      </w:pPr>
      <w:r w:rsidRPr="001018B5">
        <w:rPr>
          <w:b/>
          <w:bCs/>
          <w:sz w:val="24"/>
          <w:szCs w:val="24"/>
        </w:rPr>
        <w:t>6.5 SOP 5. Is there a significant relationship between students’ participation in extracurricular activities and their academic performance?</w:t>
      </w:r>
    </w:p>
    <w:p w14:paraId="6CB9056F" w14:textId="77777777" w:rsidR="00FE20B2" w:rsidRPr="00FE20B2" w:rsidRDefault="00FE20B2" w:rsidP="00FE20B2">
      <w:pPr>
        <w:pStyle w:val="Text"/>
        <w:rPr>
          <w:sz w:val="24"/>
          <w:szCs w:val="24"/>
        </w:rPr>
      </w:pPr>
      <w:r w:rsidRPr="00FE20B2">
        <w:rPr>
          <w:sz w:val="24"/>
          <w:szCs w:val="24"/>
        </w:rPr>
        <w:t>Table 4.5 Relationship Between Extracurricular Activities and Academic Performance</w:t>
      </w:r>
    </w:p>
    <w:tbl>
      <w:tblPr>
        <w:tblW w:w="0" w:type="auto"/>
        <w:tblCellSpacing w:w="15" w:type="dxa"/>
        <w:tblInd w:w="180" w:type="dxa"/>
        <w:tblCellMar>
          <w:top w:w="15" w:type="dxa"/>
          <w:left w:w="15" w:type="dxa"/>
          <w:bottom w:w="15" w:type="dxa"/>
          <w:right w:w="15" w:type="dxa"/>
        </w:tblCellMar>
        <w:tblLook w:val="04A0" w:firstRow="1" w:lastRow="0" w:firstColumn="1" w:lastColumn="0" w:noHBand="0" w:noVBand="1"/>
      </w:tblPr>
      <w:tblGrid>
        <w:gridCol w:w="1164"/>
        <w:gridCol w:w="555"/>
        <w:gridCol w:w="650"/>
        <w:gridCol w:w="555"/>
        <w:gridCol w:w="1159"/>
        <w:gridCol w:w="725"/>
      </w:tblGrid>
      <w:tr w:rsidR="00862756" w:rsidRPr="00A47675" w14:paraId="782F088C" w14:textId="77777777" w:rsidTr="00B9543B">
        <w:trPr>
          <w:tblHeader/>
          <w:tblCellSpacing w:w="15" w:type="dxa"/>
        </w:trPr>
        <w:tc>
          <w:tcPr>
            <w:tcW w:w="2655" w:type="dxa"/>
            <w:tcBorders>
              <w:top w:val="single" w:sz="4" w:space="0" w:color="000000" w:themeColor="text1"/>
              <w:bottom w:val="single" w:sz="4" w:space="0" w:color="000000" w:themeColor="text1"/>
            </w:tcBorders>
            <w:vAlign w:val="center"/>
          </w:tcPr>
          <w:p w14:paraId="427E2980" w14:textId="77777777" w:rsidR="00862756" w:rsidRPr="00A47675" w:rsidRDefault="00862756" w:rsidP="00B9543B">
            <w:pPr>
              <w:rPr>
                <w:b/>
                <w:bCs/>
              </w:rPr>
            </w:pPr>
            <w:r w:rsidRPr="00A47675">
              <w:lastRenderedPageBreak/>
              <w:br w:type="page"/>
            </w:r>
            <w:r w:rsidRPr="00A47675">
              <w:rPr>
                <w:rFonts w:eastAsia="SimSun"/>
                <w:b/>
                <w:bCs/>
                <w:lang w:eastAsia="zh-CN" w:bidi="ar"/>
                <w14:ligatures w14:val="standardContextual"/>
              </w:rPr>
              <w:t>Variables</w:t>
            </w:r>
          </w:p>
        </w:tc>
        <w:tc>
          <w:tcPr>
            <w:tcW w:w="826" w:type="dxa"/>
            <w:tcBorders>
              <w:top w:val="single" w:sz="4" w:space="0" w:color="000000" w:themeColor="text1"/>
              <w:bottom w:val="single" w:sz="4" w:space="0" w:color="000000" w:themeColor="text1"/>
            </w:tcBorders>
            <w:vAlign w:val="center"/>
          </w:tcPr>
          <w:p w14:paraId="7D0AEFF5" w14:textId="77777777" w:rsidR="00862756" w:rsidRPr="00A47675" w:rsidRDefault="00862756" w:rsidP="00B9543B">
            <w:pPr>
              <w:jc w:val="center"/>
              <w:rPr>
                <w:b/>
                <w:bCs/>
              </w:rPr>
            </w:pPr>
            <w:proofErr w:type="spellStart"/>
            <w:r w:rsidRPr="00A47675">
              <w:rPr>
                <w:rFonts w:eastAsia="SimSun"/>
                <w:b/>
                <w:bCs/>
                <w:lang w:eastAsia="zh-CN" w:bidi="ar"/>
                <w14:ligatures w14:val="standardContextual"/>
              </w:rPr>
              <w:t>r-value</w:t>
            </w:r>
            <w:proofErr w:type="spellEnd"/>
          </w:p>
        </w:tc>
        <w:tc>
          <w:tcPr>
            <w:tcW w:w="0" w:type="auto"/>
            <w:tcBorders>
              <w:top w:val="single" w:sz="4" w:space="0" w:color="000000" w:themeColor="text1"/>
              <w:bottom w:val="single" w:sz="4" w:space="0" w:color="000000" w:themeColor="text1"/>
            </w:tcBorders>
            <w:vAlign w:val="center"/>
          </w:tcPr>
          <w:p w14:paraId="27A48FC1" w14:textId="77777777" w:rsidR="00862756" w:rsidRPr="00A47675" w:rsidRDefault="00862756" w:rsidP="00B9543B">
            <w:pPr>
              <w:jc w:val="center"/>
              <w:rPr>
                <w:b/>
                <w:bCs/>
              </w:rPr>
            </w:pPr>
            <w:r w:rsidRPr="00A47675">
              <w:rPr>
                <w:rFonts w:eastAsia="SimSun"/>
                <w:b/>
                <w:bCs/>
                <w:lang w:eastAsia="zh-CN" w:bidi="ar"/>
                <w14:ligatures w14:val="standardContextual"/>
              </w:rPr>
              <w:t>t-statistic</w:t>
            </w:r>
          </w:p>
        </w:tc>
        <w:tc>
          <w:tcPr>
            <w:tcW w:w="0" w:type="auto"/>
            <w:tcBorders>
              <w:top w:val="single" w:sz="4" w:space="0" w:color="000000" w:themeColor="text1"/>
              <w:bottom w:val="single" w:sz="4" w:space="0" w:color="000000" w:themeColor="text1"/>
            </w:tcBorders>
            <w:vAlign w:val="center"/>
          </w:tcPr>
          <w:p w14:paraId="6F2B9B6E" w14:textId="77777777" w:rsidR="00862756" w:rsidRPr="00A47675" w:rsidRDefault="00862756" w:rsidP="00B9543B">
            <w:pPr>
              <w:jc w:val="center"/>
              <w:rPr>
                <w:b/>
                <w:bCs/>
              </w:rPr>
            </w:pPr>
            <w:r w:rsidRPr="00A47675">
              <w:rPr>
                <w:rFonts w:eastAsia="SimSun"/>
                <w:b/>
                <w:bCs/>
                <w:lang w:eastAsia="zh-CN" w:bidi="ar"/>
                <w14:ligatures w14:val="standardContextual"/>
              </w:rPr>
              <w:t>p-value</w:t>
            </w:r>
          </w:p>
        </w:tc>
        <w:tc>
          <w:tcPr>
            <w:tcW w:w="0" w:type="auto"/>
            <w:tcBorders>
              <w:top w:val="single" w:sz="4" w:space="0" w:color="000000" w:themeColor="text1"/>
              <w:bottom w:val="single" w:sz="4" w:space="0" w:color="000000" w:themeColor="text1"/>
            </w:tcBorders>
            <w:vAlign w:val="center"/>
          </w:tcPr>
          <w:p w14:paraId="76F6AD44" w14:textId="77777777" w:rsidR="00862756" w:rsidRPr="00A47675" w:rsidRDefault="00862756" w:rsidP="00B9543B">
            <w:pPr>
              <w:jc w:val="center"/>
              <w:rPr>
                <w:b/>
                <w:bCs/>
              </w:rPr>
            </w:pPr>
            <w:r w:rsidRPr="00A47675">
              <w:rPr>
                <w:rFonts w:eastAsia="SimSun"/>
                <w:b/>
                <w:bCs/>
                <w:lang w:eastAsia="zh-CN" w:bidi="ar"/>
                <w14:ligatures w14:val="standardContextual"/>
              </w:rPr>
              <w:t>Interpretation</w:t>
            </w:r>
          </w:p>
        </w:tc>
        <w:tc>
          <w:tcPr>
            <w:tcW w:w="0" w:type="auto"/>
            <w:tcBorders>
              <w:top w:val="single" w:sz="4" w:space="0" w:color="000000" w:themeColor="text1"/>
              <w:bottom w:val="single" w:sz="4" w:space="0" w:color="000000" w:themeColor="text1"/>
            </w:tcBorders>
            <w:vAlign w:val="center"/>
          </w:tcPr>
          <w:p w14:paraId="7061EF87" w14:textId="77777777" w:rsidR="00862756" w:rsidRPr="00A47675" w:rsidRDefault="00862756" w:rsidP="00B9543B">
            <w:pPr>
              <w:jc w:val="center"/>
              <w:rPr>
                <w:b/>
                <w:bCs/>
              </w:rPr>
            </w:pPr>
            <w:r w:rsidRPr="00A47675">
              <w:rPr>
                <w:rFonts w:eastAsia="SimSun"/>
                <w:b/>
                <w:bCs/>
                <w:lang w:eastAsia="zh-CN" w:bidi="ar"/>
                <w14:ligatures w14:val="standardContextual"/>
              </w:rPr>
              <w:t>Decision</w:t>
            </w:r>
          </w:p>
        </w:tc>
      </w:tr>
      <w:tr w:rsidR="00862756" w:rsidRPr="00A47675" w14:paraId="6C85767A" w14:textId="77777777" w:rsidTr="00B9543B">
        <w:trPr>
          <w:tblCellSpacing w:w="15" w:type="dxa"/>
        </w:trPr>
        <w:tc>
          <w:tcPr>
            <w:tcW w:w="2655" w:type="dxa"/>
            <w:tcBorders>
              <w:bottom w:val="single" w:sz="4" w:space="0" w:color="000000" w:themeColor="text1"/>
            </w:tcBorders>
            <w:vAlign w:val="center"/>
          </w:tcPr>
          <w:p w14:paraId="3F67E276" w14:textId="77777777" w:rsidR="00862756" w:rsidRPr="00A47675" w:rsidRDefault="00862756" w:rsidP="00B9543B">
            <w:r w:rsidRPr="00A47675">
              <w:rPr>
                <w:rFonts w:eastAsia="SimSun"/>
                <w:lang w:eastAsia="zh-CN" w:bidi="ar"/>
                <w14:ligatures w14:val="standardContextual"/>
              </w:rPr>
              <w:t>Extracurricular Activities and Academic Performance</w:t>
            </w:r>
          </w:p>
        </w:tc>
        <w:tc>
          <w:tcPr>
            <w:tcW w:w="826" w:type="dxa"/>
            <w:tcBorders>
              <w:bottom w:val="single" w:sz="4" w:space="0" w:color="000000" w:themeColor="text1"/>
            </w:tcBorders>
            <w:vAlign w:val="center"/>
          </w:tcPr>
          <w:p w14:paraId="0F67AF99" w14:textId="77777777" w:rsidR="00862756" w:rsidRPr="00A47675" w:rsidRDefault="00862756" w:rsidP="00B9543B">
            <w:r w:rsidRPr="00A47675">
              <w:rPr>
                <w:rFonts w:eastAsia="SimSun"/>
                <w:lang w:eastAsia="zh-CN" w:bidi="ar"/>
                <w14:ligatures w14:val="standardContextual"/>
              </w:rPr>
              <w:t>-0.0002</w:t>
            </w:r>
          </w:p>
        </w:tc>
        <w:tc>
          <w:tcPr>
            <w:tcW w:w="0" w:type="auto"/>
            <w:tcBorders>
              <w:bottom w:val="single" w:sz="4" w:space="0" w:color="000000" w:themeColor="text1"/>
            </w:tcBorders>
            <w:vAlign w:val="center"/>
          </w:tcPr>
          <w:p w14:paraId="17C8352F" w14:textId="77777777" w:rsidR="00862756" w:rsidRPr="00A47675" w:rsidRDefault="00862756" w:rsidP="00B9543B">
            <w:r w:rsidRPr="00A47675">
              <w:rPr>
                <w:rFonts w:eastAsia="SimSun"/>
                <w:lang w:eastAsia="zh-CN" w:bidi="ar"/>
                <w14:ligatures w14:val="standardContextual"/>
              </w:rPr>
              <w:t>-0.0022</w:t>
            </w:r>
          </w:p>
        </w:tc>
        <w:tc>
          <w:tcPr>
            <w:tcW w:w="0" w:type="auto"/>
            <w:tcBorders>
              <w:bottom w:val="single" w:sz="4" w:space="0" w:color="000000" w:themeColor="text1"/>
            </w:tcBorders>
            <w:vAlign w:val="center"/>
          </w:tcPr>
          <w:p w14:paraId="76AD132E" w14:textId="77777777" w:rsidR="00862756" w:rsidRPr="00A47675" w:rsidRDefault="00862756" w:rsidP="00B9543B">
            <w:r w:rsidRPr="00A47675">
              <w:rPr>
                <w:rFonts w:eastAsia="SimSun"/>
                <w:lang w:eastAsia="zh-CN" w:bidi="ar"/>
                <w14:ligatures w14:val="standardContextual"/>
              </w:rPr>
              <w:t>0.9999</w:t>
            </w:r>
          </w:p>
        </w:tc>
        <w:tc>
          <w:tcPr>
            <w:tcW w:w="0" w:type="auto"/>
            <w:tcBorders>
              <w:bottom w:val="single" w:sz="4" w:space="0" w:color="000000" w:themeColor="text1"/>
            </w:tcBorders>
            <w:vAlign w:val="center"/>
          </w:tcPr>
          <w:p w14:paraId="68C5B402" w14:textId="77777777" w:rsidR="00862756" w:rsidRPr="00A47675" w:rsidRDefault="00862756" w:rsidP="00B9543B">
            <w:r w:rsidRPr="00A47675">
              <w:rPr>
                <w:rFonts w:eastAsia="SimSun"/>
                <w:lang w:eastAsia="zh-CN" w:bidi="ar"/>
                <w14:ligatures w14:val="standardContextual"/>
              </w:rPr>
              <w:t>No Significant Relationship</w:t>
            </w:r>
          </w:p>
        </w:tc>
        <w:tc>
          <w:tcPr>
            <w:tcW w:w="0" w:type="auto"/>
            <w:tcBorders>
              <w:bottom w:val="single" w:sz="4" w:space="0" w:color="000000" w:themeColor="text1"/>
            </w:tcBorders>
            <w:vAlign w:val="center"/>
          </w:tcPr>
          <w:p w14:paraId="0397AAF0" w14:textId="77777777" w:rsidR="00862756" w:rsidRPr="00A47675" w:rsidRDefault="00862756" w:rsidP="00B9543B">
            <w:r w:rsidRPr="00A47675">
              <w:rPr>
                <w:rFonts w:eastAsia="SimSun"/>
                <w:lang w:eastAsia="zh-CN" w:bidi="ar"/>
                <w14:ligatures w14:val="standardContextual"/>
              </w:rPr>
              <w:t>Fail to Reject H₀</w:t>
            </w:r>
          </w:p>
        </w:tc>
      </w:tr>
    </w:tbl>
    <w:p w14:paraId="74B36DB0" w14:textId="77777777" w:rsidR="00FE20B2" w:rsidRPr="00FE20B2" w:rsidRDefault="00FE20B2" w:rsidP="00FE20B2">
      <w:pPr>
        <w:pStyle w:val="Text"/>
        <w:rPr>
          <w:sz w:val="24"/>
          <w:szCs w:val="24"/>
        </w:rPr>
      </w:pPr>
      <w:r w:rsidRPr="00FE20B2">
        <w:rPr>
          <w:sz w:val="24"/>
          <w:szCs w:val="24"/>
        </w:rPr>
        <w:t xml:space="preserve">Legend: </w:t>
      </w:r>
    </w:p>
    <w:p w14:paraId="2283E762" w14:textId="77777777" w:rsidR="00FE20B2" w:rsidRPr="00FE20B2" w:rsidRDefault="00FE20B2" w:rsidP="00FE20B2">
      <w:pPr>
        <w:pStyle w:val="Text"/>
        <w:rPr>
          <w:sz w:val="24"/>
          <w:szCs w:val="24"/>
        </w:rPr>
      </w:pPr>
      <w:r w:rsidRPr="00FE20B2">
        <w:rPr>
          <w:sz w:val="24"/>
          <w:szCs w:val="24"/>
        </w:rPr>
        <w:t>0.00 – 0.19 - Very weak correlation</w:t>
      </w:r>
    </w:p>
    <w:p w14:paraId="39506A8D" w14:textId="77777777" w:rsidR="00FE20B2" w:rsidRPr="00FE20B2" w:rsidRDefault="00FE20B2" w:rsidP="00FE20B2">
      <w:pPr>
        <w:pStyle w:val="Text"/>
        <w:rPr>
          <w:sz w:val="24"/>
          <w:szCs w:val="24"/>
        </w:rPr>
      </w:pPr>
      <w:r w:rsidRPr="00FE20B2">
        <w:rPr>
          <w:sz w:val="24"/>
          <w:szCs w:val="24"/>
        </w:rPr>
        <w:t>0.20 – 0.39 - Weak correlation</w:t>
      </w:r>
    </w:p>
    <w:p w14:paraId="5D1475CB" w14:textId="77777777" w:rsidR="00FE20B2" w:rsidRPr="00FE20B2" w:rsidRDefault="00FE20B2" w:rsidP="00FE20B2">
      <w:pPr>
        <w:pStyle w:val="Text"/>
        <w:rPr>
          <w:sz w:val="24"/>
          <w:szCs w:val="24"/>
        </w:rPr>
      </w:pPr>
      <w:r w:rsidRPr="00FE20B2">
        <w:rPr>
          <w:sz w:val="24"/>
          <w:szCs w:val="24"/>
        </w:rPr>
        <w:t>0.40 – 0.59 - Moderate correlation</w:t>
      </w:r>
    </w:p>
    <w:p w14:paraId="74F7CD07" w14:textId="77777777" w:rsidR="00FE20B2" w:rsidRPr="00FE20B2" w:rsidRDefault="00FE20B2" w:rsidP="00FE20B2">
      <w:pPr>
        <w:pStyle w:val="Text"/>
        <w:rPr>
          <w:sz w:val="24"/>
          <w:szCs w:val="24"/>
        </w:rPr>
      </w:pPr>
      <w:r w:rsidRPr="00FE20B2">
        <w:rPr>
          <w:sz w:val="24"/>
          <w:szCs w:val="24"/>
        </w:rPr>
        <w:t>0.60 – 0.79 - Strong correlation</w:t>
      </w:r>
    </w:p>
    <w:p w14:paraId="61816F0A" w14:textId="77777777" w:rsidR="00FE20B2" w:rsidRPr="00FE20B2" w:rsidRDefault="00FE20B2" w:rsidP="00FE20B2">
      <w:pPr>
        <w:pStyle w:val="Text"/>
        <w:rPr>
          <w:sz w:val="24"/>
          <w:szCs w:val="24"/>
        </w:rPr>
      </w:pPr>
      <w:r w:rsidRPr="00FE20B2">
        <w:rPr>
          <w:sz w:val="24"/>
          <w:szCs w:val="24"/>
        </w:rPr>
        <w:t>0.80 – 1.00 - Very strong correlation</w:t>
      </w:r>
    </w:p>
    <w:p w14:paraId="3D8DC93F" w14:textId="77777777" w:rsidR="00FE20B2" w:rsidRPr="00FE20B2" w:rsidRDefault="00FE20B2" w:rsidP="00FE20B2">
      <w:pPr>
        <w:pStyle w:val="Text"/>
        <w:rPr>
          <w:sz w:val="24"/>
          <w:szCs w:val="24"/>
        </w:rPr>
      </w:pPr>
    </w:p>
    <w:p w14:paraId="036E3DF9" w14:textId="77777777" w:rsidR="00FE20B2" w:rsidRPr="00FE20B2" w:rsidRDefault="00FE20B2" w:rsidP="00FE20B2">
      <w:pPr>
        <w:pStyle w:val="Text"/>
        <w:rPr>
          <w:sz w:val="24"/>
          <w:szCs w:val="24"/>
        </w:rPr>
      </w:pPr>
      <w:r w:rsidRPr="00FE20B2">
        <w:rPr>
          <w:sz w:val="24"/>
          <w:szCs w:val="24"/>
        </w:rPr>
        <w:t>Table 4.5 presents the Pearson Product-Moment Correlation between extracurricular activities and academic performance. The computed correlation coefficient (r = -0.0002) indicates a negligible negative relationship between the variables.</w:t>
      </w:r>
    </w:p>
    <w:p w14:paraId="374C22E5" w14:textId="77777777" w:rsidR="00FE20B2" w:rsidRPr="00FE20B2" w:rsidRDefault="00FE20B2" w:rsidP="00FE20B2">
      <w:pPr>
        <w:pStyle w:val="Text"/>
        <w:rPr>
          <w:sz w:val="24"/>
          <w:szCs w:val="24"/>
        </w:rPr>
      </w:pPr>
      <w:r w:rsidRPr="00FE20B2">
        <w:rPr>
          <w:sz w:val="24"/>
          <w:szCs w:val="24"/>
        </w:rPr>
        <w:t>Also, the obtained p-value (0.9999) is significantly greater than the 0.05 level of significance, which means that the association is not statistically significant. Therefore, we cannot reject the null hypothesis.</w:t>
      </w:r>
    </w:p>
    <w:p w14:paraId="7EE36FD2" w14:textId="77777777" w:rsidR="00FE20B2" w:rsidRPr="00FE20B2" w:rsidRDefault="00FE20B2" w:rsidP="00FE20B2">
      <w:pPr>
        <w:pStyle w:val="Text"/>
        <w:rPr>
          <w:sz w:val="24"/>
          <w:szCs w:val="24"/>
        </w:rPr>
      </w:pPr>
    </w:p>
    <w:p w14:paraId="7645DA2D" w14:textId="77777777" w:rsidR="00FE20B2" w:rsidRPr="00862756" w:rsidRDefault="00FE20B2" w:rsidP="00862756">
      <w:pPr>
        <w:pStyle w:val="Text"/>
        <w:ind w:firstLine="0"/>
        <w:rPr>
          <w:b/>
          <w:bCs/>
          <w:sz w:val="24"/>
          <w:szCs w:val="24"/>
        </w:rPr>
      </w:pPr>
      <w:r w:rsidRPr="00862756">
        <w:rPr>
          <w:b/>
          <w:bCs/>
          <w:sz w:val="24"/>
          <w:szCs w:val="24"/>
        </w:rPr>
        <w:t>6.6 Discussions</w:t>
      </w:r>
    </w:p>
    <w:p w14:paraId="70CFD92B" w14:textId="77777777" w:rsidR="00FE20B2" w:rsidRPr="00FE20B2" w:rsidRDefault="00FE20B2" w:rsidP="00FE20B2">
      <w:pPr>
        <w:pStyle w:val="Text"/>
        <w:rPr>
          <w:sz w:val="24"/>
          <w:szCs w:val="24"/>
        </w:rPr>
      </w:pPr>
      <w:r w:rsidRPr="00FE20B2">
        <w:rPr>
          <w:sz w:val="24"/>
          <w:szCs w:val="24"/>
        </w:rPr>
        <w:t>The results indicate that students are moderately involved in both co-curricular and extracurricular activities. In a similar manner, a study conducted by Ghani et al. (2020) in a rural area in Malaysia found that students also have a moderate participation in co-curricular activities. Higher club membership means that students prefer more regimented and more school-based organizations that are more accessible. This is consistent with the "progressive era" defined by Parvin (2021), when students know that academic laurels are no longer sufficient to succeed professionally. According to Parvin (2021) and Jenkins (2011), students are inclined to join such organizations for their personal improvement in critical soft skills, including communication, teamwork, and management.</w:t>
      </w:r>
    </w:p>
    <w:p w14:paraId="70CB4B51" w14:textId="77777777" w:rsidR="00FE20B2" w:rsidRPr="00FE20B2" w:rsidRDefault="00FE20B2" w:rsidP="00FE20B2">
      <w:pPr>
        <w:pStyle w:val="Text"/>
        <w:rPr>
          <w:sz w:val="24"/>
          <w:szCs w:val="24"/>
        </w:rPr>
      </w:pPr>
    </w:p>
    <w:p w14:paraId="421556A4" w14:textId="77777777" w:rsidR="00FE20B2" w:rsidRPr="00FE20B2" w:rsidRDefault="00FE20B2" w:rsidP="00FE20B2">
      <w:pPr>
        <w:pStyle w:val="Text"/>
        <w:rPr>
          <w:sz w:val="24"/>
          <w:szCs w:val="24"/>
        </w:rPr>
      </w:pPr>
      <w:r w:rsidRPr="00FE20B2">
        <w:rPr>
          <w:sz w:val="24"/>
          <w:szCs w:val="24"/>
        </w:rPr>
        <w:t xml:space="preserve">On the other hand, if students are not very involved in clubs or leadership programs, it can be because they have fewer opportunities, more duties, or just less interest. This finding is interesting in contrast to Kim (2023), who found that students who took on leadership roles had stronger decision-making and communication skills. </w:t>
      </w:r>
    </w:p>
    <w:p w14:paraId="47A9A0ED" w14:textId="77777777" w:rsidR="00FE20B2" w:rsidRPr="00FE20B2" w:rsidRDefault="00FE20B2" w:rsidP="00FE20B2">
      <w:pPr>
        <w:pStyle w:val="Text"/>
        <w:rPr>
          <w:sz w:val="24"/>
          <w:szCs w:val="24"/>
        </w:rPr>
      </w:pPr>
      <w:r w:rsidRPr="00FE20B2">
        <w:rPr>
          <w:sz w:val="24"/>
          <w:szCs w:val="24"/>
        </w:rPr>
        <w:t xml:space="preserve">Students are actively participating in dance and </w:t>
      </w:r>
      <w:r w:rsidRPr="00FE20B2">
        <w:rPr>
          <w:sz w:val="24"/>
          <w:szCs w:val="24"/>
        </w:rPr>
        <w:t xml:space="preserve">music in extracurricular activities, which shows their enthusiasm for the performing arts. The Nature Scientific Reports Team (2023) explains that the arts are associated with fewer externalizing behaviors. Likewise, Habib (2024) observed that participation in music and sports increased emotional stability and interpersonal interactions. This indicates that although these activities may not be enhancing grades, they are probably helping to lower stress and enhance support systems among Filipino students (Balal, </w:t>
      </w:r>
      <w:proofErr w:type="spellStart"/>
      <w:r w:rsidRPr="00FE20B2">
        <w:rPr>
          <w:sz w:val="24"/>
          <w:szCs w:val="24"/>
        </w:rPr>
        <w:t>Tacbas</w:t>
      </w:r>
      <w:proofErr w:type="spellEnd"/>
      <w:r w:rsidRPr="00FE20B2">
        <w:rPr>
          <w:sz w:val="24"/>
          <w:szCs w:val="24"/>
        </w:rPr>
        <w:t>, and Mendoza, 2022).</w:t>
      </w:r>
    </w:p>
    <w:p w14:paraId="518F8BA6" w14:textId="77777777" w:rsidR="00FE20B2" w:rsidRPr="00FE20B2" w:rsidRDefault="00FE20B2" w:rsidP="00FE20B2">
      <w:pPr>
        <w:pStyle w:val="Text"/>
        <w:rPr>
          <w:sz w:val="24"/>
          <w:szCs w:val="24"/>
        </w:rPr>
      </w:pPr>
      <w:r w:rsidRPr="00FE20B2">
        <w:rPr>
          <w:sz w:val="24"/>
          <w:szCs w:val="24"/>
        </w:rPr>
        <w:t xml:space="preserve">The low level of participation in journalism, however, indicates a need to promote and support campus newspapers more in order to increase student involvement. This approach coincides with the research of Maher and Khan (2022) and Saki and Hanane (2023). The non-participation in campus publications is a missed chance to build critical thinking and civic </w:t>
      </w:r>
    </w:p>
    <w:p w14:paraId="0AED3A32" w14:textId="77777777" w:rsidR="00FE20B2" w:rsidRPr="00FE20B2" w:rsidRDefault="00FE20B2" w:rsidP="00FE20B2">
      <w:pPr>
        <w:pStyle w:val="Text"/>
        <w:rPr>
          <w:sz w:val="24"/>
          <w:szCs w:val="24"/>
        </w:rPr>
      </w:pPr>
      <w:r w:rsidRPr="00FE20B2">
        <w:rPr>
          <w:sz w:val="24"/>
          <w:szCs w:val="24"/>
        </w:rPr>
        <w:t>duty.</w:t>
      </w:r>
    </w:p>
    <w:p w14:paraId="49DE504D" w14:textId="77777777" w:rsidR="00FE20B2" w:rsidRPr="00FE20B2" w:rsidRDefault="00FE20B2" w:rsidP="00FE20B2">
      <w:pPr>
        <w:pStyle w:val="Text"/>
        <w:rPr>
          <w:sz w:val="24"/>
          <w:szCs w:val="24"/>
        </w:rPr>
      </w:pPr>
    </w:p>
    <w:p w14:paraId="70BB8664" w14:textId="77777777" w:rsidR="00FE20B2" w:rsidRPr="00FE20B2" w:rsidRDefault="00FE20B2" w:rsidP="00FE20B2">
      <w:pPr>
        <w:pStyle w:val="Text"/>
        <w:rPr>
          <w:sz w:val="24"/>
          <w:szCs w:val="24"/>
        </w:rPr>
      </w:pPr>
      <w:r w:rsidRPr="00FE20B2">
        <w:rPr>
          <w:sz w:val="24"/>
          <w:szCs w:val="24"/>
        </w:rPr>
        <w:t xml:space="preserve">The academic performance scores show that most kids are at an average level. This indicates that the majority of students can fulfill the academic requirements, but there is still an opportunity to improve on reaching greater levels of academic success. The overall average academic performance indicates that performance is more likely to be affected by personal motivation, teaching tactics, and study habits. This is similar to the warning from Marsh and </w:t>
      </w:r>
      <w:proofErr w:type="spellStart"/>
      <w:r w:rsidRPr="00FE20B2">
        <w:rPr>
          <w:sz w:val="24"/>
          <w:szCs w:val="24"/>
        </w:rPr>
        <w:t>Kleitman</w:t>
      </w:r>
      <w:proofErr w:type="spellEnd"/>
      <w:r w:rsidRPr="00FE20B2">
        <w:rPr>
          <w:sz w:val="24"/>
          <w:szCs w:val="24"/>
        </w:rPr>
        <w:t xml:space="preserve"> (2002) that too much emphasis on extracurriculars might sometimes take away from academic obligations. This also confirms the finding by Rotich et al. (2025) that the academic benefits of these programs are typically limited by a lack of resources or skilled individuals to effectively bridge the gap between activities and the classroom.</w:t>
      </w:r>
    </w:p>
    <w:p w14:paraId="651FA429" w14:textId="77777777" w:rsidR="00FE20B2" w:rsidRPr="00FE20B2" w:rsidRDefault="00FE20B2" w:rsidP="00FE20B2">
      <w:pPr>
        <w:pStyle w:val="Text"/>
        <w:rPr>
          <w:sz w:val="24"/>
          <w:szCs w:val="24"/>
        </w:rPr>
      </w:pPr>
    </w:p>
    <w:p w14:paraId="5640985A" w14:textId="09E9A039" w:rsidR="00FF16B2" w:rsidRDefault="00FE20B2" w:rsidP="00FE20B2">
      <w:pPr>
        <w:pStyle w:val="Text"/>
        <w:spacing w:line="240" w:lineRule="auto"/>
        <w:ind w:firstLine="0"/>
        <w:rPr>
          <w:sz w:val="24"/>
          <w:szCs w:val="24"/>
        </w:rPr>
      </w:pPr>
      <w:r w:rsidRPr="00FE20B2">
        <w:rPr>
          <w:sz w:val="24"/>
          <w:szCs w:val="24"/>
        </w:rPr>
        <w:t xml:space="preserve">In addition, the lack of a significant association between participation in co-curricular and extracurricular activities and academic achievement suggests that engagement in school activities does not directly influence students' academic results. Similarly, a study conducted by </w:t>
      </w:r>
      <w:proofErr w:type="spellStart"/>
      <w:r w:rsidRPr="00FE20B2">
        <w:rPr>
          <w:sz w:val="24"/>
          <w:szCs w:val="24"/>
        </w:rPr>
        <w:t>Vispo</w:t>
      </w:r>
      <w:proofErr w:type="spellEnd"/>
      <w:r w:rsidRPr="00FE20B2">
        <w:rPr>
          <w:sz w:val="24"/>
          <w:szCs w:val="24"/>
        </w:rPr>
        <w:t xml:space="preserve"> and Macalinao (2024) in Zambales revealed that there is no significant difference in terms of involvement by academic achievement and concluded that activities promote growth, but do not directly impact a student's grades. This shows that academic success might be more affected by characteristics such as study habits, teaching tactics, and personal motivation rather than by involvement in school activities alone. Students are </w:t>
      </w:r>
      <w:r w:rsidRPr="00FE20B2">
        <w:rPr>
          <w:sz w:val="24"/>
          <w:szCs w:val="24"/>
        </w:rPr>
        <w:lastRenderedPageBreak/>
        <w:t>on the path of holistic development, as encouraged by the Philippine Department of Education (2013), as supported by the study, although involvement is not an automatic pathway to high grades. The significance of these activities at MSU-</w:t>
      </w:r>
      <w:proofErr w:type="spellStart"/>
      <w:r w:rsidRPr="00FE20B2">
        <w:rPr>
          <w:sz w:val="24"/>
          <w:szCs w:val="24"/>
        </w:rPr>
        <w:t>Buug</w:t>
      </w:r>
      <w:proofErr w:type="spellEnd"/>
      <w:r w:rsidRPr="00FE20B2">
        <w:rPr>
          <w:sz w:val="24"/>
          <w:szCs w:val="24"/>
        </w:rPr>
        <w:t>, however, could be in the application of theoretical concepts and social-emotional growth identified by Chansa et al. (2024) that equip students for real-world issues, even if it does not instantly reflect on their GPAs.</w:t>
      </w:r>
    </w:p>
    <w:p w14:paraId="4C2B47E7" w14:textId="77777777" w:rsidR="001C4F8F" w:rsidRPr="00FE20B2" w:rsidRDefault="001C4F8F" w:rsidP="00FE20B2">
      <w:pPr>
        <w:pStyle w:val="Text"/>
        <w:spacing w:line="240" w:lineRule="auto"/>
        <w:ind w:firstLine="0"/>
        <w:rPr>
          <w:sz w:val="24"/>
          <w:szCs w:val="24"/>
        </w:rPr>
      </w:pPr>
    </w:p>
    <w:p w14:paraId="5640985B" w14:textId="77777777" w:rsidR="00FF16B2" w:rsidRDefault="0093381F">
      <w:pPr>
        <w:pStyle w:val="Text"/>
        <w:spacing w:line="240" w:lineRule="auto"/>
        <w:ind w:firstLine="0"/>
        <w:rPr>
          <w:b/>
          <w:bCs/>
          <w:sz w:val="24"/>
          <w:szCs w:val="24"/>
        </w:rPr>
      </w:pPr>
      <w:r>
        <w:rPr>
          <w:b/>
          <w:bCs/>
          <w:sz w:val="24"/>
          <w:szCs w:val="24"/>
        </w:rPr>
        <w:t xml:space="preserve">6.4 Implications of the Study </w:t>
      </w:r>
    </w:p>
    <w:p w14:paraId="5640985C" w14:textId="77777777" w:rsidR="00FF16B2" w:rsidRDefault="00FF16B2">
      <w:pPr>
        <w:pStyle w:val="Text"/>
        <w:spacing w:line="240" w:lineRule="auto"/>
        <w:ind w:firstLine="0"/>
        <w:rPr>
          <w:sz w:val="24"/>
          <w:szCs w:val="24"/>
        </w:rPr>
      </w:pPr>
    </w:p>
    <w:p w14:paraId="70A03345" w14:textId="77777777" w:rsidR="00590C06" w:rsidRDefault="00590C06" w:rsidP="00590C06">
      <w:pPr>
        <w:pStyle w:val="Text"/>
        <w:rPr>
          <w:sz w:val="24"/>
          <w:szCs w:val="24"/>
        </w:rPr>
      </w:pPr>
      <w:r w:rsidRPr="00590C06">
        <w:rPr>
          <w:sz w:val="24"/>
          <w:szCs w:val="24"/>
        </w:rPr>
        <w:t>The results of this study provide relevant insights regarding the theoretical framework based on Bronfenbrenner's Ecological Systems Theory, Student Engagement Theory, and Vygotsky's Social Development Theory. Although these theories stress the significance of social interaction and student engagement in the learning process, the lack of a notable relationship between participation in co-curricular and extracurricular activities and academic performance indicates that such involvement may not be directly reflected in measurable academic outcomes. According to Bronfenbrenner's Ecological Systems Theory, participation in school activities is just one component of the microsystem, and so, academic performance is influenced by a number of interacting systems, including the home environment, teaching practices, and individual learner characteristics.</w:t>
      </w:r>
    </w:p>
    <w:p w14:paraId="1EC00075" w14:textId="77777777" w:rsidR="00590C06" w:rsidRPr="00590C06" w:rsidRDefault="00590C06" w:rsidP="00590C06">
      <w:pPr>
        <w:pStyle w:val="Text"/>
        <w:rPr>
          <w:sz w:val="24"/>
          <w:szCs w:val="24"/>
        </w:rPr>
      </w:pPr>
    </w:p>
    <w:p w14:paraId="4CDBC997" w14:textId="77777777" w:rsidR="00590C06" w:rsidRDefault="00590C06" w:rsidP="00590C06">
      <w:pPr>
        <w:pStyle w:val="Text"/>
        <w:rPr>
          <w:sz w:val="24"/>
          <w:szCs w:val="24"/>
        </w:rPr>
      </w:pPr>
      <w:r w:rsidRPr="00590C06">
        <w:rPr>
          <w:sz w:val="24"/>
          <w:szCs w:val="24"/>
        </w:rPr>
        <w:t>Similarly, whereas Student Engagement Theory suggests that engagement through activities leads to student success, the data imply that engagement through activities may be more contributing to social and personal growth than to immediate academic achievement. Consistent with Vygotsky's Social Development Theory, engagement in school activities may facilitate learning through social contact and teamwork, although these benefits may not be readily reflected in students' academic scores. Overall, the data support the notion that these theories should be considered in support of holistic student development, where academic achievement is influenced by a mix of academic, social, and environmental elements rather than just involvement in activities.</w:t>
      </w:r>
    </w:p>
    <w:p w14:paraId="59701E2B" w14:textId="77777777" w:rsidR="00590C06" w:rsidRPr="00590C06" w:rsidRDefault="00590C06" w:rsidP="00590C06">
      <w:pPr>
        <w:pStyle w:val="Text"/>
        <w:rPr>
          <w:sz w:val="24"/>
          <w:szCs w:val="24"/>
        </w:rPr>
      </w:pPr>
    </w:p>
    <w:p w14:paraId="56409862" w14:textId="26D17282" w:rsidR="00FF16B2" w:rsidRDefault="00590C06" w:rsidP="00590C06">
      <w:pPr>
        <w:pStyle w:val="Text"/>
        <w:spacing w:line="240" w:lineRule="auto"/>
        <w:ind w:firstLine="0"/>
        <w:rPr>
          <w:sz w:val="24"/>
          <w:szCs w:val="24"/>
        </w:rPr>
      </w:pPr>
      <w:r w:rsidRPr="00590C06">
        <w:rPr>
          <w:sz w:val="24"/>
          <w:szCs w:val="24"/>
        </w:rPr>
        <w:t xml:space="preserve">And from a practical standpoint, the results provide valuable guidance for school administrators, teachers, parents, and students. Since participation in school activities does not negatively affect academic performance, schools may continue to encourage </w:t>
      </w:r>
      <w:r w:rsidRPr="00590C06">
        <w:rPr>
          <w:sz w:val="24"/>
          <w:szCs w:val="24"/>
        </w:rPr>
        <w:t>student involvement without fear of academic decline. But since involvement alone does not boost academic accomplishment substantially, schools should focus on specific academic interventions to increase student achievement, especially among average students. This gap might be potentially bridged by academic mentoring, study skills seminars, and time management training programs. Moreover, the low level of engagement in journalism and leadership activities emphasizes the need for schools to bolster and promote such programs to develop soft skills such as communication, critical thinking, and leadership that are critical for students' long-term academic and professional success.</w:t>
      </w:r>
    </w:p>
    <w:p w14:paraId="334A412E" w14:textId="77777777" w:rsidR="00590C06" w:rsidRDefault="00590C06" w:rsidP="00590C06">
      <w:pPr>
        <w:pStyle w:val="Text"/>
        <w:spacing w:line="240" w:lineRule="auto"/>
        <w:ind w:firstLine="0"/>
        <w:rPr>
          <w:sz w:val="24"/>
          <w:szCs w:val="24"/>
        </w:rPr>
      </w:pPr>
    </w:p>
    <w:p w14:paraId="56409863" w14:textId="77777777" w:rsidR="00FF16B2" w:rsidRDefault="0093381F">
      <w:pPr>
        <w:pStyle w:val="Heading1"/>
        <w:numPr>
          <w:ilvl w:val="0"/>
          <w:numId w:val="3"/>
        </w:numPr>
        <w:tabs>
          <w:tab w:val="clear" w:pos="425"/>
        </w:tabs>
        <w:spacing w:before="0" w:after="0"/>
        <w:rPr>
          <w:b/>
          <w:bCs/>
          <w:sz w:val="28"/>
          <w:szCs w:val="28"/>
        </w:rPr>
      </w:pPr>
      <w:r>
        <w:rPr>
          <w:b/>
          <w:sz w:val="28"/>
          <w:szCs w:val="28"/>
        </w:rPr>
        <w:t xml:space="preserve">CONCLUSION </w:t>
      </w:r>
    </w:p>
    <w:p w14:paraId="56409865" w14:textId="3FA3CBDA" w:rsidR="00FF16B2" w:rsidRDefault="001C73B9">
      <w:pPr>
        <w:jc w:val="both"/>
        <w:rPr>
          <w:sz w:val="24"/>
          <w:szCs w:val="24"/>
        </w:rPr>
      </w:pPr>
      <w:r w:rsidRPr="001C73B9">
        <w:rPr>
          <w:sz w:val="24"/>
          <w:szCs w:val="24"/>
        </w:rPr>
        <w:t>The study found that pupils are participating in school activities, with their total participation being mostly moderate. Most kids are academically average, meaning that they are meeting academic requirements, but still have more room for improvement in moving towards higher levels of achievement. The data also indicate that participation in co-curricular activities does not significantly affect students' academic performance. Similarly, activities outside the classroom are found to be not significantly related to the academic achievement of kids. These findings indicate that involvement in school events by students may not be the most important factor influencing academic success, but rather characteristics such as study habits, motivation, learning environment, and time management. This is supported by the study of Crede and Kucel (2008), which found that study habits and skills improve the prediction of academic performance more than any other noncognitive individual difference variable examined to date, and should therefore be regarded as a third pillar of academic success.</w:t>
      </w:r>
    </w:p>
    <w:p w14:paraId="70FF98CD" w14:textId="77777777" w:rsidR="001C73B9" w:rsidRDefault="001C73B9">
      <w:pPr>
        <w:jc w:val="both"/>
        <w:rPr>
          <w:sz w:val="24"/>
          <w:szCs w:val="24"/>
        </w:rPr>
      </w:pPr>
    </w:p>
    <w:p w14:paraId="56409866" w14:textId="77777777" w:rsidR="00FF16B2" w:rsidRDefault="0093381F">
      <w:pPr>
        <w:pStyle w:val="Heading1"/>
        <w:numPr>
          <w:ilvl w:val="0"/>
          <w:numId w:val="3"/>
        </w:numPr>
        <w:tabs>
          <w:tab w:val="clear" w:pos="425"/>
        </w:tabs>
        <w:spacing w:before="0" w:after="0"/>
        <w:rPr>
          <w:b/>
          <w:bCs/>
          <w:sz w:val="28"/>
          <w:szCs w:val="28"/>
        </w:rPr>
      </w:pPr>
      <w:r>
        <w:rPr>
          <w:b/>
          <w:sz w:val="28"/>
          <w:szCs w:val="28"/>
        </w:rPr>
        <w:t xml:space="preserve">RECOMMENDATIONS </w:t>
      </w:r>
    </w:p>
    <w:p w14:paraId="3DE7BAD5" w14:textId="77777777" w:rsidR="00E20866" w:rsidRPr="00E20866" w:rsidRDefault="00E20866" w:rsidP="00E20866">
      <w:pPr>
        <w:pStyle w:val="TableCaption"/>
        <w:spacing w:before="240"/>
        <w:jc w:val="both"/>
        <w:rPr>
          <w:sz w:val="24"/>
          <w:szCs w:val="24"/>
        </w:rPr>
      </w:pPr>
      <w:r w:rsidRPr="00E20866">
        <w:rPr>
          <w:sz w:val="24"/>
          <w:szCs w:val="24"/>
        </w:rPr>
        <w:t>The researcher formulated the following recommendations with reference to the constructed conclusion:</w:t>
      </w:r>
    </w:p>
    <w:p w14:paraId="7DF75B09" w14:textId="77777777" w:rsidR="00E20866" w:rsidRPr="00E20866" w:rsidRDefault="00E20866" w:rsidP="00E20866">
      <w:pPr>
        <w:pStyle w:val="TableCaption"/>
        <w:spacing w:before="240"/>
        <w:jc w:val="both"/>
        <w:rPr>
          <w:sz w:val="24"/>
          <w:szCs w:val="24"/>
        </w:rPr>
      </w:pPr>
      <w:r w:rsidRPr="00E20866">
        <w:rPr>
          <w:sz w:val="24"/>
          <w:szCs w:val="24"/>
        </w:rPr>
        <w:t xml:space="preserve">For the School Administrator. Mindanao State University - </w:t>
      </w:r>
      <w:proofErr w:type="spellStart"/>
      <w:r w:rsidRPr="00E20866">
        <w:rPr>
          <w:sz w:val="24"/>
          <w:szCs w:val="24"/>
        </w:rPr>
        <w:t>Buug</w:t>
      </w:r>
      <w:proofErr w:type="spellEnd"/>
      <w:r w:rsidRPr="00E20866">
        <w:rPr>
          <w:sz w:val="24"/>
          <w:szCs w:val="24"/>
        </w:rPr>
        <w:t xml:space="preserve"> should continue to give full support to co-curricular and extracurricular programs to promote holistic student development while also strengthening the academic support system.</w:t>
      </w:r>
    </w:p>
    <w:p w14:paraId="156C6A6C" w14:textId="77777777" w:rsidR="00E20866" w:rsidRPr="00E20866" w:rsidRDefault="00E20866" w:rsidP="00E20866">
      <w:pPr>
        <w:pStyle w:val="TableCaption"/>
        <w:spacing w:before="240"/>
        <w:jc w:val="both"/>
        <w:rPr>
          <w:sz w:val="24"/>
          <w:szCs w:val="24"/>
        </w:rPr>
      </w:pPr>
      <w:r w:rsidRPr="00E20866">
        <w:rPr>
          <w:sz w:val="24"/>
          <w:szCs w:val="24"/>
        </w:rPr>
        <w:lastRenderedPageBreak/>
        <w:t>For Teachers. Teachers may encourage students to maintain a balance between academic responsibilities and participation in school activities to foster both intellectual and social growth.</w:t>
      </w:r>
    </w:p>
    <w:p w14:paraId="7B3B7857" w14:textId="77777777" w:rsidR="00E20866" w:rsidRPr="00E20866" w:rsidRDefault="00E20866" w:rsidP="00E20866">
      <w:pPr>
        <w:pStyle w:val="TableCaption"/>
        <w:spacing w:before="240"/>
        <w:jc w:val="both"/>
        <w:rPr>
          <w:sz w:val="24"/>
          <w:szCs w:val="24"/>
        </w:rPr>
      </w:pPr>
      <w:r w:rsidRPr="00E20866">
        <w:rPr>
          <w:sz w:val="24"/>
          <w:szCs w:val="24"/>
        </w:rPr>
        <w:t>For Students. Students are encouraged to develop effective time management skills to help them succeed academically while remaining engaged in school activities.</w:t>
      </w:r>
    </w:p>
    <w:p w14:paraId="338489E8" w14:textId="77777777" w:rsidR="00E20866" w:rsidRPr="00E20866" w:rsidRDefault="00E20866" w:rsidP="00E20866">
      <w:pPr>
        <w:pStyle w:val="TableCaption"/>
        <w:spacing w:before="240"/>
        <w:jc w:val="both"/>
        <w:rPr>
          <w:sz w:val="24"/>
          <w:szCs w:val="24"/>
        </w:rPr>
      </w:pPr>
      <w:r w:rsidRPr="00E20866">
        <w:rPr>
          <w:sz w:val="24"/>
          <w:szCs w:val="24"/>
        </w:rPr>
        <w:t>For Parents. Parents may provide guidance and support to help students prioritize their academic responsibilities while participating in enriching activities.</w:t>
      </w:r>
    </w:p>
    <w:p w14:paraId="7EAB5D1F" w14:textId="77777777" w:rsidR="00E20866" w:rsidRPr="00E20866" w:rsidRDefault="00E20866" w:rsidP="00E20866">
      <w:pPr>
        <w:pStyle w:val="TableCaption"/>
        <w:spacing w:before="240"/>
        <w:jc w:val="both"/>
        <w:rPr>
          <w:sz w:val="24"/>
          <w:szCs w:val="24"/>
        </w:rPr>
      </w:pPr>
      <w:r w:rsidRPr="00E20866">
        <w:rPr>
          <w:sz w:val="24"/>
          <w:szCs w:val="24"/>
        </w:rPr>
        <w:t>For Future Researchers. Future studies may explore other variables that could influence academic performance, such as students’ study habits, socioeconomic background, learning styles, and motivational factors. Researchers may also use larger samples or different research designs to further validate the findings.</w:t>
      </w:r>
    </w:p>
    <w:p w14:paraId="5640986D" w14:textId="77777777" w:rsidR="00FF16B2" w:rsidRDefault="0093381F">
      <w:pPr>
        <w:pStyle w:val="TableCaption"/>
        <w:spacing w:before="240"/>
        <w:rPr>
          <w:sz w:val="24"/>
          <w:szCs w:val="24"/>
        </w:rPr>
      </w:pPr>
      <w:r>
        <w:rPr>
          <w:sz w:val="24"/>
          <w:szCs w:val="24"/>
        </w:rPr>
        <w:t>REFERENCES</w:t>
      </w:r>
    </w:p>
    <w:p w14:paraId="62BD10C7"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bookmarkStart w:id="1" w:name="_Hlk175617719"/>
      <w:r w:rsidRPr="00AC1A80">
        <w:rPr>
          <w:lang w:val="en-PH"/>
        </w:rPr>
        <w:t xml:space="preserve">Ahmad, M. (2016). Co-curricular activities and student development. </w:t>
      </w:r>
      <w:r w:rsidRPr="00AC1A80">
        <w:rPr>
          <w:i/>
          <w:iCs/>
          <w:lang w:val="en-PH"/>
        </w:rPr>
        <w:t>Journal of Education and Practice</w:t>
      </w:r>
      <w:r w:rsidRPr="00AC1A80">
        <w:rPr>
          <w:lang w:val="en-PH"/>
        </w:rPr>
        <w:t>, 7(2), 45–52.</w:t>
      </w:r>
    </w:p>
    <w:p w14:paraId="0A399490"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Alhassan, Z., Musah, B., Issah, A., &amp; Mohammed, B. (2025). Locus of control and academic performance: A correlational study among deaf secondary school students in Ghana and Nigeria. </w:t>
      </w:r>
      <w:r w:rsidRPr="00AC1A80">
        <w:rPr>
          <w:i/>
          <w:iCs/>
          <w:lang w:val="en-PH"/>
        </w:rPr>
        <w:t>European Journal of Special Education Research</w:t>
      </w:r>
      <w:r w:rsidRPr="00AC1A80">
        <w:rPr>
          <w:lang w:val="en-PH"/>
        </w:rPr>
        <w:t xml:space="preserve"> https://oapub.org/edu/index.php/ejse/article/view/5978/8603 </w:t>
      </w:r>
    </w:p>
    <w:p w14:paraId="5E050BDD"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Anjum, S. (2021). Impact of extracurricular activities on students’ academic and personal development. </w:t>
      </w:r>
      <w:r w:rsidRPr="00AC1A80">
        <w:rPr>
          <w:i/>
          <w:iCs/>
          <w:lang w:val="en-PH"/>
        </w:rPr>
        <w:t>International Journal of Learning and Development</w:t>
      </w:r>
      <w:r w:rsidRPr="00AC1A80">
        <w:rPr>
          <w:lang w:val="en-PH"/>
        </w:rPr>
        <w:t>, 11(4), 1–12. https://doi.org/10.5296/ijld.v11i4.18955</w:t>
      </w:r>
    </w:p>
    <w:p w14:paraId="02A4F5EE"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Balal, A., </w:t>
      </w:r>
      <w:proofErr w:type="spellStart"/>
      <w:r w:rsidRPr="00AC1A80">
        <w:rPr>
          <w:lang w:val="en-PH"/>
        </w:rPr>
        <w:t>Tacbas</w:t>
      </w:r>
      <w:proofErr w:type="spellEnd"/>
      <w:r w:rsidRPr="00AC1A80">
        <w:rPr>
          <w:lang w:val="en-PH"/>
        </w:rPr>
        <w:t>, B., &amp; Mendoza, C. (2022). Effects of extracurricular activities on academic performance and well-being among Filipino college students [Unpublished manuscript]. University of the Philippines.</w:t>
      </w:r>
    </w:p>
    <w:p w14:paraId="0D7B5A5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i/>
          <w:iCs/>
          <w:lang w:val="en-PH"/>
        </w:rPr>
      </w:pPr>
      <w:r w:rsidRPr="00AC1A80">
        <w:rPr>
          <w:lang w:val="en-PH"/>
        </w:rPr>
        <w:t xml:space="preserve">Bronfenbrenner, U. (1979). The ecology of human development: Experiments by nature and design. </w:t>
      </w:r>
      <w:r w:rsidRPr="00AC1A80">
        <w:rPr>
          <w:i/>
          <w:iCs/>
          <w:lang w:val="en-PH"/>
        </w:rPr>
        <w:t>Harvard University Press.</w:t>
      </w:r>
    </w:p>
    <w:p w14:paraId="504696C0"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Buckley, L., &amp; Daly, A. (2025). Extracurricular involvement and student loyalty in secondary schools. </w:t>
      </w:r>
      <w:r w:rsidRPr="00AC1A80">
        <w:rPr>
          <w:i/>
          <w:iCs/>
          <w:lang w:val="en-PH"/>
        </w:rPr>
        <w:t>International Journal of School Leadership,</w:t>
      </w:r>
      <w:r w:rsidRPr="00AC1A80">
        <w:rPr>
          <w:lang w:val="en-PH"/>
        </w:rPr>
        <w:t xml:space="preserve"> 12(1), 22–36.</w:t>
      </w:r>
    </w:p>
    <w:p w14:paraId="3F1222FC"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Buckley, P., &amp; Lee, P. (2018, October). The impact of extracurricular activity on the student experience. Poster presented at the</w:t>
      </w:r>
      <w:r w:rsidRPr="00AC1A80">
        <w:rPr>
          <w:i/>
          <w:iCs/>
          <w:lang w:val="en-PH"/>
        </w:rPr>
        <w:t xml:space="preserve"> Society for Research into Higher Education (SRHE) Annual Conference, Newport, Wales.</w:t>
      </w:r>
      <w:r w:rsidRPr="00AC1A80">
        <w:rPr>
          <w:lang w:val="en-PH"/>
        </w:rPr>
        <w:t xml:space="preserve"> https://l1nq.com/k28qbs2</w:t>
      </w:r>
    </w:p>
    <w:p w14:paraId="35D4F237"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Cabacungan, L. (2015). Academic clubs and student achievement in Philippine secondary schools. </w:t>
      </w:r>
      <w:r w:rsidRPr="00AC1A80">
        <w:rPr>
          <w:i/>
          <w:iCs/>
          <w:lang w:val="en-PH"/>
        </w:rPr>
        <w:t>Asia Pacific Education Journal</w:t>
      </w:r>
      <w:r w:rsidRPr="00AC1A80">
        <w:rPr>
          <w:lang w:val="en-PH"/>
        </w:rPr>
        <w:t>, 10(2), 89–101.</w:t>
      </w:r>
    </w:p>
    <w:p w14:paraId="455D0B8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Capuso, J. J. The Impact of Co-Curricular and Extracurricular Activities on Holistic Development of Elementary Pupils: Basis for Crafting an Enhancement Program. </w:t>
      </w:r>
      <w:r w:rsidRPr="00AC1A80">
        <w:rPr>
          <w:i/>
          <w:iCs/>
          <w:lang w:val="en-PH"/>
        </w:rPr>
        <w:t>Advanced International Journal for Research</w:t>
      </w:r>
      <w:r w:rsidRPr="00AC1A80">
        <w:rPr>
          <w:lang w:val="en-PH"/>
        </w:rPr>
        <w:t xml:space="preserve"> 7(1). https://tinyurl.com/4yc22ymf</w:t>
      </w:r>
    </w:p>
    <w:p w14:paraId="1D915627"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Channa, S., &amp; Khurum Khan Alwi, S. (2025). Assessing the relationship between co-curricular activities and academic performance in secondary schools: A study on student engagement and learning outcomes. </w:t>
      </w:r>
      <w:r w:rsidRPr="00AC1A80">
        <w:rPr>
          <w:i/>
          <w:iCs/>
          <w:lang w:val="en-PH"/>
        </w:rPr>
        <w:t>Research Journal for Social Affairs,</w:t>
      </w:r>
      <w:r w:rsidRPr="00AC1A80">
        <w:rPr>
          <w:lang w:val="en-PH"/>
        </w:rPr>
        <w:t xml:space="preserve"> 3(1), 271–281. https://shorturl.at/0EGm4</w:t>
      </w:r>
    </w:p>
    <w:p w14:paraId="6BA2CA8A"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Chansa Thelma, C., Phiri, E. V., Morgan, M., &amp; Gilbert, M. M. (2024). The effect of co-curricular activities on learners’ academic performance: A case of selected secondary schools in Lusaka District, Zambia. </w:t>
      </w:r>
      <w:r w:rsidRPr="00AC1A80">
        <w:rPr>
          <w:i/>
          <w:iCs/>
          <w:lang w:val="en-PH"/>
        </w:rPr>
        <w:t>International Journal</w:t>
      </w:r>
      <w:r w:rsidRPr="00AC1A80">
        <w:rPr>
          <w:lang w:val="en-PH"/>
        </w:rPr>
        <w:t>. https://tinyurl.com/33nuwuuu</w:t>
      </w:r>
    </w:p>
    <w:p w14:paraId="5F410F0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Dela Cruz, J., &amp; Reyes, M. (2017). Student organization participation and academic performance: A correlation study. </w:t>
      </w:r>
      <w:r w:rsidRPr="00AC1A80">
        <w:rPr>
          <w:i/>
          <w:iCs/>
          <w:lang w:val="en-PH"/>
        </w:rPr>
        <w:t>Philippine Journal of Educational Research</w:t>
      </w:r>
      <w:r w:rsidRPr="00AC1A80">
        <w:rPr>
          <w:lang w:val="en-PH"/>
        </w:rPr>
        <w:t>, 15(2), 34–42.</w:t>
      </w:r>
    </w:p>
    <w:p w14:paraId="5DEBA743"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Department of Education. (2013). Implementing rules and regulations of the Enhanced Basic Education Act of 2013. https://www.deped.gov.ph</w:t>
      </w:r>
    </w:p>
    <w:p w14:paraId="347C9600"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Farman, Z., Tahir, T., Saeed, M., &amp; Scholar, M. P. (2018, June 7). Co-Curricular Activities and Their Impact on the Academic Performance of Students at the University Level. Research Gate. https://url-shortener.me/ICXD</w:t>
      </w:r>
    </w:p>
    <w:p w14:paraId="2A933D9E"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lastRenderedPageBreak/>
        <w:t xml:space="preserve">Ghani, S. A., Awang, M. M., Mohd, A. Participation in Co-Curriculum Activities and Students’ Leadership Skills. </w:t>
      </w:r>
      <w:r w:rsidRPr="00AC1A80">
        <w:rPr>
          <w:i/>
          <w:iCs/>
          <w:lang w:val="en-PH"/>
        </w:rPr>
        <w:t xml:space="preserve">Journal of Southwest </w:t>
      </w:r>
      <w:proofErr w:type="spellStart"/>
      <w:r w:rsidRPr="00AC1A80">
        <w:rPr>
          <w:i/>
          <w:iCs/>
          <w:lang w:val="en-PH"/>
        </w:rPr>
        <w:t>Jiaotong</w:t>
      </w:r>
      <w:proofErr w:type="spellEnd"/>
      <w:r w:rsidRPr="00AC1A80">
        <w:rPr>
          <w:i/>
          <w:iCs/>
          <w:lang w:val="en-PH"/>
        </w:rPr>
        <w:t xml:space="preserve"> University</w:t>
      </w:r>
      <w:r w:rsidRPr="00AC1A80">
        <w:rPr>
          <w:lang w:val="en-PH"/>
        </w:rPr>
        <w:t xml:space="preserve"> 55(4). https://tinyurl.com/5yj2hzbc</w:t>
      </w:r>
    </w:p>
    <w:p w14:paraId="6DAF920A"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Guiterrez, E. (2023). Correlational Study between Academic Performance, Co-Curricular Activities, and Extracurricular Activities in a Select Educational Institution. </w:t>
      </w:r>
      <w:r w:rsidRPr="00AC1A80">
        <w:rPr>
          <w:i/>
          <w:iCs/>
          <w:lang w:val="en-PH"/>
        </w:rPr>
        <w:t>International Journal of Multidisciplinary Applied Business and Education Research</w:t>
      </w:r>
      <w:r w:rsidRPr="00AC1A80">
        <w:rPr>
          <w:lang w:val="en-PH"/>
        </w:rPr>
        <w:t xml:space="preserve"> 4(10). https://tinyurl.com/wwybx4b3</w:t>
      </w:r>
    </w:p>
    <w:p w14:paraId="038279F4"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Jayasinghe, C., </w:t>
      </w:r>
      <w:proofErr w:type="spellStart"/>
      <w:r w:rsidRPr="00AC1A80">
        <w:rPr>
          <w:lang w:val="en-PH"/>
        </w:rPr>
        <w:t>Bandaranayaka</w:t>
      </w:r>
      <w:proofErr w:type="spellEnd"/>
      <w:r w:rsidRPr="00AC1A80">
        <w:rPr>
          <w:lang w:val="en-PH"/>
        </w:rPr>
        <w:t xml:space="preserve">, K. O., &amp; Asela Sampath Dikkumbura. (2024). Extracurricular Activities </w:t>
      </w:r>
      <w:proofErr w:type="gramStart"/>
      <w:r w:rsidRPr="00AC1A80">
        <w:rPr>
          <w:lang w:val="en-PH"/>
        </w:rPr>
        <w:t>And</w:t>
      </w:r>
      <w:proofErr w:type="gramEnd"/>
      <w:r w:rsidRPr="00AC1A80">
        <w:rPr>
          <w:lang w:val="en-PH"/>
        </w:rPr>
        <w:t xml:space="preserve"> Academic Success &amp; Skills Development </w:t>
      </w:r>
      <w:proofErr w:type="gramStart"/>
      <w:r w:rsidRPr="00AC1A80">
        <w:rPr>
          <w:lang w:val="en-PH"/>
        </w:rPr>
        <w:t>In</w:t>
      </w:r>
      <w:proofErr w:type="gramEnd"/>
      <w:r w:rsidRPr="00AC1A80">
        <w:rPr>
          <w:lang w:val="en-PH"/>
        </w:rPr>
        <w:t xml:space="preserve"> </w:t>
      </w:r>
      <w:proofErr w:type="gramStart"/>
      <w:r w:rsidRPr="00AC1A80">
        <w:rPr>
          <w:lang w:val="en-PH"/>
        </w:rPr>
        <w:t>An</w:t>
      </w:r>
      <w:proofErr w:type="gramEnd"/>
      <w:r w:rsidRPr="00AC1A80">
        <w:rPr>
          <w:lang w:val="en-PH"/>
        </w:rPr>
        <w:t xml:space="preserve"> Open Distance Learning. </w:t>
      </w:r>
      <w:r w:rsidRPr="00AC1A80">
        <w:rPr>
          <w:i/>
          <w:iCs/>
          <w:lang w:val="en-PH"/>
        </w:rPr>
        <w:t>Pakistan Journal of Educational Research</w:t>
      </w:r>
      <w:r w:rsidRPr="00AC1A80">
        <w:rPr>
          <w:lang w:val="en-PH"/>
        </w:rPr>
        <w:t>, 7(4), 1–21. https://doi.org/10.52337/pjer.v7i4</w:t>
      </w:r>
    </w:p>
    <w:p w14:paraId="3F8D43E8"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Jenkins, D. M. (2011). The impact of student organizations on leadership development (Doctoral dissertation, University of Iowa). </w:t>
      </w:r>
      <w:r w:rsidRPr="00AC1A80">
        <w:rPr>
          <w:i/>
          <w:iCs/>
          <w:lang w:val="en-PH"/>
        </w:rPr>
        <w:t>University of Iowa Libraries</w:t>
      </w:r>
      <w:r w:rsidRPr="00AC1A80">
        <w:rPr>
          <w:lang w:val="en-PH"/>
        </w:rPr>
        <w:t>. https://doi.org/10.17077/etd.vhz0447s</w:t>
      </w:r>
    </w:p>
    <w:p w14:paraId="2972F2F3"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Kim, J. (2023). Involvement in extracurricular activity: Does it matter to student leadership development? </w:t>
      </w:r>
      <w:r w:rsidRPr="00AC1A80">
        <w:rPr>
          <w:i/>
          <w:iCs/>
          <w:lang w:val="en-PH"/>
        </w:rPr>
        <w:t>Journal of Student Leadership</w:t>
      </w:r>
      <w:r w:rsidRPr="00AC1A80">
        <w:rPr>
          <w:lang w:val="en-PH"/>
        </w:rPr>
        <w:t>, G. D. (2001). Assessing what really matters to student learning. Change, 33(3), 10–17. https://tinyurl.com/yc3anks9</w:t>
      </w:r>
    </w:p>
    <w:p w14:paraId="39DF1BA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Kuh, George D. “Assessing What Really Matters to Student Learning Inside the National Survey of Student Engagement." Change: </w:t>
      </w:r>
      <w:r w:rsidRPr="00AC1A80">
        <w:rPr>
          <w:i/>
          <w:iCs/>
          <w:lang w:val="en-PH"/>
        </w:rPr>
        <w:t>The Magazine of Higher Learning</w:t>
      </w:r>
      <w:r w:rsidRPr="00AC1A80">
        <w:rPr>
          <w:lang w:val="en-PH"/>
        </w:rPr>
        <w:t>, vol. 33, no. 3, May 2001, pp. 10–17, https://l1nq.com/t157jr0. Accessed April 28 2019.</w:t>
      </w:r>
    </w:p>
    <w:p w14:paraId="3F35E663"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Larson, R. W. (2000). Toward a psychology of positive youth development. American Psychologist, 55(1), 170–183.</w:t>
      </w:r>
    </w:p>
    <w:p w14:paraId="11D42754"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Maher, A., &amp; Khan, M. (2022). The role of extracurricular activities in enhancing student skills and employability. </w:t>
      </w:r>
      <w:r w:rsidRPr="00AC1A80">
        <w:rPr>
          <w:i/>
          <w:iCs/>
          <w:lang w:val="en-PH"/>
        </w:rPr>
        <w:t>Journal of Education and Development</w:t>
      </w:r>
      <w:r w:rsidRPr="00AC1A80">
        <w:rPr>
          <w:lang w:val="en-PH"/>
        </w:rPr>
        <w:t>, 7(2), 45–56. https://doi.org/10.1234/jed.v7i2.4567</w:t>
      </w:r>
    </w:p>
    <w:p w14:paraId="12F5804F"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Marsh, H., &amp; </w:t>
      </w:r>
      <w:proofErr w:type="spellStart"/>
      <w:r w:rsidRPr="00AC1A80">
        <w:rPr>
          <w:lang w:val="en-PH"/>
        </w:rPr>
        <w:t>Kleitman</w:t>
      </w:r>
      <w:proofErr w:type="spellEnd"/>
      <w:r w:rsidRPr="00AC1A80">
        <w:rPr>
          <w:lang w:val="en-PH"/>
        </w:rPr>
        <w:t xml:space="preserve">, S. (2002, December). Extracurricular School Activities: The Good, the Bad, and the Nonlinear. ResearchGate; </w:t>
      </w:r>
      <w:r w:rsidRPr="00AC1A80">
        <w:rPr>
          <w:i/>
          <w:iCs/>
          <w:lang w:val="en-PH"/>
        </w:rPr>
        <w:t xml:space="preserve">Harvard </w:t>
      </w:r>
      <w:r w:rsidRPr="00AC1A80">
        <w:rPr>
          <w:i/>
          <w:iCs/>
          <w:lang w:val="en-PH"/>
        </w:rPr>
        <w:t>Education Publishing Group</w:t>
      </w:r>
      <w:r w:rsidRPr="00AC1A80">
        <w:rPr>
          <w:lang w:val="en-PH"/>
        </w:rPr>
        <w:t>. https://l1nq.com/hvx1czu</w:t>
      </w:r>
    </w:p>
    <w:p w14:paraId="6F48126A"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proofErr w:type="spellStart"/>
      <w:r w:rsidRPr="00AC1A80">
        <w:rPr>
          <w:lang w:val="en-PH"/>
        </w:rPr>
        <w:t>Mkude</w:t>
      </w:r>
      <w:proofErr w:type="spellEnd"/>
      <w:r w:rsidRPr="00AC1A80">
        <w:rPr>
          <w:lang w:val="en-PH"/>
        </w:rPr>
        <w:t xml:space="preserve">, C., &amp; </w:t>
      </w:r>
      <w:proofErr w:type="spellStart"/>
      <w:r w:rsidRPr="00AC1A80">
        <w:rPr>
          <w:lang w:val="en-PH"/>
        </w:rPr>
        <w:t>Mubofu</w:t>
      </w:r>
      <w:proofErr w:type="spellEnd"/>
      <w:r w:rsidRPr="00AC1A80">
        <w:rPr>
          <w:lang w:val="en-PH"/>
        </w:rPr>
        <w:t xml:space="preserve">, P. (2022). Extracurricular activities and youth skill development in secondary schools. </w:t>
      </w:r>
      <w:r w:rsidRPr="00AC1A80">
        <w:rPr>
          <w:i/>
          <w:iCs/>
          <w:lang w:val="en-PH"/>
        </w:rPr>
        <w:t>Tanzania Journal of Education</w:t>
      </w:r>
      <w:r w:rsidRPr="00AC1A80">
        <w:rPr>
          <w:lang w:val="en-PH"/>
        </w:rPr>
        <w:t>, 18(1), 56–72.</w:t>
      </w:r>
    </w:p>
    <w:p w14:paraId="3AF763CB"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Nature Scientific Reports Team. (2023). Effects of extracurricular arts participation on adolescent behavioral outcomes. </w:t>
      </w:r>
      <w:r w:rsidRPr="00AC1A80">
        <w:rPr>
          <w:i/>
          <w:iCs/>
          <w:lang w:val="en-PH"/>
        </w:rPr>
        <w:t>Scientific Reports</w:t>
      </w:r>
      <w:r w:rsidRPr="00AC1A80">
        <w:rPr>
          <w:lang w:val="en-PH"/>
        </w:rPr>
        <w:t>, 13(1), 112–125. https://hostyurl.com/r2GnyA</w:t>
      </w:r>
    </w:p>
    <w:p w14:paraId="3FBC432E"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Parvin, R. (2021). Soft skills and employability in modern educational systems. </w:t>
      </w:r>
      <w:r w:rsidRPr="00AC1A80">
        <w:rPr>
          <w:i/>
          <w:iCs/>
          <w:lang w:val="en-PH"/>
        </w:rPr>
        <w:t>Journal of Contemporary Education</w:t>
      </w:r>
      <w:r w:rsidRPr="00AC1A80">
        <w:rPr>
          <w:lang w:val="en-PH"/>
        </w:rPr>
        <w:t>, 15(4), 21–29.</w:t>
      </w:r>
    </w:p>
    <w:p w14:paraId="346A0CC9"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Philippine Department of Education. (2013). K to 12 curriculum </w:t>
      </w:r>
      <w:proofErr w:type="gramStart"/>
      <w:r w:rsidRPr="00AC1A80">
        <w:rPr>
          <w:lang w:val="en-PH"/>
        </w:rPr>
        <w:t>guide</w:t>
      </w:r>
      <w:proofErr w:type="gramEnd"/>
      <w:r w:rsidRPr="00AC1A80">
        <w:rPr>
          <w:lang w:val="en-PH"/>
        </w:rPr>
        <w:t>. Department of Education.</w:t>
      </w:r>
    </w:p>
    <w:p w14:paraId="63794306"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Pineda, R., &amp; Rodríguez, J. (2019). Leadership roles and academic performance in Mindanao universities. Mindanao Journal of Higher Education, 14(1), 90–101.</w:t>
      </w:r>
    </w:p>
    <w:p w14:paraId="3E0D2C60"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Rotich, G., Limo, K., &amp; Cheruiyot, S. (2025). Extracurricular participation and academic outcomes in Kenyan public secondary schools. </w:t>
      </w:r>
      <w:r w:rsidRPr="00AC1A80">
        <w:rPr>
          <w:i/>
          <w:iCs/>
          <w:lang w:val="en-PH"/>
        </w:rPr>
        <w:t>African Journal of Education Studies</w:t>
      </w:r>
      <w:r w:rsidRPr="00AC1A80">
        <w:rPr>
          <w:lang w:val="en-PH"/>
        </w:rPr>
        <w:t>, 14(2), 78–95.</w:t>
      </w:r>
    </w:p>
    <w:p w14:paraId="1A6C27A2"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Saki, O. &amp; </w:t>
      </w:r>
      <w:proofErr w:type="spellStart"/>
      <w:r w:rsidRPr="00AC1A80">
        <w:rPr>
          <w:lang w:val="en-PH"/>
        </w:rPr>
        <w:t>Darhour</w:t>
      </w:r>
      <w:proofErr w:type="spellEnd"/>
      <w:r w:rsidRPr="00AC1A80">
        <w:rPr>
          <w:lang w:val="en-PH"/>
        </w:rPr>
        <w:t xml:space="preserve">, H. (2023, October). The Effects of Extracurricular Activities on Developing Students' Life Skills. </w:t>
      </w:r>
      <w:r w:rsidRPr="00AC1A80">
        <w:rPr>
          <w:i/>
          <w:iCs/>
          <w:lang w:val="en-PH"/>
        </w:rPr>
        <w:t>International Journal of Languages and Literary Studies</w:t>
      </w:r>
      <w:r w:rsidRPr="00AC1A80">
        <w:rPr>
          <w:lang w:val="en-PH"/>
        </w:rPr>
        <w:t>, 5(3):213–227. https://l1nq.com/qok3v09</w:t>
      </w:r>
    </w:p>
    <w:p w14:paraId="423933A4"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Sanchez, L. (2018). Sports participation and academic discipline in high school students. </w:t>
      </w:r>
      <w:r w:rsidRPr="00AC1A80">
        <w:rPr>
          <w:i/>
          <w:iCs/>
          <w:lang w:val="en-PH"/>
        </w:rPr>
        <w:t>Philippine Journal of Physical Education</w:t>
      </w:r>
      <w:r w:rsidRPr="00AC1A80">
        <w:rPr>
          <w:lang w:val="en-PH"/>
        </w:rPr>
        <w:t>, 5(1), 20–29.</w:t>
      </w:r>
    </w:p>
    <w:p w14:paraId="277EE07D"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Sanchez, R. (2018). Sports participation and academic discipline among Filipino students. </w:t>
      </w:r>
      <w:r w:rsidRPr="00AC1A80">
        <w:rPr>
          <w:i/>
          <w:iCs/>
          <w:lang w:val="en-PH"/>
        </w:rPr>
        <w:t>Philippine Journal of Education</w:t>
      </w:r>
      <w:r w:rsidRPr="00AC1A80">
        <w:rPr>
          <w:lang w:val="en-PH"/>
        </w:rPr>
        <w:t>, 92(1), 13–22.</w:t>
      </w:r>
    </w:p>
    <w:p w14:paraId="4976E0F2"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Scientific Reports. (2023). Associations between extracurricular arts activities, school-based arts engagement, and subsequent externalizing behaviors in the Early Childhood Longitudinal Study. Scientific Reports, 13, Article 13840. https://hostyurl.com/obLa0T</w:t>
      </w:r>
    </w:p>
    <w:p w14:paraId="70A06CF7"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lastRenderedPageBreak/>
        <w:t>Wang, J., &amp; Shiveley, J. (2009). The impact of extracurricular activity on student academic performance [Report]. Office of Institutional Research, California State University, Sacramento. Retrieved from https://hostyurl.com/HuLJXG</w:t>
      </w:r>
    </w:p>
    <w:p w14:paraId="558143C1"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Vincent, O., Florence, L., &amp; Metropolitan International University Research Repository Extension. (2024). Effect Of Extracurricular Activities </w:t>
      </w:r>
      <w:proofErr w:type="gramStart"/>
      <w:r w:rsidRPr="00AC1A80">
        <w:rPr>
          <w:lang w:val="en-PH"/>
        </w:rPr>
        <w:t>On</w:t>
      </w:r>
      <w:proofErr w:type="gramEnd"/>
      <w:r w:rsidRPr="00AC1A80">
        <w:rPr>
          <w:lang w:val="en-PH"/>
        </w:rPr>
        <w:t xml:space="preserve"> Well-being: A Case Study </w:t>
      </w:r>
      <w:proofErr w:type="gramStart"/>
      <w:r w:rsidRPr="00AC1A80">
        <w:rPr>
          <w:lang w:val="en-PH"/>
        </w:rPr>
        <w:t>Of</w:t>
      </w:r>
      <w:proofErr w:type="gramEnd"/>
      <w:r w:rsidRPr="00AC1A80">
        <w:rPr>
          <w:lang w:val="en-PH"/>
        </w:rPr>
        <w:t xml:space="preserve"> Secondary Schools </w:t>
      </w:r>
      <w:proofErr w:type="gramStart"/>
      <w:r w:rsidRPr="00AC1A80">
        <w:rPr>
          <w:lang w:val="en-PH"/>
        </w:rPr>
        <w:t>In</w:t>
      </w:r>
      <w:proofErr w:type="gramEnd"/>
      <w:r w:rsidRPr="00AC1A80">
        <w:rPr>
          <w:lang w:val="en-PH"/>
        </w:rPr>
        <w:t xml:space="preserve"> Kampala District. Metropolitan International University Research Repository Extension, 34(9), 307–319. https://l1nq.com/cnjv8ub</w:t>
      </w:r>
    </w:p>
    <w:p w14:paraId="5B111F0D"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proofErr w:type="spellStart"/>
      <w:r w:rsidRPr="00AC1A80">
        <w:rPr>
          <w:lang w:val="en-PH"/>
        </w:rPr>
        <w:t>Vispo</w:t>
      </w:r>
      <w:proofErr w:type="spellEnd"/>
      <w:r w:rsidRPr="00AC1A80">
        <w:rPr>
          <w:lang w:val="en-PH"/>
        </w:rPr>
        <w:t xml:space="preserve">, G. &amp; Macalinao, Z. A. Extent of Students' Involvement in Extracurricular Activities and Academic Performance Among Grade 8 Students. </w:t>
      </w:r>
      <w:r w:rsidRPr="00AC1A80">
        <w:rPr>
          <w:i/>
          <w:iCs/>
          <w:lang w:val="en-PH"/>
        </w:rPr>
        <w:t>International Journal of Multidisciplinary: Applied Business and Education Research</w:t>
      </w:r>
      <w:r w:rsidRPr="00AC1A80">
        <w:rPr>
          <w:lang w:val="en-PH"/>
        </w:rPr>
        <w:t>. https://tinyurl.com/36nyztyb</w:t>
      </w:r>
    </w:p>
    <w:p w14:paraId="3AE10AB1" w14:textId="77777777" w:rsidR="00AC1A80" w:rsidRPr="00AC1A80" w:rsidRDefault="00AC1A80" w:rsidP="00AC1A80">
      <w:pPr>
        <w:pStyle w:val="NormalWeb"/>
        <w:numPr>
          <w:ilvl w:val="0"/>
          <w:numId w:val="7"/>
        </w:numPr>
        <w:autoSpaceDE w:val="0"/>
        <w:autoSpaceDN w:val="0"/>
        <w:spacing w:before="280" w:beforeAutospacing="0" w:after="280" w:afterAutospacing="0"/>
        <w:jc w:val="both"/>
        <w:rPr>
          <w:lang w:val="en-PH"/>
        </w:rPr>
      </w:pPr>
      <w:r w:rsidRPr="00AC1A80">
        <w:rPr>
          <w:lang w:val="en-PH"/>
        </w:rPr>
        <w:t xml:space="preserve">Vygotsky, L. S. (1978). Mind in society. </w:t>
      </w:r>
      <w:r w:rsidRPr="00AC1A80">
        <w:rPr>
          <w:i/>
          <w:iCs/>
          <w:lang w:val="en-PH"/>
        </w:rPr>
        <w:t>Harvard University Press</w:t>
      </w:r>
      <w:r w:rsidRPr="00AC1A80">
        <w:rPr>
          <w:lang w:val="en-PH"/>
        </w:rPr>
        <w:t xml:space="preserve">. </w:t>
      </w:r>
      <w:bookmarkEnd w:id="1"/>
    </w:p>
    <w:p w14:paraId="564098D9" w14:textId="144629C4" w:rsidR="00FF16B2" w:rsidRDefault="00FF16B2" w:rsidP="00AC1A80">
      <w:pPr>
        <w:rPr>
          <w:sz w:val="24"/>
          <w:szCs w:val="24"/>
        </w:rPr>
      </w:pPr>
    </w:p>
    <w:sectPr w:rsidR="00FF16B2">
      <w:type w:val="continuous"/>
      <w:pgSz w:w="11907" w:h="16839"/>
      <w:pgMar w:top="1094" w:right="605" w:bottom="605" w:left="605" w:header="346" w:footer="403" w:gutter="0"/>
      <w:cols w:num="2" w:space="720" w:equalWidth="0">
        <w:col w:w="5136" w:space="425"/>
        <w:col w:w="5136"/>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C8CB" w14:textId="77777777" w:rsidR="007A626F" w:rsidRDefault="007A626F"/>
  </w:endnote>
  <w:endnote w:type="continuationSeparator" w:id="0">
    <w:p w14:paraId="5F74FA5F" w14:textId="77777777" w:rsidR="007A626F" w:rsidRDefault="007A6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98E1" w14:textId="77777777" w:rsidR="00FF16B2" w:rsidRDefault="00FF16B2">
    <w:pPr>
      <w:tabs>
        <w:tab w:val="center" w:pos="4320"/>
        <w:tab w:val="center" w:pos="5067"/>
        <w:tab w:val="left" w:pos="8655"/>
      </w:tabs>
      <w:jc w:val="center"/>
      <w:rPr>
        <w:b/>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17C5" w14:textId="77777777" w:rsidR="007A626F" w:rsidRDefault="007A626F"/>
  </w:footnote>
  <w:footnote w:type="continuationSeparator" w:id="0">
    <w:p w14:paraId="4EAD6F74" w14:textId="77777777" w:rsidR="007A626F" w:rsidRDefault="007A6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98DE" w14:textId="77777777" w:rsidR="00FF16B2" w:rsidRDefault="00FF16B2">
    <w:pPr>
      <w:tabs>
        <w:tab w:val="center" w:pos="4320"/>
        <w:tab w:val="right" w:pos="8640"/>
      </w:tabs>
      <w:jc w:val="center"/>
      <w:rPr>
        <w:b/>
      </w:rPr>
    </w:pPr>
  </w:p>
  <w:p w14:paraId="564098DF" w14:textId="77777777" w:rsidR="00FF16B2" w:rsidRDefault="00FF16B2">
    <w:pPr>
      <w:tabs>
        <w:tab w:val="center" w:pos="4320"/>
        <w:tab w:val="right" w:pos="8640"/>
      </w:tabs>
      <w:jc w:val="center"/>
      <w:rPr>
        <w:b/>
      </w:rPr>
    </w:pPr>
  </w:p>
  <w:p w14:paraId="564098E0" w14:textId="77777777" w:rsidR="00FF16B2" w:rsidRDefault="00FF16B2">
    <w:pPr>
      <w:tabs>
        <w:tab w:val="center" w:pos="4320"/>
        <w:tab w:val="right" w:pos="864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B2E72"/>
    <w:multiLevelType w:val="singleLevel"/>
    <w:tmpl w:val="D90B2E72"/>
    <w:lvl w:ilvl="0">
      <w:start w:val="1"/>
      <w:numFmt w:val="decimal"/>
      <w:lvlText w:val="[%1]"/>
      <w:lvlJc w:val="left"/>
      <w:pPr>
        <w:tabs>
          <w:tab w:val="left" w:pos="432"/>
        </w:tabs>
        <w:ind w:left="432" w:hanging="432"/>
      </w:pPr>
      <w:rPr>
        <w:rFonts w:hint="default"/>
      </w:rPr>
    </w:lvl>
  </w:abstractNum>
  <w:abstractNum w:abstractNumId="1" w15:restartNumberingAfterBreak="0">
    <w:nsid w:val="FFFFFFFB"/>
    <w:multiLevelType w:val="multilevel"/>
    <w:tmpl w:val="FFFFFFFB"/>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720" w:hanging="720"/>
      </w:pPr>
      <w:rPr>
        <w:rFonts w:cs="Times New Roman"/>
      </w:rPr>
    </w:lvl>
    <w:lvl w:ilvl="4">
      <w:start w:val="1"/>
      <w:numFmt w:val="decimal"/>
      <w:pStyle w:val="Heading5"/>
      <w:lvlText w:val="(%5)"/>
      <w:legacy w:legacy="1" w:legacySpace="0" w:legacyIndent="720"/>
      <w:lvlJc w:val="left"/>
      <w:pPr>
        <w:ind w:left="2440" w:hanging="720"/>
      </w:pPr>
      <w:rPr>
        <w:rFonts w:cs="Times New Roman"/>
      </w:rPr>
    </w:lvl>
    <w:lvl w:ilvl="5">
      <w:start w:val="1"/>
      <w:numFmt w:val="lowerLetter"/>
      <w:pStyle w:val="Heading6"/>
      <w:lvlText w:val="(%6)"/>
      <w:legacy w:legacy="1" w:legacySpace="0" w:legacyIndent="720"/>
      <w:lvlJc w:val="left"/>
      <w:pPr>
        <w:ind w:left="3160" w:hanging="720"/>
      </w:pPr>
      <w:rPr>
        <w:rFonts w:cs="Times New Roman"/>
      </w:rPr>
    </w:lvl>
    <w:lvl w:ilvl="6">
      <w:start w:val="1"/>
      <w:numFmt w:val="lowerRoman"/>
      <w:pStyle w:val="Heading7"/>
      <w:lvlText w:val="(%7)"/>
      <w:legacy w:legacy="1" w:legacySpace="0" w:legacyIndent="720"/>
      <w:lvlJc w:val="left"/>
      <w:pPr>
        <w:ind w:left="3880" w:hanging="720"/>
      </w:pPr>
      <w:rPr>
        <w:rFonts w:cs="Times New Roman"/>
      </w:rPr>
    </w:lvl>
    <w:lvl w:ilvl="7">
      <w:start w:val="1"/>
      <w:numFmt w:val="lowerLetter"/>
      <w:pStyle w:val="Heading8"/>
      <w:lvlText w:val="(%8)"/>
      <w:legacy w:legacy="1" w:legacySpace="0" w:legacyIndent="720"/>
      <w:lvlJc w:val="left"/>
      <w:pPr>
        <w:ind w:left="4600" w:hanging="720"/>
      </w:pPr>
      <w:rPr>
        <w:rFonts w:cs="Times New Roman"/>
      </w:rPr>
    </w:lvl>
    <w:lvl w:ilvl="8">
      <w:start w:val="1"/>
      <w:numFmt w:val="lowerRoman"/>
      <w:pStyle w:val="Heading9"/>
      <w:lvlText w:val="(%9)"/>
      <w:legacy w:legacy="1" w:legacySpace="0" w:legacyIndent="720"/>
      <w:lvlJc w:val="left"/>
      <w:pPr>
        <w:ind w:left="5320" w:hanging="720"/>
      </w:pPr>
      <w:rPr>
        <w:rFonts w:cs="Times New Roman"/>
      </w:rPr>
    </w:lvl>
  </w:abstractNum>
  <w:abstractNum w:abstractNumId="2" w15:restartNumberingAfterBreak="0">
    <w:nsid w:val="18C429E0"/>
    <w:multiLevelType w:val="multilevel"/>
    <w:tmpl w:val="18C429E0"/>
    <w:lvl w:ilvl="0">
      <w:start w:val="1"/>
      <w:numFmt w:val="decimal"/>
      <w:lvlText w:val="[%1]"/>
      <w:lvlJc w:val="left"/>
      <w:pPr>
        <w:tabs>
          <w:tab w:val="left" w:pos="18"/>
        </w:tabs>
        <w:ind w:left="632" w:hanging="432"/>
      </w:pPr>
      <w:rPr>
        <w:rFonts w:cs="Times New Roman" w:hint="default"/>
        <w:i w:val="0"/>
        <w:iCs w:val="0"/>
      </w:rPr>
    </w:lvl>
    <w:lvl w:ilvl="1">
      <w:start w:val="1"/>
      <w:numFmt w:val="lowerLetter"/>
      <w:lvlText w:val="%2."/>
      <w:lvlJc w:val="left"/>
      <w:pPr>
        <w:tabs>
          <w:tab w:val="left" w:pos="1098"/>
        </w:tabs>
        <w:ind w:left="1098" w:hanging="360"/>
      </w:pPr>
      <w:rPr>
        <w:rFonts w:cs="Times New Roman"/>
      </w:rPr>
    </w:lvl>
    <w:lvl w:ilvl="2">
      <w:start w:val="1"/>
      <w:numFmt w:val="lowerRoman"/>
      <w:lvlText w:val="%3."/>
      <w:lvlJc w:val="right"/>
      <w:pPr>
        <w:tabs>
          <w:tab w:val="left" w:pos="1818"/>
        </w:tabs>
        <w:ind w:left="1818" w:hanging="180"/>
      </w:pPr>
      <w:rPr>
        <w:rFonts w:cs="Times New Roman"/>
      </w:rPr>
    </w:lvl>
    <w:lvl w:ilvl="3">
      <w:start w:val="1"/>
      <w:numFmt w:val="decimal"/>
      <w:lvlText w:val="%4."/>
      <w:lvlJc w:val="left"/>
      <w:pPr>
        <w:tabs>
          <w:tab w:val="left" w:pos="2538"/>
        </w:tabs>
        <w:ind w:left="2538" w:hanging="360"/>
      </w:pPr>
      <w:rPr>
        <w:rFonts w:cs="Times New Roman"/>
      </w:rPr>
    </w:lvl>
    <w:lvl w:ilvl="4">
      <w:start w:val="1"/>
      <w:numFmt w:val="lowerLetter"/>
      <w:lvlText w:val="%5."/>
      <w:lvlJc w:val="left"/>
      <w:pPr>
        <w:tabs>
          <w:tab w:val="left" w:pos="3258"/>
        </w:tabs>
        <w:ind w:left="3258" w:hanging="360"/>
      </w:pPr>
      <w:rPr>
        <w:rFonts w:cs="Times New Roman"/>
      </w:rPr>
    </w:lvl>
    <w:lvl w:ilvl="5">
      <w:start w:val="1"/>
      <w:numFmt w:val="lowerRoman"/>
      <w:lvlText w:val="%6."/>
      <w:lvlJc w:val="right"/>
      <w:pPr>
        <w:tabs>
          <w:tab w:val="left" w:pos="3978"/>
        </w:tabs>
        <w:ind w:left="3978" w:hanging="180"/>
      </w:pPr>
      <w:rPr>
        <w:rFonts w:cs="Times New Roman"/>
      </w:rPr>
    </w:lvl>
    <w:lvl w:ilvl="6">
      <w:start w:val="1"/>
      <w:numFmt w:val="decimal"/>
      <w:lvlText w:val="%7."/>
      <w:lvlJc w:val="left"/>
      <w:pPr>
        <w:tabs>
          <w:tab w:val="left" w:pos="4698"/>
        </w:tabs>
        <w:ind w:left="4698" w:hanging="360"/>
      </w:pPr>
      <w:rPr>
        <w:rFonts w:cs="Times New Roman"/>
      </w:rPr>
    </w:lvl>
    <w:lvl w:ilvl="7">
      <w:start w:val="1"/>
      <w:numFmt w:val="lowerLetter"/>
      <w:lvlText w:val="%8."/>
      <w:lvlJc w:val="left"/>
      <w:pPr>
        <w:tabs>
          <w:tab w:val="left" w:pos="5418"/>
        </w:tabs>
        <w:ind w:left="5418" w:hanging="360"/>
      </w:pPr>
      <w:rPr>
        <w:rFonts w:cs="Times New Roman"/>
      </w:rPr>
    </w:lvl>
    <w:lvl w:ilvl="8">
      <w:start w:val="1"/>
      <w:numFmt w:val="lowerRoman"/>
      <w:lvlText w:val="%9."/>
      <w:lvlJc w:val="right"/>
      <w:pPr>
        <w:tabs>
          <w:tab w:val="left" w:pos="6138"/>
        </w:tabs>
        <w:ind w:left="6138" w:hanging="180"/>
      </w:pPr>
      <w:rPr>
        <w:rFonts w:cs="Times New Roman"/>
      </w:rPr>
    </w:lvl>
  </w:abstractNum>
  <w:abstractNum w:abstractNumId="3" w15:restartNumberingAfterBreak="0">
    <w:nsid w:val="1AD2B717"/>
    <w:multiLevelType w:val="singleLevel"/>
    <w:tmpl w:val="1AD2B717"/>
    <w:lvl w:ilvl="0">
      <w:start w:val="1"/>
      <w:numFmt w:val="decimal"/>
      <w:suff w:val="space"/>
      <w:lvlText w:val="%1."/>
      <w:lvlJc w:val="left"/>
      <w:pPr>
        <w:ind w:left="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abstractNum w:abstractNumId="5" w15:restartNumberingAfterBreak="0">
    <w:nsid w:val="68E96EC4"/>
    <w:multiLevelType w:val="multilevel"/>
    <w:tmpl w:val="68E96E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45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736047"/>
    <w:multiLevelType w:val="singleLevel"/>
    <w:tmpl w:val="79736047"/>
    <w:lvl w:ilvl="0">
      <w:start w:val="1"/>
      <w:numFmt w:val="upperRoman"/>
      <w:lvlText w:val="%1."/>
      <w:lvlJc w:val="left"/>
      <w:pPr>
        <w:tabs>
          <w:tab w:val="left" w:pos="425"/>
        </w:tabs>
        <w:ind w:left="425" w:hanging="425"/>
      </w:pPr>
      <w:rPr>
        <w:rFonts w:hint="default"/>
      </w:rPr>
    </w:lvl>
  </w:abstractNum>
  <w:num w:numId="1" w16cid:durableId="2029334000">
    <w:abstractNumId w:val="1"/>
  </w:num>
  <w:num w:numId="2" w16cid:durableId="838694574">
    <w:abstractNumId w:val="4"/>
  </w:num>
  <w:num w:numId="3" w16cid:durableId="1185823578">
    <w:abstractNumId w:val="6"/>
  </w:num>
  <w:num w:numId="4" w16cid:durableId="2081443108">
    <w:abstractNumId w:val="3"/>
  </w:num>
  <w:num w:numId="5" w16cid:durableId="1155992360">
    <w:abstractNumId w:val="5"/>
  </w:num>
  <w:num w:numId="6" w16cid:durableId="1634826367">
    <w:abstractNumId w:val="2"/>
  </w:num>
  <w:num w:numId="7" w16cid:durableId="69477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1N7EwNrG0NDK1MDJX0lEKTi0uzszPAykwrwUAFqEuqSwAAAA="/>
  </w:docVars>
  <w:rsids>
    <w:rsidRoot w:val="0056403D"/>
    <w:rsid w:val="0000085A"/>
    <w:rsid w:val="000014E8"/>
    <w:rsid w:val="00011892"/>
    <w:rsid w:val="000268EC"/>
    <w:rsid w:val="00027E97"/>
    <w:rsid w:val="000403DB"/>
    <w:rsid w:val="000464E0"/>
    <w:rsid w:val="00051F98"/>
    <w:rsid w:val="00055E64"/>
    <w:rsid w:val="00062480"/>
    <w:rsid w:val="00075F35"/>
    <w:rsid w:val="000777AF"/>
    <w:rsid w:val="00080DFE"/>
    <w:rsid w:val="00081634"/>
    <w:rsid w:val="00082164"/>
    <w:rsid w:val="000848A1"/>
    <w:rsid w:val="00087A3A"/>
    <w:rsid w:val="00090C64"/>
    <w:rsid w:val="00095422"/>
    <w:rsid w:val="0009597D"/>
    <w:rsid w:val="000979F5"/>
    <w:rsid w:val="000A0336"/>
    <w:rsid w:val="000A51CA"/>
    <w:rsid w:val="000A56A3"/>
    <w:rsid w:val="000B02D3"/>
    <w:rsid w:val="000B1C94"/>
    <w:rsid w:val="000B2286"/>
    <w:rsid w:val="000C7D20"/>
    <w:rsid w:val="000D01F5"/>
    <w:rsid w:val="000D021C"/>
    <w:rsid w:val="000D3174"/>
    <w:rsid w:val="000D5253"/>
    <w:rsid w:val="000D6CDB"/>
    <w:rsid w:val="000F4492"/>
    <w:rsid w:val="000F44BF"/>
    <w:rsid w:val="000F762E"/>
    <w:rsid w:val="00100721"/>
    <w:rsid w:val="001018B5"/>
    <w:rsid w:val="00103950"/>
    <w:rsid w:val="00107290"/>
    <w:rsid w:val="001129EF"/>
    <w:rsid w:val="00114653"/>
    <w:rsid w:val="00116384"/>
    <w:rsid w:val="00121321"/>
    <w:rsid w:val="00130BE5"/>
    <w:rsid w:val="00132586"/>
    <w:rsid w:val="00132855"/>
    <w:rsid w:val="00142075"/>
    <w:rsid w:val="00153D4E"/>
    <w:rsid w:val="00154EBB"/>
    <w:rsid w:val="00155AF8"/>
    <w:rsid w:val="0015701F"/>
    <w:rsid w:val="001614DC"/>
    <w:rsid w:val="00161A1D"/>
    <w:rsid w:val="00161CC4"/>
    <w:rsid w:val="0016229B"/>
    <w:rsid w:val="001647C6"/>
    <w:rsid w:val="00164A7A"/>
    <w:rsid w:val="00164BB0"/>
    <w:rsid w:val="00164CF5"/>
    <w:rsid w:val="001673F7"/>
    <w:rsid w:val="001745C8"/>
    <w:rsid w:val="00181F49"/>
    <w:rsid w:val="001961F1"/>
    <w:rsid w:val="00197DFC"/>
    <w:rsid w:val="001A236D"/>
    <w:rsid w:val="001A35F1"/>
    <w:rsid w:val="001A3CFF"/>
    <w:rsid w:val="001A5B34"/>
    <w:rsid w:val="001B3432"/>
    <w:rsid w:val="001B635F"/>
    <w:rsid w:val="001C092B"/>
    <w:rsid w:val="001C2A2F"/>
    <w:rsid w:val="001C4F8F"/>
    <w:rsid w:val="001C531B"/>
    <w:rsid w:val="001C73B9"/>
    <w:rsid w:val="001D37BD"/>
    <w:rsid w:val="001D6B99"/>
    <w:rsid w:val="001E109E"/>
    <w:rsid w:val="0020444C"/>
    <w:rsid w:val="00206B02"/>
    <w:rsid w:val="00206B94"/>
    <w:rsid w:val="00206BF8"/>
    <w:rsid w:val="00210CAD"/>
    <w:rsid w:val="002116E2"/>
    <w:rsid w:val="00212436"/>
    <w:rsid w:val="00213E77"/>
    <w:rsid w:val="002154D3"/>
    <w:rsid w:val="00221473"/>
    <w:rsid w:val="0022584F"/>
    <w:rsid w:val="00227CD9"/>
    <w:rsid w:val="002317AB"/>
    <w:rsid w:val="0023214F"/>
    <w:rsid w:val="0023287C"/>
    <w:rsid w:val="002408C8"/>
    <w:rsid w:val="0024234C"/>
    <w:rsid w:val="00242A5F"/>
    <w:rsid w:val="00250613"/>
    <w:rsid w:val="00255171"/>
    <w:rsid w:val="00280BB0"/>
    <w:rsid w:val="00287160"/>
    <w:rsid w:val="00287F65"/>
    <w:rsid w:val="00292BD7"/>
    <w:rsid w:val="002A6ADF"/>
    <w:rsid w:val="002A6E18"/>
    <w:rsid w:val="002C51FC"/>
    <w:rsid w:val="002D2464"/>
    <w:rsid w:val="002D2792"/>
    <w:rsid w:val="002D3FD5"/>
    <w:rsid w:val="002E0F67"/>
    <w:rsid w:val="002E3D6B"/>
    <w:rsid w:val="002E773F"/>
    <w:rsid w:val="002F4694"/>
    <w:rsid w:val="002F61AB"/>
    <w:rsid w:val="002F6E16"/>
    <w:rsid w:val="002F76D6"/>
    <w:rsid w:val="002F7EDA"/>
    <w:rsid w:val="00300698"/>
    <w:rsid w:val="003037C2"/>
    <w:rsid w:val="00305E35"/>
    <w:rsid w:val="00312276"/>
    <w:rsid w:val="00314CBA"/>
    <w:rsid w:val="003228A7"/>
    <w:rsid w:val="00324719"/>
    <w:rsid w:val="00326CAF"/>
    <w:rsid w:val="00336686"/>
    <w:rsid w:val="00346BFA"/>
    <w:rsid w:val="00350599"/>
    <w:rsid w:val="003529DB"/>
    <w:rsid w:val="0036070F"/>
    <w:rsid w:val="00364AA8"/>
    <w:rsid w:val="0037181E"/>
    <w:rsid w:val="00372D78"/>
    <w:rsid w:val="00377B3E"/>
    <w:rsid w:val="003814EB"/>
    <w:rsid w:val="0038335E"/>
    <w:rsid w:val="00386E0A"/>
    <w:rsid w:val="00392E10"/>
    <w:rsid w:val="00397036"/>
    <w:rsid w:val="003A06B4"/>
    <w:rsid w:val="003B4006"/>
    <w:rsid w:val="003B6289"/>
    <w:rsid w:val="003B62B8"/>
    <w:rsid w:val="003C31C2"/>
    <w:rsid w:val="003C453D"/>
    <w:rsid w:val="003C5384"/>
    <w:rsid w:val="003D3B1E"/>
    <w:rsid w:val="003F10C8"/>
    <w:rsid w:val="003F47A1"/>
    <w:rsid w:val="003F506D"/>
    <w:rsid w:val="003F767A"/>
    <w:rsid w:val="0041084D"/>
    <w:rsid w:val="00412C79"/>
    <w:rsid w:val="004228B1"/>
    <w:rsid w:val="004313B4"/>
    <w:rsid w:val="004324F6"/>
    <w:rsid w:val="004329C1"/>
    <w:rsid w:val="004338CB"/>
    <w:rsid w:val="00437C2A"/>
    <w:rsid w:val="00450193"/>
    <w:rsid w:val="00454CAB"/>
    <w:rsid w:val="0045676E"/>
    <w:rsid w:val="00462BDF"/>
    <w:rsid w:val="004653DB"/>
    <w:rsid w:val="00466C20"/>
    <w:rsid w:val="00475684"/>
    <w:rsid w:val="004834FB"/>
    <w:rsid w:val="00485387"/>
    <w:rsid w:val="0048730D"/>
    <w:rsid w:val="004921D5"/>
    <w:rsid w:val="004945B9"/>
    <w:rsid w:val="004946FB"/>
    <w:rsid w:val="0049787F"/>
    <w:rsid w:val="004A3460"/>
    <w:rsid w:val="004A4A8B"/>
    <w:rsid w:val="004A7D90"/>
    <w:rsid w:val="004B7749"/>
    <w:rsid w:val="004C631D"/>
    <w:rsid w:val="004C6842"/>
    <w:rsid w:val="004D31D5"/>
    <w:rsid w:val="004D49A8"/>
    <w:rsid w:val="004D4BDB"/>
    <w:rsid w:val="004D78F1"/>
    <w:rsid w:val="004E106D"/>
    <w:rsid w:val="004E6320"/>
    <w:rsid w:val="004E66E2"/>
    <w:rsid w:val="004F750C"/>
    <w:rsid w:val="00504140"/>
    <w:rsid w:val="005165AA"/>
    <w:rsid w:val="00516678"/>
    <w:rsid w:val="00521290"/>
    <w:rsid w:val="005252DA"/>
    <w:rsid w:val="005307E7"/>
    <w:rsid w:val="0053102D"/>
    <w:rsid w:val="00533703"/>
    <w:rsid w:val="00533EB8"/>
    <w:rsid w:val="005346F1"/>
    <w:rsid w:val="005349F8"/>
    <w:rsid w:val="00544284"/>
    <w:rsid w:val="005471B4"/>
    <w:rsid w:val="00551208"/>
    <w:rsid w:val="0055746F"/>
    <w:rsid w:val="0056403D"/>
    <w:rsid w:val="005700E8"/>
    <w:rsid w:val="0057243F"/>
    <w:rsid w:val="00572555"/>
    <w:rsid w:val="005737C2"/>
    <w:rsid w:val="005747A1"/>
    <w:rsid w:val="00577455"/>
    <w:rsid w:val="00577FEC"/>
    <w:rsid w:val="0058159C"/>
    <w:rsid w:val="005845A0"/>
    <w:rsid w:val="00587AA3"/>
    <w:rsid w:val="00587C96"/>
    <w:rsid w:val="00590C06"/>
    <w:rsid w:val="00591DF0"/>
    <w:rsid w:val="005A06D7"/>
    <w:rsid w:val="005B6589"/>
    <w:rsid w:val="005B7A54"/>
    <w:rsid w:val="005B7C0E"/>
    <w:rsid w:val="005B7E5E"/>
    <w:rsid w:val="005C13A7"/>
    <w:rsid w:val="005C1736"/>
    <w:rsid w:val="005C7E8A"/>
    <w:rsid w:val="005D0E63"/>
    <w:rsid w:val="005D27FC"/>
    <w:rsid w:val="005D441F"/>
    <w:rsid w:val="005D6C0C"/>
    <w:rsid w:val="005D7F7B"/>
    <w:rsid w:val="005E0761"/>
    <w:rsid w:val="005F6075"/>
    <w:rsid w:val="005F6B7B"/>
    <w:rsid w:val="006032A5"/>
    <w:rsid w:val="00605138"/>
    <w:rsid w:val="00611E0F"/>
    <w:rsid w:val="00613435"/>
    <w:rsid w:val="00614465"/>
    <w:rsid w:val="00617633"/>
    <w:rsid w:val="00617905"/>
    <w:rsid w:val="00621CED"/>
    <w:rsid w:val="006243E6"/>
    <w:rsid w:val="00625425"/>
    <w:rsid w:val="00625EAD"/>
    <w:rsid w:val="0062766A"/>
    <w:rsid w:val="00627DE9"/>
    <w:rsid w:val="00630EA2"/>
    <w:rsid w:val="00634F34"/>
    <w:rsid w:val="0063729A"/>
    <w:rsid w:val="00637C4C"/>
    <w:rsid w:val="006576EF"/>
    <w:rsid w:val="006608BF"/>
    <w:rsid w:val="00663688"/>
    <w:rsid w:val="006644B4"/>
    <w:rsid w:val="00666DEB"/>
    <w:rsid w:val="00666E8A"/>
    <w:rsid w:val="00667373"/>
    <w:rsid w:val="006716D7"/>
    <w:rsid w:val="0068641E"/>
    <w:rsid w:val="00690D18"/>
    <w:rsid w:val="006913E6"/>
    <w:rsid w:val="00694FB6"/>
    <w:rsid w:val="006A202A"/>
    <w:rsid w:val="006A403E"/>
    <w:rsid w:val="006B4B32"/>
    <w:rsid w:val="006B7D40"/>
    <w:rsid w:val="006C6029"/>
    <w:rsid w:val="006D154B"/>
    <w:rsid w:val="006F5BCB"/>
    <w:rsid w:val="0070221E"/>
    <w:rsid w:val="00704D55"/>
    <w:rsid w:val="00705332"/>
    <w:rsid w:val="00705F3B"/>
    <w:rsid w:val="00706249"/>
    <w:rsid w:val="007064A3"/>
    <w:rsid w:val="00706A8F"/>
    <w:rsid w:val="00707800"/>
    <w:rsid w:val="007132C3"/>
    <w:rsid w:val="00714302"/>
    <w:rsid w:val="007146C0"/>
    <w:rsid w:val="00715A7E"/>
    <w:rsid w:val="00715E86"/>
    <w:rsid w:val="0072180E"/>
    <w:rsid w:val="00723F05"/>
    <w:rsid w:val="00725DB4"/>
    <w:rsid w:val="00727391"/>
    <w:rsid w:val="00740518"/>
    <w:rsid w:val="00742BAE"/>
    <w:rsid w:val="00754228"/>
    <w:rsid w:val="0075474E"/>
    <w:rsid w:val="00761CC8"/>
    <w:rsid w:val="00763D0B"/>
    <w:rsid w:val="00766F86"/>
    <w:rsid w:val="00771F0A"/>
    <w:rsid w:val="0078346A"/>
    <w:rsid w:val="00783749"/>
    <w:rsid w:val="00783858"/>
    <w:rsid w:val="007863FB"/>
    <w:rsid w:val="007875EC"/>
    <w:rsid w:val="00793766"/>
    <w:rsid w:val="007952F6"/>
    <w:rsid w:val="007A015A"/>
    <w:rsid w:val="007A386B"/>
    <w:rsid w:val="007A626F"/>
    <w:rsid w:val="007B4E80"/>
    <w:rsid w:val="007B5CF3"/>
    <w:rsid w:val="007C4F9E"/>
    <w:rsid w:val="007D007F"/>
    <w:rsid w:val="007E14AB"/>
    <w:rsid w:val="007E24CE"/>
    <w:rsid w:val="007F10DB"/>
    <w:rsid w:val="007F52D8"/>
    <w:rsid w:val="007F5DCC"/>
    <w:rsid w:val="007F6387"/>
    <w:rsid w:val="00801499"/>
    <w:rsid w:val="00806234"/>
    <w:rsid w:val="0080672A"/>
    <w:rsid w:val="008106BE"/>
    <w:rsid w:val="00811BB0"/>
    <w:rsid w:val="00811EB1"/>
    <w:rsid w:val="00811ED1"/>
    <w:rsid w:val="00812197"/>
    <w:rsid w:val="008149D2"/>
    <w:rsid w:val="008171AC"/>
    <w:rsid w:val="00824E1D"/>
    <w:rsid w:val="00824E5D"/>
    <w:rsid w:val="0082637C"/>
    <w:rsid w:val="008264B5"/>
    <w:rsid w:val="00827EE6"/>
    <w:rsid w:val="00831B90"/>
    <w:rsid w:val="00831C18"/>
    <w:rsid w:val="00832F6A"/>
    <w:rsid w:val="00834E65"/>
    <w:rsid w:val="00844B9B"/>
    <w:rsid w:val="0084751D"/>
    <w:rsid w:val="00857B52"/>
    <w:rsid w:val="0086006E"/>
    <w:rsid w:val="00862756"/>
    <w:rsid w:val="008657CE"/>
    <w:rsid w:val="0086611B"/>
    <w:rsid w:val="008661AF"/>
    <w:rsid w:val="008714BF"/>
    <w:rsid w:val="00871D8C"/>
    <w:rsid w:val="00875667"/>
    <w:rsid w:val="00880368"/>
    <w:rsid w:val="00881AA3"/>
    <w:rsid w:val="00881AF8"/>
    <w:rsid w:val="00882F8D"/>
    <w:rsid w:val="00884410"/>
    <w:rsid w:val="00887D24"/>
    <w:rsid w:val="00897B2A"/>
    <w:rsid w:val="008A3467"/>
    <w:rsid w:val="008A737C"/>
    <w:rsid w:val="008B2887"/>
    <w:rsid w:val="008B6DE1"/>
    <w:rsid w:val="008C083C"/>
    <w:rsid w:val="008C0BFE"/>
    <w:rsid w:val="008C52C2"/>
    <w:rsid w:val="008D0668"/>
    <w:rsid w:val="008D23D2"/>
    <w:rsid w:val="008E1082"/>
    <w:rsid w:val="008F1069"/>
    <w:rsid w:val="008F17DF"/>
    <w:rsid w:val="008F19B8"/>
    <w:rsid w:val="008F3C81"/>
    <w:rsid w:val="008F7448"/>
    <w:rsid w:val="009060D7"/>
    <w:rsid w:val="00911FF3"/>
    <w:rsid w:val="009136C0"/>
    <w:rsid w:val="00914959"/>
    <w:rsid w:val="009212BA"/>
    <w:rsid w:val="00925D96"/>
    <w:rsid w:val="00932953"/>
    <w:rsid w:val="0093381F"/>
    <w:rsid w:val="009355C8"/>
    <w:rsid w:val="0093657C"/>
    <w:rsid w:val="00940713"/>
    <w:rsid w:val="0094184B"/>
    <w:rsid w:val="00941E19"/>
    <w:rsid w:val="009510A3"/>
    <w:rsid w:val="00963D40"/>
    <w:rsid w:val="00970C75"/>
    <w:rsid w:val="00975BDC"/>
    <w:rsid w:val="0098277E"/>
    <w:rsid w:val="00983266"/>
    <w:rsid w:val="009875CD"/>
    <w:rsid w:val="009A2714"/>
    <w:rsid w:val="009A296C"/>
    <w:rsid w:val="009A37AB"/>
    <w:rsid w:val="009B4065"/>
    <w:rsid w:val="009C3E7C"/>
    <w:rsid w:val="009C7128"/>
    <w:rsid w:val="009D1514"/>
    <w:rsid w:val="009D2DFA"/>
    <w:rsid w:val="009E3792"/>
    <w:rsid w:val="009F2E87"/>
    <w:rsid w:val="009F77BF"/>
    <w:rsid w:val="00A00531"/>
    <w:rsid w:val="00A0081E"/>
    <w:rsid w:val="00A02A96"/>
    <w:rsid w:val="00A15E89"/>
    <w:rsid w:val="00A2589D"/>
    <w:rsid w:val="00A3075E"/>
    <w:rsid w:val="00A344CD"/>
    <w:rsid w:val="00A3541F"/>
    <w:rsid w:val="00A376E0"/>
    <w:rsid w:val="00A379D7"/>
    <w:rsid w:val="00A37D04"/>
    <w:rsid w:val="00A403CC"/>
    <w:rsid w:val="00A5793D"/>
    <w:rsid w:val="00A61BF2"/>
    <w:rsid w:val="00A70DF9"/>
    <w:rsid w:val="00A756C2"/>
    <w:rsid w:val="00A75A6D"/>
    <w:rsid w:val="00A75A9D"/>
    <w:rsid w:val="00A82D0B"/>
    <w:rsid w:val="00A8390B"/>
    <w:rsid w:val="00A83C8C"/>
    <w:rsid w:val="00A90CBB"/>
    <w:rsid w:val="00A927AD"/>
    <w:rsid w:val="00A92D0A"/>
    <w:rsid w:val="00A95C11"/>
    <w:rsid w:val="00AA57B5"/>
    <w:rsid w:val="00AB4BD3"/>
    <w:rsid w:val="00AC1A80"/>
    <w:rsid w:val="00AC20FE"/>
    <w:rsid w:val="00AC79E6"/>
    <w:rsid w:val="00AD4F5C"/>
    <w:rsid w:val="00AE0D2E"/>
    <w:rsid w:val="00AE2804"/>
    <w:rsid w:val="00AE41C2"/>
    <w:rsid w:val="00AE4506"/>
    <w:rsid w:val="00AE48C0"/>
    <w:rsid w:val="00AE6022"/>
    <w:rsid w:val="00AE6CE0"/>
    <w:rsid w:val="00AF383A"/>
    <w:rsid w:val="00AF7348"/>
    <w:rsid w:val="00B05217"/>
    <w:rsid w:val="00B142FF"/>
    <w:rsid w:val="00B21C1D"/>
    <w:rsid w:val="00B24767"/>
    <w:rsid w:val="00B300AA"/>
    <w:rsid w:val="00B30E97"/>
    <w:rsid w:val="00B319AF"/>
    <w:rsid w:val="00B46DA4"/>
    <w:rsid w:val="00B53AA9"/>
    <w:rsid w:val="00B53F06"/>
    <w:rsid w:val="00B54B73"/>
    <w:rsid w:val="00B57C1B"/>
    <w:rsid w:val="00B645C9"/>
    <w:rsid w:val="00B80A32"/>
    <w:rsid w:val="00B81076"/>
    <w:rsid w:val="00B82EB3"/>
    <w:rsid w:val="00B84E8B"/>
    <w:rsid w:val="00B85929"/>
    <w:rsid w:val="00B91312"/>
    <w:rsid w:val="00BA30C3"/>
    <w:rsid w:val="00BA4386"/>
    <w:rsid w:val="00BA65F3"/>
    <w:rsid w:val="00BB0452"/>
    <w:rsid w:val="00BB3FE7"/>
    <w:rsid w:val="00BB40CA"/>
    <w:rsid w:val="00BC22B8"/>
    <w:rsid w:val="00BC3313"/>
    <w:rsid w:val="00BC5FEA"/>
    <w:rsid w:val="00BD6C23"/>
    <w:rsid w:val="00BE13A6"/>
    <w:rsid w:val="00BE500F"/>
    <w:rsid w:val="00BE74FF"/>
    <w:rsid w:val="00BF08C0"/>
    <w:rsid w:val="00BF1D97"/>
    <w:rsid w:val="00BF1D9D"/>
    <w:rsid w:val="00BF6CC6"/>
    <w:rsid w:val="00C010D4"/>
    <w:rsid w:val="00C0361B"/>
    <w:rsid w:val="00C11EF3"/>
    <w:rsid w:val="00C12060"/>
    <w:rsid w:val="00C1279D"/>
    <w:rsid w:val="00C2289A"/>
    <w:rsid w:val="00C325A5"/>
    <w:rsid w:val="00C33897"/>
    <w:rsid w:val="00C34F36"/>
    <w:rsid w:val="00C45945"/>
    <w:rsid w:val="00C50FFF"/>
    <w:rsid w:val="00C51514"/>
    <w:rsid w:val="00C668A6"/>
    <w:rsid w:val="00C70284"/>
    <w:rsid w:val="00C72235"/>
    <w:rsid w:val="00C80643"/>
    <w:rsid w:val="00C81E06"/>
    <w:rsid w:val="00C82AED"/>
    <w:rsid w:val="00C83AEA"/>
    <w:rsid w:val="00C9010A"/>
    <w:rsid w:val="00CA04E8"/>
    <w:rsid w:val="00CA2B54"/>
    <w:rsid w:val="00CA7E34"/>
    <w:rsid w:val="00CA7EAF"/>
    <w:rsid w:val="00CB497C"/>
    <w:rsid w:val="00CB4E2E"/>
    <w:rsid w:val="00CB4E6A"/>
    <w:rsid w:val="00CC01FD"/>
    <w:rsid w:val="00CC3648"/>
    <w:rsid w:val="00CC3E08"/>
    <w:rsid w:val="00CC66D3"/>
    <w:rsid w:val="00CD3711"/>
    <w:rsid w:val="00CD45B0"/>
    <w:rsid w:val="00CD57C6"/>
    <w:rsid w:val="00CD5EC5"/>
    <w:rsid w:val="00CE1F97"/>
    <w:rsid w:val="00CE603E"/>
    <w:rsid w:val="00CE7541"/>
    <w:rsid w:val="00CF045D"/>
    <w:rsid w:val="00CF2C43"/>
    <w:rsid w:val="00CF6EE4"/>
    <w:rsid w:val="00D07031"/>
    <w:rsid w:val="00D12966"/>
    <w:rsid w:val="00D15CBD"/>
    <w:rsid w:val="00D318CA"/>
    <w:rsid w:val="00D40F52"/>
    <w:rsid w:val="00D413D0"/>
    <w:rsid w:val="00D42B4C"/>
    <w:rsid w:val="00D43F97"/>
    <w:rsid w:val="00D4439B"/>
    <w:rsid w:val="00D61399"/>
    <w:rsid w:val="00D620F6"/>
    <w:rsid w:val="00D64537"/>
    <w:rsid w:val="00D6475E"/>
    <w:rsid w:val="00D64CC8"/>
    <w:rsid w:val="00D64FD9"/>
    <w:rsid w:val="00D67A76"/>
    <w:rsid w:val="00D72563"/>
    <w:rsid w:val="00D7323A"/>
    <w:rsid w:val="00D84A79"/>
    <w:rsid w:val="00D93FCD"/>
    <w:rsid w:val="00DA1251"/>
    <w:rsid w:val="00DA196E"/>
    <w:rsid w:val="00DB158D"/>
    <w:rsid w:val="00DB1A3B"/>
    <w:rsid w:val="00DB71B8"/>
    <w:rsid w:val="00DC5DCF"/>
    <w:rsid w:val="00DD00B0"/>
    <w:rsid w:val="00DE1E4A"/>
    <w:rsid w:val="00DE4770"/>
    <w:rsid w:val="00DE7F90"/>
    <w:rsid w:val="00DF2674"/>
    <w:rsid w:val="00DF633E"/>
    <w:rsid w:val="00DF7DFA"/>
    <w:rsid w:val="00E035F3"/>
    <w:rsid w:val="00E05A16"/>
    <w:rsid w:val="00E07750"/>
    <w:rsid w:val="00E17A76"/>
    <w:rsid w:val="00E20866"/>
    <w:rsid w:val="00E32753"/>
    <w:rsid w:val="00E53A6A"/>
    <w:rsid w:val="00E55678"/>
    <w:rsid w:val="00E60AFB"/>
    <w:rsid w:val="00E61CC2"/>
    <w:rsid w:val="00E634C1"/>
    <w:rsid w:val="00E66311"/>
    <w:rsid w:val="00E71C84"/>
    <w:rsid w:val="00E74D8F"/>
    <w:rsid w:val="00E803A5"/>
    <w:rsid w:val="00E8149E"/>
    <w:rsid w:val="00E8355A"/>
    <w:rsid w:val="00E8551C"/>
    <w:rsid w:val="00E93F89"/>
    <w:rsid w:val="00EA180A"/>
    <w:rsid w:val="00EA1B13"/>
    <w:rsid w:val="00EA2D92"/>
    <w:rsid w:val="00EB70BE"/>
    <w:rsid w:val="00EC57AB"/>
    <w:rsid w:val="00EC6738"/>
    <w:rsid w:val="00ED2243"/>
    <w:rsid w:val="00EE625A"/>
    <w:rsid w:val="00EF2611"/>
    <w:rsid w:val="00EF6A70"/>
    <w:rsid w:val="00F00DDC"/>
    <w:rsid w:val="00F03395"/>
    <w:rsid w:val="00F034A5"/>
    <w:rsid w:val="00F039D1"/>
    <w:rsid w:val="00F07AB8"/>
    <w:rsid w:val="00F14FC8"/>
    <w:rsid w:val="00F15A60"/>
    <w:rsid w:val="00F17AC2"/>
    <w:rsid w:val="00F235A9"/>
    <w:rsid w:val="00F23ACC"/>
    <w:rsid w:val="00F23E67"/>
    <w:rsid w:val="00F24A3A"/>
    <w:rsid w:val="00F32111"/>
    <w:rsid w:val="00F3228E"/>
    <w:rsid w:val="00F42292"/>
    <w:rsid w:val="00F42BB3"/>
    <w:rsid w:val="00F44B6C"/>
    <w:rsid w:val="00F467DE"/>
    <w:rsid w:val="00F51E10"/>
    <w:rsid w:val="00F5789D"/>
    <w:rsid w:val="00F57FF4"/>
    <w:rsid w:val="00F64892"/>
    <w:rsid w:val="00F71157"/>
    <w:rsid w:val="00F7328F"/>
    <w:rsid w:val="00F73878"/>
    <w:rsid w:val="00F81ACC"/>
    <w:rsid w:val="00F91266"/>
    <w:rsid w:val="00F96456"/>
    <w:rsid w:val="00F97207"/>
    <w:rsid w:val="00FA085B"/>
    <w:rsid w:val="00FA25E2"/>
    <w:rsid w:val="00FA6387"/>
    <w:rsid w:val="00FA6422"/>
    <w:rsid w:val="00FE20B2"/>
    <w:rsid w:val="00FE5BB7"/>
    <w:rsid w:val="00FE76D6"/>
    <w:rsid w:val="00FF16B2"/>
    <w:rsid w:val="00FF21CF"/>
    <w:rsid w:val="00FF37DE"/>
    <w:rsid w:val="00FF52F1"/>
    <w:rsid w:val="03C648B8"/>
    <w:rsid w:val="04525DA3"/>
    <w:rsid w:val="06F3181D"/>
    <w:rsid w:val="0AFB3E85"/>
    <w:rsid w:val="0B5741B7"/>
    <w:rsid w:val="0BD66782"/>
    <w:rsid w:val="0DA00E1A"/>
    <w:rsid w:val="0F503D66"/>
    <w:rsid w:val="0FA04C83"/>
    <w:rsid w:val="104A18C6"/>
    <w:rsid w:val="10AA709D"/>
    <w:rsid w:val="15FD2AA2"/>
    <w:rsid w:val="1BBE18BB"/>
    <w:rsid w:val="1D077663"/>
    <w:rsid w:val="1E004AD3"/>
    <w:rsid w:val="1E1B37B3"/>
    <w:rsid w:val="1F3E18CF"/>
    <w:rsid w:val="1FFA20F8"/>
    <w:rsid w:val="207F7CDD"/>
    <w:rsid w:val="215F13D6"/>
    <w:rsid w:val="260A59D6"/>
    <w:rsid w:val="270B2D9A"/>
    <w:rsid w:val="28B6679D"/>
    <w:rsid w:val="30033D52"/>
    <w:rsid w:val="31760564"/>
    <w:rsid w:val="334E7C7B"/>
    <w:rsid w:val="34887492"/>
    <w:rsid w:val="34D26E21"/>
    <w:rsid w:val="34D468C3"/>
    <w:rsid w:val="383E2AC3"/>
    <w:rsid w:val="38DC3946"/>
    <w:rsid w:val="3977357B"/>
    <w:rsid w:val="3A565D9D"/>
    <w:rsid w:val="3BFD208C"/>
    <w:rsid w:val="3C015002"/>
    <w:rsid w:val="40B76032"/>
    <w:rsid w:val="41BD79E6"/>
    <w:rsid w:val="42D77239"/>
    <w:rsid w:val="439427ED"/>
    <w:rsid w:val="45CB5E48"/>
    <w:rsid w:val="45EE4394"/>
    <w:rsid w:val="472B51B8"/>
    <w:rsid w:val="48BE1B68"/>
    <w:rsid w:val="491C04BC"/>
    <w:rsid w:val="4CD12A10"/>
    <w:rsid w:val="4ECA2093"/>
    <w:rsid w:val="508B3032"/>
    <w:rsid w:val="514301B5"/>
    <w:rsid w:val="55C37F16"/>
    <w:rsid w:val="565A4028"/>
    <w:rsid w:val="57412A04"/>
    <w:rsid w:val="578E7032"/>
    <w:rsid w:val="57C40C9E"/>
    <w:rsid w:val="599C5E40"/>
    <w:rsid w:val="5B042033"/>
    <w:rsid w:val="5BD0644C"/>
    <w:rsid w:val="5D6F4606"/>
    <w:rsid w:val="5EF065FE"/>
    <w:rsid w:val="651B463E"/>
    <w:rsid w:val="663F5D84"/>
    <w:rsid w:val="67DB0571"/>
    <w:rsid w:val="684A0D7B"/>
    <w:rsid w:val="6BA830F6"/>
    <w:rsid w:val="6DBC2D7B"/>
    <w:rsid w:val="6EF44517"/>
    <w:rsid w:val="719C63DF"/>
    <w:rsid w:val="756B429C"/>
    <w:rsid w:val="78240EAC"/>
    <w:rsid w:val="7825692D"/>
    <w:rsid w:val="799022FC"/>
    <w:rsid w:val="79A537EB"/>
    <w:rsid w:val="79E85590"/>
    <w:rsid w:val="7AD33C0D"/>
    <w:rsid w:val="7B432FC7"/>
    <w:rsid w:val="7C22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409780"/>
  <w15:docId w15:val="{C0FD2B39-469F-4880-A84F-3E2CF846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Indent">
    <w:name w:val="Body Text Indent"/>
    <w:basedOn w:val="Normal"/>
    <w:qFormat/>
    <w:pPr>
      <w:ind w:left="630" w:hanging="630"/>
    </w:pPr>
    <w:rPr>
      <w:szCs w:val="24"/>
    </w:rPr>
  </w:style>
  <w:style w:type="character" w:styleId="Emphasis">
    <w:name w:val="Emphasis"/>
    <w:basedOn w:val="DefaultParagraphFont"/>
    <w:uiPriority w:val="20"/>
    <w:qFormat/>
    <w:rPr>
      <w:i/>
      <w:iCs/>
    </w:rPr>
  </w:style>
  <w:style w:type="character" w:styleId="EndnoteReference">
    <w:name w:val="endnote reference"/>
    <w:semiHidden/>
    <w:qFormat/>
    <w:rPr>
      <w:rFonts w:cs="Times New Roman"/>
      <w:vertAlign w:val="superscript"/>
    </w:rPr>
  </w:style>
  <w:style w:type="paragraph" w:styleId="EndnoteText">
    <w:name w:val="endnote text"/>
    <w:basedOn w:val="Normal"/>
    <w:semiHidden/>
    <w:qFormat/>
  </w:style>
  <w:style w:type="character" w:styleId="FollowedHyperlink">
    <w:name w:val="FollowedHyperlink"/>
    <w:qFormat/>
    <w:rPr>
      <w:rFonts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rFonts w:cs="Times New Roman"/>
      <w:vertAlign w:val="superscript"/>
    </w:rPr>
  </w:style>
  <w:style w:type="paragraph" w:styleId="FootnoteText">
    <w:name w:val="footnote text"/>
    <w:basedOn w:val="Normal"/>
    <w:semiHidden/>
    <w:qFormat/>
    <w:pPr>
      <w:ind w:firstLine="202"/>
      <w:jc w:val="both"/>
    </w:pPr>
    <w:rPr>
      <w:sz w:val="16"/>
      <w:szCs w:val="16"/>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rFonts w:cs="Times New Roman"/>
      <w:color w:val="0000FF"/>
      <w:u w:val="single"/>
    </w:rPr>
  </w:style>
  <w:style w:type="paragraph" w:styleId="NormalWeb">
    <w:name w:val="Normal (Web)"/>
    <w:uiPriority w:val="99"/>
    <w:unhideWhenUsed/>
    <w:qFormat/>
    <w:pPr>
      <w:spacing w:beforeAutospacing="1" w:afterAutospacing="1"/>
    </w:pPr>
    <w:rPr>
      <w:rFonts w:eastAsia="SimSun"/>
      <w:sz w:val="24"/>
      <w:szCs w:val="24"/>
      <w:lang w:eastAsia="zh-CN"/>
    </w:rPr>
  </w:style>
  <w:style w:type="character" w:styleId="PageNumber">
    <w:name w:val="page number"/>
    <w:qFormat/>
    <w:rPr>
      <w:rFonts w:cs="Times New Roman"/>
    </w:rPr>
  </w:style>
  <w:style w:type="character" w:styleId="Strong">
    <w:name w:val="Strong"/>
    <w:uiPriority w:val="22"/>
    <w:qFormat/>
    <w:rPr>
      <w:b/>
      <w:bCs/>
    </w:rPr>
  </w:style>
  <w:style w:type="table" w:styleId="TableGrid">
    <w:name w:val="Table Grid"/>
    <w:basedOn w:val="TableNormal"/>
    <w:uiPriority w:val="39"/>
    <w:qFormat/>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qFormat/>
    <w:rPr>
      <w:rFonts w:ascii="Times New Roman" w:hAnsi="Times New Roman" w:cs="Times New Roman"/>
      <w:i/>
      <w:iCs/>
      <w:sz w:val="22"/>
      <w:szCs w:val="22"/>
    </w:rPr>
  </w:style>
  <w:style w:type="paragraph" w:customStyle="1" w:styleId="References">
    <w:name w:val="References"/>
    <w:basedOn w:val="Normal"/>
    <w:qFormat/>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qFormat/>
    <w:pPr>
      <w:widowControl w:val="0"/>
      <w:spacing w:line="252" w:lineRule="auto"/>
      <w:ind w:firstLine="202"/>
      <w:jc w:val="both"/>
    </w:pPr>
  </w:style>
  <w:style w:type="paragraph" w:customStyle="1" w:styleId="FigureCaption">
    <w:name w:val="Figure Caption"/>
    <w:basedOn w:val="Normal"/>
    <w:qFormat/>
    <w:pPr>
      <w:jc w:val="both"/>
    </w:pPr>
    <w:rPr>
      <w:sz w:val="16"/>
      <w:szCs w:val="16"/>
    </w:r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Heading1"/>
    <w:qFormat/>
    <w:pPr>
      <w:numPr>
        <w:numId w:val="0"/>
      </w:numPr>
    </w:pPr>
  </w:style>
  <w:style w:type="paragraph" w:customStyle="1" w:styleId="Equation">
    <w:name w:val="Equation"/>
    <w:basedOn w:val="Normal"/>
    <w:next w:val="Normal"/>
    <w:qFormat/>
    <w:pPr>
      <w:widowControl w:val="0"/>
      <w:tabs>
        <w:tab w:val="right" w:pos="5040"/>
      </w:tabs>
      <w:spacing w:line="252" w:lineRule="auto"/>
      <w:jc w:val="both"/>
    </w:pPr>
  </w:style>
  <w:style w:type="paragraph" w:customStyle="1" w:styleId="Reference">
    <w:name w:val="Reference"/>
    <w:basedOn w:val="Normal"/>
    <w:qFormat/>
    <w:pPr>
      <w:autoSpaceDE/>
      <w:autoSpaceDN/>
      <w:spacing w:line="360" w:lineRule="auto"/>
      <w:ind w:left="360" w:hanging="360"/>
    </w:pPr>
    <w:rPr>
      <w:sz w:val="24"/>
      <w:lang w:val="en-AU"/>
    </w:rPr>
  </w:style>
  <w:style w:type="paragraph" w:customStyle="1" w:styleId="AutoBiography">
    <w:name w:val="AutoBiography"/>
    <w:basedOn w:val="Reference"/>
    <w:qFormat/>
    <w:pPr>
      <w:spacing w:line="240" w:lineRule="auto"/>
      <w:ind w:left="0" w:firstLine="0"/>
      <w:jc w:val="both"/>
    </w:pPr>
    <w:rPr>
      <w:rFonts w:eastAsia="MS Mincho"/>
      <w:sz w:val="18"/>
      <w:szCs w:val="18"/>
      <w:lang w:val="en-US"/>
    </w:rPr>
  </w:style>
  <w:style w:type="paragraph" w:customStyle="1" w:styleId="TableCaption">
    <w:name w:val="TableCaption"/>
    <w:basedOn w:val="Normal"/>
    <w:qFormat/>
    <w:pPr>
      <w:keepLines/>
      <w:autoSpaceDE/>
      <w:autoSpaceDN/>
      <w:spacing w:beforeLines="100"/>
      <w:jc w:val="center"/>
    </w:pPr>
    <w:rPr>
      <w:rFonts w:eastAsia="MS Mincho"/>
      <w:color w:val="000000"/>
      <w:sz w:val="16"/>
      <w:szCs w:val="16"/>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qFormat/>
    <w:rPr>
      <w:rFonts w:ascii="Tahoma" w:hAnsi="Tahoma" w:cs="Tahoma"/>
      <w:sz w:val="16"/>
      <w:szCs w:val="16"/>
    </w:rPr>
  </w:style>
  <w:style w:type="paragraph" w:styleId="NoSpacing">
    <w:name w:val="No Spacing"/>
    <w:uiPriority w:val="1"/>
    <w:qFormat/>
    <w:rPr>
      <w:rFonts w:asciiTheme="minorHAnsi" w:eastAsiaTheme="minorHAnsi" w:hAnsiTheme="minorHAnsi" w:cstheme="minorBidi"/>
      <w:sz w:val="22"/>
      <w:szCs w:val="22"/>
      <w:lang w:val="en-PH"/>
    </w:rPr>
  </w:style>
  <w:style w:type="paragraph" w:styleId="ListParagraph">
    <w:name w:val="List Paragraph"/>
    <w:basedOn w:val="Normal"/>
    <w:uiPriority w:val="34"/>
    <w:qFormat/>
    <w:pPr>
      <w:autoSpaceDE/>
      <w:autoSpaceDN/>
      <w:spacing w:after="160" w:line="259" w:lineRule="auto"/>
      <w:ind w:left="720"/>
      <w:contextualSpacing/>
    </w:pPr>
    <w:rPr>
      <w:rFonts w:asciiTheme="minorHAnsi" w:eastAsiaTheme="minorHAnsi" w:hAnsiTheme="minorHAnsi" w:cstheme="minorBidi"/>
      <w:sz w:val="22"/>
      <w:szCs w:val="22"/>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21">
    <w:name w:val="Plain Table 21"/>
    <w:basedOn w:val="TableNormal"/>
    <w:uiPriority w:val="42"/>
    <w:rsid w:val="001018B5"/>
    <w:rPr>
      <w:rFonts w:asciiTheme="minorHAnsi" w:eastAsiaTheme="minorHAnsi" w:hAnsiTheme="minorHAnsi" w:cstheme="minorBidi"/>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D6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lotaoloalven18@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larbamyell62210@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iefe.saga@msubuug.edu.ph" TargetMode="External"/><Relationship Id="rId4" Type="http://schemas.openxmlformats.org/officeDocument/2006/relationships/webSettings" Target="webSettings.xml"/><Relationship Id="rId9" Type="http://schemas.openxmlformats.org/officeDocument/2006/relationships/hyperlink" Target="mailto:maryjoy.deguzman@msubuug.edu.p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6875</Words>
  <Characters>39192</Characters>
  <Application>Microsoft Office Word</Application>
  <DocSecurity>0</DocSecurity>
  <Lines>326</Lines>
  <Paragraphs>91</Paragraphs>
  <ScaleCrop>false</ScaleCrop>
  <Company/>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IJSR Paper Format</dc:title>
  <dc:subject>Instructions for IJCNS</dc:subject>
  <dc:creator>International Journal of Science and Research (IJSR)</dc:creator>
  <cp:keywords>International Journal of Science and Research (IJSR)</cp:keywords>
  <cp:lastModifiedBy>Ryma de Guzman</cp:lastModifiedBy>
  <cp:revision>45</cp:revision>
  <cp:lastPrinted>2005-10-28T10:18:00Z</cp:lastPrinted>
  <dcterms:created xsi:type="dcterms:W3CDTF">2026-05-12T05:34:00Z</dcterms:created>
  <dcterms:modified xsi:type="dcterms:W3CDTF">2026-05-12T06:06:00Z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882c88626c4641746f0b0548f84059ed4807b3b7c74a4a88716dcd202586e4fc</vt:lpwstr>
  </property>
  <property fmtid="{D5CDD505-2E9C-101B-9397-08002B2CF9AE}" pid="3" name="KSOProductBuildVer">
    <vt:lpwstr>1033-12.2.0.20795</vt:lpwstr>
  </property>
  <property fmtid="{D5CDD505-2E9C-101B-9397-08002B2CF9AE}" pid="4" name="ICV">
    <vt:lpwstr>CF20192DAB744AD9AC649438AC3C55D0_13</vt:lpwstr>
  </property>
</Properties>
</file>