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18325" w14:textId="1D137390" w:rsidR="004C2398" w:rsidRPr="00454386" w:rsidRDefault="009014E1" w:rsidP="00E213F7">
      <w:pPr>
        <w:jc w:val="center"/>
        <w:rPr>
          <w:b/>
          <w:bCs/>
          <w:i/>
          <w:iCs/>
          <w:sz w:val="28"/>
        </w:rPr>
      </w:pPr>
      <w:r w:rsidRPr="00454386">
        <w:rPr>
          <w:b/>
          <w:bCs/>
          <w:i/>
          <w:iCs/>
          <w:sz w:val="28"/>
        </w:rPr>
        <w:t>A Study on Insurance and Banking as Catalysts of Economic Growth in India</w:t>
      </w:r>
    </w:p>
    <w:p w14:paraId="61DC56A1" w14:textId="5D426858" w:rsidR="00454386" w:rsidRPr="00B47853" w:rsidRDefault="00454386" w:rsidP="00454386">
      <w:pPr>
        <w:rPr>
          <w:rFonts w:ascii="Times New Roman" w:hAnsi="Times New Roman" w:cs="Times New Roman"/>
          <w:bCs/>
          <w:i/>
          <w:iCs/>
          <w:szCs w:val="24"/>
        </w:rPr>
      </w:pPr>
      <w:r w:rsidRPr="00B47853">
        <w:rPr>
          <w:rFonts w:ascii="Times New Roman" w:hAnsi="Times New Roman" w:cs="Times New Roman"/>
          <w:bCs/>
          <w:i/>
          <w:iCs/>
          <w:szCs w:val="24"/>
        </w:rPr>
        <w:t>Dr. Ajit Narayan Jadhav Assistant Professor Department of Commerce, Shankar Narayan College of Arts and Commerce Bhayander East, Dist. Thane E-Mail:ajitjadhavv22@gmaail.com</w:t>
      </w:r>
    </w:p>
    <w:p w14:paraId="7D78301A" w14:textId="340D5EBC" w:rsidR="00454386" w:rsidRPr="00B47853" w:rsidRDefault="00454386" w:rsidP="00454386">
      <w:pPr>
        <w:jc w:val="both"/>
        <w:rPr>
          <w:rFonts w:ascii="Times New Roman" w:hAnsi="Times New Roman" w:cs="Times New Roman"/>
          <w:bCs/>
          <w:i/>
          <w:iCs/>
          <w:szCs w:val="24"/>
        </w:rPr>
      </w:pPr>
      <w:r w:rsidRPr="00B47853">
        <w:rPr>
          <w:rFonts w:ascii="Times New Roman" w:hAnsi="Times New Roman" w:cs="Times New Roman"/>
          <w:bCs/>
          <w:i/>
          <w:iCs/>
          <w:szCs w:val="24"/>
        </w:rPr>
        <w:t xml:space="preserve">Dr. Amrita Ajit Jadhav Assistant Professor Department of Commerce, </w:t>
      </w:r>
      <w:proofErr w:type="spellStart"/>
      <w:r w:rsidRPr="00B47853">
        <w:rPr>
          <w:rFonts w:ascii="Times New Roman" w:hAnsi="Times New Roman" w:cs="Times New Roman"/>
          <w:bCs/>
          <w:i/>
          <w:iCs/>
          <w:szCs w:val="24"/>
        </w:rPr>
        <w:t>Annasaheb</w:t>
      </w:r>
      <w:proofErr w:type="spellEnd"/>
      <w:r w:rsidRPr="00B47853">
        <w:rPr>
          <w:rFonts w:ascii="Times New Roman" w:hAnsi="Times New Roman" w:cs="Times New Roman"/>
          <w:bCs/>
          <w:i/>
          <w:iCs/>
          <w:szCs w:val="24"/>
        </w:rPr>
        <w:t xml:space="preserve"> </w:t>
      </w:r>
      <w:proofErr w:type="spellStart"/>
      <w:r w:rsidRPr="00B47853">
        <w:rPr>
          <w:rFonts w:ascii="Times New Roman" w:hAnsi="Times New Roman" w:cs="Times New Roman"/>
          <w:bCs/>
          <w:i/>
          <w:iCs/>
          <w:szCs w:val="24"/>
        </w:rPr>
        <w:t>Vartak</w:t>
      </w:r>
      <w:proofErr w:type="spellEnd"/>
      <w:r w:rsidRPr="00B47853">
        <w:rPr>
          <w:rFonts w:ascii="Times New Roman" w:hAnsi="Times New Roman" w:cs="Times New Roman"/>
          <w:bCs/>
          <w:i/>
          <w:iCs/>
          <w:szCs w:val="24"/>
        </w:rPr>
        <w:t xml:space="preserve"> College, Vasai West, Dist. Palghar E-Mail: amritajadhav83@</w:t>
      </w:r>
      <w:r w:rsidRPr="00B47853">
        <w:rPr>
          <w:rFonts w:ascii="Times New Roman" w:hAnsi="Times New Roman" w:cs="Times New Roman"/>
          <w:i/>
          <w:iCs/>
          <w:szCs w:val="24"/>
        </w:rPr>
        <w:t>gmail.com</w:t>
      </w:r>
    </w:p>
    <w:p w14:paraId="7FF81C19" w14:textId="79F0EEB9" w:rsidR="00454386" w:rsidRPr="00454386" w:rsidRDefault="00454386" w:rsidP="00E213F7">
      <w:pPr>
        <w:jc w:val="both"/>
        <w:rPr>
          <w:rFonts w:ascii="Times New Roman" w:hAnsi="Times New Roman" w:cs="Times New Roman"/>
          <w:b/>
          <w:bCs/>
          <w:i/>
          <w:iCs/>
          <w:sz w:val="24"/>
          <w:szCs w:val="24"/>
        </w:rPr>
      </w:pPr>
      <w:r w:rsidRPr="00454386">
        <w:rPr>
          <w:rFonts w:ascii="Times New Roman" w:hAnsi="Times New Roman" w:cs="Times New Roman"/>
          <w:b/>
          <w:bCs/>
          <w:i/>
          <w:iCs/>
          <w:sz w:val="24"/>
          <w:szCs w:val="24"/>
        </w:rPr>
        <w:t>___________________________________________________________________________</w:t>
      </w:r>
    </w:p>
    <w:p w14:paraId="191B35FB" w14:textId="77777777" w:rsidR="009014E1" w:rsidRPr="00454386" w:rsidRDefault="009014E1" w:rsidP="00E213F7">
      <w:pPr>
        <w:jc w:val="both"/>
        <w:rPr>
          <w:rFonts w:ascii="Times New Roman" w:hAnsi="Times New Roman" w:cs="Times New Roman"/>
          <w:i/>
          <w:iCs/>
          <w:sz w:val="24"/>
          <w:szCs w:val="24"/>
        </w:rPr>
      </w:pPr>
      <w:r w:rsidRPr="00454386">
        <w:rPr>
          <w:rFonts w:ascii="Times New Roman" w:hAnsi="Times New Roman" w:cs="Times New Roman"/>
          <w:b/>
          <w:bCs/>
          <w:i/>
          <w:iCs/>
          <w:sz w:val="24"/>
          <w:szCs w:val="24"/>
        </w:rPr>
        <w:t>Abstract</w:t>
      </w:r>
    </w:p>
    <w:p w14:paraId="7477A116" w14:textId="004A0E25" w:rsidR="00E213F7" w:rsidRPr="00454386" w:rsidRDefault="00E213F7" w:rsidP="00E213F7">
      <w:pPr>
        <w:jc w:val="both"/>
        <w:rPr>
          <w:rFonts w:ascii="Times New Roman" w:hAnsi="Times New Roman" w:cs="Times New Roman"/>
          <w:i/>
          <w:iCs/>
          <w:sz w:val="24"/>
          <w:szCs w:val="24"/>
        </w:rPr>
      </w:pPr>
      <w:r w:rsidRPr="00454386">
        <w:rPr>
          <w:rFonts w:ascii="Times New Roman" w:hAnsi="Times New Roman" w:cs="Times New Roman"/>
          <w:i/>
          <w:iCs/>
          <w:sz w:val="24"/>
          <w:szCs w:val="24"/>
        </w:rPr>
        <w:t>Thi</w:t>
      </w:r>
      <w:r w:rsidR="00454386" w:rsidRPr="00454386">
        <w:rPr>
          <w:rFonts w:ascii="Times New Roman" w:hAnsi="Times New Roman" w:cs="Times New Roman"/>
          <w:i/>
          <w:iCs/>
          <w:sz w:val="24"/>
          <w:szCs w:val="24"/>
        </w:rPr>
        <w:t>s descriptive analytical study e</w:t>
      </w:r>
      <w:r w:rsidRPr="00454386">
        <w:rPr>
          <w:rFonts w:ascii="Times New Roman" w:hAnsi="Times New Roman" w:cs="Times New Roman"/>
          <w:i/>
          <w:iCs/>
          <w:sz w:val="24"/>
          <w:szCs w:val="24"/>
        </w:rPr>
        <w:t xml:space="preserve">xamines the role of the insurance and banking sectors as catalysts of economic growth in India, drawing upon verified secondary data from the Reserve Bank of India, Insurance Regulatory and Development Authority of India, and the World Bank for the period 2020–2025. The study adopts a non-econometric framework based on trend analysis, </w:t>
      </w:r>
      <w:proofErr w:type="spellStart"/>
      <w:r w:rsidRPr="00454386">
        <w:rPr>
          <w:rFonts w:ascii="Times New Roman" w:hAnsi="Times New Roman" w:cs="Times New Roman"/>
          <w:i/>
          <w:iCs/>
          <w:sz w:val="24"/>
          <w:szCs w:val="24"/>
        </w:rPr>
        <w:t>sectoral</w:t>
      </w:r>
      <w:proofErr w:type="spellEnd"/>
      <w:r w:rsidRPr="00454386">
        <w:rPr>
          <w:rFonts w:ascii="Times New Roman" w:hAnsi="Times New Roman" w:cs="Times New Roman"/>
          <w:i/>
          <w:iCs/>
          <w:sz w:val="24"/>
          <w:szCs w:val="24"/>
        </w:rPr>
        <w:t xml:space="preserve"> indicators, and institutional investment patterns to evaluate how these financial intermediaries mobilize savings, allocate credit, and support capital formation.</w:t>
      </w:r>
    </w:p>
    <w:p w14:paraId="2C6BCF57" w14:textId="77777777" w:rsidR="00E213F7" w:rsidRPr="00454386" w:rsidRDefault="00E213F7" w:rsidP="00E213F7">
      <w:pPr>
        <w:jc w:val="both"/>
        <w:rPr>
          <w:rFonts w:ascii="Times New Roman" w:hAnsi="Times New Roman" w:cs="Times New Roman"/>
          <w:i/>
          <w:iCs/>
          <w:sz w:val="24"/>
          <w:szCs w:val="24"/>
        </w:rPr>
      </w:pPr>
      <w:r w:rsidRPr="00454386">
        <w:rPr>
          <w:rFonts w:ascii="Times New Roman" w:hAnsi="Times New Roman" w:cs="Times New Roman"/>
          <w:i/>
          <w:iCs/>
          <w:sz w:val="24"/>
          <w:szCs w:val="24"/>
        </w:rPr>
        <w:t>Findings indicate that India’s insurance sector has expanded rapidly, with total insurance penetration reaching approximately 3.7 percent of GDP in FY2024, although remaining below global averages. Life insurers dominate the market and play a critical role in long-term capital formation through investments in government securities and infrastructure-linked instruments. Simultaneously, the banking sector continues to function as the primary channel of credit intermediation, with domestic credit to the private sector stabilizing at nearly 50 percent of GDP and asset quality improving markedly, as reflected in declining gross non-performing asset ratios.</w:t>
      </w:r>
    </w:p>
    <w:p w14:paraId="3EFE0A4E" w14:textId="77777777" w:rsidR="00E213F7" w:rsidRPr="00454386" w:rsidRDefault="00E213F7" w:rsidP="00E213F7">
      <w:pPr>
        <w:jc w:val="both"/>
        <w:rPr>
          <w:rFonts w:ascii="Times New Roman" w:hAnsi="Times New Roman" w:cs="Times New Roman"/>
          <w:i/>
          <w:iCs/>
          <w:sz w:val="24"/>
          <w:szCs w:val="24"/>
        </w:rPr>
      </w:pPr>
      <w:r w:rsidRPr="00454386">
        <w:rPr>
          <w:rFonts w:ascii="Times New Roman" w:hAnsi="Times New Roman" w:cs="Times New Roman"/>
          <w:i/>
          <w:iCs/>
          <w:sz w:val="24"/>
          <w:szCs w:val="24"/>
        </w:rPr>
        <w:t xml:space="preserve">The study further highlights strong complementarities between banking and insurance through </w:t>
      </w:r>
      <w:proofErr w:type="spellStart"/>
      <w:r w:rsidRPr="00454386">
        <w:rPr>
          <w:rFonts w:ascii="Times New Roman" w:hAnsi="Times New Roman" w:cs="Times New Roman"/>
          <w:i/>
          <w:iCs/>
          <w:sz w:val="24"/>
          <w:szCs w:val="24"/>
        </w:rPr>
        <w:t>bancassurance</w:t>
      </w:r>
      <w:proofErr w:type="spellEnd"/>
      <w:r w:rsidRPr="00454386">
        <w:rPr>
          <w:rFonts w:ascii="Times New Roman" w:hAnsi="Times New Roman" w:cs="Times New Roman"/>
          <w:i/>
          <w:iCs/>
          <w:sz w:val="24"/>
          <w:szCs w:val="24"/>
        </w:rPr>
        <w:t>, institutional investments, and coordinated financial inclusion initiatives. Recent policy measures—including enhanced foreign direct investment limits in insurance, digital insurance marketplaces, and large-scale banking inclusion programs—have strengthened institutional capacity and outreach. The analysis concludes that sustained regulatory coordination, digital transformation, and targeted inclusion strategies can significantly enhance the growth-catalyzing impact of these sectors, thereby supporting India’s long-term development objectives.</w:t>
      </w:r>
    </w:p>
    <w:p w14:paraId="19C537A1" w14:textId="6A974DED" w:rsidR="009014E1" w:rsidRPr="00454386" w:rsidRDefault="00E213F7" w:rsidP="00E213F7">
      <w:pPr>
        <w:jc w:val="both"/>
        <w:rPr>
          <w:rFonts w:ascii="Times New Roman" w:hAnsi="Times New Roman" w:cs="Times New Roman"/>
          <w:i/>
          <w:iCs/>
          <w:sz w:val="24"/>
          <w:szCs w:val="24"/>
        </w:rPr>
      </w:pPr>
      <w:r w:rsidRPr="00454386">
        <w:rPr>
          <w:rFonts w:ascii="Times New Roman" w:hAnsi="Times New Roman" w:cs="Times New Roman"/>
          <w:b/>
          <w:bCs/>
          <w:i/>
          <w:iCs/>
          <w:sz w:val="24"/>
          <w:szCs w:val="24"/>
        </w:rPr>
        <w:t>Keywords:</w:t>
      </w:r>
      <w:r w:rsidRPr="00454386">
        <w:rPr>
          <w:rFonts w:ascii="Times New Roman" w:hAnsi="Times New Roman" w:cs="Times New Roman"/>
          <w:i/>
          <w:iCs/>
          <w:sz w:val="24"/>
          <w:szCs w:val="24"/>
        </w:rPr>
        <w:t xml:space="preserve"> Banking sector; Insurance penetration; Economic growth; </w:t>
      </w:r>
      <w:proofErr w:type="gramStart"/>
      <w:r w:rsidRPr="00454386">
        <w:rPr>
          <w:rFonts w:ascii="Times New Roman" w:hAnsi="Times New Roman" w:cs="Times New Roman"/>
          <w:i/>
          <w:iCs/>
          <w:sz w:val="24"/>
          <w:szCs w:val="24"/>
        </w:rPr>
        <w:t>Financial</w:t>
      </w:r>
      <w:proofErr w:type="gramEnd"/>
      <w:r w:rsidRPr="00454386">
        <w:rPr>
          <w:rFonts w:ascii="Times New Roman" w:hAnsi="Times New Roman" w:cs="Times New Roman"/>
          <w:i/>
          <w:iCs/>
          <w:sz w:val="24"/>
          <w:szCs w:val="24"/>
        </w:rPr>
        <w:t xml:space="preserve"> intermediation; Financial inclusion; Infrastructure finance; India</w:t>
      </w:r>
    </w:p>
    <w:p w14:paraId="19EE12B6" w14:textId="77777777" w:rsidR="00167B2B" w:rsidRDefault="00167B2B" w:rsidP="00E213F7">
      <w:pPr>
        <w:jc w:val="both"/>
        <w:rPr>
          <w:rFonts w:ascii="Times New Roman" w:hAnsi="Times New Roman" w:cs="Times New Roman"/>
          <w:b/>
          <w:bCs/>
          <w:sz w:val="28"/>
          <w:szCs w:val="24"/>
        </w:rPr>
      </w:pPr>
    </w:p>
    <w:p w14:paraId="0152F2FD" w14:textId="77777777" w:rsidR="009014E1" w:rsidRPr="00B47853" w:rsidRDefault="009014E1" w:rsidP="00E213F7">
      <w:pPr>
        <w:jc w:val="both"/>
        <w:rPr>
          <w:rFonts w:ascii="Times New Roman" w:hAnsi="Times New Roman" w:cs="Times New Roman"/>
          <w:b/>
          <w:bCs/>
          <w:sz w:val="28"/>
          <w:szCs w:val="24"/>
        </w:rPr>
      </w:pPr>
      <w:r w:rsidRPr="00B47853">
        <w:rPr>
          <w:rFonts w:ascii="Times New Roman" w:hAnsi="Times New Roman" w:cs="Times New Roman"/>
          <w:b/>
          <w:bCs/>
          <w:sz w:val="28"/>
          <w:szCs w:val="24"/>
        </w:rPr>
        <w:t>1. Introduction</w:t>
      </w:r>
    </w:p>
    <w:p w14:paraId="156EFD10"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The relationship between financial sector development and economic growth has been a central theme in economic theory and empirical research. Financial intermediaries facilitate growth by mobilizing savings, allocating capital efficiently, managing risks, and supporting innovation (King &amp; Levine, 1993; Levine, 1997). In developing economies, the banking and insurance sectors are particularly critical due to their role in channeling household savings into productive investments while providing risk mitigation mechanisms essential for economic stability.</w:t>
      </w:r>
    </w:p>
    <w:p w14:paraId="5DEF04D6"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lastRenderedPageBreak/>
        <w:t>India’s financial system has undergone substantial transformation since the liberalization reforms of the early 1990s, marked by regulatory modernization, increased private participation, and rapid digitalization. The banking sector remains the dominant source of formal credit, supporting industrial expansion, small business development, and household consumption. According to World Bank indicators, domestic credit to the private sector in India has remained close to 50 percent of GDP in recent years, reflecting moderate but improving financial depth relative to peer economies.</w:t>
      </w:r>
    </w:p>
    <w:p w14:paraId="35995E29"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Parallelly, the insurance sector has emerged as one of the fastest-growing segments of India’s financial system. Despite strong premium growth, insurance penetration remains relatively low when compared with advanced economies, suggesting substantial untapped potential. Beyond risk protection, insurance institutions—particularly life insurers—play a crucial macroeconomic role by mobilizing long-term contractual savings and investing them in government securities, infrastructure projects, and socially productive assets. These investments contribute directly to capital formation, fiscal stability, and long-term growth.</w:t>
      </w:r>
    </w:p>
    <w:p w14:paraId="57BE0B42" w14:textId="51FCB76E"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Recent policy initiatives aimed at financial inclusion, digital infrastructure, and regulatory reform have strengthened linkages between banking and insurance. Bancassurance arrangements, digital onboarding, and unified inclusion programs have expanded outreach, particularly in semi-urban and rural areas. Against this backdrop, the present study seeks to descriptively examine how banking and insurance sectors function as complementary catalysts of economic growth in India, using verified official data and established academic literature.</w:t>
      </w:r>
    </w:p>
    <w:p w14:paraId="0AFE3EAC"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2. Review of Literature</w:t>
      </w:r>
    </w:p>
    <w:p w14:paraId="56B6F026"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2.1 Financial Development and Economic Growth</w:t>
      </w:r>
    </w:p>
    <w:p w14:paraId="4327CD54"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The nexus between financial development and economic growth has been extensively examined in economic literature. Early theoretical contributions by Schumpeter (1911) emphasized the role of financial intermediaries in facilitating innovation by reallocating capital toward productive entrepreneurial activities. This perspective was further strengthened by endogenous growth theories, which posit that financial systems influence growth not merely through capital accumulation but by improving the efficiency of resource allocation (King &amp; Levine, 1993; Levine, 1997).</w:t>
      </w:r>
    </w:p>
    <w:p w14:paraId="4794509F" w14:textId="0A22AED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Empirical studies provide robust evidence supporting this relationship. Beck, Levine, and </w:t>
      </w:r>
      <w:proofErr w:type="spellStart"/>
      <w:r w:rsidRPr="00454386">
        <w:rPr>
          <w:rFonts w:ascii="Times New Roman" w:hAnsi="Times New Roman" w:cs="Times New Roman"/>
          <w:sz w:val="24"/>
          <w:szCs w:val="24"/>
        </w:rPr>
        <w:t>Loayza</w:t>
      </w:r>
      <w:proofErr w:type="spellEnd"/>
      <w:r w:rsidRPr="00454386">
        <w:rPr>
          <w:rFonts w:ascii="Times New Roman" w:hAnsi="Times New Roman" w:cs="Times New Roman"/>
          <w:sz w:val="24"/>
          <w:szCs w:val="24"/>
        </w:rPr>
        <w:t xml:space="preserve"> (2000) demonstrate that financial development accelerates economic growth primarily by enhancing total factor productivity rather than increasing savings alone. Levine, </w:t>
      </w:r>
      <w:proofErr w:type="spellStart"/>
      <w:r w:rsidRPr="00454386">
        <w:rPr>
          <w:rFonts w:ascii="Times New Roman" w:hAnsi="Times New Roman" w:cs="Times New Roman"/>
          <w:sz w:val="24"/>
          <w:szCs w:val="24"/>
        </w:rPr>
        <w:t>Loayza</w:t>
      </w:r>
      <w:proofErr w:type="spellEnd"/>
      <w:r w:rsidRPr="00454386">
        <w:rPr>
          <w:rFonts w:ascii="Times New Roman" w:hAnsi="Times New Roman" w:cs="Times New Roman"/>
          <w:sz w:val="24"/>
          <w:szCs w:val="24"/>
        </w:rPr>
        <w:t>, and Beck (2000) further establish a causal relationship between financial intermediation and growth using cross-country data. These findings suggest that well-functioning financial institutions play a critical role in fostering long-term economic expansion, particularly in developing economies.</w:t>
      </w:r>
    </w:p>
    <w:p w14:paraId="1FE5BDAE"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2.2 Role of the Banking Sector in Economic Growth</w:t>
      </w:r>
    </w:p>
    <w:p w14:paraId="4BAA6E7D"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Banks are central to economic development through their role in deposit mobilization, credit allocation, payment facilitation, and liquidity transformation. Classical studies by Goldsmith (1969) and McKinnon (1973) highlight how banking expansion deepens financial intermediation and supports industrialization. Banks also mitigate information asymmetry by monitoring borrowers, thereby improving capital allocation efficiency.</w:t>
      </w:r>
    </w:p>
    <w:p w14:paraId="73048FCF" w14:textId="066EC9A9"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lastRenderedPageBreak/>
        <w:t xml:space="preserve">Modern research underscores the importance of banking stability. </w:t>
      </w:r>
      <w:proofErr w:type="spellStart"/>
      <w:r w:rsidRPr="00454386">
        <w:rPr>
          <w:rFonts w:ascii="Times New Roman" w:hAnsi="Times New Roman" w:cs="Times New Roman"/>
          <w:sz w:val="24"/>
          <w:szCs w:val="24"/>
        </w:rPr>
        <w:t>Demirgüç-Kunt</w:t>
      </w:r>
      <w:proofErr w:type="spellEnd"/>
      <w:r w:rsidRPr="00454386">
        <w:rPr>
          <w:rFonts w:ascii="Times New Roman" w:hAnsi="Times New Roman" w:cs="Times New Roman"/>
          <w:sz w:val="24"/>
          <w:szCs w:val="24"/>
        </w:rPr>
        <w:t xml:space="preserve"> and Levine (2008) argue that stable and well-regulated banking systems are essential for sustaining long-term growth, particularly in emerging markets vulnerable to financial shocks. In the Indian context, studies indicate that banking sector reforms, prudential regulation, and priority sector lending have contributed significantly to industrial growth, MSME development, and household credit expansion (Reserve Bank of India, 2023).</w:t>
      </w:r>
    </w:p>
    <w:p w14:paraId="110DE6CC"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2.3 Insurance Sector and Economic Growth</w:t>
      </w:r>
    </w:p>
    <w:p w14:paraId="5D5BD77B"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The insurance sector contributes to economic growth through risk transfer, financial stability, and long-term savings mobilization. </w:t>
      </w:r>
      <w:proofErr w:type="spellStart"/>
      <w:r w:rsidRPr="00454386">
        <w:rPr>
          <w:rFonts w:ascii="Times New Roman" w:hAnsi="Times New Roman" w:cs="Times New Roman"/>
          <w:sz w:val="24"/>
          <w:szCs w:val="24"/>
        </w:rPr>
        <w:t>Outreville</w:t>
      </w:r>
      <w:proofErr w:type="spellEnd"/>
      <w:r w:rsidRPr="00454386">
        <w:rPr>
          <w:rFonts w:ascii="Times New Roman" w:hAnsi="Times New Roman" w:cs="Times New Roman"/>
          <w:sz w:val="24"/>
          <w:szCs w:val="24"/>
        </w:rPr>
        <w:t xml:space="preserve"> (1990) establishes that insurance markets are positively associated with economic development, particularly in developing countries where formal risk mitigation mechanisms are limited. Arena (2008), using cross-country panel data, finds that both life and non-life insurance development positively influence economic growth, with stronger effects observed in emerging economies.</w:t>
      </w:r>
    </w:p>
    <w:p w14:paraId="1F5AEDF7" w14:textId="57DC10A6"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Life insurance plays a unique role by mobilizing contractual savings that can be invested in long-term assets such as infrastructure and government securities. Adams et al. (2009) demonstrate that insurance development complements banking by enhancing capital market depth and stabilizing investment flows. Browne and Kim (1993) identify income levels, financial development, and institutional quality as key determinants of insurance demand—factors that have shown improvement in India over the past two decades.</w:t>
      </w:r>
    </w:p>
    <w:p w14:paraId="7E67D812"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2.4 Empirical Evidence from India</w:t>
      </w:r>
    </w:p>
    <w:p w14:paraId="70D92558"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Indian studies largely corroborate global findings. </w:t>
      </w:r>
      <w:proofErr w:type="spellStart"/>
      <w:r w:rsidRPr="00454386">
        <w:rPr>
          <w:rFonts w:ascii="Times New Roman" w:hAnsi="Times New Roman" w:cs="Times New Roman"/>
          <w:sz w:val="24"/>
          <w:szCs w:val="24"/>
        </w:rPr>
        <w:t>Verma</w:t>
      </w:r>
      <w:proofErr w:type="spellEnd"/>
      <w:r w:rsidRPr="00454386">
        <w:rPr>
          <w:rFonts w:ascii="Times New Roman" w:hAnsi="Times New Roman" w:cs="Times New Roman"/>
          <w:sz w:val="24"/>
          <w:szCs w:val="24"/>
        </w:rPr>
        <w:t xml:space="preserve"> (2016) identifies a long-run equilibrium relationship between life insurance development and economic growth in India. Dutta and </w:t>
      </w:r>
      <w:proofErr w:type="spellStart"/>
      <w:r w:rsidRPr="00454386">
        <w:rPr>
          <w:rFonts w:ascii="Times New Roman" w:hAnsi="Times New Roman" w:cs="Times New Roman"/>
          <w:sz w:val="24"/>
          <w:szCs w:val="24"/>
        </w:rPr>
        <w:t>Sengupta</w:t>
      </w:r>
      <w:proofErr w:type="spellEnd"/>
      <w:r w:rsidRPr="00454386">
        <w:rPr>
          <w:rFonts w:ascii="Times New Roman" w:hAnsi="Times New Roman" w:cs="Times New Roman"/>
          <w:sz w:val="24"/>
          <w:szCs w:val="24"/>
        </w:rPr>
        <w:t xml:space="preserve"> (2011) document efficiency improvements in the Indian insurance industry following regulatory reforms, while </w:t>
      </w:r>
      <w:proofErr w:type="spellStart"/>
      <w:r w:rsidRPr="00454386">
        <w:rPr>
          <w:rFonts w:ascii="Times New Roman" w:hAnsi="Times New Roman" w:cs="Times New Roman"/>
          <w:sz w:val="24"/>
          <w:szCs w:val="24"/>
        </w:rPr>
        <w:t>Mitra</w:t>
      </w:r>
      <w:proofErr w:type="spellEnd"/>
      <w:r w:rsidRPr="00454386">
        <w:rPr>
          <w:rFonts w:ascii="Times New Roman" w:hAnsi="Times New Roman" w:cs="Times New Roman"/>
          <w:sz w:val="24"/>
          <w:szCs w:val="24"/>
        </w:rPr>
        <w:t xml:space="preserve"> and Ghosh (2010) highlight increased competition and product diversification in the post-liberalization period.</w:t>
      </w:r>
    </w:p>
    <w:p w14:paraId="5ADC79DF" w14:textId="60EA8BB4"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Recent evidence by Sharma and </w:t>
      </w:r>
      <w:proofErr w:type="spellStart"/>
      <w:r w:rsidRPr="00454386">
        <w:rPr>
          <w:rFonts w:ascii="Times New Roman" w:hAnsi="Times New Roman" w:cs="Times New Roman"/>
          <w:sz w:val="24"/>
          <w:szCs w:val="24"/>
        </w:rPr>
        <w:t>Patnaik</w:t>
      </w:r>
      <w:proofErr w:type="spellEnd"/>
      <w:r w:rsidRPr="00454386">
        <w:rPr>
          <w:rFonts w:ascii="Times New Roman" w:hAnsi="Times New Roman" w:cs="Times New Roman"/>
          <w:sz w:val="24"/>
          <w:szCs w:val="24"/>
        </w:rPr>
        <w:t xml:space="preserve"> (2024) demonstrates bidirectional causality between insurance sector development and GDP growth in India, suggesting mutual reinforcement. On the banking side, RBI studies emphasize the role of digitalization and financial inclusion initiatives in strengthening credit delivery and reducing transaction costs (Reserve Bank of India, 2024). However, literature also notes persistent challenges, including low insurance penetration, regional disparities, and limited credit depth, indicating the need for coordinated policy intervention.</w:t>
      </w:r>
    </w:p>
    <w:p w14:paraId="573C3C79"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3. Data and Methodology</w:t>
      </w:r>
    </w:p>
    <w:p w14:paraId="3CE8CD57"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3.1 Data Sources</w:t>
      </w:r>
    </w:p>
    <w:p w14:paraId="4A1A6536"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The study is based exclusively on </w:t>
      </w:r>
      <w:r w:rsidRPr="00454386">
        <w:rPr>
          <w:rFonts w:ascii="Times New Roman" w:hAnsi="Times New Roman" w:cs="Times New Roman"/>
          <w:b/>
          <w:bCs/>
          <w:sz w:val="24"/>
          <w:szCs w:val="24"/>
        </w:rPr>
        <w:t>secondary data from authoritative and verified sources</w:t>
      </w:r>
      <w:r w:rsidRPr="00454386">
        <w:rPr>
          <w:rFonts w:ascii="Times New Roman" w:hAnsi="Times New Roman" w:cs="Times New Roman"/>
          <w:sz w:val="24"/>
          <w:szCs w:val="24"/>
        </w:rPr>
        <w:t>, ensuring reliability and policy relevance. Data have been compiled from:</w:t>
      </w:r>
    </w:p>
    <w:p w14:paraId="71A9A3F4" w14:textId="77777777" w:rsidR="00E213F7" w:rsidRPr="00454386" w:rsidRDefault="00E213F7" w:rsidP="00E213F7">
      <w:pPr>
        <w:numPr>
          <w:ilvl w:val="0"/>
          <w:numId w:val="7"/>
        </w:numPr>
        <w:jc w:val="both"/>
        <w:rPr>
          <w:rFonts w:ascii="Times New Roman" w:hAnsi="Times New Roman" w:cs="Times New Roman"/>
          <w:sz w:val="24"/>
          <w:szCs w:val="24"/>
        </w:rPr>
      </w:pPr>
      <w:r w:rsidRPr="00454386">
        <w:rPr>
          <w:rFonts w:ascii="Times New Roman" w:hAnsi="Times New Roman" w:cs="Times New Roman"/>
          <w:b/>
          <w:bCs/>
          <w:sz w:val="24"/>
          <w:szCs w:val="24"/>
        </w:rPr>
        <w:t>Reserve Bank of India</w:t>
      </w:r>
      <w:r w:rsidRPr="00454386">
        <w:rPr>
          <w:rFonts w:ascii="Times New Roman" w:hAnsi="Times New Roman" w:cs="Times New Roman"/>
          <w:sz w:val="24"/>
          <w:szCs w:val="24"/>
        </w:rPr>
        <w:t>: Annual Reports, Financial Stability Reports, Handbook of Statistics</w:t>
      </w:r>
    </w:p>
    <w:p w14:paraId="1403B198" w14:textId="77777777" w:rsidR="00E213F7" w:rsidRPr="00454386" w:rsidRDefault="00E213F7" w:rsidP="00E213F7">
      <w:pPr>
        <w:numPr>
          <w:ilvl w:val="0"/>
          <w:numId w:val="7"/>
        </w:numPr>
        <w:jc w:val="both"/>
        <w:rPr>
          <w:rFonts w:ascii="Times New Roman" w:hAnsi="Times New Roman" w:cs="Times New Roman"/>
          <w:sz w:val="24"/>
          <w:szCs w:val="24"/>
        </w:rPr>
      </w:pPr>
      <w:r w:rsidRPr="00454386">
        <w:rPr>
          <w:rFonts w:ascii="Times New Roman" w:hAnsi="Times New Roman" w:cs="Times New Roman"/>
          <w:b/>
          <w:bCs/>
          <w:sz w:val="24"/>
          <w:szCs w:val="24"/>
        </w:rPr>
        <w:t>Insurance Regulatory and Development Authority of India</w:t>
      </w:r>
      <w:r w:rsidRPr="00454386">
        <w:rPr>
          <w:rFonts w:ascii="Times New Roman" w:hAnsi="Times New Roman" w:cs="Times New Roman"/>
          <w:sz w:val="24"/>
          <w:szCs w:val="24"/>
        </w:rPr>
        <w:t xml:space="preserve">: Annual Reports and </w:t>
      </w:r>
      <w:proofErr w:type="spellStart"/>
      <w:r w:rsidRPr="00454386">
        <w:rPr>
          <w:rFonts w:ascii="Times New Roman" w:hAnsi="Times New Roman" w:cs="Times New Roman"/>
          <w:sz w:val="24"/>
          <w:szCs w:val="24"/>
        </w:rPr>
        <w:t>sectoral</w:t>
      </w:r>
      <w:proofErr w:type="spellEnd"/>
      <w:r w:rsidRPr="00454386">
        <w:rPr>
          <w:rFonts w:ascii="Times New Roman" w:hAnsi="Times New Roman" w:cs="Times New Roman"/>
          <w:sz w:val="24"/>
          <w:szCs w:val="24"/>
        </w:rPr>
        <w:t xml:space="preserve"> statistics</w:t>
      </w:r>
    </w:p>
    <w:p w14:paraId="6CC0C1B3" w14:textId="77777777" w:rsidR="00E213F7" w:rsidRPr="00454386" w:rsidRDefault="00E213F7" w:rsidP="00E213F7">
      <w:pPr>
        <w:numPr>
          <w:ilvl w:val="0"/>
          <w:numId w:val="7"/>
        </w:numPr>
        <w:jc w:val="both"/>
        <w:rPr>
          <w:rFonts w:ascii="Times New Roman" w:hAnsi="Times New Roman" w:cs="Times New Roman"/>
          <w:sz w:val="24"/>
          <w:szCs w:val="24"/>
        </w:rPr>
      </w:pPr>
      <w:r w:rsidRPr="00454386">
        <w:rPr>
          <w:rFonts w:ascii="Times New Roman" w:hAnsi="Times New Roman" w:cs="Times New Roman"/>
          <w:sz w:val="24"/>
          <w:szCs w:val="24"/>
        </w:rPr>
        <w:lastRenderedPageBreak/>
        <w:t>World Bank: World Development Indicators</w:t>
      </w:r>
    </w:p>
    <w:p w14:paraId="39D3D3AF" w14:textId="77777777" w:rsidR="00E213F7" w:rsidRPr="00454386" w:rsidRDefault="00E213F7" w:rsidP="00E213F7">
      <w:pPr>
        <w:numPr>
          <w:ilvl w:val="0"/>
          <w:numId w:val="7"/>
        </w:numPr>
        <w:jc w:val="both"/>
        <w:rPr>
          <w:rFonts w:ascii="Times New Roman" w:hAnsi="Times New Roman" w:cs="Times New Roman"/>
          <w:sz w:val="24"/>
          <w:szCs w:val="24"/>
        </w:rPr>
      </w:pPr>
      <w:r w:rsidRPr="00454386">
        <w:rPr>
          <w:rFonts w:ascii="Times New Roman" w:hAnsi="Times New Roman" w:cs="Times New Roman"/>
          <w:sz w:val="24"/>
          <w:szCs w:val="24"/>
        </w:rPr>
        <w:t>Swiss Re Institute: Sigma Reports on global and Indian insurance markets</w:t>
      </w:r>
    </w:p>
    <w:p w14:paraId="0E6CAA88" w14:textId="77777777" w:rsidR="00E213F7" w:rsidRPr="00454386" w:rsidRDefault="00E213F7" w:rsidP="00E213F7">
      <w:pPr>
        <w:numPr>
          <w:ilvl w:val="0"/>
          <w:numId w:val="7"/>
        </w:numPr>
        <w:jc w:val="both"/>
        <w:rPr>
          <w:rFonts w:ascii="Times New Roman" w:hAnsi="Times New Roman" w:cs="Times New Roman"/>
          <w:sz w:val="24"/>
          <w:szCs w:val="24"/>
        </w:rPr>
      </w:pPr>
      <w:r w:rsidRPr="00454386">
        <w:rPr>
          <w:rFonts w:ascii="Times New Roman" w:hAnsi="Times New Roman" w:cs="Times New Roman"/>
          <w:sz w:val="24"/>
          <w:szCs w:val="24"/>
        </w:rPr>
        <w:t>Government of India: Budget documents and financial inclusion scheme reports</w:t>
      </w:r>
    </w:p>
    <w:p w14:paraId="43997B48" w14:textId="7F2F26B2"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The study period broadly covers </w:t>
      </w:r>
      <w:r w:rsidRPr="00454386">
        <w:rPr>
          <w:rFonts w:ascii="Times New Roman" w:hAnsi="Times New Roman" w:cs="Times New Roman"/>
          <w:b/>
          <w:bCs/>
          <w:sz w:val="24"/>
          <w:szCs w:val="24"/>
        </w:rPr>
        <w:t>FY2020–FY2025</w:t>
      </w:r>
      <w:r w:rsidRPr="00454386">
        <w:rPr>
          <w:rFonts w:ascii="Times New Roman" w:hAnsi="Times New Roman" w:cs="Times New Roman"/>
          <w:sz w:val="24"/>
          <w:szCs w:val="24"/>
        </w:rPr>
        <w:t>, allowing analysis of post-pandemic recovery and recent policy reforms.</w:t>
      </w:r>
    </w:p>
    <w:p w14:paraId="721B44C2"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3.2 Variables and Indicators</w:t>
      </w:r>
    </w:p>
    <w:p w14:paraId="1B29AAE2"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Key indicators used in the analysis include:</w:t>
      </w:r>
    </w:p>
    <w:p w14:paraId="288D62DD" w14:textId="77777777"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Real GDP growth rate</w:t>
      </w:r>
    </w:p>
    <w:p w14:paraId="53168C0E" w14:textId="77777777"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Insurance penetration (insurance premium as a percentage of GDP)</w:t>
      </w:r>
    </w:p>
    <w:p w14:paraId="2307D1C6" w14:textId="77777777"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Insurance density (per capita premium)</w:t>
      </w:r>
    </w:p>
    <w:p w14:paraId="7E0766DA" w14:textId="77777777"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Domestic credit to private sector (% of GDP)</w:t>
      </w:r>
    </w:p>
    <w:p w14:paraId="7D01B5CC" w14:textId="77777777"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Gross non-performing assets (GNPA) of banks</w:t>
      </w:r>
    </w:p>
    <w:p w14:paraId="65F87127" w14:textId="189D0EC6" w:rsidR="00E213F7" w:rsidRPr="00454386" w:rsidRDefault="00E213F7" w:rsidP="00E213F7">
      <w:pPr>
        <w:numPr>
          <w:ilvl w:val="0"/>
          <w:numId w:val="8"/>
        </w:numPr>
        <w:jc w:val="both"/>
        <w:rPr>
          <w:rFonts w:ascii="Times New Roman" w:hAnsi="Times New Roman" w:cs="Times New Roman"/>
          <w:sz w:val="24"/>
          <w:szCs w:val="24"/>
        </w:rPr>
      </w:pPr>
      <w:r w:rsidRPr="00454386">
        <w:rPr>
          <w:rFonts w:ascii="Times New Roman" w:hAnsi="Times New Roman" w:cs="Times New Roman"/>
          <w:sz w:val="24"/>
          <w:szCs w:val="24"/>
        </w:rPr>
        <w:t>Institutional investments by banks and insurers</w:t>
      </w:r>
    </w:p>
    <w:p w14:paraId="0719CAA0"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3.3 Methodological Approach</w:t>
      </w:r>
    </w:p>
    <w:p w14:paraId="3C301C7F" w14:textId="21DF0279"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The study adopts a </w:t>
      </w:r>
      <w:r w:rsidRPr="00454386">
        <w:rPr>
          <w:rFonts w:ascii="Times New Roman" w:hAnsi="Times New Roman" w:cs="Times New Roman"/>
          <w:b/>
          <w:bCs/>
          <w:sz w:val="24"/>
          <w:szCs w:val="24"/>
        </w:rPr>
        <w:t>descriptive and analytical research design</w:t>
      </w:r>
      <w:r w:rsidRPr="00454386">
        <w:rPr>
          <w:rFonts w:ascii="Times New Roman" w:hAnsi="Times New Roman" w:cs="Times New Roman"/>
          <w:sz w:val="24"/>
          <w:szCs w:val="24"/>
        </w:rPr>
        <w:t xml:space="preserve">. Techniques include trend analysis, ratio analysis, and </w:t>
      </w:r>
      <w:proofErr w:type="spellStart"/>
      <w:r w:rsidRPr="00454386">
        <w:rPr>
          <w:rFonts w:ascii="Times New Roman" w:hAnsi="Times New Roman" w:cs="Times New Roman"/>
          <w:sz w:val="24"/>
          <w:szCs w:val="24"/>
        </w:rPr>
        <w:t>sectoral</w:t>
      </w:r>
      <w:proofErr w:type="spellEnd"/>
      <w:r w:rsidRPr="00454386">
        <w:rPr>
          <w:rFonts w:ascii="Times New Roman" w:hAnsi="Times New Roman" w:cs="Times New Roman"/>
          <w:sz w:val="24"/>
          <w:szCs w:val="24"/>
        </w:rPr>
        <w:t xml:space="preserve"> comparison. No econometric modeling is employed, as the objective is to assess structural patterns, institutional complementarities, and policy implications rather than estimate causal coefficients. This approach aligns with policy-oriented financial sector studies and enables synthesis of multi-source evidence.</w:t>
      </w:r>
    </w:p>
    <w:p w14:paraId="1CC21612"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 xml:space="preserve">4. </w:t>
      </w:r>
      <w:proofErr w:type="spellStart"/>
      <w:r w:rsidRPr="00454386">
        <w:rPr>
          <w:rFonts w:ascii="Times New Roman" w:hAnsi="Times New Roman" w:cs="Times New Roman"/>
          <w:b/>
          <w:bCs/>
          <w:sz w:val="24"/>
          <w:szCs w:val="24"/>
        </w:rPr>
        <w:t>Sectoral</w:t>
      </w:r>
      <w:proofErr w:type="spellEnd"/>
      <w:r w:rsidRPr="00454386">
        <w:rPr>
          <w:rFonts w:ascii="Times New Roman" w:hAnsi="Times New Roman" w:cs="Times New Roman"/>
          <w:b/>
          <w:bCs/>
          <w:sz w:val="24"/>
          <w:szCs w:val="24"/>
        </w:rPr>
        <w:t xml:space="preserve"> Analysis</w:t>
      </w:r>
    </w:p>
    <w:p w14:paraId="5CD57386"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4.1 Performance of the Insurance Sector</w:t>
      </w:r>
    </w:p>
    <w:p w14:paraId="03BDC45C"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India’s insurance industry has emerged as one of the fastest-growing financial sectors globally. Despite this expansion, insurance penetration remains relatively low, indicating substantial untapped potential. Life insurance dominates the market, accounting for a majority share of total premiums, while non-life insurance growth has been driven primarily by health and motor insurance segments.</w:t>
      </w:r>
    </w:p>
    <w:p w14:paraId="2222A762"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Life insurers play a crucial macroeconomic role by investing a significant portion of collected premiums in government securities and infrastructure-related instruments. These investments contribute directly to capital formation, fiscal stability, and long-term development financing. Public insurance schemes such as crop insurance and health insurance have further strengthened social protection and economic resilience, particularly in rural and vulnerable segments.</w:t>
      </w:r>
    </w:p>
    <w:p w14:paraId="0456B759" w14:textId="053B1182"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Regulatory reforms, including liberalized foreign investment norms and digital platforms for insurance distribution, have enhanced market competitiveness and accessibility. However, challenges persist in terms of affordability, awareness, and regional penetration.</w:t>
      </w:r>
    </w:p>
    <w:p w14:paraId="0DC49658"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4.2 Performance of the Banking Sector</w:t>
      </w:r>
    </w:p>
    <w:p w14:paraId="49C86C9C"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lastRenderedPageBreak/>
        <w:t>The banking sector remains the backbone of India’s financial system. Domestic credit to the private sector has stabilized at around 50 percent of GDP, reflecting moderate financial depth relative to advanced economies. Asset quality has improved significantly in recent years, supported by regulatory measures, improved credit monitoring, and resolution mechanisms.</w:t>
      </w:r>
    </w:p>
    <w:p w14:paraId="5123DB17" w14:textId="1C12D7AB"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Digital transformation has reshaped banking operations through mobile banking, digital payments, and data-driven credit assessment. Financial inclusion initiatives have substantially expanded the formal banking network, particularly in rural and semi-urban areas. Priority sector lending continues to channel credit toward agriculture, MSMEs, and socially important sectors, thereby supporting inclusive growth.</w:t>
      </w:r>
    </w:p>
    <w:p w14:paraId="6798E109" w14:textId="5D15D12F" w:rsidR="00E213F7" w:rsidRPr="00454386" w:rsidRDefault="009D3974" w:rsidP="00E213F7">
      <w:pPr>
        <w:jc w:val="both"/>
        <w:rPr>
          <w:rFonts w:ascii="Times New Roman" w:hAnsi="Times New Roman" w:cs="Times New Roman"/>
          <w:b/>
          <w:bCs/>
          <w:sz w:val="24"/>
          <w:szCs w:val="24"/>
        </w:rPr>
      </w:pPr>
      <w:r>
        <w:rPr>
          <w:rFonts w:ascii="Times New Roman" w:hAnsi="Times New Roman" w:cs="Times New Roman"/>
          <w:b/>
          <w:bCs/>
          <w:sz w:val="24"/>
          <w:szCs w:val="24"/>
        </w:rPr>
        <w:t>4.3 Complementarity b</w:t>
      </w:r>
      <w:bookmarkStart w:id="0" w:name="_GoBack"/>
      <w:bookmarkEnd w:id="0"/>
      <w:r w:rsidR="00E213F7" w:rsidRPr="00454386">
        <w:rPr>
          <w:rFonts w:ascii="Times New Roman" w:hAnsi="Times New Roman" w:cs="Times New Roman"/>
          <w:b/>
          <w:bCs/>
          <w:sz w:val="24"/>
          <w:szCs w:val="24"/>
        </w:rPr>
        <w:t>etween Banking and Insurance</w:t>
      </w:r>
    </w:p>
    <w:p w14:paraId="6EFE14BF"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The interaction between banking and insurance sectors has intensified through </w:t>
      </w:r>
      <w:proofErr w:type="spellStart"/>
      <w:r w:rsidRPr="00454386">
        <w:rPr>
          <w:rFonts w:ascii="Times New Roman" w:hAnsi="Times New Roman" w:cs="Times New Roman"/>
          <w:sz w:val="24"/>
          <w:szCs w:val="24"/>
        </w:rPr>
        <w:t>bancassurance</w:t>
      </w:r>
      <w:proofErr w:type="spellEnd"/>
      <w:r w:rsidRPr="00454386">
        <w:rPr>
          <w:rFonts w:ascii="Times New Roman" w:hAnsi="Times New Roman" w:cs="Times New Roman"/>
          <w:sz w:val="24"/>
          <w:szCs w:val="24"/>
        </w:rPr>
        <w:t xml:space="preserve"> arrangements, co-investment in infrastructure, and shared digital infrastructure. Bancassurance has expanded insurance outreach by leveraging banks’ extensive customer base and branch networks, particularly in underserved regions.</w:t>
      </w:r>
    </w:p>
    <w:p w14:paraId="4ADF0378" w14:textId="1AE9F2C3"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Institutional investments by banks and insurers jointly support government borrowing programs and infrastructure development, creating a synergistic financing ecosystem. This complementarity enhances financial system stability while amplifying the growth impact of both sectors.</w:t>
      </w:r>
    </w:p>
    <w:p w14:paraId="6894DF2B"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5. Policy Implications</w:t>
      </w:r>
    </w:p>
    <w:p w14:paraId="324266E3"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5.1 Enhancing Insurance Penetration</w:t>
      </w:r>
    </w:p>
    <w:p w14:paraId="3871EC61"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Policy efforts should focus on improving insurance awareness, expanding micro-insurance products, and enhancing affordability. Digital platforms and simplified products can help bridge the protection gap, particularly for informal workers and rural households.</w:t>
      </w:r>
    </w:p>
    <w:p w14:paraId="05861DE2"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5.2 Strengthening Long-Term Investment Channels</w:t>
      </w:r>
    </w:p>
    <w:p w14:paraId="05351603"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Insurance funds should be increasingly aligned with national infrastructure priorities through appropriate regulatory frameworks and risk mitigation mechanisms. Tax incentives and dedicated investment vehicles can further encourage long-term investments.</w:t>
      </w:r>
    </w:p>
    <w:p w14:paraId="609A1953"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5.3 Sustaining Banking Sector Stability</w:t>
      </w:r>
    </w:p>
    <w:p w14:paraId="12CA73C0"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Maintaining asset quality, strengthening digital risk management, and expanding MSME credit are critical for sustained growth. Continued regulatory vigilance is essential to prevent systemic risks.</w:t>
      </w:r>
    </w:p>
    <w:p w14:paraId="7BC7441E"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5.4 Integrated Financial Sector Policy</w:t>
      </w:r>
    </w:p>
    <w:p w14:paraId="13444EE1" w14:textId="3E1FC136"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Greater coordination among financial regulators can enhance efficiency and reduce fragmentation. Unified financial inclusion strategies and cross-</w:t>
      </w:r>
      <w:proofErr w:type="spellStart"/>
      <w:r w:rsidRPr="00454386">
        <w:rPr>
          <w:rFonts w:ascii="Times New Roman" w:hAnsi="Times New Roman" w:cs="Times New Roman"/>
          <w:sz w:val="24"/>
          <w:szCs w:val="24"/>
        </w:rPr>
        <w:t>sectoral</w:t>
      </w:r>
      <w:proofErr w:type="spellEnd"/>
      <w:r w:rsidRPr="00454386">
        <w:rPr>
          <w:rFonts w:ascii="Times New Roman" w:hAnsi="Times New Roman" w:cs="Times New Roman"/>
          <w:sz w:val="24"/>
          <w:szCs w:val="24"/>
        </w:rPr>
        <w:t xml:space="preserve"> data sharing can amplify the developmental impact of financial intermediation.</w:t>
      </w:r>
    </w:p>
    <w:p w14:paraId="3E92D705" w14:textId="77777777"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6. Conclusion</w:t>
      </w:r>
    </w:p>
    <w:p w14:paraId="224FA705"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 xml:space="preserve">This study demonstrates that the banking and insurance sectors serve as </w:t>
      </w:r>
      <w:r w:rsidRPr="00454386">
        <w:rPr>
          <w:rFonts w:ascii="Times New Roman" w:hAnsi="Times New Roman" w:cs="Times New Roman"/>
          <w:b/>
          <w:bCs/>
          <w:sz w:val="24"/>
          <w:szCs w:val="24"/>
        </w:rPr>
        <w:t>key institutional catalysts of economic growth in India</w:t>
      </w:r>
      <w:r w:rsidRPr="00454386">
        <w:rPr>
          <w:rFonts w:ascii="Times New Roman" w:hAnsi="Times New Roman" w:cs="Times New Roman"/>
          <w:sz w:val="24"/>
          <w:szCs w:val="24"/>
        </w:rPr>
        <w:t xml:space="preserve">. While banks drive short- and medium-term credit </w:t>
      </w:r>
      <w:r w:rsidRPr="00454386">
        <w:rPr>
          <w:rFonts w:ascii="Times New Roman" w:hAnsi="Times New Roman" w:cs="Times New Roman"/>
          <w:sz w:val="24"/>
          <w:szCs w:val="24"/>
        </w:rPr>
        <w:lastRenderedPageBreak/>
        <w:t>expansion and financial inclusion, insurance institutions mobilize long-term savings and support capital formation. The growing complementarity between these sectors has strengthened financial system resilience and enhanced developmental financing.</w:t>
      </w:r>
    </w:p>
    <w:p w14:paraId="64C73A3D" w14:textId="77777777" w:rsidR="00E213F7" w:rsidRPr="00454386" w:rsidRDefault="00E213F7" w:rsidP="00E213F7">
      <w:pPr>
        <w:jc w:val="both"/>
        <w:rPr>
          <w:rFonts w:ascii="Times New Roman" w:hAnsi="Times New Roman" w:cs="Times New Roman"/>
          <w:sz w:val="24"/>
          <w:szCs w:val="24"/>
        </w:rPr>
      </w:pPr>
      <w:r w:rsidRPr="00454386">
        <w:rPr>
          <w:rFonts w:ascii="Times New Roman" w:hAnsi="Times New Roman" w:cs="Times New Roman"/>
          <w:sz w:val="24"/>
          <w:szCs w:val="24"/>
        </w:rPr>
        <w:t>Despite notable progress, challenges remain in terms of insurance penetration, regional disparities, and credit depth. Recent policy initiatives and digital innovations provide a strong foundation for addressing these gaps. A coordinated, inclusive, and technology-driven financial sector strategy will be critical for sustaining India’s growth trajectory and achieving its long-term development goals.</w:t>
      </w:r>
    </w:p>
    <w:p w14:paraId="6715E999" w14:textId="130EDB9D" w:rsidR="00E213F7" w:rsidRPr="00454386" w:rsidRDefault="00E213F7" w:rsidP="00E213F7">
      <w:pPr>
        <w:jc w:val="both"/>
        <w:rPr>
          <w:rFonts w:ascii="Times New Roman" w:hAnsi="Times New Roman" w:cs="Times New Roman"/>
          <w:b/>
          <w:bCs/>
          <w:sz w:val="24"/>
          <w:szCs w:val="24"/>
        </w:rPr>
      </w:pPr>
      <w:r w:rsidRPr="00454386">
        <w:rPr>
          <w:rFonts w:ascii="Times New Roman" w:hAnsi="Times New Roman" w:cs="Times New Roman"/>
          <w:b/>
          <w:bCs/>
          <w:sz w:val="24"/>
          <w:szCs w:val="24"/>
        </w:rPr>
        <w:t xml:space="preserve">References </w:t>
      </w:r>
    </w:p>
    <w:p w14:paraId="5C131CD2" w14:textId="66356684"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Adams, M., </w:t>
      </w:r>
      <w:proofErr w:type="spellStart"/>
      <w:r w:rsidRPr="00454386">
        <w:rPr>
          <w:rFonts w:ascii="Times New Roman" w:hAnsi="Times New Roman" w:cs="Times New Roman"/>
          <w:sz w:val="24"/>
          <w:szCs w:val="24"/>
        </w:rPr>
        <w:t>Andersson</w:t>
      </w:r>
      <w:proofErr w:type="spellEnd"/>
      <w:r w:rsidRPr="00454386">
        <w:rPr>
          <w:rFonts w:ascii="Times New Roman" w:hAnsi="Times New Roman" w:cs="Times New Roman"/>
          <w:sz w:val="24"/>
          <w:szCs w:val="24"/>
        </w:rPr>
        <w:t xml:space="preserve">, J., </w:t>
      </w:r>
      <w:proofErr w:type="spellStart"/>
      <w:r w:rsidRPr="00454386">
        <w:rPr>
          <w:rFonts w:ascii="Times New Roman" w:hAnsi="Times New Roman" w:cs="Times New Roman"/>
          <w:sz w:val="24"/>
          <w:szCs w:val="24"/>
        </w:rPr>
        <w:t>Andersson</w:t>
      </w:r>
      <w:proofErr w:type="spellEnd"/>
      <w:r w:rsidRPr="00454386">
        <w:rPr>
          <w:rFonts w:ascii="Times New Roman" w:hAnsi="Times New Roman" w:cs="Times New Roman"/>
          <w:sz w:val="24"/>
          <w:szCs w:val="24"/>
        </w:rPr>
        <w:t xml:space="preserve">, L. F., &amp; </w:t>
      </w:r>
      <w:proofErr w:type="spellStart"/>
      <w:r w:rsidRPr="00454386">
        <w:rPr>
          <w:rFonts w:ascii="Times New Roman" w:hAnsi="Times New Roman" w:cs="Times New Roman"/>
          <w:sz w:val="24"/>
          <w:szCs w:val="24"/>
        </w:rPr>
        <w:t>Lindmark</w:t>
      </w:r>
      <w:proofErr w:type="spellEnd"/>
      <w:r w:rsidRPr="00454386">
        <w:rPr>
          <w:rFonts w:ascii="Times New Roman" w:hAnsi="Times New Roman" w:cs="Times New Roman"/>
          <w:sz w:val="24"/>
          <w:szCs w:val="24"/>
        </w:rPr>
        <w:t xml:space="preserve">, M. (2009). Commercial banking, insurance and economic growth in Sweden between 1830 and 1998. </w:t>
      </w:r>
      <w:r w:rsidRPr="00454386">
        <w:rPr>
          <w:rFonts w:ascii="Times New Roman" w:hAnsi="Times New Roman" w:cs="Times New Roman"/>
          <w:i/>
          <w:iCs/>
          <w:sz w:val="24"/>
          <w:szCs w:val="24"/>
        </w:rPr>
        <w:t>Accounting History Review, 19</w:t>
      </w:r>
      <w:r w:rsidRPr="00454386">
        <w:rPr>
          <w:rFonts w:ascii="Times New Roman" w:hAnsi="Times New Roman" w:cs="Times New Roman"/>
          <w:sz w:val="24"/>
          <w:szCs w:val="24"/>
        </w:rPr>
        <w:t xml:space="preserve">(1), 21–38. </w:t>
      </w:r>
    </w:p>
    <w:p w14:paraId="644593DB" w14:textId="29AACF90"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Arena, M. (2008). Does insurance market activity promote economic growth? A cross-country study for industrialized and developing countries. </w:t>
      </w:r>
      <w:r w:rsidRPr="00454386">
        <w:rPr>
          <w:rFonts w:ascii="Times New Roman" w:hAnsi="Times New Roman" w:cs="Times New Roman"/>
          <w:i/>
          <w:iCs/>
          <w:sz w:val="24"/>
          <w:szCs w:val="24"/>
        </w:rPr>
        <w:t>Journal of Risk and Insurance, 75</w:t>
      </w:r>
      <w:r w:rsidRPr="00454386">
        <w:rPr>
          <w:rFonts w:ascii="Times New Roman" w:hAnsi="Times New Roman" w:cs="Times New Roman"/>
          <w:sz w:val="24"/>
          <w:szCs w:val="24"/>
        </w:rPr>
        <w:t xml:space="preserve">(4), 921–946. </w:t>
      </w:r>
    </w:p>
    <w:p w14:paraId="5C462427" w14:textId="18E99996"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Beck, T., Levine, R., &amp; </w:t>
      </w:r>
      <w:proofErr w:type="spellStart"/>
      <w:r w:rsidRPr="00454386">
        <w:rPr>
          <w:rFonts w:ascii="Times New Roman" w:hAnsi="Times New Roman" w:cs="Times New Roman"/>
          <w:sz w:val="24"/>
          <w:szCs w:val="24"/>
        </w:rPr>
        <w:t>Loayza</w:t>
      </w:r>
      <w:proofErr w:type="spellEnd"/>
      <w:r w:rsidRPr="00454386">
        <w:rPr>
          <w:rFonts w:ascii="Times New Roman" w:hAnsi="Times New Roman" w:cs="Times New Roman"/>
          <w:sz w:val="24"/>
          <w:szCs w:val="24"/>
        </w:rPr>
        <w:t xml:space="preserve">, N. (2000). Finance and the sources of growth. </w:t>
      </w:r>
      <w:r w:rsidRPr="00454386">
        <w:rPr>
          <w:rFonts w:ascii="Times New Roman" w:hAnsi="Times New Roman" w:cs="Times New Roman"/>
          <w:i/>
          <w:iCs/>
          <w:sz w:val="24"/>
          <w:szCs w:val="24"/>
        </w:rPr>
        <w:t>Journal of Financial Economics, 58</w:t>
      </w:r>
      <w:r w:rsidRPr="00454386">
        <w:rPr>
          <w:rFonts w:ascii="Times New Roman" w:hAnsi="Times New Roman" w:cs="Times New Roman"/>
          <w:sz w:val="24"/>
          <w:szCs w:val="24"/>
        </w:rPr>
        <w:t xml:space="preserve">(1–2), 261–300. </w:t>
      </w:r>
    </w:p>
    <w:p w14:paraId="09E5E614" w14:textId="54B5D3E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Browne, M. J., &amp; Kim, K. (1993). An international analysis of life insurance demand. </w:t>
      </w:r>
      <w:r w:rsidRPr="00454386">
        <w:rPr>
          <w:rFonts w:ascii="Times New Roman" w:hAnsi="Times New Roman" w:cs="Times New Roman"/>
          <w:i/>
          <w:iCs/>
          <w:sz w:val="24"/>
          <w:szCs w:val="24"/>
        </w:rPr>
        <w:t>Journal of Risk and Insurance, 60</w:t>
      </w:r>
      <w:r w:rsidRPr="00454386">
        <w:rPr>
          <w:rFonts w:ascii="Times New Roman" w:hAnsi="Times New Roman" w:cs="Times New Roman"/>
          <w:sz w:val="24"/>
          <w:szCs w:val="24"/>
        </w:rPr>
        <w:t xml:space="preserve">(4), 616–634. </w:t>
      </w:r>
    </w:p>
    <w:p w14:paraId="53B8550C" w14:textId="77777777" w:rsidR="00E213F7" w:rsidRPr="00454386" w:rsidRDefault="00E213F7" w:rsidP="00E213F7">
      <w:pPr>
        <w:ind w:left="540" w:hanging="540"/>
        <w:jc w:val="both"/>
        <w:rPr>
          <w:rFonts w:ascii="Times New Roman" w:hAnsi="Times New Roman" w:cs="Times New Roman"/>
          <w:sz w:val="24"/>
          <w:szCs w:val="24"/>
        </w:rPr>
      </w:pPr>
      <w:proofErr w:type="spellStart"/>
      <w:r w:rsidRPr="00454386">
        <w:rPr>
          <w:rFonts w:ascii="Times New Roman" w:hAnsi="Times New Roman" w:cs="Times New Roman"/>
          <w:sz w:val="24"/>
          <w:szCs w:val="24"/>
        </w:rPr>
        <w:t>Demirgüç-Kunt</w:t>
      </w:r>
      <w:proofErr w:type="spellEnd"/>
      <w:r w:rsidRPr="00454386">
        <w:rPr>
          <w:rFonts w:ascii="Times New Roman" w:hAnsi="Times New Roman" w:cs="Times New Roman"/>
          <w:sz w:val="24"/>
          <w:szCs w:val="24"/>
        </w:rPr>
        <w:t xml:space="preserve">, A., &amp; Levine, R. (2008). </w:t>
      </w:r>
      <w:r w:rsidRPr="00454386">
        <w:rPr>
          <w:rFonts w:ascii="Times New Roman" w:hAnsi="Times New Roman" w:cs="Times New Roman"/>
          <w:i/>
          <w:iCs/>
          <w:sz w:val="24"/>
          <w:szCs w:val="24"/>
        </w:rPr>
        <w:t>Finance, financial sector policies, and long-run growth</w:t>
      </w:r>
      <w:r w:rsidRPr="00454386">
        <w:rPr>
          <w:rFonts w:ascii="Times New Roman" w:hAnsi="Times New Roman" w:cs="Times New Roman"/>
          <w:sz w:val="24"/>
          <w:szCs w:val="24"/>
        </w:rPr>
        <w:t>. World Bank.</w:t>
      </w:r>
    </w:p>
    <w:p w14:paraId="61A387A5" w14:textId="5E8F1889"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Dutta, A., &amp; </w:t>
      </w:r>
      <w:proofErr w:type="spellStart"/>
      <w:r w:rsidRPr="00454386">
        <w:rPr>
          <w:rFonts w:ascii="Times New Roman" w:hAnsi="Times New Roman" w:cs="Times New Roman"/>
          <w:sz w:val="24"/>
          <w:szCs w:val="24"/>
        </w:rPr>
        <w:t>Sengupta</w:t>
      </w:r>
      <w:proofErr w:type="spellEnd"/>
      <w:r w:rsidRPr="00454386">
        <w:rPr>
          <w:rFonts w:ascii="Times New Roman" w:hAnsi="Times New Roman" w:cs="Times New Roman"/>
          <w:sz w:val="24"/>
          <w:szCs w:val="24"/>
        </w:rPr>
        <w:t xml:space="preserve">, P. P. (2011). Efficiency measurement of life insurance industry in India: A non-radial data envelopment analysis approach. </w:t>
      </w:r>
      <w:r w:rsidRPr="00454386">
        <w:rPr>
          <w:rFonts w:ascii="Times New Roman" w:hAnsi="Times New Roman" w:cs="Times New Roman"/>
          <w:i/>
          <w:iCs/>
          <w:sz w:val="24"/>
          <w:szCs w:val="24"/>
        </w:rPr>
        <w:t>Global Business Review, 12</w:t>
      </w:r>
      <w:r w:rsidRPr="00454386">
        <w:rPr>
          <w:rFonts w:ascii="Times New Roman" w:hAnsi="Times New Roman" w:cs="Times New Roman"/>
          <w:sz w:val="24"/>
          <w:szCs w:val="24"/>
        </w:rPr>
        <w:t xml:space="preserve">(3), 415–430. </w:t>
      </w:r>
    </w:p>
    <w:p w14:paraId="5997C06C"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Goldsmith, R. W. (1969). </w:t>
      </w:r>
      <w:r w:rsidRPr="00454386">
        <w:rPr>
          <w:rFonts w:ascii="Times New Roman" w:hAnsi="Times New Roman" w:cs="Times New Roman"/>
          <w:i/>
          <w:iCs/>
          <w:sz w:val="24"/>
          <w:szCs w:val="24"/>
        </w:rPr>
        <w:t>Financial structure and development</w:t>
      </w:r>
      <w:r w:rsidRPr="00454386">
        <w:rPr>
          <w:rFonts w:ascii="Times New Roman" w:hAnsi="Times New Roman" w:cs="Times New Roman"/>
          <w:sz w:val="24"/>
          <w:szCs w:val="24"/>
        </w:rPr>
        <w:t>. Yale University Press.</w:t>
      </w:r>
    </w:p>
    <w:p w14:paraId="2DBDD643" w14:textId="32AD34E2"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King, R. G., &amp; Levine, R. (1993). Finance, entrepreneurship, and growth: Theory and evidence. </w:t>
      </w:r>
      <w:r w:rsidRPr="00454386">
        <w:rPr>
          <w:rFonts w:ascii="Times New Roman" w:hAnsi="Times New Roman" w:cs="Times New Roman"/>
          <w:i/>
          <w:iCs/>
          <w:sz w:val="24"/>
          <w:szCs w:val="24"/>
        </w:rPr>
        <w:t>Journal of Monetary Economics, 32</w:t>
      </w:r>
      <w:r w:rsidRPr="00454386">
        <w:rPr>
          <w:rFonts w:ascii="Times New Roman" w:hAnsi="Times New Roman" w:cs="Times New Roman"/>
          <w:sz w:val="24"/>
          <w:szCs w:val="24"/>
        </w:rPr>
        <w:t xml:space="preserve">(3), 513–542. </w:t>
      </w:r>
    </w:p>
    <w:p w14:paraId="66D198D0"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Levine, R. (1997). Financial development and economic growth: Views and agenda. </w:t>
      </w:r>
      <w:r w:rsidRPr="00454386">
        <w:rPr>
          <w:rFonts w:ascii="Times New Roman" w:hAnsi="Times New Roman" w:cs="Times New Roman"/>
          <w:i/>
          <w:iCs/>
          <w:sz w:val="24"/>
          <w:szCs w:val="24"/>
        </w:rPr>
        <w:t>Journal of Economic Literature, 35</w:t>
      </w:r>
      <w:r w:rsidRPr="00454386">
        <w:rPr>
          <w:rFonts w:ascii="Times New Roman" w:hAnsi="Times New Roman" w:cs="Times New Roman"/>
          <w:sz w:val="24"/>
          <w:szCs w:val="24"/>
        </w:rPr>
        <w:t>(2), 688–726.</w:t>
      </w:r>
    </w:p>
    <w:p w14:paraId="11E0408D" w14:textId="39D29845"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Levine, R., </w:t>
      </w:r>
      <w:proofErr w:type="spellStart"/>
      <w:r w:rsidRPr="00454386">
        <w:rPr>
          <w:rFonts w:ascii="Times New Roman" w:hAnsi="Times New Roman" w:cs="Times New Roman"/>
          <w:sz w:val="24"/>
          <w:szCs w:val="24"/>
        </w:rPr>
        <w:t>Loayza</w:t>
      </w:r>
      <w:proofErr w:type="spellEnd"/>
      <w:r w:rsidRPr="00454386">
        <w:rPr>
          <w:rFonts w:ascii="Times New Roman" w:hAnsi="Times New Roman" w:cs="Times New Roman"/>
          <w:sz w:val="24"/>
          <w:szCs w:val="24"/>
        </w:rPr>
        <w:t xml:space="preserve">, N., &amp; Beck, T. (2000). Financial intermediation and growth: Causality and causes. </w:t>
      </w:r>
      <w:r w:rsidRPr="00454386">
        <w:rPr>
          <w:rFonts w:ascii="Times New Roman" w:hAnsi="Times New Roman" w:cs="Times New Roman"/>
          <w:i/>
          <w:iCs/>
          <w:sz w:val="24"/>
          <w:szCs w:val="24"/>
        </w:rPr>
        <w:t>Journal of Monetary Economics, 46</w:t>
      </w:r>
      <w:r w:rsidRPr="00454386">
        <w:rPr>
          <w:rFonts w:ascii="Times New Roman" w:hAnsi="Times New Roman" w:cs="Times New Roman"/>
          <w:sz w:val="24"/>
          <w:szCs w:val="24"/>
        </w:rPr>
        <w:t xml:space="preserve">(1), 31–77. </w:t>
      </w:r>
    </w:p>
    <w:p w14:paraId="631924A8"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McKinnon, R. I. (1973). </w:t>
      </w:r>
      <w:r w:rsidRPr="00454386">
        <w:rPr>
          <w:rFonts w:ascii="Times New Roman" w:hAnsi="Times New Roman" w:cs="Times New Roman"/>
          <w:i/>
          <w:iCs/>
          <w:sz w:val="24"/>
          <w:szCs w:val="24"/>
        </w:rPr>
        <w:t>Money and capital in economic development</w:t>
      </w:r>
      <w:r w:rsidRPr="00454386">
        <w:rPr>
          <w:rFonts w:ascii="Times New Roman" w:hAnsi="Times New Roman" w:cs="Times New Roman"/>
          <w:sz w:val="24"/>
          <w:szCs w:val="24"/>
        </w:rPr>
        <w:t>. Brookings Institution Press.</w:t>
      </w:r>
    </w:p>
    <w:p w14:paraId="56A02D27" w14:textId="5F28648F" w:rsidR="00E213F7" w:rsidRPr="00454386" w:rsidRDefault="00E213F7" w:rsidP="00E213F7">
      <w:pPr>
        <w:ind w:left="540" w:hanging="540"/>
        <w:jc w:val="both"/>
        <w:rPr>
          <w:rFonts w:ascii="Times New Roman" w:hAnsi="Times New Roman" w:cs="Times New Roman"/>
          <w:sz w:val="24"/>
          <w:szCs w:val="24"/>
        </w:rPr>
      </w:pPr>
      <w:proofErr w:type="spellStart"/>
      <w:r w:rsidRPr="00454386">
        <w:rPr>
          <w:rFonts w:ascii="Times New Roman" w:hAnsi="Times New Roman" w:cs="Times New Roman"/>
          <w:sz w:val="24"/>
          <w:szCs w:val="24"/>
        </w:rPr>
        <w:t>Mitra</w:t>
      </w:r>
      <w:proofErr w:type="spellEnd"/>
      <w:r w:rsidRPr="00454386">
        <w:rPr>
          <w:rFonts w:ascii="Times New Roman" w:hAnsi="Times New Roman" w:cs="Times New Roman"/>
          <w:sz w:val="24"/>
          <w:szCs w:val="24"/>
        </w:rPr>
        <w:t xml:space="preserve">, D., &amp; Ghosh, B. (2010). Insurance industry in post-reform India: Growth, competition, and performance. </w:t>
      </w:r>
      <w:r w:rsidRPr="00454386">
        <w:rPr>
          <w:rFonts w:ascii="Times New Roman" w:hAnsi="Times New Roman" w:cs="Times New Roman"/>
          <w:i/>
          <w:iCs/>
          <w:sz w:val="24"/>
          <w:szCs w:val="24"/>
        </w:rPr>
        <w:t>Journal of Risk Finance, 11</w:t>
      </w:r>
      <w:r w:rsidRPr="00454386">
        <w:rPr>
          <w:rFonts w:ascii="Times New Roman" w:hAnsi="Times New Roman" w:cs="Times New Roman"/>
          <w:sz w:val="24"/>
          <w:szCs w:val="24"/>
        </w:rPr>
        <w:t xml:space="preserve">(4), 383–395. </w:t>
      </w:r>
    </w:p>
    <w:p w14:paraId="59F10F20" w14:textId="2BA6A575" w:rsidR="00E213F7" w:rsidRPr="00454386" w:rsidRDefault="00E213F7" w:rsidP="00E213F7">
      <w:pPr>
        <w:ind w:left="540" w:hanging="540"/>
        <w:jc w:val="both"/>
        <w:rPr>
          <w:rFonts w:ascii="Times New Roman" w:hAnsi="Times New Roman" w:cs="Times New Roman"/>
          <w:sz w:val="24"/>
          <w:szCs w:val="24"/>
        </w:rPr>
      </w:pPr>
      <w:proofErr w:type="spellStart"/>
      <w:r w:rsidRPr="00454386">
        <w:rPr>
          <w:rFonts w:ascii="Times New Roman" w:hAnsi="Times New Roman" w:cs="Times New Roman"/>
          <w:sz w:val="24"/>
          <w:szCs w:val="24"/>
        </w:rPr>
        <w:t>Outreville</w:t>
      </w:r>
      <w:proofErr w:type="spellEnd"/>
      <w:r w:rsidRPr="00454386">
        <w:rPr>
          <w:rFonts w:ascii="Times New Roman" w:hAnsi="Times New Roman" w:cs="Times New Roman"/>
          <w:sz w:val="24"/>
          <w:szCs w:val="24"/>
        </w:rPr>
        <w:t xml:space="preserve">, J. F. (1990). The economic significance of insurance markets in developing countries. </w:t>
      </w:r>
      <w:r w:rsidRPr="00454386">
        <w:rPr>
          <w:rFonts w:ascii="Times New Roman" w:hAnsi="Times New Roman" w:cs="Times New Roman"/>
          <w:i/>
          <w:iCs/>
          <w:sz w:val="24"/>
          <w:szCs w:val="24"/>
        </w:rPr>
        <w:t>Journal of Risk and Insurance, 57</w:t>
      </w:r>
      <w:r w:rsidRPr="00454386">
        <w:rPr>
          <w:rFonts w:ascii="Times New Roman" w:hAnsi="Times New Roman" w:cs="Times New Roman"/>
          <w:sz w:val="24"/>
          <w:szCs w:val="24"/>
        </w:rPr>
        <w:t xml:space="preserve">(3), 487–498. </w:t>
      </w:r>
    </w:p>
    <w:p w14:paraId="0FDE364A"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Reserve Bank of India. (2023). </w:t>
      </w:r>
      <w:r w:rsidRPr="00454386">
        <w:rPr>
          <w:rFonts w:ascii="Times New Roman" w:hAnsi="Times New Roman" w:cs="Times New Roman"/>
          <w:i/>
          <w:iCs/>
          <w:sz w:val="24"/>
          <w:szCs w:val="24"/>
        </w:rPr>
        <w:t>Annual report 2022–23</w:t>
      </w:r>
      <w:r w:rsidRPr="00454386">
        <w:rPr>
          <w:rFonts w:ascii="Times New Roman" w:hAnsi="Times New Roman" w:cs="Times New Roman"/>
          <w:sz w:val="24"/>
          <w:szCs w:val="24"/>
        </w:rPr>
        <w:t>. Reserve Bank of India.</w:t>
      </w:r>
    </w:p>
    <w:p w14:paraId="5AD56B6E"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lastRenderedPageBreak/>
        <w:t xml:space="preserve">Reserve Bank of India. (2024). </w:t>
      </w:r>
      <w:r w:rsidRPr="00454386">
        <w:rPr>
          <w:rFonts w:ascii="Times New Roman" w:hAnsi="Times New Roman" w:cs="Times New Roman"/>
          <w:i/>
          <w:iCs/>
          <w:sz w:val="24"/>
          <w:szCs w:val="24"/>
        </w:rPr>
        <w:t>Financial stability report</w:t>
      </w:r>
      <w:r w:rsidRPr="00454386">
        <w:rPr>
          <w:rFonts w:ascii="Times New Roman" w:hAnsi="Times New Roman" w:cs="Times New Roman"/>
          <w:sz w:val="24"/>
          <w:szCs w:val="24"/>
        </w:rPr>
        <w:t>. Reserve Bank of India.</w:t>
      </w:r>
    </w:p>
    <w:p w14:paraId="48873DCB" w14:textId="71544B36"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Schumpeter, J. A. (1911). </w:t>
      </w:r>
      <w:r w:rsidRPr="00454386">
        <w:rPr>
          <w:rFonts w:ascii="Times New Roman" w:hAnsi="Times New Roman" w:cs="Times New Roman"/>
          <w:i/>
          <w:iCs/>
          <w:sz w:val="24"/>
          <w:szCs w:val="24"/>
        </w:rPr>
        <w:t>The theory of economic development</w:t>
      </w:r>
      <w:r w:rsidRPr="00454386">
        <w:rPr>
          <w:rFonts w:ascii="Times New Roman" w:hAnsi="Times New Roman" w:cs="Times New Roman"/>
          <w:sz w:val="24"/>
          <w:szCs w:val="24"/>
        </w:rPr>
        <w:t>. Harvard University Press.</w:t>
      </w:r>
    </w:p>
    <w:p w14:paraId="075A5EA1" w14:textId="3326355F"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Sharma, P., &amp; </w:t>
      </w:r>
      <w:proofErr w:type="spellStart"/>
      <w:r w:rsidRPr="00454386">
        <w:rPr>
          <w:rFonts w:ascii="Times New Roman" w:hAnsi="Times New Roman" w:cs="Times New Roman"/>
          <w:sz w:val="24"/>
          <w:szCs w:val="24"/>
        </w:rPr>
        <w:t>Patnaik</w:t>
      </w:r>
      <w:proofErr w:type="spellEnd"/>
      <w:r w:rsidRPr="00454386">
        <w:rPr>
          <w:rFonts w:ascii="Times New Roman" w:hAnsi="Times New Roman" w:cs="Times New Roman"/>
          <w:sz w:val="24"/>
          <w:szCs w:val="24"/>
        </w:rPr>
        <w:t xml:space="preserve">, D. (2024). Causality between insurance sector development and economic growth: Evidence from India. </w:t>
      </w:r>
      <w:r w:rsidRPr="00454386">
        <w:rPr>
          <w:rFonts w:ascii="Times New Roman" w:hAnsi="Times New Roman" w:cs="Times New Roman"/>
          <w:i/>
          <w:iCs/>
          <w:sz w:val="24"/>
          <w:szCs w:val="24"/>
        </w:rPr>
        <w:t>The Geneva Papers on Risk and Insurance – Issues and Practice, 49</w:t>
      </w:r>
      <w:r w:rsidRPr="00454386">
        <w:rPr>
          <w:rFonts w:ascii="Times New Roman" w:hAnsi="Times New Roman" w:cs="Times New Roman"/>
          <w:sz w:val="24"/>
          <w:szCs w:val="24"/>
        </w:rPr>
        <w:t xml:space="preserve">(1), 112–134. </w:t>
      </w:r>
    </w:p>
    <w:p w14:paraId="30ECFDB6"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Swiss Re Institute. (2025). </w:t>
      </w:r>
      <w:r w:rsidRPr="00454386">
        <w:rPr>
          <w:rFonts w:ascii="Times New Roman" w:hAnsi="Times New Roman" w:cs="Times New Roman"/>
          <w:i/>
          <w:iCs/>
          <w:sz w:val="24"/>
          <w:szCs w:val="24"/>
        </w:rPr>
        <w:t>Sigma: World insurance outlook</w:t>
      </w:r>
      <w:r w:rsidRPr="00454386">
        <w:rPr>
          <w:rFonts w:ascii="Times New Roman" w:hAnsi="Times New Roman" w:cs="Times New Roman"/>
          <w:sz w:val="24"/>
          <w:szCs w:val="24"/>
        </w:rPr>
        <w:t>. Swiss Re Ltd.</w:t>
      </w:r>
    </w:p>
    <w:p w14:paraId="0ECE03F0" w14:textId="77777777" w:rsidR="00E213F7" w:rsidRPr="00454386" w:rsidRDefault="00E213F7" w:rsidP="00E213F7">
      <w:pPr>
        <w:ind w:left="540" w:hanging="540"/>
        <w:jc w:val="both"/>
        <w:rPr>
          <w:rFonts w:ascii="Times New Roman" w:hAnsi="Times New Roman" w:cs="Times New Roman"/>
          <w:sz w:val="24"/>
          <w:szCs w:val="24"/>
        </w:rPr>
      </w:pPr>
      <w:r w:rsidRPr="00454386">
        <w:rPr>
          <w:rFonts w:ascii="Times New Roman" w:hAnsi="Times New Roman" w:cs="Times New Roman"/>
          <w:sz w:val="24"/>
          <w:szCs w:val="24"/>
        </w:rPr>
        <w:t xml:space="preserve">World Bank. (2024). </w:t>
      </w:r>
      <w:r w:rsidRPr="00454386">
        <w:rPr>
          <w:rFonts w:ascii="Times New Roman" w:hAnsi="Times New Roman" w:cs="Times New Roman"/>
          <w:i/>
          <w:iCs/>
          <w:sz w:val="24"/>
          <w:szCs w:val="24"/>
        </w:rPr>
        <w:t>World development indicators</w:t>
      </w:r>
      <w:r w:rsidRPr="00454386">
        <w:rPr>
          <w:rFonts w:ascii="Times New Roman" w:hAnsi="Times New Roman" w:cs="Times New Roman"/>
          <w:sz w:val="24"/>
          <w:szCs w:val="24"/>
        </w:rPr>
        <w:t>. World Bank.</w:t>
      </w:r>
    </w:p>
    <w:p w14:paraId="493AE6F6" w14:textId="77777777" w:rsidR="00E213F7" w:rsidRPr="00E213F7" w:rsidRDefault="00E213F7" w:rsidP="00E213F7">
      <w:pPr>
        <w:ind w:left="540" w:hanging="540"/>
        <w:jc w:val="both"/>
      </w:pPr>
    </w:p>
    <w:sectPr w:rsidR="00E213F7" w:rsidRPr="00E213F7" w:rsidSect="009014E1">
      <w:pgSz w:w="11910" w:h="16840" w:code="9"/>
      <w:pgMar w:top="1440" w:right="1440" w:bottom="1440" w:left="1440" w:header="0" w:footer="129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903BC"/>
    <w:multiLevelType w:val="multilevel"/>
    <w:tmpl w:val="DA8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D200F0"/>
    <w:multiLevelType w:val="multilevel"/>
    <w:tmpl w:val="55A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B7976"/>
    <w:multiLevelType w:val="multilevel"/>
    <w:tmpl w:val="ECF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440839"/>
    <w:multiLevelType w:val="multilevel"/>
    <w:tmpl w:val="61FE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585206"/>
    <w:multiLevelType w:val="multilevel"/>
    <w:tmpl w:val="CB9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124DB9"/>
    <w:multiLevelType w:val="multilevel"/>
    <w:tmpl w:val="F9CE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403370"/>
    <w:multiLevelType w:val="multilevel"/>
    <w:tmpl w:val="106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193C39"/>
    <w:multiLevelType w:val="multilevel"/>
    <w:tmpl w:val="3392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E1"/>
    <w:rsid w:val="00116AD1"/>
    <w:rsid w:val="00167B2B"/>
    <w:rsid w:val="00454386"/>
    <w:rsid w:val="004A24E2"/>
    <w:rsid w:val="004C2398"/>
    <w:rsid w:val="00540A60"/>
    <w:rsid w:val="005C57A9"/>
    <w:rsid w:val="0078015A"/>
    <w:rsid w:val="00845FB4"/>
    <w:rsid w:val="008C6951"/>
    <w:rsid w:val="009014E1"/>
    <w:rsid w:val="00923D29"/>
    <w:rsid w:val="009D3974"/>
    <w:rsid w:val="00AA3640"/>
    <w:rsid w:val="00B47853"/>
    <w:rsid w:val="00E116D9"/>
    <w:rsid w:val="00E213F7"/>
    <w:rsid w:val="00FB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301B"/>
  <w15:chartTrackingRefBased/>
  <w15:docId w15:val="{567CCECD-4F78-4A64-92D7-4EBDFF2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4E1"/>
    <w:rPr>
      <w:color w:val="0563C1" w:themeColor="hyperlink"/>
      <w:u w:val="single"/>
    </w:rPr>
  </w:style>
  <w:style w:type="character" w:customStyle="1" w:styleId="UnresolvedMention">
    <w:name w:val="Unresolved Mention"/>
    <w:basedOn w:val="DefaultParagraphFont"/>
    <w:uiPriority w:val="99"/>
    <w:semiHidden/>
    <w:unhideWhenUsed/>
    <w:rsid w:val="009014E1"/>
    <w:rPr>
      <w:color w:val="605E5C"/>
      <w:shd w:val="clear" w:color="auto" w:fill="E1DFDD"/>
    </w:rPr>
  </w:style>
  <w:style w:type="table" w:styleId="TableGrid">
    <w:name w:val="Table Grid"/>
    <w:basedOn w:val="TableNormal"/>
    <w:uiPriority w:val="39"/>
    <w:rsid w:val="0090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851">
      <w:bodyDiv w:val="1"/>
      <w:marLeft w:val="0"/>
      <w:marRight w:val="0"/>
      <w:marTop w:val="0"/>
      <w:marBottom w:val="0"/>
      <w:divBdr>
        <w:top w:val="none" w:sz="0" w:space="0" w:color="auto"/>
        <w:left w:val="none" w:sz="0" w:space="0" w:color="auto"/>
        <w:bottom w:val="none" w:sz="0" w:space="0" w:color="auto"/>
        <w:right w:val="none" w:sz="0" w:space="0" w:color="auto"/>
      </w:divBdr>
    </w:div>
    <w:div w:id="647511003">
      <w:bodyDiv w:val="1"/>
      <w:marLeft w:val="0"/>
      <w:marRight w:val="0"/>
      <w:marTop w:val="0"/>
      <w:marBottom w:val="0"/>
      <w:divBdr>
        <w:top w:val="none" w:sz="0" w:space="0" w:color="auto"/>
        <w:left w:val="none" w:sz="0" w:space="0" w:color="auto"/>
        <w:bottom w:val="none" w:sz="0" w:space="0" w:color="auto"/>
        <w:right w:val="none" w:sz="0" w:space="0" w:color="auto"/>
      </w:divBdr>
    </w:div>
    <w:div w:id="727538588">
      <w:bodyDiv w:val="1"/>
      <w:marLeft w:val="0"/>
      <w:marRight w:val="0"/>
      <w:marTop w:val="0"/>
      <w:marBottom w:val="0"/>
      <w:divBdr>
        <w:top w:val="none" w:sz="0" w:space="0" w:color="auto"/>
        <w:left w:val="none" w:sz="0" w:space="0" w:color="auto"/>
        <w:bottom w:val="none" w:sz="0" w:space="0" w:color="auto"/>
        <w:right w:val="none" w:sz="0" w:space="0" w:color="auto"/>
      </w:divBdr>
      <w:divsChild>
        <w:div w:id="1451168937">
          <w:marLeft w:val="0"/>
          <w:marRight w:val="0"/>
          <w:marTop w:val="0"/>
          <w:marBottom w:val="240"/>
          <w:divBdr>
            <w:top w:val="none" w:sz="0" w:space="0" w:color="auto"/>
            <w:left w:val="none" w:sz="0" w:space="0" w:color="auto"/>
            <w:bottom w:val="none" w:sz="0" w:space="0" w:color="auto"/>
            <w:right w:val="none" w:sz="0" w:space="0" w:color="auto"/>
          </w:divBdr>
        </w:div>
        <w:div w:id="534855999">
          <w:marLeft w:val="0"/>
          <w:marRight w:val="0"/>
          <w:marTop w:val="0"/>
          <w:marBottom w:val="240"/>
          <w:divBdr>
            <w:top w:val="none" w:sz="0" w:space="0" w:color="auto"/>
            <w:left w:val="none" w:sz="0" w:space="0" w:color="auto"/>
            <w:bottom w:val="none" w:sz="0" w:space="0" w:color="auto"/>
            <w:right w:val="none" w:sz="0" w:space="0" w:color="auto"/>
          </w:divBdr>
        </w:div>
        <w:div w:id="405880754">
          <w:marLeft w:val="0"/>
          <w:marRight w:val="0"/>
          <w:marTop w:val="0"/>
          <w:marBottom w:val="0"/>
          <w:divBdr>
            <w:top w:val="none" w:sz="0" w:space="0" w:color="auto"/>
            <w:left w:val="none" w:sz="0" w:space="0" w:color="auto"/>
            <w:bottom w:val="none" w:sz="0" w:space="0" w:color="auto"/>
            <w:right w:val="none" w:sz="0" w:space="0" w:color="auto"/>
          </w:divBdr>
        </w:div>
      </w:divsChild>
    </w:div>
    <w:div w:id="765734840">
      <w:bodyDiv w:val="1"/>
      <w:marLeft w:val="0"/>
      <w:marRight w:val="0"/>
      <w:marTop w:val="0"/>
      <w:marBottom w:val="0"/>
      <w:divBdr>
        <w:top w:val="none" w:sz="0" w:space="0" w:color="auto"/>
        <w:left w:val="none" w:sz="0" w:space="0" w:color="auto"/>
        <w:bottom w:val="none" w:sz="0" w:space="0" w:color="auto"/>
        <w:right w:val="none" w:sz="0" w:space="0" w:color="auto"/>
      </w:divBdr>
    </w:div>
    <w:div w:id="847137203">
      <w:bodyDiv w:val="1"/>
      <w:marLeft w:val="0"/>
      <w:marRight w:val="0"/>
      <w:marTop w:val="0"/>
      <w:marBottom w:val="0"/>
      <w:divBdr>
        <w:top w:val="none" w:sz="0" w:space="0" w:color="auto"/>
        <w:left w:val="none" w:sz="0" w:space="0" w:color="auto"/>
        <w:bottom w:val="none" w:sz="0" w:space="0" w:color="auto"/>
        <w:right w:val="none" w:sz="0" w:space="0" w:color="auto"/>
      </w:divBdr>
      <w:divsChild>
        <w:div w:id="934241311">
          <w:marLeft w:val="0"/>
          <w:marRight w:val="0"/>
          <w:marTop w:val="0"/>
          <w:marBottom w:val="240"/>
          <w:divBdr>
            <w:top w:val="none" w:sz="0" w:space="0" w:color="auto"/>
            <w:left w:val="none" w:sz="0" w:space="0" w:color="auto"/>
            <w:bottom w:val="none" w:sz="0" w:space="0" w:color="auto"/>
            <w:right w:val="none" w:sz="0" w:space="0" w:color="auto"/>
          </w:divBdr>
        </w:div>
        <w:div w:id="377050767">
          <w:marLeft w:val="0"/>
          <w:marRight w:val="0"/>
          <w:marTop w:val="0"/>
          <w:marBottom w:val="240"/>
          <w:divBdr>
            <w:top w:val="none" w:sz="0" w:space="0" w:color="auto"/>
            <w:left w:val="none" w:sz="0" w:space="0" w:color="auto"/>
            <w:bottom w:val="none" w:sz="0" w:space="0" w:color="auto"/>
            <w:right w:val="none" w:sz="0" w:space="0" w:color="auto"/>
          </w:divBdr>
        </w:div>
        <w:div w:id="1205873742">
          <w:marLeft w:val="0"/>
          <w:marRight w:val="0"/>
          <w:marTop w:val="0"/>
          <w:marBottom w:val="240"/>
          <w:divBdr>
            <w:top w:val="none" w:sz="0" w:space="0" w:color="auto"/>
            <w:left w:val="none" w:sz="0" w:space="0" w:color="auto"/>
            <w:bottom w:val="none" w:sz="0" w:space="0" w:color="auto"/>
            <w:right w:val="none" w:sz="0" w:space="0" w:color="auto"/>
          </w:divBdr>
        </w:div>
        <w:div w:id="866793145">
          <w:marLeft w:val="0"/>
          <w:marRight w:val="0"/>
          <w:marTop w:val="0"/>
          <w:marBottom w:val="240"/>
          <w:divBdr>
            <w:top w:val="none" w:sz="0" w:space="0" w:color="auto"/>
            <w:left w:val="none" w:sz="0" w:space="0" w:color="auto"/>
            <w:bottom w:val="none" w:sz="0" w:space="0" w:color="auto"/>
            <w:right w:val="none" w:sz="0" w:space="0" w:color="auto"/>
          </w:divBdr>
        </w:div>
        <w:div w:id="1644888273">
          <w:marLeft w:val="0"/>
          <w:marRight w:val="0"/>
          <w:marTop w:val="0"/>
          <w:marBottom w:val="240"/>
          <w:divBdr>
            <w:top w:val="none" w:sz="0" w:space="0" w:color="auto"/>
            <w:left w:val="none" w:sz="0" w:space="0" w:color="auto"/>
            <w:bottom w:val="none" w:sz="0" w:space="0" w:color="auto"/>
            <w:right w:val="none" w:sz="0" w:space="0" w:color="auto"/>
          </w:divBdr>
        </w:div>
        <w:div w:id="1760758897">
          <w:marLeft w:val="0"/>
          <w:marRight w:val="0"/>
          <w:marTop w:val="0"/>
          <w:marBottom w:val="240"/>
          <w:divBdr>
            <w:top w:val="none" w:sz="0" w:space="0" w:color="auto"/>
            <w:left w:val="none" w:sz="0" w:space="0" w:color="auto"/>
            <w:bottom w:val="none" w:sz="0" w:space="0" w:color="auto"/>
            <w:right w:val="none" w:sz="0" w:space="0" w:color="auto"/>
          </w:divBdr>
        </w:div>
        <w:div w:id="1326514696">
          <w:marLeft w:val="0"/>
          <w:marRight w:val="0"/>
          <w:marTop w:val="0"/>
          <w:marBottom w:val="240"/>
          <w:divBdr>
            <w:top w:val="none" w:sz="0" w:space="0" w:color="auto"/>
            <w:left w:val="none" w:sz="0" w:space="0" w:color="auto"/>
            <w:bottom w:val="none" w:sz="0" w:space="0" w:color="auto"/>
            <w:right w:val="none" w:sz="0" w:space="0" w:color="auto"/>
          </w:divBdr>
        </w:div>
        <w:div w:id="2130586322">
          <w:marLeft w:val="0"/>
          <w:marRight w:val="0"/>
          <w:marTop w:val="0"/>
          <w:marBottom w:val="240"/>
          <w:divBdr>
            <w:top w:val="none" w:sz="0" w:space="0" w:color="auto"/>
            <w:left w:val="none" w:sz="0" w:space="0" w:color="auto"/>
            <w:bottom w:val="none" w:sz="0" w:space="0" w:color="auto"/>
            <w:right w:val="none" w:sz="0" w:space="0" w:color="auto"/>
          </w:divBdr>
        </w:div>
        <w:div w:id="1779374511">
          <w:marLeft w:val="0"/>
          <w:marRight w:val="0"/>
          <w:marTop w:val="0"/>
          <w:marBottom w:val="0"/>
          <w:divBdr>
            <w:top w:val="none" w:sz="0" w:space="0" w:color="auto"/>
            <w:left w:val="none" w:sz="0" w:space="0" w:color="auto"/>
            <w:bottom w:val="none" w:sz="0" w:space="0" w:color="auto"/>
            <w:right w:val="none" w:sz="0" w:space="0" w:color="auto"/>
          </w:divBdr>
        </w:div>
        <w:div w:id="1856721560">
          <w:marLeft w:val="0"/>
          <w:marRight w:val="0"/>
          <w:marTop w:val="0"/>
          <w:marBottom w:val="0"/>
          <w:divBdr>
            <w:top w:val="none" w:sz="0" w:space="0" w:color="auto"/>
            <w:left w:val="none" w:sz="0" w:space="0" w:color="auto"/>
            <w:bottom w:val="none" w:sz="0" w:space="0" w:color="auto"/>
            <w:right w:val="none" w:sz="0" w:space="0" w:color="auto"/>
          </w:divBdr>
        </w:div>
        <w:div w:id="886992458">
          <w:marLeft w:val="0"/>
          <w:marRight w:val="0"/>
          <w:marTop w:val="0"/>
          <w:marBottom w:val="0"/>
          <w:divBdr>
            <w:top w:val="none" w:sz="0" w:space="0" w:color="auto"/>
            <w:left w:val="none" w:sz="0" w:space="0" w:color="auto"/>
            <w:bottom w:val="none" w:sz="0" w:space="0" w:color="auto"/>
            <w:right w:val="none" w:sz="0" w:space="0" w:color="auto"/>
          </w:divBdr>
        </w:div>
        <w:div w:id="1172530383">
          <w:marLeft w:val="0"/>
          <w:marRight w:val="0"/>
          <w:marTop w:val="0"/>
          <w:marBottom w:val="0"/>
          <w:divBdr>
            <w:top w:val="none" w:sz="0" w:space="0" w:color="auto"/>
            <w:left w:val="none" w:sz="0" w:space="0" w:color="auto"/>
            <w:bottom w:val="none" w:sz="0" w:space="0" w:color="auto"/>
            <w:right w:val="none" w:sz="0" w:space="0" w:color="auto"/>
          </w:divBdr>
        </w:div>
        <w:div w:id="2140486686">
          <w:marLeft w:val="0"/>
          <w:marRight w:val="0"/>
          <w:marTop w:val="0"/>
          <w:marBottom w:val="0"/>
          <w:divBdr>
            <w:top w:val="none" w:sz="0" w:space="0" w:color="auto"/>
            <w:left w:val="none" w:sz="0" w:space="0" w:color="auto"/>
            <w:bottom w:val="none" w:sz="0" w:space="0" w:color="auto"/>
            <w:right w:val="none" w:sz="0" w:space="0" w:color="auto"/>
          </w:divBdr>
        </w:div>
        <w:div w:id="1854756096">
          <w:marLeft w:val="0"/>
          <w:marRight w:val="0"/>
          <w:marTop w:val="0"/>
          <w:marBottom w:val="0"/>
          <w:divBdr>
            <w:top w:val="none" w:sz="0" w:space="0" w:color="auto"/>
            <w:left w:val="none" w:sz="0" w:space="0" w:color="auto"/>
            <w:bottom w:val="none" w:sz="0" w:space="0" w:color="auto"/>
            <w:right w:val="none" w:sz="0" w:space="0" w:color="auto"/>
          </w:divBdr>
        </w:div>
        <w:div w:id="2022470365">
          <w:marLeft w:val="0"/>
          <w:marRight w:val="0"/>
          <w:marTop w:val="0"/>
          <w:marBottom w:val="0"/>
          <w:divBdr>
            <w:top w:val="none" w:sz="0" w:space="0" w:color="auto"/>
            <w:left w:val="none" w:sz="0" w:space="0" w:color="auto"/>
            <w:bottom w:val="none" w:sz="0" w:space="0" w:color="auto"/>
            <w:right w:val="none" w:sz="0" w:space="0" w:color="auto"/>
          </w:divBdr>
        </w:div>
        <w:div w:id="1061557965">
          <w:marLeft w:val="0"/>
          <w:marRight w:val="0"/>
          <w:marTop w:val="0"/>
          <w:marBottom w:val="0"/>
          <w:divBdr>
            <w:top w:val="none" w:sz="0" w:space="0" w:color="auto"/>
            <w:left w:val="none" w:sz="0" w:space="0" w:color="auto"/>
            <w:bottom w:val="none" w:sz="0" w:space="0" w:color="auto"/>
            <w:right w:val="none" w:sz="0" w:space="0" w:color="auto"/>
          </w:divBdr>
        </w:div>
        <w:div w:id="1088113008">
          <w:marLeft w:val="0"/>
          <w:marRight w:val="0"/>
          <w:marTop w:val="0"/>
          <w:marBottom w:val="0"/>
          <w:divBdr>
            <w:top w:val="none" w:sz="0" w:space="0" w:color="auto"/>
            <w:left w:val="none" w:sz="0" w:space="0" w:color="auto"/>
            <w:bottom w:val="none" w:sz="0" w:space="0" w:color="auto"/>
            <w:right w:val="none" w:sz="0" w:space="0" w:color="auto"/>
          </w:divBdr>
        </w:div>
        <w:div w:id="1604605229">
          <w:marLeft w:val="0"/>
          <w:marRight w:val="0"/>
          <w:marTop w:val="0"/>
          <w:marBottom w:val="0"/>
          <w:divBdr>
            <w:top w:val="none" w:sz="0" w:space="0" w:color="auto"/>
            <w:left w:val="none" w:sz="0" w:space="0" w:color="auto"/>
            <w:bottom w:val="none" w:sz="0" w:space="0" w:color="auto"/>
            <w:right w:val="none" w:sz="0" w:space="0" w:color="auto"/>
          </w:divBdr>
        </w:div>
        <w:div w:id="1128818827">
          <w:marLeft w:val="0"/>
          <w:marRight w:val="0"/>
          <w:marTop w:val="0"/>
          <w:marBottom w:val="240"/>
          <w:divBdr>
            <w:top w:val="none" w:sz="0" w:space="0" w:color="auto"/>
            <w:left w:val="none" w:sz="0" w:space="0" w:color="auto"/>
            <w:bottom w:val="none" w:sz="0" w:space="0" w:color="auto"/>
            <w:right w:val="none" w:sz="0" w:space="0" w:color="auto"/>
          </w:divBdr>
        </w:div>
        <w:div w:id="822357012">
          <w:marLeft w:val="0"/>
          <w:marRight w:val="0"/>
          <w:marTop w:val="0"/>
          <w:marBottom w:val="240"/>
          <w:divBdr>
            <w:top w:val="none" w:sz="0" w:space="0" w:color="auto"/>
            <w:left w:val="none" w:sz="0" w:space="0" w:color="auto"/>
            <w:bottom w:val="none" w:sz="0" w:space="0" w:color="auto"/>
            <w:right w:val="none" w:sz="0" w:space="0" w:color="auto"/>
          </w:divBdr>
        </w:div>
        <w:div w:id="11811163">
          <w:marLeft w:val="0"/>
          <w:marRight w:val="0"/>
          <w:marTop w:val="0"/>
          <w:marBottom w:val="240"/>
          <w:divBdr>
            <w:top w:val="none" w:sz="0" w:space="0" w:color="auto"/>
            <w:left w:val="none" w:sz="0" w:space="0" w:color="auto"/>
            <w:bottom w:val="none" w:sz="0" w:space="0" w:color="auto"/>
            <w:right w:val="none" w:sz="0" w:space="0" w:color="auto"/>
          </w:divBdr>
        </w:div>
        <w:div w:id="1615288951">
          <w:marLeft w:val="0"/>
          <w:marRight w:val="0"/>
          <w:marTop w:val="0"/>
          <w:marBottom w:val="240"/>
          <w:divBdr>
            <w:top w:val="none" w:sz="0" w:space="0" w:color="auto"/>
            <w:left w:val="none" w:sz="0" w:space="0" w:color="auto"/>
            <w:bottom w:val="none" w:sz="0" w:space="0" w:color="auto"/>
            <w:right w:val="none" w:sz="0" w:space="0" w:color="auto"/>
          </w:divBdr>
        </w:div>
        <w:div w:id="692925712">
          <w:marLeft w:val="0"/>
          <w:marRight w:val="0"/>
          <w:marTop w:val="0"/>
          <w:marBottom w:val="240"/>
          <w:divBdr>
            <w:top w:val="none" w:sz="0" w:space="0" w:color="auto"/>
            <w:left w:val="none" w:sz="0" w:space="0" w:color="auto"/>
            <w:bottom w:val="none" w:sz="0" w:space="0" w:color="auto"/>
            <w:right w:val="none" w:sz="0" w:space="0" w:color="auto"/>
          </w:divBdr>
          <w:divsChild>
            <w:div w:id="815604830">
              <w:marLeft w:val="0"/>
              <w:marRight w:val="0"/>
              <w:marTop w:val="0"/>
              <w:marBottom w:val="0"/>
              <w:divBdr>
                <w:top w:val="none" w:sz="0" w:space="0" w:color="auto"/>
                <w:left w:val="none" w:sz="0" w:space="0" w:color="auto"/>
                <w:bottom w:val="none" w:sz="0" w:space="0" w:color="auto"/>
                <w:right w:val="none" w:sz="0" w:space="0" w:color="auto"/>
              </w:divBdr>
            </w:div>
            <w:div w:id="806169597">
              <w:marLeft w:val="0"/>
              <w:marRight w:val="0"/>
              <w:marTop w:val="0"/>
              <w:marBottom w:val="0"/>
              <w:divBdr>
                <w:top w:val="none" w:sz="0" w:space="0" w:color="auto"/>
                <w:left w:val="none" w:sz="0" w:space="0" w:color="auto"/>
                <w:bottom w:val="none" w:sz="0" w:space="0" w:color="auto"/>
                <w:right w:val="none" w:sz="0" w:space="0" w:color="auto"/>
              </w:divBdr>
            </w:div>
          </w:divsChild>
        </w:div>
        <w:div w:id="1018695697">
          <w:marLeft w:val="0"/>
          <w:marRight w:val="0"/>
          <w:marTop w:val="0"/>
          <w:marBottom w:val="240"/>
          <w:divBdr>
            <w:top w:val="none" w:sz="0" w:space="0" w:color="auto"/>
            <w:left w:val="none" w:sz="0" w:space="0" w:color="auto"/>
            <w:bottom w:val="none" w:sz="0" w:space="0" w:color="auto"/>
            <w:right w:val="none" w:sz="0" w:space="0" w:color="auto"/>
          </w:divBdr>
        </w:div>
        <w:div w:id="1437941052">
          <w:marLeft w:val="0"/>
          <w:marRight w:val="0"/>
          <w:marTop w:val="0"/>
          <w:marBottom w:val="240"/>
          <w:divBdr>
            <w:top w:val="none" w:sz="0" w:space="0" w:color="auto"/>
            <w:left w:val="none" w:sz="0" w:space="0" w:color="auto"/>
            <w:bottom w:val="none" w:sz="0" w:space="0" w:color="auto"/>
            <w:right w:val="none" w:sz="0" w:space="0" w:color="auto"/>
          </w:divBdr>
        </w:div>
        <w:div w:id="1104495091">
          <w:marLeft w:val="0"/>
          <w:marRight w:val="0"/>
          <w:marTop w:val="0"/>
          <w:marBottom w:val="240"/>
          <w:divBdr>
            <w:top w:val="none" w:sz="0" w:space="0" w:color="auto"/>
            <w:left w:val="none" w:sz="0" w:space="0" w:color="auto"/>
            <w:bottom w:val="none" w:sz="0" w:space="0" w:color="auto"/>
            <w:right w:val="none" w:sz="0" w:space="0" w:color="auto"/>
          </w:divBdr>
        </w:div>
        <w:div w:id="588000500">
          <w:marLeft w:val="0"/>
          <w:marRight w:val="0"/>
          <w:marTop w:val="0"/>
          <w:marBottom w:val="240"/>
          <w:divBdr>
            <w:top w:val="none" w:sz="0" w:space="0" w:color="auto"/>
            <w:left w:val="none" w:sz="0" w:space="0" w:color="auto"/>
            <w:bottom w:val="none" w:sz="0" w:space="0" w:color="auto"/>
            <w:right w:val="none" w:sz="0" w:space="0" w:color="auto"/>
          </w:divBdr>
        </w:div>
        <w:div w:id="666204231">
          <w:marLeft w:val="0"/>
          <w:marRight w:val="0"/>
          <w:marTop w:val="0"/>
          <w:marBottom w:val="240"/>
          <w:divBdr>
            <w:top w:val="none" w:sz="0" w:space="0" w:color="auto"/>
            <w:left w:val="none" w:sz="0" w:space="0" w:color="auto"/>
            <w:bottom w:val="none" w:sz="0" w:space="0" w:color="auto"/>
            <w:right w:val="none" w:sz="0" w:space="0" w:color="auto"/>
          </w:divBdr>
        </w:div>
        <w:div w:id="1619606079">
          <w:marLeft w:val="0"/>
          <w:marRight w:val="0"/>
          <w:marTop w:val="0"/>
          <w:marBottom w:val="240"/>
          <w:divBdr>
            <w:top w:val="none" w:sz="0" w:space="0" w:color="auto"/>
            <w:left w:val="none" w:sz="0" w:space="0" w:color="auto"/>
            <w:bottom w:val="none" w:sz="0" w:space="0" w:color="auto"/>
            <w:right w:val="none" w:sz="0" w:space="0" w:color="auto"/>
          </w:divBdr>
        </w:div>
        <w:div w:id="534730643">
          <w:marLeft w:val="0"/>
          <w:marRight w:val="0"/>
          <w:marTop w:val="0"/>
          <w:marBottom w:val="240"/>
          <w:divBdr>
            <w:top w:val="none" w:sz="0" w:space="0" w:color="auto"/>
            <w:left w:val="none" w:sz="0" w:space="0" w:color="auto"/>
            <w:bottom w:val="none" w:sz="0" w:space="0" w:color="auto"/>
            <w:right w:val="none" w:sz="0" w:space="0" w:color="auto"/>
          </w:divBdr>
        </w:div>
        <w:div w:id="1170828846">
          <w:marLeft w:val="0"/>
          <w:marRight w:val="0"/>
          <w:marTop w:val="0"/>
          <w:marBottom w:val="240"/>
          <w:divBdr>
            <w:top w:val="none" w:sz="0" w:space="0" w:color="auto"/>
            <w:left w:val="none" w:sz="0" w:space="0" w:color="auto"/>
            <w:bottom w:val="none" w:sz="0" w:space="0" w:color="auto"/>
            <w:right w:val="none" w:sz="0" w:space="0" w:color="auto"/>
          </w:divBdr>
        </w:div>
        <w:div w:id="381827635">
          <w:marLeft w:val="0"/>
          <w:marRight w:val="0"/>
          <w:marTop w:val="0"/>
          <w:marBottom w:val="240"/>
          <w:divBdr>
            <w:top w:val="none" w:sz="0" w:space="0" w:color="auto"/>
            <w:left w:val="none" w:sz="0" w:space="0" w:color="auto"/>
            <w:bottom w:val="none" w:sz="0" w:space="0" w:color="auto"/>
            <w:right w:val="none" w:sz="0" w:space="0" w:color="auto"/>
          </w:divBdr>
        </w:div>
        <w:div w:id="1108551274">
          <w:marLeft w:val="0"/>
          <w:marRight w:val="0"/>
          <w:marTop w:val="0"/>
          <w:marBottom w:val="240"/>
          <w:divBdr>
            <w:top w:val="none" w:sz="0" w:space="0" w:color="auto"/>
            <w:left w:val="none" w:sz="0" w:space="0" w:color="auto"/>
            <w:bottom w:val="none" w:sz="0" w:space="0" w:color="auto"/>
            <w:right w:val="none" w:sz="0" w:space="0" w:color="auto"/>
          </w:divBdr>
        </w:div>
        <w:div w:id="1378973559">
          <w:marLeft w:val="0"/>
          <w:marRight w:val="0"/>
          <w:marTop w:val="0"/>
          <w:marBottom w:val="240"/>
          <w:divBdr>
            <w:top w:val="none" w:sz="0" w:space="0" w:color="auto"/>
            <w:left w:val="none" w:sz="0" w:space="0" w:color="auto"/>
            <w:bottom w:val="none" w:sz="0" w:space="0" w:color="auto"/>
            <w:right w:val="none" w:sz="0" w:space="0" w:color="auto"/>
          </w:divBdr>
        </w:div>
        <w:div w:id="1644461013">
          <w:marLeft w:val="0"/>
          <w:marRight w:val="0"/>
          <w:marTop w:val="0"/>
          <w:marBottom w:val="240"/>
          <w:divBdr>
            <w:top w:val="none" w:sz="0" w:space="0" w:color="auto"/>
            <w:left w:val="none" w:sz="0" w:space="0" w:color="auto"/>
            <w:bottom w:val="none" w:sz="0" w:space="0" w:color="auto"/>
            <w:right w:val="none" w:sz="0" w:space="0" w:color="auto"/>
          </w:divBdr>
          <w:divsChild>
            <w:div w:id="1119111156">
              <w:marLeft w:val="0"/>
              <w:marRight w:val="0"/>
              <w:marTop w:val="0"/>
              <w:marBottom w:val="0"/>
              <w:divBdr>
                <w:top w:val="none" w:sz="0" w:space="0" w:color="auto"/>
                <w:left w:val="none" w:sz="0" w:space="0" w:color="auto"/>
                <w:bottom w:val="none" w:sz="0" w:space="0" w:color="auto"/>
                <w:right w:val="none" w:sz="0" w:space="0" w:color="auto"/>
              </w:divBdr>
            </w:div>
            <w:div w:id="113408204">
              <w:marLeft w:val="0"/>
              <w:marRight w:val="0"/>
              <w:marTop w:val="0"/>
              <w:marBottom w:val="0"/>
              <w:divBdr>
                <w:top w:val="none" w:sz="0" w:space="0" w:color="auto"/>
                <w:left w:val="none" w:sz="0" w:space="0" w:color="auto"/>
                <w:bottom w:val="none" w:sz="0" w:space="0" w:color="auto"/>
                <w:right w:val="none" w:sz="0" w:space="0" w:color="auto"/>
              </w:divBdr>
            </w:div>
          </w:divsChild>
        </w:div>
        <w:div w:id="909997377">
          <w:marLeft w:val="0"/>
          <w:marRight w:val="0"/>
          <w:marTop w:val="0"/>
          <w:marBottom w:val="240"/>
          <w:divBdr>
            <w:top w:val="none" w:sz="0" w:space="0" w:color="auto"/>
            <w:left w:val="none" w:sz="0" w:space="0" w:color="auto"/>
            <w:bottom w:val="none" w:sz="0" w:space="0" w:color="auto"/>
            <w:right w:val="none" w:sz="0" w:space="0" w:color="auto"/>
          </w:divBdr>
        </w:div>
        <w:div w:id="117113127">
          <w:marLeft w:val="0"/>
          <w:marRight w:val="0"/>
          <w:marTop w:val="0"/>
          <w:marBottom w:val="0"/>
          <w:divBdr>
            <w:top w:val="none" w:sz="0" w:space="0" w:color="auto"/>
            <w:left w:val="none" w:sz="0" w:space="0" w:color="auto"/>
            <w:bottom w:val="none" w:sz="0" w:space="0" w:color="auto"/>
            <w:right w:val="none" w:sz="0" w:space="0" w:color="auto"/>
          </w:divBdr>
        </w:div>
        <w:div w:id="1051880723">
          <w:marLeft w:val="0"/>
          <w:marRight w:val="0"/>
          <w:marTop w:val="0"/>
          <w:marBottom w:val="0"/>
          <w:divBdr>
            <w:top w:val="none" w:sz="0" w:space="0" w:color="auto"/>
            <w:left w:val="none" w:sz="0" w:space="0" w:color="auto"/>
            <w:bottom w:val="none" w:sz="0" w:space="0" w:color="auto"/>
            <w:right w:val="none" w:sz="0" w:space="0" w:color="auto"/>
          </w:divBdr>
        </w:div>
        <w:div w:id="147791230">
          <w:marLeft w:val="0"/>
          <w:marRight w:val="0"/>
          <w:marTop w:val="0"/>
          <w:marBottom w:val="0"/>
          <w:divBdr>
            <w:top w:val="none" w:sz="0" w:space="0" w:color="auto"/>
            <w:left w:val="none" w:sz="0" w:space="0" w:color="auto"/>
            <w:bottom w:val="none" w:sz="0" w:space="0" w:color="auto"/>
            <w:right w:val="none" w:sz="0" w:space="0" w:color="auto"/>
          </w:divBdr>
        </w:div>
        <w:div w:id="1883788116">
          <w:marLeft w:val="0"/>
          <w:marRight w:val="0"/>
          <w:marTop w:val="0"/>
          <w:marBottom w:val="240"/>
          <w:divBdr>
            <w:top w:val="none" w:sz="0" w:space="0" w:color="auto"/>
            <w:left w:val="none" w:sz="0" w:space="0" w:color="auto"/>
            <w:bottom w:val="none" w:sz="0" w:space="0" w:color="auto"/>
            <w:right w:val="none" w:sz="0" w:space="0" w:color="auto"/>
          </w:divBdr>
        </w:div>
        <w:div w:id="1996295604">
          <w:marLeft w:val="0"/>
          <w:marRight w:val="0"/>
          <w:marTop w:val="0"/>
          <w:marBottom w:val="0"/>
          <w:divBdr>
            <w:top w:val="none" w:sz="0" w:space="0" w:color="auto"/>
            <w:left w:val="none" w:sz="0" w:space="0" w:color="auto"/>
            <w:bottom w:val="none" w:sz="0" w:space="0" w:color="auto"/>
            <w:right w:val="none" w:sz="0" w:space="0" w:color="auto"/>
          </w:divBdr>
        </w:div>
        <w:div w:id="735320156">
          <w:marLeft w:val="0"/>
          <w:marRight w:val="0"/>
          <w:marTop w:val="0"/>
          <w:marBottom w:val="0"/>
          <w:divBdr>
            <w:top w:val="none" w:sz="0" w:space="0" w:color="auto"/>
            <w:left w:val="none" w:sz="0" w:space="0" w:color="auto"/>
            <w:bottom w:val="none" w:sz="0" w:space="0" w:color="auto"/>
            <w:right w:val="none" w:sz="0" w:space="0" w:color="auto"/>
          </w:divBdr>
        </w:div>
        <w:div w:id="583609446">
          <w:marLeft w:val="0"/>
          <w:marRight w:val="0"/>
          <w:marTop w:val="0"/>
          <w:marBottom w:val="0"/>
          <w:divBdr>
            <w:top w:val="none" w:sz="0" w:space="0" w:color="auto"/>
            <w:left w:val="none" w:sz="0" w:space="0" w:color="auto"/>
            <w:bottom w:val="none" w:sz="0" w:space="0" w:color="auto"/>
            <w:right w:val="none" w:sz="0" w:space="0" w:color="auto"/>
          </w:divBdr>
        </w:div>
        <w:div w:id="1329165689">
          <w:marLeft w:val="0"/>
          <w:marRight w:val="0"/>
          <w:marTop w:val="0"/>
          <w:marBottom w:val="240"/>
          <w:divBdr>
            <w:top w:val="none" w:sz="0" w:space="0" w:color="auto"/>
            <w:left w:val="none" w:sz="0" w:space="0" w:color="auto"/>
            <w:bottom w:val="none" w:sz="0" w:space="0" w:color="auto"/>
            <w:right w:val="none" w:sz="0" w:space="0" w:color="auto"/>
          </w:divBdr>
        </w:div>
        <w:div w:id="258104313">
          <w:marLeft w:val="0"/>
          <w:marRight w:val="0"/>
          <w:marTop w:val="0"/>
          <w:marBottom w:val="0"/>
          <w:divBdr>
            <w:top w:val="none" w:sz="0" w:space="0" w:color="auto"/>
            <w:left w:val="none" w:sz="0" w:space="0" w:color="auto"/>
            <w:bottom w:val="none" w:sz="0" w:space="0" w:color="auto"/>
            <w:right w:val="none" w:sz="0" w:space="0" w:color="auto"/>
          </w:divBdr>
        </w:div>
        <w:div w:id="1901162727">
          <w:marLeft w:val="0"/>
          <w:marRight w:val="0"/>
          <w:marTop w:val="0"/>
          <w:marBottom w:val="0"/>
          <w:divBdr>
            <w:top w:val="none" w:sz="0" w:space="0" w:color="auto"/>
            <w:left w:val="none" w:sz="0" w:space="0" w:color="auto"/>
            <w:bottom w:val="none" w:sz="0" w:space="0" w:color="auto"/>
            <w:right w:val="none" w:sz="0" w:space="0" w:color="auto"/>
          </w:divBdr>
        </w:div>
        <w:div w:id="2048092842">
          <w:marLeft w:val="0"/>
          <w:marRight w:val="0"/>
          <w:marTop w:val="0"/>
          <w:marBottom w:val="0"/>
          <w:divBdr>
            <w:top w:val="none" w:sz="0" w:space="0" w:color="auto"/>
            <w:left w:val="none" w:sz="0" w:space="0" w:color="auto"/>
            <w:bottom w:val="none" w:sz="0" w:space="0" w:color="auto"/>
            <w:right w:val="none" w:sz="0" w:space="0" w:color="auto"/>
          </w:divBdr>
        </w:div>
        <w:div w:id="915476905">
          <w:marLeft w:val="0"/>
          <w:marRight w:val="0"/>
          <w:marTop w:val="0"/>
          <w:marBottom w:val="240"/>
          <w:divBdr>
            <w:top w:val="none" w:sz="0" w:space="0" w:color="auto"/>
            <w:left w:val="none" w:sz="0" w:space="0" w:color="auto"/>
            <w:bottom w:val="none" w:sz="0" w:space="0" w:color="auto"/>
            <w:right w:val="none" w:sz="0" w:space="0" w:color="auto"/>
          </w:divBdr>
        </w:div>
        <w:div w:id="795759509">
          <w:marLeft w:val="0"/>
          <w:marRight w:val="0"/>
          <w:marTop w:val="0"/>
          <w:marBottom w:val="0"/>
          <w:divBdr>
            <w:top w:val="none" w:sz="0" w:space="0" w:color="auto"/>
            <w:left w:val="none" w:sz="0" w:space="0" w:color="auto"/>
            <w:bottom w:val="none" w:sz="0" w:space="0" w:color="auto"/>
            <w:right w:val="none" w:sz="0" w:space="0" w:color="auto"/>
          </w:divBdr>
        </w:div>
        <w:div w:id="786853216">
          <w:marLeft w:val="0"/>
          <w:marRight w:val="0"/>
          <w:marTop w:val="0"/>
          <w:marBottom w:val="0"/>
          <w:divBdr>
            <w:top w:val="none" w:sz="0" w:space="0" w:color="auto"/>
            <w:left w:val="none" w:sz="0" w:space="0" w:color="auto"/>
            <w:bottom w:val="none" w:sz="0" w:space="0" w:color="auto"/>
            <w:right w:val="none" w:sz="0" w:space="0" w:color="auto"/>
          </w:divBdr>
        </w:div>
        <w:div w:id="375088664">
          <w:marLeft w:val="0"/>
          <w:marRight w:val="0"/>
          <w:marTop w:val="0"/>
          <w:marBottom w:val="0"/>
          <w:divBdr>
            <w:top w:val="none" w:sz="0" w:space="0" w:color="auto"/>
            <w:left w:val="none" w:sz="0" w:space="0" w:color="auto"/>
            <w:bottom w:val="none" w:sz="0" w:space="0" w:color="auto"/>
            <w:right w:val="none" w:sz="0" w:space="0" w:color="auto"/>
          </w:divBdr>
        </w:div>
        <w:div w:id="1485782524">
          <w:marLeft w:val="0"/>
          <w:marRight w:val="0"/>
          <w:marTop w:val="0"/>
          <w:marBottom w:val="240"/>
          <w:divBdr>
            <w:top w:val="none" w:sz="0" w:space="0" w:color="auto"/>
            <w:left w:val="none" w:sz="0" w:space="0" w:color="auto"/>
            <w:bottom w:val="none" w:sz="0" w:space="0" w:color="auto"/>
            <w:right w:val="none" w:sz="0" w:space="0" w:color="auto"/>
          </w:divBdr>
        </w:div>
        <w:div w:id="151534489">
          <w:marLeft w:val="0"/>
          <w:marRight w:val="0"/>
          <w:marTop w:val="0"/>
          <w:marBottom w:val="240"/>
          <w:divBdr>
            <w:top w:val="none" w:sz="0" w:space="0" w:color="auto"/>
            <w:left w:val="none" w:sz="0" w:space="0" w:color="auto"/>
            <w:bottom w:val="none" w:sz="0" w:space="0" w:color="auto"/>
            <w:right w:val="none" w:sz="0" w:space="0" w:color="auto"/>
          </w:divBdr>
        </w:div>
        <w:div w:id="1826315290">
          <w:marLeft w:val="0"/>
          <w:marRight w:val="0"/>
          <w:marTop w:val="0"/>
          <w:marBottom w:val="240"/>
          <w:divBdr>
            <w:top w:val="none" w:sz="0" w:space="0" w:color="auto"/>
            <w:left w:val="none" w:sz="0" w:space="0" w:color="auto"/>
            <w:bottom w:val="none" w:sz="0" w:space="0" w:color="auto"/>
            <w:right w:val="none" w:sz="0" w:space="0" w:color="auto"/>
          </w:divBdr>
        </w:div>
        <w:div w:id="2104833038">
          <w:marLeft w:val="0"/>
          <w:marRight w:val="0"/>
          <w:marTop w:val="0"/>
          <w:marBottom w:val="240"/>
          <w:divBdr>
            <w:top w:val="none" w:sz="0" w:space="0" w:color="auto"/>
            <w:left w:val="none" w:sz="0" w:space="0" w:color="auto"/>
            <w:bottom w:val="none" w:sz="0" w:space="0" w:color="auto"/>
            <w:right w:val="none" w:sz="0" w:space="0" w:color="auto"/>
          </w:divBdr>
        </w:div>
        <w:div w:id="607011092">
          <w:marLeft w:val="0"/>
          <w:marRight w:val="0"/>
          <w:marTop w:val="0"/>
          <w:marBottom w:val="240"/>
          <w:divBdr>
            <w:top w:val="none" w:sz="0" w:space="0" w:color="auto"/>
            <w:left w:val="none" w:sz="0" w:space="0" w:color="auto"/>
            <w:bottom w:val="none" w:sz="0" w:space="0" w:color="auto"/>
            <w:right w:val="none" w:sz="0" w:space="0" w:color="auto"/>
          </w:divBdr>
        </w:div>
        <w:div w:id="818959288">
          <w:marLeft w:val="0"/>
          <w:marRight w:val="0"/>
          <w:marTop w:val="0"/>
          <w:marBottom w:val="240"/>
          <w:divBdr>
            <w:top w:val="none" w:sz="0" w:space="0" w:color="auto"/>
            <w:left w:val="none" w:sz="0" w:space="0" w:color="auto"/>
            <w:bottom w:val="none" w:sz="0" w:space="0" w:color="auto"/>
            <w:right w:val="none" w:sz="0" w:space="0" w:color="auto"/>
          </w:divBdr>
        </w:div>
        <w:div w:id="1640188700">
          <w:marLeft w:val="0"/>
          <w:marRight w:val="0"/>
          <w:marTop w:val="0"/>
          <w:marBottom w:val="240"/>
          <w:divBdr>
            <w:top w:val="none" w:sz="0" w:space="0" w:color="auto"/>
            <w:left w:val="none" w:sz="0" w:space="0" w:color="auto"/>
            <w:bottom w:val="none" w:sz="0" w:space="0" w:color="auto"/>
            <w:right w:val="none" w:sz="0" w:space="0" w:color="auto"/>
          </w:divBdr>
        </w:div>
        <w:div w:id="568617559">
          <w:marLeft w:val="0"/>
          <w:marRight w:val="0"/>
          <w:marTop w:val="0"/>
          <w:marBottom w:val="240"/>
          <w:divBdr>
            <w:top w:val="none" w:sz="0" w:space="0" w:color="auto"/>
            <w:left w:val="none" w:sz="0" w:space="0" w:color="auto"/>
            <w:bottom w:val="none" w:sz="0" w:space="0" w:color="auto"/>
            <w:right w:val="none" w:sz="0" w:space="0" w:color="auto"/>
          </w:divBdr>
        </w:div>
        <w:div w:id="964776053">
          <w:marLeft w:val="0"/>
          <w:marRight w:val="0"/>
          <w:marTop w:val="0"/>
          <w:marBottom w:val="240"/>
          <w:divBdr>
            <w:top w:val="none" w:sz="0" w:space="0" w:color="auto"/>
            <w:left w:val="none" w:sz="0" w:space="0" w:color="auto"/>
            <w:bottom w:val="none" w:sz="0" w:space="0" w:color="auto"/>
            <w:right w:val="none" w:sz="0" w:space="0" w:color="auto"/>
          </w:divBdr>
        </w:div>
        <w:div w:id="1010640178">
          <w:marLeft w:val="0"/>
          <w:marRight w:val="0"/>
          <w:marTop w:val="0"/>
          <w:marBottom w:val="240"/>
          <w:divBdr>
            <w:top w:val="none" w:sz="0" w:space="0" w:color="auto"/>
            <w:left w:val="none" w:sz="0" w:space="0" w:color="auto"/>
            <w:bottom w:val="none" w:sz="0" w:space="0" w:color="auto"/>
            <w:right w:val="none" w:sz="0" w:space="0" w:color="auto"/>
          </w:divBdr>
        </w:div>
        <w:div w:id="46686449">
          <w:marLeft w:val="0"/>
          <w:marRight w:val="0"/>
          <w:marTop w:val="0"/>
          <w:marBottom w:val="240"/>
          <w:divBdr>
            <w:top w:val="none" w:sz="0" w:space="0" w:color="auto"/>
            <w:left w:val="none" w:sz="0" w:space="0" w:color="auto"/>
            <w:bottom w:val="none" w:sz="0" w:space="0" w:color="auto"/>
            <w:right w:val="none" w:sz="0" w:space="0" w:color="auto"/>
          </w:divBdr>
        </w:div>
        <w:div w:id="616450621">
          <w:marLeft w:val="0"/>
          <w:marRight w:val="0"/>
          <w:marTop w:val="0"/>
          <w:marBottom w:val="240"/>
          <w:divBdr>
            <w:top w:val="none" w:sz="0" w:space="0" w:color="auto"/>
            <w:left w:val="none" w:sz="0" w:space="0" w:color="auto"/>
            <w:bottom w:val="none" w:sz="0" w:space="0" w:color="auto"/>
            <w:right w:val="none" w:sz="0" w:space="0" w:color="auto"/>
          </w:divBdr>
        </w:div>
        <w:div w:id="893201557">
          <w:marLeft w:val="0"/>
          <w:marRight w:val="0"/>
          <w:marTop w:val="0"/>
          <w:marBottom w:val="240"/>
          <w:divBdr>
            <w:top w:val="none" w:sz="0" w:space="0" w:color="auto"/>
            <w:left w:val="none" w:sz="0" w:space="0" w:color="auto"/>
            <w:bottom w:val="none" w:sz="0" w:space="0" w:color="auto"/>
            <w:right w:val="none" w:sz="0" w:space="0" w:color="auto"/>
          </w:divBdr>
        </w:div>
        <w:div w:id="1839037245">
          <w:marLeft w:val="0"/>
          <w:marRight w:val="0"/>
          <w:marTop w:val="0"/>
          <w:marBottom w:val="240"/>
          <w:divBdr>
            <w:top w:val="none" w:sz="0" w:space="0" w:color="auto"/>
            <w:left w:val="none" w:sz="0" w:space="0" w:color="auto"/>
            <w:bottom w:val="none" w:sz="0" w:space="0" w:color="auto"/>
            <w:right w:val="none" w:sz="0" w:space="0" w:color="auto"/>
          </w:divBdr>
        </w:div>
        <w:div w:id="220559963">
          <w:marLeft w:val="0"/>
          <w:marRight w:val="0"/>
          <w:marTop w:val="0"/>
          <w:marBottom w:val="240"/>
          <w:divBdr>
            <w:top w:val="none" w:sz="0" w:space="0" w:color="auto"/>
            <w:left w:val="none" w:sz="0" w:space="0" w:color="auto"/>
            <w:bottom w:val="none" w:sz="0" w:space="0" w:color="auto"/>
            <w:right w:val="none" w:sz="0" w:space="0" w:color="auto"/>
          </w:divBdr>
        </w:div>
        <w:div w:id="429592915">
          <w:marLeft w:val="0"/>
          <w:marRight w:val="0"/>
          <w:marTop w:val="0"/>
          <w:marBottom w:val="240"/>
          <w:divBdr>
            <w:top w:val="none" w:sz="0" w:space="0" w:color="auto"/>
            <w:left w:val="none" w:sz="0" w:space="0" w:color="auto"/>
            <w:bottom w:val="none" w:sz="0" w:space="0" w:color="auto"/>
            <w:right w:val="none" w:sz="0" w:space="0" w:color="auto"/>
          </w:divBdr>
        </w:div>
        <w:div w:id="1001348268">
          <w:marLeft w:val="0"/>
          <w:marRight w:val="0"/>
          <w:marTop w:val="0"/>
          <w:marBottom w:val="240"/>
          <w:divBdr>
            <w:top w:val="none" w:sz="0" w:space="0" w:color="auto"/>
            <w:left w:val="none" w:sz="0" w:space="0" w:color="auto"/>
            <w:bottom w:val="none" w:sz="0" w:space="0" w:color="auto"/>
            <w:right w:val="none" w:sz="0" w:space="0" w:color="auto"/>
          </w:divBdr>
        </w:div>
        <w:div w:id="1461143821">
          <w:marLeft w:val="0"/>
          <w:marRight w:val="0"/>
          <w:marTop w:val="0"/>
          <w:marBottom w:val="240"/>
          <w:divBdr>
            <w:top w:val="none" w:sz="0" w:space="0" w:color="auto"/>
            <w:left w:val="none" w:sz="0" w:space="0" w:color="auto"/>
            <w:bottom w:val="none" w:sz="0" w:space="0" w:color="auto"/>
            <w:right w:val="none" w:sz="0" w:space="0" w:color="auto"/>
          </w:divBdr>
        </w:div>
        <w:div w:id="144202416">
          <w:marLeft w:val="0"/>
          <w:marRight w:val="0"/>
          <w:marTop w:val="0"/>
          <w:marBottom w:val="240"/>
          <w:divBdr>
            <w:top w:val="none" w:sz="0" w:space="0" w:color="auto"/>
            <w:left w:val="none" w:sz="0" w:space="0" w:color="auto"/>
            <w:bottom w:val="none" w:sz="0" w:space="0" w:color="auto"/>
            <w:right w:val="none" w:sz="0" w:space="0" w:color="auto"/>
          </w:divBdr>
        </w:div>
        <w:div w:id="718089383">
          <w:marLeft w:val="0"/>
          <w:marRight w:val="0"/>
          <w:marTop w:val="0"/>
          <w:marBottom w:val="240"/>
          <w:divBdr>
            <w:top w:val="none" w:sz="0" w:space="0" w:color="auto"/>
            <w:left w:val="none" w:sz="0" w:space="0" w:color="auto"/>
            <w:bottom w:val="none" w:sz="0" w:space="0" w:color="auto"/>
            <w:right w:val="none" w:sz="0" w:space="0" w:color="auto"/>
          </w:divBdr>
        </w:div>
        <w:div w:id="501553943">
          <w:marLeft w:val="0"/>
          <w:marRight w:val="0"/>
          <w:marTop w:val="0"/>
          <w:marBottom w:val="240"/>
          <w:divBdr>
            <w:top w:val="none" w:sz="0" w:space="0" w:color="auto"/>
            <w:left w:val="none" w:sz="0" w:space="0" w:color="auto"/>
            <w:bottom w:val="none" w:sz="0" w:space="0" w:color="auto"/>
            <w:right w:val="none" w:sz="0" w:space="0" w:color="auto"/>
          </w:divBdr>
        </w:div>
        <w:div w:id="1463577236">
          <w:marLeft w:val="0"/>
          <w:marRight w:val="0"/>
          <w:marTop w:val="0"/>
          <w:marBottom w:val="240"/>
          <w:divBdr>
            <w:top w:val="none" w:sz="0" w:space="0" w:color="auto"/>
            <w:left w:val="none" w:sz="0" w:space="0" w:color="auto"/>
            <w:bottom w:val="none" w:sz="0" w:space="0" w:color="auto"/>
            <w:right w:val="none" w:sz="0" w:space="0" w:color="auto"/>
          </w:divBdr>
        </w:div>
        <w:div w:id="1733499163">
          <w:marLeft w:val="0"/>
          <w:marRight w:val="0"/>
          <w:marTop w:val="0"/>
          <w:marBottom w:val="240"/>
          <w:divBdr>
            <w:top w:val="none" w:sz="0" w:space="0" w:color="auto"/>
            <w:left w:val="none" w:sz="0" w:space="0" w:color="auto"/>
            <w:bottom w:val="none" w:sz="0" w:space="0" w:color="auto"/>
            <w:right w:val="none" w:sz="0" w:space="0" w:color="auto"/>
          </w:divBdr>
        </w:div>
        <w:div w:id="910122397">
          <w:marLeft w:val="0"/>
          <w:marRight w:val="0"/>
          <w:marTop w:val="0"/>
          <w:marBottom w:val="240"/>
          <w:divBdr>
            <w:top w:val="none" w:sz="0" w:space="0" w:color="auto"/>
            <w:left w:val="none" w:sz="0" w:space="0" w:color="auto"/>
            <w:bottom w:val="none" w:sz="0" w:space="0" w:color="auto"/>
            <w:right w:val="none" w:sz="0" w:space="0" w:color="auto"/>
          </w:divBdr>
        </w:div>
        <w:div w:id="2065641599">
          <w:marLeft w:val="0"/>
          <w:marRight w:val="0"/>
          <w:marTop w:val="0"/>
          <w:marBottom w:val="240"/>
          <w:divBdr>
            <w:top w:val="none" w:sz="0" w:space="0" w:color="auto"/>
            <w:left w:val="none" w:sz="0" w:space="0" w:color="auto"/>
            <w:bottom w:val="none" w:sz="0" w:space="0" w:color="auto"/>
            <w:right w:val="none" w:sz="0" w:space="0" w:color="auto"/>
          </w:divBdr>
        </w:div>
        <w:div w:id="382677519">
          <w:marLeft w:val="0"/>
          <w:marRight w:val="0"/>
          <w:marTop w:val="0"/>
          <w:marBottom w:val="240"/>
          <w:divBdr>
            <w:top w:val="none" w:sz="0" w:space="0" w:color="auto"/>
            <w:left w:val="none" w:sz="0" w:space="0" w:color="auto"/>
            <w:bottom w:val="none" w:sz="0" w:space="0" w:color="auto"/>
            <w:right w:val="none" w:sz="0" w:space="0" w:color="auto"/>
          </w:divBdr>
        </w:div>
        <w:div w:id="58722129">
          <w:marLeft w:val="0"/>
          <w:marRight w:val="0"/>
          <w:marTop w:val="0"/>
          <w:marBottom w:val="240"/>
          <w:divBdr>
            <w:top w:val="none" w:sz="0" w:space="0" w:color="auto"/>
            <w:left w:val="none" w:sz="0" w:space="0" w:color="auto"/>
            <w:bottom w:val="none" w:sz="0" w:space="0" w:color="auto"/>
            <w:right w:val="none" w:sz="0" w:space="0" w:color="auto"/>
          </w:divBdr>
        </w:div>
        <w:div w:id="1054814214">
          <w:marLeft w:val="0"/>
          <w:marRight w:val="0"/>
          <w:marTop w:val="0"/>
          <w:marBottom w:val="240"/>
          <w:divBdr>
            <w:top w:val="none" w:sz="0" w:space="0" w:color="auto"/>
            <w:left w:val="none" w:sz="0" w:space="0" w:color="auto"/>
            <w:bottom w:val="none" w:sz="0" w:space="0" w:color="auto"/>
            <w:right w:val="none" w:sz="0" w:space="0" w:color="auto"/>
          </w:divBdr>
        </w:div>
        <w:div w:id="1785231151">
          <w:marLeft w:val="0"/>
          <w:marRight w:val="0"/>
          <w:marTop w:val="0"/>
          <w:marBottom w:val="240"/>
          <w:divBdr>
            <w:top w:val="none" w:sz="0" w:space="0" w:color="auto"/>
            <w:left w:val="none" w:sz="0" w:space="0" w:color="auto"/>
            <w:bottom w:val="none" w:sz="0" w:space="0" w:color="auto"/>
            <w:right w:val="none" w:sz="0" w:space="0" w:color="auto"/>
          </w:divBdr>
        </w:div>
        <w:div w:id="1855612129">
          <w:marLeft w:val="0"/>
          <w:marRight w:val="0"/>
          <w:marTop w:val="0"/>
          <w:marBottom w:val="240"/>
          <w:divBdr>
            <w:top w:val="none" w:sz="0" w:space="0" w:color="auto"/>
            <w:left w:val="none" w:sz="0" w:space="0" w:color="auto"/>
            <w:bottom w:val="none" w:sz="0" w:space="0" w:color="auto"/>
            <w:right w:val="none" w:sz="0" w:space="0" w:color="auto"/>
          </w:divBdr>
        </w:div>
      </w:divsChild>
    </w:div>
    <w:div w:id="1306160098">
      <w:bodyDiv w:val="1"/>
      <w:marLeft w:val="0"/>
      <w:marRight w:val="0"/>
      <w:marTop w:val="0"/>
      <w:marBottom w:val="0"/>
      <w:divBdr>
        <w:top w:val="none" w:sz="0" w:space="0" w:color="auto"/>
        <w:left w:val="none" w:sz="0" w:space="0" w:color="auto"/>
        <w:bottom w:val="none" w:sz="0" w:space="0" w:color="auto"/>
        <w:right w:val="none" w:sz="0" w:space="0" w:color="auto"/>
      </w:divBdr>
    </w:div>
    <w:div w:id="1316689088">
      <w:bodyDiv w:val="1"/>
      <w:marLeft w:val="0"/>
      <w:marRight w:val="0"/>
      <w:marTop w:val="0"/>
      <w:marBottom w:val="0"/>
      <w:divBdr>
        <w:top w:val="none" w:sz="0" w:space="0" w:color="auto"/>
        <w:left w:val="none" w:sz="0" w:space="0" w:color="auto"/>
        <w:bottom w:val="none" w:sz="0" w:space="0" w:color="auto"/>
        <w:right w:val="none" w:sz="0" w:space="0" w:color="auto"/>
      </w:divBdr>
    </w:div>
    <w:div w:id="2054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Singh Manku</dc:creator>
  <cp:keywords/>
  <dc:description/>
  <cp:lastModifiedBy>Microsoft account</cp:lastModifiedBy>
  <cp:revision>5</cp:revision>
  <dcterms:created xsi:type="dcterms:W3CDTF">2026-03-15T05:53:00Z</dcterms:created>
  <dcterms:modified xsi:type="dcterms:W3CDTF">2026-03-15T06:31:00Z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1e4f5b74-b876-4d49-8795-15211e44a5f7</vt:lpwstr>
  </property>
</Properties>
</file>