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D6673B">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default" w:eastAsiaTheme="minorEastAsia"/>
          <w:b/>
          <w:bCs/>
          <w:color w:val="auto"/>
          <w:sz w:val="28"/>
          <w:szCs w:val="36"/>
          <w:highlight w:val="none"/>
          <w:lang w:val="en-US" w:eastAsia="zh-CN"/>
        </w:rPr>
      </w:pPr>
      <w:r>
        <w:rPr>
          <w:rFonts w:hint="eastAsia"/>
          <w:b/>
          <w:bCs/>
          <w:color w:val="auto"/>
          <w:sz w:val="28"/>
          <w:szCs w:val="36"/>
          <w:highlight w:val="none"/>
          <w:lang w:val="en-US" w:eastAsia="zh-CN"/>
        </w:rPr>
        <w:t>Producer Services Trad</w:t>
      </w:r>
      <w:bookmarkStart w:id="0" w:name="_GoBack"/>
      <w:bookmarkEnd w:id="0"/>
      <w:r>
        <w:rPr>
          <w:rFonts w:hint="eastAsia"/>
          <w:b/>
          <w:bCs/>
          <w:color w:val="auto"/>
          <w:sz w:val="28"/>
          <w:szCs w:val="36"/>
          <w:highlight w:val="none"/>
          <w:lang w:val="en-US" w:eastAsia="zh-CN"/>
        </w:rPr>
        <w:t>e Competitiveness and Independent Innovation of Manufacturing Enterprises: An Empirical Study Based on Samples of Chinese Listed Companies</w:t>
      </w:r>
    </w:p>
    <w:p w14:paraId="7813CBA1">
      <w:pPr>
        <w:keepNext w:val="0"/>
        <w:keepLines w:val="0"/>
        <w:pageBreakBefore w:val="0"/>
        <w:widowControl w:val="0"/>
        <w:kinsoku/>
        <w:wordWrap/>
        <w:overflowPunct/>
        <w:topLinePunct w:val="0"/>
        <w:autoSpaceDE/>
        <w:autoSpaceDN/>
        <w:bidi w:val="0"/>
        <w:adjustRightInd/>
        <w:snapToGrid/>
        <w:spacing w:before="625" w:beforeLines="200" w:after="313" w:afterLines="100"/>
        <w:jc w:val="left"/>
        <w:textAlignment w:val="auto"/>
        <w:rPr>
          <w:rFonts w:hint="default" w:asciiTheme="minorAscii" w:hAnsiTheme="minorAscii"/>
          <w:b/>
          <w:bCs/>
          <w:color w:val="auto"/>
          <w:sz w:val="22"/>
          <w:szCs w:val="28"/>
          <w:highlight w:val="none"/>
          <w:lang w:eastAsia="zh-Hans"/>
        </w:rPr>
      </w:pPr>
      <w:r>
        <w:rPr>
          <w:rFonts w:hint="default" w:asciiTheme="minorAscii" w:hAnsiTheme="minorAscii"/>
          <w:b/>
          <w:bCs/>
          <w:color w:val="auto"/>
          <w:sz w:val="22"/>
          <w:szCs w:val="28"/>
          <w:highlight w:val="none"/>
          <w:lang w:eastAsia="zh-Hans"/>
        </w:rPr>
        <w:t>Abstract</w:t>
      </w:r>
    </w:p>
    <w:p w14:paraId="618A3B17">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Against rising global economic uncertainty, China’s manufacturing sector faces mounting innovation pressure. Knowledge- and technology-intensive producer services have become a key driver of global value chain upgrading. Using 2007–2020 panel data from Chinese firms, this study applies a two-way fixed effects model to examine the impact of producer services trade competitiveness on firms’ independent innovation. Results show a significant positive effect, weakened by higher industrial employment shares but strengthened by restructuring and inflation. The effect is stronger for firms in central, western, and northeastern regions, large firms, state-owned enterprises, labor-intensive sectors, competitive industries, and financially constrained firms.</w:t>
      </w:r>
    </w:p>
    <w:p w14:paraId="3E70AF75">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Ascii" w:hAnsiTheme="minorAscii" w:eastAsiaTheme="minorEastAsia"/>
          <w:color w:val="auto"/>
          <w:highlight w:val="none"/>
          <w:lang w:val="en-US" w:eastAsia="zh-CN"/>
        </w:rPr>
      </w:pPr>
      <w:r>
        <w:rPr>
          <w:rFonts w:hint="default" w:asciiTheme="minorAscii" w:hAnsiTheme="minorAscii"/>
          <w:b/>
          <w:bCs/>
          <w:color w:val="auto"/>
          <w:highlight w:val="none"/>
        </w:rPr>
        <w:t xml:space="preserve">Keywords: </w:t>
      </w:r>
      <w:r>
        <w:rPr>
          <w:rFonts w:hint="default" w:asciiTheme="minorAscii" w:hAnsiTheme="minorAscii"/>
          <w:color w:val="auto"/>
          <w:highlight w:val="none"/>
        </w:rPr>
        <w:t>Competitiveness of producer service trade; Enterprise independent innovation; Manufacturing industry; Producer service industry;</w:t>
      </w:r>
      <w:r>
        <w:rPr>
          <w:rFonts w:hint="eastAsia" w:asciiTheme="minorAscii" w:hAnsiTheme="minorAscii"/>
          <w:color w:val="auto"/>
          <w:highlight w:val="none"/>
          <w:lang w:val="en-US" w:eastAsia="zh-CN"/>
        </w:rPr>
        <w:t xml:space="preserve"> Listed Companies</w:t>
      </w:r>
      <w:r>
        <w:rPr>
          <w:rFonts w:hint="default" w:asciiTheme="minorAscii" w:hAnsiTheme="minorAscii"/>
          <w:color w:val="auto"/>
          <w:highlight w:val="none"/>
        </w:rPr>
        <w:t>;</w:t>
      </w:r>
    </w:p>
    <w:p w14:paraId="148DFB53">
      <w:pPr>
        <w:keepNext w:val="0"/>
        <w:keepLines w:val="0"/>
        <w:pageBreakBefore w:val="0"/>
        <w:widowControl w:val="0"/>
        <w:kinsoku/>
        <w:wordWrap/>
        <w:overflowPunct/>
        <w:topLinePunct w:val="0"/>
        <w:autoSpaceDE/>
        <w:autoSpaceDN/>
        <w:bidi w:val="0"/>
        <w:adjustRightInd/>
        <w:snapToGrid/>
        <w:spacing w:before="625" w:beforeLines="200" w:after="313" w:afterLines="100"/>
        <w:jc w:val="left"/>
        <w:textAlignment w:val="auto"/>
        <w:rPr>
          <w:rFonts w:hint="default" w:asciiTheme="minorAscii" w:hAnsiTheme="minorAscii"/>
          <w:b/>
          <w:bCs/>
          <w:color w:val="auto"/>
          <w:sz w:val="22"/>
          <w:szCs w:val="28"/>
          <w:highlight w:val="none"/>
          <w:lang w:eastAsia="zh-Hans"/>
        </w:rPr>
      </w:pPr>
      <w:r>
        <w:rPr>
          <w:rFonts w:hint="default" w:asciiTheme="minorAscii" w:hAnsiTheme="minorAscii"/>
          <w:b/>
          <w:bCs/>
          <w:color w:val="auto"/>
          <w:sz w:val="22"/>
          <w:szCs w:val="28"/>
          <w:highlight w:val="none"/>
          <w:lang w:eastAsia="zh-Hans"/>
        </w:rPr>
        <w:t>1.</w:t>
      </w:r>
      <w:r>
        <w:rPr>
          <w:rFonts w:hint="default" w:asciiTheme="minorAscii" w:hAnsiTheme="minorAscii"/>
          <w:b/>
          <w:bCs/>
          <w:color w:val="auto"/>
          <w:sz w:val="22"/>
          <w:szCs w:val="28"/>
          <w:highlight w:val="none"/>
          <w:lang w:val="en-US" w:eastAsia="zh-CN"/>
        </w:rPr>
        <w:t>INTRODUCTION</w:t>
      </w:r>
    </w:p>
    <w:p w14:paraId="2B431701">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Since the reform and opening up, China's manufacturing industry has experienced leapfrog development and has entered the third echelon of global manufacturing, but it is still in the middle and low end of the global value chain. Problems such as high external dependence on high-end equipment and restricted core technology still exist. At the same time, changes in the international economic environment and the superposition of the epidemic have led to growth pressure on the manufacturing industry, and it is urgent to enhance innovation capabilities to form new competitive advantages.</w:t>
      </w:r>
    </w:p>
    <w:p w14:paraId="7B24D187">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The productive service industry is a high-tech and high-value-added service industry separated from the production service department within the manufacturing industry. It is an important force to promote technological innovation, lead industrial specialization and upgrade the value chain. The improvement of the competitiveness of productive service trade means that China's export structure is gradually approaching that of developed countries, which can provide advanced technology, supporting facilities and intermediate inputs for the manufacturing industry, reduce costs and improve efficiency.</w:t>
      </w:r>
    </w:p>
    <w:p w14:paraId="3E7F2267">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At present, China is actively promoting the high-quality development of the productive service industry. So can the improvement of its trade competitiveness promote innovation in manufacturing enterprises? This article conducts an empirical analysis around this issue.</w:t>
      </w:r>
    </w:p>
    <w:p w14:paraId="36F217DB">
      <w:pPr>
        <w:keepNext w:val="0"/>
        <w:keepLines w:val="0"/>
        <w:pageBreakBefore w:val="0"/>
        <w:widowControl w:val="0"/>
        <w:kinsoku/>
        <w:wordWrap/>
        <w:overflowPunct/>
        <w:topLinePunct w:val="0"/>
        <w:autoSpaceDE/>
        <w:autoSpaceDN/>
        <w:bidi w:val="0"/>
        <w:adjustRightInd/>
        <w:snapToGrid/>
        <w:spacing w:before="625" w:beforeLines="200" w:after="313" w:afterLines="100"/>
        <w:jc w:val="left"/>
        <w:textAlignment w:val="auto"/>
        <w:rPr>
          <w:rFonts w:hint="default" w:asciiTheme="minorAscii" w:hAnsiTheme="minorAscii"/>
          <w:b/>
          <w:bCs/>
          <w:color w:val="auto"/>
          <w:sz w:val="22"/>
          <w:szCs w:val="28"/>
          <w:highlight w:val="none"/>
          <w:lang w:eastAsia="zh-Hans"/>
        </w:rPr>
      </w:pPr>
      <w:r>
        <w:rPr>
          <w:rFonts w:hint="default" w:asciiTheme="minorAscii" w:hAnsiTheme="minorAscii"/>
          <w:b/>
          <w:bCs/>
          <w:color w:val="auto"/>
          <w:sz w:val="22"/>
          <w:szCs w:val="28"/>
          <w:highlight w:val="none"/>
          <w:lang w:eastAsia="zh-Hans"/>
        </w:rPr>
        <w:t>2.L</w:t>
      </w:r>
      <w:r>
        <w:rPr>
          <w:rFonts w:hint="default" w:asciiTheme="minorAscii" w:hAnsiTheme="minorAscii"/>
          <w:b/>
          <w:bCs/>
          <w:color w:val="auto"/>
          <w:sz w:val="22"/>
          <w:szCs w:val="28"/>
          <w:highlight w:val="none"/>
          <w:lang w:val="en-US" w:eastAsia="zh-CN"/>
        </w:rPr>
        <w:t>ITERATURE REVIEW</w:t>
      </w:r>
    </w:p>
    <w:p w14:paraId="32155034">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Many domestic and foreign scholars have conducted relevant research and analysis on the impact of international trade and independent innovation. Representative research results are as follows: For example, Porter (1990) proposed the theory of national competitive advantage, pointing out that trade can improve corporate competitiveness and thus enhance innovation; Coe et al. (1997) based on the new growth theory found that technology spillovers brought by trade are particularly important for developing countries; subsequent domestic scholars such as Mao Qilin (2010), Yu Guansheng (2011), Liang Dawei (2015), etc., also verified the mutual promotion effect of trade and innovation from the perspectives of imports, exports and regional foreign trade.</w:t>
      </w:r>
    </w:p>
    <w:p w14:paraId="301A7522">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Regarding productive service trade, scholars generally believe that its role in promoting manufacturing is more diverse. For example, Zhang Yan et al. (2013), Cheng Dazhong (2008) and Robinson et al. (2002) all pointed out that service trade improves the production efficiency and innovation level of manufacturing enterprises through mechanisms such as providing high-quality intermediate products, reducing costs and promoting technology spillovers.</w:t>
      </w:r>
    </w:p>
    <w:p w14:paraId="4882C4DC">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However, existing literature pays little attention to the micro-impact of the competitiveness of productive service trade on the independent innovation of manufacturing enterprises. Therefore, based on the data of listed manufacturing companies in China, this paper explores the impact of producer service trade competitiveness on enterprise independent innovation, its mechanism of action and differential performance, and provides micro evidence for a deeper understanding of the interactive relationship between producer services and manufacturing enterprises.</w:t>
      </w:r>
    </w:p>
    <w:p w14:paraId="6BFF722F">
      <w:pPr>
        <w:keepNext w:val="0"/>
        <w:keepLines w:val="0"/>
        <w:pageBreakBefore w:val="0"/>
        <w:widowControl w:val="0"/>
        <w:kinsoku/>
        <w:wordWrap/>
        <w:overflowPunct/>
        <w:topLinePunct w:val="0"/>
        <w:autoSpaceDE/>
        <w:autoSpaceDN/>
        <w:bidi w:val="0"/>
        <w:adjustRightInd/>
        <w:snapToGrid/>
        <w:spacing w:before="625" w:beforeLines="200" w:after="313" w:afterLines="100"/>
        <w:jc w:val="left"/>
        <w:textAlignment w:val="auto"/>
        <w:rPr>
          <w:rFonts w:hint="default" w:asciiTheme="minorAscii" w:hAnsiTheme="minorAscii"/>
          <w:b/>
          <w:bCs/>
          <w:color w:val="auto"/>
          <w:sz w:val="22"/>
          <w:szCs w:val="28"/>
          <w:highlight w:val="none"/>
          <w:lang w:eastAsia="zh-Hans"/>
        </w:rPr>
      </w:pPr>
      <w:r>
        <w:rPr>
          <w:rFonts w:hint="default" w:asciiTheme="minorAscii" w:hAnsiTheme="minorAscii"/>
          <w:b/>
          <w:bCs/>
          <w:color w:val="auto"/>
          <w:sz w:val="22"/>
          <w:szCs w:val="28"/>
          <w:highlight w:val="none"/>
          <w:lang w:val="en-US" w:eastAsia="zh-CN"/>
        </w:rPr>
        <w:t>3.CHARACTERISTICS AND FACTS ANALYSIS</w:t>
      </w:r>
    </w:p>
    <w:p w14:paraId="0F0732D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default" w:asciiTheme="minorAscii" w:hAnsiTheme="minorAscii"/>
          <w:b/>
          <w:bCs/>
          <w:color w:val="auto"/>
          <w:highlight w:val="none"/>
          <w:lang w:val="en-US" w:eastAsia="zh-Hans"/>
        </w:rPr>
      </w:pPr>
      <w:r>
        <w:rPr>
          <w:rFonts w:hint="default" w:asciiTheme="minorAscii" w:hAnsiTheme="minorAscii"/>
          <w:b/>
          <w:bCs/>
          <w:color w:val="auto"/>
          <w:highlight w:val="none"/>
          <w:lang w:val="en-US" w:eastAsia="zh-Hans"/>
        </w:rPr>
        <w:t>3.1 Characteristics and facts of the competitiveness of producer service trade</w:t>
      </w:r>
    </w:p>
    <w:p w14:paraId="342664F4">
      <w:pPr>
        <w:jc w:val="center"/>
        <w:rPr>
          <w:rFonts w:hint="default" w:asciiTheme="minorAscii" w:hAnsiTheme="minorAscii"/>
          <w:color w:val="auto"/>
          <w:highlight w:val="none"/>
          <w:lang w:eastAsia="zh-Hans"/>
        </w:rPr>
      </w:pPr>
      <w:r>
        <w:rPr>
          <w:rFonts w:hint="default" w:asciiTheme="minorAscii" w:hAnsiTheme="minorAscii"/>
          <w:color w:val="auto"/>
          <w:highlight w:val="none"/>
        </w:rPr>
        <w:drawing>
          <wp:inline distT="0" distB="0" distL="114300" distR="114300">
            <wp:extent cx="5252720" cy="1910080"/>
            <wp:effectExtent l="6350" t="6350" r="24130"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2C906BEB">
      <w:pPr>
        <w:spacing w:before="80" w:line="260" w:lineRule="exact"/>
        <w:jc w:val="center"/>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Figure 1. Competitiveness and growth rate of trade in productive services, 2007-2020</w:t>
      </w:r>
    </w:p>
    <w:p w14:paraId="36C39E71">
      <w:pPr>
        <w:keepNext w:val="0"/>
        <w:keepLines w:val="0"/>
        <w:pageBreakBefore w:val="0"/>
        <w:widowControl w:val="0"/>
        <w:kinsoku/>
        <w:wordWrap/>
        <w:overflowPunct/>
        <w:topLinePunct w:val="0"/>
        <w:autoSpaceDE/>
        <w:autoSpaceDN/>
        <w:bidi w:val="0"/>
        <w:adjustRightInd/>
        <w:snapToGrid/>
        <w:spacing w:before="80" w:after="157" w:afterLines="50" w:line="260" w:lineRule="exact"/>
        <w:jc w:val="center"/>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Souce: CSMAR database</w:t>
      </w:r>
    </w:p>
    <w:p w14:paraId="4F19687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Figure 1 shows the time series changes of the competitiveness of producer service trade and its growth rate from 2007 to 2020. Overall, China's producer service trade competitiveness increased from 0.68 in 2007 to 0.80 in 2020, an increase of 16.7%, showing a small and stable growth trend. The average level from 2007 to 2020 was only 0.801, which was still weak overall. After 2007, negative growth occurred for the first time in 2019, indicating that the level of competitiveness has declined in recent years and the growth rate has fluctuated greatly.</w:t>
      </w:r>
    </w:p>
    <w:p w14:paraId="164BA76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default" w:asciiTheme="minorAscii" w:hAnsiTheme="minorAscii"/>
          <w:b/>
          <w:bCs/>
          <w:color w:val="auto"/>
          <w:highlight w:val="none"/>
          <w:lang w:val="en-US" w:eastAsia="zh-CN"/>
        </w:rPr>
      </w:pPr>
      <w:r>
        <w:rPr>
          <w:rFonts w:hint="default" w:asciiTheme="minorAscii" w:hAnsiTheme="minorAscii"/>
          <w:b/>
          <w:bCs/>
          <w:color w:val="auto"/>
          <w:highlight w:val="none"/>
          <w:lang w:val="en-US" w:eastAsia="zh-Hans"/>
        </w:rPr>
        <w:t>3.2 Characteristics and facts</w:t>
      </w:r>
      <w:r>
        <w:rPr>
          <w:rFonts w:hint="default" w:asciiTheme="minorAscii" w:hAnsiTheme="minorAscii"/>
          <w:b/>
          <w:bCs/>
          <w:color w:val="auto"/>
          <w:highlight w:val="none"/>
          <w:lang w:val="en-US" w:eastAsia="zh-CN"/>
        </w:rPr>
        <w:t xml:space="preserve"> </w:t>
      </w:r>
      <w:r>
        <w:rPr>
          <w:rFonts w:hint="default" w:asciiTheme="minorAscii" w:hAnsiTheme="minorAscii"/>
          <w:b/>
          <w:bCs/>
          <w:color w:val="auto"/>
          <w:highlight w:val="none"/>
          <w:lang w:val="en-US" w:eastAsia="zh-Hans"/>
        </w:rPr>
        <w:t>of</w:t>
      </w:r>
      <w:r>
        <w:rPr>
          <w:rFonts w:hint="default" w:asciiTheme="minorAscii" w:hAnsiTheme="minorAscii"/>
          <w:b/>
          <w:bCs/>
          <w:color w:val="auto"/>
          <w:highlight w:val="none"/>
          <w:lang w:val="en-US" w:eastAsia="zh-CN"/>
        </w:rPr>
        <w:t xml:space="preserve"> independent innovation of manufacturing enterprises</w:t>
      </w:r>
    </w:p>
    <w:p w14:paraId="5174216F">
      <w:pPr>
        <w:rPr>
          <w:rFonts w:hint="default" w:asciiTheme="minorAscii" w:hAnsiTheme="minorAscii"/>
          <w:color w:val="auto"/>
          <w:highlight w:val="none"/>
          <w:lang w:eastAsia="zh-Hans"/>
        </w:rPr>
      </w:pPr>
      <w:r>
        <w:rPr>
          <w:rFonts w:hint="default" w:asciiTheme="minorAscii" w:hAnsiTheme="minorAscii"/>
          <w:color w:val="auto"/>
          <w:highlight w:val="none"/>
        </w:rPr>
        <w:drawing>
          <wp:inline distT="0" distB="0" distL="114300" distR="114300">
            <wp:extent cx="5273675" cy="1863725"/>
            <wp:effectExtent l="6350" t="6350" r="28575" b="952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71DD89C">
      <w:pPr>
        <w:spacing w:before="80" w:line="260" w:lineRule="exact"/>
        <w:jc w:val="center"/>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Figure 2. Innovation and growth rate of the manufacturing industry, 2007-2020</w:t>
      </w:r>
    </w:p>
    <w:p w14:paraId="0532F67F">
      <w:pPr>
        <w:keepNext w:val="0"/>
        <w:keepLines w:val="0"/>
        <w:pageBreakBefore w:val="0"/>
        <w:widowControl w:val="0"/>
        <w:kinsoku/>
        <w:wordWrap/>
        <w:overflowPunct/>
        <w:topLinePunct w:val="0"/>
        <w:autoSpaceDE/>
        <w:autoSpaceDN/>
        <w:bidi w:val="0"/>
        <w:adjustRightInd/>
        <w:snapToGrid/>
        <w:spacing w:before="80" w:after="157" w:afterLines="50" w:line="260" w:lineRule="exact"/>
        <w:jc w:val="center"/>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Souce: UIBE GVC Database</w:t>
      </w:r>
    </w:p>
    <w:p w14:paraId="4D03F747">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Figure 2 shows the time series changes of the overall innovation level and growth rate of the manufacturing industry from 2007 to 2020. The overall innovation level increased from 4.25 in 2007 to 139.42 in 2020, an increase of 3180.47%, showing a rapid growth trend. In 2014, China became the country with the largest increase in international patent applications. However, since 2017, the growth rate has gradually slowed down, which may be affected by factors such as Sino-US trade frictions, insufficient domestic demand and falling industrial product prices. The profit space of enterprises has narrowed, performance has declined, and the growth rate of investment and R&amp;D has fallen.</w:t>
      </w:r>
    </w:p>
    <w:p w14:paraId="29404B20">
      <w:pPr>
        <w:keepNext w:val="0"/>
        <w:keepLines w:val="0"/>
        <w:pageBreakBefore w:val="0"/>
        <w:widowControl w:val="0"/>
        <w:kinsoku/>
        <w:wordWrap/>
        <w:overflowPunct/>
        <w:topLinePunct w:val="0"/>
        <w:autoSpaceDE/>
        <w:autoSpaceDN/>
        <w:bidi w:val="0"/>
        <w:adjustRightInd/>
        <w:snapToGrid/>
        <w:spacing w:before="625" w:beforeLines="200" w:after="313" w:afterLines="100"/>
        <w:jc w:val="left"/>
        <w:textAlignment w:val="auto"/>
        <w:rPr>
          <w:rFonts w:hint="default" w:asciiTheme="minorAscii" w:hAnsiTheme="minorAscii"/>
          <w:b/>
          <w:bCs/>
          <w:color w:val="auto"/>
          <w:sz w:val="22"/>
          <w:szCs w:val="28"/>
          <w:highlight w:val="none"/>
          <w:lang w:val="en-US" w:eastAsia="zh-CN"/>
        </w:rPr>
      </w:pPr>
      <w:r>
        <w:rPr>
          <w:rFonts w:hint="default" w:asciiTheme="minorAscii" w:hAnsiTheme="minorAscii"/>
          <w:b/>
          <w:bCs/>
          <w:color w:val="auto"/>
          <w:sz w:val="22"/>
          <w:szCs w:val="28"/>
          <w:highlight w:val="none"/>
          <w:lang w:val="en-US" w:eastAsia="zh-Hans"/>
        </w:rPr>
        <w:t>4.T</w:t>
      </w:r>
      <w:r>
        <w:rPr>
          <w:rFonts w:hint="default" w:asciiTheme="minorAscii" w:hAnsiTheme="minorAscii"/>
          <w:b/>
          <w:bCs/>
          <w:color w:val="auto"/>
          <w:sz w:val="22"/>
          <w:szCs w:val="28"/>
          <w:highlight w:val="none"/>
          <w:lang w:val="en-US" w:eastAsia="zh-CN"/>
        </w:rPr>
        <w:t>HEORETICAL ANALYSIS AND RESEARCH HYPOTHESES</w:t>
      </w:r>
    </w:p>
    <w:p w14:paraId="700AB33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default" w:asciiTheme="minorAscii" w:hAnsiTheme="minorAscii"/>
          <w:b/>
          <w:bCs/>
          <w:color w:val="auto"/>
          <w:highlight w:val="none"/>
          <w:lang w:val="en-US" w:eastAsia="zh-Hans"/>
        </w:rPr>
      </w:pPr>
      <w:r>
        <w:rPr>
          <w:rFonts w:hint="default" w:asciiTheme="minorAscii" w:hAnsiTheme="minorAscii"/>
          <w:b/>
          <w:bCs/>
          <w:color w:val="auto"/>
          <w:highlight w:val="none"/>
          <w:lang w:val="en-US" w:eastAsia="zh-Hans"/>
        </w:rPr>
        <w:t>Further, the theoretical mechanism of this paper is sorted out:</w:t>
      </w:r>
    </w:p>
    <w:p w14:paraId="527295B7">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b w:val="0"/>
          <w:bCs w:val="0"/>
          <w:color w:val="auto"/>
          <w:highlight w:val="none"/>
          <w:lang w:val="en-US" w:eastAsia="zh-Hans"/>
        </w:rPr>
      </w:pPr>
      <w:r>
        <w:rPr>
          <w:rFonts w:hint="default" w:asciiTheme="minorAscii" w:hAnsiTheme="minorAscii"/>
          <w:b w:val="0"/>
          <w:bCs w:val="0"/>
          <w:color w:val="auto"/>
          <w:highlight w:val="none"/>
          <w:lang w:val="en-US" w:eastAsia="zh-Hans"/>
        </w:rPr>
        <w:t>(1)The improvement of the competitiveness of productive service trade means the improvement of the development level of the service industry, which has a positive impact on the independent innovation of manufacturing enterprises, mainly reflected in the following three aspects:</w:t>
      </w:r>
    </w:p>
    <w:p w14:paraId="26956DED">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b w:val="0"/>
          <w:bCs w:val="0"/>
          <w:color w:val="auto"/>
          <w:highlight w:val="none"/>
          <w:lang w:val="en-US" w:eastAsia="zh-Hans"/>
        </w:rPr>
      </w:pPr>
      <w:r>
        <w:rPr>
          <w:rFonts w:hint="default" w:asciiTheme="minorAscii" w:hAnsiTheme="minorAscii"/>
          <w:b w:val="0"/>
          <w:bCs w:val="0"/>
          <w:color w:val="auto"/>
          <w:highlight w:val="none"/>
          <w:lang w:val="en-US" w:eastAsia="zh-Hans"/>
        </w:rPr>
        <w:t>①Productive services help enterprises achieve differentiated competition, enhance brand awareness and product competitiveness, thereby forcing enterprises to innovate technology and improve quality.</w:t>
      </w:r>
    </w:p>
    <w:p w14:paraId="178516C3">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b w:val="0"/>
          <w:bCs w:val="0"/>
          <w:color w:val="auto"/>
          <w:highlight w:val="none"/>
          <w:lang w:val="en-US" w:eastAsia="zh-Hans"/>
        </w:rPr>
      </w:pPr>
      <w:r>
        <w:rPr>
          <w:rFonts w:hint="default" w:asciiTheme="minorAscii" w:hAnsiTheme="minorAscii"/>
          <w:b w:val="0"/>
          <w:bCs w:val="0"/>
          <w:color w:val="auto"/>
          <w:highlight w:val="none"/>
          <w:lang w:val="en-US" w:eastAsia="zh-Hans"/>
        </w:rPr>
        <w:t>②The improvement of the competitiveness of productive service trade brings more market opportunities and potential customers to small and medium-sized enterprises, which helps to drive sales, increase profits, and provide financial support for innovation.</w:t>
      </w:r>
    </w:p>
    <w:p w14:paraId="7F395DAB">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b w:val="0"/>
          <w:bCs w:val="0"/>
          <w:color w:val="auto"/>
          <w:highlight w:val="none"/>
          <w:lang w:val="en-US" w:eastAsia="zh-Hans"/>
        </w:rPr>
      </w:pPr>
      <w:r>
        <w:rPr>
          <w:rFonts w:hint="default" w:asciiTheme="minorAscii" w:hAnsiTheme="minorAscii"/>
          <w:b w:val="0"/>
          <w:bCs w:val="0"/>
          <w:color w:val="auto"/>
          <w:highlight w:val="none"/>
          <w:lang w:val="en-US" w:eastAsia="zh-Hans"/>
        </w:rPr>
        <w:t>③The integration of manufacturing and service industries is conducive to small and medium-sized enterprises to optimize resource allocation, reduce costs, and invest more high-quality resources in high-value innovation projects, improve innovation efficiency.</w:t>
      </w:r>
    </w:p>
    <w:p w14:paraId="1CF33650">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textAlignment w:val="auto"/>
        <w:rPr>
          <w:rFonts w:hint="default" w:asciiTheme="minorAscii" w:hAnsiTheme="minorAscii"/>
          <w:b/>
          <w:bCs/>
          <w:color w:val="auto"/>
          <w:sz w:val="21"/>
          <w:szCs w:val="24"/>
          <w:highlight w:val="none"/>
          <w:lang w:val="en-US" w:eastAsia="zh-Hans"/>
        </w:rPr>
      </w:pPr>
      <w:r>
        <w:rPr>
          <w:rFonts w:hint="default" w:asciiTheme="minorAscii" w:hAnsiTheme="minorAscii"/>
          <w:b/>
          <w:bCs/>
          <w:color w:val="auto"/>
          <w:sz w:val="21"/>
          <w:szCs w:val="24"/>
          <w:highlight w:val="none"/>
          <w:lang w:val="en-US" w:eastAsia="zh-Hans"/>
        </w:rPr>
        <w:t xml:space="preserve">Based on the above analysis, this paper proposes the following hypotheses: Hypothesis H1: </w:t>
      </w:r>
      <w:r>
        <w:rPr>
          <w:rFonts w:hint="default" w:asciiTheme="minorAscii" w:hAnsiTheme="minorAscii"/>
          <w:b w:val="0"/>
          <w:bCs w:val="0"/>
          <w:color w:val="auto"/>
          <w:sz w:val="21"/>
          <w:szCs w:val="24"/>
          <w:highlight w:val="none"/>
          <w:lang w:val="en-US" w:eastAsia="zh-Hans"/>
        </w:rPr>
        <w:t>The competitiveness of producer services trade can promote independent innovation in manufacturing enterprises.</w:t>
      </w:r>
    </w:p>
    <w:p w14:paraId="6ACC324E">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(2)During the development process, numerous elements regulate the competitiveness of producer services trade and the independent innovation of manufacturing firms. These factors encompass the subsequent three aspects:</w:t>
      </w:r>
    </w:p>
    <w:p w14:paraId="73CF093F">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①</w:t>
      </w:r>
      <w:r>
        <w:rPr>
          <w:rFonts w:hint="default" w:asciiTheme="minorAscii" w:hAnsiTheme="minorAscii"/>
          <w:color w:val="auto"/>
          <w:highlight w:val="none"/>
          <w:lang w:val="en-US" w:eastAsia="zh-CN"/>
        </w:rPr>
        <w:t>T</w:t>
      </w:r>
      <w:r>
        <w:rPr>
          <w:rFonts w:hint="default" w:asciiTheme="minorAscii" w:hAnsiTheme="minorAscii"/>
          <w:color w:val="auto"/>
          <w:highlight w:val="none"/>
          <w:lang w:val="en-US" w:eastAsia="zh-Hans"/>
        </w:rPr>
        <w:t>he proportion of industry employment</w:t>
      </w:r>
    </w:p>
    <w:p w14:paraId="325FCA8E">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The increase in the proportion of industrial employment means that a large number of workers are flowing into industrial enterprises. For labor-intensive enterprises, moderate expansion of employment is conducive to improving efficiency, but excessive employment will increase costs and management difficulties and reduce benefits. In addition, the excessive scale of the manufacturing industry can easily blur the boundaries between technological innovation and human sea tactics, leading to intensified internal competition and waste of resources, and inhibiting the innovation ability of enterprises.</w:t>
      </w:r>
    </w:p>
    <w:p w14:paraId="51296A2A">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②</w:t>
      </w:r>
      <w:r>
        <w:rPr>
          <w:rFonts w:hint="default" w:asciiTheme="minorAscii" w:hAnsiTheme="minorAscii"/>
          <w:color w:val="auto"/>
          <w:highlight w:val="none"/>
          <w:lang w:val="en-US" w:eastAsia="zh-CN"/>
        </w:rPr>
        <w:t>The d</w:t>
      </w:r>
      <w:r>
        <w:rPr>
          <w:rFonts w:hint="default" w:asciiTheme="minorAscii" w:hAnsiTheme="minorAscii"/>
          <w:color w:val="auto"/>
          <w:highlight w:val="none"/>
          <w:lang w:val="en-US" w:eastAsia="zh-Hans"/>
        </w:rPr>
        <w:t>egree of industrial structure transformation</w:t>
      </w:r>
    </w:p>
    <w:p w14:paraId="5CBB74C6">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The accelerated growth of added value in the service industry means that the industrial structure is upgrading at an accelerated pace, behind which is the continuous expansion of consumer demand, and demand growth can effectively drive innovation. At the same time, the plasticity of the service industry is conducive to the introduction of new technologies and management models into the manufacturing industry, the acquisition of high-quality, high-value-added service products, and the improvement of overall innovation capabilities.</w:t>
      </w:r>
    </w:p>
    <w:p w14:paraId="0D905673">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③The level of inflation</w:t>
      </w:r>
    </w:p>
    <w:p w14:paraId="584E0655">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The Consumer Price Index (CPI) reflects the level of inflation. A rise in the CPI means an increase in prices and production costs. If product prices remain unchanged, corporate profits will be compressed. Under this pressure, companies are more inclined to introduce new technologies brought by productive services, break through innovation bottlenecks, and improve pricing power and expand profit margins by providing higher quality and high value-added products.</w:t>
      </w:r>
    </w:p>
    <w:p w14:paraId="25D62BCA">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textAlignment w:val="auto"/>
        <w:rPr>
          <w:rFonts w:hint="default" w:asciiTheme="minorAscii" w:hAnsiTheme="minorAscii"/>
          <w:b/>
          <w:bCs/>
          <w:color w:val="auto"/>
          <w:highlight w:val="none"/>
          <w:lang w:val="en-US" w:eastAsia="zh-Hans"/>
        </w:rPr>
      </w:pPr>
      <w:r>
        <w:rPr>
          <w:rFonts w:hint="default" w:asciiTheme="minorAscii" w:hAnsiTheme="minorAscii"/>
          <w:b/>
          <w:bCs/>
          <w:color w:val="auto"/>
          <w:highlight w:val="none"/>
          <w:lang w:val="en-US" w:eastAsia="zh-Hans"/>
        </w:rPr>
        <w:t>Based on the above analysis, this paper proposes the following hypotheses:</w:t>
      </w:r>
    </w:p>
    <w:p w14:paraId="298C383A">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textAlignment w:val="auto"/>
        <w:rPr>
          <w:rFonts w:hint="default" w:asciiTheme="minorAscii" w:hAnsiTheme="minorAscii"/>
          <w:b/>
          <w:bCs/>
          <w:color w:val="auto"/>
          <w:highlight w:val="none"/>
          <w:lang w:val="en-US" w:eastAsia="zh-Hans"/>
        </w:rPr>
      </w:pPr>
      <w:r>
        <w:rPr>
          <w:rFonts w:hint="default" w:asciiTheme="minorAscii" w:hAnsiTheme="minorAscii"/>
          <w:b/>
          <w:bCs/>
          <w:color w:val="auto"/>
          <w:highlight w:val="none"/>
          <w:lang w:val="en-US" w:eastAsia="zh-Hans"/>
        </w:rPr>
        <w:t xml:space="preserve">Hypothesis H2: </w:t>
      </w:r>
      <w:r>
        <w:rPr>
          <w:rFonts w:hint="default" w:asciiTheme="minorAscii" w:hAnsiTheme="minorAscii"/>
          <w:b w:val="0"/>
          <w:bCs w:val="0"/>
          <w:color w:val="auto"/>
          <w:sz w:val="21"/>
          <w:szCs w:val="24"/>
          <w:highlight w:val="none"/>
          <w:lang w:val="en-US" w:eastAsia="zh-Hans"/>
        </w:rPr>
        <w:t xml:space="preserve">The proportion of industry employment negatively regulates the relationship between the competitiveness of producer services trade and the level of independent innovation in enterprises. </w:t>
      </w:r>
    </w:p>
    <w:p w14:paraId="2D249456">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textAlignment w:val="auto"/>
        <w:rPr>
          <w:rFonts w:hint="default" w:asciiTheme="minorAscii" w:hAnsiTheme="minorAscii"/>
          <w:b/>
          <w:bCs/>
          <w:color w:val="auto"/>
          <w:highlight w:val="none"/>
          <w:lang w:val="en-US" w:eastAsia="zh-Hans"/>
        </w:rPr>
      </w:pPr>
      <w:r>
        <w:rPr>
          <w:rFonts w:hint="default" w:asciiTheme="minorAscii" w:hAnsiTheme="minorAscii"/>
          <w:b/>
          <w:bCs/>
          <w:color w:val="auto"/>
          <w:highlight w:val="none"/>
          <w:lang w:val="en-US" w:eastAsia="zh-Hans"/>
        </w:rPr>
        <w:t>Hypothesis H3:</w:t>
      </w:r>
      <w:r>
        <w:rPr>
          <w:rFonts w:hint="default" w:asciiTheme="minorAscii" w:hAnsiTheme="minorAscii"/>
          <w:b w:val="0"/>
          <w:bCs w:val="0"/>
          <w:color w:val="auto"/>
          <w:sz w:val="21"/>
          <w:szCs w:val="24"/>
          <w:highlight w:val="none"/>
          <w:lang w:val="en-US" w:eastAsia="zh-Hans"/>
        </w:rPr>
        <w:t xml:space="preserve"> The degree of industrial structure transformation positively regulates the relationship between the competitiveness of producer services trade and the level of independent innovation in enterprises. </w:t>
      </w:r>
    </w:p>
    <w:p w14:paraId="065BD394">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textAlignment w:val="auto"/>
        <w:rPr>
          <w:rFonts w:hint="default" w:asciiTheme="minorAscii" w:hAnsiTheme="minorAscii"/>
          <w:b/>
          <w:bCs/>
          <w:color w:val="auto"/>
          <w:highlight w:val="none"/>
          <w:lang w:val="en-US" w:eastAsia="zh-Hans"/>
        </w:rPr>
      </w:pPr>
      <w:r>
        <w:rPr>
          <w:rFonts w:hint="default" w:asciiTheme="minorAscii" w:hAnsiTheme="minorAscii"/>
          <w:b/>
          <w:bCs/>
          <w:color w:val="auto"/>
          <w:highlight w:val="none"/>
          <w:lang w:val="en-US" w:eastAsia="zh-Hans"/>
        </w:rPr>
        <w:t xml:space="preserve">Hypothesis H4: </w:t>
      </w:r>
      <w:r>
        <w:rPr>
          <w:rFonts w:hint="default" w:asciiTheme="minorAscii" w:hAnsiTheme="minorAscii"/>
          <w:b w:val="0"/>
          <w:bCs w:val="0"/>
          <w:color w:val="auto"/>
          <w:sz w:val="21"/>
          <w:szCs w:val="24"/>
          <w:highlight w:val="none"/>
          <w:lang w:val="en-US" w:eastAsia="zh-Hans"/>
        </w:rPr>
        <w:t>The level of inflation positively regulates the relationship between the competitiveness of producer services trade and the level of independent innovation in enterprises.</w:t>
      </w:r>
    </w:p>
    <w:p w14:paraId="4C22C5C7">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(3)Heterogeneity at the manufacturing industry level will affect the competitiveness of producer services trade:</w:t>
      </w:r>
    </w:p>
    <w:p w14:paraId="5AC4E935">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①Enterprise location heterogeneity</w:t>
      </w:r>
    </w:p>
    <w:p w14:paraId="1ADE7B41">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There are significant differences in the development levels of various regions in China. The eastern coastal areas, relying on a good economic foundation, industrial structure, talent and policy support, have developed rapidly, with more enterprises and more industrial types; while the central and western regions are relatively backward due to the constraints of infrastructure and industrial structure. The economic development between regions shows obvious locational heterogeneity.</w:t>
      </w:r>
    </w:p>
    <w:p w14:paraId="36ABF182">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②Heterogeneity of enterprise size</w:t>
      </w:r>
    </w:p>
    <w:p w14:paraId="3D3371D4">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Enterprises of different sizes have different abilities to absorb and integrate producer services. Large enterprises usually have more resources such as capital, technology, manpower and market information, and are better able to learn and integrate producer services, providing favorable conditions for product innovation; in contrast, small enterprises have limited resources and are less able to transform and utilize producer services.</w:t>
      </w:r>
    </w:p>
    <w:p w14:paraId="21B9953B">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③Heterogeneity of enterprise ownership</w:t>
      </w:r>
    </w:p>
    <w:p w14:paraId="1DA6B321">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textAlignment w:val="auto"/>
        <w:rPr>
          <w:rFonts w:hint="default" w:asciiTheme="minorAscii" w:hAnsiTheme="minorAscii"/>
          <w:color w:val="auto"/>
          <w:highlight w:val="none"/>
          <w:lang w:val="en-US" w:eastAsia="zh-CN"/>
        </w:rPr>
      </w:pPr>
      <w:r>
        <w:rPr>
          <w:rFonts w:hint="default" w:asciiTheme="minorAscii" w:hAnsiTheme="minorAscii"/>
          <w:color w:val="auto"/>
          <w:highlight w:val="none"/>
          <w:lang w:val="en-US" w:eastAsia="zh-CN"/>
        </w:rPr>
        <w:t>State-owned enterprises aim at the country's long-term development and social stability, focus on key areas and core technology innovation, and have relatively complete organizational management and resource support; private enterprises pay more attention to short-term benefits and market returns, and emphasize user needs, free innovation and teamwork. Therefore, there are differences in innovation capabilities and concepts between the two.</w:t>
      </w:r>
    </w:p>
    <w:p w14:paraId="48BD38B1">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fldChar w:fldCharType="begin"/>
      </w:r>
      <w:r>
        <w:rPr>
          <w:rFonts w:hint="default" w:asciiTheme="minorAscii" w:hAnsiTheme="minorAscii"/>
          <w:color w:val="auto"/>
          <w:highlight w:val="none"/>
        </w:rPr>
        <w:instrText xml:space="preserve"> = 4 \* GB3 \* MERGEFORMAT </w:instrText>
      </w:r>
      <w:r>
        <w:rPr>
          <w:rFonts w:hint="default" w:asciiTheme="minorAscii" w:hAnsiTheme="minorAscii"/>
          <w:color w:val="auto"/>
          <w:highlight w:val="none"/>
        </w:rPr>
        <w:fldChar w:fldCharType="separate"/>
      </w:r>
      <w:r>
        <w:rPr>
          <w:rFonts w:hint="default" w:asciiTheme="minorAscii" w:hAnsiTheme="minorAscii"/>
          <w:color w:val="auto"/>
          <w:highlight w:val="none"/>
        </w:rPr>
        <w:t>④</w:t>
      </w:r>
      <w:r>
        <w:rPr>
          <w:rFonts w:hint="default" w:asciiTheme="minorAscii" w:hAnsiTheme="minorAscii"/>
          <w:color w:val="auto"/>
          <w:highlight w:val="none"/>
        </w:rPr>
        <w:fldChar w:fldCharType="end"/>
      </w:r>
      <w:r>
        <w:rPr>
          <w:rFonts w:hint="default" w:asciiTheme="minorAscii" w:hAnsiTheme="minorAscii"/>
          <w:color w:val="auto"/>
          <w:highlight w:val="none"/>
        </w:rPr>
        <w:t>Heterogeneity of enterprise factor-intensive types</w:t>
      </w:r>
    </w:p>
    <w:p w14:paraId="4FBC040E">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Labor-intensive enterprises have large labor input and low efficiency, and are in urgent need of upgrading. As the key to introducing professional technology and knowledge capital, productive services play a significant role in their transformation to technology-based and capital-based enterprises. However, capital-intensive enterprises are highly dependent on technical equipment and funds, with slow turnover and long cycles, and the direct promotion effect of productive services on them is relatively limited.</w:t>
      </w:r>
    </w:p>
    <w:p w14:paraId="7D13D2EA">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fldChar w:fldCharType="begin"/>
      </w:r>
      <w:r>
        <w:rPr>
          <w:rFonts w:hint="default" w:asciiTheme="minorAscii" w:hAnsiTheme="minorAscii"/>
          <w:color w:val="auto"/>
          <w:highlight w:val="none"/>
        </w:rPr>
        <w:instrText xml:space="preserve"> = 5 \* GB3 \* MERGEFORMAT </w:instrText>
      </w:r>
      <w:r>
        <w:rPr>
          <w:rFonts w:hint="default" w:asciiTheme="minorAscii" w:hAnsiTheme="minorAscii"/>
          <w:color w:val="auto"/>
          <w:highlight w:val="none"/>
        </w:rPr>
        <w:fldChar w:fldCharType="separate"/>
      </w:r>
      <w:r>
        <w:rPr>
          <w:rFonts w:hint="default" w:asciiTheme="minorAscii" w:hAnsiTheme="minorAscii"/>
          <w:color w:val="auto"/>
          <w:highlight w:val="none"/>
        </w:rPr>
        <w:t>⑤</w:t>
      </w:r>
      <w:r>
        <w:rPr>
          <w:rFonts w:hint="default" w:asciiTheme="minorAscii" w:hAnsiTheme="minorAscii"/>
          <w:color w:val="auto"/>
          <w:highlight w:val="none"/>
        </w:rPr>
        <w:fldChar w:fldCharType="end"/>
      </w:r>
      <w:r>
        <w:rPr>
          <w:rFonts w:hint="default" w:asciiTheme="minorAscii" w:hAnsiTheme="minorAscii"/>
          <w:color w:val="auto"/>
          <w:highlight w:val="none"/>
        </w:rPr>
        <w:t>Heterogeneity of enterprise industry competitiveness</w:t>
      </w:r>
    </w:p>
    <w:p w14:paraId="358B74AF">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CN"/>
        </w:rPr>
      </w:pPr>
      <w:r>
        <w:rPr>
          <w:rFonts w:hint="default" w:asciiTheme="minorAscii" w:hAnsiTheme="minorAscii"/>
          <w:color w:val="auto"/>
          <w:highlight w:val="none"/>
          <w:lang w:val="en-US" w:eastAsia="zh-CN"/>
        </w:rPr>
        <w:t>The degree of industry competitiveness of an enterprise is an important factor in promoting its competitiveness. Enterprises with low industry competitiveness have little external pressure, weak innovation awareness, and insufficient internal motivation; while enterprises with high industry competitiveness face fierce external competition. In order to survive and develop, enterprises need to actively introduce cutting-edge technologies and develop new products, and have stronger innovation motivation.</w:t>
      </w:r>
    </w:p>
    <w:p w14:paraId="006B324C">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fldChar w:fldCharType="begin"/>
      </w:r>
      <w:r>
        <w:rPr>
          <w:rFonts w:hint="default" w:asciiTheme="minorAscii" w:hAnsiTheme="minorAscii"/>
          <w:color w:val="auto"/>
          <w:highlight w:val="none"/>
        </w:rPr>
        <w:instrText xml:space="preserve"> = 6 \* GB3 \* MERGEFORMAT </w:instrText>
      </w:r>
      <w:r>
        <w:rPr>
          <w:rFonts w:hint="default" w:asciiTheme="minorAscii" w:hAnsiTheme="minorAscii"/>
          <w:color w:val="auto"/>
          <w:highlight w:val="none"/>
        </w:rPr>
        <w:fldChar w:fldCharType="separate"/>
      </w:r>
      <w:r>
        <w:rPr>
          <w:rFonts w:hint="default" w:asciiTheme="minorAscii" w:hAnsiTheme="minorAscii"/>
          <w:color w:val="auto"/>
          <w:highlight w:val="none"/>
        </w:rPr>
        <w:t>⑥</w:t>
      </w:r>
      <w:r>
        <w:rPr>
          <w:rFonts w:hint="default" w:asciiTheme="minorAscii" w:hAnsiTheme="minorAscii"/>
          <w:color w:val="auto"/>
          <w:highlight w:val="none"/>
        </w:rPr>
        <w:fldChar w:fldCharType="end"/>
      </w:r>
      <w:r>
        <w:rPr>
          <w:rFonts w:hint="default" w:asciiTheme="minorAscii" w:hAnsiTheme="minorAscii"/>
          <w:color w:val="auto"/>
          <w:highlight w:val="none"/>
        </w:rPr>
        <w:t>Heterogeneity of corporate financing constraints</w:t>
      </w:r>
    </w:p>
    <w:p w14:paraId="5AB104E7">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Enterprises with low financing constraints have more abundant internal and external resources, especially financial support, which can provide good conditions for independent innovation; enterprises with high financing constraints, especially small enterprises, have limited innovation activities and are more dependent on the professional technology and innovation opportunities provided by the productive service industry.</w:t>
      </w:r>
    </w:p>
    <w:p w14:paraId="1248829C">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b/>
          <w:bCs/>
          <w:color w:val="auto"/>
          <w:highlight w:val="none"/>
        </w:rPr>
      </w:pPr>
      <w:r>
        <w:rPr>
          <w:rFonts w:hint="default" w:asciiTheme="minorAscii" w:hAnsiTheme="minorAscii"/>
          <w:b/>
          <w:bCs/>
          <w:color w:val="auto"/>
          <w:highlight w:val="none"/>
        </w:rPr>
        <w:t xml:space="preserve">Based on the above analysis, this </w:t>
      </w:r>
      <w:r>
        <w:rPr>
          <w:rFonts w:hint="default" w:asciiTheme="minorAscii" w:hAnsiTheme="minorAscii"/>
          <w:b/>
          <w:bCs/>
          <w:color w:val="auto"/>
          <w:highlight w:val="none"/>
          <w:lang w:val="en-US"/>
        </w:rPr>
        <w:t>paper</w:t>
      </w:r>
      <w:r>
        <w:rPr>
          <w:rFonts w:hint="default" w:asciiTheme="minorAscii" w:hAnsiTheme="minorAscii"/>
          <w:b/>
          <w:bCs/>
          <w:color w:val="auto"/>
          <w:highlight w:val="none"/>
        </w:rPr>
        <w:t xml:space="preserve"> proposes the following hypotheses:</w:t>
      </w:r>
    </w:p>
    <w:p w14:paraId="1BBDA227">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b/>
          <w:bCs/>
          <w:color w:val="auto"/>
          <w:highlight w:val="none"/>
        </w:rPr>
      </w:pPr>
      <w:r>
        <w:rPr>
          <w:rFonts w:hint="default" w:asciiTheme="minorAscii" w:hAnsiTheme="minorAscii"/>
          <w:b/>
          <w:bCs/>
          <w:color w:val="auto"/>
          <w:highlight w:val="none"/>
        </w:rPr>
        <w:t xml:space="preserve">Hypothesis H5: </w:t>
      </w:r>
      <w:r>
        <w:rPr>
          <w:rFonts w:hint="default" w:asciiTheme="minorAscii" w:hAnsiTheme="minorAscii"/>
          <w:b w:val="0"/>
          <w:bCs w:val="0"/>
          <w:color w:val="auto"/>
          <w:sz w:val="21"/>
          <w:szCs w:val="24"/>
          <w:highlight w:val="none"/>
          <w:lang w:val="en-US" w:eastAsia="zh-Hans"/>
        </w:rPr>
        <w:t>The impact of producer services trade competitiveness on the level of independent innovation of enterprises varies depending on the location of the enterprise.</w:t>
      </w:r>
    </w:p>
    <w:p w14:paraId="448002BB">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b w:val="0"/>
          <w:bCs w:val="0"/>
          <w:color w:val="auto"/>
          <w:sz w:val="21"/>
          <w:szCs w:val="24"/>
          <w:highlight w:val="none"/>
          <w:lang w:val="en-US" w:eastAsia="zh-Hans"/>
        </w:rPr>
      </w:pPr>
      <w:r>
        <w:rPr>
          <w:rFonts w:hint="default" w:asciiTheme="minorAscii" w:hAnsiTheme="minorAscii"/>
          <w:b/>
          <w:bCs/>
          <w:color w:val="auto"/>
          <w:highlight w:val="none"/>
        </w:rPr>
        <w:t xml:space="preserve">Hypothesis H6: </w:t>
      </w:r>
      <w:r>
        <w:rPr>
          <w:rFonts w:hint="default" w:asciiTheme="minorAscii" w:hAnsiTheme="minorAscii"/>
          <w:b w:val="0"/>
          <w:bCs w:val="0"/>
          <w:color w:val="auto"/>
          <w:sz w:val="21"/>
          <w:szCs w:val="24"/>
          <w:highlight w:val="none"/>
          <w:lang w:val="en-US" w:eastAsia="zh-Hans"/>
        </w:rPr>
        <w:t>The impact of producer services trade competitiveness on the level of independent innovation of enterprises varies depending on the size of the enterprise.</w:t>
      </w:r>
    </w:p>
    <w:p w14:paraId="28A90A32">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b w:val="0"/>
          <w:bCs w:val="0"/>
          <w:color w:val="auto"/>
          <w:sz w:val="21"/>
          <w:szCs w:val="24"/>
          <w:highlight w:val="none"/>
          <w:lang w:val="en-US" w:eastAsia="zh-Hans"/>
        </w:rPr>
      </w:pPr>
      <w:r>
        <w:rPr>
          <w:rFonts w:hint="default" w:asciiTheme="minorAscii" w:hAnsiTheme="minorAscii"/>
          <w:b/>
          <w:bCs/>
          <w:color w:val="auto"/>
          <w:highlight w:val="none"/>
        </w:rPr>
        <w:t xml:space="preserve">Hypothesis H7: </w:t>
      </w:r>
      <w:r>
        <w:rPr>
          <w:rFonts w:hint="default" w:asciiTheme="minorAscii" w:hAnsiTheme="minorAscii"/>
          <w:b w:val="0"/>
          <w:bCs w:val="0"/>
          <w:color w:val="auto"/>
          <w:sz w:val="21"/>
          <w:szCs w:val="24"/>
          <w:highlight w:val="none"/>
          <w:lang w:val="en-US" w:eastAsia="zh-Hans"/>
        </w:rPr>
        <w:t>The impact of producer services trade competitiveness on the level of independent innovation of enterprises varies depending on the ownership of the enterprise.</w:t>
      </w:r>
    </w:p>
    <w:p w14:paraId="0885DCAA">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b w:val="0"/>
          <w:bCs w:val="0"/>
          <w:color w:val="auto"/>
          <w:sz w:val="21"/>
          <w:szCs w:val="24"/>
          <w:highlight w:val="none"/>
          <w:lang w:val="en-US" w:eastAsia="zh-Hans"/>
        </w:rPr>
      </w:pPr>
      <w:r>
        <w:rPr>
          <w:rFonts w:hint="default" w:asciiTheme="minorAscii" w:hAnsiTheme="minorAscii"/>
          <w:b/>
          <w:bCs/>
          <w:color w:val="auto"/>
          <w:highlight w:val="none"/>
        </w:rPr>
        <w:t xml:space="preserve">Hypothesis H8: </w:t>
      </w:r>
      <w:r>
        <w:rPr>
          <w:rFonts w:hint="default" w:asciiTheme="minorAscii" w:hAnsiTheme="minorAscii"/>
          <w:b w:val="0"/>
          <w:bCs w:val="0"/>
          <w:color w:val="auto"/>
          <w:sz w:val="21"/>
          <w:szCs w:val="24"/>
          <w:highlight w:val="none"/>
          <w:lang w:val="en-US" w:eastAsia="zh-Hans"/>
        </w:rPr>
        <w:t>The impact of producer services trade competitiveness on the level of independent innovation of enterprises varies depending on the</w:t>
      </w:r>
      <w:r>
        <w:rPr>
          <w:rFonts w:hint="default" w:asciiTheme="minorAscii" w:hAnsiTheme="minorAscii"/>
          <w:b w:val="0"/>
          <w:bCs w:val="0"/>
          <w:color w:val="auto"/>
          <w:sz w:val="21"/>
          <w:szCs w:val="24"/>
          <w:highlight w:val="none"/>
          <w:lang w:val="en-US" w:eastAsia="zh-CN"/>
        </w:rPr>
        <w:t xml:space="preserve"> </w:t>
      </w:r>
      <w:r>
        <w:rPr>
          <w:rFonts w:hint="default" w:asciiTheme="minorAscii" w:hAnsiTheme="minorAscii"/>
          <w:b w:val="0"/>
          <w:bCs w:val="0"/>
          <w:color w:val="auto"/>
          <w:sz w:val="21"/>
          <w:szCs w:val="24"/>
          <w:highlight w:val="none"/>
          <w:lang w:val="en-US" w:eastAsia="zh-Hans"/>
        </w:rPr>
        <w:t>enterprise factor intensity.</w:t>
      </w:r>
    </w:p>
    <w:p w14:paraId="52AD7A2E">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b/>
          <w:bCs/>
          <w:color w:val="auto"/>
          <w:highlight w:val="none"/>
        </w:rPr>
      </w:pPr>
      <w:r>
        <w:rPr>
          <w:rFonts w:hint="default" w:asciiTheme="minorAscii" w:hAnsiTheme="minorAscii"/>
          <w:b/>
          <w:bCs/>
          <w:color w:val="auto"/>
          <w:highlight w:val="none"/>
        </w:rPr>
        <w:t xml:space="preserve">Hypothesis H9: </w:t>
      </w:r>
      <w:r>
        <w:rPr>
          <w:rFonts w:hint="default" w:asciiTheme="minorAscii" w:hAnsiTheme="minorAscii"/>
          <w:b w:val="0"/>
          <w:bCs w:val="0"/>
          <w:color w:val="auto"/>
          <w:sz w:val="21"/>
          <w:szCs w:val="24"/>
          <w:highlight w:val="none"/>
          <w:lang w:val="en-US" w:eastAsia="zh-Hans"/>
        </w:rPr>
        <w:t>The impact of producer services trade competitiveness on the level of independent innovation of enterprises varies depending on the enterprise industry competition.</w:t>
      </w:r>
    </w:p>
    <w:p w14:paraId="76094933">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b w:val="0"/>
          <w:bCs w:val="0"/>
          <w:color w:val="auto"/>
          <w:sz w:val="21"/>
          <w:szCs w:val="24"/>
          <w:highlight w:val="none"/>
          <w:lang w:val="en-US" w:eastAsia="zh-Hans"/>
        </w:rPr>
      </w:pPr>
      <w:r>
        <w:rPr>
          <w:rFonts w:hint="default" w:asciiTheme="minorAscii" w:hAnsiTheme="minorAscii"/>
          <w:b/>
          <w:bCs/>
          <w:color w:val="auto"/>
          <w:highlight w:val="none"/>
        </w:rPr>
        <w:t xml:space="preserve">Hypothesis H10: </w:t>
      </w:r>
      <w:r>
        <w:rPr>
          <w:rFonts w:hint="default" w:asciiTheme="minorAscii" w:hAnsiTheme="minorAscii"/>
          <w:b w:val="0"/>
          <w:bCs w:val="0"/>
          <w:color w:val="auto"/>
          <w:sz w:val="21"/>
          <w:szCs w:val="24"/>
          <w:highlight w:val="none"/>
          <w:lang w:val="en-US" w:eastAsia="zh-Hans"/>
        </w:rPr>
        <w:t>The impact of producer services trade competitiveness on the level of independent innovation of enterprises varies depending on the financing constraints of enterprises.</w:t>
      </w:r>
    </w:p>
    <w:p w14:paraId="5CD148BC">
      <w:pPr>
        <w:keepNext w:val="0"/>
        <w:keepLines w:val="0"/>
        <w:pageBreakBefore w:val="0"/>
        <w:widowControl w:val="0"/>
        <w:kinsoku/>
        <w:wordWrap/>
        <w:overflowPunct/>
        <w:topLinePunct w:val="0"/>
        <w:autoSpaceDE/>
        <w:autoSpaceDN/>
        <w:bidi w:val="0"/>
        <w:adjustRightInd/>
        <w:snapToGrid/>
        <w:spacing w:before="625" w:beforeLines="200" w:after="313" w:afterLines="100"/>
        <w:jc w:val="left"/>
        <w:textAlignment w:val="auto"/>
        <w:rPr>
          <w:rFonts w:hint="default" w:asciiTheme="minorAscii" w:hAnsiTheme="minorAscii"/>
          <w:b/>
          <w:bCs/>
          <w:color w:val="auto"/>
          <w:sz w:val="22"/>
          <w:szCs w:val="28"/>
          <w:highlight w:val="none"/>
          <w:lang w:val="en-US" w:eastAsia="zh-Hans"/>
        </w:rPr>
      </w:pPr>
      <w:r>
        <w:rPr>
          <w:rFonts w:hint="default" w:asciiTheme="minorAscii" w:hAnsiTheme="minorAscii"/>
          <w:b/>
          <w:bCs/>
          <w:color w:val="auto"/>
          <w:sz w:val="22"/>
          <w:szCs w:val="28"/>
          <w:highlight w:val="none"/>
          <w:lang w:val="en-US" w:eastAsia="zh-Hans"/>
        </w:rPr>
        <w:t>5.M</w:t>
      </w:r>
      <w:r>
        <w:rPr>
          <w:rFonts w:hint="default" w:asciiTheme="minorAscii" w:hAnsiTheme="minorAscii"/>
          <w:b/>
          <w:bCs/>
          <w:color w:val="auto"/>
          <w:sz w:val="22"/>
          <w:szCs w:val="28"/>
          <w:highlight w:val="none"/>
          <w:lang w:val="en-US" w:eastAsia="zh-CN"/>
        </w:rPr>
        <w:t>ETHODOLOGY</w:t>
      </w:r>
    </w:p>
    <w:p w14:paraId="09B1B5C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default" w:asciiTheme="minorAscii" w:hAnsiTheme="minorAscii"/>
          <w:b/>
          <w:bCs/>
          <w:color w:val="auto"/>
          <w:highlight w:val="none"/>
          <w:lang w:val="en-US" w:eastAsia="zh-Hans"/>
        </w:rPr>
      </w:pPr>
      <w:r>
        <w:rPr>
          <w:rFonts w:hint="default" w:asciiTheme="minorAscii" w:hAnsiTheme="minorAscii"/>
          <w:b/>
          <w:bCs/>
          <w:color w:val="auto"/>
          <w:highlight w:val="none"/>
          <w:lang w:val="en-US" w:eastAsia="zh-Hans"/>
        </w:rPr>
        <w:t>5.1 Model settings</w:t>
      </w:r>
    </w:p>
    <w:p w14:paraId="673A23A1">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 xml:space="preserve">This </w:t>
      </w:r>
      <w:r>
        <w:rPr>
          <w:rFonts w:hint="default" w:asciiTheme="minorAscii" w:hAnsiTheme="minorAscii"/>
          <w:color w:val="auto"/>
          <w:highlight w:val="none"/>
          <w:lang w:val="en-US"/>
        </w:rPr>
        <w:t>paper</w:t>
      </w:r>
      <w:r>
        <w:rPr>
          <w:rFonts w:hint="default" w:asciiTheme="minorAscii" w:hAnsiTheme="minorAscii"/>
          <w:color w:val="auto"/>
          <w:highlight w:val="none"/>
        </w:rPr>
        <w:t xml:space="preserve"> mainly studies the impact of producer services trade competitiveness on independent innovation of manufacturing enterprises, so the benchmark regression model is established as follows:</w:t>
      </w:r>
    </w:p>
    <w:p w14:paraId="5E122832">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heme="minorAscii" w:hAnsiTheme="minorAscii"/>
          <w:color w:val="auto"/>
          <w:highlight w:val="none"/>
        </w:rPr>
      </w:pPr>
      <m:oMath>
        <m:sSub>
          <m:sSubPr>
            <m:ctrlPr>
              <w:rPr>
                <w:rFonts w:hint="default" w:ascii="DejaVu Math TeX Gyre" w:hAnsi="DejaVu Math TeX Gyre"/>
                <w:color w:val="auto"/>
                <w:highlight w:val="none"/>
                <w:lang w:eastAsia="zh-Hans"/>
              </w:rPr>
            </m:ctrlPr>
          </m:sSubPr>
          <m:e>
            <m:r>
              <m:rPr>
                <m:sty m:val="p"/>
              </m:rPr>
              <w:rPr>
                <w:rFonts w:hint="default" w:ascii="DejaVu Math TeX Gyre" w:hAnsi="DejaVu Math TeX Gyre"/>
                <w:color w:val="auto"/>
                <w:highlight w:val="none"/>
                <w:lang w:eastAsia="zh-Hans"/>
              </w:rPr>
              <m:t>io</m:t>
            </m:r>
            <m:ctrlPr>
              <w:rPr>
                <w:rFonts w:hint="default" w:ascii="DejaVu Math TeX Gyre" w:hAnsi="DejaVu Math TeX Gyre"/>
                <w:color w:val="auto"/>
                <w:highlight w:val="none"/>
                <w:lang w:eastAsia="zh-Hans"/>
              </w:rPr>
            </m:ctrlPr>
          </m:e>
          <m:sub>
            <m:r>
              <m:rPr>
                <m:sty m:val="p"/>
              </m:rPr>
              <w:rPr>
                <w:rFonts w:hint="default" w:ascii="DejaVu Math TeX Gyre" w:hAnsi="DejaVu Math TeX Gyre"/>
                <w:color w:val="auto"/>
                <w:highlight w:val="none"/>
                <w:lang w:eastAsia="zh-Hans"/>
              </w:rPr>
              <m:t>kit</m:t>
            </m:r>
            <m:ctrlPr>
              <w:rPr>
                <w:rFonts w:hint="default" w:ascii="DejaVu Math TeX Gyre" w:hAnsi="DejaVu Math TeX Gyre"/>
                <w:color w:val="auto"/>
                <w:highlight w:val="none"/>
                <w:lang w:eastAsia="zh-Hans"/>
              </w:rPr>
            </m:ctrlPr>
          </m:sub>
        </m:sSub>
        <m:r>
          <m:rPr>
            <m:sty m:val="p"/>
          </m:rPr>
          <w:rPr>
            <w:rFonts w:hint="default" w:ascii="DejaVu Math TeX Gyre" w:hAnsi="DejaVu Math TeX Gyre"/>
            <w:color w:val="auto"/>
            <w:highlight w:val="none"/>
            <w:lang w:eastAsia="zh-Hans"/>
          </w:rPr>
          <m:t>=</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α</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0</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α</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1</m:t>
            </m:r>
            <m:ctrlPr>
              <w:rPr>
                <w:rFonts w:hint="default" w:ascii="DejaVu Math TeX Gyre" w:hAnsi="DejaVu Math TeX Gyre"/>
                <w:color w:val="auto"/>
                <w:highlight w:val="none"/>
              </w:rPr>
            </m:ctrlPr>
          </m:sub>
        </m:sSub>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lang w:eastAsia="zh-Hans"/>
              </w:rPr>
              <m:t>rca</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lang w:eastAsia="zh-Hans"/>
              </w:rPr>
              <m:t>t</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+β</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controls</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kit</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ν</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t</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ν</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k</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ε</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kit</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 xml:space="preserve">   </m:t>
        </m:r>
      </m:oMath>
      <w:r>
        <w:rPr>
          <w:rFonts w:hint="default" w:asciiTheme="minorAscii" w:hAnsiTheme="minorAscii"/>
          <w:color w:val="auto"/>
          <w:highlight w:val="none"/>
        </w:rPr>
        <w:t xml:space="preserve">   （1）</w:t>
      </w:r>
    </w:p>
    <w:p w14:paraId="38E1E845">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Among them, the subscripts k, i, and t represent the enterprise, industry, and year respectively. io</w:t>
      </w:r>
      <w:r>
        <w:rPr>
          <w:rFonts w:hint="default" w:asciiTheme="minorAscii" w:hAnsiTheme="minorAscii"/>
          <w:color w:val="auto"/>
          <w:highlight w:val="none"/>
          <w:vertAlign w:val="subscript"/>
        </w:rPr>
        <w:t>kit</w:t>
      </w:r>
      <w:r>
        <w:rPr>
          <w:rFonts w:hint="default" w:asciiTheme="minorAscii" w:hAnsiTheme="minorAscii"/>
          <w:color w:val="auto"/>
          <w:highlight w:val="none"/>
        </w:rPr>
        <w:t xml:space="preserve"> is the innovation output of enterprise k in industry i in year t. </w:t>
      </w:r>
      <w:r>
        <w:rPr>
          <w:rFonts w:hint="default" w:asciiTheme="minorAscii" w:hAnsiTheme="minorAscii"/>
          <w:color w:val="auto"/>
          <w:highlight w:val="none"/>
          <w:lang w:eastAsia="zh-Hans"/>
        </w:rPr>
        <w:t>rca</w:t>
      </w:r>
      <w:r>
        <w:rPr>
          <w:rFonts w:hint="default" w:asciiTheme="minorAscii" w:hAnsiTheme="minorAscii"/>
          <w:color w:val="auto"/>
          <w:highlight w:val="none"/>
          <w:vertAlign w:val="subscript"/>
        </w:rPr>
        <w:t>ki</w:t>
      </w:r>
      <w:r>
        <w:rPr>
          <w:rFonts w:hint="default" w:asciiTheme="minorAscii" w:hAnsiTheme="minorAscii"/>
          <w:color w:val="auto"/>
          <w:highlight w:val="none"/>
        </w:rPr>
        <w:t xml:space="preserve"> is the trade competitiveness of producer services industry in year t. controls are enterprise-level control variables. In order to prevent the omission of unobservable variables in the baseline model, the fixed effects of individual(</w:t>
      </w:r>
      <m:oMath>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ν</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t</m:t>
            </m:r>
            <m:ctrlPr>
              <w:rPr>
                <w:rFonts w:hint="default" w:ascii="DejaVu Math TeX Gyre" w:hAnsi="DejaVu Math TeX Gyre"/>
                <w:color w:val="auto"/>
                <w:highlight w:val="none"/>
              </w:rPr>
            </m:ctrlPr>
          </m:sub>
        </m:sSub>
      </m:oMath>
      <w:r>
        <w:rPr>
          <w:rFonts w:hint="default" w:asciiTheme="minorAscii" w:hAnsiTheme="minorAscii"/>
          <w:color w:val="auto"/>
          <w:highlight w:val="none"/>
        </w:rPr>
        <w:t>) and time(</w:t>
      </w:r>
      <m:oMath>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ν</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k</m:t>
            </m:r>
            <m:ctrlPr>
              <w:rPr>
                <w:rFonts w:hint="default" w:ascii="DejaVu Math TeX Gyre" w:hAnsi="DejaVu Math TeX Gyre"/>
                <w:color w:val="auto"/>
                <w:highlight w:val="none"/>
              </w:rPr>
            </m:ctrlPr>
          </m:sub>
        </m:sSub>
      </m:oMath>
      <w:r>
        <w:rPr>
          <w:rFonts w:hint="default" w:asciiTheme="minorAscii" w:hAnsiTheme="minorAscii"/>
          <w:color w:val="auto"/>
          <w:highlight w:val="none"/>
        </w:rPr>
        <w:t xml:space="preserve">) are also controlled, </w:t>
      </w:r>
      <m:oMath>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ε</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kit</m:t>
            </m:r>
            <m:ctrlPr>
              <w:rPr>
                <w:rFonts w:hint="default" w:ascii="DejaVu Math TeX Gyre" w:hAnsi="DejaVu Math TeX Gyre"/>
                <w:color w:val="auto"/>
                <w:highlight w:val="none"/>
              </w:rPr>
            </m:ctrlPr>
          </m:sub>
        </m:sSub>
      </m:oMath>
      <w:r>
        <w:rPr>
          <w:rFonts w:hint="default" w:asciiTheme="minorAscii" w:hAnsiTheme="minorAscii"/>
          <w:color w:val="auto"/>
          <w:highlight w:val="none"/>
        </w:rPr>
        <w:t xml:space="preserve"> </w:t>
      </w:r>
      <w:r>
        <w:rPr>
          <w:rFonts w:hint="default" w:asciiTheme="minorAscii" w:hAnsiTheme="minorAscii"/>
          <w:color w:val="auto"/>
          <w:highlight w:val="none"/>
          <w:lang w:eastAsia="zh-Hans"/>
        </w:rPr>
        <w:t>is</w:t>
      </w:r>
      <w:r>
        <w:rPr>
          <w:rFonts w:hint="default" w:asciiTheme="minorAscii" w:hAnsiTheme="minorAscii"/>
          <w:color w:val="auto"/>
          <w:highlight w:val="none"/>
        </w:rPr>
        <w:t xml:space="preserve"> random error term.</w:t>
      </w:r>
    </w:p>
    <w:p w14:paraId="6455EB6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default" w:asciiTheme="minorAscii" w:hAnsiTheme="minorAscii"/>
          <w:b/>
          <w:bCs/>
          <w:color w:val="auto"/>
          <w:highlight w:val="none"/>
          <w:lang w:val="en-US" w:eastAsia="zh-Hans"/>
        </w:rPr>
      </w:pPr>
      <w:r>
        <w:rPr>
          <w:rFonts w:hint="default" w:asciiTheme="minorAscii" w:hAnsiTheme="minorAscii"/>
          <w:b/>
          <w:bCs/>
          <w:color w:val="auto"/>
          <w:highlight w:val="none"/>
          <w:lang w:val="en-US" w:eastAsia="zh-Hans"/>
        </w:rPr>
        <w:t>5.2 Main variables and measurement methods</w:t>
      </w:r>
    </w:p>
    <w:p w14:paraId="3EF10EA4">
      <w:pPr>
        <w:rPr>
          <w:rFonts w:hint="default" w:asciiTheme="minorAscii" w:hAnsiTheme="minorAscii"/>
          <w:b/>
          <w:bCs/>
          <w:color w:val="auto"/>
          <w:highlight w:val="none"/>
        </w:rPr>
      </w:pPr>
      <w:r>
        <w:rPr>
          <w:rFonts w:hint="default" w:asciiTheme="minorAscii" w:hAnsiTheme="minorAscii"/>
          <w:b/>
          <w:bCs/>
          <w:color w:val="auto"/>
          <w:highlight w:val="none"/>
        </w:rPr>
        <w:t>(1) Explained variable</w:t>
      </w:r>
    </w:p>
    <w:p w14:paraId="27D97BAD">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 xml:space="preserve">This </w:t>
      </w:r>
      <w:r>
        <w:rPr>
          <w:rFonts w:hint="default" w:asciiTheme="minorAscii" w:hAnsiTheme="minorAscii"/>
          <w:color w:val="auto"/>
          <w:highlight w:val="none"/>
          <w:lang w:val="en-US"/>
        </w:rPr>
        <w:t>paper</w:t>
      </w:r>
      <w:r>
        <w:rPr>
          <w:rFonts w:hint="default" w:asciiTheme="minorAscii" w:hAnsiTheme="minorAscii"/>
          <w:color w:val="auto"/>
          <w:highlight w:val="none"/>
        </w:rPr>
        <w:t xml:space="preserve"> primarily examines the behavior of enterprise innovation from the perspective of innovation output (IO). The measurement of this indicator mainly refers to the research of Zhang Feng (2019) and Chen Si (2017), etc., and is expressed by the annual number of patent applications of manufacturing enterprises.</w:t>
      </w:r>
    </w:p>
    <w:p w14:paraId="006FB301">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Considering the great uncertainty in the competitiveness of productive service trade and innovation input (such as patent protection, absorption and digestion, individual preferences, etc.), this paper only uses innovation output as the explained variable and includes innovation input as a control variable in the analysis.</w:t>
      </w:r>
    </w:p>
    <w:p w14:paraId="20CBB630">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b/>
          <w:bCs/>
          <w:color w:val="auto"/>
          <w:highlight w:val="none"/>
        </w:rPr>
      </w:pPr>
      <w:r>
        <w:rPr>
          <w:rFonts w:hint="default" w:asciiTheme="minorAscii" w:hAnsiTheme="minorAscii"/>
          <w:b/>
          <w:bCs/>
          <w:color w:val="auto"/>
          <w:highlight w:val="none"/>
        </w:rPr>
        <w:t>(2) Core explanatory variables</w:t>
      </w:r>
    </w:p>
    <w:p w14:paraId="5F063D7A">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 xml:space="preserve">①The core explanatory variable of this paper is the productive service trade competitiveness (RCA) based on forward value added. The traditional revealed comparative advantage index (RCA) is a commonly used indicator to measure a country's industrial trade competitiveness, but </w:t>
      </w:r>
      <w:r>
        <w:rPr>
          <w:rFonts w:hint="default" w:asciiTheme="minorAscii" w:hAnsiTheme="minorAscii"/>
          <w:color w:val="auto"/>
          <w:highlight w:val="none"/>
          <w:lang w:val="en-US" w:eastAsia="zh-CN"/>
        </w:rPr>
        <w:t>it</w:t>
      </w:r>
      <w:r>
        <w:rPr>
          <w:rFonts w:hint="default" w:asciiTheme="minorAscii" w:hAnsiTheme="minorAscii"/>
          <w:color w:val="auto"/>
          <w:highlight w:val="none"/>
        </w:rPr>
        <w:t xml:space="preserve"> ignores the domestic and international division of labor and cannot reflect the real competitive advantage of the export industry.</w:t>
      </w:r>
      <w:r>
        <w:rPr>
          <w:rFonts w:hint="default" w:asciiTheme="minorAscii" w:hAnsiTheme="minorAscii"/>
          <w:color w:val="auto"/>
          <w:highlight w:val="none"/>
          <w:lang w:val="en-US" w:eastAsia="zh-CN"/>
        </w:rPr>
        <w:t xml:space="preserve"> </w:t>
      </w:r>
      <w:r>
        <w:rPr>
          <w:rFonts w:hint="default" w:asciiTheme="minorAscii" w:hAnsiTheme="minorAscii"/>
          <w:color w:val="auto"/>
          <w:highlight w:val="none"/>
        </w:rPr>
        <w:t xml:space="preserve">This </w:t>
      </w:r>
      <w:r>
        <w:rPr>
          <w:rFonts w:hint="default" w:asciiTheme="minorAscii" w:hAnsiTheme="minorAscii"/>
          <w:color w:val="auto"/>
          <w:highlight w:val="none"/>
          <w:lang w:val="en-US"/>
        </w:rPr>
        <w:t>paper</w:t>
      </w:r>
      <w:r>
        <w:rPr>
          <w:rFonts w:hint="default" w:asciiTheme="minorAscii" w:hAnsiTheme="minorAscii"/>
          <w:color w:val="auto"/>
          <w:highlight w:val="none"/>
        </w:rPr>
        <w:t xml:space="preserve"> draws on the practice of Wang Zhi, Wei Shangjin, Zhu Kunfu et al. (2013) and uses the new RCA index to express the competitiveness of producer services trade. The specific formula used in this calculation is as follows:</w:t>
      </w:r>
    </w:p>
    <w:p w14:paraId="4CACE673">
      <w:pPr>
        <w:jc w:val="center"/>
        <w:rPr>
          <w:rFonts w:hint="default" w:asciiTheme="minorAscii" w:hAnsiTheme="minorAscii"/>
          <w:color w:val="auto"/>
          <w:highlight w:val="none"/>
        </w:rPr>
      </w:pPr>
      <m:oMath>
        <m:sSub>
          <m:sSubPr>
            <m:ctrlPr>
              <w:rPr>
                <w:rFonts w:hint="default" w:ascii="DejaVu Math TeX Gyre" w:hAnsi="DejaVu Math TeX Gyre"/>
                <w:i/>
                <w:color w:val="auto"/>
                <w:sz w:val="24"/>
                <w:szCs w:val="32"/>
                <w:highlight w:val="none"/>
              </w:rPr>
            </m:ctrlPr>
          </m:sSubPr>
          <m:e>
            <m:r>
              <m:rPr/>
              <w:rPr>
                <w:rFonts w:hint="default" w:ascii="DejaVu Math TeX Gyre" w:hAnsi="DejaVu Math TeX Gyre"/>
                <w:color w:val="auto"/>
                <w:sz w:val="24"/>
                <w:szCs w:val="32"/>
                <w:highlight w:val="none"/>
              </w:rPr>
              <m:t>RCA</m:t>
            </m:r>
            <m:ctrlPr>
              <w:rPr>
                <w:rFonts w:hint="default" w:ascii="DejaVu Math TeX Gyre" w:hAnsi="DejaVu Math TeX Gyre"/>
                <w:i/>
                <w:color w:val="auto"/>
                <w:sz w:val="24"/>
                <w:szCs w:val="32"/>
                <w:highlight w:val="none"/>
              </w:rPr>
            </m:ctrlPr>
          </m:e>
          <m:sub>
            <m:r>
              <m:rPr/>
              <w:rPr>
                <w:rFonts w:hint="default" w:ascii="DejaVu Math TeX Gyre" w:hAnsi="DejaVu Math TeX Gyre"/>
                <w:color w:val="auto"/>
                <w:sz w:val="24"/>
                <w:szCs w:val="32"/>
                <w:highlight w:val="none"/>
                <w:lang w:eastAsia="zh-Hans"/>
              </w:rPr>
              <m:t>tik</m:t>
            </m:r>
            <m:ctrlPr>
              <w:rPr>
                <w:rFonts w:hint="default" w:ascii="DejaVu Math TeX Gyre" w:hAnsi="DejaVu Math TeX Gyre"/>
                <w:i/>
                <w:color w:val="auto"/>
                <w:sz w:val="24"/>
                <w:szCs w:val="32"/>
                <w:highlight w:val="none"/>
              </w:rPr>
            </m:ctrlPr>
          </m:sub>
        </m:sSub>
        <m:r>
          <m:rPr/>
          <w:rPr>
            <w:rFonts w:hint="default" w:ascii="DejaVu Math TeX Gyre" w:hAnsi="DejaVu Math TeX Gyre"/>
            <w:color w:val="auto"/>
            <w:sz w:val="24"/>
            <w:szCs w:val="32"/>
            <w:highlight w:val="none"/>
          </w:rPr>
          <m:t>=</m:t>
        </m:r>
        <m:f>
          <m:fPr>
            <m:ctrlPr>
              <w:rPr>
                <w:rFonts w:hint="default" w:ascii="DejaVu Math TeX Gyre" w:hAnsi="DejaVu Math TeX Gyre"/>
                <w:i/>
                <w:color w:val="auto"/>
                <w:sz w:val="24"/>
                <w:szCs w:val="32"/>
                <w:highlight w:val="none"/>
              </w:rPr>
            </m:ctrlPr>
          </m:fPr>
          <m:num>
            <m:f>
              <m:fPr>
                <m:type m:val="lin"/>
                <m:ctrlPr>
                  <w:rPr>
                    <w:rFonts w:hint="default" w:ascii="DejaVu Math TeX Gyre" w:hAnsi="DejaVu Math TeX Gyre"/>
                    <w:i/>
                    <w:color w:val="auto"/>
                    <w:sz w:val="24"/>
                    <w:szCs w:val="32"/>
                    <w:highlight w:val="none"/>
                  </w:rPr>
                </m:ctrlPr>
              </m:fPr>
              <m:num>
                <m:sSub>
                  <m:sSubPr>
                    <m:ctrlPr>
                      <w:rPr>
                        <w:rFonts w:hint="default" w:ascii="DejaVu Math TeX Gyre" w:hAnsi="DejaVu Math TeX Gyre"/>
                        <w:i/>
                        <w:color w:val="auto"/>
                        <w:sz w:val="24"/>
                        <w:szCs w:val="32"/>
                        <w:highlight w:val="none"/>
                      </w:rPr>
                    </m:ctrlPr>
                  </m:sSubPr>
                  <m:e>
                    <m:r>
                      <m:rPr/>
                      <w:rPr>
                        <w:rFonts w:hint="default" w:ascii="DejaVu Math TeX Gyre" w:hAnsi="DejaVu Math TeX Gyre"/>
                        <w:color w:val="auto"/>
                        <w:sz w:val="24"/>
                        <w:szCs w:val="32"/>
                        <w:highlight w:val="none"/>
                      </w:rPr>
                      <m:t>exp</m:t>
                    </m:r>
                    <m:ctrlPr>
                      <w:rPr>
                        <w:rFonts w:hint="default" w:ascii="DejaVu Math TeX Gyre" w:hAnsi="DejaVu Math TeX Gyre"/>
                        <w:i/>
                        <w:color w:val="auto"/>
                        <w:sz w:val="24"/>
                        <w:szCs w:val="32"/>
                        <w:highlight w:val="none"/>
                      </w:rPr>
                    </m:ctrlPr>
                  </m:e>
                  <m:sub>
                    <m:r>
                      <m:rPr/>
                      <w:rPr>
                        <w:rFonts w:hint="default" w:ascii="DejaVu Math TeX Gyre" w:hAnsi="DejaVu Math TeX Gyre"/>
                        <w:color w:val="auto"/>
                        <w:sz w:val="24"/>
                        <w:szCs w:val="32"/>
                        <w:highlight w:val="none"/>
                      </w:rPr>
                      <m:t>tik</m:t>
                    </m:r>
                    <m:ctrlPr>
                      <w:rPr>
                        <w:rFonts w:hint="default" w:ascii="DejaVu Math TeX Gyre" w:hAnsi="DejaVu Math TeX Gyre"/>
                        <w:i/>
                        <w:color w:val="auto"/>
                        <w:sz w:val="24"/>
                        <w:szCs w:val="32"/>
                        <w:highlight w:val="none"/>
                      </w:rPr>
                    </m:ctrlPr>
                  </m:sub>
                </m:sSub>
                <m:ctrlPr>
                  <w:rPr>
                    <w:rFonts w:hint="default" w:ascii="DejaVu Math TeX Gyre" w:hAnsi="DejaVu Math TeX Gyre"/>
                    <w:i/>
                    <w:color w:val="auto"/>
                    <w:sz w:val="24"/>
                    <w:szCs w:val="32"/>
                    <w:highlight w:val="none"/>
                  </w:rPr>
                </m:ctrlPr>
              </m:num>
              <m:den>
                <m:sSub>
                  <m:sSubPr>
                    <m:ctrlPr>
                      <w:rPr>
                        <w:rFonts w:hint="default" w:ascii="DejaVu Math TeX Gyre" w:hAnsi="DejaVu Math TeX Gyre"/>
                        <w:i/>
                        <w:color w:val="auto"/>
                        <w:sz w:val="24"/>
                        <w:szCs w:val="32"/>
                        <w:highlight w:val="none"/>
                      </w:rPr>
                    </m:ctrlPr>
                  </m:sSubPr>
                  <m:e>
                    <m:r>
                      <m:rPr/>
                      <w:rPr>
                        <w:rFonts w:hint="default" w:ascii="DejaVu Math TeX Gyre" w:hAnsi="DejaVu Math TeX Gyre"/>
                        <w:color w:val="auto"/>
                        <w:sz w:val="24"/>
                        <w:szCs w:val="32"/>
                        <w:highlight w:val="none"/>
                      </w:rPr>
                      <m:t>exp</m:t>
                    </m:r>
                    <m:ctrlPr>
                      <w:rPr>
                        <w:rFonts w:hint="default" w:ascii="DejaVu Math TeX Gyre" w:hAnsi="DejaVu Math TeX Gyre"/>
                        <w:i/>
                        <w:color w:val="auto"/>
                        <w:sz w:val="24"/>
                        <w:szCs w:val="32"/>
                        <w:highlight w:val="none"/>
                      </w:rPr>
                    </m:ctrlPr>
                  </m:e>
                  <m:sub>
                    <m:r>
                      <m:rPr/>
                      <w:rPr>
                        <w:rFonts w:hint="default" w:ascii="DejaVu Math TeX Gyre" w:hAnsi="DejaVu Math TeX Gyre"/>
                        <w:color w:val="auto"/>
                        <w:sz w:val="24"/>
                        <w:szCs w:val="32"/>
                        <w:highlight w:val="none"/>
                      </w:rPr>
                      <m:t>t</m:t>
                    </m:r>
                    <m:r>
                      <m:rPr/>
                      <w:rPr>
                        <w:rFonts w:hint="default" w:ascii="DejaVu Math TeX Gyre" w:hAnsi="DejaVu Math TeX Gyre"/>
                        <w:color w:val="auto"/>
                        <w:sz w:val="24"/>
                        <w:szCs w:val="32"/>
                        <w:highlight w:val="none"/>
                        <w:lang w:eastAsia="zh-Hans"/>
                      </w:rPr>
                      <m:t>i</m:t>
                    </m:r>
                    <m:ctrlPr>
                      <w:rPr>
                        <w:rFonts w:hint="default" w:ascii="DejaVu Math TeX Gyre" w:hAnsi="DejaVu Math TeX Gyre"/>
                        <w:i/>
                        <w:color w:val="auto"/>
                        <w:sz w:val="24"/>
                        <w:szCs w:val="32"/>
                        <w:highlight w:val="none"/>
                      </w:rPr>
                    </m:ctrlPr>
                  </m:sub>
                </m:sSub>
                <m:ctrlPr>
                  <w:rPr>
                    <w:rFonts w:hint="default" w:ascii="DejaVu Math TeX Gyre" w:hAnsi="DejaVu Math TeX Gyre"/>
                    <w:i/>
                    <w:color w:val="auto"/>
                    <w:sz w:val="24"/>
                    <w:szCs w:val="32"/>
                    <w:highlight w:val="none"/>
                  </w:rPr>
                </m:ctrlPr>
              </m:den>
            </m:f>
            <m:ctrlPr>
              <w:rPr>
                <w:rFonts w:hint="default" w:ascii="DejaVu Math TeX Gyre" w:hAnsi="DejaVu Math TeX Gyre"/>
                <w:i/>
                <w:color w:val="auto"/>
                <w:sz w:val="24"/>
                <w:szCs w:val="32"/>
                <w:highlight w:val="none"/>
              </w:rPr>
            </m:ctrlPr>
          </m:num>
          <m:den>
            <m:f>
              <m:fPr>
                <m:type m:val="lin"/>
                <m:ctrlPr>
                  <w:rPr>
                    <w:rFonts w:hint="default" w:ascii="DejaVu Math TeX Gyre" w:hAnsi="DejaVu Math TeX Gyre"/>
                    <w:i/>
                    <w:color w:val="auto"/>
                    <w:sz w:val="24"/>
                    <w:szCs w:val="32"/>
                    <w:highlight w:val="none"/>
                  </w:rPr>
                </m:ctrlPr>
              </m:fPr>
              <m:num>
                <m:sSub>
                  <m:sSubPr>
                    <m:ctrlPr>
                      <w:rPr>
                        <w:rFonts w:hint="default" w:ascii="DejaVu Math TeX Gyre" w:hAnsi="DejaVu Math TeX Gyre"/>
                        <w:i/>
                        <w:color w:val="auto"/>
                        <w:sz w:val="24"/>
                        <w:szCs w:val="32"/>
                        <w:highlight w:val="none"/>
                      </w:rPr>
                    </m:ctrlPr>
                  </m:sSubPr>
                  <m:e>
                    <m:r>
                      <m:rPr/>
                      <w:rPr>
                        <w:rFonts w:hint="default" w:ascii="DejaVu Math TeX Gyre" w:hAnsi="DejaVu Math TeX Gyre"/>
                        <w:color w:val="auto"/>
                        <w:sz w:val="24"/>
                        <w:szCs w:val="32"/>
                        <w:highlight w:val="none"/>
                      </w:rPr>
                      <m:t>exp</m:t>
                    </m:r>
                    <m:ctrlPr>
                      <w:rPr>
                        <w:rFonts w:hint="default" w:ascii="DejaVu Math TeX Gyre" w:hAnsi="DejaVu Math TeX Gyre"/>
                        <w:i/>
                        <w:color w:val="auto"/>
                        <w:sz w:val="24"/>
                        <w:szCs w:val="32"/>
                        <w:highlight w:val="none"/>
                      </w:rPr>
                    </m:ctrlPr>
                  </m:e>
                  <m:sub>
                    <m:r>
                      <m:rPr/>
                      <w:rPr>
                        <w:rFonts w:hint="default" w:ascii="DejaVu Math TeX Gyre" w:hAnsi="DejaVu Math TeX Gyre"/>
                        <w:color w:val="auto"/>
                        <w:sz w:val="24"/>
                        <w:szCs w:val="32"/>
                        <w:highlight w:val="none"/>
                      </w:rPr>
                      <m:t>tk</m:t>
                    </m:r>
                    <m:ctrlPr>
                      <w:rPr>
                        <w:rFonts w:hint="default" w:ascii="DejaVu Math TeX Gyre" w:hAnsi="DejaVu Math TeX Gyre"/>
                        <w:i/>
                        <w:color w:val="auto"/>
                        <w:sz w:val="24"/>
                        <w:szCs w:val="32"/>
                        <w:highlight w:val="none"/>
                      </w:rPr>
                    </m:ctrlPr>
                  </m:sub>
                </m:sSub>
                <m:ctrlPr>
                  <w:rPr>
                    <w:rFonts w:hint="default" w:ascii="DejaVu Math TeX Gyre" w:hAnsi="DejaVu Math TeX Gyre"/>
                    <w:i/>
                    <w:color w:val="auto"/>
                    <w:sz w:val="24"/>
                    <w:szCs w:val="32"/>
                    <w:highlight w:val="none"/>
                  </w:rPr>
                </m:ctrlPr>
              </m:num>
              <m:den>
                <m:sSub>
                  <m:sSubPr>
                    <m:ctrlPr>
                      <w:rPr>
                        <w:rFonts w:hint="default" w:ascii="DejaVu Math TeX Gyre" w:hAnsi="DejaVu Math TeX Gyre"/>
                        <w:i/>
                        <w:color w:val="auto"/>
                        <w:sz w:val="24"/>
                        <w:szCs w:val="32"/>
                        <w:highlight w:val="none"/>
                      </w:rPr>
                    </m:ctrlPr>
                  </m:sSubPr>
                  <m:e>
                    <m:r>
                      <m:rPr/>
                      <w:rPr>
                        <w:rFonts w:hint="default" w:ascii="DejaVu Math TeX Gyre" w:hAnsi="DejaVu Math TeX Gyre"/>
                        <w:color w:val="auto"/>
                        <w:sz w:val="24"/>
                        <w:szCs w:val="32"/>
                        <w:highlight w:val="none"/>
                      </w:rPr>
                      <m:t>exp</m:t>
                    </m:r>
                    <m:ctrlPr>
                      <w:rPr>
                        <w:rFonts w:hint="default" w:ascii="DejaVu Math TeX Gyre" w:hAnsi="DejaVu Math TeX Gyre"/>
                        <w:i/>
                        <w:color w:val="auto"/>
                        <w:sz w:val="24"/>
                        <w:szCs w:val="32"/>
                        <w:highlight w:val="none"/>
                      </w:rPr>
                    </m:ctrlPr>
                  </m:e>
                  <m:sub>
                    <m:r>
                      <m:rPr/>
                      <w:rPr>
                        <w:rFonts w:hint="default" w:ascii="DejaVu Math TeX Gyre" w:hAnsi="DejaVu Math TeX Gyre"/>
                        <w:color w:val="auto"/>
                        <w:sz w:val="24"/>
                        <w:szCs w:val="32"/>
                        <w:highlight w:val="none"/>
                      </w:rPr>
                      <m:t>t</m:t>
                    </m:r>
                    <m:ctrlPr>
                      <w:rPr>
                        <w:rFonts w:hint="default" w:ascii="DejaVu Math TeX Gyre" w:hAnsi="DejaVu Math TeX Gyre"/>
                        <w:i/>
                        <w:color w:val="auto"/>
                        <w:sz w:val="24"/>
                        <w:szCs w:val="32"/>
                        <w:highlight w:val="none"/>
                      </w:rPr>
                    </m:ctrlPr>
                  </m:sub>
                </m:sSub>
                <m:ctrlPr>
                  <w:rPr>
                    <w:rFonts w:hint="default" w:ascii="DejaVu Math TeX Gyre" w:hAnsi="DejaVu Math TeX Gyre"/>
                    <w:i/>
                    <w:color w:val="auto"/>
                    <w:sz w:val="24"/>
                    <w:szCs w:val="32"/>
                    <w:highlight w:val="none"/>
                  </w:rPr>
                </m:ctrlPr>
              </m:den>
            </m:f>
            <m:ctrlPr>
              <w:rPr>
                <w:rFonts w:hint="default" w:ascii="DejaVu Math TeX Gyre" w:hAnsi="DejaVu Math TeX Gyre"/>
                <w:i/>
                <w:color w:val="auto"/>
                <w:sz w:val="24"/>
                <w:szCs w:val="32"/>
                <w:highlight w:val="none"/>
              </w:rPr>
            </m:ctrlPr>
          </m:den>
        </m:f>
      </m:oMath>
      <w:r>
        <w:rPr>
          <w:rFonts w:hint="default" w:asciiTheme="minorAscii" w:hAnsiTheme="minorAscii"/>
          <w:color w:val="auto"/>
          <w:sz w:val="24"/>
          <w:szCs w:val="32"/>
          <w:highlight w:val="none"/>
        </w:rPr>
        <w:t xml:space="preserve">      （2）</w:t>
      </w:r>
    </w:p>
    <w:p w14:paraId="5212715E">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 xml:space="preserve">Among them, </w:t>
      </w:r>
      <w:r>
        <w:rPr>
          <w:rFonts w:hint="default" w:asciiTheme="minorAscii" w:hAnsiTheme="minorAscii"/>
          <w:color w:val="auto"/>
          <w:highlight w:val="none"/>
          <w:lang w:eastAsia="zh-Hans"/>
        </w:rPr>
        <w:t>exp</w:t>
      </w:r>
      <w:r>
        <w:rPr>
          <w:rFonts w:hint="default" w:asciiTheme="minorAscii" w:hAnsiTheme="minorAscii"/>
          <w:color w:val="auto"/>
          <w:highlight w:val="none"/>
          <w:vertAlign w:val="subscript"/>
          <w:lang w:eastAsia="zh-Hans"/>
        </w:rPr>
        <w:t>tik</w:t>
      </w:r>
      <w:r>
        <w:rPr>
          <w:rFonts w:hint="default" w:asciiTheme="minorAscii" w:hAnsiTheme="minorAscii"/>
          <w:color w:val="auto"/>
          <w:highlight w:val="none"/>
        </w:rPr>
        <w:t xml:space="preserve"> is the export added value of industry k in country i in year t, and </w:t>
      </w:r>
      <w:r>
        <w:rPr>
          <w:rFonts w:hint="default" w:asciiTheme="minorAscii" w:hAnsiTheme="minorAscii"/>
          <w:color w:val="auto"/>
          <w:highlight w:val="none"/>
          <w:lang w:eastAsia="zh-Hans"/>
        </w:rPr>
        <w:t>exp</w:t>
      </w:r>
      <w:r>
        <w:rPr>
          <w:rFonts w:hint="default" w:asciiTheme="minorAscii" w:hAnsiTheme="minorAscii"/>
          <w:color w:val="auto"/>
          <w:highlight w:val="none"/>
          <w:vertAlign w:val="subscript"/>
          <w:lang w:eastAsia="zh-Hans"/>
        </w:rPr>
        <w:t xml:space="preserve">ti </w:t>
      </w:r>
      <w:r>
        <w:rPr>
          <w:rFonts w:hint="default" w:asciiTheme="minorAscii" w:hAnsiTheme="minorAscii"/>
          <w:color w:val="auto"/>
          <w:highlight w:val="none"/>
        </w:rPr>
        <w:t xml:space="preserve">is the total export added value of service trade in country i in year t. </w:t>
      </w:r>
      <w:r>
        <w:rPr>
          <w:rFonts w:hint="default" w:asciiTheme="minorAscii" w:hAnsiTheme="minorAscii"/>
          <w:color w:val="auto"/>
          <w:highlight w:val="none"/>
          <w:lang w:eastAsia="zh-Hans"/>
        </w:rPr>
        <w:t>exp</w:t>
      </w:r>
      <w:r>
        <w:rPr>
          <w:rFonts w:hint="default" w:asciiTheme="minorAscii" w:hAnsiTheme="minorAscii"/>
          <w:color w:val="auto"/>
          <w:highlight w:val="none"/>
          <w:vertAlign w:val="subscript"/>
          <w:lang w:eastAsia="zh-Hans"/>
        </w:rPr>
        <w:t>tk</w:t>
      </w:r>
      <w:r>
        <w:rPr>
          <w:rFonts w:hint="default" w:asciiTheme="minorAscii" w:hAnsiTheme="minorAscii"/>
          <w:color w:val="auto"/>
          <w:highlight w:val="none"/>
        </w:rPr>
        <w:t xml:space="preserve"> is the export added value of industry k in the world in year t, and </w:t>
      </w:r>
      <w:r>
        <w:rPr>
          <w:rFonts w:hint="default" w:asciiTheme="minorAscii" w:hAnsiTheme="minorAscii"/>
          <w:color w:val="auto"/>
          <w:highlight w:val="none"/>
          <w:lang w:eastAsia="zh-Hans"/>
        </w:rPr>
        <w:t>exp</w:t>
      </w:r>
      <w:r>
        <w:rPr>
          <w:rFonts w:hint="default" w:asciiTheme="minorAscii" w:hAnsiTheme="minorAscii"/>
          <w:color w:val="auto"/>
          <w:highlight w:val="none"/>
          <w:vertAlign w:val="subscript"/>
          <w:lang w:eastAsia="zh-Hans"/>
        </w:rPr>
        <w:t>t</w:t>
      </w:r>
      <w:r>
        <w:rPr>
          <w:rFonts w:hint="default" w:asciiTheme="minorAscii" w:hAnsiTheme="minorAscii"/>
          <w:color w:val="auto"/>
          <w:highlight w:val="none"/>
        </w:rPr>
        <w:t xml:space="preserve"> is the total export added value of world service trade in year t. The revealed comparative advantage index is a very large evaluation index. The greater the </w:t>
      </w:r>
      <w:r>
        <w:rPr>
          <w:rFonts w:hint="default" w:asciiTheme="minorAscii" w:hAnsiTheme="minorAscii"/>
          <w:color w:val="auto"/>
          <w:highlight w:val="none"/>
          <w:lang w:eastAsia="zh-Hans"/>
        </w:rPr>
        <w:t>RCA</w:t>
      </w:r>
      <w:r>
        <w:rPr>
          <w:rFonts w:hint="default" w:asciiTheme="minorAscii" w:hAnsiTheme="minorAscii"/>
          <w:color w:val="auto"/>
          <w:highlight w:val="none"/>
          <w:vertAlign w:val="subscript"/>
          <w:lang w:eastAsia="zh-Hans"/>
        </w:rPr>
        <w:t>tik</w:t>
      </w:r>
      <w:r>
        <w:rPr>
          <w:rFonts w:hint="default" w:asciiTheme="minorAscii" w:hAnsiTheme="minorAscii"/>
          <w:color w:val="auto"/>
          <w:highlight w:val="none"/>
        </w:rPr>
        <w:t xml:space="preserve"> value, the greater the competitive advantage of industry k in country i in the international market in year t. Specifically, RCA</w:t>
      </w:r>
      <w:r>
        <w:rPr>
          <w:rFonts w:hint="default" w:asciiTheme="minorAscii" w:hAnsiTheme="minorAscii"/>
          <w:color w:val="auto"/>
          <w:highlight w:val="none"/>
          <w:vertAlign w:val="subscript"/>
          <w:lang w:eastAsia="zh-Hans"/>
        </w:rPr>
        <w:t>tik</w:t>
      </w:r>
      <w:r>
        <w:rPr>
          <w:rFonts w:hint="default" w:asciiTheme="minorAscii" w:hAnsiTheme="minorAscii"/>
          <w:color w:val="auto"/>
          <w:highlight w:val="none"/>
        </w:rPr>
        <w:t>&gt;2.5 indicates extremely strong international competitiveness. If 2.5≥RCA</w:t>
      </w:r>
      <w:r>
        <w:rPr>
          <w:rFonts w:hint="default" w:asciiTheme="minorAscii" w:hAnsiTheme="minorAscii"/>
          <w:color w:val="auto"/>
          <w:highlight w:val="none"/>
          <w:vertAlign w:val="subscript"/>
          <w:lang w:eastAsia="zh-Hans"/>
        </w:rPr>
        <w:t>tik</w:t>
      </w:r>
      <w:r>
        <w:rPr>
          <w:rFonts w:hint="default" w:asciiTheme="minorAscii" w:hAnsiTheme="minorAscii"/>
          <w:color w:val="auto"/>
          <w:highlight w:val="none"/>
        </w:rPr>
        <w:t>≥1.25, it indicates strong competitiveness. If 1.25≥RCA</w:t>
      </w:r>
      <w:r>
        <w:rPr>
          <w:rFonts w:hint="default" w:asciiTheme="minorAscii" w:hAnsiTheme="minorAscii"/>
          <w:color w:val="auto"/>
          <w:highlight w:val="none"/>
          <w:vertAlign w:val="subscript"/>
          <w:lang w:eastAsia="zh-Hans"/>
        </w:rPr>
        <w:t>tik</w:t>
      </w:r>
      <w:r>
        <w:rPr>
          <w:rFonts w:hint="default" w:asciiTheme="minorAscii" w:hAnsiTheme="minorAscii"/>
          <w:color w:val="auto"/>
          <w:highlight w:val="none"/>
        </w:rPr>
        <w:t>≥0.8, it indicates medium competitiveness. If RCA</w:t>
      </w:r>
      <w:r>
        <w:rPr>
          <w:rFonts w:hint="default" w:asciiTheme="minorAscii" w:hAnsiTheme="minorAscii"/>
          <w:color w:val="auto"/>
          <w:highlight w:val="none"/>
          <w:vertAlign w:val="subscript"/>
          <w:lang w:eastAsia="zh-Hans"/>
        </w:rPr>
        <w:t>tik</w:t>
      </w:r>
      <w:r>
        <w:rPr>
          <w:rFonts w:hint="default" w:asciiTheme="minorAscii" w:hAnsiTheme="minorAscii"/>
          <w:color w:val="auto"/>
          <w:highlight w:val="none"/>
        </w:rPr>
        <w:t>&lt;0.8, it indicates weak international competitiveness.</w:t>
      </w:r>
    </w:p>
    <w:p w14:paraId="7317844C">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 xml:space="preserve">②The market share (IMS index) serves as the replacement index for the core explanatory variable in this </w:t>
      </w:r>
      <w:r>
        <w:rPr>
          <w:rFonts w:hint="default" w:asciiTheme="minorAscii" w:hAnsiTheme="minorAscii"/>
          <w:color w:val="auto"/>
          <w:highlight w:val="none"/>
          <w:lang w:val="en-US"/>
        </w:rPr>
        <w:t>paper</w:t>
      </w:r>
      <w:r>
        <w:rPr>
          <w:rFonts w:hint="default" w:asciiTheme="minorAscii" w:hAnsiTheme="minorAscii"/>
          <w:color w:val="auto"/>
          <w:highlight w:val="none"/>
        </w:rPr>
        <w:t>. In a free and open international market, a country's competitiveness in a certain industry in the international market is represented by a higher market share. The calculation formula is as follows:</w:t>
      </w:r>
    </w:p>
    <w:p w14:paraId="7F66DA11">
      <w:pPr>
        <w:jc w:val="center"/>
        <w:rPr>
          <w:rFonts w:hint="default" w:asciiTheme="minorAscii" w:hAnsiTheme="minorAscii"/>
          <w:color w:val="auto"/>
          <w:sz w:val="24"/>
          <w:szCs w:val="32"/>
          <w:highlight w:val="none"/>
        </w:rPr>
      </w:pPr>
      <m:oMath>
        <m:sSub>
          <m:sSubPr>
            <m:ctrlPr>
              <w:rPr>
                <w:rFonts w:hint="default" w:ascii="DejaVu Math TeX Gyre" w:hAnsi="DejaVu Math TeX Gyre"/>
                <w:i/>
                <w:color w:val="auto"/>
                <w:sz w:val="24"/>
                <w:szCs w:val="32"/>
                <w:highlight w:val="none"/>
              </w:rPr>
            </m:ctrlPr>
          </m:sSubPr>
          <m:e>
            <m:r>
              <m:rPr/>
              <w:rPr>
                <w:rFonts w:hint="default" w:ascii="DejaVu Math TeX Gyre" w:hAnsi="DejaVu Math TeX Gyre"/>
                <w:color w:val="auto"/>
                <w:sz w:val="24"/>
                <w:szCs w:val="32"/>
                <w:highlight w:val="none"/>
                <w:lang w:eastAsia="zh-Hans"/>
              </w:rPr>
              <m:t>IMS</m:t>
            </m:r>
            <m:ctrlPr>
              <w:rPr>
                <w:rFonts w:hint="default" w:ascii="DejaVu Math TeX Gyre" w:hAnsi="DejaVu Math TeX Gyre"/>
                <w:i/>
                <w:color w:val="auto"/>
                <w:sz w:val="24"/>
                <w:szCs w:val="32"/>
                <w:highlight w:val="none"/>
              </w:rPr>
            </m:ctrlPr>
          </m:e>
          <m:sub>
            <m:r>
              <m:rPr/>
              <w:rPr>
                <w:rFonts w:hint="default" w:ascii="DejaVu Math TeX Gyre" w:hAnsi="DejaVu Math TeX Gyre"/>
                <w:color w:val="auto"/>
                <w:sz w:val="24"/>
                <w:szCs w:val="32"/>
                <w:highlight w:val="none"/>
                <w:lang w:eastAsia="zh-Hans"/>
              </w:rPr>
              <m:t>tik</m:t>
            </m:r>
            <m:ctrlPr>
              <w:rPr>
                <w:rFonts w:hint="default" w:ascii="DejaVu Math TeX Gyre" w:hAnsi="DejaVu Math TeX Gyre"/>
                <w:i/>
                <w:color w:val="auto"/>
                <w:sz w:val="24"/>
                <w:szCs w:val="32"/>
                <w:highlight w:val="none"/>
              </w:rPr>
            </m:ctrlPr>
          </m:sub>
        </m:sSub>
        <m:r>
          <m:rPr/>
          <w:rPr>
            <w:rFonts w:hint="default" w:ascii="DejaVu Math TeX Gyre" w:hAnsi="DejaVu Math TeX Gyre"/>
            <w:color w:val="auto"/>
            <w:sz w:val="24"/>
            <w:szCs w:val="32"/>
            <w:highlight w:val="none"/>
          </w:rPr>
          <m:t>=</m:t>
        </m:r>
        <m:f>
          <m:fPr>
            <m:ctrlPr>
              <w:rPr>
                <w:rFonts w:hint="default" w:ascii="DejaVu Math TeX Gyre" w:hAnsi="DejaVu Math TeX Gyre"/>
                <w:i/>
                <w:color w:val="auto"/>
                <w:sz w:val="24"/>
                <w:szCs w:val="32"/>
                <w:highlight w:val="none"/>
              </w:rPr>
            </m:ctrlPr>
          </m:fPr>
          <m:num>
            <m:sSub>
              <m:sSubPr>
                <m:ctrlPr>
                  <w:rPr>
                    <w:rFonts w:hint="default" w:ascii="DejaVu Math TeX Gyre" w:hAnsi="DejaVu Math TeX Gyre"/>
                    <w:i/>
                    <w:color w:val="auto"/>
                    <w:sz w:val="24"/>
                    <w:szCs w:val="32"/>
                    <w:highlight w:val="none"/>
                  </w:rPr>
                </m:ctrlPr>
              </m:sSubPr>
              <m:e>
                <m:r>
                  <m:rPr/>
                  <w:rPr>
                    <w:rFonts w:hint="default" w:ascii="DejaVu Math TeX Gyre" w:hAnsi="DejaVu Math TeX Gyre"/>
                    <w:color w:val="auto"/>
                    <w:sz w:val="24"/>
                    <w:szCs w:val="32"/>
                    <w:highlight w:val="none"/>
                  </w:rPr>
                  <m:t>exp</m:t>
                </m:r>
                <m:ctrlPr>
                  <w:rPr>
                    <w:rFonts w:hint="default" w:ascii="DejaVu Math TeX Gyre" w:hAnsi="DejaVu Math TeX Gyre"/>
                    <w:i/>
                    <w:color w:val="auto"/>
                    <w:sz w:val="24"/>
                    <w:szCs w:val="32"/>
                    <w:highlight w:val="none"/>
                  </w:rPr>
                </m:ctrlPr>
              </m:e>
              <m:sub>
                <m:r>
                  <m:rPr/>
                  <w:rPr>
                    <w:rFonts w:hint="default" w:ascii="DejaVu Math TeX Gyre" w:hAnsi="DejaVu Math TeX Gyre"/>
                    <w:color w:val="auto"/>
                    <w:sz w:val="24"/>
                    <w:szCs w:val="32"/>
                    <w:highlight w:val="none"/>
                  </w:rPr>
                  <m:t>tik</m:t>
                </m:r>
                <m:ctrlPr>
                  <w:rPr>
                    <w:rFonts w:hint="default" w:ascii="DejaVu Math TeX Gyre" w:hAnsi="DejaVu Math TeX Gyre"/>
                    <w:i/>
                    <w:color w:val="auto"/>
                    <w:sz w:val="24"/>
                    <w:szCs w:val="32"/>
                    <w:highlight w:val="none"/>
                  </w:rPr>
                </m:ctrlPr>
              </m:sub>
            </m:sSub>
            <m:ctrlPr>
              <w:rPr>
                <w:rFonts w:hint="default" w:ascii="DejaVu Math TeX Gyre" w:hAnsi="DejaVu Math TeX Gyre"/>
                <w:i/>
                <w:color w:val="auto"/>
                <w:sz w:val="24"/>
                <w:szCs w:val="32"/>
                <w:highlight w:val="none"/>
              </w:rPr>
            </m:ctrlPr>
          </m:num>
          <m:den>
            <m:sSub>
              <m:sSubPr>
                <m:ctrlPr>
                  <w:rPr>
                    <w:rFonts w:hint="default" w:ascii="DejaVu Math TeX Gyre" w:hAnsi="DejaVu Math TeX Gyre"/>
                    <w:i/>
                    <w:color w:val="auto"/>
                    <w:sz w:val="24"/>
                    <w:szCs w:val="32"/>
                    <w:highlight w:val="none"/>
                  </w:rPr>
                </m:ctrlPr>
              </m:sSubPr>
              <m:e>
                <m:r>
                  <m:rPr/>
                  <w:rPr>
                    <w:rFonts w:hint="default" w:ascii="DejaVu Math TeX Gyre" w:hAnsi="DejaVu Math TeX Gyre"/>
                    <w:color w:val="auto"/>
                    <w:sz w:val="24"/>
                    <w:szCs w:val="32"/>
                    <w:highlight w:val="none"/>
                  </w:rPr>
                  <m:t>exp</m:t>
                </m:r>
                <m:ctrlPr>
                  <w:rPr>
                    <w:rFonts w:hint="default" w:ascii="DejaVu Math TeX Gyre" w:hAnsi="DejaVu Math TeX Gyre"/>
                    <w:i/>
                    <w:color w:val="auto"/>
                    <w:sz w:val="24"/>
                    <w:szCs w:val="32"/>
                    <w:highlight w:val="none"/>
                  </w:rPr>
                </m:ctrlPr>
              </m:e>
              <m:sub>
                <m:r>
                  <m:rPr/>
                  <w:rPr>
                    <w:rFonts w:hint="default" w:ascii="DejaVu Math TeX Gyre" w:hAnsi="DejaVu Math TeX Gyre"/>
                    <w:color w:val="auto"/>
                    <w:sz w:val="24"/>
                    <w:szCs w:val="32"/>
                    <w:highlight w:val="none"/>
                  </w:rPr>
                  <m:t>tk</m:t>
                </m:r>
                <m:ctrlPr>
                  <w:rPr>
                    <w:rFonts w:hint="default" w:ascii="DejaVu Math TeX Gyre" w:hAnsi="DejaVu Math TeX Gyre"/>
                    <w:i/>
                    <w:color w:val="auto"/>
                    <w:sz w:val="24"/>
                    <w:szCs w:val="32"/>
                    <w:highlight w:val="none"/>
                  </w:rPr>
                </m:ctrlPr>
              </m:sub>
            </m:sSub>
            <m:ctrlPr>
              <w:rPr>
                <w:rFonts w:hint="default" w:ascii="DejaVu Math TeX Gyre" w:hAnsi="DejaVu Math TeX Gyre"/>
                <w:i/>
                <w:color w:val="auto"/>
                <w:sz w:val="24"/>
                <w:szCs w:val="32"/>
                <w:highlight w:val="none"/>
              </w:rPr>
            </m:ctrlPr>
          </m:den>
        </m:f>
      </m:oMath>
      <w:r>
        <w:rPr>
          <w:rFonts w:hint="default" w:asciiTheme="minorAscii" w:hAnsiTheme="minorAscii"/>
          <w:color w:val="auto"/>
          <w:sz w:val="24"/>
          <w:szCs w:val="32"/>
          <w:highlight w:val="none"/>
        </w:rPr>
        <w:t xml:space="preserve">             （3）</w:t>
      </w:r>
    </w:p>
    <w:p w14:paraId="07DDFBCA">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 xml:space="preserve">Among them, </w:t>
      </w:r>
      <w:r>
        <w:rPr>
          <w:rFonts w:hint="default" w:asciiTheme="minorAscii" w:hAnsiTheme="minorAscii"/>
          <w:color w:val="auto"/>
          <w:highlight w:val="none"/>
          <w:lang w:eastAsia="zh-Hans"/>
        </w:rPr>
        <w:t>exp</w:t>
      </w:r>
      <w:r>
        <w:rPr>
          <w:rFonts w:hint="default" w:asciiTheme="minorAscii" w:hAnsiTheme="minorAscii"/>
          <w:color w:val="auto"/>
          <w:highlight w:val="none"/>
          <w:vertAlign w:val="subscript"/>
          <w:lang w:eastAsia="zh-Hans"/>
        </w:rPr>
        <w:t>tik</w:t>
      </w:r>
      <w:r>
        <w:rPr>
          <w:rFonts w:hint="default" w:asciiTheme="minorAscii" w:hAnsiTheme="minorAscii"/>
          <w:color w:val="auto"/>
          <w:highlight w:val="none"/>
        </w:rPr>
        <w:t xml:space="preserve"> is the export volume of industry k in country i in year t, and </w:t>
      </w:r>
      <w:r>
        <w:rPr>
          <w:rFonts w:hint="default" w:asciiTheme="minorAscii" w:hAnsiTheme="minorAscii"/>
          <w:color w:val="auto"/>
          <w:highlight w:val="none"/>
          <w:lang w:eastAsia="zh-Hans"/>
        </w:rPr>
        <w:t>exp</w:t>
      </w:r>
      <w:r>
        <w:rPr>
          <w:rFonts w:hint="default" w:asciiTheme="minorAscii" w:hAnsiTheme="minorAscii"/>
          <w:color w:val="auto"/>
          <w:highlight w:val="none"/>
          <w:vertAlign w:val="subscript"/>
          <w:lang w:eastAsia="zh-Hans"/>
        </w:rPr>
        <w:t>tk</w:t>
      </w:r>
      <w:r>
        <w:rPr>
          <w:rFonts w:hint="default" w:asciiTheme="minorAscii" w:hAnsiTheme="minorAscii"/>
          <w:color w:val="auto"/>
          <w:highlight w:val="none"/>
        </w:rPr>
        <w:t xml:space="preserve"> is the total export volume of industry k in the world in year t. The larger the </w:t>
      </w:r>
      <w:r>
        <w:rPr>
          <w:rFonts w:hint="default" w:asciiTheme="minorAscii" w:hAnsiTheme="minorAscii"/>
          <w:color w:val="auto"/>
          <w:highlight w:val="none"/>
          <w:lang w:eastAsia="zh-Hans"/>
        </w:rPr>
        <w:t>IMS</w:t>
      </w:r>
      <w:r>
        <w:rPr>
          <w:rFonts w:hint="default" w:asciiTheme="minorAscii" w:hAnsiTheme="minorAscii"/>
          <w:color w:val="auto"/>
          <w:highlight w:val="none"/>
          <w:vertAlign w:val="subscript"/>
          <w:lang w:eastAsia="zh-Hans"/>
        </w:rPr>
        <w:t>tik</w:t>
      </w:r>
      <w:r>
        <w:rPr>
          <w:rFonts w:hint="default" w:asciiTheme="minorAscii" w:hAnsiTheme="minorAscii"/>
          <w:color w:val="auto"/>
          <w:highlight w:val="none"/>
        </w:rPr>
        <w:t xml:space="preserve"> is, the higher the share of industry k in country i in the world market, indicating that industry k has a more competitive advantage. On the contrary, the smaller the</w:t>
      </w:r>
      <w:r>
        <w:rPr>
          <w:rFonts w:hint="default" w:asciiTheme="minorAscii" w:hAnsiTheme="minorAscii"/>
          <w:color w:val="auto"/>
          <w:highlight w:val="none"/>
          <w:lang w:val="en-US" w:eastAsia="zh-CN"/>
        </w:rPr>
        <w:t xml:space="preserve"> </w:t>
      </w:r>
      <w:r>
        <w:rPr>
          <w:rFonts w:hint="default" w:asciiTheme="minorAscii" w:hAnsiTheme="minorAscii"/>
          <w:color w:val="auto"/>
          <w:highlight w:val="none"/>
          <w:lang w:eastAsia="zh-Hans"/>
        </w:rPr>
        <w:t>IMS</w:t>
      </w:r>
      <w:r>
        <w:rPr>
          <w:rFonts w:hint="default" w:asciiTheme="minorAscii" w:hAnsiTheme="minorAscii"/>
          <w:color w:val="auto"/>
          <w:highlight w:val="none"/>
          <w:vertAlign w:val="subscript"/>
          <w:lang w:eastAsia="zh-Hans"/>
        </w:rPr>
        <w:t>tik</w:t>
      </w:r>
      <w:r>
        <w:rPr>
          <w:rFonts w:hint="default" w:asciiTheme="minorAscii" w:hAnsiTheme="minorAscii"/>
          <w:color w:val="auto"/>
          <w:highlight w:val="none"/>
        </w:rPr>
        <w:t xml:space="preserve"> is, the weaker the international market share and competitiveness of the industry is.</w:t>
      </w:r>
      <w:r>
        <w:rPr>
          <w:rFonts w:hint="default" w:asciiTheme="minorAscii" w:hAnsiTheme="minorAscii"/>
          <w:color w:val="auto"/>
          <w:highlight w:val="none"/>
          <w:lang w:val="en-US" w:eastAsia="zh-CN"/>
        </w:rPr>
        <w:t xml:space="preserve"> </w:t>
      </w:r>
      <w:r>
        <w:rPr>
          <w:rFonts w:hint="default" w:asciiTheme="minorAscii" w:hAnsiTheme="minorAscii"/>
          <w:color w:val="auto"/>
          <w:highlight w:val="none"/>
        </w:rPr>
        <w:t xml:space="preserve">When </w:t>
      </w:r>
      <w:r>
        <w:rPr>
          <w:rFonts w:hint="default" w:asciiTheme="minorAscii" w:hAnsiTheme="minorAscii"/>
          <w:color w:val="auto"/>
          <w:highlight w:val="none"/>
          <w:lang w:eastAsia="zh-Hans"/>
        </w:rPr>
        <w:t>IMS</w:t>
      </w:r>
      <w:r>
        <w:rPr>
          <w:rFonts w:hint="default" w:asciiTheme="minorAscii" w:hAnsiTheme="minorAscii"/>
          <w:color w:val="auto"/>
          <w:highlight w:val="none"/>
          <w:vertAlign w:val="subscript"/>
          <w:lang w:eastAsia="zh-Hans"/>
        </w:rPr>
        <w:t>tik</w:t>
      </w:r>
      <w:r>
        <w:rPr>
          <w:rFonts w:hint="default" w:asciiTheme="minorAscii" w:hAnsiTheme="minorAscii"/>
          <w:color w:val="auto"/>
          <w:highlight w:val="none"/>
        </w:rPr>
        <w:t>=0, the export of industry k in country i is 0, indicating that industry k does not have a competitive advantage.</w:t>
      </w:r>
    </w:p>
    <w:p w14:paraId="295E621F">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b/>
          <w:bCs/>
          <w:color w:val="auto"/>
          <w:highlight w:val="none"/>
        </w:rPr>
      </w:pPr>
      <w:r>
        <w:rPr>
          <w:rFonts w:hint="default" w:asciiTheme="minorAscii" w:hAnsiTheme="minorAscii"/>
          <w:b/>
          <w:bCs/>
          <w:color w:val="auto"/>
          <w:highlight w:val="none"/>
        </w:rPr>
        <w:t>(3) Control variables</w:t>
      </w:r>
    </w:p>
    <w:p w14:paraId="2788ADC8">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①Enterprise economic efficiency (E): This indicator is expressed by the growth rate of operating income.</w:t>
      </w:r>
    </w:p>
    <w:p w14:paraId="4C372369">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②Enterprise profitability (B): This indicator is expressed in terms of operating profit margin.</w:t>
      </w:r>
    </w:p>
    <w:p w14:paraId="2341E034">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③Enterprise development capability (G): This indicator is expressed in terms of sustainable growth rate.</w:t>
      </w:r>
    </w:p>
    <w:p w14:paraId="3536E004">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④Enterprise risk level (AL): This indicator is the asset-liability ratio, expressed as the ratio of total assets to total liabilities.</w:t>
      </w:r>
    </w:p>
    <w:p w14:paraId="611269B4">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⑤Enterprise innovation investment (II): This indicator is expressed by the proportion of enterprise R&amp;D investment in total sales.</w:t>
      </w:r>
    </w:p>
    <w:p w14:paraId="66BDBE5E">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b/>
          <w:bCs/>
          <w:color w:val="auto"/>
          <w:highlight w:val="none"/>
        </w:rPr>
      </w:pPr>
      <w:r>
        <w:rPr>
          <w:rFonts w:hint="default" w:asciiTheme="minorAscii" w:hAnsiTheme="minorAscii"/>
          <w:b/>
          <w:bCs/>
          <w:color w:val="auto"/>
          <w:highlight w:val="none"/>
        </w:rPr>
        <w:t>(</w:t>
      </w:r>
      <w:r>
        <w:rPr>
          <w:rFonts w:hint="default" w:asciiTheme="minorAscii" w:hAnsiTheme="minorAscii"/>
          <w:b/>
          <w:bCs/>
          <w:color w:val="auto"/>
          <w:highlight w:val="none"/>
          <w:lang w:val="en-US"/>
        </w:rPr>
        <w:t>4</w:t>
      </w:r>
      <w:r>
        <w:rPr>
          <w:rFonts w:hint="default" w:asciiTheme="minorAscii" w:hAnsiTheme="minorAscii"/>
          <w:b/>
          <w:bCs/>
          <w:color w:val="auto"/>
          <w:highlight w:val="none"/>
        </w:rPr>
        <w:t>) Adjusting variables</w:t>
      </w:r>
    </w:p>
    <w:p w14:paraId="368A3E7B">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①</w:t>
      </w:r>
      <w:r>
        <w:rPr>
          <w:rFonts w:hint="default" w:asciiTheme="minorAscii" w:hAnsiTheme="minorAscii"/>
          <w:color w:val="auto"/>
          <w:highlight w:val="none"/>
          <w:lang w:val="en-US" w:eastAsia="zh-CN"/>
        </w:rPr>
        <w:t>T</w:t>
      </w:r>
      <w:r>
        <w:rPr>
          <w:rFonts w:hint="default" w:asciiTheme="minorAscii" w:hAnsiTheme="minorAscii"/>
          <w:color w:val="auto"/>
          <w:highlight w:val="none"/>
          <w:lang w:eastAsia="zh-Hans"/>
        </w:rPr>
        <w:t>he proportion of industry employment</w:t>
      </w:r>
      <w:r>
        <w:rPr>
          <w:rFonts w:hint="default" w:asciiTheme="minorAscii" w:hAnsiTheme="minorAscii"/>
          <w:color w:val="auto"/>
          <w:highlight w:val="none"/>
        </w:rPr>
        <w:t>(SIE):</w:t>
      </w:r>
      <w:r>
        <w:rPr>
          <w:rFonts w:hint="default" w:asciiTheme="minorAscii" w:hAnsiTheme="minorAscii"/>
          <w:color w:val="auto"/>
          <w:highlight w:val="none"/>
          <w:lang w:val="en-US"/>
        </w:rPr>
        <w:t xml:space="preserve"> </w:t>
      </w:r>
      <w:r>
        <w:rPr>
          <w:rFonts w:hint="default" w:asciiTheme="minorAscii" w:hAnsiTheme="minorAscii"/>
          <w:color w:val="auto"/>
          <w:highlight w:val="none"/>
        </w:rPr>
        <w:t>that is,</w:t>
      </w:r>
      <w:r>
        <w:rPr>
          <w:rFonts w:hint="default" w:asciiTheme="minorAscii" w:hAnsiTheme="minorAscii"/>
          <w:color w:val="auto"/>
          <w:highlight w:val="none"/>
          <w:lang w:val="en-US"/>
        </w:rPr>
        <w:t xml:space="preserve"> the p</w:t>
      </w:r>
      <w:r>
        <w:rPr>
          <w:rFonts w:hint="default" w:asciiTheme="minorAscii" w:hAnsiTheme="minorAscii"/>
          <w:color w:val="auto"/>
          <w:highlight w:val="none"/>
        </w:rPr>
        <w:t>roportion of industrial employmen</w:t>
      </w:r>
      <w:r>
        <w:rPr>
          <w:rFonts w:hint="default" w:asciiTheme="minorAscii" w:hAnsiTheme="minorAscii"/>
          <w:color w:val="auto"/>
          <w:highlight w:val="none"/>
          <w:lang w:val="en-US"/>
        </w:rPr>
        <w:t>t.</w:t>
      </w:r>
      <w:r>
        <w:rPr>
          <w:rFonts w:hint="default" w:asciiTheme="minorAscii" w:hAnsiTheme="minorAscii"/>
          <w:color w:val="auto"/>
          <w:highlight w:val="none"/>
        </w:rPr>
        <w:t xml:space="preserve"> This indicator refers to the percentage of industrial employment in total employment.</w:t>
      </w:r>
    </w:p>
    <w:p w14:paraId="3E181D3D">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②</w:t>
      </w:r>
      <w:r>
        <w:rPr>
          <w:rFonts w:hint="default" w:asciiTheme="minorAscii" w:hAnsiTheme="minorAscii"/>
          <w:color w:val="auto"/>
          <w:highlight w:val="none"/>
          <w:lang w:val="en-US" w:eastAsia="zh-CN"/>
        </w:rPr>
        <w:t>The d</w:t>
      </w:r>
      <w:r>
        <w:rPr>
          <w:rFonts w:hint="default" w:asciiTheme="minorAscii" w:hAnsiTheme="minorAscii"/>
          <w:color w:val="auto"/>
          <w:highlight w:val="none"/>
        </w:rPr>
        <w:t>egree of industrial structure transformation(GR):</w:t>
      </w:r>
      <w:r>
        <w:rPr>
          <w:rFonts w:hint="default" w:asciiTheme="minorAscii" w:hAnsiTheme="minorAscii"/>
          <w:color w:val="auto"/>
          <w:highlight w:val="none"/>
          <w:lang w:val="en-US"/>
        </w:rPr>
        <w:t xml:space="preserve"> </w:t>
      </w:r>
      <w:r>
        <w:rPr>
          <w:rFonts w:hint="default" w:asciiTheme="minorAscii" w:hAnsiTheme="minorAscii"/>
          <w:color w:val="auto"/>
          <w:highlight w:val="none"/>
        </w:rPr>
        <w:t>that is,</w:t>
      </w:r>
      <w:r>
        <w:rPr>
          <w:rFonts w:hint="default" w:asciiTheme="minorAscii" w:hAnsiTheme="minorAscii"/>
          <w:color w:val="auto"/>
          <w:highlight w:val="none"/>
          <w:lang w:val="en-US"/>
        </w:rPr>
        <w:t xml:space="preserve"> the g</w:t>
      </w:r>
      <w:r>
        <w:rPr>
          <w:rFonts w:hint="default" w:asciiTheme="minorAscii" w:hAnsiTheme="minorAscii"/>
          <w:color w:val="auto"/>
          <w:highlight w:val="none"/>
        </w:rPr>
        <w:t>rowth rate of added value of the service industry</w:t>
      </w:r>
      <w:r>
        <w:rPr>
          <w:rFonts w:hint="default" w:asciiTheme="minorAscii" w:hAnsiTheme="minorAscii"/>
          <w:color w:val="auto"/>
          <w:highlight w:val="none"/>
          <w:lang w:val="en-US"/>
        </w:rPr>
        <w:t xml:space="preserve">. </w:t>
      </w:r>
      <w:r>
        <w:rPr>
          <w:rFonts w:hint="default" w:asciiTheme="minorAscii" w:hAnsiTheme="minorAscii"/>
          <w:color w:val="auto"/>
          <w:highlight w:val="none"/>
        </w:rPr>
        <w:t>This indicator refers to the annual growth rate of the added value of the service industry.</w:t>
      </w:r>
    </w:p>
    <w:p w14:paraId="1089B737">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③</w:t>
      </w:r>
      <w:r>
        <w:rPr>
          <w:rFonts w:hint="default" w:asciiTheme="minorAscii" w:hAnsiTheme="minorAscii"/>
          <w:color w:val="auto"/>
          <w:highlight w:val="none"/>
          <w:lang w:val="en-US" w:eastAsia="zh-Hans"/>
        </w:rPr>
        <w:t>T</w:t>
      </w:r>
      <w:r>
        <w:rPr>
          <w:rFonts w:hint="default" w:asciiTheme="minorAscii" w:hAnsiTheme="minorAscii"/>
          <w:color w:val="auto"/>
          <w:highlight w:val="none"/>
          <w:lang w:eastAsia="zh-Hans"/>
        </w:rPr>
        <w:t>he level of inflation</w:t>
      </w:r>
      <w:r>
        <w:rPr>
          <w:rFonts w:hint="default" w:asciiTheme="minorAscii" w:hAnsiTheme="minorAscii"/>
          <w:color w:val="auto"/>
          <w:highlight w:val="none"/>
        </w:rPr>
        <w:t>(CPI):</w:t>
      </w:r>
      <w:r>
        <w:rPr>
          <w:rFonts w:hint="default" w:asciiTheme="minorAscii" w:hAnsiTheme="minorAscii"/>
          <w:color w:val="auto"/>
          <w:highlight w:val="none"/>
          <w:lang w:val="en-US"/>
        </w:rPr>
        <w:t xml:space="preserve"> </w:t>
      </w:r>
      <w:r>
        <w:rPr>
          <w:rFonts w:hint="default" w:asciiTheme="minorAscii" w:hAnsiTheme="minorAscii"/>
          <w:color w:val="auto"/>
          <w:highlight w:val="none"/>
        </w:rPr>
        <w:t>that is,</w:t>
      </w:r>
      <w:r>
        <w:rPr>
          <w:rFonts w:hint="default" w:asciiTheme="minorAscii" w:hAnsiTheme="minorAscii"/>
          <w:color w:val="auto"/>
          <w:highlight w:val="none"/>
          <w:lang w:val="en-US"/>
        </w:rPr>
        <w:t xml:space="preserve"> the c</w:t>
      </w:r>
      <w:r>
        <w:rPr>
          <w:rFonts w:hint="default" w:asciiTheme="minorAscii" w:hAnsiTheme="minorAscii"/>
          <w:color w:val="auto"/>
          <w:highlight w:val="none"/>
        </w:rPr>
        <w:t>onsumer Price Index</w:t>
      </w:r>
      <w:r>
        <w:rPr>
          <w:rFonts w:hint="default" w:asciiTheme="minorAscii" w:hAnsiTheme="minorAscii"/>
          <w:color w:val="auto"/>
          <w:highlight w:val="none"/>
          <w:lang w:val="en-US"/>
        </w:rPr>
        <w:t xml:space="preserve">. </w:t>
      </w:r>
      <w:r>
        <w:rPr>
          <w:rFonts w:hint="default" w:asciiTheme="minorAscii" w:hAnsiTheme="minorAscii"/>
          <w:color w:val="auto"/>
          <w:highlight w:val="none"/>
        </w:rPr>
        <w:t>This indicator refers to the relative trend and extent of price changes in consumer goods and services purchased by urban and rural residents within a certain period.</w:t>
      </w:r>
    </w:p>
    <w:p w14:paraId="71A043E9">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textAlignment w:val="auto"/>
        <w:rPr>
          <w:rFonts w:hint="default" w:asciiTheme="minorAscii" w:hAnsiTheme="minorAscii"/>
          <w:b/>
          <w:bCs/>
          <w:color w:val="auto"/>
          <w:highlight w:val="none"/>
          <w:lang w:val="en-US" w:eastAsia="zh-Hans"/>
        </w:rPr>
      </w:pPr>
      <w:r>
        <w:rPr>
          <w:rFonts w:hint="default" w:asciiTheme="minorAscii" w:hAnsiTheme="minorAscii"/>
          <w:b/>
          <w:bCs/>
          <w:color w:val="auto"/>
          <w:highlight w:val="none"/>
          <w:lang w:val="en-US" w:eastAsia="zh-Hans"/>
        </w:rPr>
        <w:t>5.3 Data sources</w:t>
      </w:r>
    </w:p>
    <w:p w14:paraId="51609992">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(1)</w:t>
      </w:r>
      <w:r>
        <w:rPr>
          <w:rFonts w:hint="default" w:asciiTheme="minorAscii" w:hAnsiTheme="minorAscii"/>
          <w:color w:val="auto"/>
          <w:highlight w:val="none"/>
          <w:lang w:val="en-US"/>
        </w:rPr>
        <w:t xml:space="preserve"> </w:t>
      </w:r>
      <w:r>
        <w:rPr>
          <w:rFonts w:hint="default" w:asciiTheme="minorAscii" w:hAnsiTheme="minorAscii"/>
          <w:color w:val="auto"/>
          <w:highlight w:val="none"/>
        </w:rPr>
        <w:t xml:space="preserve">The data utilized in this </w:t>
      </w:r>
      <w:r>
        <w:rPr>
          <w:rFonts w:hint="default" w:asciiTheme="minorAscii" w:hAnsiTheme="minorAscii"/>
          <w:color w:val="auto"/>
          <w:highlight w:val="none"/>
          <w:lang w:val="en-US"/>
        </w:rPr>
        <w:t>paper</w:t>
      </w:r>
      <w:r>
        <w:rPr>
          <w:rFonts w:hint="default" w:asciiTheme="minorAscii" w:hAnsiTheme="minorAscii"/>
          <w:color w:val="auto"/>
          <w:highlight w:val="none"/>
        </w:rPr>
        <w:t xml:space="preserve"> primarily originates from three databases: ①The relevant data of listed companies come from the Guotaian CSMAR database. This </w:t>
      </w:r>
      <w:r>
        <w:rPr>
          <w:rFonts w:hint="default" w:asciiTheme="minorAscii" w:hAnsiTheme="minorAscii"/>
          <w:color w:val="auto"/>
          <w:highlight w:val="none"/>
          <w:lang w:val="en-US"/>
        </w:rPr>
        <w:t>paper</w:t>
      </w:r>
      <w:r>
        <w:rPr>
          <w:rFonts w:hint="default" w:asciiTheme="minorAscii" w:hAnsiTheme="minorAscii"/>
          <w:color w:val="auto"/>
          <w:highlight w:val="none"/>
        </w:rPr>
        <w:t xml:space="preserve"> eliminates samples of companies with missing key financial indicators or financial indicators that are inconsistent with generally accepted accounting principles. ②The import and export volume data of the producer services industry comes from the UIBE GVC database. ③Other data sources in this </w:t>
      </w:r>
      <w:r>
        <w:rPr>
          <w:rFonts w:hint="default" w:asciiTheme="minorAscii" w:hAnsiTheme="minorAscii"/>
          <w:color w:val="auto"/>
          <w:highlight w:val="none"/>
          <w:lang w:val="en-US"/>
        </w:rPr>
        <w:t>paper</w:t>
      </w:r>
      <w:r>
        <w:rPr>
          <w:rFonts w:hint="default" w:asciiTheme="minorAscii" w:hAnsiTheme="minorAscii"/>
          <w:color w:val="auto"/>
          <w:highlight w:val="none"/>
        </w:rPr>
        <w:t xml:space="preserve"> also include the World Bank Database (WBG), World Trade Organization Database (WTO), WDI Database, China Patent Database, China Customs Database, CEPII Database, and China Securities Regulatory Commission, etc.</w:t>
      </w:r>
    </w:p>
    <w:p w14:paraId="7C289664">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(2)</w:t>
      </w:r>
      <w:r>
        <w:rPr>
          <w:rFonts w:hint="default" w:asciiTheme="minorAscii" w:hAnsiTheme="minorAscii"/>
          <w:color w:val="auto"/>
          <w:highlight w:val="none"/>
          <w:lang w:val="en-US"/>
        </w:rPr>
        <w:t xml:space="preserve"> </w:t>
      </w:r>
      <w:r>
        <w:rPr>
          <w:rFonts w:hint="default" w:asciiTheme="minorAscii" w:hAnsiTheme="minorAscii"/>
          <w:color w:val="auto"/>
          <w:highlight w:val="none"/>
        </w:rPr>
        <w:t xml:space="preserve">This </w:t>
      </w:r>
      <w:r>
        <w:rPr>
          <w:rFonts w:hint="default" w:asciiTheme="minorAscii" w:hAnsiTheme="minorAscii"/>
          <w:color w:val="auto"/>
          <w:highlight w:val="none"/>
          <w:lang w:val="en-US"/>
        </w:rPr>
        <w:t>paper</w:t>
      </w:r>
      <w:r>
        <w:rPr>
          <w:rFonts w:hint="default" w:asciiTheme="minorAscii" w:hAnsiTheme="minorAscii"/>
          <w:color w:val="auto"/>
          <w:highlight w:val="none"/>
        </w:rPr>
        <w:t xml:space="preserve"> combines the classification of producer service industries in the "2019 National Economic Industry Classification No. 1 Revision" (GB/T4754-2017) and the "Producer Service Industry Classification (2019)" of the National Bureau of Statistics of China. The producer services industry referred to in this </w:t>
      </w:r>
      <w:r>
        <w:rPr>
          <w:rFonts w:hint="default" w:asciiTheme="minorAscii" w:hAnsiTheme="minorAscii"/>
          <w:color w:val="auto"/>
          <w:highlight w:val="none"/>
          <w:lang w:val="en-US"/>
        </w:rPr>
        <w:t>paper</w:t>
      </w:r>
      <w:r>
        <w:rPr>
          <w:rFonts w:hint="default" w:asciiTheme="minorAscii" w:hAnsiTheme="minorAscii"/>
          <w:color w:val="auto"/>
          <w:highlight w:val="none"/>
        </w:rPr>
        <w:t xml:space="preserve"> includes R&amp;D, design, and other technical services provided for production activities, cargo transportation, general aviation production, warehousing and postal express services, information services, financial services, energy conservation and environmental protection services, productive leasing services, business services, human resources management and vocational education and training services, wholesale and trade brokerage agency services, and productive support services, a total of 10 industries.</w:t>
      </w:r>
    </w:p>
    <w:p w14:paraId="3CA0B72F">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 xml:space="preserve">(3) The sample period of this </w:t>
      </w:r>
      <w:r>
        <w:rPr>
          <w:rFonts w:hint="default" w:asciiTheme="minorAscii" w:hAnsiTheme="minorAscii"/>
          <w:color w:val="auto"/>
          <w:highlight w:val="none"/>
          <w:lang w:val="en-US"/>
        </w:rPr>
        <w:t>paper</w:t>
      </w:r>
      <w:r>
        <w:rPr>
          <w:rFonts w:hint="default" w:asciiTheme="minorAscii" w:hAnsiTheme="minorAscii"/>
          <w:color w:val="auto"/>
          <w:highlight w:val="none"/>
        </w:rPr>
        <w:t xml:space="preserve"> is selected as 2007-2020, and except for dummy variables and some proportional variables, other variables are logarithmically processed.</w:t>
      </w:r>
    </w:p>
    <w:p w14:paraId="166650F7">
      <w:pPr>
        <w:keepNext w:val="0"/>
        <w:keepLines w:val="0"/>
        <w:pageBreakBefore w:val="0"/>
        <w:widowControl w:val="0"/>
        <w:kinsoku/>
        <w:wordWrap/>
        <w:overflowPunct/>
        <w:topLinePunct w:val="0"/>
        <w:autoSpaceDE/>
        <w:autoSpaceDN/>
        <w:bidi w:val="0"/>
        <w:adjustRightInd/>
        <w:snapToGrid/>
        <w:spacing w:before="625" w:beforeLines="200" w:after="313" w:afterLines="100"/>
        <w:jc w:val="left"/>
        <w:textAlignment w:val="auto"/>
        <w:rPr>
          <w:rFonts w:hint="default" w:asciiTheme="minorAscii" w:hAnsiTheme="minorAscii"/>
          <w:b/>
          <w:bCs/>
          <w:color w:val="auto"/>
          <w:sz w:val="22"/>
          <w:szCs w:val="28"/>
          <w:highlight w:val="none"/>
          <w:lang w:val="en-US" w:eastAsia="zh-Hans"/>
        </w:rPr>
      </w:pPr>
      <w:r>
        <w:rPr>
          <w:rFonts w:hint="default" w:asciiTheme="minorAscii" w:hAnsiTheme="minorAscii"/>
          <w:b/>
          <w:bCs/>
          <w:color w:val="auto"/>
          <w:sz w:val="22"/>
          <w:szCs w:val="28"/>
          <w:highlight w:val="none"/>
          <w:lang w:val="en-US" w:eastAsia="zh-Hans"/>
        </w:rPr>
        <w:t>6. FINDINGS</w:t>
      </w:r>
    </w:p>
    <w:p w14:paraId="352B3C9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default" w:asciiTheme="minorAscii" w:hAnsiTheme="minorAscii"/>
          <w:b/>
          <w:bCs/>
          <w:color w:val="auto"/>
          <w:highlight w:val="none"/>
          <w:lang w:val="en-US" w:eastAsia="zh-Hans"/>
        </w:rPr>
      </w:pPr>
      <w:r>
        <w:rPr>
          <w:rFonts w:hint="default" w:asciiTheme="minorAscii" w:hAnsiTheme="minorAscii"/>
          <w:b/>
          <w:bCs/>
          <w:color w:val="auto"/>
          <w:highlight w:val="none"/>
          <w:lang w:val="en-US" w:eastAsia="zh-Hans"/>
        </w:rPr>
        <w:t xml:space="preserve">6.1 Descriptive statistics </w:t>
      </w:r>
    </w:p>
    <w:p w14:paraId="0BC85AFD">
      <w:pPr>
        <w:spacing w:before="240" w:after="240" w:line="200" w:lineRule="exact"/>
        <w:jc w:val="center"/>
        <w:rPr>
          <w:rFonts w:hint="default" w:asciiTheme="minorAscii" w:hAnsiTheme="minorAscii"/>
          <w:b/>
          <w:bCs/>
          <w:color w:val="auto"/>
          <w:highlight w:val="none"/>
        </w:rPr>
      </w:pPr>
      <w:r>
        <w:rPr>
          <w:rFonts w:hint="default" w:asciiTheme="minorAscii" w:hAnsiTheme="minorAscii"/>
          <w:b/>
          <w:bCs/>
          <w:color w:val="auto"/>
          <w:highlight w:val="none"/>
        </w:rPr>
        <w:t>Table 1  Descriptive statistics of variables</w:t>
      </w:r>
    </w:p>
    <w:tbl>
      <w:tblPr>
        <w:tblStyle w:val="3"/>
        <w:tblW w:w="8380" w:type="dxa"/>
        <w:jc w:val="center"/>
        <w:tblLayout w:type="fixed"/>
        <w:tblCellMar>
          <w:top w:w="0" w:type="dxa"/>
          <w:left w:w="108" w:type="dxa"/>
          <w:bottom w:w="0" w:type="dxa"/>
          <w:right w:w="108" w:type="dxa"/>
        </w:tblCellMar>
      </w:tblPr>
      <w:tblGrid>
        <w:gridCol w:w="875"/>
        <w:gridCol w:w="1412"/>
        <w:gridCol w:w="1975"/>
        <w:gridCol w:w="663"/>
        <w:gridCol w:w="762"/>
        <w:gridCol w:w="663"/>
        <w:gridCol w:w="675"/>
        <w:gridCol w:w="700"/>
        <w:gridCol w:w="655"/>
      </w:tblGrid>
      <w:tr w14:paraId="33A8A563">
        <w:trPr>
          <w:trHeight w:val="828" w:hRule="atLeast"/>
          <w:jc w:val="center"/>
        </w:trPr>
        <w:tc>
          <w:tcPr>
            <w:tcW w:w="875" w:type="dxa"/>
            <w:tcBorders>
              <w:top w:val="single" w:color="000000" w:sz="12" w:space="0"/>
              <w:left w:val="nil"/>
              <w:bottom w:val="single" w:color="000000" w:sz="8" w:space="0"/>
              <w:right w:val="nil"/>
            </w:tcBorders>
            <w:shd w:val="clear" w:color="auto" w:fill="auto"/>
            <w:vAlign w:val="center"/>
          </w:tcPr>
          <w:p w14:paraId="2EED919D">
            <w:pPr>
              <w:widowControl/>
              <w:jc w:val="center"/>
              <w:textAlignment w:val="center"/>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variable name</w:t>
            </w:r>
          </w:p>
        </w:tc>
        <w:tc>
          <w:tcPr>
            <w:tcW w:w="1412" w:type="dxa"/>
            <w:tcBorders>
              <w:top w:val="single" w:color="000000" w:sz="12" w:space="0"/>
              <w:left w:val="nil"/>
              <w:bottom w:val="single" w:color="000000" w:sz="8" w:space="0"/>
              <w:right w:val="nil"/>
            </w:tcBorders>
            <w:shd w:val="clear" w:color="auto" w:fill="auto"/>
            <w:vAlign w:val="center"/>
          </w:tcPr>
          <w:p w14:paraId="373EF3BE">
            <w:pPr>
              <w:widowControl/>
              <w:jc w:val="center"/>
              <w:textAlignment w:val="center"/>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Variable meaning</w:t>
            </w:r>
          </w:p>
        </w:tc>
        <w:tc>
          <w:tcPr>
            <w:tcW w:w="1975" w:type="dxa"/>
            <w:tcBorders>
              <w:top w:val="single" w:color="000000" w:sz="12" w:space="0"/>
              <w:left w:val="nil"/>
              <w:bottom w:val="single" w:color="000000" w:sz="8" w:space="0"/>
              <w:right w:val="nil"/>
            </w:tcBorders>
            <w:shd w:val="clear" w:color="auto" w:fill="auto"/>
            <w:vAlign w:val="center"/>
          </w:tcPr>
          <w:p w14:paraId="59FFFB62">
            <w:pPr>
              <w:widowControl/>
              <w:jc w:val="center"/>
              <w:textAlignment w:val="center"/>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Variable calculation method</w:t>
            </w:r>
          </w:p>
        </w:tc>
        <w:tc>
          <w:tcPr>
            <w:tcW w:w="663" w:type="dxa"/>
            <w:tcBorders>
              <w:top w:val="single" w:color="000000" w:sz="12" w:space="0"/>
              <w:left w:val="nil"/>
              <w:bottom w:val="single" w:color="000000" w:sz="8" w:space="0"/>
              <w:right w:val="nil"/>
            </w:tcBorders>
            <w:shd w:val="clear" w:color="auto" w:fill="auto"/>
            <w:vAlign w:val="center"/>
          </w:tcPr>
          <w:p w14:paraId="3CE1FFA0">
            <w:pPr>
              <w:widowControl/>
              <w:jc w:val="center"/>
              <w:textAlignment w:val="center"/>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N</w:t>
            </w:r>
          </w:p>
        </w:tc>
        <w:tc>
          <w:tcPr>
            <w:tcW w:w="762" w:type="dxa"/>
            <w:tcBorders>
              <w:top w:val="single" w:color="000000" w:sz="12" w:space="0"/>
              <w:left w:val="nil"/>
              <w:bottom w:val="single" w:color="000000" w:sz="8" w:space="0"/>
              <w:right w:val="nil"/>
            </w:tcBorders>
            <w:shd w:val="clear" w:color="auto" w:fill="auto"/>
            <w:vAlign w:val="center"/>
          </w:tcPr>
          <w:p w14:paraId="0D26B65D">
            <w:pPr>
              <w:widowControl/>
              <w:jc w:val="center"/>
              <w:textAlignment w:val="center"/>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Mean</w:t>
            </w:r>
          </w:p>
        </w:tc>
        <w:tc>
          <w:tcPr>
            <w:tcW w:w="663" w:type="dxa"/>
            <w:tcBorders>
              <w:top w:val="single" w:color="000000" w:sz="12" w:space="0"/>
              <w:left w:val="nil"/>
              <w:bottom w:val="single" w:color="000000" w:sz="8" w:space="0"/>
              <w:right w:val="nil"/>
            </w:tcBorders>
            <w:shd w:val="clear" w:color="auto" w:fill="auto"/>
            <w:vAlign w:val="center"/>
          </w:tcPr>
          <w:p w14:paraId="4578C8B8">
            <w:pPr>
              <w:widowControl/>
              <w:jc w:val="center"/>
              <w:textAlignment w:val="center"/>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p50</w:t>
            </w:r>
          </w:p>
        </w:tc>
        <w:tc>
          <w:tcPr>
            <w:tcW w:w="675" w:type="dxa"/>
            <w:tcBorders>
              <w:top w:val="single" w:color="000000" w:sz="12" w:space="0"/>
              <w:left w:val="nil"/>
              <w:bottom w:val="single" w:color="000000" w:sz="8" w:space="0"/>
              <w:right w:val="nil"/>
            </w:tcBorders>
            <w:shd w:val="clear" w:color="auto" w:fill="auto"/>
            <w:vAlign w:val="center"/>
          </w:tcPr>
          <w:p w14:paraId="6D0A1977">
            <w:pPr>
              <w:widowControl/>
              <w:jc w:val="center"/>
              <w:textAlignment w:val="center"/>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SD</w:t>
            </w:r>
          </w:p>
        </w:tc>
        <w:tc>
          <w:tcPr>
            <w:tcW w:w="700" w:type="dxa"/>
            <w:tcBorders>
              <w:top w:val="single" w:color="000000" w:sz="12" w:space="0"/>
              <w:left w:val="nil"/>
              <w:bottom w:val="single" w:color="000000" w:sz="8" w:space="0"/>
              <w:right w:val="nil"/>
            </w:tcBorders>
            <w:shd w:val="clear" w:color="auto" w:fill="auto"/>
            <w:vAlign w:val="center"/>
          </w:tcPr>
          <w:p w14:paraId="2B863910">
            <w:pPr>
              <w:widowControl/>
              <w:jc w:val="center"/>
              <w:textAlignment w:val="center"/>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Min</w:t>
            </w:r>
          </w:p>
        </w:tc>
        <w:tc>
          <w:tcPr>
            <w:tcW w:w="655" w:type="dxa"/>
            <w:tcBorders>
              <w:top w:val="single" w:color="000000" w:sz="12" w:space="0"/>
              <w:left w:val="nil"/>
              <w:bottom w:val="single" w:color="000000" w:sz="8" w:space="0"/>
              <w:right w:val="nil"/>
            </w:tcBorders>
            <w:shd w:val="clear" w:color="auto" w:fill="auto"/>
            <w:vAlign w:val="center"/>
          </w:tcPr>
          <w:p w14:paraId="7D049E45">
            <w:pPr>
              <w:widowControl/>
              <w:jc w:val="center"/>
              <w:textAlignment w:val="center"/>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Max</w:t>
            </w:r>
          </w:p>
        </w:tc>
      </w:tr>
      <w:tr w14:paraId="5070C5C7">
        <w:trPr>
          <w:trHeight w:val="90" w:hRule="atLeast"/>
          <w:jc w:val="center"/>
        </w:trPr>
        <w:tc>
          <w:tcPr>
            <w:tcW w:w="875" w:type="dxa"/>
            <w:tcBorders>
              <w:top w:val="nil"/>
              <w:left w:val="nil"/>
              <w:bottom w:val="nil"/>
              <w:right w:val="nil"/>
            </w:tcBorders>
            <w:shd w:val="clear" w:color="auto" w:fill="auto"/>
            <w:vAlign w:val="center"/>
          </w:tcPr>
          <w:p w14:paraId="3053771B">
            <w:pPr>
              <w:widowControl/>
              <w:jc w:val="center"/>
              <w:textAlignment w:val="center"/>
              <w:rPr>
                <w:rFonts w:hint="default" w:eastAsia="宋体" w:cs="Arial Regular" w:asciiTheme="minorAscii" w:hAnsiTheme="minorAscii"/>
                <w:color w:val="auto"/>
                <w:sz w:val="18"/>
                <w:szCs w:val="18"/>
                <w:highlight w:val="none"/>
              </w:rPr>
            </w:pPr>
            <w:r>
              <w:rPr>
                <w:rFonts w:hint="default" w:eastAsia="宋体" w:cs="Arial Regular" w:asciiTheme="minorAscii" w:hAnsiTheme="minorAscii"/>
                <w:color w:val="auto"/>
                <w:kern w:val="0"/>
                <w:sz w:val="18"/>
                <w:szCs w:val="18"/>
                <w:highlight w:val="none"/>
                <w:lang w:bidi="ar"/>
              </w:rPr>
              <w:t>LnIO</w:t>
            </w:r>
          </w:p>
        </w:tc>
        <w:tc>
          <w:tcPr>
            <w:tcW w:w="1412" w:type="dxa"/>
            <w:tcBorders>
              <w:top w:val="nil"/>
              <w:left w:val="nil"/>
              <w:bottom w:val="nil"/>
              <w:right w:val="nil"/>
            </w:tcBorders>
            <w:shd w:val="clear" w:color="auto" w:fill="auto"/>
            <w:vAlign w:val="center"/>
          </w:tcPr>
          <w:p w14:paraId="296C130E">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Enterprise independent innovation capability</w:t>
            </w:r>
          </w:p>
        </w:tc>
        <w:tc>
          <w:tcPr>
            <w:tcW w:w="1975" w:type="dxa"/>
            <w:tcBorders>
              <w:top w:val="nil"/>
              <w:left w:val="nil"/>
              <w:bottom w:val="nil"/>
              <w:right w:val="nil"/>
            </w:tcBorders>
            <w:shd w:val="clear" w:color="auto" w:fill="auto"/>
            <w:vAlign w:val="center"/>
          </w:tcPr>
          <w:p w14:paraId="71638372">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The natural logarithm of the annual number of patent applications by manufacturing companies</w:t>
            </w:r>
          </w:p>
        </w:tc>
        <w:tc>
          <w:tcPr>
            <w:tcW w:w="663" w:type="dxa"/>
            <w:tcBorders>
              <w:top w:val="nil"/>
              <w:left w:val="nil"/>
              <w:bottom w:val="nil"/>
              <w:right w:val="nil"/>
            </w:tcBorders>
            <w:shd w:val="clear" w:color="auto" w:fill="auto"/>
            <w:vAlign w:val="center"/>
          </w:tcPr>
          <w:p w14:paraId="3B3BAC07">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12092</w:t>
            </w:r>
          </w:p>
        </w:tc>
        <w:tc>
          <w:tcPr>
            <w:tcW w:w="762" w:type="dxa"/>
            <w:tcBorders>
              <w:top w:val="nil"/>
              <w:left w:val="nil"/>
              <w:bottom w:val="nil"/>
              <w:right w:val="nil"/>
            </w:tcBorders>
            <w:shd w:val="clear" w:color="auto" w:fill="auto"/>
            <w:vAlign w:val="center"/>
          </w:tcPr>
          <w:p w14:paraId="474F9EEB">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2.804</w:t>
            </w:r>
          </w:p>
        </w:tc>
        <w:tc>
          <w:tcPr>
            <w:tcW w:w="663" w:type="dxa"/>
            <w:tcBorders>
              <w:top w:val="nil"/>
              <w:left w:val="nil"/>
              <w:bottom w:val="nil"/>
              <w:right w:val="nil"/>
            </w:tcBorders>
            <w:shd w:val="clear" w:color="auto" w:fill="auto"/>
            <w:vAlign w:val="center"/>
          </w:tcPr>
          <w:p w14:paraId="06A1812E">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2.303</w:t>
            </w:r>
          </w:p>
        </w:tc>
        <w:tc>
          <w:tcPr>
            <w:tcW w:w="675" w:type="dxa"/>
            <w:tcBorders>
              <w:top w:val="nil"/>
              <w:left w:val="nil"/>
              <w:bottom w:val="nil"/>
              <w:right w:val="nil"/>
            </w:tcBorders>
            <w:shd w:val="clear" w:color="auto" w:fill="auto"/>
            <w:vAlign w:val="center"/>
          </w:tcPr>
          <w:p w14:paraId="4EFC9844">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1.393</w:t>
            </w:r>
          </w:p>
        </w:tc>
        <w:tc>
          <w:tcPr>
            <w:tcW w:w="700" w:type="dxa"/>
            <w:tcBorders>
              <w:top w:val="nil"/>
              <w:left w:val="nil"/>
              <w:bottom w:val="nil"/>
              <w:right w:val="nil"/>
            </w:tcBorders>
            <w:shd w:val="clear" w:color="auto" w:fill="auto"/>
            <w:vAlign w:val="center"/>
          </w:tcPr>
          <w:p w14:paraId="6133B171">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1.609</w:t>
            </w:r>
          </w:p>
        </w:tc>
        <w:tc>
          <w:tcPr>
            <w:tcW w:w="655" w:type="dxa"/>
            <w:tcBorders>
              <w:top w:val="nil"/>
              <w:left w:val="nil"/>
              <w:bottom w:val="nil"/>
              <w:right w:val="nil"/>
            </w:tcBorders>
            <w:shd w:val="clear" w:color="auto" w:fill="auto"/>
            <w:vAlign w:val="center"/>
          </w:tcPr>
          <w:p w14:paraId="03E1E93F">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9.813</w:t>
            </w:r>
          </w:p>
        </w:tc>
      </w:tr>
      <w:tr w14:paraId="46421A5D">
        <w:trPr>
          <w:trHeight w:val="860" w:hRule="atLeast"/>
          <w:jc w:val="center"/>
        </w:trPr>
        <w:tc>
          <w:tcPr>
            <w:tcW w:w="875" w:type="dxa"/>
            <w:tcBorders>
              <w:top w:val="nil"/>
              <w:left w:val="nil"/>
              <w:bottom w:val="nil"/>
              <w:right w:val="nil"/>
            </w:tcBorders>
            <w:shd w:val="clear" w:color="auto" w:fill="auto"/>
            <w:vAlign w:val="center"/>
          </w:tcPr>
          <w:p w14:paraId="33B3A8B7">
            <w:pPr>
              <w:widowControl/>
              <w:jc w:val="center"/>
              <w:textAlignment w:val="center"/>
              <w:rPr>
                <w:rFonts w:hint="default" w:eastAsia="宋体" w:cs="Arial Regular" w:asciiTheme="minorAscii" w:hAnsiTheme="minorAscii"/>
                <w:color w:val="auto"/>
                <w:sz w:val="18"/>
                <w:szCs w:val="18"/>
                <w:highlight w:val="none"/>
              </w:rPr>
            </w:pPr>
            <w:r>
              <w:rPr>
                <w:rFonts w:hint="default" w:eastAsia="宋体" w:cs="Arial Regular" w:asciiTheme="minorAscii" w:hAnsiTheme="minorAscii"/>
                <w:color w:val="auto"/>
                <w:kern w:val="0"/>
                <w:sz w:val="18"/>
                <w:szCs w:val="18"/>
                <w:highlight w:val="none"/>
                <w:lang w:bidi="ar"/>
              </w:rPr>
              <w:t>RCA</w:t>
            </w:r>
          </w:p>
        </w:tc>
        <w:tc>
          <w:tcPr>
            <w:tcW w:w="1412" w:type="dxa"/>
            <w:tcBorders>
              <w:top w:val="nil"/>
              <w:left w:val="nil"/>
              <w:bottom w:val="nil"/>
              <w:right w:val="nil"/>
            </w:tcBorders>
            <w:shd w:val="clear" w:color="auto" w:fill="auto"/>
            <w:vAlign w:val="center"/>
          </w:tcPr>
          <w:p w14:paraId="739F37BF">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Produc</w:t>
            </w:r>
            <w:r>
              <w:rPr>
                <w:rFonts w:hint="default" w:eastAsia="宋体" w:cs="Arial Regular" w:asciiTheme="minorAscii" w:hAnsiTheme="minorAscii"/>
                <w:color w:val="auto"/>
                <w:kern w:val="0"/>
                <w:sz w:val="16"/>
                <w:szCs w:val="16"/>
                <w:highlight w:val="none"/>
                <w:lang w:eastAsia="zh-Hans" w:bidi="ar"/>
              </w:rPr>
              <w:t xml:space="preserve">er </w:t>
            </w:r>
            <w:r>
              <w:rPr>
                <w:rFonts w:hint="default" w:eastAsia="宋体" w:cs="Arial Regular" w:asciiTheme="minorAscii" w:hAnsiTheme="minorAscii"/>
                <w:color w:val="auto"/>
                <w:kern w:val="0"/>
                <w:sz w:val="16"/>
                <w:szCs w:val="16"/>
                <w:highlight w:val="none"/>
                <w:lang w:bidi="ar"/>
              </w:rPr>
              <w:t>services trade competitiveness</w:t>
            </w:r>
          </w:p>
        </w:tc>
        <w:tc>
          <w:tcPr>
            <w:tcW w:w="1975" w:type="dxa"/>
            <w:tcBorders>
              <w:top w:val="nil"/>
              <w:left w:val="nil"/>
              <w:bottom w:val="nil"/>
              <w:right w:val="nil"/>
            </w:tcBorders>
            <w:shd w:val="clear" w:color="auto" w:fill="auto"/>
            <w:vAlign w:val="center"/>
          </w:tcPr>
          <w:p w14:paraId="62D4A72B">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Revealed comparative advantage index</w:t>
            </w:r>
          </w:p>
        </w:tc>
        <w:tc>
          <w:tcPr>
            <w:tcW w:w="663" w:type="dxa"/>
            <w:tcBorders>
              <w:top w:val="nil"/>
              <w:left w:val="nil"/>
              <w:bottom w:val="nil"/>
              <w:right w:val="nil"/>
            </w:tcBorders>
            <w:shd w:val="clear" w:color="auto" w:fill="auto"/>
            <w:vAlign w:val="center"/>
          </w:tcPr>
          <w:p w14:paraId="6CFD8063">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12092</w:t>
            </w:r>
          </w:p>
        </w:tc>
        <w:tc>
          <w:tcPr>
            <w:tcW w:w="762" w:type="dxa"/>
            <w:tcBorders>
              <w:top w:val="nil"/>
              <w:left w:val="nil"/>
              <w:bottom w:val="nil"/>
              <w:right w:val="nil"/>
            </w:tcBorders>
            <w:shd w:val="clear" w:color="auto" w:fill="auto"/>
            <w:vAlign w:val="center"/>
          </w:tcPr>
          <w:p w14:paraId="0EACC15A">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0.824</w:t>
            </w:r>
          </w:p>
        </w:tc>
        <w:tc>
          <w:tcPr>
            <w:tcW w:w="663" w:type="dxa"/>
            <w:tcBorders>
              <w:top w:val="nil"/>
              <w:left w:val="nil"/>
              <w:bottom w:val="nil"/>
              <w:right w:val="nil"/>
            </w:tcBorders>
            <w:shd w:val="clear" w:color="auto" w:fill="auto"/>
            <w:vAlign w:val="center"/>
          </w:tcPr>
          <w:p w14:paraId="4C0C8BFD">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0.824</w:t>
            </w:r>
          </w:p>
        </w:tc>
        <w:tc>
          <w:tcPr>
            <w:tcW w:w="675" w:type="dxa"/>
            <w:tcBorders>
              <w:top w:val="nil"/>
              <w:left w:val="nil"/>
              <w:bottom w:val="nil"/>
              <w:right w:val="nil"/>
            </w:tcBorders>
            <w:shd w:val="clear" w:color="auto" w:fill="auto"/>
            <w:vAlign w:val="center"/>
          </w:tcPr>
          <w:p w14:paraId="789126CE">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0.028</w:t>
            </w:r>
          </w:p>
        </w:tc>
        <w:tc>
          <w:tcPr>
            <w:tcW w:w="700" w:type="dxa"/>
            <w:tcBorders>
              <w:top w:val="nil"/>
              <w:left w:val="nil"/>
              <w:bottom w:val="nil"/>
              <w:right w:val="nil"/>
            </w:tcBorders>
            <w:shd w:val="clear" w:color="auto" w:fill="auto"/>
            <w:vAlign w:val="center"/>
          </w:tcPr>
          <w:p w14:paraId="358A441D">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0.683</w:t>
            </w:r>
          </w:p>
        </w:tc>
        <w:tc>
          <w:tcPr>
            <w:tcW w:w="655" w:type="dxa"/>
            <w:tcBorders>
              <w:top w:val="nil"/>
              <w:left w:val="nil"/>
              <w:bottom w:val="nil"/>
              <w:right w:val="nil"/>
            </w:tcBorders>
            <w:shd w:val="clear" w:color="auto" w:fill="auto"/>
            <w:vAlign w:val="center"/>
          </w:tcPr>
          <w:p w14:paraId="1F7E4632">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0.865</w:t>
            </w:r>
          </w:p>
        </w:tc>
      </w:tr>
      <w:tr w14:paraId="32D79D3C">
        <w:trPr>
          <w:trHeight w:val="412" w:hRule="atLeast"/>
          <w:jc w:val="center"/>
        </w:trPr>
        <w:tc>
          <w:tcPr>
            <w:tcW w:w="875" w:type="dxa"/>
            <w:tcBorders>
              <w:top w:val="nil"/>
              <w:left w:val="nil"/>
              <w:bottom w:val="nil"/>
              <w:right w:val="nil"/>
            </w:tcBorders>
            <w:shd w:val="clear" w:color="auto" w:fill="auto"/>
            <w:vAlign w:val="center"/>
          </w:tcPr>
          <w:p w14:paraId="4941ADFA">
            <w:pPr>
              <w:widowControl/>
              <w:jc w:val="center"/>
              <w:textAlignment w:val="center"/>
              <w:rPr>
                <w:rFonts w:hint="default" w:eastAsia="宋体" w:cs="Arial Regular" w:asciiTheme="minorAscii" w:hAnsiTheme="minorAscii"/>
                <w:color w:val="auto"/>
                <w:sz w:val="18"/>
                <w:szCs w:val="18"/>
                <w:highlight w:val="none"/>
              </w:rPr>
            </w:pPr>
            <w:r>
              <w:rPr>
                <w:rFonts w:hint="default" w:eastAsia="宋体" w:cs="Arial Regular" w:asciiTheme="minorAscii" w:hAnsiTheme="minorAscii"/>
                <w:color w:val="auto"/>
                <w:kern w:val="0"/>
                <w:sz w:val="18"/>
                <w:szCs w:val="18"/>
                <w:highlight w:val="none"/>
                <w:lang w:bidi="ar"/>
              </w:rPr>
              <w:t>LnE</w:t>
            </w:r>
          </w:p>
        </w:tc>
        <w:tc>
          <w:tcPr>
            <w:tcW w:w="1412" w:type="dxa"/>
            <w:tcBorders>
              <w:top w:val="nil"/>
              <w:left w:val="nil"/>
              <w:bottom w:val="nil"/>
              <w:right w:val="nil"/>
            </w:tcBorders>
            <w:shd w:val="clear" w:color="auto" w:fill="auto"/>
            <w:vAlign w:val="center"/>
          </w:tcPr>
          <w:p w14:paraId="78517B39">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Enterprise economic efficiency</w:t>
            </w:r>
          </w:p>
        </w:tc>
        <w:tc>
          <w:tcPr>
            <w:tcW w:w="1975" w:type="dxa"/>
            <w:tcBorders>
              <w:top w:val="nil"/>
              <w:left w:val="nil"/>
              <w:bottom w:val="nil"/>
              <w:right w:val="nil"/>
            </w:tcBorders>
            <w:shd w:val="clear" w:color="auto" w:fill="auto"/>
            <w:vAlign w:val="center"/>
          </w:tcPr>
          <w:p w14:paraId="684EA878">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Natural logarithm of operating income growth rate</w:t>
            </w:r>
          </w:p>
        </w:tc>
        <w:tc>
          <w:tcPr>
            <w:tcW w:w="663" w:type="dxa"/>
            <w:tcBorders>
              <w:top w:val="nil"/>
              <w:left w:val="nil"/>
              <w:bottom w:val="nil"/>
              <w:right w:val="nil"/>
            </w:tcBorders>
            <w:shd w:val="clear" w:color="auto" w:fill="auto"/>
            <w:vAlign w:val="center"/>
          </w:tcPr>
          <w:p w14:paraId="25B5A303">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12092</w:t>
            </w:r>
          </w:p>
        </w:tc>
        <w:tc>
          <w:tcPr>
            <w:tcW w:w="762" w:type="dxa"/>
            <w:tcBorders>
              <w:top w:val="nil"/>
              <w:left w:val="nil"/>
              <w:bottom w:val="nil"/>
              <w:right w:val="nil"/>
            </w:tcBorders>
            <w:shd w:val="clear" w:color="auto" w:fill="auto"/>
            <w:vAlign w:val="center"/>
          </w:tcPr>
          <w:p w14:paraId="71D2BACE">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1.645</w:t>
            </w:r>
          </w:p>
        </w:tc>
        <w:tc>
          <w:tcPr>
            <w:tcW w:w="663" w:type="dxa"/>
            <w:tcBorders>
              <w:top w:val="nil"/>
              <w:left w:val="nil"/>
              <w:bottom w:val="nil"/>
              <w:right w:val="nil"/>
            </w:tcBorders>
            <w:shd w:val="clear" w:color="auto" w:fill="auto"/>
            <w:vAlign w:val="center"/>
          </w:tcPr>
          <w:p w14:paraId="16091A05">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1.632</w:t>
            </w:r>
          </w:p>
        </w:tc>
        <w:tc>
          <w:tcPr>
            <w:tcW w:w="675" w:type="dxa"/>
            <w:tcBorders>
              <w:top w:val="nil"/>
              <w:left w:val="nil"/>
              <w:bottom w:val="nil"/>
              <w:right w:val="nil"/>
            </w:tcBorders>
            <w:shd w:val="clear" w:color="auto" w:fill="auto"/>
            <w:vAlign w:val="center"/>
          </w:tcPr>
          <w:p w14:paraId="79BC40EB">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0.121</w:t>
            </w:r>
          </w:p>
        </w:tc>
        <w:tc>
          <w:tcPr>
            <w:tcW w:w="700" w:type="dxa"/>
            <w:tcBorders>
              <w:top w:val="nil"/>
              <w:left w:val="nil"/>
              <w:bottom w:val="nil"/>
              <w:right w:val="nil"/>
            </w:tcBorders>
            <w:shd w:val="clear" w:color="auto" w:fill="auto"/>
            <w:vAlign w:val="center"/>
          </w:tcPr>
          <w:p w14:paraId="439A49A1">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1.391</w:t>
            </w:r>
          </w:p>
        </w:tc>
        <w:tc>
          <w:tcPr>
            <w:tcW w:w="655" w:type="dxa"/>
            <w:tcBorders>
              <w:top w:val="nil"/>
              <w:left w:val="nil"/>
              <w:bottom w:val="nil"/>
              <w:right w:val="nil"/>
            </w:tcBorders>
            <w:shd w:val="clear" w:color="auto" w:fill="auto"/>
            <w:vAlign w:val="center"/>
          </w:tcPr>
          <w:p w14:paraId="222792CE">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6.508</w:t>
            </w:r>
          </w:p>
        </w:tc>
      </w:tr>
      <w:tr w14:paraId="59FBA1A8">
        <w:trPr>
          <w:trHeight w:val="466" w:hRule="atLeast"/>
          <w:jc w:val="center"/>
        </w:trPr>
        <w:tc>
          <w:tcPr>
            <w:tcW w:w="875" w:type="dxa"/>
            <w:tcBorders>
              <w:top w:val="nil"/>
              <w:left w:val="nil"/>
              <w:bottom w:val="nil"/>
              <w:right w:val="nil"/>
            </w:tcBorders>
            <w:shd w:val="clear" w:color="auto" w:fill="auto"/>
            <w:vAlign w:val="center"/>
          </w:tcPr>
          <w:p w14:paraId="156E94C0">
            <w:pPr>
              <w:widowControl/>
              <w:jc w:val="center"/>
              <w:textAlignment w:val="center"/>
              <w:rPr>
                <w:rFonts w:hint="default" w:eastAsia="宋体" w:cs="Arial Regular" w:asciiTheme="minorAscii" w:hAnsiTheme="minorAscii"/>
                <w:color w:val="auto"/>
                <w:sz w:val="18"/>
                <w:szCs w:val="18"/>
                <w:highlight w:val="none"/>
              </w:rPr>
            </w:pPr>
            <w:r>
              <w:rPr>
                <w:rFonts w:hint="default" w:eastAsia="宋体" w:cs="Arial Regular" w:asciiTheme="minorAscii" w:hAnsiTheme="minorAscii"/>
                <w:color w:val="auto"/>
                <w:kern w:val="0"/>
                <w:sz w:val="18"/>
                <w:szCs w:val="18"/>
                <w:highlight w:val="none"/>
                <w:lang w:bidi="ar"/>
              </w:rPr>
              <w:t>B</w:t>
            </w:r>
          </w:p>
        </w:tc>
        <w:tc>
          <w:tcPr>
            <w:tcW w:w="1412" w:type="dxa"/>
            <w:tcBorders>
              <w:top w:val="nil"/>
              <w:left w:val="nil"/>
              <w:bottom w:val="nil"/>
              <w:right w:val="nil"/>
            </w:tcBorders>
            <w:shd w:val="clear" w:color="auto" w:fill="auto"/>
            <w:vAlign w:val="center"/>
          </w:tcPr>
          <w:p w14:paraId="57518B0E">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Enterprise profitability</w:t>
            </w:r>
          </w:p>
        </w:tc>
        <w:tc>
          <w:tcPr>
            <w:tcW w:w="1975" w:type="dxa"/>
            <w:tcBorders>
              <w:top w:val="nil"/>
              <w:left w:val="nil"/>
              <w:bottom w:val="nil"/>
              <w:right w:val="nil"/>
            </w:tcBorders>
            <w:shd w:val="clear" w:color="auto" w:fill="auto"/>
            <w:vAlign w:val="center"/>
          </w:tcPr>
          <w:p w14:paraId="20C1F4B4">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Operating profit margin</w:t>
            </w:r>
          </w:p>
        </w:tc>
        <w:tc>
          <w:tcPr>
            <w:tcW w:w="663" w:type="dxa"/>
            <w:tcBorders>
              <w:top w:val="nil"/>
              <w:left w:val="nil"/>
              <w:bottom w:val="nil"/>
              <w:right w:val="nil"/>
            </w:tcBorders>
            <w:shd w:val="clear" w:color="auto" w:fill="auto"/>
            <w:vAlign w:val="center"/>
          </w:tcPr>
          <w:p w14:paraId="06D1BA48">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12092</w:t>
            </w:r>
          </w:p>
        </w:tc>
        <w:tc>
          <w:tcPr>
            <w:tcW w:w="762" w:type="dxa"/>
            <w:tcBorders>
              <w:top w:val="nil"/>
              <w:left w:val="nil"/>
              <w:bottom w:val="nil"/>
              <w:right w:val="nil"/>
            </w:tcBorders>
            <w:shd w:val="clear" w:color="auto" w:fill="auto"/>
            <w:vAlign w:val="center"/>
          </w:tcPr>
          <w:p w14:paraId="15B735CD">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0.076</w:t>
            </w:r>
          </w:p>
        </w:tc>
        <w:tc>
          <w:tcPr>
            <w:tcW w:w="663" w:type="dxa"/>
            <w:tcBorders>
              <w:top w:val="nil"/>
              <w:left w:val="nil"/>
              <w:bottom w:val="nil"/>
              <w:right w:val="nil"/>
            </w:tcBorders>
            <w:shd w:val="clear" w:color="auto" w:fill="auto"/>
            <w:vAlign w:val="center"/>
          </w:tcPr>
          <w:p w14:paraId="02F8AF64">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0.092</w:t>
            </w:r>
          </w:p>
        </w:tc>
        <w:tc>
          <w:tcPr>
            <w:tcW w:w="675" w:type="dxa"/>
            <w:tcBorders>
              <w:top w:val="nil"/>
              <w:left w:val="nil"/>
              <w:bottom w:val="nil"/>
              <w:right w:val="nil"/>
            </w:tcBorders>
            <w:shd w:val="clear" w:color="auto" w:fill="auto"/>
            <w:vAlign w:val="center"/>
          </w:tcPr>
          <w:p w14:paraId="6DB4A954">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0.462</w:t>
            </w:r>
          </w:p>
        </w:tc>
        <w:tc>
          <w:tcPr>
            <w:tcW w:w="700" w:type="dxa"/>
            <w:tcBorders>
              <w:top w:val="nil"/>
              <w:left w:val="nil"/>
              <w:bottom w:val="nil"/>
              <w:right w:val="nil"/>
            </w:tcBorders>
            <w:shd w:val="clear" w:color="auto" w:fill="auto"/>
            <w:vAlign w:val="center"/>
          </w:tcPr>
          <w:p w14:paraId="3B9A4357">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-25.94</w:t>
            </w:r>
          </w:p>
        </w:tc>
        <w:tc>
          <w:tcPr>
            <w:tcW w:w="655" w:type="dxa"/>
            <w:tcBorders>
              <w:top w:val="nil"/>
              <w:left w:val="nil"/>
              <w:bottom w:val="nil"/>
              <w:right w:val="nil"/>
            </w:tcBorders>
            <w:shd w:val="clear" w:color="auto" w:fill="auto"/>
            <w:vAlign w:val="center"/>
          </w:tcPr>
          <w:p w14:paraId="53C75F0E">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1.738</w:t>
            </w:r>
          </w:p>
        </w:tc>
      </w:tr>
      <w:tr w14:paraId="3FC6905E">
        <w:trPr>
          <w:trHeight w:val="431" w:hRule="atLeast"/>
          <w:jc w:val="center"/>
        </w:trPr>
        <w:tc>
          <w:tcPr>
            <w:tcW w:w="875" w:type="dxa"/>
            <w:tcBorders>
              <w:top w:val="nil"/>
              <w:left w:val="nil"/>
              <w:bottom w:val="nil"/>
              <w:right w:val="nil"/>
            </w:tcBorders>
            <w:shd w:val="clear" w:color="auto" w:fill="auto"/>
            <w:vAlign w:val="center"/>
          </w:tcPr>
          <w:p w14:paraId="55EF6CEB">
            <w:pPr>
              <w:widowControl/>
              <w:jc w:val="center"/>
              <w:textAlignment w:val="center"/>
              <w:rPr>
                <w:rFonts w:hint="default" w:eastAsia="宋体" w:cs="Arial Regular" w:asciiTheme="minorAscii" w:hAnsiTheme="minorAscii"/>
                <w:color w:val="auto"/>
                <w:sz w:val="18"/>
                <w:szCs w:val="18"/>
                <w:highlight w:val="none"/>
              </w:rPr>
            </w:pPr>
            <w:r>
              <w:rPr>
                <w:rFonts w:hint="default" w:eastAsia="宋体" w:cs="Arial Regular" w:asciiTheme="minorAscii" w:hAnsiTheme="minorAscii"/>
                <w:color w:val="auto"/>
                <w:kern w:val="0"/>
                <w:sz w:val="18"/>
                <w:szCs w:val="18"/>
                <w:highlight w:val="none"/>
                <w:lang w:bidi="ar"/>
              </w:rPr>
              <w:t>G</w:t>
            </w:r>
          </w:p>
        </w:tc>
        <w:tc>
          <w:tcPr>
            <w:tcW w:w="1412" w:type="dxa"/>
            <w:tcBorders>
              <w:top w:val="nil"/>
              <w:left w:val="nil"/>
              <w:bottom w:val="nil"/>
              <w:right w:val="nil"/>
            </w:tcBorders>
            <w:shd w:val="clear" w:color="auto" w:fill="auto"/>
            <w:vAlign w:val="center"/>
          </w:tcPr>
          <w:p w14:paraId="1D74B542">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Enterprise development capabilities</w:t>
            </w:r>
          </w:p>
        </w:tc>
        <w:tc>
          <w:tcPr>
            <w:tcW w:w="1975" w:type="dxa"/>
            <w:tcBorders>
              <w:top w:val="nil"/>
              <w:left w:val="nil"/>
              <w:bottom w:val="nil"/>
              <w:right w:val="nil"/>
            </w:tcBorders>
            <w:shd w:val="clear" w:color="auto" w:fill="auto"/>
            <w:vAlign w:val="center"/>
          </w:tcPr>
          <w:p w14:paraId="3AD55F5F">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Sustainable growth rate</w:t>
            </w:r>
          </w:p>
        </w:tc>
        <w:tc>
          <w:tcPr>
            <w:tcW w:w="663" w:type="dxa"/>
            <w:tcBorders>
              <w:top w:val="nil"/>
              <w:left w:val="nil"/>
              <w:bottom w:val="nil"/>
              <w:right w:val="nil"/>
            </w:tcBorders>
            <w:shd w:val="clear" w:color="auto" w:fill="auto"/>
            <w:vAlign w:val="center"/>
          </w:tcPr>
          <w:p w14:paraId="1685AE10">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12092</w:t>
            </w:r>
          </w:p>
        </w:tc>
        <w:tc>
          <w:tcPr>
            <w:tcW w:w="762" w:type="dxa"/>
            <w:tcBorders>
              <w:top w:val="nil"/>
              <w:left w:val="nil"/>
              <w:bottom w:val="nil"/>
              <w:right w:val="nil"/>
            </w:tcBorders>
            <w:shd w:val="clear" w:color="auto" w:fill="auto"/>
            <w:vAlign w:val="center"/>
          </w:tcPr>
          <w:p w14:paraId="7AE70AE1">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0.047</w:t>
            </w:r>
          </w:p>
        </w:tc>
        <w:tc>
          <w:tcPr>
            <w:tcW w:w="663" w:type="dxa"/>
            <w:tcBorders>
              <w:top w:val="nil"/>
              <w:left w:val="nil"/>
              <w:bottom w:val="nil"/>
              <w:right w:val="nil"/>
            </w:tcBorders>
            <w:shd w:val="clear" w:color="auto" w:fill="auto"/>
            <w:vAlign w:val="center"/>
          </w:tcPr>
          <w:p w14:paraId="75089F44">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0.051</w:t>
            </w:r>
          </w:p>
        </w:tc>
        <w:tc>
          <w:tcPr>
            <w:tcW w:w="675" w:type="dxa"/>
            <w:tcBorders>
              <w:top w:val="nil"/>
              <w:left w:val="nil"/>
              <w:bottom w:val="nil"/>
              <w:right w:val="nil"/>
            </w:tcBorders>
            <w:shd w:val="clear" w:color="auto" w:fill="auto"/>
            <w:vAlign w:val="center"/>
          </w:tcPr>
          <w:p w14:paraId="2ED81D9A">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0.661</w:t>
            </w:r>
          </w:p>
        </w:tc>
        <w:tc>
          <w:tcPr>
            <w:tcW w:w="700" w:type="dxa"/>
            <w:tcBorders>
              <w:top w:val="nil"/>
              <w:left w:val="nil"/>
              <w:bottom w:val="nil"/>
              <w:right w:val="nil"/>
            </w:tcBorders>
            <w:shd w:val="clear" w:color="auto" w:fill="auto"/>
            <w:vAlign w:val="center"/>
          </w:tcPr>
          <w:p w14:paraId="0305D489">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-59.26</w:t>
            </w:r>
          </w:p>
        </w:tc>
        <w:tc>
          <w:tcPr>
            <w:tcW w:w="655" w:type="dxa"/>
            <w:tcBorders>
              <w:top w:val="nil"/>
              <w:left w:val="nil"/>
              <w:bottom w:val="nil"/>
              <w:right w:val="nil"/>
            </w:tcBorders>
            <w:shd w:val="clear" w:color="auto" w:fill="auto"/>
            <w:vAlign w:val="center"/>
          </w:tcPr>
          <w:p w14:paraId="3FB3B9BC">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21.17</w:t>
            </w:r>
          </w:p>
        </w:tc>
      </w:tr>
      <w:tr w14:paraId="0EFB9C22">
        <w:trPr>
          <w:trHeight w:val="396" w:hRule="atLeast"/>
          <w:jc w:val="center"/>
        </w:trPr>
        <w:tc>
          <w:tcPr>
            <w:tcW w:w="875" w:type="dxa"/>
            <w:tcBorders>
              <w:top w:val="nil"/>
              <w:left w:val="nil"/>
              <w:bottom w:val="nil"/>
              <w:right w:val="nil"/>
            </w:tcBorders>
            <w:shd w:val="clear" w:color="auto" w:fill="auto"/>
            <w:vAlign w:val="center"/>
          </w:tcPr>
          <w:p w14:paraId="61D6AF22">
            <w:pPr>
              <w:widowControl/>
              <w:jc w:val="center"/>
              <w:textAlignment w:val="center"/>
              <w:rPr>
                <w:rFonts w:hint="default" w:eastAsia="宋体" w:cs="Arial Regular" w:asciiTheme="minorAscii" w:hAnsiTheme="minorAscii"/>
                <w:color w:val="auto"/>
                <w:sz w:val="18"/>
                <w:szCs w:val="18"/>
                <w:highlight w:val="none"/>
              </w:rPr>
            </w:pPr>
            <w:r>
              <w:rPr>
                <w:rFonts w:hint="default" w:eastAsia="宋体" w:cs="Arial Regular" w:asciiTheme="minorAscii" w:hAnsiTheme="minorAscii"/>
                <w:color w:val="auto"/>
                <w:kern w:val="0"/>
                <w:sz w:val="18"/>
                <w:szCs w:val="18"/>
                <w:highlight w:val="none"/>
                <w:lang w:bidi="ar"/>
              </w:rPr>
              <w:t>AL</w:t>
            </w:r>
          </w:p>
        </w:tc>
        <w:tc>
          <w:tcPr>
            <w:tcW w:w="1412" w:type="dxa"/>
            <w:tcBorders>
              <w:top w:val="nil"/>
              <w:left w:val="nil"/>
              <w:bottom w:val="nil"/>
              <w:right w:val="nil"/>
            </w:tcBorders>
            <w:shd w:val="clear" w:color="auto" w:fill="auto"/>
            <w:vAlign w:val="center"/>
          </w:tcPr>
          <w:p w14:paraId="5BBA4996">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Enterprise risk level</w:t>
            </w:r>
          </w:p>
        </w:tc>
        <w:tc>
          <w:tcPr>
            <w:tcW w:w="1975" w:type="dxa"/>
            <w:tcBorders>
              <w:top w:val="nil"/>
              <w:left w:val="nil"/>
              <w:bottom w:val="nil"/>
              <w:right w:val="nil"/>
            </w:tcBorders>
            <w:shd w:val="clear" w:color="auto" w:fill="auto"/>
            <w:vAlign w:val="center"/>
          </w:tcPr>
          <w:p w14:paraId="0E2B8159">
            <w:pPr>
              <w:widowControl/>
              <w:jc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Asset-liability ratio</w:t>
            </w:r>
          </w:p>
        </w:tc>
        <w:tc>
          <w:tcPr>
            <w:tcW w:w="663" w:type="dxa"/>
            <w:tcBorders>
              <w:top w:val="nil"/>
              <w:left w:val="nil"/>
              <w:bottom w:val="nil"/>
              <w:right w:val="nil"/>
            </w:tcBorders>
            <w:shd w:val="clear" w:color="auto" w:fill="auto"/>
            <w:vAlign w:val="center"/>
          </w:tcPr>
          <w:p w14:paraId="5173E841">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12092</w:t>
            </w:r>
          </w:p>
        </w:tc>
        <w:tc>
          <w:tcPr>
            <w:tcW w:w="762" w:type="dxa"/>
            <w:tcBorders>
              <w:top w:val="nil"/>
              <w:left w:val="nil"/>
              <w:bottom w:val="nil"/>
              <w:right w:val="nil"/>
            </w:tcBorders>
            <w:shd w:val="clear" w:color="auto" w:fill="auto"/>
            <w:vAlign w:val="center"/>
          </w:tcPr>
          <w:p w14:paraId="4DDB2ADF">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0.366</w:t>
            </w:r>
          </w:p>
        </w:tc>
        <w:tc>
          <w:tcPr>
            <w:tcW w:w="663" w:type="dxa"/>
            <w:tcBorders>
              <w:top w:val="nil"/>
              <w:left w:val="nil"/>
              <w:bottom w:val="nil"/>
              <w:right w:val="nil"/>
            </w:tcBorders>
            <w:shd w:val="clear" w:color="auto" w:fill="auto"/>
            <w:vAlign w:val="center"/>
          </w:tcPr>
          <w:p w14:paraId="0D5C5773">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0.348</w:t>
            </w:r>
          </w:p>
        </w:tc>
        <w:tc>
          <w:tcPr>
            <w:tcW w:w="675" w:type="dxa"/>
            <w:tcBorders>
              <w:top w:val="nil"/>
              <w:left w:val="nil"/>
              <w:bottom w:val="nil"/>
              <w:right w:val="nil"/>
            </w:tcBorders>
            <w:shd w:val="clear" w:color="auto" w:fill="auto"/>
            <w:vAlign w:val="center"/>
          </w:tcPr>
          <w:p w14:paraId="4F40C1E2">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0.214</w:t>
            </w:r>
          </w:p>
        </w:tc>
        <w:tc>
          <w:tcPr>
            <w:tcW w:w="700" w:type="dxa"/>
            <w:tcBorders>
              <w:top w:val="nil"/>
              <w:left w:val="nil"/>
              <w:bottom w:val="nil"/>
              <w:right w:val="nil"/>
            </w:tcBorders>
            <w:shd w:val="clear" w:color="auto" w:fill="auto"/>
            <w:vAlign w:val="center"/>
          </w:tcPr>
          <w:p w14:paraId="41AE4B1F">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0.008</w:t>
            </w:r>
          </w:p>
        </w:tc>
        <w:tc>
          <w:tcPr>
            <w:tcW w:w="655" w:type="dxa"/>
            <w:tcBorders>
              <w:top w:val="nil"/>
              <w:left w:val="nil"/>
              <w:bottom w:val="nil"/>
              <w:right w:val="nil"/>
            </w:tcBorders>
            <w:shd w:val="clear" w:color="auto" w:fill="auto"/>
            <w:vAlign w:val="center"/>
          </w:tcPr>
          <w:p w14:paraId="5D6D0EF0">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8.009</w:t>
            </w:r>
          </w:p>
        </w:tc>
      </w:tr>
      <w:tr w14:paraId="5B82A20A">
        <w:trPr>
          <w:trHeight w:val="506" w:hRule="atLeast"/>
          <w:jc w:val="center"/>
        </w:trPr>
        <w:tc>
          <w:tcPr>
            <w:tcW w:w="875" w:type="dxa"/>
            <w:tcBorders>
              <w:top w:val="nil"/>
              <w:left w:val="nil"/>
              <w:bottom w:val="single" w:color="000000" w:sz="12" w:space="0"/>
              <w:right w:val="nil"/>
            </w:tcBorders>
            <w:shd w:val="clear" w:color="auto" w:fill="auto"/>
            <w:vAlign w:val="center"/>
          </w:tcPr>
          <w:p w14:paraId="1102A69A">
            <w:pPr>
              <w:widowControl/>
              <w:jc w:val="center"/>
              <w:textAlignment w:val="center"/>
              <w:rPr>
                <w:rFonts w:hint="default" w:eastAsia="宋体" w:cs="Arial Regular" w:asciiTheme="minorAscii" w:hAnsiTheme="minorAscii"/>
                <w:color w:val="auto"/>
                <w:sz w:val="18"/>
                <w:szCs w:val="18"/>
                <w:highlight w:val="none"/>
              </w:rPr>
            </w:pPr>
            <w:r>
              <w:rPr>
                <w:rFonts w:hint="default" w:eastAsia="宋体" w:cs="Arial Regular" w:asciiTheme="minorAscii" w:hAnsiTheme="minorAscii"/>
                <w:color w:val="auto"/>
                <w:kern w:val="0"/>
                <w:sz w:val="18"/>
                <w:szCs w:val="18"/>
                <w:highlight w:val="none"/>
                <w:lang w:bidi="ar"/>
              </w:rPr>
              <w:t>LnII</w:t>
            </w:r>
          </w:p>
        </w:tc>
        <w:tc>
          <w:tcPr>
            <w:tcW w:w="1412" w:type="dxa"/>
            <w:tcBorders>
              <w:top w:val="nil"/>
              <w:left w:val="nil"/>
              <w:bottom w:val="single" w:color="000000" w:sz="12" w:space="0"/>
              <w:right w:val="nil"/>
            </w:tcBorders>
            <w:shd w:val="clear" w:color="auto" w:fill="auto"/>
            <w:vAlign w:val="center"/>
          </w:tcPr>
          <w:p w14:paraId="617D8E75">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Enterprise innovation investment</w:t>
            </w:r>
          </w:p>
        </w:tc>
        <w:tc>
          <w:tcPr>
            <w:tcW w:w="1975" w:type="dxa"/>
            <w:tcBorders>
              <w:top w:val="nil"/>
              <w:left w:val="nil"/>
              <w:bottom w:val="single" w:color="000000" w:sz="12" w:space="0"/>
              <w:right w:val="nil"/>
            </w:tcBorders>
            <w:shd w:val="clear" w:color="auto" w:fill="auto"/>
            <w:vAlign w:val="center"/>
          </w:tcPr>
          <w:p w14:paraId="38E45792">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The natural logarithm of the proportion of R&amp;D investment in total sales</w:t>
            </w:r>
          </w:p>
        </w:tc>
        <w:tc>
          <w:tcPr>
            <w:tcW w:w="663" w:type="dxa"/>
            <w:tcBorders>
              <w:top w:val="nil"/>
              <w:left w:val="nil"/>
              <w:bottom w:val="single" w:color="000000" w:sz="12" w:space="0"/>
              <w:right w:val="nil"/>
            </w:tcBorders>
            <w:shd w:val="clear" w:color="auto" w:fill="auto"/>
            <w:vAlign w:val="center"/>
          </w:tcPr>
          <w:p w14:paraId="5C1BAD34">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12092</w:t>
            </w:r>
          </w:p>
        </w:tc>
        <w:tc>
          <w:tcPr>
            <w:tcW w:w="762" w:type="dxa"/>
            <w:tcBorders>
              <w:top w:val="nil"/>
              <w:left w:val="nil"/>
              <w:bottom w:val="single" w:color="000000" w:sz="12" w:space="0"/>
              <w:right w:val="nil"/>
            </w:tcBorders>
            <w:shd w:val="clear" w:color="auto" w:fill="auto"/>
            <w:vAlign w:val="center"/>
          </w:tcPr>
          <w:p w14:paraId="43D3EFB0">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2.259</w:t>
            </w:r>
          </w:p>
        </w:tc>
        <w:tc>
          <w:tcPr>
            <w:tcW w:w="663" w:type="dxa"/>
            <w:tcBorders>
              <w:top w:val="nil"/>
              <w:left w:val="nil"/>
              <w:bottom w:val="single" w:color="000000" w:sz="12" w:space="0"/>
              <w:right w:val="nil"/>
            </w:tcBorders>
            <w:shd w:val="clear" w:color="auto" w:fill="auto"/>
            <w:vAlign w:val="center"/>
          </w:tcPr>
          <w:p w14:paraId="075DAFDF">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2.208</w:t>
            </w:r>
          </w:p>
        </w:tc>
        <w:tc>
          <w:tcPr>
            <w:tcW w:w="675" w:type="dxa"/>
            <w:tcBorders>
              <w:top w:val="nil"/>
              <w:left w:val="nil"/>
              <w:bottom w:val="single" w:color="000000" w:sz="12" w:space="0"/>
              <w:right w:val="nil"/>
            </w:tcBorders>
            <w:shd w:val="clear" w:color="auto" w:fill="auto"/>
            <w:vAlign w:val="center"/>
          </w:tcPr>
          <w:p w14:paraId="1A514C4E">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0.337</w:t>
            </w:r>
          </w:p>
        </w:tc>
        <w:tc>
          <w:tcPr>
            <w:tcW w:w="700" w:type="dxa"/>
            <w:tcBorders>
              <w:top w:val="nil"/>
              <w:left w:val="nil"/>
              <w:bottom w:val="single" w:color="000000" w:sz="12" w:space="0"/>
              <w:right w:val="nil"/>
            </w:tcBorders>
            <w:shd w:val="clear" w:color="auto" w:fill="auto"/>
            <w:vAlign w:val="center"/>
          </w:tcPr>
          <w:p w14:paraId="35B5EEA7">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1.61</w:t>
            </w:r>
          </w:p>
        </w:tc>
        <w:tc>
          <w:tcPr>
            <w:tcW w:w="655" w:type="dxa"/>
            <w:tcBorders>
              <w:top w:val="nil"/>
              <w:left w:val="nil"/>
              <w:bottom w:val="single" w:color="000000" w:sz="12" w:space="0"/>
              <w:right w:val="nil"/>
            </w:tcBorders>
            <w:shd w:val="clear" w:color="auto" w:fill="auto"/>
            <w:vAlign w:val="center"/>
          </w:tcPr>
          <w:p w14:paraId="2AC05319">
            <w:pPr>
              <w:widowControl/>
              <w:jc w:val="center"/>
              <w:textAlignment w:val="center"/>
              <w:rPr>
                <w:rFonts w:hint="default" w:eastAsia="宋体" w:cs="Arial Regular" w:asciiTheme="minorAscii" w:hAnsiTheme="minorAscii"/>
                <w:color w:val="auto"/>
                <w:sz w:val="16"/>
                <w:szCs w:val="16"/>
                <w:highlight w:val="none"/>
              </w:rPr>
            </w:pPr>
            <w:r>
              <w:rPr>
                <w:rFonts w:hint="default" w:eastAsia="宋体" w:cs="Arial Regular" w:asciiTheme="minorAscii" w:hAnsiTheme="minorAscii"/>
                <w:color w:val="auto"/>
                <w:kern w:val="0"/>
                <w:sz w:val="16"/>
                <w:szCs w:val="16"/>
                <w:highlight w:val="none"/>
                <w:lang w:bidi="ar"/>
              </w:rPr>
              <w:t>6.132</w:t>
            </w:r>
          </w:p>
        </w:tc>
      </w:tr>
    </w:tbl>
    <w:p w14:paraId="1FD1A8BE">
      <w:pPr>
        <w:keepNext w:val="0"/>
        <w:keepLines w:val="0"/>
        <w:pageBreakBefore w:val="0"/>
        <w:widowControl/>
        <w:suppressLineNumbers w:val="0"/>
        <w:kinsoku/>
        <w:wordWrap/>
        <w:overflowPunct/>
        <w:topLinePunct w:val="0"/>
        <w:autoSpaceDE/>
        <w:autoSpaceDN/>
        <w:bidi w:val="0"/>
        <w:adjustRightInd/>
        <w:snapToGrid/>
        <w:spacing w:before="157" w:beforeLines="50"/>
        <w:jc w:val="left"/>
        <w:textAlignment w:val="auto"/>
        <w:rPr>
          <w:rFonts w:hint="default" w:asciiTheme="minorAscii" w:hAnsiTheme="minorAscii"/>
          <w:color w:val="auto"/>
          <w:highlight w:val="none"/>
        </w:rPr>
      </w:pPr>
      <w:r>
        <w:rPr>
          <w:rFonts w:hint="default" w:asciiTheme="minorAscii" w:hAnsiTheme="minorAscii"/>
          <w:color w:val="auto"/>
          <w:highlight w:val="none"/>
        </w:rPr>
        <w:t>Table 1 reports the descriptive statistics of the variables. The results show that the</w:t>
      </w:r>
      <w:r>
        <w:rPr>
          <w:rFonts w:hint="default" w:asciiTheme="minorAscii" w:hAnsiTheme="minorAscii"/>
          <w:color w:val="auto"/>
          <w:highlight w:val="none"/>
          <w:lang w:val="en-US"/>
        </w:rPr>
        <w:t xml:space="preserve"> </w:t>
      </w:r>
      <w:r>
        <w:rPr>
          <w:rFonts w:hint="default" w:asciiTheme="minorAscii" w:hAnsiTheme="minorAscii"/>
          <w:color w:val="auto"/>
          <w:highlight w:val="none"/>
        </w:rPr>
        <w:t xml:space="preserve">standard deviations of LnIO and RCA are both smaller than the mean, indicating that the degree of data dispersion is not </w:t>
      </w:r>
      <w:r>
        <w:rPr>
          <w:rFonts w:hint="default" w:asciiTheme="minorAscii" w:hAnsiTheme="minorAscii"/>
          <w:color w:val="auto"/>
          <w:highlight w:val="none"/>
          <w:lang w:val="en-US" w:eastAsia="zh-CN"/>
        </w:rPr>
        <w:t>high, and</w:t>
      </w:r>
      <w:r>
        <w:rPr>
          <w:rFonts w:hint="default" w:asciiTheme="minorAscii" w:hAnsiTheme="minorAscii"/>
          <w:color w:val="auto"/>
          <w:highlight w:val="none"/>
        </w:rPr>
        <w:t xml:space="preserve"> there are no extreme outliers, allowing further empirical analysis.</w:t>
      </w:r>
    </w:p>
    <w:p w14:paraId="3A5164C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default" w:asciiTheme="minorAscii" w:hAnsiTheme="minorAscii"/>
          <w:b/>
          <w:bCs/>
          <w:color w:val="auto"/>
          <w:highlight w:val="none"/>
          <w:lang w:val="en-US" w:eastAsia="zh-Hans"/>
        </w:rPr>
      </w:pPr>
      <w:r>
        <w:rPr>
          <w:rFonts w:hint="default" w:asciiTheme="minorAscii" w:hAnsiTheme="minorAscii"/>
          <w:b/>
          <w:bCs/>
          <w:color w:val="auto"/>
          <w:highlight w:val="none"/>
          <w:lang w:val="en-US" w:eastAsia="zh-Hans"/>
        </w:rPr>
        <w:t>6.2 Benchmark Regression Analysis</w:t>
      </w:r>
    </w:p>
    <w:p w14:paraId="18F199DC">
      <w:pPr>
        <w:spacing w:before="240"/>
        <w:jc w:val="center"/>
        <w:rPr>
          <w:rFonts w:hint="default" w:asciiTheme="minorAscii" w:hAnsiTheme="minorAscii"/>
          <w:b/>
          <w:bCs/>
          <w:color w:val="auto"/>
          <w:highlight w:val="none"/>
        </w:rPr>
      </w:pPr>
      <w:r>
        <w:rPr>
          <w:rFonts w:hint="default" w:asciiTheme="minorAscii" w:hAnsiTheme="minorAscii"/>
          <w:b/>
          <w:bCs/>
          <w:color w:val="auto"/>
          <w:highlight w:val="none"/>
        </w:rPr>
        <w:t xml:space="preserve">Table 2  Benchmark Regression </w:t>
      </w:r>
      <w:r>
        <w:rPr>
          <w:rFonts w:hint="default" w:asciiTheme="minorAscii" w:hAnsiTheme="minorAscii"/>
          <w:b/>
          <w:bCs/>
          <w:color w:val="auto"/>
          <w:highlight w:val="none"/>
          <w:lang w:eastAsia="zh-Hans"/>
        </w:rPr>
        <w:t>a</w:t>
      </w:r>
      <w:r>
        <w:rPr>
          <w:rFonts w:hint="default" w:asciiTheme="minorAscii" w:hAnsiTheme="minorAscii"/>
          <w:b/>
          <w:bCs/>
          <w:color w:val="auto"/>
          <w:highlight w:val="none"/>
        </w:rPr>
        <w:t>nalysis</w:t>
      </w:r>
    </w:p>
    <w:tbl>
      <w:tblPr>
        <w:tblStyle w:val="3"/>
        <w:tblpPr w:leftFromText="180" w:rightFromText="180" w:vertAnchor="text" w:horzAnchor="page" w:tblpX="1884" w:tblpY="237"/>
        <w:tblOverlap w:val="never"/>
        <w:tblW w:w="831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5"/>
        <w:gridCol w:w="3544"/>
        <w:gridCol w:w="2989"/>
      </w:tblGrid>
      <w:tr w14:paraId="2F6BC41F">
        <w:trPr>
          <w:trHeight w:val="336" w:hRule="atLeast"/>
        </w:trPr>
        <w:tc>
          <w:tcPr>
            <w:tcW w:w="1785" w:type="dxa"/>
            <w:vMerge w:val="restart"/>
            <w:tcBorders>
              <w:top w:val="single" w:color="auto" w:sz="12" w:space="0"/>
              <w:bottom w:val="single" w:color="auto" w:sz="8" w:space="0"/>
            </w:tcBorders>
            <w:shd w:val="clear" w:color="auto" w:fill="auto"/>
            <w:noWrap/>
            <w:vAlign w:val="center"/>
          </w:tcPr>
          <w:p w14:paraId="3457637E">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variables</w:t>
            </w:r>
          </w:p>
        </w:tc>
        <w:tc>
          <w:tcPr>
            <w:tcW w:w="6533" w:type="dxa"/>
            <w:gridSpan w:val="2"/>
            <w:tcBorders>
              <w:top w:val="single" w:color="auto" w:sz="12" w:space="0"/>
              <w:bottom w:val="single" w:color="auto" w:sz="8" w:space="0"/>
            </w:tcBorders>
            <w:shd w:val="clear" w:color="auto" w:fill="auto"/>
            <w:noWrap/>
            <w:vAlign w:val="center"/>
          </w:tcPr>
          <w:p w14:paraId="31BF6D87">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Explained variable</w:t>
            </w:r>
          </w:p>
        </w:tc>
      </w:tr>
      <w:tr w14:paraId="43462507">
        <w:trPr>
          <w:trHeight w:val="340" w:hRule="atLeast"/>
        </w:trPr>
        <w:tc>
          <w:tcPr>
            <w:tcW w:w="1785" w:type="dxa"/>
            <w:vMerge w:val="continue"/>
            <w:tcBorders>
              <w:top w:val="single" w:color="auto" w:sz="8" w:space="0"/>
              <w:bottom w:val="single" w:color="auto" w:sz="8" w:space="0"/>
            </w:tcBorders>
            <w:shd w:val="clear" w:color="auto" w:fill="auto"/>
            <w:noWrap/>
            <w:vAlign w:val="center"/>
          </w:tcPr>
          <w:p w14:paraId="5C7AE8B7">
            <w:pPr>
              <w:jc w:val="left"/>
              <w:rPr>
                <w:rFonts w:hint="default" w:eastAsia="宋体" w:cs="Arial Regular" w:asciiTheme="minorAscii" w:hAnsiTheme="minorAscii"/>
                <w:color w:val="auto"/>
                <w:sz w:val="22"/>
                <w:szCs w:val="22"/>
                <w:highlight w:val="none"/>
              </w:rPr>
            </w:pPr>
          </w:p>
        </w:tc>
        <w:tc>
          <w:tcPr>
            <w:tcW w:w="3544" w:type="dxa"/>
            <w:tcBorders>
              <w:top w:val="single" w:color="auto" w:sz="8" w:space="0"/>
              <w:bottom w:val="single" w:color="auto" w:sz="8" w:space="0"/>
            </w:tcBorders>
            <w:shd w:val="clear" w:color="auto" w:fill="auto"/>
            <w:vAlign w:val="center"/>
          </w:tcPr>
          <w:p w14:paraId="7E901CB6">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eastAsia="zh-Hans" w:bidi="ar"/>
              </w:rPr>
              <w:t>I</w:t>
            </w:r>
            <w:r>
              <w:rPr>
                <w:rFonts w:hint="default" w:eastAsia="宋体" w:cs="Arial Regular" w:asciiTheme="minorAscii" w:hAnsiTheme="minorAscii"/>
                <w:color w:val="auto"/>
                <w:kern w:val="0"/>
                <w:sz w:val="22"/>
                <w:szCs w:val="22"/>
                <w:highlight w:val="none"/>
                <w:lang w:bidi="ar"/>
              </w:rPr>
              <w:t xml:space="preserve">nnovation </w:t>
            </w:r>
            <w:r>
              <w:rPr>
                <w:rFonts w:hint="default" w:eastAsia="宋体" w:cs="Arial Regular" w:asciiTheme="minorAscii" w:hAnsiTheme="minorAscii"/>
                <w:color w:val="auto"/>
                <w:kern w:val="0"/>
                <w:sz w:val="22"/>
                <w:szCs w:val="22"/>
                <w:highlight w:val="none"/>
                <w:lang w:eastAsia="zh-Hans" w:bidi="ar"/>
              </w:rPr>
              <w:t>O</w:t>
            </w:r>
            <w:r>
              <w:rPr>
                <w:rFonts w:hint="default" w:eastAsia="宋体" w:cs="Arial Regular" w:asciiTheme="minorAscii" w:hAnsiTheme="minorAscii"/>
                <w:color w:val="auto"/>
                <w:kern w:val="0"/>
                <w:sz w:val="22"/>
                <w:szCs w:val="22"/>
                <w:highlight w:val="none"/>
                <w:lang w:bidi="ar"/>
              </w:rPr>
              <w:t>utput(1)</w:t>
            </w:r>
          </w:p>
        </w:tc>
        <w:tc>
          <w:tcPr>
            <w:tcW w:w="2989" w:type="dxa"/>
            <w:tcBorders>
              <w:top w:val="single" w:color="auto" w:sz="8" w:space="0"/>
              <w:bottom w:val="single" w:color="auto" w:sz="8" w:space="0"/>
            </w:tcBorders>
            <w:shd w:val="clear" w:color="auto" w:fill="auto"/>
            <w:vAlign w:val="center"/>
          </w:tcPr>
          <w:p w14:paraId="06AF2006">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eastAsia="zh-Hans" w:bidi="ar"/>
              </w:rPr>
              <w:t>I</w:t>
            </w:r>
            <w:r>
              <w:rPr>
                <w:rFonts w:hint="default" w:eastAsia="宋体" w:cs="Arial Regular" w:asciiTheme="minorAscii" w:hAnsiTheme="minorAscii"/>
                <w:color w:val="auto"/>
                <w:kern w:val="0"/>
                <w:sz w:val="22"/>
                <w:szCs w:val="22"/>
                <w:highlight w:val="none"/>
                <w:lang w:bidi="ar"/>
              </w:rPr>
              <w:t xml:space="preserve">nnovation </w:t>
            </w:r>
            <w:r>
              <w:rPr>
                <w:rFonts w:hint="default" w:eastAsia="宋体" w:cs="Arial Regular" w:asciiTheme="minorAscii" w:hAnsiTheme="minorAscii"/>
                <w:color w:val="auto"/>
                <w:kern w:val="0"/>
                <w:sz w:val="22"/>
                <w:szCs w:val="22"/>
                <w:highlight w:val="none"/>
                <w:lang w:eastAsia="zh-Hans" w:bidi="ar"/>
              </w:rPr>
              <w:t>O</w:t>
            </w:r>
            <w:r>
              <w:rPr>
                <w:rFonts w:hint="default" w:eastAsia="宋体" w:cs="Arial Regular" w:asciiTheme="minorAscii" w:hAnsiTheme="minorAscii"/>
                <w:color w:val="auto"/>
                <w:kern w:val="0"/>
                <w:sz w:val="22"/>
                <w:szCs w:val="22"/>
                <w:highlight w:val="none"/>
                <w:lang w:bidi="ar"/>
              </w:rPr>
              <w:t>utput(2)</w:t>
            </w:r>
          </w:p>
        </w:tc>
      </w:tr>
      <w:tr w14:paraId="12600C60">
        <w:trPr>
          <w:trHeight w:val="249" w:hRule="atLeast"/>
        </w:trPr>
        <w:tc>
          <w:tcPr>
            <w:tcW w:w="1785" w:type="dxa"/>
            <w:vMerge w:val="restart"/>
            <w:tcBorders>
              <w:top w:val="single" w:color="auto" w:sz="8" w:space="0"/>
            </w:tcBorders>
            <w:shd w:val="clear" w:color="auto" w:fill="auto"/>
            <w:noWrap/>
            <w:vAlign w:val="center"/>
          </w:tcPr>
          <w:p w14:paraId="5F7BE9A8">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RCA</w:t>
            </w:r>
          </w:p>
        </w:tc>
        <w:tc>
          <w:tcPr>
            <w:tcW w:w="3544" w:type="dxa"/>
            <w:tcBorders>
              <w:top w:val="single" w:color="auto" w:sz="8" w:space="0"/>
            </w:tcBorders>
            <w:shd w:val="clear" w:color="auto" w:fill="auto"/>
            <w:noWrap/>
            <w:vAlign w:val="bottom"/>
          </w:tcPr>
          <w:p w14:paraId="59B6B54A">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8.924***</w:t>
            </w:r>
          </w:p>
        </w:tc>
        <w:tc>
          <w:tcPr>
            <w:tcW w:w="2989" w:type="dxa"/>
            <w:tcBorders>
              <w:top w:val="single" w:color="auto" w:sz="8" w:space="0"/>
            </w:tcBorders>
            <w:shd w:val="clear" w:color="auto" w:fill="auto"/>
            <w:noWrap/>
            <w:vAlign w:val="bottom"/>
          </w:tcPr>
          <w:p w14:paraId="51D8244B">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8.905***</w:t>
            </w:r>
          </w:p>
        </w:tc>
      </w:tr>
      <w:tr w14:paraId="66E2BA2D">
        <w:trPr>
          <w:trHeight w:val="211" w:hRule="atLeast"/>
        </w:trPr>
        <w:tc>
          <w:tcPr>
            <w:tcW w:w="1785" w:type="dxa"/>
            <w:vMerge w:val="continue"/>
            <w:shd w:val="clear" w:color="auto" w:fill="auto"/>
            <w:noWrap/>
            <w:vAlign w:val="center"/>
          </w:tcPr>
          <w:p w14:paraId="0E15A520">
            <w:pPr>
              <w:jc w:val="left"/>
              <w:rPr>
                <w:rFonts w:hint="default" w:eastAsia="宋体" w:cs="Arial Regular" w:asciiTheme="minorAscii" w:hAnsiTheme="minorAscii"/>
                <w:color w:val="auto"/>
                <w:sz w:val="22"/>
                <w:szCs w:val="22"/>
                <w:highlight w:val="none"/>
              </w:rPr>
            </w:pPr>
          </w:p>
        </w:tc>
        <w:tc>
          <w:tcPr>
            <w:tcW w:w="3544" w:type="dxa"/>
            <w:shd w:val="clear" w:color="auto" w:fill="auto"/>
            <w:noWrap/>
            <w:vAlign w:val="bottom"/>
          </w:tcPr>
          <w:p w14:paraId="08B11B8B">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(3.099)</w:t>
            </w:r>
          </w:p>
        </w:tc>
        <w:tc>
          <w:tcPr>
            <w:tcW w:w="2989" w:type="dxa"/>
            <w:shd w:val="clear" w:color="auto" w:fill="auto"/>
            <w:noWrap/>
            <w:vAlign w:val="bottom"/>
          </w:tcPr>
          <w:p w14:paraId="44FDAE2C">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(3.074)</w:t>
            </w:r>
          </w:p>
        </w:tc>
      </w:tr>
      <w:tr w14:paraId="0E5356D3">
        <w:trPr>
          <w:trHeight w:val="124" w:hRule="atLeast"/>
        </w:trPr>
        <w:tc>
          <w:tcPr>
            <w:tcW w:w="1785" w:type="dxa"/>
            <w:shd w:val="clear" w:color="auto" w:fill="auto"/>
            <w:noWrap/>
            <w:vAlign w:val="center"/>
          </w:tcPr>
          <w:p w14:paraId="06ABE39F">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controls</w:t>
            </w:r>
          </w:p>
        </w:tc>
        <w:tc>
          <w:tcPr>
            <w:tcW w:w="3544" w:type="dxa"/>
            <w:shd w:val="clear" w:color="auto" w:fill="auto"/>
            <w:noWrap/>
            <w:vAlign w:val="center"/>
          </w:tcPr>
          <w:p w14:paraId="03014619">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no</w:t>
            </w:r>
          </w:p>
        </w:tc>
        <w:tc>
          <w:tcPr>
            <w:tcW w:w="2989" w:type="dxa"/>
            <w:shd w:val="clear" w:color="auto" w:fill="auto"/>
            <w:noWrap/>
            <w:vAlign w:val="center"/>
          </w:tcPr>
          <w:p w14:paraId="2FFAADA0">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r>
      <w:tr w14:paraId="5192DB69">
        <w:trPr>
          <w:trHeight w:val="90" w:hRule="atLeast"/>
        </w:trPr>
        <w:tc>
          <w:tcPr>
            <w:tcW w:w="1785" w:type="dxa"/>
            <w:shd w:val="clear" w:color="auto" w:fill="auto"/>
            <w:noWrap/>
            <w:vAlign w:val="center"/>
          </w:tcPr>
          <w:p w14:paraId="2B3C0C71">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individual effect</w:t>
            </w:r>
          </w:p>
        </w:tc>
        <w:tc>
          <w:tcPr>
            <w:tcW w:w="3544" w:type="dxa"/>
            <w:shd w:val="clear" w:color="auto" w:fill="auto"/>
            <w:noWrap/>
            <w:vAlign w:val="center"/>
          </w:tcPr>
          <w:p w14:paraId="3BBDE6C0">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c>
          <w:tcPr>
            <w:tcW w:w="2989" w:type="dxa"/>
            <w:shd w:val="clear" w:color="auto" w:fill="auto"/>
            <w:noWrap/>
            <w:vAlign w:val="center"/>
          </w:tcPr>
          <w:p w14:paraId="3490DE1D">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r>
      <w:tr w14:paraId="69AB76FB">
        <w:trPr>
          <w:trHeight w:val="90" w:hRule="atLeast"/>
        </w:trPr>
        <w:tc>
          <w:tcPr>
            <w:tcW w:w="1785" w:type="dxa"/>
            <w:tcBorders>
              <w:bottom w:val="single" w:color="000000" w:themeColor="text1" w:sz="8" w:space="0"/>
            </w:tcBorders>
            <w:shd w:val="clear" w:color="auto" w:fill="auto"/>
            <w:noWrap/>
            <w:vAlign w:val="center"/>
          </w:tcPr>
          <w:p w14:paraId="1F0DF0DA">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time effect</w:t>
            </w:r>
          </w:p>
        </w:tc>
        <w:tc>
          <w:tcPr>
            <w:tcW w:w="3544" w:type="dxa"/>
            <w:tcBorders>
              <w:bottom w:val="single" w:color="000000" w:themeColor="text1" w:sz="8" w:space="0"/>
            </w:tcBorders>
            <w:shd w:val="clear" w:color="auto" w:fill="auto"/>
            <w:noWrap/>
            <w:vAlign w:val="center"/>
          </w:tcPr>
          <w:p w14:paraId="3B1B3E2E">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c>
          <w:tcPr>
            <w:tcW w:w="2989" w:type="dxa"/>
            <w:tcBorders>
              <w:bottom w:val="single" w:color="000000" w:themeColor="text1" w:sz="8" w:space="0"/>
            </w:tcBorders>
            <w:shd w:val="clear" w:color="auto" w:fill="auto"/>
            <w:noWrap/>
            <w:vAlign w:val="center"/>
          </w:tcPr>
          <w:p w14:paraId="7864DF8F">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r>
      <w:tr w14:paraId="724A101E">
        <w:trPr>
          <w:trHeight w:val="90" w:hRule="atLeast"/>
        </w:trPr>
        <w:tc>
          <w:tcPr>
            <w:tcW w:w="1785" w:type="dxa"/>
            <w:tcBorders>
              <w:top w:val="single" w:color="000000" w:themeColor="text1" w:sz="8" w:space="0"/>
            </w:tcBorders>
            <w:shd w:val="clear" w:color="auto" w:fill="auto"/>
            <w:noWrap/>
            <w:vAlign w:val="center"/>
          </w:tcPr>
          <w:p w14:paraId="7AFCD9E3">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Adj-R</w:t>
            </w:r>
            <w:r>
              <w:rPr>
                <w:rFonts w:hint="default" w:eastAsia="宋体" w:cs="Arial Regular" w:asciiTheme="minorAscii" w:hAnsiTheme="minorAscii"/>
                <w:color w:val="auto"/>
                <w:kern w:val="0"/>
                <w:sz w:val="22"/>
                <w:szCs w:val="22"/>
                <w:highlight w:val="none"/>
                <w:vertAlign w:val="superscript"/>
                <w:lang w:bidi="ar"/>
              </w:rPr>
              <w:t>2</w:t>
            </w:r>
          </w:p>
        </w:tc>
        <w:tc>
          <w:tcPr>
            <w:tcW w:w="3544" w:type="dxa"/>
            <w:tcBorders>
              <w:top w:val="single" w:color="000000" w:themeColor="text1" w:sz="8" w:space="0"/>
            </w:tcBorders>
            <w:shd w:val="clear" w:color="auto" w:fill="auto"/>
            <w:noWrap/>
            <w:vAlign w:val="center"/>
          </w:tcPr>
          <w:p w14:paraId="35D4070D">
            <w:pPr>
              <w:widowControl/>
              <w:jc w:val="center"/>
              <w:textAlignment w:val="center"/>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sz w:val="20"/>
                <w:szCs w:val="20"/>
                <w:highlight w:val="none"/>
              </w:rPr>
              <w:t>0.023</w:t>
            </w:r>
          </w:p>
        </w:tc>
        <w:tc>
          <w:tcPr>
            <w:tcW w:w="2989" w:type="dxa"/>
            <w:tcBorders>
              <w:top w:val="single" w:color="000000" w:themeColor="text1" w:sz="8" w:space="0"/>
            </w:tcBorders>
            <w:shd w:val="clear" w:color="auto" w:fill="auto"/>
            <w:noWrap/>
            <w:vAlign w:val="center"/>
          </w:tcPr>
          <w:p w14:paraId="7E0AB50F">
            <w:pPr>
              <w:widowControl/>
              <w:jc w:val="center"/>
              <w:textAlignment w:val="center"/>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sz w:val="20"/>
                <w:szCs w:val="20"/>
                <w:highlight w:val="none"/>
              </w:rPr>
              <w:t>0.019</w:t>
            </w:r>
          </w:p>
        </w:tc>
      </w:tr>
      <w:tr w14:paraId="105F8945">
        <w:trPr>
          <w:trHeight w:val="90" w:hRule="atLeast"/>
        </w:trPr>
        <w:tc>
          <w:tcPr>
            <w:tcW w:w="1785" w:type="dxa"/>
            <w:tcBorders>
              <w:bottom w:val="single" w:color="auto" w:sz="12" w:space="0"/>
            </w:tcBorders>
            <w:shd w:val="clear" w:color="auto" w:fill="auto"/>
            <w:noWrap/>
            <w:vAlign w:val="center"/>
          </w:tcPr>
          <w:p w14:paraId="20EDF735">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N</w:t>
            </w:r>
          </w:p>
        </w:tc>
        <w:tc>
          <w:tcPr>
            <w:tcW w:w="3544" w:type="dxa"/>
            <w:tcBorders>
              <w:bottom w:val="single" w:color="auto" w:sz="12" w:space="0"/>
            </w:tcBorders>
            <w:shd w:val="clear" w:color="auto" w:fill="auto"/>
            <w:noWrap/>
            <w:vAlign w:val="center"/>
          </w:tcPr>
          <w:p w14:paraId="300923B8">
            <w:pPr>
              <w:widowControl/>
              <w:jc w:val="center"/>
              <w:textAlignment w:val="center"/>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12,092</w:t>
            </w:r>
          </w:p>
        </w:tc>
        <w:tc>
          <w:tcPr>
            <w:tcW w:w="2989" w:type="dxa"/>
            <w:tcBorders>
              <w:bottom w:val="single" w:color="auto" w:sz="12" w:space="0"/>
            </w:tcBorders>
            <w:shd w:val="clear" w:color="auto" w:fill="auto"/>
            <w:noWrap/>
            <w:vAlign w:val="center"/>
          </w:tcPr>
          <w:p w14:paraId="1F243D70">
            <w:pPr>
              <w:widowControl/>
              <w:jc w:val="center"/>
              <w:textAlignment w:val="center"/>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12,092</w:t>
            </w:r>
          </w:p>
        </w:tc>
      </w:tr>
    </w:tbl>
    <w:p w14:paraId="03A99515">
      <w:pPr>
        <w:keepNext w:val="0"/>
        <w:keepLines w:val="0"/>
        <w:pageBreakBefore w:val="0"/>
        <w:widowControl w:val="0"/>
        <w:kinsoku/>
        <w:wordWrap/>
        <w:overflowPunct/>
        <w:topLinePunct w:val="0"/>
        <w:autoSpaceDE/>
        <w:autoSpaceDN/>
        <w:bidi w:val="0"/>
        <w:adjustRightInd/>
        <w:snapToGrid/>
        <w:spacing w:before="60" w:after="60" w:line="200" w:lineRule="exact"/>
        <w:jc w:val="left"/>
        <w:textAlignment w:val="auto"/>
        <w:rPr>
          <w:rFonts w:hint="default" w:asciiTheme="minorAscii" w:hAnsiTheme="minorAscii"/>
          <w:color w:val="auto"/>
          <w:sz w:val="16"/>
          <w:szCs w:val="20"/>
          <w:highlight w:val="none"/>
        </w:rPr>
      </w:pPr>
      <w:r>
        <w:rPr>
          <w:rFonts w:hint="default" w:asciiTheme="minorAscii" w:hAnsiTheme="minorAscii"/>
          <w:color w:val="auto"/>
          <w:sz w:val="16"/>
          <w:szCs w:val="20"/>
          <w:highlight w:val="none"/>
        </w:rPr>
        <w:t>Note: ＊＊＊, ＊＊, and ＊ indicate significance at the 1%, 5%, and 10% levels respectively. Numbers in parentheses are robust standard errors clustered to the firm level. The same below.</w:t>
      </w:r>
    </w:p>
    <w:p w14:paraId="6D53BA19">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Table 2 presents the impact of producer services trade competitiveness on independent innovation within manufacturing enterprises, as measured by innovation output. The Hausman test (p=0.000&lt;0.05) rejects the null hypothesis and the fixed effect model (FE) should be used. The regression results show that: Column (1) shows that the competitiveness of productive service trade has a significant positive effect on the innovation output of manufacturing enterprises at the 1% level, and column (2) shows that the direction and significance are consistent after adding control variables, and the coefficient changes only slightly, which verifies hypothesis H1.</w:t>
      </w:r>
    </w:p>
    <w:p w14:paraId="40CCA7D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default" w:asciiTheme="minorAscii" w:hAnsiTheme="minorAscii"/>
          <w:b/>
          <w:bCs/>
          <w:color w:val="auto"/>
          <w:highlight w:val="none"/>
          <w:lang w:val="en-US" w:eastAsia="zh-Hans"/>
        </w:rPr>
      </w:pPr>
      <w:r>
        <w:rPr>
          <w:rFonts w:hint="default" w:asciiTheme="minorAscii" w:hAnsiTheme="minorAscii"/>
          <w:b/>
          <w:bCs/>
          <w:color w:val="auto"/>
          <w:highlight w:val="none"/>
          <w:lang w:val="en-US" w:eastAsia="zh-Hans"/>
        </w:rPr>
        <w:t>6.3 Robustness check</w:t>
      </w:r>
    </w:p>
    <w:p w14:paraId="4B8728DB">
      <w:pPr>
        <w:spacing w:before="240" w:after="60" w:line="200" w:lineRule="exact"/>
        <w:jc w:val="center"/>
        <w:rPr>
          <w:rFonts w:hint="default" w:asciiTheme="minorAscii" w:hAnsiTheme="minorAscii"/>
          <w:b/>
          <w:bCs/>
          <w:color w:val="auto"/>
          <w:highlight w:val="none"/>
        </w:rPr>
      </w:pPr>
      <w:r>
        <w:rPr>
          <w:rFonts w:hint="default" w:asciiTheme="minorAscii" w:hAnsiTheme="minorAscii"/>
          <w:b/>
          <w:bCs/>
          <w:color w:val="auto"/>
          <w:highlight w:val="none"/>
        </w:rPr>
        <w:t>Table 3  Robustness check</w:t>
      </w:r>
    </w:p>
    <w:tbl>
      <w:tblPr>
        <w:tblStyle w:val="3"/>
        <w:tblpPr w:leftFromText="180" w:rightFromText="180" w:vertAnchor="text" w:horzAnchor="page" w:tblpX="1885" w:tblpY="217"/>
        <w:tblOverlap w:val="never"/>
        <w:tblW w:w="8324" w:type="dxa"/>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56"/>
        <w:gridCol w:w="2191"/>
        <w:gridCol w:w="2430"/>
        <w:gridCol w:w="2047"/>
      </w:tblGrid>
      <w:tr w14:paraId="1B563120">
        <w:trPr>
          <w:trHeight w:val="336" w:hRule="atLeast"/>
        </w:trPr>
        <w:tc>
          <w:tcPr>
            <w:tcW w:w="1656" w:type="dxa"/>
            <w:vMerge w:val="restart"/>
            <w:tcBorders>
              <w:bottom w:val="single" w:color="000000" w:sz="8" w:space="0"/>
            </w:tcBorders>
            <w:shd w:val="clear" w:color="auto" w:fill="auto"/>
            <w:noWrap/>
            <w:vAlign w:val="center"/>
          </w:tcPr>
          <w:p w14:paraId="40D12013">
            <w:pPr>
              <w:widowControl/>
              <w:jc w:val="left"/>
              <w:textAlignment w:val="center"/>
              <w:rPr>
                <w:rFonts w:hint="default" w:eastAsia="宋体" w:cs="Arial Regular" w:asciiTheme="minorAscii" w:hAnsiTheme="minorAscii"/>
                <w:color w:val="auto"/>
                <w:szCs w:val="21"/>
                <w:highlight w:val="none"/>
              </w:rPr>
            </w:pPr>
            <w:r>
              <w:rPr>
                <w:rFonts w:hint="default" w:eastAsia="宋体" w:cs="Arial Regular" w:asciiTheme="minorAscii" w:hAnsiTheme="minorAscii"/>
                <w:color w:val="auto"/>
                <w:kern w:val="0"/>
                <w:szCs w:val="21"/>
                <w:highlight w:val="none"/>
                <w:lang w:bidi="ar"/>
              </w:rPr>
              <w:t>variables</w:t>
            </w:r>
          </w:p>
        </w:tc>
        <w:tc>
          <w:tcPr>
            <w:tcW w:w="2191" w:type="dxa"/>
            <w:tcBorders>
              <w:bottom w:val="single" w:color="000000" w:sz="8" w:space="0"/>
            </w:tcBorders>
            <w:shd w:val="clear" w:color="auto" w:fill="auto"/>
            <w:noWrap/>
            <w:vAlign w:val="center"/>
          </w:tcPr>
          <w:p w14:paraId="02572F43">
            <w:pPr>
              <w:widowControl/>
              <w:jc w:val="center"/>
              <w:textAlignment w:val="center"/>
              <w:rPr>
                <w:rFonts w:hint="default" w:eastAsia="宋体" w:cs="Arial Regular" w:asciiTheme="minorAscii" w:hAnsiTheme="minorAscii"/>
                <w:color w:val="auto"/>
                <w:szCs w:val="21"/>
                <w:highlight w:val="none"/>
              </w:rPr>
            </w:pPr>
            <w:r>
              <w:rPr>
                <w:rFonts w:hint="default" w:eastAsia="宋体" w:cs="Arial Regular" w:asciiTheme="minorAscii" w:hAnsiTheme="minorAscii"/>
                <w:color w:val="auto"/>
                <w:kern w:val="0"/>
                <w:szCs w:val="21"/>
                <w:highlight w:val="none"/>
                <w:lang w:bidi="ar"/>
              </w:rPr>
              <w:t>Replace explanatory variables</w:t>
            </w:r>
          </w:p>
        </w:tc>
        <w:tc>
          <w:tcPr>
            <w:tcW w:w="2430" w:type="dxa"/>
            <w:tcBorders>
              <w:bottom w:val="single" w:color="000000" w:sz="8" w:space="0"/>
            </w:tcBorders>
            <w:shd w:val="clear" w:color="auto" w:fill="auto"/>
            <w:noWrap/>
            <w:vAlign w:val="center"/>
          </w:tcPr>
          <w:p w14:paraId="700275B2">
            <w:pPr>
              <w:widowControl/>
              <w:jc w:val="center"/>
              <w:textAlignment w:val="center"/>
              <w:rPr>
                <w:rFonts w:hint="default" w:eastAsia="宋体" w:cs="Arial Regular" w:asciiTheme="minorAscii" w:hAnsiTheme="minorAscii"/>
                <w:color w:val="auto"/>
                <w:szCs w:val="21"/>
                <w:highlight w:val="none"/>
              </w:rPr>
            </w:pPr>
            <w:r>
              <w:rPr>
                <w:rFonts w:hint="default" w:eastAsia="宋体" w:cs="Arial Regular" w:asciiTheme="minorAscii" w:hAnsiTheme="minorAscii"/>
                <w:color w:val="auto"/>
                <w:kern w:val="0"/>
                <w:szCs w:val="21"/>
                <w:highlight w:val="none"/>
                <w:lang w:bidi="ar"/>
              </w:rPr>
              <w:t>Replace the explained variable</w:t>
            </w:r>
          </w:p>
        </w:tc>
        <w:tc>
          <w:tcPr>
            <w:tcW w:w="2047" w:type="dxa"/>
            <w:tcBorders>
              <w:bottom w:val="single" w:color="000000" w:sz="8" w:space="0"/>
            </w:tcBorders>
            <w:shd w:val="clear" w:color="auto" w:fill="auto"/>
            <w:noWrap/>
            <w:vAlign w:val="center"/>
          </w:tcPr>
          <w:p w14:paraId="07A79345">
            <w:pPr>
              <w:widowControl/>
              <w:jc w:val="center"/>
              <w:textAlignment w:val="center"/>
              <w:rPr>
                <w:rFonts w:hint="default" w:eastAsia="宋体" w:cs="Arial Regular" w:asciiTheme="minorAscii" w:hAnsiTheme="minorAscii"/>
                <w:color w:val="auto"/>
                <w:szCs w:val="21"/>
                <w:highlight w:val="none"/>
              </w:rPr>
            </w:pPr>
            <w:r>
              <w:rPr>
                <w:rFonts w:hint="default" w:eastAsia="宋体" w:cs="Arial Regular" w:asciiTheme="minorAscii" w:hAnsiTheme="minorAscii"/>
                <w:color w:val="auto"/>
                <w:kern w:val="0"/>
                <w:szCs w:val="21"/>
                <w:highlight w:val="none"/>
                <w:lang w:bidi="ar"/>
              </w:rPr>
              <w:t>Adjust control variables</w:t>
            </w:r>
          </w:p>
        </w:tc>
      </w:tr>
      <w:tr w14:paraId="2FFCA036">
        <w:trPr>
          <w:trHeight w:val="336" w:hRule="atLeast"/>
        </w:trPr>
        <w:tc>
          <w:tcPr>
            <w:tcW w:w="1656" w:type="dxa"/>
            <w:vMerge w:val="continue"/>
            <w:tcBorders>
              <w:top w:val="single" w:color="000000" w:sz="8" w:space="0"/>
              <w:bottom w:val="single" w:color="000000" w:sz="8" w:space="0"/>
            </w:tcBorders>
            <w:shd w:val="clear" w:color="auto" w:fill="auto"/>
            <w:noWrap/>
            <w:vAlign w:val="center"/>
          </w:tcPr>
          <w:p w14:paraId="258D6631">
            <w:pPr>
              <w:jc w:val="left"/>
              <w:rPr>
                <w:rFonts w:hint="default" w:eastAsia="宋体" w:cs="Arial Regular" w:asciiTheme="minorAscii" w:hAnsiTheme="minorAscii"/>
                <w:color w:val="auto"/>
                <w:szCs w:val="21"/>
                <w:highlight w:val="none"/>
              </w:rPr>
            </w:pPr>
          </w:p>
        </w:tc>
        <w:tc>
          <w:tcPr>
            <w:tcW w:w="2191" w:type="dxa"/>
            <w:tcBorders>
              <w:top w:val="single" w:color="000000" w:sz="8" w:space="0"/>
              <w:bottom w:val="single" w:color="000000" w:sz="8" w:space="0"/>
            </w:tcBorders>
            <w:shd w:val="clear" w:color="auto" w:fill="auto"/>
            <w:noWrap/>
            <w:vAlign w:val="center"/>
          </w:tcPr>
          <w:p w14:paraId="33D14B68">
            <w:pPr>
              <w:widowControl/>
              <w:jc w:val="center"/>
              <w:textAlignment w:val="center"/>
              <w:rPr>
                <w:rFonts w:hint="default" w:eastAsia="宋体" w:cs="Arial Regular" w:asciiTheme="minorAscii" w:hAnsiTheme="minorAscii"/>
                <w:color w:val="auto"/>
                <w:szCs w:val="21"/>
                <w:highlight w:val="none"/>
              </w:rPr>
            </w:pPr>
            <w:r>
              <w:rPr>
                <w:rFonts w:hint="default" w:eastAsia="宋体" w:cs="Arial Regular" w:asciiTheme="minorAscii" w:hAnsiTheme="minorAscii"/>
                <w:color w:val="auto"/>
                <w:kern w:val="0"/>
                <w:sz w:val="22"/>
                <w:szCs w:val="22"/>
                <w:highlight w:val="none"/>
                <w:lang w:eastAsia="zh-Hans" w:bidi="ar"/>
              </w:rPr>
              <w:t>I</w:t>
            </w:r>
            <w:r>
              <w:rPr>
                <w:rFonts w:hint="default" w:eastAsia="宋体" w:cs="Arial Regular" w:asciiTheme="minorAscii" w:hAnsiTheme="minorAscii"/>
                <w:color w:val="auto"/>
                <w:kern w:val="0"/>
                <w:sz w:val="22"/>
                <w:szCs w:val="22"/>
                <w:highlight w:val="none"/>
                <w:lang w:bidi="ar"/>
              </w:rPr>
              <w:t xml:space="preserve">nnovation </w:t>
            </w:r>
            <w:r>
              <w:rPr>
                <w:rFonts w:hint="default" w:eastAsia="宋体" w:cs="Arial Regular" w:asciiTheme="minorAscii" w:hAnsiTheme="minorAscii"/>
                <w:color w:val="auto"/>
                <w:kern w:val="0"/>
                <w:sz w:val="22"/>
                <w:szCs w:val="22"/>
                <w:highlight w:val="none"/>
                <w:lang w:eastAsia="zh-Hans" w:bidi="ar"/>
              </w:rPr>
              <w:t>O</w:t>
            </w:r>
            <w:r>
              <w:rPr>
                <w:rFonts w:hint="default" w:eastAsia="宋体" w:cs="Arial Regular" w:asciiTheme="minorAscii" w:hAnsiTheme="minorAscii"/>
                <w:color w:val="auto"/>
                <w:kern w:val="0"/>
                <w:sz w:val="22"/>
                <w:szCs w:val="22"/>
                <w:highlight w:val="none"/>
                <w:lang w:bidi="ar"/>
              </w:rPr>
              <w:t>utput</w:t>
            </w:r>
            <w:r>
              <w:rPr>
                <w:rFonts w:hint="default" w:eastAsia="宋体" w:cs="Arial Regular" w:asciiTheme="minorAscii" w:hAnsiTheme="minorAscii"/>
                <w:color w:val="auto"/>
                <w:kern w:val="0"/>
                <w:szCs w:val="21"/>
                <w:highlight w:val="none"/>
                <w:lang w:bidi="ar"/>
              </w:rPr>
              <w:t>(1)</w:t>
            </w:r>
          </w:p>
        </w:tc>
        <w:tc>
          <w:tcPr>
            <w:tcW w:w="2430" w:type="dxa"/>
            <w:tcBorders>
              <w:top w:val="single" w:color="000000" w:sz="8" w:space="0"/>
              <w:bottom w:val="single" w:color="000000" w:sz="8" w:space="0"/>
            </w:tcBorders>
            <w:shd w:val="clear" w:color="auto" w:fill="auto"/>
            <w:noWrap/>
            <w:vAlign w:val="center"/>
          </w:tcPr>
          <w:p w14:paraId="6C7D4A09">
            <w:pPr>
              <w:widowControl/>
              <w:jc w:val="center"/>
              <w:textAlignment w:val="center"/>
              <w:rPr>
                <w:rFonts w:hint="default" w:eastAsia="宋体" w:cs="Arial Regular" w:asciiTheme="minorAscii" w:hAnsiTheme="minorAscii"/>
                <w:color w:val="auto"/>
                <w:szCs w:val="21"/>
                <w:highlight w:val="none"/>
              </w:rPr>
            </w:pPr>
            <w:r>
              <w:rPr>
                <w:rFonts w:hint="default" w:eastAsia="宋体" w:cs="Arial Regular" w:asciiTheme="minorAscii" w:hAnsiTheme="minorAscii"/>
                <w:color w:val="auto"/>
                <w:kern w:val="0"/>
                <w:sz w:val="22"/>
                <w:szCs w:val="22"/>
                <w:highlight w:val="none"/>
                <w:lang w:eastAsia="zh-Hans" w:bidi="ar"/>
              </w:rPr>
              <w:t>I</w:t>
            </w:r>
            <w:r>
              <w:rPr>
                <w:rFonts w:hint="default" w:eastAsia="宋体" w:cs="Arial Regular" w:asciiTheme="minorAscii" w:hAnsiTheme="minorAscii"/>
                <w:color w:val="auto"/>
                <w:kern w:val="0"/>
                <w:sz w:val="22"/>
                <w:szCs w:val="22"/>
                <w:highlight w:val="none"/>
                <w:lang w:bidi="ar"/>
              </w:rPr>
              <w:t xml:space="preserve">nnovation </w:t>
            </w:r>
            <w:r>
              <w:rPr>
                <w:rFonts w:hint="default" w:eastAsia="宋体" w:cs="Arial Regular" w:asciiTheme="minorAscii" w:hAnsiTheme="minorAscii"/>
                <w:color w:val="auto"/>
                <w:kern w:val="0"/>
                <w:sz w:val="22"/>
                <w:szCs w:val="22"/>
                <w:highlight w:val="none"/>
                <w:lang w:eastAsia="zh-Hans" w:bidi="ar"/>
              </w:rPr>
              <w:t>O</w:t>
            </w:r>
            <w:r>
              <w:rPr>
                <w:rFonts w:hint="default" w:eastAsia="宋体" w:cs="Arial Regular" w:asciiTheme="minorAscii" w:hAnsiTheme="minorAscii"/>
                <w:color w:val="auto"/>
                <w:kern w:val="0"/>
                <w:sz w:val="22"/>
                <w:szCs w:val="22"/>
                <w:highlight w:val="none"/>
                <w:lang w:bidi="ar"/>
              </w:rPr>
              <w:t>utput</w:t>
            </w:r>
            <w:r>
              <w:rPr>
                <w:rFonts w:hint="default" w:eastAsia="宋体" w:cs="Arial Regular" w:asciiTheme="minorAscii" w:hAnsiTheme="minorAscii"/>
                <w:color w:val="auto"/>
                <w:kern w:val="0"/>
                <w:szCs w:val="21"/>
                <w:highlight w:val="none"/>
                <w:lang w:bidi="ar"/>
              </w:rPr>
              <w:t>(2)</w:t>
            </w:r>
          </w:p>
        </w:tc>
        <w:tc>
          <w:tcPr>
            <w:tcW w:w="2047" w:type="dxa"/>
            <w:tcBorders>
              <w:top w:val="single" w:color="000000" w:sz="8" w:space="0"/>
              <w:bottom w:val="single" w:color="000000" w:sz="8" w:space="0"/>
            </w:tcBorders>
            <w:shd w:val="clear" w:color="auto" w:fill="auto"/>
            <w:noWrap/>
            <w:vAlign w:val="center"/>
          </w:tcPr>
          <w:p w14:paraId="5023CA6A">
            <w:pPr>
              <w:widowControl/>
              <w:jc w:val="center"/>
              <w:textAlignment w:val="center"/>
              <w:rPr>
                <w:rFonts w:hint="default" w:eastAsia="宋体" w:cs="Arial Regular" w:asciiTheme="minorAscii" w:hAnsiTheme="minorAscii"/>
                <w:color w:val="auto"/>
                <w:szCs w:val="21"/>
                <w:highlight w:val="none"/>
              </w:rPr>
            </w:pPr>
            <w:r>
              <w:rPr>
                <w:rFonts w:hint="default" w:eastAsia="宋体" w:cs="Arial Regular" w:asciiTheme="minorAscii" w:hAnsiTheme="minorAscii"/>
                <w:color w:val="auto"/>
                <w:kern w:val="0"/>
                <w:sz w:val="22"/>
                <w:szCs w:val="22"/>
                <w:highlight w:val="none"/>
                <w:lang w:eastAsia="zh-Hans" w:bidi="ar"/>
              </w:rPr>
              <w:t>I</w:t>
            </w:r>
            <w:r>
              <w:rPr>
                <w:rFonts w:hint="default" w:eastAsia="宋体" w:cs="Arial Regular" w:asciiTheme="minorAscii" w:hAnsiTheme="minorAscii"/>
                <w:color w:val="auto"/>
                <w:kern w:val="0"/>
                <w:sz w:val="22"/>
                <w:szCs w:val="22"/>
                <w:highlight w:val="none"/>
                <w:lang w:bidi="ar"/>
              </w:rPr>
              <w:t xml:space="preserve">nnovation </w:t>
            </w:r>
            <w:r>
              <w:rPr>
                <w:rFonts w:hint="default" w:eastAsia="宋体" w:cs="Arial Regular" w:asciiTheme="minorAscii" w:hAnsiTheme="minorAscii"/>
                <w:color w:val="auto"/>
                <w:kern w:val="0"/>
                <w:sz w:val="22"/>
                <w:szCs w:val="22"/>
                <w:highlight w:val="none"/>
                <w:lang w:eastAsia="zh-Hans" w:bidi="ar"/>
              </w:rPr>
              <w:t>O</w:t>
            </w:r>
            <w:r>
              <w:rPr>
                <w:rFonts w:hint="default" w:eastAsia="宋体" w:cs="Arial Regular" w:asciiTheme="minorAscii" w:hAnsiTheme="minorAscii"/>
                <w:color w:val="auto"/>
                <w:kern w:val="0"/>
                <w:sz w:val="22"/>
                <w:szCs w:val="22"/>
                <w:highlight w:val="none"/>
                <w:lang w:bidi="ar"/>
              </w:rPr>
              <w:t>utput</w:t>
            </w:r>
            <w:r>
              <w:rPr>
                <w:rFonts w:hint="default" w:eastAsia="宋体" w:cs="Arial Regular" w:asciiTheme="minorAscii" w:hAnsiTheme="minorAscii"/>
                <w:color w:val="auto"/>
                <w:kern w:val="0"/>
                <w:szCs w:val="21"/>
                <w:highlight w:val="none"/>
                <w:lang w:bidi="ar"/>
              </w:rPr>
              <w:t>(3)</w:t>
            </w:r>
          </w:p>
        </w:tc>
      </w:tr>
      <w:tr w14:paraId="5C35499B">
        <w:trPr>
          <w:trHeight w:val="336" w:hRule="atLeast"/>
        </w:trPr>
        <w:tc>
          <w:tcPr>
            <w:tcW w:w="1656" w:type="dxa"/>
            <w:vMerge w:val="restart"/>
            <w:tcBorders>
              <w:top w:val="single" w:color="000000" w:sz="8" w:space="0"/>
              <w:tl2br w:val="nil"/>
              <w:tr2bl w:val="nil"/>
            </w:tcBorders>
            <w:shd w:val="clear" w:color="auto" w:fill="auto"/>
            <w:noWrap/>
            <w:vAlign w:val="center"/>
          </w:tcPr>
          <w:p w14:paraId="370EDC67">
            <w:pPr>
              <w:widowControl/>
              <w:jc w:val="left"/>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rca</w:t>
            </w:r>
          </w:p>
        </w:tc>
        <w:tc>
          <w:tcPr>
            <w:tcW w:w="2191" w:type="dxa"/>
            <w:vMerge w:val="restart"/>
            <w:tcBorders>
              <w:top w:val="single" w:color="000000" w:sz="8" w:space="0"/>
              <w:tl2br w:val="nil"/>
              <w:tr2bl w:val="nil"/>
            </w:tcBorders>
            <w:shd w:val="clear" w:color="auto" w:fill="auto"/>
            <w:noWrap/>
            <w:vAlign w:val="center"/>
          </w:tcPr>
          <w:p w14:paraId="1B0E8DA5">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65.461***</w:t>
            </w:r>
          </w:p>
        </w:tc>
        <w:tc>
          <w:tcPr>
            <w:tcW w:w="2430" w:type="dxa"/>
            <w:vMerge w:val="restart"/>
            <w:tcBorders>
              <w:top w:val="single" w:color="000000" w:sz="8" w:space="0"/>
              <w:tl2br w:val="nil"/>
              <w:tr2bl w:val="nil"/>
            </w:tcBorders>
            <w:shd w:val="clear" w:color="auto" w:fill="auto"/>
            <w:noWrap/>
            <w:vAlign w:val="center"/>
          </w:tcPr>
          <w:p w14:paraId="37FC3177">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411.217**</w:t>
            </w:r>
          </w:p>
        </w:tc>
        <w:tc>
          <w:tcPr>
            <w:tcW w:w="2047" w:type="dxa"/>
            <w:vMerge w:val="restart"/>
            <w:tcBorders>
              <w:top w:val="single" w:color="000000" w:sz="8" w:space="0"/>
              <w:tl2br w:val="nil"/>
              <w:tr2bl w:val="nil"/>
            </w:tcBorders>
            <w:shd w:val="clear" w:color="auto" w:fill="auto"/>
            <w:noWrap/>
            <w:vAlign w:val="center"/>
          </w:tcPr>
          <w:p w14:paraId="0A1ACFE4">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9.891**</w:t>
            </w:r>
          </w:p>
        </w:tc>
      </w:tr>
      <w:tr w14:paraId="0B4DA575">
        <w:trPr>
          <w:trHeight w:val="336" w:hRule="atLeast"/>
        </w:trPr>
        <w:tc>
          <w:tcPr>
            <w:tcW w:w="1656" w:type="dxa"/>
            <w:vMerge w:val="continue"/>
            <w:tcBorders>
              <w:tl2br w:val="nil"/>
              <w:tr2bl w:val="nil"/>
            </w:tcBorders>
            <w:shd w:val="clear" w:color="auto" w:fill="auto"/>
            <w:noWrap/>
            <w:vAlign w:val="center"/>
          </w:tcPr>
          <w:p w14:paraId="322B610A">
            <w:pPr>
              <w:widowControl/>
              <w:jc w:val="left"/>
              <w:textAlignment w:val="center"/>
              <w:rPr>
                <w:rFonts w:hint="default" w:eastAsia="宋体" w:cs="Arial Regular" w:asciiTheme="minorAscii" w:hAnsiTheme="minorAscii"/>
                <w:color w:val="auto"/>
                <w:kern w:val="0"/>
                <w:sz w:val="22"/>
                <w:szCs w:val="22"/>
                <w:highlight w:val="none"/>
                <w:lang w:bidi="ar"/>
              </w:rPr>
            </w:pPr>
          </w:p>
        </w:tc>
        <w:tc>
          <w:tcPr>
            <w:tcW w:w="2191" w:type="dxa"/>
            <w:vMerge w:val="continue"/>
            <w:tcBorders>
              <w:tl2br w:val="nil"/>
              <w:tr2bl w:val="nil"/>
            </w:tcBorders>
            <w:shd w:val="clear" w:color="auto" w:fill="auto"/>
            <w:noWrap/>
            <w:vAlign w:val="center"/>
          </w:tcPr>
          <w:p w14:paraId="0B3CCA50">
            <w:pPr>
              <w:widowControl/>
              <w:jc w:val="center"/>
              <w:textAlignment w:val="center"/>
              <w:rPr>
                <w:rFonts w:hint="default" w:eastAsia="宋体" w:cs="Arial Regular" w:asciiTheme="minorAscii" w:hAnsiTheme="minorAscii"/>
                <w:color w:val="auto"/>
                <w:kern w:val="0"/>
                <w:sz w:val="22"/>
                <w:szCs w:val="22"/>
                <w:highlight w:val="none"/>
                <w:lang w:bidi="ar"/>
              </w:rPr>
            </w:pPr>
          </w:p>
        </w:tc>
        <w:tc>
          <w:tcPr>
            <w:tcW w:w="2430" w:type="dxa"/>
            <w:vMerge w:val="continue"/>
            <w:tcBorders>
              <w:tl2br w:val="nil"/>
              <w:tr2bl w:val="nil"/>
            </w:tcBorders>
            <w:shd w:val="clear" w:color="auto" w:fill="auto"/>
            <w:noWrap/>
            <w:vAlign w:val="center"/>
          </w:tcPr>
          <w:p w14:paraId="598C1B56">
            <w:pPr>
              <w:widowControl/>
              <w:jc w:val="center"/>
              <w:textAlignment w:val="center"/>
              <w:rPr>
                <w:rFonts w:hint="default" w:eastAsia="宋体" w:cs="Arial Regular" w:asciiTheme="minorAscii" w:hAnsiTheme="minorAscii"/>
                <w:color w:val="auto"/>
                <w:kern w:val="0"/>
                <w:sz w:val="22"/>
                <w:szCs w:val="22"/>
                <w:highlight w:val="none"/>
                <w:lang w:bidi="ar"/>
              </w:rPr>
            </w:pPr>
          </w:p>
        </w:tc>
        <w:tc>
          <w:tcPr>
            <w:tcW w:w="2047" w:type="dxa"/>
            <w:vMerge w:val="continue"/>
            <w:tcBorders>
              <w:tl2br w:val="nil"/>
              <w:tr2bl w:val="nil"/>
            </w:tcBorders>
            <w:shd w:val="clear" w:color="auto" w:fill="auto"/>
            <w:noWrap/>
            <w:vAlign w:val="center"/>
          </w:tcPr>
          <w:p w14:paraId="4B251EF5">
            <w:pPr>
              <w:widowControl/>
              <w:jc w:val="center"/>
              <w:textAlignment w:val="center"/>
              <w:rPr>
                <w:rFonts w:hint="default" w:eastAsia="宋体" w:cs="Arial Regular" w:asciiTheme="minorAscii" w:hAnsiTheme="minorAscii"/>
                <w:color w:val="auto"/>
                <w:kern w:val="0"/>
                <w:sz w:val="22"/>
                <w:szCs w:val="22"/>
                <w:highlight w:val="none"/>
                <w:lang w:bidi="ar"/>
              </w:rPr>
            </w:pPr>
          </w:p>
        </w:tc>
      </w:tr>
      <w:tr w14:paraId="7E9D532E">
        <w:trPr>
          <w:trHeight w:val="336" w:hRule="atLeast"/>
        </w:trPr>
        <w:tc>
          <w:tcPr>
            <w:tcW w:w="1656" w:type="dxa"/>
            <w:vMerge w:val="continue"/>
            <w:tcBorders>
              <w:tl2br w:val="nil"/>
              <w:tr2bl w:val="nil"/>
            </w:tcBorders>
            <w:shd w:val="clear" w:color="auto" w:fill="auto"/>
            <w:noWrap/>
            <w:vAlign w:val="center"/>
          </w:tcPr>
          <w:p w14:paraId="72BB77E3">
            <w:pPr>
              <w:widowControl/>
              <w:jc w:val="left"/>
              <w:textAlignment w:val="center"/>
              <w:rPr>
                <w:rFonts w:hint="default" w:eastAsia="宋体" w:cs="Arial Regular" w:asciiTheme="minorAscii" w:hAnsiTheme="minorAscii"/>
                <w:color w:val="auto"/>
                <w:kern w:val="0"/>
                <w:sz w:val="22"/>
                <w:szCs w:val="22"/>
                <w:highlight w:val="none"/>
                <w:lang w:bidi="ar"/>
              </w:rPr>
            </w:pPr>
          </w:p>
        </w:tc>
        <w:tc>
          <w:tcPr>
            <w:tcW w:w="2191" w:type="dxa"/>
            <w:vMerge w:val="restart"/>
            <w:tcBorders>
              <w:tl2br w:val="nil"/>
              <w:tr2bl w:val="nil"/>
            </w:tcBorders>
            <w:shd w:val="clear" w:color="auto" w:fill="auto"/>
            <w:noWrap/>
            <w:vAlign w:val="center"/>
          </w:tcPr>
          <w:p w14:paraId="1C8A384C">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(22.598)</w:t>
            </w:r>
          </w:p>
        </w:tc>
        <w:tc>
          <w:tcPr>
            <w:tcW w:w="2430" w:type="dxa"/>
            <w:vMerge w:val="restart"/>
            <w:tcBorders>
              <w:tl2br w:val="nil"/>
              <w:tr2bl w:val="nil"/>
            </w:tcBorders>
            <w:shd w:val="clear" w:color="auto" w:fill="auto"/>
            <w:noWrap/>
            <w:vAlign w:val="center"/>
          </w:tcPr>
          <w:p w14:paraId="6D26C57A">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(163.209)</w:t>
            </w:r>
          </w:p>
        </w:tc>
        <w:tc>
          <w:tcPr>
            <w:tcW w:w="2047" w:type="dxa"/>
            <w:vMerge w:val="restart"/>
            <w:tcBorders>
              <w:tl2br w:val="nil"/>
              <w:tr2bl w:val="nil"/>
            </w:tcBorders>
            <w:shd w:val="clear" w:color="auto" w:fill="auto"/>
            <w:noWrap/>
            <w:vAlign w:val="center"/>
          </w:tcPr>
          <w:p w14:paraId="0C248E58">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(4.380)</w:t>
            </w:r>
          </w:p>
        </w:tc>
      </w:tr>
      <w:tr w14:paraId="383EE774">
        <w:trPr>
          <w:trHeight w:val="336" w:hRule="atLeast"/>
        </w:trPr>
        <w:tc>
          <w:tcPr>
            <w:tcW w:w="1656" w:type="dxa"/>
            <w:vMerge w:val="continue"/>
            <w:tcBorders>
              <w:tl2br w:val="nil"/>
              <w:tr2bl w:val="nil"/>
            </w:tcBorders>
            <w:shd w:val="clear" w:color="auto" w:fill="auto"/>
            <w:noWrap/>
            <w:vAlign w:val="center"/>
          </w:tcPr>
          <w:p w14:paraId="0A798361">
            <w:pPr>
              <w:widowControl/>
              <w:jc w:val="left"/>
              <w:textAlignment w:val="center"/>
              <w:rPr>
                <w:rFonts w:hint="default" w:eastAsia="宋体" w:cs="Arial Regular" w:asciiTheme="minorAscii" w:hAnsiTheme="minorAscii"/>
                <w:color w:val="auto"/>
                <w:kern w:val="0"/>
                <w:sz w:val="22"/>
                <w:szCs w:val="22"/>
                <w:highlight w:val="none"/>
                <w:lang w:bidi="ar"/>
              </w:rPr>
            </w:pPr>
          </w:p>
        </w:tc>
        <w:tc>
          <w:tcPr>
            <w:tcW w:w="2191" w:type="dxa"/>
            <w:vMerge w:val="continue"/>
            <w:tcBorders>
              <w:tl2br w:val="nil"/>
              <w:tr2bl w:val="nil"/>
            </w:tcBorders>
            <w:shd w:val="clear" w:color="auto" w:fill="auto"/>
            <w:noWrap/>
            <w:vAlign w:val="center"/>
          </w:tcPr>
          <w:p w14:paraId="2F4C56FD">
            <w:pPr>
              <w:widowControl/>
              <w:jc w:val="center"/>
              <w:textAlignment w:val="center"/>
              <w:rPr>
                <w:rFonts w:hint="default" w:eastAsia="宋体" w:cs="Arial Regular" w:asciiTheme="minorAscii" w:hAnsiTheme="minorAscii"/>
                <w:color w:val="auto"/>
                <w:kern w:val="0"/>
                <w:sz w:val="22"/>
                <w:szCs w:val="22"/>
                <w:highlight w:val="none"/>
                <w:lang w:bidi="ar"/>
              </w:rPr>
            </w:pPr>
          </w:p>
        </w:tc>
        <w:tc>
          <w:tcPr>
            <w:tcW w:w="2430" w:type="dxa"/>
            <w:vMerge w:val="continue"/>
            <w:tcBorders>
              <w:tl2br w:val="nil"/>
              <w:tr2bl w:val="nil"/>
            </w:tcBorders>
            <w:shd w:val="clear" w:color="auto" w:fill="auto"/>
            <w:noWrap/>
            <w:vAlign w:val="center"/>
          </w:tcPr>
          <w:p w14:paraId="2B106924">
            <w:pPr>
              <w:widowControl/>
              <w:jc w:val="center"/>
              <w:textAlignment w:val="center"/>
              <w:rPr>
                <w:rFonts w:hint="default" w:eastAsia="宋体" w:cs="Arial Regular" w:asciiTheme="minorAscii" w:hAnsiTheme="minorAscii"/>
                <w:color w:val="auto"/>
                <w:kern w:val="0"/>
                <w:sz w:val="22"/>
                <w:szCs w:val="22"/>
                <w:highlight w:val="none"/>
                <w:lang w:bidi="ar"/>
              </w:rPr>
            </w:pPr>
          </w:p>
        </w:tc>
        <w:tc>
          <w:tcPr>
            <w:tcW w:w="2047" w:type="dxa"/>
            <w:vMerge w:val="continue"/>
            <w:tcBorders>
              <w:tl2br w:val="nil"/>
              <w:tr2bl w:val="nil"/>
            </w:tcBorders>
            <w:shd w:val="clear" w:color="auto" w:fill="auto"/>
            <w:noWrap/>
            <w:vAlign w:val="center"/>
          </w:tcPr>
          <w:p w14:paraId="55792040">
            <w:pPr>
              <w:widowControl/>
              <w:jc w:val="center"/>
              <w:textAlignment w:val="center"/>
              <w:rPr>
                <w:rFonts w:hint="default" w:eastAsia="宋体" w:cs="Arial Regular" w:asciiTheme="minorAscii" w:hAnsiTheme="minorAscii"/>
                <w:color w:val="auto"/>
                <w:kern w:val="0"/>
                <w:sz w:val="22"/>
                <w:szCs w:val="22"/>
                <w:highlight w:val="none"/>
                <w:lang w:bidi="ar"/>
              </w:rPr>
            </w:pPr>
          </w:p>
        </w:tc>
      </w:tr>
      <w:tr w14:paraId="5ED1E045">
        <w:trPr>
          <w:trHeight w:val="336" w:hRule="atLeast"/>
        </w:trPr>
        <w:tc>
          <w:tcPr>
            <w:tcW w:w="1656" w:type="dxa"/>
            <w:tcBorders>
              <w:tl2br w:val="nil"/>
              <w:tr2bl w:val="nil"/>
            </w:tcBorders>
            <w:shd w:val="clear" w:color="auto" w:fill="auto"/>
            <w:noWrap/>
            <w:vAlign w:val="center"/>
          </w:tcPr>
          <w:p w14:paraId="52EA167D">
            <w:pPr>
              <w:widowControl/>
              <w:jc w:val="left"/>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controls</w:t>
            </w:r>
          </w:p>
        </w:tc>
        <w:tc>
          <w:tcPr>
            <w:tcW w:w="2191" w:type="dxa"/>
            <w:tcBorders>
              <w:tl2br w:val="nil"/>
              <w:tr2bl w:val="nil"/>
            </w:tcBorders>
            <w:shd w:val="clear" w:color="auto" w:fill="auto"/>
            <w:noWrap/>
            <w:vAlign w:val="center"/>
          </w:tcPr>
          <w:p w14:paraId="07A3251E">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yes</w:t>
            </w:r>
          </w:p>
        </w:tc>
        <w:tc>
          <w:tcPr>
            <w:tcW w:w="2430" w:type="dxa"/>
            <w:tcBorders>
              <w:tl2br w:val="nil"/>
              <w:tr2bl w:val="nil"/>
            </w:tcBorders>
            <w:shd w:val="clear" w:color="auto" w:fill="auto"/>
            <w:noWrap/>
            <w:vAlign w:val="center"/>
          </w:tcPr>
          <w:p w14:paraId="6E829113">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yes</w:t>
            </w:r>
          </w:p>
        </w:tc>
        <w:tc>
          <w:tcPr>
            <w:tcW w:w="2047" w:type="dxa"/>
            <w:tcBorders>
              <w:tl2br w:val="nil"/>
              <w:tr2bl w:val="nil"/>
            </w:tcBorders>
            <w:shd w:val="clear" w:color="auto" w:fill="auto"/>
            <w:noWrap/>
            <w:vAlign w:val="center"/>
          </w:tcPr>
          <w:p w14:paraId="4736CB50">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yes</w:t>
            </w:r>
          </w:p>
        </w:tc>
      </w:tr>
      <w:tr w14:paraId="0076DCD5">
        <w:trPr>
          <w:trHeight w:val="336" w:hRule="atLeast"/>
        </w:trPr>
        <w:tc>
          <w:tcPr>
            <w:tcW w:w="1656" w:type="dxa"/>
            <w:tcBorders>
              <w:tl2br w:val="nil"/>
              <w:tr2bl w:val="nil"/>
            </w:tcBorders>
            <w:shd w:val="clear" w:color="auto" w:fill="auto"/>
            <w:noWrap/>
            <w:vAlign w:val="center"/>
          </w:tcPr>
          <w:p w14:paraId="4BCF9A27">
            <w:pPr>
              <w:widowControl/>
              <w:jc w:val="left"/>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individual effect</w:t>
            </w:r>
          </w:p>
        </w:tc>
        <w:tc>
          <w:tcPr>
            <w:tcW w:w="2191" w:type="dxa"/>
            <w:tcBorders>
              <w:tl2br w:val="nil"/>
              <w:tr2bl w:val="nil"/>
            </w:tcBorders>
            <w:shd w:val="clear" w:color="auto" w:fill="auto"/>
            <w:noWrap/>
            <w:vAlign w:val="center"/>
          </w:tcPr>
          <w:p w14:paraId="7072CA22">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yes</w:t>
            </w:r>
          </w:p>
        </w:tc>
        <w:tc>
          <w:tcPr>
            <w:tcW w:w="2430" w:type="dxa"/>
            <w:tcBorders>
              <w:tl2br w:val="nil"/>
              <w:tr2bl w:val="nil"/>
            </w:tcBorders>
            <w:shd w:val="clear" w:color="auto" w:fill="auto"/>
            <w:noWrap/>
            <w:vAlign w:val="center"/>
          </w:tcPr>
          <w:p w14:paraId="2415DCC9">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yes</w:t>
            </w:r>
          </w:p>
        </w:tc>
        <w:tc>
          <w:tcPr>
            <w:tcW w:w="2047" w:type="dxa"/>
            <w:tcBorders>
              <w:tl2br w:val="nil"/>
              <w:tr2bl w:val="nil"/>
            </w:tcBorders>
            <w:shd w:val="clear" w:color="auto" w:fill="auto"/>
            <w:noWrap/>
            <w:vAlign w:val="center"/>
          </w:tcPr>
          <w:p w14:paraId="5730D616">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yes</w:t>
            </w:r>
          </w:p>
        </w:tc>
      </w:tr>
      <w:tr w14:paraId="318521E0">
        <w:trPr>
          <w:trHeight w:val="336" w:hRule="atLeast"/>
        </w:trPr>
        <w:tc>
          <w:tcPr>
            <w:tcW w:w="1656" w:type="dxa"/>
            <w:tcBorders>
              <w:tl2br w:val="nil"/>
              <w:tr2bl w:val="nil"/>
            </w:tcBorders>
            <w:shd w:val="clear" w:color="auto" w:fill="auto"/>
            <w:noWrap/>
            <w:vAlign w:val="center"/>
          </w:tcPr>
          <w:p w14:paraId="6EC2FF85">
            <w:pPr>
              <w:widowControl/>
              <w:jc w:val="left"/>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time effect</w:t>
            </w:r>
          </w:p>
        </w:tc>
        <w:tc>
          <w:tcPr>
            <w:tcW w:w="2191" w:type="dxa"/>
            <w:tcBorders>
              <w:tl2br w:val="nil"/>
              <w:tr2bl w:val="nil"/>
            </w:tcBorders>
            <w:shd w:val="clear" w:color="auto" w:fill="auto"/>
            <w:noWrap/>
            <w:vAlign w:val="center"/>
          </w:tcPr>
          <w:p w14:paraId="35C6DF73">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yes</w:t>
            </w:r>
          </w:p>
        </w:tc>
        <w:tc>
          <w:tcPr>
            <w:tcW w:w="2430" w:type="dxa"/>
            <w:tcBorders>
              <w:tl2br w:val="nil"/>
              <w:tr2bl w:val="nil"/>
            </w:tcBorders>
            <w:shd w:val="clear" w:color="auto" w:fill="auto"/>
            <w:noWrap/>
            <w:vAlign w:val="center"/>
          </w:tcPr>
          <w:p w14:paraId="01CA22AE">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yes</w:t>
            </w:r>
          </w:p>
        </w:tc>
        <w:tc>
          <w:tcPr>
            <w:tcW w:w="2047" w:type="dxa"/>
            <w:tcBorders>
              <w:tl2br w:val="nil"/>
              <w:tr2bl w:val="nil"/>
            </w:tcBorders>
            <w:shd w:val="clear" w:color="auto" w:fill="auto"/>
            <w:noWrap/>
            <w:vAlign w:val="center"/>
          </w:tcPr>
          <w:p w14:paraId="7BA4C8F2">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yes</w:t>
            </w:r>
          </w:p>
        </w:tc>
      </w:tr>
      <w:tr w14:paraId="40744420">
        <w:trPr>
          <w:trHeight w:val="336" w:hRule="atLeast"/>
        </w:trPr>
        <w:tc>
          <w:tcPr>
            <w:tcW w:w="1656" w:type="dxa"/>
            <w:tcBorders>
              <w:top w:val="single" w:color="000000" w:sz="8" w:space="0"/>
              <w:bottom w:val="single" w:color="000000" w:sz="8" w:space="0"/>
            </w:tcBorders>
            <w:shd w:val="clear" w:color="auto" w:fill="auto"/>
            <w:noWrap/>
            <w:vAlign w:val="center"/>
          </w:tcPr>
          <w:p w14:paraId="63C160C8">
            <w:pPr>
              <w:widowControl/>
              <w:jc w:val="left"/>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Adj-R</w:t>
            </w:r>
            <w:r>
              <w:rPr>
                <w:rFonts w:hint="default" w:eastAsia="宋体" w:cs="Arial Regular" w:asciiTheme="minorAscii" w:hAnsiTheme="minorAscii"/>
                <w:color w:val="auto"/>
                <w:kern w:val="0"/>
                <w:sz w:val="22"/>
                <w:szCs w:val="22"/>
                <w:highlight w:val="none"/>
                <w:vertAlign w:val="superscript"/>
                <w:lang w:bidi="ar"/>
              </w:rPr>
              <w:t>2</w:t>
            </w:r>
          </w:p>
        </w:tc>
        <w:tc>
          <w:tcPr>
            <w:tcW w:w="2191" w:type="dxa"/>
            <w:tcBorders>
              <w:top w:val="single" w:color="000000" w:sz="8" w:space="0"/>
              <w:bottom w:val="single" w:color="000000" w:sz="8" w:space="0"/>
            </w:tcBorders>
            <w:shd w:val="clear" w:color="auto" w:fill="auto"/>
            <w:noWrap/>
            <w:vAlign w:val="center"/>
          </w:tcPr>
          <w:p w14:paraId="5F5A67AB">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0.023</w:t>
            </w:r>
          </w:p>
        </w:tc>
        <w:tc>
          <w:tcPr>
            <w:tcW w:w="2430" w:type="dxa"/>
            <w:tcBorders>
              <w:top w:val="single" w:color="000000" w:sz="8" w:space="0"/>
              <w:bottom w:val="single" w:color="000000" w:sz="8" w:space="0"/>
            </w:tcBorders>
            <w:shd w:val="clear" w:color="auto" w:fill="auto"/>
            <w:noWrap/>
            <w:vAlign w:val="center"/>
          </w:tcPr>
          <w:p w14:paraId="6674B3D3">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0.007</w:t>
            </w:r>
          </w:p>
        </w:tc>
        <w:tc>
          <w:tcPr>
            <w:tcW w:w="2047" w:type="dxa"/>
            <w:tcBorders>
              <w:top w:val="single" w:color="000000" w:sz="8" w:space="0"/>
              <w:bottom w:val="single" w:color="000000" w:sz="8" w:space="0"/>
            </w:tcBorders>
            <w:shd w:val="clear" w:color="auto" w:fill="auto"/>
            <w:noWrap/>
            <w:vAlign w:val="center"/>
          </w:tcPr>
          <w:p w14:paraId="147DC2C8">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0.023</w:t>
            </w:r>
          </w:p>
        </w:tc>
      </w:tr>
      <w:tr w14:paraId="4C4996DB">
        <w:trPr>
          <w:trHeight w:val="336" w:hRule="atLeast"/>
        </w:trPr>
        <w:tc>
          <w:tcPr>
            <w:tcW w:w="1656" w:type="dxa"/>
            <w:tcBorders>
              <w:top w:val="single" w:color="000000" w:sz="8" w:space="0"/>
            </w:tcBorders>
            <w:shd w:val="clear" w:color="auto" w:fill="auto"/>
            <w:noWrap/>
            <w:vAlign w:val="center"/>
          </w:tcPr>
          <w:p w14:paraId="52D8125E">
            <w:pPr>
              <w:widowControl/>
              <w:jc w:val="left"/>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N</w:t>
            </w:r>
          </w:p>
        </w:tc>
        <w:tc>
          <w:tcPr>
            <w:tcW w:w="2191" w:type="dxa"/>
            <w:tcBorders>
              <w:top w:val="single" w:color="000000" w:sz="8" w:space="0"/>
            </w:tcBorders>
            <w:shd w:val="clear" w:color="auto" w:fill="auto"/>
            <w:noWrap/>
            <w:vAlign w:val="center"/>
          </w:tcPr>
          <w:p w14:paraId="43DB8EC1">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12,092</w:t>
            </w:r>
          </w:p>
        </w:tc>
        <w:tc>
          <w:tcPr>
            <w:tcW w:w="2430" w:type="dxa"/>
            <w:tcBorders>
              <w:top w:val="single" w:color="000000" w:sz="8" w:space="0"/>
            </w:tcBorders>
            <w:shd w:val="clear" w:color="auto" w:fill="auto"/>
            <w:noWrap/>
            <w:vAlign w:val="center"/>
          </w:tcPr>
          <w:p w14:paraId="4C7F24B8">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12,060</w:t>
            </w:r>
          </w:p>
        </w:tc>
        <w:tc>
          <w:tcPr>
            <w:tcW w:w="2047" w:type="dxa"/>
            <w:tcBorders>
              <w:top w:val="single" w:color="000000" w:sz="8" w:space="0"/>
            </w:tcBorders>
            <w:shd w:val="clear" w:color="auto" w:fill="auto"/>
            <w:noWrap/>
            <w:vAlign w:val="center"/>
          </w:tcPr>
          <w:p w14:paraId="3B6D6078">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12,092</w:t>
            </w:r>
          </w:p>
        </w:tc>
      </w:tr>
    </w:tbl>
    <w:p w14:paraId="113457F3">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Table 3 reports the robustness test results of producer services trade competitiveness on independent innovation of manufacturing enterprises.This paper conducts a robustness test by replacing key variables and adjusting control variables.</w:t>
      </w:r>
    </w:p>
    <w:p w14:paraId="7353BE20">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(1) Replace explanatory variable</w:t>
      </w:r>
    </w:p>
    <w:p w14:paraId="7CDACFD3">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 xml:space="preserve">This </w:t>
      </w:r>
      <w:r>
        <w:rPr>
          <w:rFonts w:hint="default" w:asciiTheme="minorAscii" w:hAnsiTheme="minorAscii"/>
          <w:color w:val="auto"/>
          <w:highlight w:val="none"/>
          <w:lang w:val="en-US"/>
        </w:rPr>
        <w:t>paper</w:t>
      </w:r>
      <w:r>
        <w:rPr>
          <w:rFonts w:hint="default" w:asciiTheme="minorAscii" w:hAnsiTheme="minorAscii"/>
          <w:color w:val="auto"/>
          <w:highlight w:val="none"/>
        </w:rPr>
        <w:t xml:space="preserve"> recalculates </w:t>
      </w:r>
      <w:r>
        <w:rPr>
          <w:rFonts w:hint="default" w:asciiTheme="minorAscii" w:hAnsiTheme="minorAscii"/>
          <w:color w:val="auto"/>
          <w:highlight w:val="none"/>
          <w:lang w:val="en-US" w:eastAsia="zh-CN"/>
        </w:rPr>
        <w:t>explanatory variable</w:t>
      </w:r>
      <w:r>
        <w:rPr>
          <w:rFonts w:hint="default" w:asciiTheme="minorAscii" w:hAnsiTheme="minorAscii"/>
          <w:color w:val="auto"/>
          <w:highlight w:val="none"/>
        </w:rPr>
        <w:t xml:space="preserve"> based on equation (3) and introduces it into model estimation. The regression results are shown in column (1) of Table 3. The coefficient direction and significance level of the core explanatory variables remain unchanged. The competitiveness of producer services trade, measured by market share (IMS index), has a significant effect on independent innovation in manufacturing enterprises.</w:t>
      </w:r>
    </w:p>
    <w:p w14:paraId="1593E3D8">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(2) Replace the explained variable.</w:t>
      </w:r>
    </w:p>
    <w:p w14:paraId="4AFFE7B1">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 xml:space="preserve">Patents in China are divided into three categories: invention, utility model, and design. Among them, invention patents have higher technical requirements, are more difficult to obtain, and can better reflect the substantive innovation of enterprises. Therefore, this </w:t>
      </w:r>
      <w:r>
        <w:rPr>
          <w:rFonts w:hint="default" w:asciiTheme="minorAscii" w:hAnsiTheme="minorAscii"/>
          <w:color w:val="auto"/>
          <w:highlight w:val="none"/>
          <w:lang w:val="en-US"/>
        </w:rPr>
        <w:t>paper</w:t>
      </w:r>
      <w:r>
        <w:rPr>
          <w:rFonts w:hint="default" w:asciiTheme="minorAscii" w:hAnsiTheme="minorAscii"/>
          <w:color w:val="auto"/>
          <w:highlight w:val="none"/>
        </w:rPr>
        <w:t xml:space="preserve"> draws on the practice of Yu Minggui et al. (2016) and utilizes enterprise data. The number of invention patent applications measures innovation output and is introduced into the model as an explained variable. The regression results are shown in column (2) of Table 3. The competitiveness of the producer services trade continues to significantly promote the R&amp;D output of enterprises in the form of invention patents.</w:t>
      </w:r>
    </w:p>
    <w:p w14:paraId="7238C071">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CN"/>
        </w:rPr>
      </w:pPr>
      <w:r>
        <w:rPr>
          <w:rFonts w:hint="default" w:asciiTheme="minorAscii" w:hAnsiTheme="minorAscii"/>
          <w:color w:val="auto"/>
          <w:highlight w:val="none"/>
          <w:lang w:val="en-US" w:eastAsia="zh-CN"/>
        </w:rPr>
        <w:t>(3) Adjust control variables</w:t>
      </w:r>
    </w:p>
    <w:p w14:paraId="2C46B3FF">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CN"/>
        </w:rPr>
      </w:pPr>
      <w:r>
        <w:rPr>
          <w:rFonts w:hint="default" w:asciiTheme="minorAscii" w:hAnsiTheme="minorAscii"/>
          <w:color w:val="auto"/>
          <w:highlight w:val="none"/>
          <w:lang w:val="en-US" w:eastAsia="zh-CN"/>
        </w:rPr>
        <w:t>Considering that the factors affecting independent innovation of listed companies are relatively complex, this paper refers to the relevant literature on independent innovation of listed companies, adjusts the control variables, adds two variables: enterprise age and cash flow ratio, and re-examines the benchmark model empirically. The results are shown in column (3) of Table 3. The estimated coefficients of the core explanatory variables are significantly positive, confirming the robustness of the conclusions of this paper.</w:t>
      </w:r>
    </w:p>
    <w:p w14:paraId="2988EEC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default" w:asciiTheme="minorAscii" w:hAnsiTheme="minorAscii"/>
          <w:b/>
          <w:bCs/>
          <w:color w:val="auto"/>
          <w:highlight w:val="none"/>
          <w:lang w:val="en-US" w:eastAsia="zh-Hans"/>
        </w:rPr>
      </w:pPr>
      <w:r>
        <w:rPr>
          <w:rFonts w:hint="default" w:asciiTheme="minorAscii" w:hAnsiTheme="minorAscii"/>
          <w:b/>
          <w:bCs/>
          <w:color w:val="auto"/>
          <w:highlight w:val="none"/>
          <w:lang w:val="en-US" w:eastAsia="zh-Hans"/>
        </w:rPr>
        <w:t>6.4 Endogeneity test</w:t>
      </w:r>
    </w:p>
    <w:p w14:paraId="27FEB489">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This paper uses static regression (2SLS) and dynamic regression (IV-GMM) to test endogeneity. In 2SLS, the actual RMB exchange rate against the US dollar (measured by the annual average) is used as the instrumental variable of the core explanatory variable; in GMM, the interpolation method is used to lag the explained variable by one period as the instrumental variable. The regression results are shown in Table 4.</w:t>
      </w:r>
    </w:p>
    <w:p w14:paraId="280B437F">
      <w:pPr>
        <w:spacing w:before="240" w:after="240" w:line="200" w:lineRule="exact"/>
        <w:jc w:val="center"/>
        <w:rPr>
          <w:rFonts w:hint="default" w:asciiTheme="minorAscii" w:hAnsiTheme="minorAscii"/>
          <w:b/>
          <w:bCs/>
          <w:color w:val="auto"/>
          <w:highlight w:val="none"/>
        </w:rPr>
      </w:pPr>
      <w:r>
        <w:rPr>
          <w:rFonts w:hint="default" w:asciiTheme="minorAscii" w:hAnsiTheme="minorAscii"/>
          <w:b/>
          <w:bCs/>
          <w:color w:val="auto"/>
          <w:highlight w:val="none"/>
        </w:rPr>
        <w:t>Table 4  Endogeneity test</w:t>
      </w:r>
    </w:p>
    <w:tbl>
      <w:tblPr>
        <w:tblStyle w:val="3"/>
        <w:tblW w:w="8320" w:type="dxa"/>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07"/>
        <w:gridCol w:w="2236"/>
        <w:gridCol w:w="1659"/>
        <w:gridCol w:w="2518"/>
      </w:tblGrid>
      <w:tr w14:paraId="7FFA586F">
        <w:trPr>
          <w:trHeight w:val="336" w:hRule="atLeast"/>
          <w:jc w:val="center"/>
        </w:trPr>
        <w:tc>
          <w:tcPr>
            <w:tcW w:w="4143" w:type="dxa"/>
            <w:gridSpan w:val="2"/>
            <w:tcBorders>
              <w:bottom w:val="single" w:color="000000" w:sz="8" w:space="0"/>
              <w:right w:val="single" w:color="000000" w:sz="8" w:space="0"/>
            </w:tcBorders>
            <w:shd w:val="clear" w:color="auto" w:fill="auto"/>
            <w:noWrap/>
            <w:vAlign w:val="center"/>
          </w:tcPr>
          <w:p w14:paraId="543EE430">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2SLS estimation (heteroscedasticity)</w:t>
            </w:r>
          </w:p>
        </w:tc>
        <w:tc>
          <w:tcPr>
            <w:tcW w:w="4177" w:type="dxa"/>
            <w:gridSpan w:val="2"/>
            <w:tcBorders>
              <w:left w:val="single" w:color="000000" w:sz="8" w:space="0"/>
              <w:bottom w:val="single" w:color="000000" w:sz="8" w:space="0"/>
            </w:tcBorders>
            <w:shd w:val="clear" w:color="auto" w:fill="auto"/>
            <w:noWrap/>
            <w:vAlign w:val="center"/>
          </w:tcPr>
          <w:p w14:paraId="3C97044A">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eastAsia="zh-Hans" w:bidi="ar"/>
              </w:rPr>
              <w:t>IV-</w:t>
            </w:r>
            <w:r>
              <w:rPr>
                <w:rFonts w:hint="default" w:eastAsia="宋体" w:cs="Arial Regular" w:asciiTheme="minorAscii" w:hAnsiTheme="minorAscii"/>
                <w:color w:val="auto"/>
                <w:kern w:val="0"/>
                <w:sz w:val="22"/>
                <w:szCs w:val="22"/>
                <w:highlight w:val="none"/>
                <w:lang w:bidi="ar"/>
              </w:rPr>
              <w:t>GMM</w:t>
            </w:r>
          </w:p>
        </w:tc>
      </w:tr>
      <w:tr w14:paraId="3E9ECF1F">
        <w:trPr>
          <w:trHeight w:val="269" w:hRule="atLeast"/>
          <w:jc w:val="center"/>
        </w:trPr>
        <w:tc>
          <w:tcPr>
            <w:tcW w:w="1907" w:type="dxa"/>
            <w:tcBorders>
              <w:top w:val="single" w:color="000000" w:sz="8" w:space="0"/>
              <w:bottom w:val="single" w:color="000000" w:sz="8" w:space="0"/>
              <w:right w:val="nil"/>
            </w:tcBorders>
            <w:shd w:val="clear" w:color="auto" w:fill="auto"/>
            <w:noWrap/>
            <w:vAlign w:val="center"/>
          </w:tcPr>
          <w:p w14:paraId="381B14AC">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variables</w:t>
            </w:r>
          </w:p>
        </w:tc>
        <w:tc>
          <w:tcPr>
            <w:tcW w:w="2236" w:type="dxa"/>
            <w:tcBorders>
              <w:top w:val="single" w:color="000000" w:sz="8" w:space="0"/>
              <w:left w:val="nil"/>
              <w:bottom w:val="single" w:color="000000" w:sz="8" w:space="0"/>
              <w:right w:val="single" w:color="000000" w:sz="8" w:space="0"/>
            </w:tcBorders>
            <w:shd w:val="clear" w:color="auto" w:fill="auto"/>
            <w:noWrap/>
            <w:vAlign w:val="center"/>
          </w:tcPr>
          <w:p w14:paraId="33A86154">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eastAsia="zh-Hans" w:bidi="ar"/>
              </w:rPr>
              <w:t>I</w:t>
            </w:r>
            <w:r>
              <w:rPr>
                <w:rFonts w:hint="default" w:eastAsia="宋体" w:cs="Arial Regular" w:asciiTheme="minorAscii" w:hAnsiTheme="minorAscii"/>
                <w:color w:val="auto"/>
                <w:kern w:val="0"/>
                <w:sz w:val="22"/>
                <w:szCs w:val="22"/>
                <w:highlight w:val="none"/>
                <w:lang w:bidi="ar"/>
              </w:rPr>
              <w:t xml:space="preserve">nnovation </w:t>
            </w:r>
            <w:r>
              <w:rPr>
                <w:rFonts w:hint="default" w:eastAsia="宋体" w:cs="Arial Regular" w:asciiTheme="minorAscii" w:hAnsiTheme="minorAscii"/>
                <w:color w:val="auto"/>
                <w:kern w:val="0"/>
                <w:sz w:val="22"/>
                <w:szCs w:val="22"/>
                <w:highlight w:val="none"/>
                <w:lang w:eastAsia="zh-Hans" w:bidi="ar"/>
              </w:rPr>
              <w:t>O</w:t>
            </w:r>
            <w:r>
              <w:rPr>
                <w:rFonts w:hint="default" w:eastAsia="宋体" w:cs="Arial Regular" w:asciiTheme="minorAscii" w:hAnsiTheme="minorAscii"/>
                <w:color w:val="auto"/>
                <w:kern w:val="0"/>
                <w:sz w:val="22"/>
                <w:szCs w:val="22"/>
                <w:highlight w:val="none"/>
                <w:lang w:bidi="ar"/>
              </w:rPr>
              <w:t>utput(1)</w:t>
            </w:r>
          </w:p>
        </w:tc>
        <w:tc>
          <w:tcPr>
            <w:tcW w:w="1659" w:type="dxa"/>
            <w:tcBorders>
              <w:top w:val="single" w:color="000000" w:sz="8" w:space="0"/>
              <w:left w:val="single" w:color="000000" w:sz="8" w:space="0"/>
              <w:bottom w:val="single" w:color="000000" w:sz="8" w:space="0"/>
              <w:right w:val="nil"/>
            </w:tcBorders>
            <w:shd w:val="clear" w:color="auto" w:fill="auto"/>
            <w:noWrap/>
            <w:vAlign w:val="center"/>
          </w:tcPr>
          <w:p w14:paraId="285BAD03">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variables</w:t>
            </w:r>
          </w:p>
        </w:tc>
        <w:tc>
          <w:tcPr>
            <w:tcW w:w="2518" w:type="dxa"/>
            <w:tcBorders>
              <w:top w:val="single" w:color="000000" w:sz="8" w:space="0"/>
              <w:left w:val="nil"/>
              <w:bottom w:val="single" w:color="000000" w:sz="8" w:space="0"/>
            </w:tcBorders>
            <w:shd w:val="clear" w:color="auto" w:fill="auto"/>
            <w:noWrap/>
            <w:vAlign w:val="center"/>
          </w:tcPr>
          <w:p w14:paraId="042422F2">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eastAsia="zh-Hans" w:bidi="ar"/>
              </w:rPr>
              <w:t>I</w:t>
            </w:r>
            <w:r>
              <w:rPr>
                <w:rFonts w:hint="default" w:eastAsia="宋体" w:cs="Arial Regular" w:asciiTheme="minorAscii" w:hAnsiTheme="minorAscii"/>
                <w:color w:val="auto"/>
                <w:kern w:val="0"/>
                <w:sz w:val="22"/>
                <w:szCs w:val="22"/>
                <w:highlight w:val="none"/>
                <w:lang w:bidi="ar"/>
              </w:rPr>
              <w:t xml:space="preserve">nnovation </w:t>
            </w:r>
            <w:r>
              <w:rPr>
                <w:rFonts w:hint="default" w:eastAsia="宋体" w:cs="Arial Regular" w:asciiTheme="minorAscii" w:hAnsiTheme="minorAscii"/>
                <w:color w:val="auto"/>
                <w:kern w:val="0"/>
                <w:sz w:val="22"/>
                <w:szCs w:val="22"/>
                <w:highlight w:val="none"/>
                <w:lang w:eastAsia="zh-Hans" w:bidi="ar"/>
              </w:rPr>
              <w:t>O</w:t>
            </w:r>
            <w:r>
              <w:rPr>
                <w:rFonts w:hint="default" w:eastAsia="宋体" w:cs="Arial Regular" w:asciiTheme="minorAscii" w:hAnsiTheme="minorAscii"/>
                <w:color w:val="auto"/>
                <w:kern w:val="0"/>
                <w:sz w:val="22"/>
                <w:szCs w:val="22"/>
                <w:highlight w:val="none"/>
                <w:lang w:bidi="ar"/>
              </w:rPr>
              <w:t>utput(2)</w:t>
            </w:r>
          </w:p>
        </w:tc>
      </w:tr>
      <w:tr w14:paraId="06623B91">
        <w:trPr>
          <w:trHeight w:val="336" w:hRule="atLeast"/>
          <w:jc w:val="center"/>
        </w:trPr>
        <w:tc>
          <w:tcPr>
            <w:tcW w:w="1907" w:type="dxa"/>
            <w:vMerge w:val="restart"/>
            <w:tcBorders>
              <w:top w:val="single" w:color="000000" w:sz="8" w:space="0"/>
              <w:right w:val="nil"/>
              <w:tl2br w:val="nil"/>
              <w:tr2bl w:val="nil"/>
            </w:tcBorders>
            <w:shd w:val="clear" w:color="auto" w:fill="auto"/>
            <w:noWrap/>
            <w:vAlign w:val="center"/>
          </w:tcPr>
          <w:p w14:paraId="7C35A108">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rca</w:t>
            </w:r>
          </w:p>
        </w:tc>
        <w:tc>
          <w:tcPr>
            <w:tcW w:w="2236" w:type="dxa"/>
            <w:vMerge w:val="restart"/>
            <w:tcBorders>
              <w:top w:val="single" w:color="000000" w:sz="8" w:space="0"/>
              <w:left w:val="nil"/>
              <w:bottom w:val="nil"/>
              <w:right w:val="single" w:color="000000" w:sz="8" w:space="0"/>
            </w:tcBorders>
            <w:shd w:val="clear" w:color="auto" w:fill="auto"/>
            <w:noWrap/>
            <w:vAlign w:val="center"/>
          </w:tcPr>
          <w:p w14:paraId="7C5E6318">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7.538179***</w:t>
            </w:r>
          </w:p>
        </w:tc>
        <w:tc>
          <w:tcPr>
            <w:tcW w:w="1659" w:type="dxa"/>
            <w:vMerge w:val="restart"/>
            <w:tcBorders>
              <w:top w:val="single" w:color="000000" w:sz="8" w:space="0"/>
              <w:left w:val="single" w:color="000000" w:sz="8" w:space="0"/>
              <w:bottom w:val="nil"/>
              <w:right w:val="nil"/>
            </w:tcBorders>
            <w:shd w:val="clear" w:color="auto" w:fill="auto"/>
            <w:noWrap/>
            <w:vAlign w:val="center"/>
          </w:tcPr>
          <w:p w14:paraId="7CB5D625">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Liolepolate</w:t>
            </w:r>
          </w:p>
        </w:tc>
        <w:tc>
          <w:tcPr>
            <w:tcW w:w="2518" w:type="dxa"/>
            <w:tcBorders>
              <w:top w:val="single" w:color="000000" w:sz="8" w:space="0"/>
              <w:left w:val="nil"/>
              <w:tl2br w:val="nil"/>
              <w:tr2bl w:val="nil"/>
            </w:tcBorders>
            <w:shd w:val="clear" w:color="auto" w:fill="auto"/>
            <w:noWrap/>
            <w:vAlign w:val="bottom"/>
          </w:tcPr>
          <w:p w14:paraId="089E3DC0">
            <w:pPr>
              <w:widowControl/>
              <w:jc w:val="center"/>
              <w:textAlignment w:val="bottom"/>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0.142***</w:t>
            </w:r>
          </w:p>
        </w:tc>
      </w:tr>
      <w:tr w14:paraId="58E8FA18">
        <w:trPr>
          <w:trHeight w:val="230" w:hRule="atLeast"/>
          <w:jc w:val="center"/>
        </w:trPr>
        <w:tc>
          <w:tcPr>
            <w:tcW w:w="1907" w:type="dxa"/>
            <w:vMerge w:val="continue"/>
            <w:tcBorders>
              <w:right w:val="nil"/>
              <w:tl2br w:val="nil"/>
              <w:tr2bl w:val="nil"/>
            </w:tcBorders>
            <w:shd w:val="clear" w:color="auto" w:fill="auto"/>
            <w:noWrap/>
            <w:vAlign w:val="center"/>
          </w:tcPr>
          <w:p w14:paraId="4E445A3A">
            <w:pPr>
              <w:jc w:val="left"/>
              <w:rPr>
                <w:rFonts w:hint="default" w:eastAsia="宋体" w:cs="Arial Regular" w:asciiTheme="minorAscii" w:hAnsiTheme="minorAscii"/>
                <w:color w:val="auto"/>
                <w:sz w:val="22"/>
                <w:szCs w:val="22"/>
                <w:highlight w:val="none"/>
              </w:rPr>
            </w:pPr>
          </w:p>
        </w:tc>
        <w:tc>
          <w:tcPr>
            <w:tcW w:w="2236" w:type="dxa"/>
            <w:vMerge w:val="continue"/>
            <w:tcBorders>
              <w:top w:val="nil"/>
              <w:left w:val="nil"/>
              <w:bottom w:val="nil"/>
              <w:right w:val="single" w:color="000000" w:sz="8" w:space="0"/>
            </w:tcBorders>
            <w:shd w:val="clear" w:color="auto" w:fill="auto"/>
            <w:noWrap/>
            <w:vAlign w:val="center"/>
          </w:tcPr>
          <w:p w14:paraId="1C35781A">
            <w:pPr>
              <w:jc w:val="center"/>
              <w:rPr>
                <w:rFonts w:hint="default" w:eastAsia="宋体" w:cs="Arial Regular" w:asciiTheme="minorAscii" w:hAnsiTheme="minorAscii"/>
                <w:color w:val="auto"/>
                <w:sz w:val="22"/>
                <w:szCs w:val="22"/>
                <w:highlight w:val="none"/>
              </w:rPr>
            </w:pPr>
          </w:p>
        </w:tc>
        <w:tc>
          <w:tcPr>
            <w:tcW w:w="1659" w:type="dxa"/>
            <w:vMerge w:val="continue"/>
            <w:tcBorders>
              <w:top w:val="nil"/>
              <w:left w:val="single" w:color="000000" w:sz="8" w:space="0"/>
              <w:bottom w:val="nil"/>
              <w:right w:val="nil"/>
            </w:tcBorders>
            <w:shd w:val="clear" w:color="auto" w:fill="auto"/>
            <w:noWrap/>
            <w:vAlign w:val="center"/>
          </w:tcPr>
          <w:p w14:paraId="637C8E73">
            <w:pPr>
              <w:jc w:val="left"/>
              <w:rPr>
                <w:rFonts w:hint="default" w:eastAsia="宋体" w:cs="Arial Regular" w:asciiTheme="minorAscii" w:hAnsiTheme="minorAscii"/>
                <w:color w:val="auto"/>
                <w:sz w:val="22"/>
                <w:szCs w:val="22"/>
                <w:highlight w:val="none"/>
              </w:rPr>
            </w:pPr>
          </w:p>
        </w:tc>
        <w:tc>
          <w:tcPr>
            <w:tcW w:w="2518" w:type="dxa"/>
            <w:tcBorders>
              <w:left w:val="nil"/>
              <w:tl2br w:val="nil"/>
              <w:tr2bl w:val="nil"/>
            </w:tcBorders>
            <w:shd w:val="clear" w:color="auto" w:fill="auto"/>
            <w:noWrap/>
            <w:vAlign w:val="bottom"/>
          </w:tcPr>
          <w:p w14:paraId="7351EE21">
            <w:pPr>
              <w:widowControl/>
              <w:jc w:val="center"/>
              <w:textAlignment w:val="bottom"/>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(0.040)</w:t>
            </w:r>
          </w:p>
        </w:tc>
      </w:tr>
      <w:tr w14:paraId="090595AD">
        <w:trPr>
          <w:trHeight w:val="336" w:hRule="atLeast"/>
          <w:jc w:val="center"/>
        </w:trPr>
        <w:tc>
          <w:tcPr>
            <w:tcW w:w="1907" w:type="dxa"/>
            <w:vMerge w:val="continue"/>
            <w:tcBorders>
              <w:bottom w:val="single" w:color="auto" w:sz="12" w:space="0"/>
              <w:right w:val="nil"/>
              <w:tl2br w:val="nil"/>
              <w:tr2bl w:val="nil"/>
            </w:tcBorders>
            <w:shd w:val="clear" w:color="auto" w:fill="auto"/>
            <w:noWrap/>
            <w:vAlign w:val="center"/>
          </w:tcPr>
          <w:p w14:paraId="136EB6DB">
            <w:pPr>
              <w:jc w:val="left"/>
              <w:rPr>
                <w:rFonts w:hint="default" w:eastAsia="宋体" w:cs="Arial Regular" w:asciiTheme="minorAscii" w:hAnsiTheme="minorAscii"/>
                <w:color w:val="auto"/>
                <w:sz w:val="22"/>
                <w:szCs w:val="22"/>
                <w:highlight w:val="none"/>
              </w:rPr>
            </w:pPr>
          </w:p>
        </w:tc>
        <w:tc>
          <w:tcPr>
            <w:tcW w:w="2236" w:type="dxa"/>
            <w:vMerge w:val="restart"/>
            <w:tcBorders>
              <w:top w:val="nil"/>
              <w:left w:val="nil"/>
              <w:bottom w:val="nil"/>
              <w:right w:val="single" w:color="000000" w:sz="8" w:space="0"/>
            </w:tcBorders>
            <w:shd w:val="clear" w:color="auto" w:fill="auto"/>
            <w:noWrap/>
            <w:vAlign w:val="center"/>
          </w:tcPr>
          <w:p w14:paraId="683DADE9">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( 1.4404 )</w:t>
            </w:r>
          </w:p>
        </w:tc>
        <w:tc>
          <w:tcPr>
            <w:tcW w:w="1659" w:type="dxa"/>
            <w:vMerge w:val="restart"/>
            <w:tcBorders>
              <w:top w:val="nil"/>
              <w:left w:val="single" w:color="000000" w:sz="8" w:space="0"/>
              <w:bottom w:val="nil"/>
              <w:right w:val="nil"/>
            </w:tcBorders>
            <w:shd w:val="clear" w:color="auto" w:fill="auto"/>
            <w:noWrap/>
            <w:vAlign w:val="center"/>
          </w:tcPr>
          <w:p w14:paraId="3E33347F">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rca</w:t>
            </w:r>
          </w:p>
        </w:tc>
        <w:tc>
          <w:tcPr>
            <w:tcW w:w="2518" w:type="dxa"/>
            <w:tcBorders>
              <w:left w:val="nil"/>
              <w:bottom w:val="nil"/>
            </w:tcBorders>
            <w:shd w:val="clear" w:color="auto" w:fill="auto"/>
            <w:noWrap/>
            <w:vAlign w:val="bottom"/>
          </w:tcPr>
          <w:p w14:paraId="661C6D0C">
            <w:pPr>
              <w:widowControl/>
              <w:jc w:val="center"/>
              <w:textAlignment w:val="bottom"/>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5.373***</w:t>
            </w:r>
          </w:p>
        </w:tc>
      </w:tr>
      <w:tr w14:paraId="5D85A146">
        <w:trPr>
          <w:trHeight w:val="206" w:hRule="atLeast"/>
          <w:jc w:val="center"/>
        </w:trPr>
        <w:tc>
          <w:tcPr>
            <w:tcW w:w="1907" w:type="dxa"/>
            <w:vMerge w:val="continue"/>
            <w:tcBorders>
              <w:top w:val="single" w:color="auto" w:sz="12" w:space="0"/>
              <w:bottom w:val="nil"/>
              <w:right w:val="nil"/>
            </w:tcBorders>
            <w:shd w:val="clear" w:color="auto" w:fill="auto"/>
            <w:noWrap/>
            <w:vAlign w:val="center"/>
          </w:tcPr>
          <w:p w14:paraId="6FFD9F13">
            <w:pPr>
              <w:jc w:val="left"/>
              <w:rPr>
                <w:rFonts w:hint="default" w:eastAsia="宋体" w:cs="Arial Regular" w:asciiTheme="minorAscii" w:hAnsiTheme="minorAscii"/>
                <w:color w:val="auto"/>
                <w:sz w:val="22"/>
                <w:szCs w:val="22"/>
                <w:highlight w:val="none"/>
              </w:rPr>
            </w:pPr>
          </w:p>
        </w:tc>
        <w:tc>
          <w:tcPr>
            <w:tcW w:w="2236" w:type="dxa"/>
            <w:vMerge w:val="continue"/>
            <w:tcBorders>
              <w:top w:val="nil"/>
              <w:left w:val="nil"/>
              <w:bottom w:val="nil"/>
              <w:right w:val="single" w:color="000000" w:sz="8" w:space="0"/>
            </w:tcBorders>
            <w:shd w:val="clear" w:color="auto" w:fill="auto"/>
            <w:noWrap/>
            <w:vAlign w:val="center"/>
          </w:tcPr>
          <w:p w14:paraId="26494D10">
            <w:pPr>
              <w:jc w:val="center"/>
              <w:rPr>
                <w:rFonts w:hint="default" w:eastAsia="宋体" w:cs="Arial Regular" w:asciiTheme="minorAscii" w:hAnsiTheme="minorAscii"/>
                <w:color w:val="auto"/>
                <w:sz w:val="22"/>
                <w:szCs w:val="22"/>
                <w:highlight w:val="none"/>
              </w:rPr>
            </w:pPr>
          </w:p>
        </w:tc>
        <w:tc>
          <w:tcPr>
            <w:tcW w:w="1659" w:type="dxa"/>
            <w:vMerge w:val="continue"/>
            <w:tcBorders>
              <w:top w:val="nil"/>
              <w:left w:val="single" w:color="000000" w:sz="8" w:space="0"/>
              <w:bottom w:val="nil"/>
              <w:right w:val="nil"/>
            </w:tcBorders>
            <w:shd w:val="clear" w:color="auto" w:fill="auto"/>
            <w:noWrap/>
            <w:vAlign w:val="center"/>
          </w:tcPr>
          <w:p w14:paraId="4C7F5B22">
            <w:pPr>
              <w:jc w:val="left"/>
              <w:rPr>
                <w:rFonts w:hint="default" w:eastAsia="宋体" w:cs="Arial Regular" w:asciiTheme="minorAscii" w:hAnsiTheme="minorAscii"/>
                <w:color w:val="auto"/>
                <w:sz w:val="22"/>
                <w:szCs w:val="22"/>
                <w:highlight w:val="none"/>
              </w:rPr>
            </w:pPr>
          </w:p>
        </w:tc>
        <w:tc>
          <w:tcPr>
            <w:tcW w:w="2518" w:type="dxa"/>
            <w:tcBorders>
              <w:top w:val="nil"/>
              <w:left w:val="nil"/>
              <w:bottom w:val="nil"/>
            </w:tcBorders>
            <w:shd w:val="clear" w:color="auto" w:fill="auto"/>
            <w:noWrap/>
            <w:vAlign w:val="bottom"/>
          </w:tcPr>
          <w:p w14:paraId="4EF15DAF">
            <w:pPr>
              <w:widowControl/>
              <w:jc w:val="center"/>
              <w:textAlignment w:val="bottom"/>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(1.873)</w:t>
            </w:r>
          </w:p>
        </w:tc>
      </w:tr>
      <w:tr w14:paraId="58E2794C">
        <w:trPr>
          <w:trHeight w:val="242" w:hRule="atLeast"/>
          <w:jc w:val="center"/>
        </w:trPr>
        <w:tc>
          <w:tcPr>
            <w:tcW w:w="1907" w:type="dxa"/>
            <w:tcBorders>
              <w:top w:val="nil"/>
              <w:bottom w:val="nil"/>
              <w:right w:val="nil"/>
            </w:tcBorders>
            <w:shd w:val="clear" w:color="auto" w:fill="auto"/>
            <w:noWrap/>
            <w:vAlign w:val="center"/>
          </w:tcPr>
          <w:p w14:paraId="1D47E854">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controls</w:t>
            </w:r>
          </w:p>
        </w:tc>
        <w:tc>
          <w:tcPr>
            <w:tcW w:w="2236" w:type="dxa"/>
            <w:tcBorders>
              <w:top w:val="nil"/>
              <w:left w:val="nil"/>
              <w:bottom w:val="nil"/>
              <w:right w:val="single" w:color="auto" w:sz="8" w:space="0"/>
            </w:tcBorders>
            <w:shd w:val="clear" w:color="auto" w:fill="auto"/>
            <w:noWrap/>
            <w:vAlign w:val="center"/>
          </w:tcPr>
          <w:p w14:paraId="77A13709">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c>
          <w:tcPr>
            <w:tcW w:w="1659" w:type="dxa"/>
            <w:tcBorders>
              <w:top w:val="nil"/>
              <w:left w:val="single" w:color="auto" w:sz="8" w:space="0"/>
              <w:bottom w:val="nil"/>
              <w:right w:val="nil"/>
            </w:tcBorders>
            <w:shd w:val="clear" w:color="auto" w:fill="auto"/>
            <w:noWrap/>
            <w:vAlign w:val="center"/>
          </w:tcPr>
          <w:p w14:paraId="697D2314">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controls</w:t>
            </w:r>
          </w:p>
        </w:tc>
        <w:tc>
          <w:tcPr>
            <w:tcW w:w="2518" w:type="dxa"/>
            <w:tcBorders>
              <w:top w:val="nil"/>
              <w:left w:val="nil"/>
              <w:bottom w:val="nil"/>
            </w:tcBorders>
            <w:shd w:val="clear" w:color="auto" w:fill="auto"/>
            <w:noWrap/>
            <w:vAlign w:val="center"/>
          </w:tcPr>
          <w:p w14:paraId="07E583E6">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r>
      <w:tr w14:paraId="72A59770">
        <w:trPr>
          <w:trHeight w:val="230" w:hRule="atLeast"/>
          <w:jc w:val="center"/>
        </w:trPr>
        <w:tc>
          <w:tcPr>
            <w:tcW w:w="1907" w:type="dxa"/>
            <w:tcBorders>
              <w:top w:val="nil"/>
              <w:bottom w:val="nil"/>
              <w:right w:val="nil"/>
            </w:tcBorders>
            <w:shd w:val="clear" w:color="auto" w:fill="auto"/>
            <w:noWrap/>
            <w:vAlign w:val="center"/>
          </w:tcPr>
          <w:p w14:paraId="21764F08">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individual effect</w:t>
            </w:r>
          </w:p>
        </w:tc>
        <w:tc>
          <w:tcPr>
            <w:tcW w:w="2236" w:type="dxa"/>
            <w:tcBorders>
              <w:top w:val="nil"/>
              <w:left w:val="nil"/>
              <w:bottom w:val="nil"/>
              <w:right w:val="single" w:color="auto" w:sz="8" w:space="0"/>
            </w:tcBorders>
            <w:shd w:val="clear" w:color="auto" w:fill="auto"/>
            <w:noWrap/>
            <w:vAlign w:val="center"/>
          </w:tcPr>
          <w:p w14:paraId="65905F68">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no</w:t>
            </w:r>
          </w:p>
        </w:tc>
        <w:tc>
          <w:tcPr>
            <w:tcW w:w="1659" w:type="dxa"/>
            <w:tcBorders>
              <w:top w:val="nil"/>
              <w:left w:val="single" w:color="auto" w:sz="8" w:space="0"/>
              <w:bottom w:val="nil"/>
              <w:right w:val="nil"/>
            </w:tcBorders>
            <w:shd w:val="clear" w:color="auto" w:fill="auto"/>
            <w:noWrap/>
            <w:vAlign w:val="center"/>
          </w:tcPr>
          <w:p w14:paraId="06D43823">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individual effect</w:t>
            </w:r>
          </w:p>
        </w:tc>
        <w:tc>
          <w:tcPr>
            <w:tcW w:w="2518" w:type="dxa"/>
            <w:tcBorders>
              <w:top w:val="nil"/>
              <w:left w:val="nil"/>
              <w:bottom w:val="nil"/>
            </w:tcBorders>
            <w:shd w:val="clear" w:color="auto" w:fill="auto"/>
            <w:noWrap/>
            <w:vAlign w:val="center"/>
          </w:tcPr>
          <w:p w14:paraId="76F1F924">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r>
      <w:tr w14:paraId="04528727">
        <w:trPr>
          <w:trHeight w:val="304" w:hRule="atLeast"/>
          <w:jc w:val="center"/>
        </w:trPr>
        <w:tc>
          <w:tcPr>
            <w:tcW w:w="1907" w:type="dxa"/>
            <w:tcBorders>
              <w:top w:val="nil"/>
              <w:bottom w:val="single" w:color="auto" w:sz="8" w:space="0"/>
              <w:right w:val="nil"/>
            </w:tcBorders>
            <w:shd w:val="clear" w:color="auto" w:fill="auto"/>
            <w:noWrap/>
            <w:vAlign w:val="center"/>
          </w:tcPr>
          <w:p w14:paraId="7003C009">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time effect</w:t>
            </w:r>
          </w:p>
        </w:tc>
        <w:tc>
          <w:tcPr>
            <w:tcW w:w="2236" w:type="dxa"/>
            <w:tcBorders>
              <w:top w:val="nil"/>
              <w:left w:val="nil"/>
              <w:bottom w:val="single" w:color="auto" w:sz="8" w:space="0"/>
              <w:right w:val="single" w:color="auto" w:sz="8" w:space="0"/>
            </w:tcBorders>
            <w:shd w:val="clear" w:color="auto" w:fill="auto"/>
            <w:noWrap/>
            <w:vAlign w:val="center"/>
          </w:tcPr>
          <w:p w14:paraId="41889851">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no</w:t>
            </w:r>
          </w:p>
        </w:tc>
        <w:tc>
          <w:tcPr>
            <w:tcW w:w="1659" w:type="dxa"/>
            <w:tcBorders>
              <w:top w:val="nil"/>
              <w:left w:val="single" w:color="auto" w:sz="8" w:space="0"/>
              <w:bottom w:val="single" w:color="auto" w:sz="8" w:space="0"/>
              <w:right w:val="nil"/>
            </w:tcBorders>
            <w:shd w:val="clear" w:color="auto" w:fill="auto"/>
            <w:noWrap/>
            <w:vAlign w:val="center"/>
          </w:tcPr>
          <w:p w14:paraId="7A27AD39">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time effect</w:t>
            </w:r>
          </w:p>
        </w:tc>
        <w:tc>
          <w:tcPr>
            <w:tcW w:w="2518" w:type="dxa"/>
            <w:tcBorders>
              <w:top w:val="nil"/>
              <w:left w:val="nil"/>
              <w:bottom w:val="single" w:color="auto" w:sz="8" w:space="0"/>
            </w:tcBorders>
            <w:shd w:val="clear" w:color="auto" w:fill="auto"/>
            <w:noWrap/>
            <w:vAlign w:val="center"/>
          </w:tcPr>
          <w:p w14:paraId="52FC3980">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r>
      <w:tr w14:paraId="5501922C">
        <w:trPr>
          <w:trHeight w:val="700" w:hRule="atLeast"/>
          <w:jc w:val="center"/>
        </w:trPr>
        <w:tc>
          <w:tcPr>
            <w:tcW w:w="1907" w:type="dxa"/>
            <w:tcBorders>
              <w:top w:val="single" w:color="auto" w:sz="8" w:space="0"/>
              <w:bottom w:val="nil"/>
              <w:right w:val="nil"/>
            </w:tcBorders>
            <w:shd w:val="clear" w:color="auto" w:fill="auto"/>
            <w:vAlign w:val="center"/>
          </w:tcPr>
          <w:p w14:paraId="13738DD7">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Kleibergen-Paap rk LM statistic</w:t>
            </w:r>
          </w:p>
        </w:tc>
        <w:tc>
          <w:tcPr>
            <w:tcW w:w="2236" w:type="dxa"/>
            <w:tcBorders>
              <w:top w:val="single" w:color="auto" w:sz="8" w:space="0"/>
              <w:left w:val="nil"/>
              <w:bottom w:val="nil"/>
              <w:right w:val="single" w:color="auto" w:sz="8" w:space="0"/>
            </w:tcBorders>
            <w:shd w:val="clear" w:color="auto" w:fill="auto"/>
            <w:noWrap/>
            <w:vAlign w:val="center"/>
          </w:tcPr>
          <w:p w14:paraId="6752B64D">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875.84***</w:t>
            </w:r>
          </w:p>
        </w:tc>
        <w:tc>
          <w:tcPr>
            <w:tcW w:w="1659" w:type="dxa"/>
            <w:tcBorders>
              <w:top w:val="single" w:color="auto" w:sz="8" w:space="0"/>
              <w:left w:val="single" w:color="auto" w:sz="8" w:space="0"/>
              <w:bottom w:val="nil"/>
              <w:right w:val="nil"/>
            </w:tcBorders>
            <w:shd w:val="clear" w:color="auto" w:fill="auto"/>
            <w:noWrap/>
            <w:vAlign w:val="center"/>
          </w:tcPr>
          <w:p w14:paraId="06A02699">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AR(1)</w:t>
            </w:r>
          </w:p>
        </w:tc>
        <w:tc>
          <w:tcPr>
            <w:tcW w:w="2518" w:type="dxa"/>
            <w:tcBorders>
              <w:top w:val="single" w:color="auto" w:sz="8" w:space="0"/>
              <w:left w:val="nil"/>
              <w:bottom w:val="nil"/>
            </w:tcBorders>
            <w:shd w:val="clear" w:color="auto" w:fill="auto"/>
            <w:noWrap/>
            <w:vAlign w:val="center"/>
          </w:tcPr>
          <w:p w14:paraId="0225D040">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 xml:space="preserve">0.000 </w:t>
            </w:r>
          </w:p>
        </w:tc>
      </w:tr>
      <w:tr w14:paraId="4ED83571">
        <w:trPr>
          <w:trHeight w:val="752" w:hRule="atLeast"/>
          <w:jc w:val="center"/>
        </w:trPr>
        <w:tc>
          <w:tcPr>
            <w:tcW w:w="1907" w:type="dxa"/>
            <w:tcBorders>
              <w:top w:val="nil"/>
              <w:bottom w:val="single" w:color="auto" w:sz="8" w:space="0"/>
              <w:right w:val="nil"/>
            </w:tcBorders>
            <w:shd w:val="clear" w:color="auto" w:fill="auto"/>
            <w:vAlign w:val="center"/>
          </w:tcPr>
          <w:p w14:paraId="52D32004">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Cragg -Donald Wald F statistic</w:t>
            </w:r>
          </w:p>
        </w:tc>
        <w:tc>
          <w:tcPr>
            <w:tcW w:w="2236" w:type="dxa"/>
            <w:tcBorders>
              <w:top w:val="nil"/>
              <w:left w:val="nil"/>
              <w:bottom w:val="single" w:color="auto" w:sz="8" w:space="0"/>
              <w:right w:val="single" w:color="auto" w:sz="8" w:space="0"/>
            </w:tcBorders>
            <w:shd w:val="clear" w:color="auto" w:fill="auto"/>
            <w:noWrap/>
            <w:vAlign w:val="center"/>
          </w:tcPr>
          <w:p w14:paraId="2834E53E">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1670.30***</w:t>
            </w:r>
          </w:p>
        </w:tc>
        <w:tc>
          <w:tcPr>
            <w:tcW w:w="1659" w:type="dxa"/>
            <w:tcBorders>
              <w:top w:val="nil"/>
              <w:left w:val="single" w:color="auto" w:sz="8" w:space="0"/>
              <w:bottom w:val="single" w:color="auto" w:sz="8" w:space="0"/>
              <w:right w:val="nil"/>
            </w:tcBorders>
            <w:shd w:val="clear" w:color="auto" w:fill="auto"/>
            <w:noWrap/>
            <w:vAlign w:val="center"/>
          </w:tcPr>
          <w:p w14:paraId="7C6C1433">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AR(2)</w:t>
            </w:r>
          </w:p>
        </w:tc>
        <w:tc>
          <w:tcPr>
            <w:tcW w:w="2518" w:type="dxa"/>
            <w:tcBorders>
              <w:top w:val="nil"/>
              <w:left w:val="nil"/>
              <w:bottom w:val="single" w:color="auto" w:sz="8" w:space="0"/>
            </w:tcBorders>
            <w:shd w:val="clear" w:color="auto" w:fill="auto"/>
            <w:noWrap/>
            <w:vAlign w:val="center"/>
          </w:tcPr>
          <w:p w14:paraId="77F17CB5">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 xml:space="preserve">0.160 </w:t>
            </w:r>
          </w:p>
        </w:tc>
      </w:tr>
      <w:tr w14:paraId="59CEE7CE">
        <w:trPr>
          <w:trHeight w:val="206" w:hRule="atLeast"/>
          <w:jc w:val="center"/>
        </w:trPr>
        <w:tc>
          <w:tcPr>
            <w:tcW w:w="1907" w:type="dxa"/>
            <w:tcBorders>
              <w:top w:val="single" w:color="auto" w:sz="8" w:space="0"/>
              <w:bottom w:val="nil"/>
              <w:right w:val="nil"/>
            </w:tcBorders>
            <w:shd w:val="clear" w:color="auto" w:fill="auto"/>
            <w:noWrap/>
            <w:vAlign w:val="center"/>
          </w:tcPr>
          <w:p w14:paraId="71B01E4B">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Adj-R</w:t>
            </w:r>
            <w:r>
              <w:rPr>
                <w:rFonts w:hint="default" w:eastAsia="宋体" w:cs="Arial Regular" w:asciiTheme="minorAscii" w:hAnsiTheme="minorAscii"/>
                <w:color w:val="auto"/>
                <w:kern w:val="0"/>
                <w:sz w:val="22"/>
                <w:szCs w:val="22"/>
                <w:highlight w:val="none"/>
                <w:vertAlign w:val="superscript"/>
                <w:lang w:bidi="ar"/>
              </w:rPr>
              <w:t>2</w:t>
            </w:r>
          </w:p>
        </w:tc>
        <w:tc>
          <w:tcPr>
            <w:tcW w:w="2236" w:type="dxa"/>
            <w:tcBorders>
              <w:top w:val="single" w:color="auto" w:sz="8" w:space="0"/>
              <w:left w:val="nil"/>
              <w:bottom w:val="nil"/>
              <w:right w:val="single" w:color="000000" w:sz="8" w:space="0"/>
            </w:tcBorders>
            <w:shd w:val="clear" w:color="auto" w:fill="auto"/>
            <w:noWrap/>
            <w:vAlign w:val="center"/>
          </w:tcPr>
          <w:p w14:paraId="326D5FF4">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0.009</w:t>
            </w:r>
          </w:p>
        </w:tc>
        <w:tc>
          <w:tcPr>
            <w:tcW w:w="1659" w:type="dxa"/>
            <w:tcBorders>
              <w:top w:val="single" w:color="auto" w:sz="8" w:space="0"/>
              <w:left w:val="single" w:color="000000" w:sz="8" w:space="0"/>
              <w:bottom w:val="nil"/>
              <w:right w:val="nil"/>
            </w:tcBorders>
            <w:shd w:val="clear" w:color="auto" w:fill="auto"/>
            <w:noWrap/>
            <w:vAlign w:val="center"/>
          </w:tcPr>
          <w:p w14:paraId="37D1F7FA">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Hansen</w:t>
            </w:r>
          </w:p>
        </w:tc>
        <w:tc>
          <w:tcPr>
            <w:tcW w:w="2518" w:type="dxa"/>
            <w:tcBorders>
              <w:top w:val="single" w:color="auto" w:sz="8" w:space="0"/>
              <w:left w:val="nil"/>
              <w:bottom w:val="nil"/>
            </w:tcBorders>
            <w:shd w:val="clear" w:color="auto" w:fill="auto"/>
            <w:noWrap/>
            <w:vAlign w:val="center"/>
          </w:tcPr>
          <w:p w14:paraId="7AD1C62A">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 xml:space="preserve">0.850 </w:t>
            </w:r>
          </w:p>
        </w:tc>
      </w:tr>
      <w:tr w14:paraId="07EC05B7">
        <w:trPr>
          <w:trHeight w:val="219" w:hRule="atLeast"/>
          <w:jc w:val="center"/>
        </w:trPr>
        <w:tc>
          <w:tcPr>
            <w:tcW w:w="1907" w:type="dxa"/>
            <w:tcBorders>
              <w:top w:val="nil"/>
              <w:right w:val="nil"/>
            </w:tcBorders>
            <w:shd w:val="clear" w:color="auto" w:fill="auto"/>
            <w:noWrap/>
            <w:vAlign w:val="center"/>
          </w:tcPr>
          <w:p w14:paraId="362C3B4F">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N</w:t>
            </w:r>
          </w:p>
        </w:tc>
        <w:tc>
          <w:tcPr>
            <w:tcW w:w="2236" w:type="dxa"/>
            <w:tcBorders>
              <w:top w:val="nil"/>
              <w:left w:val="nil"/>
              <w:right w:val="single" w:color="000000" w:sz="8" w:space="0"/>
            </w:tcBorders>
            <w:shd w:val="clear" w:color="auto" w:fill="auto"/>
            <w:noWrap/>
            <w:vAlign w:val="center"/>
          </w:tcPr>
          <w:p w14:paraId="55A56A4F">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12,092</w:t>
            </w:r>
          </w:p>
        </w:tc>
        <w:tc>
          <w:tcPr>
            <w:tcW w:w="1659" w:type="dxa"/>
            <w:tcBorders>
              <w:top w:val="nil"/>
              <w:left w:val="single" w:color="000000" w:sz="8" w:space="0"/>
              <w:right w:val="nil"/>
            </w:tcBorders>
            <w:shd w:val="clear" w:color="auto" w:fill="auto"/>
            <w:noWrap/>
            <w:vAlign w:val="center"/>
          </w:tcPr>
          <w:p w14:paraId="1123D85B">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N</w:t>
            </w:r>
          </w:p>
        </w:tc>
        <w:tc>
          <w:tcPr>
            <w:tcW w:w="2518" w:type="dxa"/>
            <w:tcBorders>
              <w:top w:val="nil"/>
              <w:left w:val="nil"/>
            </w:tcBorders>
            <w:shd w:val="clear" w:color="auto" w:fill="auto"/>
            <w:noWrap/>
            <w:vAlign w:val="bottom"/>
          </w:tcPr>
          <w:p w14:paraId="18535B18">
            <w:pPr>
              <w:widowControl/>
              <w:jc w:val="center"/>
              <w:textAlignment w:val="bottom"/>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8,901</w:t>
            </w:r>
          </w:p>
        </w:tc>
      </w:tr>
    </w:tbl>
    <w:p w14:paraId="29BD6E20">
      <w:pPr>
        <w:keepNext w:val="0"/>
        <w:keepLines w:val="0"/>
        <w:pageBreakBefore w:val="0"/>
        <w:widowControl w:val="0"/>
        <w:kinsoku/>
        <w:wordWrap/>
        <w:overflowPunct/>
        <w:topLinePunct w:val="0"/>
        <w:autoSpaceDE/>
        <w:autoSpaceDN/>
        <w:bidi w:val="0"/>
        <w:adjustRightInd/>
        <w:snapToGrid/>
        <w:spacing w:before="60" w:after="60" w:line="220" w:lineRule="exact"/>
        <w:textAlignment w:val="auto"/>
        <w:rPr>
          <w:rFonts w:hint="default" w:asciiTheme="minorAscii" w:hAnsiTheme="minorAscii"/>
          <w:color w:val="auto"/>
          <w:sz w:val="18"/>
          <w:szCs w:val="21"/>
          <w:highlight w:val="none"/>
        </w:rPr>
      </w:pPr>
      <w:r>
        <w:rPr>
          <w:rFonts w:hint="default" w:asciiTheme="minorAscii" w:hAnsiTheme="minorAscii"/>
          <w:color w:val="auto"/>
          <w:sz w:val="18"/>
          <w:szCs w:val="21"/>
          <w:highlight w:val="none"/>
          <w:lang w:val="en-US"/>
        </w:rPr>
        <w:t>Note:</w:t>
      </w:r>
      <w:r>
        <w:rPr>
          <w:rFonts w:hint="default" w:asciiTheme="minorAscii" w:hAnsiTheme="minorAscii"/>
          <w:color w:val="auto"/>
          <w:sz w:val="18"/>
          <w:szCs w:val="21"/>
          <w:highlight w:val="none"/>
        </w:rPr>
        <w:t>(1)AR(1) and AR(2) are correlation tests for the difference in disturbance terms, which are divided into first-order autocorrelation and second-order autocorrelation. GMM consistency estimation requires that the disturbance term does not have autocorrelation, but has first-order difference correlation, and has no correlation for second-order and above differences. The null hypothesis is "there is no autocorrelation in the difference of disturbance terms". (2)The validity of dynamic panel parameter estimation depends on whether the instrumental variables are valid, since this test uses a robust test. Therefore, the Hansen test was used to identify its validity.</w:t>
      </w:r>
    </w:p>
    <w:p w14:paraId="03A15CD8">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Table 4 presents the results of the endogeneity test regarding the impact of producer services trade competitiveness on independent innovation in manufacturing enterprises.</w:t>
      </w:r>
    </w:p>
    <w:p w14:paraId="276E843C">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(1)2SLS instrumental variable test method</w:t>
      </w:r>
    </w:p>
    <w:p w14:paraId="48E6954E">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 xml:space="preserve">A country's imports and exports will inevitably be affected by exchange rate fluctuations. Therefore, this </w:t>
      </w:r>
      <w:r>
        <w:rPr>
          <w:rFonts w:hint="default" w:asciiTheme="minorAscii" w:hAnsiTheme="minorAscii"/>
          <w:color w:val="auto"/>
          <w:highlight w:val="none"/>
          <w:lang w:val="en-US"/>
        </w:rPr>
        <w:t>paper</w:t>
      </w:r>
      <w:r>
        <w:rPr>
          <w:rFonts w:hint="default" w:asciiTheme="minorAscii" w:hAnsiTheme="minorAscii"/>
          <w:color w:val="auto"/>
          <w:highlight w:val="none"/>
        </w:rPr>
        <w:t xml:space="preserve"> uses the actual exchange rate of the RMB against the US dollar as an instrumental variable to deal with the endogeneity problem and conducts a 2SLS test when it is determined that heteroskedasticity exists. The results are shown in column 3 of Table 3 (1).The weak IV test results show that the Cragg-Donald Wald F values are greater than the Stock-Yogo 10%-level critical value, and the model passes the weak instrumental variable test. The K-Paark LM statistic of the identification test rejects the null hypothesis at the 1% level and confirms that the instrumental variable can be identified. This means that the choice of the instrumental variable was reasonable. Even though the endogeneity problem was taken into account, the regression coefficient of producer services trade competitiveness on independent innovation of manufacturing enterprises is still significant at the 1% level, which means the conclusion is still correct.</w:t>
      </w:r>
    </w:p>
    <w:p w14:paraId="764B261C">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rPr>
        <w:t>(2)</w:t>
      </w:r>
      <w:r>
        <w:rPr>
          <w:rFonts w:hint="default" w:asciiTheme="minorAscii" w:hAnsiTheme="minorAscii"/>
          <w:color w:val="auto"/>
          <w:highlight w:val="none"/>
          <w:lang w:eastAsia="zh-Hans"/>
        </w:rPr>
        <w:t>IV-</w:t>
      </w:r>
      <w:r>
        <w:rPr>
          <w:rFonts w:hint="default" w:asciiTheme="minorAscii" w:hAnsiTheme="minorAscii"/>
          <w:color w:val="auto"/>
          <w:highlight w:val="none"/>
        </w:rPr>
        <w:t>GMM test method</w:t>
      </w:r>
    </w:p>
    <w:p w14:paraId="089FB5CB">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rPr>
      </w:pPr>
      <w:r>
        <w:rPr>
          <w:rFonts w:hint="default" w:asciiTheme="minorAscii" w:hAnsiTheme="minorAscii"/>
          <w:color w:val="auto"/>
          <w:highlight w:val="none"/>
          <w:lang w:val="en-US" w:eastAsia="zh-CN"/>
        </w:rPr>
        <w:t>This paper employs the interpolation method, using the one-lag period of the explained variable as the core explanatory variable to test the endogeneity problem in dynamic regression. The results are shown in column (3) of Table 4. For this instrumental variable, the p-value of the Hansen test is 0.850, so it is accepted. The null hypothesis that “all instrumental variables are valid” is established. The p-values of the AR(1) and AR(2) tests are 0.0000 and 0.160, respectively. This means that the difference between the random disturbance terms has first-order autocorrelation but second-order non-autocorrelation, which means it meets the no-autocorrelation condition. The model's instrumental variables and core explanatory variables have coefficient signs and significances that are mostly the same as the benchmark regression results. This means that the estimation results in this paper are robust.</w:t>
      </w:r>
    </w:p>
    <w:p w14:paraId="5615DD62">
      <w:pPr>
        <w:keepNext w:val="0"/>
        <w:keepLines w:val="0"/>
        <w:pageBreakBefore w:val="0"/>
        <w:widowControl w:val="0"/>
        <w:kinsoku/>
        <w:wordWrap/>
        <w:overflowPunct/>
        <w:topLinePunct w:val="0"/>
        <w:autoSpaceDE/>
        <w:autoSpaceDN/>
        <w:bidi w:val="0"/>
        <w:adjustRightInd/>
        <w:snapToGrid/>
        <w:spacing w:before="625" w:beforeLines="200" w:after="313" w:afterLines="100"/>
        <w:jc w:val="left"/>
        <w:textAlignment w:val="auto"/>
        <w:rPr>
          <w:rFonts w:hint="default" w:asciiTheme="minorAscii" w:hAnsiTheme="minorAscii"/>
          <w:b/>
          <w:bCs/>
          <w:color w:val="auto"/>
          <w:sz w:val="22"/>
          <w:szCs w:val="28"/>
          <w:highlight w:val="none"/>
          <w:lang w:val="en-US" w:eastAsia="zh-Hans"/>
        </w:rPr>
      </w:pPr>
      <w:r>
        <w:rPr>
          <w:rFonts w:hint="default" w:asciiTheme="minorAscii" w:hAnsiTheme="minorAscii"/>
          <w:b/>
          <w:bCs/>
          <w:color w:val="auto"/>
          <w:sz w:val="22"/>
          <w:szCs w:val="28"/>
          <w:highlight w:val="none"/>
          <w:lang w:val="en-US" w:eastAsia="zh-Hans"/>
        </w:rPr>
        <w:t>7.M</w:t>
      </w:r>
      <w:r>
        <w:rPr>
          <w:rFonts w:hint="default" w:asciiTheme="minorAscii" w:hAnsiTheme="minorAscii"/>
          <w:b/>
          <w:bCs/>
          <w:color w:val="auto"/>
          <w:sz w:val="22"/>
          <w:szCs w:val="28"/>
          <w:highlight w:val="none"/>
          <w:lang w:val="en-US" w:eastAsia="zh-CN"/>
        </w:rPr>
        <w:t xml:space="preserve">ODERATING EFFECT </w:t>
      </w:r>
    </w:p>
    <w:p w14:paraId="1DCE8749">
      <w:pPr>
        <w:spacing w:before="240" w:after="240" w:line="200" w:lineRule="exact"/>
        <w:jc w:val="center"/>
        <w:rPr>
          <w:rFonts w:hint="default" w:asciiTheme="minorAscii" w:hAnsiTheme="minorAscii"/>
          <w:b/>
          <w:bCs/>
          <w:color w:val="auto"/>
          <w:highlight w:val="none"/>
        </w:rPr>
      </w:pPr>
      <w:r>
        <w:rPr>
          <w:rFonts w:hint="default" w:asciiTheme="minorAscii" w:hAnsiTheme="minorAscii"/>
          <w:b/>
          <w:bCs/>
          <w:color w:val="auto"/>
          <w:highlight w:val="none"/>
        </w:rPr>
        <w:t>Table 5  Moderating effect analysis</w:t>
      </w:r>
    </w:p>
    <w:tbl>
      <w:tblPr>
        <w:tblStyle w:val="3"/>
        <w:tblW w:w="8326" w:type="dxa"/>
        <w:tblInd w:w="88"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20"/>
        <w:gridCol w:w="2271"/>
        <w:gridCol w:w="2271"/>
        <w:gridCol w:w="2264"/>
      </w:tblGrid>
      <w:tr w14:paraId="403B5528">
        <w:trPr>
          <w:trHeight w:val="336" w:hRule="atLeast"/>
        </w:trPr>
        <w:tc>
          <w:tcPr>
            <w:tcW w:w="1520" w:type="dxa"/>
            <w:vMerge w:val="restart"/>
            <w:tcBorders>
              <w:bottom w:val="single" w:color="000000" w:sz="6" w:space="0"/>
            </w:tcBorders>
            <w:shd w:val="clear" w:color="auto" w:fill="auto"/>
            <w:noWrap/>
            <w:vAlign w:val="center"/>
          </w:tcPr>
          <w:p w14:paraId="5351B66F">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variables</w:t>
            </w:r>
          </w:p>
        </w:tc>
        <w:tc>
          <w:tcPr>
            <w:tcW w:w="6806" w:type="dxa"/>
            <w:gridSpan w:val="3"/>
            <w:tcBorders>
              <w:bottom w:val="single" w:color="000000" w:sz="6" w:space="0"/>
            </w:tcBorders>
            <w:shd w:val="clear" w:color="auto" w:fill="auto"/>
            <w:noWrap/>
            <w:vAlign w:val="center"/>
          </w:tcPr>
          <w:p w14:paraId="66EC46D2">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Explained variable</w:t>
            </w:r>
          </w:p>
        </w:tc>
      </w:tr>
      <w:tr w14:paraId="1A3EA034">
        <w:trPr>
          <w:trHeight w:val="539" w:hRule="atLeast"/>
        </w:trPr>
        <w:tc>
          <w:tcPr>
            <w:tcW w:w="1520" w:type="dxa"/>
            <w:vMerge w:val="continue"/>
            <w:tcBorders>
              <w:top w:val="single" w:color="000000" w:sz="6" w:space="0"/>
              <w:bottom w:val="single" w:color="000000" w:sz="6" w:space="0"/>
            </w:tcBorders>
            <w:shd w:val="clear" w:color="auto" w:fill="auto"/>
            <w:noWrap/>
            <w:vAlign w:val="center"/>
          </w:tcPr>
          <w:p w14:paraId="36A0F59E">
            <w:pPr>
              <w:jc w:val="left"/>
              <w:rPr>
                <w:rFonts w:hint="default" w:eastAsia="宋体" w:cs="Arial Regular" w:asciiTheme="minorAscii" w:hAnsiTheme="minorAscii"/>
                <w:color w:val="auto"/>
                <w:sz w:val="22"/>
                <w:szCs w:val="22"/>
                <w:highlight w:val="none"/>
              </w:rPr>
            </w:pPr>
          </w:p>
        </w:tc>
        <w:tc>
          <w:tcPr>
            <w:tcW w:w="2271" w:type="dxa"/>
            <w:tcBorders>
              <w:top w:val="single" w:color="000000" w:sz="6" w:space="0"/>
              <w:bottom w:val="single" w:color="000000" w:sz="6" w:space="0"/>
            </w:tcBorders>
            <w:shd w:val="clear" w:color="auto" w:fill="auto"/>
            <w:vAlign w:val="center"/>
          </w:tcPr>
          <w:p w14:paraId="1836DA47">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eastAsia="zh-Hans" w:bidi="ar"/>
              </w:rPr>
              <w:t>I</w:t>
            </w:r>
            <w:r>
              <w:rPr>
                <w:rFonts w:hint="default" w:eastAsia="宋体" w:cs="Arial Regular" w:asciiTheme="minorAscii" w:hAnsiTheme="minorAscii"/>
                <w:color w:val="auto"/>
                <w:kern w:val="0"/>
                <w:sz w:val="22"/>
                <w:szCs w:val="22"/>
                <w:highlight w:val="none"/>
                <w:lang w:bidi="ar"/>
              </w:rPr>
              <w:t xml:space="preserve">nnovation </w:t>
            </w:r>
            <w:r>
              <w:rPr>
                <w:rFonts w:hint="default" w:eastAsia="宋体" w:cs="Arial Regular" w:asciiTheme="minorAscii" w:hAnsiTheme="minorAscii"/>
                <w:color w:val="auto"/>
                <w:kern w:val="0"/>
                <w:sz w:val="22"/>
                <w:szCs w:val="22"/>
                <w:highlight w:val="none"/>
                <w:lang w:eastAsia="zh-Hans" w:bidi="ar"/>
              </w:rPr>
              <w:t>O</w:t>
            </w:r>
            <w:r>
              <w:rPr>
                <w:rFonts w:hint="default" w:eastAsia="宋体" w:cs="Arial Regular" w:asciiTheme="minorAscii" w:hAnsiTheme="minorAscii"/>
                <w:color w:val="auto"/>
                <w:kern w:val="0"/>
                <w:sz w:val="22"/>
                <w:szCs w:val="22"/>
                <w:highlight w:val="none"/>
                <w:lang w:bidi="ar"/>
              </w:rPr>
              <w:t>utput(1)</w:t>
            </w:r>
          </w:p>
        </w:tc>
        <w:tc>
          <w:tcPr>
            <w:tcW w:w="2271" w:type="dxa"/>
            <w:tcBorders>
              <w:top w:val="single" w:color="000000" w:sz="6" w:space="0"/>
              <w:bottom w:val="single" w:color="000000" w:sz="6" w:space="0"/>
            </w:tcBorders>
            <w:shd w:val="clear" w:color="auto" w:fill="auto"/>
            <w:vAlign w:val="center"/>
          </w:tcPr>
          <w:p w14:paraId="0847F128">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eastAsia="zh-Hans" w:bidi="ar"/>
              </w:rPr>
              <w:t>I</w:t>
            </w:r>
            <w:r>
              <w:rPr>
                <w:rFonts w:hint="default" w:eastAsia="宋体" w:cs="Arial Regular" w:asciiTheme="minorAscii" w:hAnsiTheme="minorAscii"/>
                <w:color w:val="auto"/>
                <w:kern w:val="0"/>
                <w:sz w:val="22"/>
                <w:szCs w:val="22"/>
                <w:highlight w:val="none"/>
                <w:lang w:bidi="ar"/>
              </w:rPr>
              <w:t xml:space="preserve">nnovation </w:t>
            </w:r>
            <w:r>
              <w:rPr>
                <w:rFonts w:hint="default" w:eastAsia="宋体" w:cs="Arial Regular" w:asciiTheme="minorAscii" w:hAnsiTheme="minorAscii"/>
                <w:color w:val="auto"/>
                <w:kern w:val="0"/>
                <w:sz w:val="22"/>
                <w:szCs w:val="22"/>
                <w:highlight w:val="none"/>
                <w:lang w:eastAsia="zh-Hans" w:bidi="ar"/>
              </w:rPr>
              <w:t>O</w:t>
            </w:r>
            <w:r>
              <w:rPr>
                <w:rFonts w:hint="default" w:eastAsia="宋体" w:cs="Arial Regular" w:asciiTheme="minorAscii" w:hAnsiTheme="minorAscii"/>
                <w:color w:val="auto"/>
                <w:kern w:val="0"/>
                <w:sz w:val="22"/>
                <w:szCs w:val="22"/>
                <w:highlight w:val="none"/>
                <w:lang w:bidi="ar"/>
              </w:rPr>
              <w:t>utput(2)</w:t>
            </w:r>
          </w:p>
        </w:tc>
        <w:tc>
          <w:tcPr>
            <w:tcW w:w="2264" w:type="dxa"/>
            <w:tcBorders>
              <w:top w:val="single" w:color="000000" w:sz="6" w:space="0"/>
              <w:bottom w:val="single" w:color="000000" w:sz="6" w:space="0"/>
            </w:tcBorders>
            <w:shd w:val="clear" w:color="auto" w:fill="auto"/>
            <w:vAlign w:val="center"/>
          </w:tcPr>
          <w:p w14:paraId="0218A4D6">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eastAsia="zh-Hans" w:bidi="ar"/>
              </w:rPr>
              <w:t>I</w:t>
            </w:r>
            <w:r>
              <w:rPr>
                <w:rFonts w:hint="default" w:eastAsia="宋体" w:cs="Arial Regular" w:asciiTheme="minorAscii" w:hAnsiTheme="minorAscii"/>
                <w:color w:val="auto"/>
                <w:kern w:val="0"/>
                <w:sz w:val="22"/>
                <w:szCs w:val="22"/>
                <w:highlight w:val="none"/>
                <w:lang w:bidi="ar"/>
              </w:rPr>
              <w:t xml:space="preserve">nnovation </w:t>
            </w:r>
            <w:r>
              <w:rPr>
                <w:rFonts w:hint="default" w:eastAsia="宋体" w:cs="Arial Regular" w:asciiTheme="minorAscii" w:hAnsiTheme="minorAscii"/>
                <w:color w:val="auto"/>
                <w:kern w:val="0"/>
                <w:sz w:val="22"/>
                <w:szCs w:val="22"/>
                <w:highlight w:val="none"/>
                <w:lang w:eastAsia="zh-Hans" w:bidi="ar"/>
              </w:rPr>
              <w:t>O</w:t>
            </w:r>
            <w:r>
              <w:rPr>
                <w:rFonts w:hint="default" w:eastAsia="宋体" w:cs="Arial Regular" w:asciiTheme="minorAscii" w:hAnsiTheme="minorAscii"/>
                <w:color w:val="auto"/>
                <w:kern w:val="0"/>
                <w:sz w:val="22"/>
                <w:szCs w:val="22"/>
                <w:highlight w:val="none"/>
                <w:lang w:bidi="ar"/>
              </w:rPr>
              <w:t>utput(3)</w:t>
            </w:r>
          </w:p>
        </w:tc>
      </w:tr>
      <w:tr w14:paraId="77680441">
        <w:trPr>
          <w:trHeight w:val="230" w:hRule="atLeast"/>
        </w:trPr>
        <w:tc>
          <w:tcPr>
            <w:tcW w:w="1520" w:type="dxa"/>
            <w:vMerge w:val="restart"/>
            <w:tcBorders>
              <w:top w:val="single" w:color="000000" w:sz="6" w:space="0"/>
              <w:tl2br w:val="nil"/>
              <w:tr2bl w:val="nil"/>
            </w:tcBorders>
            <w:shd w:val="clear" w:color="auto" w:fill="auto"/>
            <w:noWrap/>
            <w:vAlign w:val="center"/>
          </w:tcPr>
          <w:p w14:paraId="79C6F900">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RCA</w:t>
            </w:r>
          </w:p>
        </w:tc>
        <w:tc>
          <w:tcPr>
            <w:tcW w:w="2271" w:type="dxa"/>
            <w:tcBorders>
              <w:top w:val="single" w:color="000000" w:sz="6" w:space="0"/>
              <w:tl2br w:val="nil"/>
              <w:tr2bl w:val="nil"/>
            </w:tcBorders>
            <w:shd w:val="clear" w:color="auto" w:fill="auto"/>
            <w:noWrap/>
            <w:vAlign w:val="bottom"/>
          </w:tcPr>
          <w:p w14:paraId="5EF0DC59">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299.286**</w:t>
            </w:r>
          </w:p>
        </w:tc>
        <w:tc>
          <w:tcPr>
            <w:tcW w:w="2271" w:type="dxa"/>
            <w:tcBorders>
              <w:top w:val="single" w:color="000000" w:sz="6" w:space="0"/>
              <w:tl2br w:val="nil"/>
              <w:tr2bl w:val="nil"/>
            </w:tcBorders>
            <w:shd w:val="clear" w:color="auto" w:fill="auto"/>
            <w:noWrap/>
            <w:vAlign w:val="bottom"/>
          </w:tcPr>
          <w:p w14:paraId="009CACC0">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-8.203*</w:t>
            </w:r>
          </w:p>
        </w:tc>
        <w:tc>
          <w:tcPr>
            <w:tcW w:w="2264" w:type="dxa"/>
            <w:tcBorders>
              <w:top w:val="single" w:color="000000" w:sz="6" w:space="0"/>
              <w:tl2br w:val="nil"/>
              <w:tr2bl w:val="nil"/>
            </w:tcBorders>
            <w:shd w:val="clear" w:color="auto" w:fill="auto"/>
            <w:noWrap/>
            <w:vAlign w:val="bottom"/>
          </w:tcPr>
          <w:p w14:paraId="6DCF7556">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-330.640**</w:t>
            </w:r>
          </w:p>
        </w:tc>
      </w:tr>
      <w:tr w14:paraId="2FB40EF1">
        <w:trPr>
          <w:trHeight w:val="90" w:hRule="atLeast"/>
        </w:trPr>
        <w:tc>
          <w:tcPr>
            <w:tcW w:w="1520" w:type="dxa"/>
            <w:vMerge w:val="continue"/>
            <w:tcBorders>
              <w:tl2br w:val="nil"/>
              <w:tr2bl w:val="nil"/>
            </w:tcBorders>
            <w:shd w:val="clear" w:color="auto" w:fill="auto"/>
            <w:noWrap/>
            <w:vAlign w:val="center"/>
          </w:tcPr>
          <w:p w14:paraId="29B7AAB2">
            <w:pPr>
              <w:jc w:val="left"/>
              <w:rPr>
                <w:rFonts w:hint="default" w:eastAsia="宋体" w:cs="Arial Regular" w:asciiTheme="minorAscii" w:hAnsiTheme="minorAscii"/>
                <w:color w:val="auto"/>
                <w:sz w:val="22"/>
                <w:szCs w:val="22"/>
                <w:highlight w:val="none"/>
              </w:rPr>
            </w:pPr>
          </w:p>
        </w:tc>
        <w:tc>
          <w:tcPr>
            <w:tcW w:w="2271" w:type="dxa"/>
            <w:tcBorders>
              <w:tl2br w:val="nil"/>
              <w:tr2bl w:val="nil"/>
            </w:tcBorders>
            <w:shd w:val="clear" w:color="auto" w:fill="auto"/>
            <w:noWrap/>
            <w:vAlign w:val="bottom"/>
          </w:tcPr>
          <w:p w14:paraId="54DD760A">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(150.077)</w:t>
            </w:r>
          </w:p>
        </w:tc>
        <w:tc>
          <w:tcPr>
            <w:tcW w:w="2271" w:type="dxa"/>
            <w:tcBorders>
              <w:tl2br w:val="nil"/>
              <w:tr2bl w:val="nil"/>
            </w:tcBorders>
            <w:shd w:val="clear" w:color="auto" w:fill="auto"/>
            <w:noWrap/>
            <w:vAlign w:val="bottom"/>
          </w:tcPr>
          <w:p w14:paraId="62ABB20A">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(4.710)</w:t>
            </w:r>
          </w:p>
        </w:tc>
        <w:tc>
          <w:tcPr>
            <w:tcW w:w="2264" w:type="dxa"/>
            <w:tcBorders>
              <w:tl2br w:val="nil"/>
              <w:tr2bl w:val="nil"/>
            </w:tcBorders>
            <w:shd w:val="clear" w:color="auto" w:fill="auto"/>
            <w:noWrap/>
            <w:vAlign w:val="bottom"/>
          </w:tcPr>
          <w:p w14:paraId="5FD371FB">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(164.999)</w:t>
            </w:r>
          </w:p>
        </w:tc>
      </w:tr>
      <w:tr w14:paraId="13317BD4">
        <w:trPr>
          <w:trHeight w:val="112" w:hRule="atLeast"/>
        </w:trPr>
        <w:tc>
          <w:tcPr>
            <w:tcW w:w="1520" w:type="dxa"/>
            <w:vMerge w:val="restart"/>
            <w:tcBorders>
              <w:tl2br w:val="nil"/>
              <w:tr2bl w:val="nil"/>
            </w:tcBorders>
            <w:shd w:val="clear" w:color="auto" w:fill="auto"/>
            <w:noWrap/>
            <w:vAlign w:val="center"/>
          </w:tcPr>
          <w:p w14:paraId="585C444E">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SIE</w:t>
            </w:r>
          </w:p>
        </w:tc>
        <w:tc>
          <w:tcPr>
            <w:tcW w:w="2271" w:type="dxa"/>
            <w:tcBorders>
              <w:tl2br w:val="nil"/>
              <w:tr2bl w:val="nil"/>
            </w:tcBorders>
            <w:shd w:val="clear" w:color="auto" w:fill="auto"/>
            <w:noWrap/>
            <w:vAlign w:val="bottom"/>
          </w:tcPr>
          <w:p w14:paraId="3DC4E7EB">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8.838**</w:t>
            </w:r>
          </w:p>
        </w:tc>
        <w:tc>
          <w:tcPr>
            <w:tcW w:w="2271" w:type="dxa"/>
            <w:vMerge w:val="restart"/>
            <w:tcBorders>
              <w:tl2br w:val="nil"/>
              <w:tr2bl w:val="nil"/>
            </w:tcBorders>
            <w:shd w:val="clear" w:color="auto" w:fill="auto"/>
            <w:vAlign w:val="center"/>
          </w:tcPr>
          <w:p w14:paraId="3A945DC5">
            <w:pPr>
              <w:jc w:val="center"/>
              <w:rPr>
                <w:rFonts w:hint="default" w:eastAsia="宋体" w:cs="Arial Regular" w:asciiTheme="minorAscii" w:hAnsiTheme="minorAscii"/>
                <w:color w:val="auto"/>
                <w:sz w:val="22"/>
                <w:szCs w:val="22"/>
                <w:highlight w:val="none"/>
              </w:rPr>
            </w:pPr>
          </w:p>
        </w:tc>
        <w:tc>
          <w:tcPr>
            <w:tcW w:w="2264" w:type="dxa"/>
            <w:vMerge w:val="restart"/>
            <w:tcBorders>
              <w:tl2br w:val="nil"/>
              <w:tr2bl w:val="nil"/>
            </w:tcBorders>
            <w:shd w:val="clear" w:color="auto" w:fill="auto"/>
            <w:vAlign w:val="center"/>
          </w:tcPr>
          <w:p w14:paraId="7B1C11F3">
            <w:pPr>
              <w:jc w:val="center"/>
              <w:rPr>
                <w:rFonts w:hint="default" w:eastAsia="宋体" w:cs="Arial Regular" w:asciiTheme="minorAscii" w:hAnsiTheme="minorAscii"/>
                <w:color w:val="auto"/>
                <w:sz w:val="22"/>
                <w:szCs w:val="22"/>
                <w:highlight w:val="none"/>
              </w:rPr>
            </w:pPr>
          </w:p>
        </w:tc>
      </w:tr>
      <w:tr w14:paraId="0A5DFCF1">
        <w:trPr>
          <w:trHeight w:val="136" w:hRule="atLeast"/>
        </w:trPr>
        <w:tc>
          <w:tcPr>
            <w:tcW w:w="1520" w:type="dxa"/>
            <w:vMerge w:val="continue"/>
            <w:tcBorders>
              <w:tl2br w:val="nil"/>
              <w:tr2bl w:val="nil"/>
            </w:tcBorders>
            <w:shd w:val="clear" w:color="auto" w:fill="auto"/>
            <w:noWrap/>
            <w:vAlign w:val="center"/>
          </w:tcPr>
          <w:p w14:paraId="6B2E1452">
            <w:pPr>
              <w:jc w:val="left"/>
              <w:rPr>
                <w:rFonts w:hint="default" w:eastAsia="宋体" w:cs="Arial Regular" w:asciiTheme="minorAscii" w:hAnsiTheme="minorAscii"/>
                <w:color w:val="auto"/>
                <w:sz w:val="22"/>
                <w:szCs w:val="22"/>
                <w:highlight w:val="none"/>
              </w:rPr>
            </w:pPr>
          </w:p>
        </w:tc>
        <w:tc>
          <w:tcPr>
            <w:tcW w:w="2271" w:type="dxa"/>
            <w:tcBorders>
              <w:tl2br w:val="nil"/>
              <w:tr2bl w:val="nil"/>
            </w:tcBorders>
            <w:shd w:val="clear" w:color="auto" w:fill="auto"/>
            <w:noWrap/>
            <w:vAlign w:val="bottom"/>
          </w:tcPr>
          <w:p w14:paraId="67579D36">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(4.389)</w:t>
            </w:r>
          </w:p>
        </w:tc>
        <w:tc>
          <w:tcPr>
            <w:tcW w:w="2271" w:type="dxa"/>
            <w:vMerge w:val="continue"/>
            <w:tcBorders>
              <w:tl2br w:val="nil"/>
              <w:tr2bl w:val="nil"/>
            </w:tcBorders>
            <w:shd w:val="clear" w:color="auto" w:fill="auto"/>
            <w:vAlign w:val="center"/>
          </w:tcPr>
          <w:p w14:paraId="1C568459">
            <w:pPr>
              <w:jc w:val="center"/>
              <w:rPr>
                <w:rFonts w:hint="default" w:eastAsia="宋体" w:cs="Arial Regular" w:asciiTheme="minorAscii" w:hAnsiTheme="minorAscii"/>
                <w:color w:val="auto"/>
                <w:sz w:val="22"/>
                <w:szCs w:val="22"/>
                <w:highlight w:val="none"/>
              </w:rPr>
            </w:pPr>
          </w:p>
        </w:tc>
        <w:tc>
          <w:tcPr>
            <w:tcW w:w="2264" w:type="dxa"/>
            <w:vMerge w:val="continue"/>
            <w:tcBorders>
              <w:tl2br w:val="nil"/>
              <w:tr2bl w:val="nil"/>
            </w:tcBorders>
            <w:shd w:val="clear" w:color="auto" w:fill="auto"/>
            <w:vAlign w:val="center"/>
          </w:tcPr>
          <w:p w14:paraId="149B3875">
            <w:pPr>
              <w:jc w:val="center"/>
              <w:rPr>
                <w:rFonts w:hint="default" w:eastAsia="宋体" w:cs="Arial Regular" w:asciiTheme="minorAscii" w:hAnsiTheme="minorAscii"/>
                <w:color w:val="auto"/>
                <w:sz w:val="22"/>
                <w:szCs w:val="22"/>
                <w:highlight w:val="none"/>
              </w:rPr>
            </w:pPr>
          </w:p>
        </w:tc>
      </w:tr>
      <w:tr w14:paraId="4A29D468">
        <w:trPr>
          <w:trHeight w:val="90" w:hRule="atLeast"/>
        </w:trPr>
        <w:tc>
          <w:tcPr>
            <w:tcW w:w="1520" w:type="dxa"/>
            <w:vMerge w:val="restart"/>
            <w:tcBorders>
              <w:tl2br w:val="nil"/>
              <w:tr2bl w:val="nil"/>
            </w:tcBorders>
            <w:shd w:val="clear" w:color="auto" w:fill="auto"/>
            <w:noWrap/>
            <w:vAlign w:val="center"/>
          </w:tcPr>
          <w:p w14:paraId="076CC1E4">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GR</w:t>
            </w:r>
          </w:p>
        </w:tc>
        <w:tc>
          <w:tcPr>
            <w:tcW w:w="2271" w:type="dxa"/>
            <w:vMerge w:val="restart"/>
            <w:tcBorders>
              <w:tl2br w:val="nil"/>
              <w:tr2bl w:val="nil"/>
            </w:tcBorders>
            <w:shd w:val="clear" w:color="auto" w:fill="auto"/>
            <w:noWrap/>
            <w:vAlign w:val="center"/>
          </w:tcPr>
          <w:p w14:paraId="28217B35">
            <w:pPr>
              <w:jc w:val="center"/>
              <w:rPr>
                <w:rFonts w:hint="default" w:eastAsia="宋体" w:cs="Arial Regular" w:asciiTheme="minorAscii" w:hAnsiTheme="minorAscii"/>
                <w:color w:val="auto"/>
                <w:sz w:val="22"/>
                <w:szCs w:val="22"/>
                <w:highlight w:val="none"/>
              </w:rPr>
            </w:pPr>
          </w:p>
        </w:tc>
        <w:tc>
          <w:tcPr>
            <w:tcW w:w="2271" w:type="dxa"/>
            <w:tcBorders>
              <w:tl2br w:val="nil"/>
              <w:tr2bl w:val="nil"/>
            </w:tcBorders>
            <w:shd w:val="clear" w:color="auto" w:fill="auto"/>
            <w:noWrap/>
            <w:vAlign w:val="bottom"/>
          </w:tcPr>
          <w:p w14:paraId="574A37FE">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-0.837*</w:t>
            </w:r>
          </w:p>
        </w:tc>
        <w:tc>
          <w:tcPr>
            <w:tcW w:w="2264" w:type="dxa"/>
            <w:vMerge w:val="restart"/>
            <w:tcBorders>
              <w:tl2br w:val="nil"/>
              <w:tr2bl w:val="nil"/>
            </w:tcBorders>
            <w:shd w:val="clear" w:color="auto" w:fill="auto"/>
            <w:vAlign w:val="center"/>
          </w:tcPr>
          <w:p w14:paraId="34E972EF">
            <w:pPr>
              <w:jc w:val="center"/>
              <w:rPr>
                <w:rFonts w:hint="default" w:eastAsia="宋体" w:cs="Arial Regular" w:asciiTheme="minorAscii" w:hAnsiTheme="minorAscii"/>
                <w:color w:val="auto"/>
                <w:sz w:val="22"/>
                <w:szCs w:val="22"/>
                <w:highlight w:val="none"/>
              </w:rPr>
            </w:pPr>
          </w:p>
        </w:tc>
      </w:tr>
      <w:tr w14:paraId="13899099">
        <w:trPr>
          <w:trHeight w:val="90" w:hRule="atLeast"/>
        </w:trPr>
        <w:tc>
          <w:tcPr>
            <w:tcW w:w="1520" w:type="dxa"/>
            <w:vMerge w:val="continue"/>
            <w:tcBorders>
              <w:tl2br w:val="nil"/>
              <w:tr2bl w:val="nil"/>
            </w:tcBorders>
            <w:shd w:val="clear" w:color="auto" w:fill="auto"/>
            <w:noWrap/>
            <w:vAlign w:val="center"/>
          </w:tcPr>
          <w:p w14:paraId="38768D26">
            <w:pPr>
              <w:jc w:val="left"/>
              <w:rPr>
                <w:rFonts w:hint="default" w:eastAsia="宋体" w:cs="Arial Regular" w:asciiTheme="minorAscii" w:hAnsiTheme="minorAscii"/>
                <w:color w:val="auto"/>
                <w:sz w:val="22"/>
                <w:szCs w:val="22"/>
                <w:highlight w:val="none"/>
              </w:rPr>
            </w:pPr>
          </w:p>
        </w:tc>
        <w:tc>
          <w:tcPr>
            <w:tcW w:w="2271" w:type="dxa"/>
            <w:vMerge w:val="continue"/>
            <w:tcBorders>
              <w:tl2br w:val="nil"/>
              <w:tr2bl w:val="nil"/>
            </w:tcBorders>
            <w:shd w:val="clear" w:color="auto" w:fill="auto"/>
            <w:noWrap/>
            <w:vAlign w:val="center"/>
          </w:tcPr>
          <w:p w14:paraId="19C50792">
            <w:pPr>
              <w:jc w:val="center"/>
              <w:rPr>
                <w:rFonts w:hint="default" w:eastAsia="宋体" w:cs="Arial Regular" w:asciiTheme="minorAscii" w:hAnsiTheme="minorAscii"/>
                <w:color w:val="auto"/>
                <w:sz w:val="22"/>
                <w:szCs w:val="22"/>
                <w:highlight w:val="none"/>
              </w:rPr>
            </w:pPr>
          </w:p>
        </w:tc>
        <w:tc>
          <w:tcPr>
            <w:tcW w:w="2271" w:type="dxa"/>
            <w:tcBorders>
              <w:tl2br w:val="nil"/>
              <w:tr2bl w:val="nil"/>
            </w:tcBorders>
            <w:shd w:val="clear" w:color="auto" w:fill="auto"/>
            <w:noWrap/>
            <w:vAlign w:val="bottom"/>
          </w:tcPr>
          <w:p w14:paraId="5CA78CB1">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(0.434)</w:t>
            </w:r>
          </w:p>
        </w:tc>
        <w:tc>
          <w:tcPr>
            <w:tcW w:w="2264" w:type="dxa"/>
            <w:vMerge w:val="continue"/>
            <w:tcBorders>
              <w:tl2br w:val="nil"/>
              <w:tr2bl w:val="nil"/>
            </w:tcBorders>
            <w:shd w:val="clear" w:color="auto" w:fill="auto"/>
            <w:vAlign w:val="center"/>
          </w:tcPr>
          <w:p w14:paraId="28D15438">
            <w:pPr>
              <w:jc w:val="center"/>
              <w:rPr>
                <w:rFonts w:hint="default" w:eastAsia="宋体" w:cs="Arial Regular" w:asciiTheme="minorAscii" w:hAnsiTheme="minorAscii"/>
                <w:color w:val="auto"/>
                <w:sz w:val="22"/>
                <w:szCs w:val="22"/>
                <w:highlight w:val="none"/>
              </w:rPr>
            </w:pPr>
          </w:p>
        </w:tc>
      </w:tr>
      <w:tr w14:paraId="7F808AB4">
        <w:trPr>
          <w:trHeight w:val="136" w:hRule="atLeast"/>
        </w:trPr>
        <w:tc>
          <w:tcPr>
            <w:tcW w:w="1520" w:type="dxa"/>
            <w:vMerge w:val="restart"/>
            <w:tcBorders>
              <w:tl2br w:val="nil"/>
              <w:tr2bl w:val="nil"/>
            </w:tcBorders>
            <w:shd w:val="clear" w:color="auto" w:fill="auto"/>
            <w:noWrap/>
            <w:vAlign w:val="center"/>
          </w:tcPr>
          <w:p w14:paraId="6ABBF173">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CPI</w:t>
            </w:r>
          </w:p>
        </w:tc>
        <w:tc>
          <w:tcPr>
            <w:tcW w:w="2271" w:type="dxa"/>
            <w:vMerge w:val="restart"/>
            <w:tcBorders>
              <w:tl2br w:val="nil"/>
              <w:tr2bl w:val="nil"/>
            </w:tcBorders>
            <w:shd w:val="clear" w:color="auto" w:fill="auto"/>
            <w:vAlign w:val="center"/>
          </w:tcPr>
          <w:p w14:paraId="1FEB0EBC">
            <w:pPr>
              <w:jc w:val="center"/>
              <w:rPr>
                <w:rFonts w:hint="default" w:eastAsia="宋体" w:cs="Arial Regular" w:asciiTheme="minorAscii" w:hAnsiTheme="minorAscii"/>
                <w:color w:val="auto"/>
                <w:sz w:val="22"/>
                <w:szCs w:val="22"/>
                <w:highlight w:val="none"/>
              </w:rPr>
            </w:pPr>
          </w:p>
        </w:tc>
        <w:tc>
          <w:tcPr>
            <w:tcW w:w="2271" w:type="dxa"/>
            <w:vMerge w:val="restart"/>
            <w:tcBorders>
              <w:tl2br w:val="nil"/>
              <w:tr2bl w:val="nil"/>
            </w:tcBorders>
            <w:shd w:val="clear" w:color="auto" w:fill="auto"/>
            <w:vAlign w:val="center"/>
          </w:tcPr>
          <w:p w14:paraId="079609B1">
            <w:pPr>
              <w:jc w:val="center"/>
              <w:rPr>
                <w:rFonts w:hint="default" w:eastAsia="宋体" w:cs="Arial Regular" w:asciiTheme="minorAscii" w:hAnsiTheme="minorAscii"/>
                <w:color w:val="auto"/>
                <w:sz w:val="22"/>
                <w:szCs w:val="22"/>
                <w:highlight w:val="none"/>
              </w:rPr>
            </w:pPr>
          </w:p>
        </w:tc>
        <w:tc>
          <w:tcPr>
            <w:tcW w:w="2264" w:type="dxa"/>
            <w:tcBorders>
              <w:tl2br w:val="nil"/>
              <w:tr2bl w:val="nil"/>
            </w:tcBorders>
            <w:shd w:val="clear" w:color="auto" w:fill="auto"/>
            <w:noWrap/>
            <w:vAlign w:val="bottom"/>
          </w:tcPr>
          <w:p w14:paraId="0AF7613A">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-2.707**</w:t>
            </w:r>
          </w:p>
        </w:tc>
      </w:tr>
      <w:tr w14:paraId="6829B3AB">
        <w:trPr>
          <w:trHeight w:val="229" w:hRule="atLeast"/>
        </w:trPr>
        <w:tc>
          <w:tcPr>
            <w:tcW w:w="1520" w:type="dxa"/>
            <w:vMerge w:val="continue"/>
            <w:tcBorders>
              <w:tl2br w:val="nil"/>
              <w:tr2bl w:val="nil"/>
            </w:tcBorders>
            <w:shd w:val="clear" w:color="auto" w:fill="auto"/>
            <w:noWrap/>
            <w:vAlign w:val="center"/>
          </w:tcPr>
          <w:p w14:paraId="5065F2FE">
            <w:pPr>
              <w:jc w:val="left"/>
              <w:rPr>
                <w:rFonts w:hint="default" w:eastAsia="宋体" w:cs="Arial Regular" w:asciiTheme="minorAscii" w:hAnsiTheme="minorAscii"/>
                <w:color w:val="auto"/>
                <w:sz w:val="22"/>
                <w:szCs w:val="22"/>
                <w:highlight w:val="none"/>
              </w:rPr>
            </w:pPr>
          </w:p>
        </w:tc>
        <w:tc>
          <w:tcPr>
            <w:tcW w:w="2271" w:type="dxa"/>
            <w:vMerge w:val="continue"/>
            <w:tcBorders>
              <w:tl2br w:val="nil"/>
              <w:tr2bl w:val="nil"/>
            </w:tcBorders>
            <w:shd w:val="clear" w:color="auto" w:fill="auto"/>
            <w:vAlign w:val="center"/>
          </w:tcPr>
          <w:p w14:paraId="126194B2">
            <w:pPr>
              <w:jc w:val="center"/>
              <w:rPr>
                <w:rFonts w:hint="default" w:eastAsia="宋体" w:cs="Arial Regular" w:asciiTheme="minorAscii" w:hAnsiTheme="minorAscii"/>
                <w:color w:val="auto"/>
                <w:sz w:val="22"/>
                <w:szCs w:val="22"/>
                <w:highlight w:val="none"/>
              </w:rPr>
            </w:pPr>
          </w:p>
        </w:tc>
        <w:tc>
          <w:tcPr>
            <w:tcW w:w="2271" w:type="dxa"/>
            <w:vMerge w:val="continue"/>
            <w:tcBorders>
              <w:tl2br w:val="nil"/>
              <w:tr2bl w:val="nil"/>
            </w:tcBorders>
            <w:shd w:val="clear" w:color="auto" w:fill="auto"/>
            <w:vAlign w:val="center"/>
          </w:tcPr>
          <w:p w14:paraId="538083FE">
            <w:pPr>
              <w:jc w:val="center"/>
              <w:rPr>
                <w:rFonts w:hint="default" w:eastAsia="宋体" w:cs="Arial Regular" w:asciiTheme="minorAscii" w:hAnsiTheme="minorAscii"/>
                <w:color w:val="auto"/>
                <w:sz w:val="22"/>
                <w:szCs w:val="22"/>
                <w:highlight w:val="none"/>
              </w:rPr>
            </w:pPr>
          </w:p>
        </w:tc>
        <w:tc>
          <w:tcPr>
            <w:tcW w:w="2264" w:type="dxa"/>
            <w:tcBorders>
              <w:tl2br w:val="nil"/>
              <w:tr2bl w:val="nil"/>
            </w:tcBorders>
            <w:shd w:val="clear" w:color="auto" w:fill="auto"/>
            <w:noWrap/>
            <w:vAlign w:val="bottom"/>
          </w:tcPr>
          <w:p w14:paraId="5A495ACA">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(1.320)</w:t>
            </w:r>
          </w:p>
        </w:tc>
      </w:tr>
      <w:tr w14:paraId="7C6CADDB">
        <w:trPr>
          <w:trHeight w:val="90" w:hRule="atLeast"/>
        </w:trPr>
        <w:tc>
          <w:tcPr>
            <w:tcW w:w="1520" w:type="dxa"/>
            <w:vMerge w:val="restart"/>
            <w:tcBorders>
              <w:tl2br w:val="nil"/>
              <w:tr2bl w:val="nil"/>
            </w:tcBorders>
            <w:shd w:val="clear" w:color="auto" w:fill="auto"/>
            <w:noWrap/>
            <w:vAlign w:val="center"/>
          </w:tcPr>
          <w:p w14:paraId="5F4D2F34">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RCA×SIE</w:t>
            </w:r>
          </w:p>
        </w:tc>
        <w:tc>
          <w:tcPr>
            <w:tcW w:w="2271" w:type="dxa"/>
            <w:tcBorders>
              <w:tl2br w:val="nil"/>
              <w:tr2bl w:val="nil"/>
            </w:tcBorders>
            <w:shd w:val="clear" w:color="auto" w:fill="auto"/>
            <w:noWrap/>
            <w:vAlign w:val="bottom"/>
          </w:tcPr>
          <w:p w14:paraId="0C9B3E3B">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-10.862**</w:t>
            </w:r>
          </w:p>
        </w:tc>
        <w:tc>
          <w:tcPr>
            <w:tcW w:w="2271" w:type="dxa"/>
            <w:vMerge w:val="restart"/>
            <w:tcBorders>
              <w:tl2br w:val="nil"/>
              <w:tr2bl w:val="nil"/>
            </w:tcBorders>
            <w:shd w:val="clear" w:color="auto" w:fill="auto"/>
            <w:vAlign w:val="center"/>
          </w:tcPr>
          <w:p w14:paraId="0D339EFE">
            <w:pPr>
              <w:jc w:val="center"/>
              <w:rPr>
                <w:rFonts w:hint="default" w:eastAsia="宋体" w:cs="Arial Regular" w:asciiTheme="minorAscii" w:hAnsiTheme="minorAscii"/>
                <w:color w:val="auto"/>
                <w:sz w:val="22"/>
                <w:szCs w:val="22"/>
                <w:highlight w:val="none"/>
              </w:rPr>
            </w:pPr>
          </w:p>
        </w:tc>
        <w:tc>
          <w:tcPr>
            <w:tcW w:w="2264" w:type="dxa"/>
            <w:vMerge w:val="restart"/>
            <w:tcBorders>
              <w:tl2br w:val="nil"/>
              <w:tr2bl w:val="nil"/>
            </w:tcBorders>
            <w:shd w:val="clear" w:color="auto" w:fill="auto"/>
            <w:vAlign w:val="center"/>
          </w:tcPr>
          <w:p w14:paraId="6850D374">
            <w:pPr>
              <w:jc w:val="center"/>
              <w:rPr>
                <w:rFonts w:hint="default" w:eastAsia="宋体" w:cs="Arial Regular" w:asciiTheme="minorAscii" w:hAnsiTheme="minorAscii"/>
                <w:color w:val="auto"/>
                <w:sz w:val="22"/>
                <w:szCs w:val="22"/>
                <w:highlight w:val="none"/>
              </w:rPr>
            </w:pPr>
          </w:p>
        </w:tc>
      </w:tr>
      <w:tr w14:paraId="24297DED">
        <w:trPr>
          <w:trHeight w:val="90" w:hRule="atLeast"/>
        </w:trPr>
        <w:tc>
          <w:tcPr>
            <w:tcW w:w="1520" w:type="dxa"/>
            <w:vMerge w:val="continue"/>
            <w:tcBorders>
              <w:tl2br w:val="nil"/>
              <w:tr2bl w:val="nil"/>
            </w:tcBorders>
            <w:shd w:val="clear" w:color="auto" w:fill="auto"/>
            <w:noWrap/>
            <w:vAlign w:val="center"/>
          </w:tcPr>
          <w:p w14:paraId="2A19CEE9">
            <w:pPr>
              <w:jc w:val="left"/>
              <w:rPr>
                <w:rFonts w:hint="default" w:eastAsia="宋体" w:cs="Arial Regular" w:asciiTheme="minorAscii" w:hAnsiTheme="minorAscii"/>
                <w:color w:val="auto"/>
                <w:sz w:val="22"/>
                <w:szCs w:val="22"/>
                <w:highlight w:val="none"/>
              </w:rPr>
            </w:pPr>
          </w:p>
        </w:tc>
        <w:tc>
          <w:tcPr>
            <w:tcW w:w="2271" w:type="dxa"/>
            <w:tcBorders>
              <w:tl2br w:val="nil"/>
              <w:tr2bl w:val="nil"/>
            </w:tcBorders>
            <w:shd w:val="clear" w:color="auto" w:fill="auto"/>
            <w:noWrap/>
            <w:vAlign w:val="bottom"/>
          </w:tcPr>
          <w:p w14:paraId="53739794">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(5.453)</w:t>
            </w:r>
          </w:p>
        </w:tc>
        <w:tc>
          <w:tcPr>
            <w:tcW w:w="2271" w:type="dxa"/>
            <w:vMerge w:val="continue"/>
            <w:tcBorders>
              <w:tl2br w:val="nil"/>
              <w:tr2bl w:val="nil"/>
            </w:tcBorders>
            <w:shd w:val="clear" w:color="auto" w:fill="auto"/>
            <w:vAlign w:val="center"/>
          </w:tcPr>
          <w:p w14:paraId="094E65DA">
            <w:pPr>
              <w:jc w:val="center"/>
              <w:rPr>
                <w:rFonts w:hint="default" w:eastAsia="宋体" w:cs="Arial Regular" w:asciiTheme="minorAscii" w:hAnsiTheme="minorAscii"/>
                <w:color w:val="auto"/>
                <w:sz w:val="22"/>
                <w:szCs w:val="22"/>
                <w:highlight w:val="none"/>
              </w:rPr>
            </w:pPr>
          </w:p>
        </w:tc>
        <w:tc>
          <w:tcPr>
            <w:tcW w:w="2264" w:type="dxa"/>
            <w:vMerge w:val="continue"/>
            <w:tcBorders>
              <w:tl2br w:val="nil"/>
              <w:tr2bl w:val="nil"/>
            </w:tcBorders>
            <w:shd w:val="clear" w:color="auto" w:fill="auto"/>
            <w:vAlign w:val="center"/>
          </w:tcPr>
          <w:p w14:paraId="75102142">
            <w:pPr>
              <w:jc w:val="center"/>
              <w:rPr>
                <w:rFonts w:hint="default" w:eastAsia="宋体" w:cs="Arial Regular" w:asciiTheme="minorAscii" w:hAnsiTheme="minorAscii"/>
                <w:color w:val="auto"/>
                <w:sz w:val="22"/>
                <w:szCs w:val="22"/>
                <w:highlight w:val="none"/>
              </w:rPr>
            </w:pPr>
          </w:p>
        </w:tc>
      </w:tr>
      <w:tr w14:paraId="4438E9BD">
        <w:trPr>
          <w:trHeight w:val="218" w:hRule="atLeast"/>
        </w:trPr>
        <w:tc>
          <w:tcPr>
            <w:tcW w:w="1520" w:type="dxa"/>
            <w:vMerge w:val="restart"/>
            <w:tcBorders>
              <w:tl2br w:val="nil"/>
              <w:tr2bl w:val="nil"/>
            </w:tcBorders>
            <w:shd w:val="clear" w:color="auto" w:fill="auto"/>
            <w:noWrap/>
            <w:vAlign w:val="center"/>
          </w:tcPr>
          <w:p w14:paraId="013771B2">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RCA×GR</w:t>
            </w:r>
          </w:p>
        </w:tc>
        <w:tc>
          <w:tcPr>
            <w:tcW w:w="2271" w:type="dxa"/>
            <w:vMerge w:val="restart"/>
            <w:tcBorders>
              <w:tl2br w:val="nil"/>
              <w:tr2bl w:val="nil"/>
            </w:tcBorders>
            <w:shd w:val="clear" w:color="auto" w:fill="auto"/>
            <w:vAlign w:val="center"/>
          </w:tcPr>
          <w:p w14:paraId="2FCD603C">
            <w:pPr>
              <w:jc w:val="center"/>
              <w:rPr>
                <w:rFonts w:hint="default" w:eastAsia="宋体" w:cs="Arial Regular" w:asciiTheme="minorAscii" w:hAnsiTheme="minorAscii"/>
                <w:color w:val="auto"/>
                <w:sz w:val="22"/>
                <w:szCs w:val="22"/>
                <w:highlight w:val="none"/>
              </w:rPr>
            </w:pPr>
          </w:p>
        </w:tc>
        <w:tc>
          <w:tcPr>
            <w:tcW w:w="2271" w:type="dxa"/>
            <w:tcBorders>
              <w:tl2br w:val="nil"/>
              <w:tr2bl w:val="nil"/>
            </w:tcBorders>
            <w:shd w:val="clear" w:color="auto" w:fill="auto"/>
            <w:noWrap/>
            <w:vAlign w:val="bottom"/>
          </w:tcPr>
          <w:p w14:paraId="773EF3A8">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1.039*</w:t>
            </w:r>
          </w:p>
        </w:tc>
        <w:tc>
          <w:tcPr>
            <w:tcW w:w="2264" w:type="dxa"/>
            <w:vMerge w:val="restart"/>
            <w:tcBorders>
              <w:tl2br w:val="nil"/>
              <w:tr2bl w:val="nil"/>
            </w:tcBorders>
            <w:shd w:val="clear" w:color="auto" w:fill="auto"/>
            <w:vAlign w:val="center"/>
          </w:tcPr>
          <w:p w14:paraId="736F8ED5">
            <w:pPr>
              <w:jc w:val="center"/>
              <w:rPr>
                <w:rFonts w:hint="default" w:eastAsia="宋体" w:cs="Arial Regular" w:asciiTheme="minorAscii" w:hAnsiTheme="minorAscii"/>
                <w:color w:val="auto"/>
                <w:sz w:val="22"/>
                <w:szCs w:val="22"/>
                <w:highlight w:val="none"/>
              </w:rPr>
            </w:pPr>
          </w:p>
        </w:tc>
      </w:tr>
      <w:tr w14:paraId="5E44EAE4">
        <w:trPr>
          <w:trHeight w:val="159" w:hRule="atLeast"/>
        </w:trPr>
        <w:tc>
          <w:tcPr>
            <w:tcW w:w="1520" w:type="dxa"/>
            <w:vMerge w:val="continue"/>
            <w:tcBorders>
              <w:tl2br w:val="nil"/>
              <w:tr2bl w:val="nil"/>
            </w:tcBorders>
            <w:shd w:val="clear" w:color="auto" w:fill="auto"/>
            <w:noWrap/>
            <w:vAlign w:val="center"/>
          </w:tcPr>
          <w:p w14:paraId="31416EE1">
            <w:pPr>
              <w:jc w:val="left"/>
              <w:rPr>
                <w:rFonts w:hint="default" w:eastAsia="宋体" w:cs="Arial Regular" w:asciiTheme="minorAscii" w:hAnsiTheme="minorAscii"/>
                <w:color w:val="auto"/>
                <w:sz w:val="22"/>
                <w:szCs w:val="22"/>
                <w:highlight w:val="none"/>
              </w:rPr>
            </w:pPr>
          </w:p>
        </w:tc>
        <w:tc>
          <w:tcPr>
            <w:tcW w:w="2271" w:type="dxa"/>
            <w:vMerge w:val="continue"/>
            <w:tcBorders>
              <w:tl2br w:val="nil"/>
              <w:tr2bl w:val="nil"/>
            </w:tcBorders>
            <w:shd w:val="clear" w:color="auto" w:fill="auto"/>
            <w:vAlign w:val="center"/>
          </w:tcPr>
          <w:p w14:paraId="3D9906A6">
            <w:pPr>
              <w:jc w:val="center"/>
              <w:rPr>
                <w:rFonts w:hint="default" w:eastAsia="宋体" w:cs="Arial Regular" w:asciiTheme="minorAscii" w:hAnsiTheme="minorAscii"/>
                <w:color w:val="auto"/>
                <w:sz w:val="22"/>
                <w:szCs w:val="22"/>
                <w:highlight w:val="none"/>
              </w:rPr>
            </w:pPr>
          </w:p>
        </w:tc>
        <w:tc>
          <w:tcPr>
            <w:tcW w:w="2271" w:type="dxa"/>
            <w:tcBorders>
              <w:tl2br w:val="nil"/>
              <w:tr2bl w:val="nil"/>
            </w:tcBorders>
            <w:shd w:val="clear" w:color="auto" w:fill="auto"/>
            <w:noWrap/>
            <w:vAlign w:val="bottom"/>
          </w:tcPr>
          <w:p w14:paraId="11EC16D6">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(0.543)</w:t>
            </w:r>
          </w:p>
        </w:tc>
        <w:tc>
          <w:tcPr>
            <w:tcW w:w="2264" w:type="dxa"/>
            <w:vMerge w:val="continue"/>
            <w:tcBorders>
              <w:tl2br w:val="nil"/>
              <w:tr2bl w:val="nil"/>
            </w:tcBorders>
            <w:shd w:val="clear" w:color="auto" w:fill="auto"/>
            <w:vAlign w:val="center"/>
          </w:tcPr>
          <w:p w14:paraId="70AC0A23">
            <w:pPr>
              <w:jc w:val="center"/>
              <w:rPr>
                <w:rFonts w:hint="default" w:eastAsia="宋体" w:cs="Arial Regular" w:asciiTheme="minorAscii" w:hAnsiTheme="minorAscii"/>
                <w:color w:val="auto"/>
                <w:sz w:val="22"/>
                <w:szCs w:val="22"/>
                <w:highlight w:val="none"/>
              </w:rPr>
            </w:pPr>
          </w:p>
        </w:tc>
      </w:tr>
      <w:tr w14:paraId="41BA9774">
        <w:trPr>
          <w:trHeight w:val="194" w:hRule="atLeast"/>
        </w:trPr>
        <w:tc>
          <w:tcPr>
            <w:tcW w:w="1520" w:type="dxa"/>
            <w:vMerge w:val="restart"/>
            <w:tcBorders>
              <w:tl2br w:val="nil"/>
              <w:tr2bl w:val="nil"/>
            </w:tcBorders>
            <w:shd w:val="clear" w:color="auto" w:fill="auto"/>
            <w:noWrap/>
            <w:vAlign w:val="center"/>
          </w:tcPr>
          <w:p w14:paraId="43458088">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RCA×CPI</w:t>
            </w:r>
          </w:p>
        </w:tc>
        <w:tc>
          <w:tcPr>
            <w:tcW w:w="2271" w:type="dxa"/>
            <w:vMerge w:val="restart"/>
            <w:tcBorders>
              <w:tl2br w:val="nil"/>
              <w:tr2bl w:val="nil"/>
            </w:tcBorders>
            <w:shd w:val="clear" w:color="auto" w:fill="auto"/>
            <w:vAlign w:val="center"/>
          </w:tcPr>
          <w:p w14:paraId="45E4EE57">
            <w:pPr>
              <w:jc w:val="center"/>
              <w:rPr>
                <w:rFonts w:hint="default" w:eastAsia="宋体" w:cs="Arial Regular" w:asciiTheme="minorAscii" w:hAnsiTheme="minorAscii"/>
                <w:color w:val="auto"/>
                <w:sz w:val="22"/>
                <w:szCs w:val="22"/>
                <w:highlight w:val="none"/>
              </w:rPr>
            </w:pPr>
          </w:p>
        </w:tc>
        <w:tc>
          <w:tcPr>
            <w:tcW w:w="2271" w:type="dxa"/>
            <w:vMerge w:val="restart"/>
            <w:tcBorders>
              <w:tl2br w:val="nil"/>
              <w:tr2bl w:val="nil"/>
            </w:tcBorders>
            <w:shd w:val="clear" w:color="auto" w:fill="auto"/>
            <w:vAlign w:val="center"/>
          </w:tcPr>
          <w:p w14:paraId="61F545C3">
            <w:pPr>
              <w:jc w:val="center"/>
              <w:rPr>
                <w:rFonts w:hint="default" w:eastAsia="宋体" w:cs="Arial Regular" w:asciiTheme="minorAscii" w:hAnsiTheme="minorAscii"/>
                <w:color w:val="auto"/>
                <w:sz w:val="22"/>
                <w:szCs w:val="22"/>
                <w:highlight w:val="none"/>
              </w:rPr>
            </w:pPr>
          </w:p>
        </w:tc>
        <w:tc>
          <w:tcPr>
            <w:tcW w:w="2264" w:type="dxa"/>
            <w:tcBorders>
              <w:tl2br w:val="nil"/>
              <w:tr2bl w:val="nil"/>
            </w:tcBorders>
            <w:shd w:val="clear" w:color="auto" w:fill="auto"/>
            <w:noWrap/>
            <w:vAlign w:val="bottom"/>
          </w:tcPr>
          <w:p w14:paraId="03618613">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3.220**</w:t>
            </w:r>
          </w:p>
        </w:tc>
      </w:tr>
      <w:tr w14:paraId="3ED417DE">
        <w:trPr>
          <w:trHeight w:val="90" w:hRule="atLeast"/>
        </w:trPr>
        <w:tc>
          <w:tcPr>
            <w:tcW w:w="1520" w:type="dxa"/>
            <w:vMerge w:val="continue"/>
            <w:tcBorders>
              <w:tl2br w:val="nil"/>
              <w:tr2bl w:val="nil"/>
            </w:tcBorders>
            <w:shd w:val="clear" w:color="auto" w:fill="auto"/>
            <w:noWrap/>
            <w:vAlign w:val="center"/>
          </w:tcPr>
          <w:p w14:paraId="00AAAD99">
            <w:pPr>
              <w:jc w:val="left"/>
              <w:rPr>
                <w:rFonts w:hint="default" w:eastAsia="宋体" w:cs="Arial Regular" w:asciiTheme="minorAscii" w:hAnsiTheme="minorAscii"/>
                <w:color w:val="auto"/>
                <w:sz w:val="22"/>
                <w:szCs w:val="22"/>
                <w:highlight w:val="none"/>
              </w:rPr>
            </w:pPr>
          </w:p>
        </w:tc>
        <w:tc>
          <w:tcPr>
            <w:tcW w:w="2271" w:type="dxa"/>
            <w:vMerge w:val="continue"/>
            <w:tcBorders>
              <w:tl2br w:val="nil"/>
              <w:tr2bl w:val="nil"/>
            </w:tcBorders>
            <w:shd w:val="clear" w:color="auto" w:fill="auto"/>
            <w:vAlign w:val="center"/>
          </w:tcPr>
          <w:p w14:paraId="6990D936">
            <w:pPr>
              <w:jc w:val="center"/>
              <w:rPr>
                <w:rFonts w:hint="default" w:eastAsia="宋体" w:cs="Arial Regular" w:asciiTheme="minorAscii" w:hAnsiTheme="minorAscii"/>
                <w:color w:val="auto"/>
                <w:sz w:val="22"/>
                <w:szCs w:val="22"/>
                <w:highlight w:val="none"/>
              </w:rPr>
            </w:pPr>
          </w:p>
        </w:tc>
        <w:tc>
          <w:tcPr>
            <w:tcW w:w="2271" w:type="dxa"/>
            <w:vMerge w:val="continue"/>
            <w:tcBorders>
              <w:tl2br w:val="nil"/>
              <w:tr2bl w:val="nil"/>
            </w:tcBorders>
            <w:shd w:val="clear" w:color="auto" w:fill="auto"/>
            <w:vAlign w:val="center"/>
          </w:tcPr>
          <w:p w14:paraId="57E99F22">
            <w:pPr>
              <w:jc w:val="center"/>
              <w:rPr>
                <w:rFonts w:hint="default" w:eastAsia="宋体" w:cs="Arial Regular" w:asciiTheme="minorAscii" w:hAnsiTheme="minorAscii"/>
                <w:color w:val="auto"/>
                <w:sz w:val="22"/>
                <w:szCs w:val="22"/>
                <w:highlight w:val="none"/>
              </w:rPr>
            </w:pPr>
          </w:p>
        </w:tc>
        <w:tc>
          <w:tcPr>
            <w:tcW w:w="2264" w:type="dxa"/>
            <w:tcBorders>
              <w:tl2br w:val="nil"/>
              <w:tr2bl w:val="nil"/>
            </w:tcBorders>
            <w:shd w:val="clear" w:color="auto" w:fill="auto"/>
            <w:noWrap/>
            <w:vAlign w:val="bottom"/>
          </w:tcPr>
          <w:p w14:paraId="5F392EE0">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(1.608)</w:t>
            </w:r>
          </w:p>
        </w:tc>
      </w:tr>
      <w:tr w14:paraId="78D21F64">
        <w:trPr>
          <w:trHeight w:val="147" w:hRule="atLeast"/>
        </w:trPr>
        <w:tc>
          <w:tcPr>
            <w:tcW w:w="1520" w:type="dxa"/>
            <w:tcBorders>
              <w:tl2br w:val="nil"/>
              <w:tr2bl w:val="nil"/>
            </w:tcBorders>
            <w:shd w:val="clear" w:color="auto" w:fill="auto"/>
            <w:noWrap/>
            <w:vAlign w:val="center"/>
          </w:tcPr>
          <w:p w14:paraId="01CF8BDF">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controls</w:t>
            </w:r>
          </w:p>
        </w:tc>
        <w:tc>
          <w:tcPr>
            <w:tcW w:w="2271" w:type="dxa"/>
            <w:tcBorders>
              <w:tl2br w:val="nil"/>
              <w:tr2bl w:val="nil"/>
            </w:tcBorders>
            <w:shd w:val="clear" w:color="auto" w:fill="auto"/>
            <w:noWrap/>
            <w:vAlign w:val="bottom"/>
          </w:tcPr>
          <w:p w14:paraId="17767212">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yes</w:t>
            </w:r>
          </w:p>
        </w:tc>
        <w:tc>
          <w:tcPr>
            <w:tcW w:w="2271" w:type="dxa"/>
            <w:tcBorders>
              <w:tl2br w:val="nil"/>
              <w:tr2bl w:val="nil"/>
            </w:tcBorders>
            <w:shd w:val="clear" w:color="auto" w:fill="auto"/>
            <w:noWrap/>
            <w:vAlign w:val="bottom"/>
          </w:tcPr>
          <w:p w14:paraId="136D481D">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yes</w:t>
            </w:r>
          </w:p>
        </w:tc>
        <w:tc>
          <w:tcPr>
            <w:tcW w:w="2264" w:type="dxa"/>
            <w:tcBorders>
              <w:tl2br w:val="nil"/>
              <w:tr2bl w:val="nil"/>
            </w:tcBorders>
            <w:shd w:val="clear" w:color="auto" w:fill="auto"/>
            <w:noWrap/>
            <w:vAlign w:val="bottom"/>
          </w:tcPr>
          <w:p w14:paraId="4AEF2631">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yes</w:t>
            </w:r>
          </w:p>
        </w:tc>
      </w:tr>
      <w:tr w14:paraId="30EC3C37">
        <w:trPr>
          <w:trHeight w:val="495" w:hRule="atLeast"/>
        </w:trPr>
        <w:tc>
          <w:tcPr>
            <w:tcW w:w="1520" w:type="dxa"/>
            <w:tcBorders>
              <w:tl2br w:val="nil"/>
              <w:tr2bl w:val="nil"/>
            </w:tcBorders>
            <w:shd w:val="clear" w:color="auto" w:fill="auto"/>
            <w:noWrap/>
            <w:vAlign w:val="center"/>
          </w:tcPr>
          <w:p w14:paraId="294D16DC">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individual effect</w:t>
            </w:r>
          </w:p>
        </w:tc>
        <w:tc>
          <w:tcPr>
            <w:tcW w:w="2271" w:type="dxa"/>
            <w:tcBorders>
              <w:tl2br w:val="nil"/>
              <w:tr2bl w:val="nil"/>
            </w:tcBorders>
            <w:shd w:val="clear" w:color="auto" w:fill="auto"/>
            <w:noWrap/>
            <w:vAlign w:val="bottom"/>
          </w:tcPr>
          <w:p w14:paraId="5957DBE9">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yes</w:t>
            </w:r>
          </w:p>
        </w:tc>
        <w:tc>
          <w:tcPr>
            <w:tcW w:w="2271" w:type="dxa"/>
            <w:tcBorders>
              <w:tl2br w:val="nil"/>
              <w:tr2bl w:val="nil"/>
            </w:tcBorders>
            <w:shd w:val="clear" w:color="auto" w:fill="auto"/>
            <w:noWrap/>
            <w:vAlign w:val="bottom"/>
          </w:tcPr>
          <w:p w14:paraId="2E924AB4">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yes</w:t>
            </w:r>
          </w:p>
        </w:tc>
        <w:tc>
          <w:tcPr>
            <w:tcW w:w="2264" w:type="dxa"/>
            <w:tcBorders>
              <w:tl2br w:val="nil"/>
              <w:tr2bl w:val="nil"/>
            </w:tcBorders>
            <w:shd w:val="clear" w:color="auto" w:fill="auto"/>
            <w:noWrap/>
            <w:vAlign w:val="bottom"/>
          </w:tcPr>
          <w:p w14:paraId="363E7EEC">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yes</w:t>
            </w:r>
          </w:p>
        </w:tc>
      </w:tr>
      <w:tr w14:paraId="78C97A4C">
        <w:trPr>
          <w:trHeight w:val="90" w:hRule="atLeast"/>
        </w:trPr>
        <w:tc>
          <w:tcPr>
            <w:tcW w:w="1520" w:type="dxa"/>
            <w:tcBorders>
              <w:bottom w:val="single" w:color="000000" w:sz="8" w:space="0"/>
              <w:tl2br w:val="nil"/>
              <w:tr2bl w:val="nil"/>
            </w:tcBorders>
            <w:shd w:val="clear" w:color="auto" w:fill="auto"/>
            <w:noWrap/>
            <w:vAlign w:val="center"/>
          </w:tcPr>
          <w:p w14:paraId="53A77577">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time effect</w:t>
            </w:r>
          </w:p>
        </w:tc>
        <w:tc>
          <w:tcPr>
            <w:tcW w:w="2271" w:type="dxa"/>
            <w:tcBorders>
              <w:bottom w:val="single" w:color="000000" w:sz="8" w:space="0"/>
              <w:tl2br w:val="nil"/>
              <w:tr2bl w:val="nil"/>
            </w:tcBorders>
            <w:shd w:val="clear" w:color="auto" w:fill="auto"/>
            <w:noWrap/>
            <w:vAlign w:val="bottom"/>
          </w:tcPr>
          <w:p w14:paraId="63C72FED">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yes</w:t>
            </w:r>
          </w:p>
        </w:tc>
        <w:tc>
          <w:tcPr>
            <w:tcW w:w="2271" w:type="dxa"/>
            <w:tcBorders>
              <w:bottom w:val="single" w:color="000000" w:sz="8" w:space="0"/>
              <w:tl2br w:val="nil"/>
              <w:tr2bl w:val="nil"/>
            </w:tcBorders>
            <w:shd w:val="clear" w:color="auto" w:fill="auto"/>
            <w:noWrap/>
            <w:vAlign w:val="bottom"/>
          </w:tcPr>
          <w:p w14:paraId="0CBD4E03">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yes</w:t>
            </w:r>
          </w:p>
        </w:tc>
        <w:tc>
          <w:tcPr>
            <w:tcW w:w="2264" w:type="dxa"/>
            <w:tcBorders>
              <w:bottom w:val="single" w:color="000000" w:sz="8" w:space="0"/>
              <w:tl2br w:val="nil"/>
              <w:tr2bl w:val="nil"/>
            </w:tcBorders>
            <w:shd w:val="clear" w:color="auto" w:fill="auto"/>
            <w:noWrap/>
            <w:vAlign w:val="bottom"/>
          </w:tcPr>
          <w:p w14:paraId="31FD05F3">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yes</w:t>
            </w:r>
          </w:p>
        </w:tc>
      </w:tr>
      <w:tr w14:paraId="4B05098A">
        <w:trPr>
          <w:trHeight w:val="105" w:hRule="atLeast"/>
        </w:trPr>
        <w:tc>
          <w:tcPr>
            <w:tcW w:w="1520" w:type="dxa"/>
            <w:tcBorders>
              <w:top w:val="single" w:color="000000" w:sz="8" w:space="0"/>
            </w:tcBorders>
            <w:shd w:val="clear" w:color="auto" w:fill="auto"/>
            <w:noWrap/>
            <w:vAlign w:val="center"/>
          </w:tcPr>
          <w:p w14:paraId="5FD02EEA">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R</w:t>
            </w:r>
            <w:r>
              <w:rPr>
                <w:rFonts w:hint="default" w:eastAsia="宋体" w:cs="Arial Regular" w:asciiTheme="minorAscii" w:hAnsiTheme="minorAscii"/>
                <w:color w:val="auto"/>
                <w:kern w:val="0"/>
                <w:sz w:val="22"/>
                <w:szCs w:val="22"/>
                <w:highlight w:val="none"/>
                <w:vertAlign w:val="superscript"/>
                <w:lang w:bidi="ar"/>
              </w:rPr>
              <w:t>2</w:t>
            </w:r>
          </w:p>
        </w:tc>
        <w:tc>
          <w:tcPr>
            <w:tcW w:w="2271" w:type="dxa"/>
            <w:tcBorders>
              <w:top w:val="single" w:color="000000" w:sz="8" w:space="0"/>
            </w:tcBorders>
            <w:shd w:val="clear" w:color="auto" w:fill="auto"/>
            <w:noWrap/>
            <w:vAlign w:val="bottom"/>
          </w:tcPr>
          <w:p w14:paraId="013F847B">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0.024</w:t>
            </w:r>
          </w:p>
        </w:tc>
        <w:tc>
          <w:tcPr>
            <w:tcW w:w="2271" w:type="dxa"/>
            <w:tcBorders>
              <w:top w:val="single" w:color="000000" w:sz="8" w:space="0"/>
            </w:tcBorders>
            <w:shd w:val="clear" w:color="auto" w:fill="auto"/>
            <w:noWrap/>
            <w:vAlign w:val="bottom"/>
          </w:tcPr>
          <w:p w14:paraId="5D8F0A50">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0.024</w:t>
            </w:r>
          </w:p>
        </w:tc>
        <w:tc>
          <w:tcPr>
            <w:tcW w:w="2264" w:type="dxa"/>
            <w:tcBorders>
              <w:top w:val="single" w:color="000000" w:sz="8" w:space="0"/>
            </w:tcBorders>
            <w:shd w:val="clear" w:color="auto" w:fill="auto"/>
            <w:noWrap/>
            <w:vAlign w:val="bottom"/>
          </w:tcPr>
          <w:p w14:paraId="0C73A422">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0.024</w:t>
            </w:r>
          </w:p>
        </w:tc>
      </w:tr>
      <w:tr w14:paraId="7102EC6C">
        <w:trPr>
          <w:trHeight w:val="206" w:hRule="atLeast"/>
        </w:trPr>
        <w:tc>
          <w:tcPr>
            <w:tcW w:w="1520" w:type="dxa"/>
            <w:shd w:val="clear" w:color="auto" w:fill="auto"/>
            <w:noWrap/>
            <w:vAlign w:val="center"/>
          </w:tcPr>
          <w:p w14:paraId="205A795E">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Adj-R</w:t>
            </w:r>
            <w:r>
              <w:rPr>
                <w:rFonts w:hint="default" w:eastAsia="宋体" w:cs="Arial Regular" w:asciiTheme="minorAscii" w:hAnsiTheme="minorAscii"/>
                <w:color w:val="auto"/>
                <w:kern w:val="0"/>
                <w:sz w:val="22"/>
                <w:szCs w:val="22"/>
                <w:highlight w:val="none"/>
                <w:vertAlign w:val="superscript"/>
                <w:lang w:bidi="ar"/>
              </w:rPr>
              <w:t>2</w:t>
            </w:r>
          </w:p>
        </w:tc>
        <w:tc>
          <w:tcPr>
            <w:tcW w:w="2271" w:type="dxa"/>
            <w:shd w:val="clear" w:color="auto" w:fill="auto"/>
            <w:noWrap/>
            <w:vAlign w:val="bottom"/>
          </w:tcPr>
          <w:p w14:paraId="07AA81ED">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0.023</w:t>
            </w:r>
          </w:p>
        </w:tc>
        <w:tc>
          <w:tcPr>
            <w:tcW w:w="2271" w:type="dxa"/>
            <w:shd w:val="clear" w:color="auto" w:fill="auto"/>
            <w:noWrap/>
            <w:vAlign w:val="bottom"/>
          </w:tcPr>
          <w:p w14:paraId="4B9E9996">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0.023</w:t>
            </w:r>
          </w:p>
        </w:tc>
        <w:tc>
          <w:tcPr>
            <w:tcW w:w="2264" w:type="dxa"/>
            <w:shd w:val="clear" w:color="auto" w:fill="auto"/>
            <w:noWrap/>
            <w:vAlign w:val="bottom"/>
          </w:tcPr>
          <w:p w14:paraId="3E6656C7">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0.023</w:t>
            </w:r>
          </w:p>
        </w:tc>
      </w:tr>
      <w:tr w14:paraId="48701C62">
        <w:trPr>
          <w:trHeight w:val="90" w:hRule="atLeast"/>
        </w:trPr>
        <w:tc>
          <w:tcPr>
            <w:tcW w:w="1520" w:type="dxa"/>
            <w:shd w:val="clear" w:color="auto" w:fill="auto"/>
            <w:noWrap/>
            <w:vAlign w:val="center"/>
          </w:tcPr>
          <w:p w14:paraId="421C7E21">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N</w:t>
            </w:r>
          </w:p>
        </w:tc>
        <w:tc>
          <w:tcPr>
            <w:tcW w:w="2271" w:type="dxa"/>
            <w:shd w:val="clear" w:color="auto" w:fill="auto"/>
            <w:noWrap/>
            <w:vAlign w:val="bottom"/>
          </w:tcPr>
          <w:p w14:paraId="28B64CDD">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12,092</w:t>
            </w:r>
          </w:p>
        </w:tc>
        <w:tc>
          <w:tcPr>
            <w:tcW w:w="2271" w:type="dxa"/>
            <w:shd w:val="clear" w:color="auto" w:fill="auto"/>
            <w:noWrap/>
            <w:vAlign w:val="bottom"/>
          </w:tcPr>
          <w:p w14:paraId="439450EF">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12,092</w:t>
            </w:r>
          </w:p>
        </w:tc>
        <w:tc>
          <w:tcPr>
            <w:tcW w:w="2264" w:type="dxa"/>
            <w:shd w:val="clear" w:color="auto" w:fill="auto"/>
            <w:noWrap/>
            <w:vAlign w:val="bottom"/>
          </w:tcPr>
          <w:p w14:paraId="05D00894">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12,092</w:t>
            </w:r>
          </w:p>
        </w:tc>
      </w:tr>
    </w:tbl>
    <w:p w14:paraId="5FF5F27B">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CN"/>
        </w:rPr>
      </w:pPr>
      <w:r>
        <w:rPr>
          <w:rFonts w:hint="default" w:asciiTheme="minorAscii" w:hAnsiTheme="minorAscii"/>
          <w:color w:val="auto"/>
          <w:highlight w:val="none"/>
          <w:lang w:val="en-US" w:eastAsia="zh-CN"/>
        </w:rPr>
        <w:t>Table 5 presents the results of the moderating effects of industry employment proportion(SIE), industrial structure transformation degree(GR), and inflation level(CPI) on the relationship between producer services trade competitiveness and enterprise independent innovation levels.</w:t>
      </w:r>
    </w:p>
    <w:p w14:paraId="1637D6E6">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CN"/>
        </w:rPr>
      </w:pPr>
      <w:r>
        <w:rPr>
          <w:rFonts w:hint="default" w:asciiTheme="minorAscii" w:hAnsiTheme="minorAscii"/>
          <w:color w:val="auto"/>
          <w:highlight w:val="none"/>
          <w:lang w:val="en-US" w:eastAsia="zh-CN"/>
        </w:rPr>
        <w:t>This paper incorporates the SIE,GR and CPI into the model to test hypotheses 2, 3 and 4. On the basis of double fixed effects regression, this paper adds separately the interaction term between producer services trade competitiveness and the proportion of industry employment (RCA×SIE), the interaction term between the competitiveness of producer services trade and the degree of industrial structure transformation (RCA×GR), and the interaction term between producer services trade competitiveness and the level of inflation (RCA×CPI).</w:t>
      </w:r>
    </w:p>
    <w:p w14:paraId="033D6E6E">
      <w:pPr>
        <w:jc w:val="center"/>
        <w:rPr>
          <w:rFonts w:hint="default" w:asciiTheme="minorAscii" w:hAnsiTheme="minorAscii"/>
          <w:color w:val="auto"/>
          <w:highlight w:val="none"/>
        </w:rPr>
      </w:pPr>
      <m:oMath>
        <m:sSub>
          <m:sSubPr>
            <m:ctrlPr>
              <w:rPr>
                <w:rFonts w:hint="default" w:ascii="DejaVu Math TeX Gyre" w:hAnsi="DejaVu Math TeX Gyre"/>
                <w:color w:val="auto"/>
                <w:highlight w:val="none"/>
                <w:lang w:eastAsia="zh-Hans"/>
              </w:rPr>
            </m:ctrlPr>
          </m:sSubPr>
          <m:e>
            <m:r>
              <m:rPr>
                <m:sty m:val="p"/>
              </m:rPr>
              <w:rPr>
                <w:rFonts w:hint="default" w:ascii="DejaVu Math TeX Gyre" w:hAnsi="DejaVu Math TeX Gyre"/>
                <w:color w:val="auto"/>
                <w:highlight w:val="none"/>
                <w:lang w:eastAsia="zh-Hans"/>
              </w:rPr>
              <m:t>io</m:t>
            </m:r>
            <m:ctrlPr>
              <w:rPr>
                <w:rFonts w:hint="default" w:ascii="DejaVu Math TeX Gyre" w:hAnsi="DejaVu Math TeX Gyre"/>
                <w:color w:val="auto"/>
                <w:highlight w:val="none"/>
                <w:lang w:eastAsia="zh-Hans"/>
              </w:rPr>
            </m:ctrlPr>
          </m:e>
          <m:sub>
            <m:r>
              <m:rPr>
                <m:sty m:val="p"/>
              </m:rPr>
              <w:rPr>
                <w:rFonts w:hint="default" w:ascii="DejaVu Math TeX Gyre" w:hAnsi="DejaVu Math TeX Gyre"/>
                <w:color w:val="auto"/>
                <w:highlight w:val="none"/>
                <w:lang w:eastAsia="zh-Hans"/>
              </w:rPr>
              <m:t>kit</m:t>
            </m:r>
            <m:ctrlPr>
              <w:rPr>
                <w:rFonts w:hint="default" w:ascii="DejaVu Math TeX Gyre" w:hAnsi="DejaVu Math TeX Gyre"/>
                <w:color w:val="auto"/>
                <w:highlight w:val="none"/>
                <w:lang w:eastAsia="zh-Hans"/>
              </w:rPr>
            </m:ctrlPr>
          </m:sub>
        </m:sSub>
        <m:r>
          <m:rPr>
            <m:sty m:val="p"/>
          </m:rPr>
          <w:rPr>
            <w:rFonts w:hint="default" w:ascii="DejaVu Math TeX Gyre" w:hAnsi="DejaVu Math TeX Gyre"/>
            <w:color w:val="auto"/>
            <w:highlight w:val="none"/>
            <w:lang w:eastAsia="zh-Hans"/>
          </w:rPr>
          <m:t>=</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θ</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0</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θ</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1</m:t>
            </m:r>
            <m:ctrlPr>
              <w:rPr>
                <w:rFonts w:hint="default" w:ascii="DejaVu Math TeX Gyre" w:hAnsi="DejaVu Math TeX Gyre"/>
                <w:color w:val="auto"/>
                <w:highlight w:val="none"/>
              </w:rPr>
            </m:ctrlPr>
          </m:sub>
        </m:sSub>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lang w:eastAsia="zh-Hans"/>
              </w:rPr>
              <m:t>rca</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lang w:eastAsia="zh-Hans"/>
              </w:rPr>
              <m:t>t</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θ</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2</m:t>
            </m:r>
            <m:ctrlPr>
              <w:rPr>
                <w:rFonts w:hint="default" w:ascii="DejaVu Math TeX Gyre" w:hAnsi="DejaVu Math TeX Gyre"/>
                <w:color w:val="auto"/>
                <w:highlight w:val="none"/>
              </w:rPr>
            </m:ctrlPr>
          </m:sub>
        </m:sSub>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sie</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t</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θ</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3</m:t>
            </m:r>
            <m:ctrlPr>
              <w:rPr>
                <w:rFonts w:hint="default" w:ascii="DejaVu Math TeX Gyre" w:hAnsi="DejaVu Math TeX Gyre"/>
                <w:color w:val="auto"/>
                <w:highlight w:val="none"/>
              </w:rPr>
            </m:ctrlPr>
          </m:sub>
        </m:sSub>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lang w:eastAsia="zh-Hans"/>
              </w:rPr>
              <m:t>rca</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t</m:t>
            </m:r>
            <m:ctrlPr>
              <w:rPr>
                <w:rFonts w:hint="default" w:ascii="DejaVu Math TeX Gyre" w:hAnsi="DejaVu Math TeX Gyre"/>
                <w:color w:val="auto"/>
                <w:highlight w:val="none"/>
              </w:rPr>
            </m:ctrlPr>
          </m:sub>
        </m:sSub>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×sie</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t</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+β</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controls</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kit</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ν</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t</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ν</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k</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ε</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kit</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 xml:space="preserve">   </m:t>
        </m:r>
      </m:oMath>
      <w:r>
        <w:rPr>
          <w:rFonts w:hint="default" w:asciiTheme="minorAscii" w:hAnsiTheme="minorAscii"/>
          <w:color w:val="auto"/>
          <w:highlight w:val="none"/>
        </w:rPr>
        <w:t xml:space="preserve">  （4） </w:t>
      </w:r>
    </w:p>
    <w:p w14:paraId="46832ADF">
      <w:pPr>
        <w:ind w:firstLine="105" w:firstLineChars="50"/>
        <w:jc w:val="both"/>
        <w:rPr>
          <w:rFonts w:hint="default" w:asciiTheme="minorAscii" w:hAnsiTheme="minorAscii"/>
          <w:color w:val="auto"/>
          <w:highlight w:val="none"/>
        </w:rPr>
      </w:pPr>
      <m:oMath>
        <m:sSub>
          <m:sSubPr>
            <m:ctrlPr>
              <w:rPr>
                <w:rFonts w:hint="default" w:ascii="DejaVu Math TeX Gyre" w:hAnsi="DejaVu Math TeX Gyre"/>
                <w:color w:val="auto"/>
                <w:highlight w:val="none"/>
                <w:lang w:eastAsia="zh-Hans"/>
              </w:rPr>
            </m:ctrlPr>
          </m:sSubPr>
          <m:e>
            <m:r>
              <m:rPr>
                <m:sty m:val="p"/>
              </m:rPr>
              <w:rPr>
                <w:rFonts w:hint="default" w:ascii="DejaVu Math TeX Gyre" w:hAnsi="DejaVu Math TeX Gyre"/>
                <w:color w:val="auto"/>
                <w:highlight w:val="none"/>
                <w:lang w:eastAsia="zh-Hans"/>
              </w:rPr>
              <m:t>io</m:t>
            </m:r>
            <m:ctrlPr>
              <w:rPr>
                <w:rFonts w:hint="default" w:ascii="DejaVu Math TeX Gyre" w:hAnsi="DejaVu Math TeX Gyre"/>
                <w:color w:val="auto"/>
                <w:highlight w:val="none"/>
                <w:lang w:eastAsia="zh-Hans"/>
              </w:rPr>
            </m:ctrlPr>
          </m:e>
          <m:sub>
            <m:r>
              <m:rPr>
                <m:sty m:val="p"/>
              </m:rPr>
              <w:rPr>
                <w:rFonts w:hint="default" w:ascii="DejaVu Math TeX Gyre" w:hAnsi="DejaVu Math TeX Gyre"/>
                <w:color w:val="auto"/>
                <w:highlight w:val="none"/>
                <w:lang w:eastAsia="zh-Hans"/>
              </w:rPr>
              <m:t>kit</m:t>
            </m:r>
            <m:ctrlPr>
              <w:rPr>
                <w:rFonts w:hint="default" w:ascii="DejaVu Math TeX Gyre" w:hAnsi="DejaVu Math TeX Gyre"/>
                <w:color w:val="auto"/>
                <w:highlight w:val="none"/>
                <w:lang w:eastAsia="zh-Hans"/>
              </w:rPr>
            </m:ctrlPr>
          </m:sub>
        </m:sSub>
        <m:r>
          <m:rPr>
            <m:sty m:val="p"/>
          </m:rPr>
          <w:rPr>
            <w:rFonts w:hint="default" w:ascii="DejaVu Math TeX Gyre" w:hAnsi="DejaVu Math TeX Gyre"/>
            <w:color w:val="auto"/>
            <w:highlight w:val="none"/>
            <w:lang w:eastAsia="zh-Hans"/>
          </w:rPr>
          <m:t>=</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θ</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0</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θ</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1</m:t>
            </m:r>
            <m:ctrlPr>
              <w:rPr>
                <w:rFonts w:hint="default" w:ascii="DejaVu Math TeX Gyre" w:hAnsi="DejaVu Math TeX Gyre"/>
                <w:color w:val="auto"/>
                <w:highlight w:val="none"/>
              </w:rPr>
            </m:ctrlPr>
          </m:sub>
        </m:sSub>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lang w:eastAsia="zh-Hans"/>
              </w:rPr>
              <m:t>rca</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lang w:eastAsia="zh-Hans"/>
              </w:rPr>
              <m:t>t</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θ</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2</m:t>
            </m:r>
            <m:ctrlPr>
              <w:rPr>
                <w:rFonts w:hint="default" w:ascii="DejaVu Math TeX Gyre" w:hAnsi="DejaVu Math TeX Gyre"/>
                <w:color w:val="auto"/>
                <w:highlight w:val="none"/>
              </w:rPr>
            </m:ctrlPr>
          </m:sub>
        </m:sSub>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gr</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t</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θ</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3</m:t>
            </m:r>
            <m:ctrlPr>
              <w:rPr>
                <w:rFonts w:hint="default" w:ascii="DejaVu Math TeX Gyre" w:hAnsi="DejaVu Math TeX Gyre"/>
                <w:color w:val="auto"/>
                <w:highlight w:val="none"/>
              </w:rPr>
            </m:ctrlPr>
          </m:sub>
        </m:sSub>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lang w:eastAsia="zh-Hans"/>
              </w:rPr>
              <m:t>rca</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t</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gr</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t</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+β</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controls</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kit</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ν</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t</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ν</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k</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ε</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kit</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 xml:space="preserve">   </m:t>
        </m:r>
      </m:oMath>
      <w:r>
        <w:rPr>
          <w:rFonts w:hint="default" w:asciiTheme="minorAscii" w:hAnsiTheme="minorAscii"/>
          <w:color w:val="auto"/>
          <w:highlight w:val="none"/>
        </w:rPr>
        <w:t xml:space="preserve">  （5）</w:t>
      </w:r>
    </w:p>
    <w:p w14:paraId="2A9A4B70">
      <w:pPr>
        <w:jc w:val="center"/>
        <w:rPr>
          <w:rFonts w:hint="default" w:asciiTheme="minorAscii" w:hAnsiTheme="minorAscii"/>
          <w:color w:val="auto"/>
          <w:highlight w:val="none"/>
          <w:lang w:eastAsia="zh-Hans"/>
        </w:rPr>
      </w:pPr>
      <w:r>
        <w:rPr>
          <w:rFonts w:hint="default" w:asciiTheme="minorAscii" w:hAnsiTheme="minorAscii"/>
          <w:i w:val="0"/>
          <w:color w:val="auto"/>
          <w:highlight w:val="none"/>
          <w:lang w:val="en-US" w:eastAsia="zh-Hans"/>
        </w:rPr>
        <w:t xml:space="preserve"> </w:t>
      </w:r>
      <m:oMath>
        <m:sSub>
          <m:sSubPr>
            <m:ctrlPr>
              <w:rPr>
                <w:rFonts w:hint="default" w:ascii="DejaVu Math TeX Gyre" w:hAnsi="DejaVu Math TeX Gyre"/>
                <w:color w:val="auto"/>
                <w:highlight w:val="none"/>
                <w:lang w:eastAsia="zh-Hans"/>
              </w:rPr>
            </m:ctrlPr>
          </m:sSubPr>
          <m:e>
            <m:r>
              <m:rPr>
                <m:sty m:val="p"/>
              </m:rPr>
              <w:rPr>
                <w:rFonts w:hint="default" w:ascii="DejaVu Math TeX Gyre" w:hAnsi="DejaVu Math TeX Gyre"/>
                <w:color w:val="auto"/>
                <w:highlight w:val="none"/>
                <w:lang w:eastAsia="zh-Hans"/>
              </w:rPr>
              <m:t>io</m:t>
            </m:r>
            <m:ctrlPr>
              <w:rPr>
                <w:rFonts w:hint="default" w:ascii="DejaVu Math TeX Gyre" w:hAnsi="DejaVu Math TeX Gyre"/>
                <w:color w:val="auto"/>
                <w:highlight w:val="none"/>
                <w:lang w:eastAsia="zh-Hans"/>
              </w:rPr>
            </m:ctrlPr>
          </m:e>
          <m:sub>
            <m:r>
              <m:rPr>
                <m:sty m:val="p"/>
              </m:rPr>
              <w:rPr>
                <w:rFonts w:hint="default" w:ascii="DejaVu Math TeX Gyre" w:hAnsi="DejaVu Math TeX Gyre"/>
                <w:color w:val="auto"/>
                <w:highlight w:val="none"/>
                <w:lang w:eastAsia="zh-Hans"/>
              </w:rPr>
              <m:t>kit</m:t>
            </m:r>
            <m:ctrlPr>
              <w:rPr>
                <w:rFonts w:hint="default" w:ascii="DejaVu Math TeX Gyre" w:hAnsi="DejaVu Math TeX Gyre"/>
                <w:color w:val="auto"/>
                <w:highlight w:val="none"/>
                <w:lang w:eastAsia="zh-Hans"/>
              </w:rPr>
            </m:ctrlPr>
          </m:sub>
        </m:sSub>
        <m:r>
          <m:rPr>
            <m:sty m:val="p"/>
          </m:rPr>
          <w:rPr>
            <w:rFonts w:hint="default" w:ascii="DejaVu Math TeX Gyre" w:hAnsi="DejaVu Math TeX Gyre"/>
            <w:color w:val="auto"/>
            <w:highlight w:val="none"/>
            <w:lang w:eastAsia="zh-Hans"/>
          </w:rPr>
          <m:t>=</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θ</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0</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θ</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1</m:t>
            </m:r>
            <m:ctrlPr>
              <w:rPr>
                <w:rFonts w:hint="default" w:ascii="DejaVu Math TeX Gyre" w:hAnsi="DejaVu Math TeX Gyre"/>
                <w:color w:val="auto"/>
                <w:highlight w:val="none"/>
              </w:rPr>
            </m:ctrlPr>
          </m:sub>
        </m:sSub>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lang w:eastAsia="zh-Hans"/>
              </w:rPr>
              <m:t>rca</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lang w:eastAsia="zh-Hans"/>
              </w:rPr>
              <m:t>t</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θ</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2</m:t>
            </m:r>
            <m:ctrlPr>
              <w:rPr>
                <w:rFonts w:hint="default" w:ascii="DejaVu Math TeX Gyre" w:hAnsi="DejaVu Math TeX Gyre"/>
                <w:color w:val="auto"/>
                <w:highlight w:val="none"/>
              </w:rPr>
            </m:ctrlPr>
          </m:sub>
        </m:sSub>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cpi</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t</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θ</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3</m:t>
            </m:r>
            <m:ctrlPr>
              <w:rPr>
                <w:rFonts w:hint="default" w:ascii="DejaVu Math TeX Gyre" w:hAnsi="DejaVu Math TeX Gyre"/>
                <w:color w:val="auto"/>
                <w:highlight w:val="none"/>
              </w:rPr>
            </m:ctrlPr>
          </m:sub>
        </m:sSub>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lang w:eastAsia="zh-Hans"/>
              </w:rPr>
              <m:t>rca</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t</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cpi</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t</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+β</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controls</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kit</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ν</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t</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ν</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k</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m:t>
        </m:r>
        <m:sSub>
          <m:sSubPr>
            <m:ctrlPr>
              <w:rPr>
                <w:rFonts w:hint="default" w:ascii="DejaVu Math TeX Gyre" w:hAnsi="DejaVu Math TeX Gyre"/>
                <w:color w:val="auto"/>
                <w:highlight w:val="none"/>
              </w:rPr>
            </m:ctrlPr>
          </m:sSubPr>
          <m:e>
            <m:r>
              <m:rPr>
                <m:sty m:val="p"/>
              </m:rPr>
              <w:rPr>
                <w:rFonts w:hint="default" w:ascii="DejaVu Math TeX Gyre" w:hAnsi="DejaVu Math TeX Gyre"/>
                <w:color w:val="auto"/>
                <w:highlight w:val="none"/>
              </w:rPr>
              <m:t>ε</m:t>
            </m:r>
            <m:ctrlPr>
              <w:rPr>
                <w:rFonts w:hint="default" w:ascii="DejaVu Math TeX Gyre" w:hAnsi="DejaVu Math TeX Gyre"/>
                <w:color w:val="auto"/>
                <w:highlight w:val="none"/>
              </w:rPr>
            </m:ctrlPr>
          </m:e>
          <m:sub>
            <m:r>
              <m:rPr>
                <m:sty m:val="p"/>
              </m:rPr>
              <w:rPr>
                <w:rFonts w:hint="default" w:ascii="DejaVu Math TeX Gyre" w:hAnsi="DejaVu Math TeX Gyre"/>
                <w:color w:val="auto"/>
                <w:highlight w:val="none"/>
              </w:rPr>
              <m:t>kit</m:t>
            </m:r>
            <m:ctrlPr>
              <w:rPr>
                <w:rFonts w:hint="default" w:ascii="DejaVu Math TeX Gyre" w:hAnsi="DejaVu Math TeX Gyre"/>
                <w:color w:val="auto"/>
                <w:highlight w:val="none"/>
              </w:rPr>
            </m:ctrlPr>
          </m:sub>
        </m:sSub>
        <m:r>
          <m:rPr>
            <m:sty m:val="p"/>
          </m:rPr>
          <w:rPr>
            <w:rFonts w:hint="default" w:ascii="DejaVu Math TeX Gyre" w:hAnsi="DejaVu Math TeX Gyre"/>
            <w:color w:val="auto"/>
            <w:highlight w:val="none"/>
          </w:rPr>
          <m:t xml:space="preserve">   </m:t>
        </m:r>
      </m:oMath>
      <w:r>
        <w:rPr>
          <w:rFonts w:hint="default" w:asciiTheme="minorAscii" w:hAnsiTheme="minorAscii"/>
          <w:color w:val="auto"/>
          <w:highlight w:val="none"/>
        </w:rPr>
        <w:t xml:space="preserve">  （6）</w:t>
      </w:r>
    </w:p>
    <w:p w14:paraId="7F8D456F">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CN"/>
        </w:rPr>
      </w:pPr>
      <w:r>
        <w:rPr>
          <w:rFonts w:hint="default" w:asciiTheme="minorAscii" w:hAnsiTheme="minorAscii"/>
          <w:color w:val="auto"/>
          <w:highlight w:val="none"/>
          <w:lang w:val="en-US" w:eastAsia="zh-CN"/>
        </w:rPr>
        <w:t>(1) The proportion of industry employment</w:t>
      </w:r>
    </w:p>
    <w:p w14:paraId="4F5A63CE">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CN"/>
        </w:rPr>
      </w:pPr>
      <w:r>
        <w:rPr>
          <w:rFonts w:hint="default" w:asciiTheme="minorAscii" w:hAnsiTheme="minorAscii"/>
          <w:color w:val="auto"/>
          <w:highlight w:val="none"/>
          <w:lang w:val="en-US" w:eastAsia="zh-CN"/>
        </w:rPr>
        <w:t>As can be seen from column (1) of Table 5, the interaction term between the competitiveness of productive service trade and the proportion of industry employment has a significantly negative impact on enterprise independent innovation at the 5% level, indicating that the proportion of industry employment weakens its positive effect, verifying hypothesis H2. Among them, the coefficients of the competitiveness of productive service trade and the proportion of industry employment are both significantly positive, indicating that the two have a substitution effect on enterprise innovation.</w:t>
      </w:r>
    </w:p>
    <w:p w14:paraId="3770AC99">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CN"/>
        </w:rPr>
      </w:pPr>
      <w:r>
        <w:rPr>
          <w:rFonts w:hint="default" w:asciiTheme="minorAscii" w:hAnsiTheme="minorAscii"/>
          <w:color w:val="auto"/>
          <w:highlight w:val="none"/>
          <w:lang w:val="en-US" w:eastAsia="zh-CN"/>
        </w:rPr>
        <w:t>(2) The degree of industrial structure transformation</w:t>
      </w:r>
    </w:p>
    <w:p w14:paraId="2F159028">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CN"/>
        </w:rPr>
      </w:pPr>
      <w:r>
        <w:rPr>
          <w:rFonts w:hint="default" w:asciiTheme="minorAscii" w:hAnsiTheme="minorAscii"/>
          <w:color w:val="auto"/>
          <w:highlight w:val="none"/>
          <w:lang w:val="en-US" w:eastAsia="zh-CN"/>
        </w:rPr>
        <w:t>As can be seen from column (2) of Table 5, the interaction term between the competitiveness of productive service trade and the degree of industrial structure transformation has a significantly positive effect on enterprise independent innovation at the 10% level, indicating that the degree of industrial structure transformation has enhanced its positive effect, which supports Hypothesis H3.</w:t>
      </w:r>
    </w:p>
    <w:p w14:paraId="0C9533E4">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CN"/>
        </w:rPr>
      </w:pPr>
      <w:r>
        <w:rPr>
          <w:rFonts w:hint="default" w:asciiTheme="minorAscii" w:hAnsiTheme="minorAscii"/>
          <w:color w:val="auto"/>
          <w:highlight w:val="none"/>
          <w:lang w:val="en-US" w:eastAsia="zh-CN"/>
        </w:rPr>
        <w:t>(3) The level of inflation</w:t>
      </w:r>
    </w:p>
    <w:p w14:paraId="28048DDE">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CN"/>
        </w:rPr>
      </w:pPr>
      <w:r>
        <w:rPr>
          <w:rFonts w:hint="default" w:asciiTheme="minorAscii" w:hAnsiTheme="minorAscii"/>
          <w:color w:val="auto"/>
          <w:highlight w:val="none"/>
          <w:lang w:val="en-US" w:eastAsia="zh-CN"/>
        </w:rPr>
        <w:t>As can be seen from column (3) of Table 5, the interaction term between the competitiveness of productive service trade and the inflation level is significantly positive at the 5% level for enterprise independent innovation, indicating that the inflation level enhances its positive effect, which supports Hypothesis H4.</w:t>
      </w:r>
    </w:p>
    <w:p w14:paraId="0BF61E06">
      <w:pPr>
        <w:keepNext w:val="0"/>
        <w:keepLines w:val="0"/>
        <w:pageBreakBefore w:val="0"/>
        <w:widowControl w:val="0"/>
        <w:kinsoku/>
        <w:wordWrap/>
        <w:overflowPunct/>
        <w:topLinePunct w:val="0"/>
        <w:autoSpaceDE/>
        <w:autoSpaceDN/>
        <w:bidi w:val="0"/>
        <w:adjustRightInd/>
        <w:snapToGrid/>
        <w:spacing w:before="625" w:beforeLines="200" w:after="313" w:afterLines="100"/>
        <w:jc w:val="left"/>
        <w:textAlignment w:val="auto"/>
        <w:rPr>
          <w:rFonts w:hint="default" w:asciiTheme="minorAscii" w:hAnsiTheme="minorAscii"/>
          <w:b/>
          <w:bCs/>
          <w:color w:val="auto"/>
          <w:sz w:val="22"/>
          <w:szCs w:val="28"/>
          <w:highlight w:val="none"/>
          <w:lang w:val="en-US" w:eastAsia="zh-Hans"/>
        </w:rPr>
      </w:pPr>
      <w:r>
        <w:rPr>
          <w:rFonts w:hint="default" w:asciiTheme="minorAscii" w:hAnsiTheme="minorAscii"/>
          <w:b/>
          <w:bCs/>
          <w:color w:val="auto"/>
          <w:sz w:val="22"/>
          <w:szCs w:val="28"/>
          <w:highlight w:val="none"/>
          <w:lang w:val="en-US" w:eastAsia="zh-Hans"/>
        </w:rPr>
        <w:t>8. H</w:t>
      </w:r>
      <w:r>
        <w:rPr>
          <w:rFonts w:hint="default" w:asciiTheme="minorAscii" w:hAnsiTheme="minorAscii"/>
          <w:b/>
          <w:bCs/>
          <w:color w:val="auto"/>
          <w:sz w:val="22"/>
          <w:szCs w:val="28"/>
          <w:highlight w:val="none"/>
          <w:lang w:val="en-US" w:eastAsia="zh-CN"/>
        </w:rPr>
        <w:t>ETEROGENEITY ANALYSIS</w:t>
      </w:r>
    </w:p>
    <w:p w14:paraId="10962B73">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CN"/>
        </w:rPr>
      </w:pPr>
      <w:r>
        <w:rPr>
          <w:rFonts w:hint="default" w:asciiTheme="minorAscii" w:hAnsiTheme="minorAscii"/>
          <w:color w:val="auto"/>
          <w:highlight w:val="none"/>
          <w:lang w:val="en-US" w:eastAsia="zh-CN"/>
        </w:rPr>
        <w:t>According to the above theory, this part first conducts group regression from the three dimensions of geographical location, enterprise scale and ownership. This paper divides the manufacturing industry into four groups according to geographical location: eastern, central, western and northeastern. Referring to Wang Zhi et al. (2015), it is divided into large and small enterprises according to the median enterprise scale, and divided into non-state-owned enterprises and state-owned enterprises according to ownership. The results are shown in Tables 6 and 7.</w:t>
      </w:r>
    </w:p>
    <w:p w14:paraId="6A187746">
      <w:pPr>
        <w:spacing w:before="240" w:after="240" w:line="200" w:lineRule="exact"/>
        <w:jc w:val="center"/>
        <w:rPr>
          <w:rFonts w:hint="default" w:asciiTheme="minorAscii" w:hAnsiTheme="minorAscii"/>
          <w:b/>
          <w:bCs/>
          <w:color w:val="auto"/>
          <w:highlight w:val="none"/>
        </w:rPr>
      </w:pPr>
      <w:r>
        <w:rPr>
          <w:rFonts w:hint="default" w:asciiTheme="minorAscii" w:hAnsiTheme="minorAscii"/>
          <w:b/>
          <w:bCs/>
          <w:color w:val="auto"/>
          <w:highlight w:val="none"/>
        </w:rPr>
        <w:t>Table 6  Heterogeneity analysis</w:t>
      </w:r>
    </w:p>
    <w:tbl>
      <w:tblPr>
        <w:tblStyle w:val="3"/>
        <w:tblW w:w="8326" w:type="dxa"/>
        <w:tblInd w:w="88" w:type="dxa"/>
        <w:tblLayout w:type="fixed"/>
        <w:tblCellMar>
          <w:top w:w="0" w:type="dxa"/>
          <w:left w:w="108" w:type="dxa"/>
          <w:bottom w:w="0" w:type="dxa"/>
          <w:right w:w="108" w:type="dxa"/>
        </w:tblCellMar>
      </w:tblPr>
      <w:tblGrid>
        <w:gridCol w:w="1758"/>
        <w:gridCol w:w="1384"/>
        <w:gridCol w:w="1675"/>
        <w:gridCol w:w="1700"/>
        <w:gridCol w:w="1809"/>
      </w:tblGrid>
      <w:tr w14:paraId="236FFDC2">
        <w:trPr>
          <w:trHeight w:val="198" w:hRule="atLeast"/>
        </w:trPr>
        <w:tc>
          <w:tcPr>
            <w:tcW w:w="1758" w:type="dxa"/>
            <w:vMerge w:val="restart"/>
            <w:tcBorders>
              <w:top w:val="single" w:color="auto" w:sz="12" w:space="0"/>
              <w:left w:val="nil"/>
              <w:bottom w:val="single" w:color="auto" w:sz="8" w:space="0"/>
              <w:right w:val="nil"/>
            </w:tcBorders>
            <w:shd w:val="clear" w:color="auto" w:fill="auto"/>
            <w:noWrap/>
            <w:vAlign w:val="center"/>
          </w:tcPr>
          <w:p w14:paraId="0EA84F0D">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variables</w:t>
            </w:r>
          </w:p>
        </w:tc>
        <w:tc>
          <w:tcPr>
            <w:tcW w:w="6568" w:type="dxa"/>
            <w:gridSpan w:val="4"/>
            <w:tcBorders>
              <w:top w:val="single" w:color="auto" w:sz="12" w:space="0"/>
              <w:left w:val="nil"/>
              <w:bottom w:val="single" w:color="auto" w:sz="8" w:space="0"/>
              <w:right w:val="nil"/>
            </w:tcBorders>
            <w:shd w:val="clear" w:color="auto" w:fill="auto"/>
            <w:noWrap/>
            <w:vAlign w:val="center"/>
          </w:tcPr>
          <w:p w14:paraId="452D068C">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Explained variable</w:t>
            </w:r>
          </w:p>
        </w:tc>
      </w:tr>
      <w:tr w14:paraId="584691F2">
        <w:trPr>
          <w:trHeight w:val="416" w:hRule="atLeast"/>
        </w:trPr>
        <w:tc>
          <w:tcPr>
            <w:tcW w:w="1758" w:type="dxa"/>
            <w:vMerge w:val="continue"/>
            <w:tcBorders>
              <w:top w:val="single" w:color="auto" w:sz="8" w:space="0"/>
              <w:left w:val="nil"/>
              <w:bottom w:val="single" w:color="auto" w:sz="8" w:space="0"/>
              <w:right w:val="nil"/>
            </w:tcBorders>
            <w:shd w:val="clear" w:color="auto" w:fill="auto"/>
            <w:noWrap/>
            <w:vAlign w:val="center"/>
          </w:tcPr>
          <w:p w14:paraId="56020F59">
            <w:pPr>
              <w:jc w:val="left"/>
              <w:rPr>
                <w:rFonts w:hint="default" w:eastAsia="宋体" w:cs="Arial Regular" w:asciiTheme="minorAscii" w:hAnsiTheme="minorAscii"/>
                <w:color w:val="auto"/>
                <w:sz w:val="22"/>
                <w:szCs w:val="22"/>
                <w:highlight w:val="none"/>
              </w:rPr>
            </w:pPr>
          </w:p>
        </w:tc>
        <w:tc>
          <w:tcPr>
            <w:tcW w:w="1384" w:type="dxa"/>
            <w:tcBorders>
              <w:top w:val="single" w:color="auto" w:sz="8" w:space="0"/>
              <w:left w:val="nil"/>
              <w:bottom w:val="single" w:color="auto" w:sz="8" w:space="0"/>
              <w:right w:val="nil"/>
            </w:tcBorders>
            <w:shd w:val="clear" w:color="auto" w:fill="auto"/>
            <w:vAlign w:val="center"/>
          </w:tcPr>
          <w:p w14:paraId="0CF588BB">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East</w:t>
            </w:r>
            <w:r>
              <w:rPr>
                <w:rFonts w:hint="default" w:eastAsia="宋体" w:cs="Arial Regular" w:asciiTheme="minorAscii" w:hAnsiTheme="minorAscii"/>
                <w:color w:val="auto"/>
                <w:kern w:val="0"/>
                <w:sz w:val="22"/>
                <w:szCs w:val="22"/>
                <w:highlight w:val="none"/>
                <w:lang w:val="en-US" w:eastAsia="zh-CN" w:bidi="ar"/>
              </w:rPr>
              <w:t>ern</w:t>
            </w:r>
            <w:r>
              <w:rPr>
                <w:rFonts w:hint="default" w:eastAsia="宋体" w:cs="Arial Regular" w:asciiTheme="minorAscii" w:hAnsiTheme="minorAscii"/>
                <w:color w:val="auto"/>
                <w:kern w:val="0"/>
                <w:sz w:val="22"/>
                <w:szCs w:val="22"/>
                <w:highlight w:val="none"/>
                <w:lang w:bidi="ar"/>
              </w:rPr>
              <w:t xml:space="preserve"> Region(1)</w:t>
            </w:r>
          </w:p>
        </w:tc>
        <w:tc>
          <w:tcPr>
            <w:tcW w:w="1675" w:type="dxa"/>
            <w:tcBorders>
              <w:top w:val="single" w:color="auto" w:sz="8" w:space="0"/>
              <w:left w:val="nil"/>
              <w:bottom w:val="single" w:color="auto" w:sz="8" w:space="0"/>
              <w:right w:val="nil"/>
            </w:tcBorders>
            <w:shd w:val="clear" w:color="auto" w:fill="auto"/>
            <w:vAlign w:val="center"/>
          </w:tcPr>
          <w:p w14:paraId="794EE421">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Central Region(2)</w:t>
            </w:r>
          </w:p>
        </w:tc>
        <w:tc>
          <w:tcPr>
            <w:tcW w:w="1700" w:type="dxa"/>
            <w:tcBorders>
              <w:top w:val="single" w:color="auto" w:sz="8" w:space="0"/>
              <w:left w:val="nil"/>
              <w:bottom w:val="single" w:color="auto" w:sz="8" w:space="0"/>
              <w:right w:val="nil"/>
            </w:tcBorders>
            <w:shd w:val="clear" w:color="auto" w:fill="auto"/>
            <w:noWrap/>
            <w:vAlign w:val="center"/>
          </w:tcPr>
          <w:p w14:paraId="6D75E8F5">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Western Region(3)</w:t>
            </w:r>
          </w:p>
        </w:tc>
        <w:tc>
          <w:tcPr>
            <w:tcW w:w="1809" w:type="dxa"/>
            <w:tcBorders>
              <w:top w:val="single" w:color="auto" w:sz="8" w:space="0"/>
              <w:left w:val="nil"/>
              <w:bottom w:val="single" w:color="auto" w:sz="8" w:space="0"/>
              <w:right w:val="nil"/>
            </w:tcBorders>
            <w:shd w:val="clear" w:color="auto" w:fill="auto"/>
            <w:noWrap/>
            <w:vAlign w:val="center"/>
          </w:tcPr>
          <w:p w14:paraId="7C949F29">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North-east Region(4)</w:t>
            </w:r>
          </w:p>
        </w:tc>
      </w:tr>
      <w:tr w14:paraId="2F3D7047">
        <w:trPr>
          <w:trHeight w:val="207" w:hRule="atLeast"/>
        </w:trPr>
        <w:tc>
          <w:tcPr>
            <w:tcW w:w="1758" w:type="dxa"/>
            <w:vMerge w:val="restart"/>
            <w:tcBorders>
              <w:top w:val="single" w:color="auto" w:sz="8" w:space="0"/>
              <w:left w:val="nil"/>
              <w:bottom w:val="nil"/>
              <w:right w:val="nil"/>
            </w:tcBorders>
            <w:shd w:val="clear" w:color="auto" w:fill="auto"/>
            <w:noWrap/>
            <w:vAlign w:val="center"/>
          </w:tcPr>
          <w:p w14:paraId="6D36921B">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RCA</w:t>
            </w:r>
          </w:p>
        </w:tc>
        <w:tc>
          <w:tcPr>
            <w:tcW w:w="1384" w:type="dxa"/>
            <w:tcBorders>
              <w:top w:val="single" w:color="auto" w:sz="8" w:space="0"/>
              <w:left w:val="nil"/>
              <w:bottom w:val="nil"/>
              <w:right w:val="nil"/>
            </w:tcBorders>
            <w:shd w:val="clear" w:color="auto" w:fill="auto"/>
            <w:noWrap/>
            <w:vAlign w:val="bottom"/>
          </w:tcPr>
          <w:p w14:paraId="1BA95A20">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6.042</w:t>
            </w:r>
          </w:p>
        </w:tc>
        <w:tc>
          <w:tcPr>
            <w:tcW w:w="1675" w:type="dxa"/>
            <w:tcBorders>
              <w:top w:val="single" w:color="auto" w:sz="8" w:space="0"/>
              <w:left w:val="nil"/>
              <w:bottom w:val="nil"/>
              <w:right w:val="nil"/>
            </w:tcBorders>
            <w:shd w:val="clear" w:color="auto" w:fill="auto"/>
            <w:noWrap/>
            <w:vAlign w:val="bottom"/>
          </w:tcPr>
          <w:p w14:paraId="0A4AF131">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3.665***</w:t>
            </w:r>
          </w:p>
        </w:tc>
        <w:tc>
          <w:tcPr>
            <w:tcW w:w="1700" w:type="dxa"/>
            <w:tcBorders>
              <w:top w:val="single" w:color="auto" w:sz="8" w:space="0"/>
              <w:left w:val="nil"/>
              <w:bottom w:val="nil"/>
              <w:right w:val="nil"/>
            </w:tcBorders>
            <w:shd w:val="clear" w:color="auto" w:fill="auto"/>
            <w:noWrap/>
            <w:vAlign w:val="bottom"/>
          </w:tcPr>
          <w:p w14:paraId="6EA67028">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18.589***</w:t>
            </w:r>
          </w:p>
        </w:tc>
        <w:tc>
          <w:tcPr>
            <w:tcW w:w="1809" w:type="dxa"/>
            <w:tcBorders>
              <w:top w:val="single" w:color="auto" w:sz="8" w:space="0"/>
              <w:left w:val="nil"/>
              <w:bottom w:val="nil"/>
              <w:right w:val="nil"/>
            </w:tcBorders>
            <w:shd w:val="clear" w:color="auto" w:fill="auto"/>
            <w:noWrap/>
            <w:vAlign w:val="bottom"/>
          </w:tcPr>
          <w:p w14:paraId="2A4AFDBC">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18.726***</w:t>
            </w:r>
          </w:p>
        </w:tc>
      </w:tr>
      <w:tr w14:paraId="0CCF1990">
        <w:trPr>
          <w:trHeight w:val="171" w:hRule="atLeast"/>
        </w:trPr>
        <w:tc>
          <w:tcPr>
            <w:tcW w:w="1758" w:type="dxa"/>
            <w:vMerge w:val="continue"/>
            <w:tcBorders>
              <w:top w:val="nil"/>
              <w:left w:val="nil"/>
              <w:bottom w:val="nil"/>
              <w:right w:val="nil"/>
            </w:tcBorders>
            <w:shd w:val="clear" w:color="auto" w:fill="auto"/>
            <w:noWrap/>
            <w:vAlign w:val="center"/>
          </w:tcPr>
          <w:p w14:paraId="5346D6E5">
            <w:pPr>
              <w:jc w:val="left"/>
              <w:rPr>
                <w:rFonts w:hint="default" w:eastAsia="宋体" w:cs="Arial Regular" w:asciiTheme="minorAscii" w:hAnsiTheme="minorAscii"/>
                <w:color w:val="auto"/>
                <w:sz w:val="22"/>
                <w:szCs w:val="22"/>
                <w:highlight w:val="none"/>
              </w:rPr>
            </w:pPr>
          </w:p>
        </w:tc>
        <w:tc>
          <w:tcPr>
            <w:tcW w:w="1384" w:type="dxa"/>
            <w:tcBorders>
              <w:top w:val="nil"/>
              <w:left w:val="nil"/>
              <w:bottom w:val="nil"/>
              <w:right w:val="nil"/>
            </w:tcBorders>
            <w:shd w:val="clear" w:color="auto" w:fill="auto"/>
            <w:noWrap/>
            <w:vAlign w:val="bottom"/>
          </w:tcPr>
          <w:p w14:paraId="03A5049B">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(3.884)</w:t>
            </w:r>
          </w:p>
        </w:tc>
        <w:tc>
          <w:tcPr>
            <w:tcW w:w="1675" w:type="dxa"/>
            <w:tcBorders>
              <w:top w:val="nil"/>
              <w:left w:val="nil"/>
              <w:bottom w:val="nil"/>
              <w:right w:val="nil"/>
            </w:tcBorders>
            <w:shd w:val="clear" w:color="auto" w:fill="auto"/>
            <w:noWrap/>
            <w:vAlign w:val="bottom"/>
          </w:tcPr>
          <w:p w14:paraId="24285071">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(1.271)</w:t>
            </w:r>
          </w:p>
        </w:tc>
        <w:tc>
          <w:tcPr>
            <w:tcW w:w="1700" w:type="dxa"/>
            <w:tcBorders>
              <w:top w:val="nil"/>
              <w:left w:val="nil"/>
              <w:bottom w:val="nil"/>
              <w:right w:val="nil"/>
            </w:tcBorders>
            <w:shd w:val="clear" w:color="auto" w:fill="auto"/>
            <w:noWrap/>
            <w:vAlign w:val="bottom"/>
          </w:tcPr>
          <w:p w14:paraId="431D881A">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(4.069)</w:t>
            </w:r>
          </w:p>
        </w:tc>
        <w:tc>
          <w:tcPr>
            <w:tcW w:w="1809" w:type="dxa"/>
            <w:tcBorders>
              <w:top w:val="nil"/>
              <w:left w:val="nil"/>
              <w:bottom w:val="nil"/>
              <w:right w:val="nil"/>
            </w:tcBorders>
            <w:shd w:val="clear" w:color="auto" w:fill="auto"/>
            <w:noWrap/>
            <w:vAlign w:val="bottom"/>
          </w:tcPr>
          <w:p w14:paraId="54B1A63E">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(2.552)</w:t>
            </w:r>
          </w:p>
        </w:tc>
      </w:tr>
      <w:tr w14:paraId="1F0475D3">
        <w:trPr>
          <w:trHeight w:val="159" w:hRule="atLeast"/>
        </w:trPr>
        <w:tc>
          <w:tcPr>
            <w:tcW w:w="1758" w:type="dxa"/>
            <w:tcBorders>
              <w:top w:val="nil"/>
              <w:left w:val="nil"/>
              <w:bottom w:val="nil"/>
              <w:right w:val="nil"/>
            </w:tcBorders>
            <w:shd w:val="clear" w:color="auto" w:fill="auto"/>
            <w:noWrap/>
            <w:vAlign w:val="center"/>
          </w:tcPr>
          <w:p w14:paraId="15C4DC59">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controls</w:t>
            </w:r>
          </w:p>
        </w:tc>
        <w:tc>
          <w:tcPr>
            <w:tcW w:w="1384" w:type="dxa"/>
            <w:tcBorders>
              <w:top w:val="nil"/>
              <w:left w:val="nil"/>
              <w:bottom w:val="nil"/>
              <w:right w:val="nil"/>
            </w:tcBorders>
            <w:shd w:val="clear" w:color="auto" w:fill="auto"/>
            <w:noWrap/>
            <w:vAlign w:val="center"/>
          </w:tcPr>
          <w:p w14:paraId="6241B949">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c>
          <w:tcPr>
            <w:tcW w:w="1675" w:type="dxa"/>
            <w:tcBorders>
              <w:top w:val="nil"/>
              <w:left w:val="nil"/>
              <w:bottom w:val="nil"/>
              <w:right w:val="nil"/>
            </w:tcBorders>
            <w:shd w:val="clear" w:color="auto" w:fill="auto"/>
            <w:noWrap/>
            <w:vAlign w:val="center"/>
          </w:tcPr>
          <w:p w14:paraId="42A206D5">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c>
          <w:tcPr>
            <w:tcW w:w="1700" w:type="dxa"/>
            <w:tcBorders>
              <w:top w:val="nil"/>
              <w:left w:val="nil"/>
              <w:bottom w:val="nil"/>
              <w:right w:val="nil"/>
            </w:tcBorders>
            <w:shd w:val="clear" w:color="auto" w:fill="auto"/>
            <w:noWrap/>
            <w:vAlign w:val="center"/>
          </w:tcPr>
          <w:p w14:paraId="359685C8">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c>
          <w:tcPr>
            <w:tcW w:w="1809" w:type="dxa"/>
            <w:tcBorders>
              <w:top w:val="nil"/>
              <w:left w:val="nil"/>
              <w:bottom w:val="nil"/>
              <w:right w:val="nil"/>
            </w:tcBorders>
            <w:shd w:val="clear" w:color="auto" w:fill="auto"/>
            <w:noWrap/>
            <w:vAlign w:val="center"/>
          </w:tcPr>
          <w:p w14:paraId="286D14D9">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r>
      <w:tr w14:paraId="3C472906">
        <w:trPr>
          <w:trHeight w:val="230" w:hRule="atLeast"/>
        </w:trPr>
        <w:tc>
          <w:tcPr>
            <w:tcW w:w="1758" w:type="dxa"/>
            <w:tcBorders>
              <w:top w:val="nil"/>
              <w:left w:val="nil"/>
              <w:bottom w:val="nil"/>
              <w:right w:val="nil"/>
            </w:tcBorders>
            <w:shd w:val="clear" w:color="auto" w:fill="auto"/>
            <w:noWrap/>
            <w:vAlign w:val="center"/>
          </w:tcPr>
          <w:p w14:paraId="111BDED1">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individual effect</w:t>
            </w:r>
          </w:p>
        </w:tc>
        <w:tc>
          <w:tcPr>
            <w:tcW w:w="1384" w:type="dxa"/>
            <w:tcBorders>
              <w:top w:val="nil"/>
              <w:left w:val="nil"/>
              <w:bottom w:val="nil"/>
              <w:right w:val="nil"/>
            </w:tcBorders>
            <w:shd w:val="clear" w:color="auto" w:fill="auto"/>
            <w:noWrap/>
            <w:vAlign w:val="center"/>
          </w:tcPr>
          <w:p w14:paraId="77C8EC2A">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c>
          <w:tcPr>
            <w:tcW w:w="1675" w:type="dxa"/>
            <w:tcBorders>
              <w:top w:val="nil"/>
              <w:left w:val="nil"/>
              <w:bottom w:val="nil"/>
              <w:right w:val="nil"/>
            </w:tcBorders>
            <w:shd w:val="clear" w:color="auto" w:fill="auto"/>
            <w:noWrap/>
            <w:vAlign w:val="center"/>
          </w:tcPr>
          <w:p w14:paraId="0368FC71">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c>
          <w:tcPr>
            <w:tcW w:w="1700" w:type="dxa"/>
            <w:tcBorders>
              <w:top w:val="nil"/>
              <w:left w:val="nil"/>
              <w:bottom w:val="nil"/>
              <w:right w:val="nil"/>
            </w:tcBorders>
            <w:shd w:val="clear" w:color="auto" w:fill="auto"/>
            <w:noWrap/>
            <w:vAlign w:val="center"/>
          </w:tcPr>
          <w:p w14:paraId="286248BB">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c>
          <w:tcPr>
            <w:tcW w:w="1809" w:type="dxa"/>
            <w:tcBorders>
              <w:top w:val="nil"/>
              <w:left w:val="nil"/>
              <w:bottom w:val="nil"/>
              <w:right w:val="nil"/>
            </w:tcBorders>
            <w:shd w:val="clear" w:color="auto" w:fill="auto"/>
            <w:noWrap/>
            <w:vAlign w:val="center"/>
          </w:tcPr>
          <w:p w14:paraId="6BE20D56">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r>
      <w:tr w14:paraId="0AF29D8E">
        <w:trPr>
          <w:trHeight w:val="210" w:hRule="atLeast"/>
        </w:trPr>
        <w:tc>
          <w:tcPr>
            <w:tcW w:w="1758" w:type="dxa"/>
            <w:tcBorders>
              <w:top w:val="nil"/>
              <w:left w:val="nil"/>
              <w:bottom w:val="single" w:color="auto" w:sz="8" w:space="0"/>
              <w:right w:val="nil"/>
            </w:tcBorders>
            <w:shd w:val="clear" w:color="auto" w:fill="auto"/>
            <w:noWrap/>
            <w:vAlign w:val="center"/>
          </w:tcPr>
          <w:p w14:paraId="552B851B">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time effect</w:t>
            </w:r>
          </w:p>
        </w:tc>
        <w:tc>
          <w:tcPr>
            <w:tcW w:w="1384" w:type="dxa"/>
            <w:tcBorders>
              <w:top w:val="nil"/>
              <w:left w:val="nil"/>
              <w:bottom w:val="single" w:color="auto" w:sz="8" w:space="0"/>
              <w:right w:val="nil"/>
            </w:tcBorders>
            <w:shd w:val="clear" w:color="auto" w:fill="auto"/>
            <w:noWrap/>
            <w:vAlign w:val="center"/>
          </w:tcPr>
          <w:p w14:paraId="47896C1A">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c>
          <w:tcPr>
            <w:tcW w:w="1675" w:type="dxa"/>
            <w:tcBorders>
              <w:top w:val="nil"/>
              <w:left w:val="nil"/>
              <w:bottom w:val="single" w:color="auto" w:sz="8" w:space="0"/>
              <w:right w:val="nil"/>
            </w:tcBorders>
            <w:shd w:val="clear" w:color="auto" w:fill="auto"/>
            <w:noWrap/>
            <w:vAlign w:val="center"/>
          </w:tcPr>
          <w:p w14:paraId="7D222989">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c>
          <w:tcPr>
            <w:tcW w:w="1700" w:type="dxa"/>
            <w:tcBorders>
              <w:top w:val="nil"/>
              <w:left w:val="nil"/>
              <w:bottom w:val="single" w:color="auto" w:sz="8" w:space="0"/>
              <w:right w:val="nil"/>
            </w:tcBorders>
            <w:shd w:val="clear" w:color="auto" w:fill="auto"/>
            <w:noWrap/>
            <w:vAlign w:val="center"/>
          </w:tcPr>
          <w:p w14:paraId="5E74F279">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c>
          <w:tcPr>
            <w:tcW w:w="1809" w:type="dxa"/>
            <w:tcBorders>
              <w:top w:val="nil"/>
              <w:left w:val="nil"/>
              <w:bottom w:val="single" w:color="auto" w:sz="8" w:space="0"/>
              <w:right w:val="nil"/>
            </w:tcBorders>
            <w:shd w:val="clear" w:color="auto" w:fill="auto"/>
            <w:noWrap/>
            <w:vAlign w:val="center"/>
          </w:tcPr>
          <w:p w14:paraId="3959DBD0">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r>
      <w:tr w14:paraId="04218ED7">
        <w:trPr>
          <w:trHeight w:val="242" w:hRule="atLeast"/>
        </w:trPr>
        <w:tc>
          <w:tcPr>
            <w:tcW w:w="1758" w:type="dxa"/>
            <w:tcBorders>
              <w:top w:val="single" w:color="auto" w:sz="8" w:space="0"/>
              <w:left w:val="nil"/>
              <w:bottom w:val="nil"/>
              <w:right w:val="nil"/>
            </w:tcBorders>
            <w:shd w:val="clear" w:color="auto" w:fill="auto"/>
            <w:noWrap/>
            <w:vAlign w:val="center"/>
          </w:tcPr>
          <w:p w14:paraId="2404EFB2">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Adj-R</w:t>
            </w:r>
            <w:r>
              <w:rPr>
                <w:rFonts w:hint="default" w:eastAsia="宋体" w:cs="Arial Regular" w:asciiTheme="minorAscii" w:hAnsiTheme="minorAscii"/>
                <w:color w:val="auto"/>
                <w:kern w:val="0"/>
                <w:sz w:val="22"/>
                <w:szCs w:val="22"/>
                <w:highlight w:val="none"/>
                <w:vertAlign w:val="superscript"/>
                <w:lang w:bidi="ar"/>
              </w:rPr>
              <w:t>2</w:t>
            </w:r>
          </w:p>
        </w:tc>
        <w:tc>
          <w:tcPr>
            <w:tcW w:w="1384" w:type="dxa"/>
            <w:tcBorders>
              <w:top w:val="single" w:color="auto" w:sz="8" w:space="0"/>
              <w:left w:val="nil"/>
              <w:bottom w:val="nil"/>
              <w:right w:val="nil"/>
            </w:tcBorders>
            <w:shd w:val="clear" w:color="auto" w:fill="auto"/>
            <w:noWrap/>
            <w:vAlign w:val="bottom"/>
          </w:tcPr>
          <w:p w14:paraId="25329459">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0.024</w:t>
            </w:r>
          </w:p>
        </w:tc>
        <w:tc>
          <w:tcPr>
            <w:tcW w:w="1675" w:type="dxa"/>
            <w:tcBorders>
              <w:top w:val="single" w:color="auto" w:sz="8" w:space="0"/>
              <w:left w:val="nil"/>
              <w:bottom w:val="nil"/>
              <w:right w:val="nil"/>
            </w:tcBorders>
            <w:shd w:val="clear" w:color="auto" w:fill="auto"/>
            <w:noWrap/>
            <w:vAlign w:val="bottom"/>
          </w:tcPr>
          <w:p w14:paraId="30F8BD09">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0.029</w:t>
            </w:r>
          </w:p>
        </w:tc>
        <w:tc>
          <w:tcPr>
            <w:tcW w:w="1700" w:type="dxa"/>
            <w:tcBorders>
              <w:top w:val="single" w:color="auto" w:sz="8" w:space="0"/>
              <w:left w:val="nil"/>
              <w:bottom w:val="nil"/>
              <w:right w:val="nil"/>
            </w:tcBorders>
            <w:shd w:val="clear" w:color="auto" w:fill="auto"/>
            <w:noWrap/>
            <w:vAlign w:val="bottom"/>
          </w:tcPr>
          <w:p w14:paraId="593063A9">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0.048</w:t>
            </w:r>
          </w:p>
        </w:tc>
        <w:tc>
          <w:tcPr>
            <w:tcW w:w="1809" w:type="dxa"/>
            <w:tcBorders>
              <w:top w:val="single" w:color="auto" w:sz="8" w:space="0"/>
              <w:left w:val="nil"/>
              <w:bottom w:val="nil"/>
              <w:right w:val="nil"/>
            </w:tcBorders>
            <w:shd w:val="clear" w:color="auto" w:fill="auto"/>
            <w:noWrap/>
            <w:vAlign w:val="bottom"/>
          </w:tcPr>
          <w:p w14:paraId="61853934">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0.020</w:t>
            </w:r>
          </w:p>
        </w:tc>
      </w:tr>
      <w:tr w14:paraId="6DD3A0E9">
        <w:trPr>
          <w:trHeight w:val="195" w:hRule="atLeast"/>
        </w:trPr>
        <w:tc>
          <w:tcPr>
            <w:tcW w:w="1758" w:type="dxa"/>
            <w:tcBorders>
              <w:top w:val="nil"/>
              <w:left w:val="nil"/>
              <w:bottom w:val="single" w:color="auto" w:sz="12" w:space="0"/>
              <w:right w:val="nil"/>
            </w:tcBorders>
            <w:shd w:val="clear" w:color="auto" w:fill="auto"/>
            <w:noWrap/>
            <w:vAlign w:val="center"/>
          </w:tcPr>
          <w:p w14:paraId="72D5BD19">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N</w:t>
            </w:r>
          </w:p>
        </w:tc>
        <w:tc>
          <w:tcPr>
            <w:tcW w:w="1384" w:type="dxa"/>
            <w:tcBorders>
              <w:top w:val="nil"/>
              <w:left w:val="nil"/>
              <w:bottom w:val="single" w:color="auto" w:sz="12" w:space="0"/>
              <w:right w:val="nil"/>
            </w:tcBorders>
            <w:shd w:val="clear" w:color="auto" w:fill="auto"/>
            <w:noWrap/>
            <w:vAlign w:val="bottom"/>
          </w:tcPr>
          <w:p w14:paraId="59D79C75">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8,571</w:t>
            </w:r>
          </w:p>
        </w:tc>
        <w:tc>
          <w:tcPr>
            <w:tcW w:w="1675" w:type="dxa"/>
            <w:tcBorders>
              <w:top w:val="nil"/>
              <w:left w:val="nil"/>
              <w:bottom w:val="single" w:color="auto" w:sz="12" w:space="0"/>
              <w:right w:val="nil"/>
            </w:tcBorders>
            <w:shd w:val="clear" w:color="auto" w:fill="auto"/>
            <w:noWrap/>
            <w:vAlign w:val="bottom"/>
          </w:tcPr>
          <w:p w14:paraId="6A637D6D">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1,637</w:t>
            </w:r>
          </w:p>
        </w:tc>
        <w:tc>
          <w:tcPr>
            <w:tcW w:w="1700" w:type="dxa"/>
            <w:tcBorders>
              <w:top w:val="nil"/>
              <w:left w:val="nil"/>
              <w:bottom w:val="single" w:color="auto" w:sz="12" w:space="0"/>
              <w:right w:val="nil"/>
            </w:tcBorders>
            <w:shd w:val="clear" w:color="auto" w:fill="auto"/>
            <w:noWrap/>
            <w:vAlign w:val="bottom"/>
          </w:tcPr>
          <w:p w14:paraId="64B3A7B2">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1,218</w:t>
            </w:r>
          </w:p>
        </w:tc>
        <w:tc>
          <w:tcPr>
            <w:tcW w:w="1809" w:type="dxa"/>
            <w:tcBorders>
              <w:top w:val="nil"/>
              <w:left w:val="nil"/>
              <w:bottom w:val="single" w:color="auto" w:sz="12" w:space="0"/>
              <w:right w:val="nil"/>
            </w:tcBorders>
            <w:shd w:val="clear" w:color="auto" w:fill="auto"/>
            <w:noWrap/>
            <w:vAlign w:val="bottom"/>
          </w:tcPr>
          <w:p w14:paraId="2D82721D">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348</w:t>
            </w:r>
          </w:p>
        </w:tc>
      </w:tr>
    </w:tbl>
    <w:p w14:paraId="039BB09C">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CN"/>
        </w:rPr>
      </w:pPr>
      <w:r>
        <w:rPr>
          <w:rFonts w:hint="default" w:asciiTheme="minorAscii" w:hAnsiTheme="minorAscii"/>
          <w:color w:val="auto"/>
          <w:highlight w:val="none"/>
          <w:lang w:val="en-US" w:eastAsia="zh-CN"/>
        </w:rPr>
        <w:t>Table 6 shows how the RCA index measures the competitiveness of producer-services trade and how it affects the independent innovation of businesses in four different regions: the eastern, central, western, and northeastern. It can be seen from the above table that the estimated coefficient of the competitiveness of productive service trade is positive, but it has no significant promoting effect on the independent innovation capabilities of enterprises in the eastern region, but has a significant promoting effect on enterprises in the central, western and northeastern regions, verifying hypothesis H5.</w:t>
      </w:r>
    </w:p>
    <w:p w14:paraId="0BBA63F5">
      <w:pPr>
        <w:spacing w:before="240" w:after="240" w:line="200" w:lineRule="exact"/>
        <w:jc w:val="center"/>
        <w:rPr>
          <w:rFonts w:hint="default" w:asciiTheme="minorAscii" w:hAnsiTheme="minorAscii"/>
          <w:b/>
          <w:bCs/>
          <w:color w:val="auto"/>
          <w:highlight w:val="none"/>
        </w:rPr>
      </w:pPr>
      <w:r>
        <w:rPr>
          <w:rFonts w:hint="default" w:asciiTheme="minorAscii" w:hAnsiTheme="minorAscii"/>
          <w:b/>
          <w:bCs/>
          <w:color w:val="auto"/>
          <w:highlight w:val="none"/>
        </w:rPr>
        <w:t>Table 7  Heterogeneity analysis</w:t>
      </w:r>
    </w:p>
    <w:tbl>
      <w:tblPr>
        <w:tblStyle w:val="3"/>
        <w:tblW w:w="8242" w:type="dxa"/>
        <w:tblInd w:w="88"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80"/>
        <w:gridCol w:w="1587"/>
        <w:gridCol w:w="1625"/>
        <w:gridCol w:w="1938"/>
        <w:gridCol w:w="1612"/>
      </w:tblGrid>
      <w:tr w14:paraId="2AF2BFDF">
        <w:trPr>
          <w:trHeight w:val="198" w:hRule="atLeast"/>
        </w:trPr>
        <w:tc>
          <w:tcPr>
            <w:tcW w:w="1480" w:type="dxa"/>
            <w:vMerge w:val="restart"/>
            <w:tcBorders>
              <w:bottom w:val="single" w:color="auto" w:sz="8" w:space="0"/>
            </w:tcBorders>
            <w:shd w:val="clear" w:color="auto" w:fill="auto"/>
            <w:noWrap/>
            <w:vAlign w:val="center"/>
          </w:tcPr>
          <w:p w14:paraId="49EA82D7">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variables</w:t>
            </w:r>
          </w:p>
        </w:tc>
        <w:tc>
          <w:tcPr>
            <w:tcW w:w="6762" w:type="dxa"/>
            <w:gridSpan w:val="4"/>
            <w:tcBorders>
              <w:bottom w:val="single" w:color="auto" w:sz="8" w:space="0"/>
            </w:tcBorders>
            <w:shd w:val="clear" w:color="auto" w:fill="auto"/>
            <w:noWrap/>
            <w:vAlign w:val="center"/>
          </w:tcPr>
          <w:p w14:paraId="5754DD73">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Explained variable</w:t>
            </w:r>
          </w:p>
        </w:tc>
      </w:tr>
      <w:tr w14:paraId="214D13A7">
        <w:trPr>
          <w:trHeight w:val="249" w:hRule="atLeast"/>
        </w:trPr>
        <w:tc>
          <w:tcPr>
            <w:tcW w:w="1480" w:type="dxa"/>
            <w:vMerge w:val="continue"/>
            <w:tcBorders>
              <w:top w:val="single" w:color="auto" w:sz="8" w:space="0"/>
              <w:bottom w:val="single" w:color="auto" w:sz="8" w:space="0"/>
            </w:tcBorders>
            <w:shd w:val="clear" w:color="auto" w:fill="auto"/>
            <w:noWrap/>
            <w:vAlign w:val="center"/>
          </w:tcPr>
          <w:p w14:paraId="4E35E761">
            <w:pPr>
              <w:jc w:val="left"/>
              <w:rPr>
                <w:rFonts w:hint="default" w:eastAsia="宋体" w:cs="Arial Regular" w:asciiTheme="minorAscii" w:hAnsiTheme="minorAscii"/>
                <w:color w:val="auto"/>
                <w:sz w:val="22"/>
                <w:szCs w:val="22"/>
                <w:highlight w:val="none"/>
              </w:rPr>
            </w:pPr>
          </w:p>
        </w:tc>
        <w:tc>
          <w:tcPr>
            <w:tcW w:w="1587" w:type="dxa"/>
            <w:tcBorders>
              <w:top w:val="single" w:color="auto" w:sz="8" w:space="0"/>
              <w:bottom w:val="single" w:color="auto" w:sz="8" w:space="0"/>
            </w:tcBorders>
            <w:shd w:val="clear" w:color="auto" w:fill="auto"/>
            <w:vAlign w:val="center"/>
          </w:tcPr>
          <w:p w14:paraId="77FDB7CE">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eastAsia="zh-Hans" w:bidi="ar"/>
              </w:rPr>
              <w:t>Small</w:t>
            </w:r>
            <w:r>
              <w:rPr>
                <w:rFonts w:hint="default" w:eastAsia="宋体" w:cs="Arial Regular" w:asciiTheme="minorAscii" w:hAnsiTheme="minorAscii"/>
                <w:color w:val="auto"/>
                <w:kern w:val="0"/>
                <w:sz w:val="22"/>
                <w:szCs w:val="22"/>
                <w:highlight w:val="none"/>
                <w:lang w:bidi="ar"/>
              </w:rPr>
              <w:t xml:space="preserve"> enterprises(1)</w:t>
            </w:r>
          </w:p>
        </w:tc>
        <w:tc>
          <w:tcPr>
            <w:tcW w:w="1625" w:type="dxa"/>
            <w:tcBorders>
              <w:top w:val="single" w:color="auto" w:sz="8" w:space="0"/>
              <w:bottom w:val="single" w:color="auto" w:sz="8" w:space="0"/>
            </w:tcBorders>
            <w:shd w:val="clear" w:color="auto" w:fill="auto"/>
            <w:vAlign w:val="center"/>
          </w:tcPr>
          <w:p w14:paraId="11E2CD1B">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large enterprises(2)</w:t>
            </w:r>
          </w:p>
        </w:tc>
        <w:tc>
          <w:tcPr>
            <w:tcW w:w="1938" w:type="dxa"/>
            <w:tcBorders>
              <w:top w:val="single" w:color="auto" w:sz="8" w:space="0"/>
              <w:bottom w:val="single" w:color="auto" w:sz="8" w:space="0"/>
            </w:tcBorders>
            <w:shd w:val="clear" w:color="auto" w:fill="auto"/>
            <w:noWrap/>
            <w:vAlign w:val="center"/>
          </w:tcPr>
          <w:p w14:paraId="4347F3F5">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Non-state-owned enterprises(3)</w:t>
            </w:r>
          </w:p>
        </w:tc>
        <w:tc>
          <w:tcPr>
            <w:tcW w:w="1612" w:type="dxa"/>
            <w:tcBorders>
              <w:top w:val="single" w:color="auto" w:sz="8" w:space="0"/>
              <w:bottom w:val="single" w:color="auto" w:sz="8" w:space="0"/>
            </w:tcBorders>
            <w:shd w:val="clear" w:color="auto" w:fill="auto"/>
            <w:noWrap/>
            <w:vAlign w:val="center"/>
          </w:tcPr>
          <w:p w14:paraId="1B2A9156">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State-owned enterprises(4)</w:t>
            </w:r>
          </w:p>
        </w:tc>
      </w:tr>
      <w:tr w14:paraId="6F8223C8">
        <w:trPr>
          <w:trHeight w:val="218" w:hRule="atLeast"/>
        </w:trPr>
        <w:tc>
          <w:tcPr>
            <w:tcW w:w="1480" w:type="dxa"/>
            <w:vMerge w:val="restart"/>
            <w:tcBorders>
              <w:top w:val="single" w:color="auto" w:sz="8" w:space="0"/>
              <w:tl2br w:val="nil"/>
              <w:tr2bl w:val="nil"/>
            </w:tcBorders>
            <w:shd w:val="clear" w:color="auto" w:fill="auto"/>
            <w:noWrap/>
            <w:vAlign w:val="center"/>
          </w:tcPr>
          <w:p w14:paraId="007DB42C">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RCA</w:t>
            </w:r>
          </w:p>
        </w:tc>
        <w:tc>
          <w:tcPr>
            <w:tcW w:w="1587" w:type="dxa"/>
            <w:tcBorders>
              <w:top w:val="single" w:color="auto" w:sz="8" w:space="0"/>
              <w:tl2br w:val="nil"/>
              <w:tr2bl w:val="nil"/>
            </w:tcBorders>
            <w:shd w:val="clear" w:color="auto" w:fill="auto"/>
            <w:noWrap/>
            <w:vAlign w:val="bottom"/>
          </w:tcPr>
          <w:p w14:paraId="4453AE1A">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4.056</w:t>
            </w:r>
          </w:p>
        </w:tc>
        <w:tc>
          <w:tcPr>
            <w:tcW w:w="1625" w:type="dxa"/>
            <w:tcBorders>
              <w:top w:val="single" w:color="auto" w:sz="8" w:space="0"/>
              <w:tl2br w:val="nil"/>
              <w:tr2bl w:val="nil"/>
            </w:tcBorders>
            <w:shd w:val="clear" w:color="auto" w:fill="auto"/>
            <w:noWrap/>
            <w:vAlign w:val="bottom"/>
          </w:tcPr>
          <w:p w14:paraId="5DC2BDD4">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17.945***</w:t>
            </w:r>
          </w:p>
        </w:tc>
        <w:tc>
          <w:tcPr>
            <w:tcW w:w="1938" w:type="dxa"/>
            <w:tcBorders>
              <w:top w:val="single" w:color="auto" w:sz="8" w:space="0"/>
              <w:tl2br w:val="nil"/>
              <w:tr2bl w:val="nil"/>
            </w:tcBorders>
            <w:shd w:val="clear" w:color="auto" w:fill="auto"/>
            <w:noWrap/>
            <w:vAlign w:val="bottom"/>
          </w:tcPr>
          <w:p w14:paraId="056B2E9B">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4.005</w:t>
            </w:r>
          </w:p>
        </w:tc>
        <w:tc>
          <w:tcPr>
            <w:tcW w:w="1612" w:type="dxa"/>
            <w:tcBorders>
              <w:top w:val="single" w:color="auto" w:sz="8" w:space="0"/>
              <w:tl2br w:val="nil"/>
              <w:tr2bl w:val="nil"/>
            </w:tcBorders>
            <w:shd w:val="clear" w:color="auto" w:fill="auto"/>
            <w:noWrap/>
            <w:vAlign w:val="bottom"/>
          </w:tcPr>
          <w:p w14:paraId="5A29B7C1">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15.470***</w:t>
            </w:r>
          </w:p>
        </w:tc>
      </w:tr>
      <w:tr w14:paraId="36D22689">
        <w:trPr>
          <w:trHeight w:val="207" w:hRule="atLeast"/>
        </w:trPr>
        <w:tc>
          <w:tcPr>
            <w:tcW w:w="1480" w:type="dxa"/>
            <w:vMerge w:val="continue"/>
            <w:tcBorders>
              <w:tl2br w:val="nil"/>
              <w:tr2bl w:val="nil"/>
            </w:tcBorders>
            <w:shd w:val="clear" w:color="auto" w:fill="auto"/>
            <w:noWrap/>
            <w:vAlign w:val="center"/>
          </w:tcPr>
          <w:p w14:paraId="77B51A55">
            <w:pPr>
              <w:jc w:val="left"/>
              <w:rPr>
                <w:rFonts w:hint="default" w:eastAsia="宋体" w:cs="Arial Regular" w:asciiTheme="minorAscii" w:hAnsiTheme="minorAscii"/>
                <w:color w:val="auto"/>
                <w:sz w:val="22"/>
                <w:szCs w:val="22"/>
                <w:highlight w:val="none"/>
              </w:rPr>
            </w:pPr>
          </w:p>
        </w:tc>
        <w:tc>
          <w:tcPr>
            <w:tcW w:w="1587" w:type="dxa"/>
            <w:tcBorders>
              <w:tl2br w:val="nil"/>
              <w:tr2bl w:val="nil"/>
            </w:tcBorders>
            <w:shd w:val="clear" w:color="auto" w:fill="auto"/>
            <w:noWrap/>
            <w:vAlign w:val="bottom"/>
          </w:tcPr>
          <w:p w14:paraId="0979F34B">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(2.601)</w:t>
            </w:r>
          </w:p>
        </w:tc>
        <w:tc>
          <w:tcPr>
            <w:tcW w:w="1625" w:type="dxa"/>
            <w:tcBorders>
              <w:tl2br w:val="nil"/>
              <w:tr2bl w:val="nil"/>
            </w:tcBorders>
            <w:shd w:val="clear" w:color="auto" w:fill="auto"/>
            <w:noWrap/>
            <w:vAlign w:val="bottom"/>
          </w:tcPr>
          <w:p w14:paraId="1F7E3A73">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(4.076)</w:t>
            </w:r>
          </w:p>
        </w:tc>
        <w:tc>
          <w:tcPr>
            <w:tcW w:w="1938" w:type="dxa"/>
            <w:tcBorders>
              <w:tl2br w:val="nil"/>
              <w:tr2bl w:val="nil"/>
            </w:tcBorders>
            <w:shd w:val="clear" w:color="auto" w:fill="auto"/>
            <w:noWrap/>
            <w:vAlign w:val="bottom"/>
          </w:tcPr>
          <w:p w14:paraId="7EEF8162">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(3.714)</w:t>
            </w:r>
          </w:p>
        </w:tc>
        <w:tc>
          <w:tcPr>
            <w:tcW w:w="1612" w:type="dxa"/>
            <w:tcBorders>
              <w:tl2br w:val="nil"/>
              <w:tr2bl w:val="nil"/>
            </w:tcBorders>
            <w:shd w:val="clear" w:color="auto" w:fill="auto"/>
            <w:noWrap/>
            <w:vAlign w:val="bottom"/>
          </w:tcPr>
          <w:p w14:paraId="7376168F">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(4.029)</w:t>
            </w:r>
          </w:p>
        </w:tc>
      </w:tr>
      <w:tr w14:paraId="5058C001">
        <w:trPr>
          <w:trHeight w:val="195" w:hRule="atLeast"/>
        </w:trPr>
        <w:tc>
          <w:tcPr>
            <w:tcW w:w="1480" w:type="dxa"/>
            <w:tcBorders>
              <w:tl2br w:val="nil"/>
              <w:tr2bl w:val="nil"/>
            </w:tcBorders>
            <w:shd w:val="clear" w:color="auto" w:fill="auto"/>
            <w:noWrap/>
            <w:vAlign w:val="center"/>
          </w:tcPr>
          <w:p w14:paraId="008B72C3">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controls</w:t>
            </w:r>
          </w:p>
        </w:tc>
        <w:tc>
          <w:tcPr>
            <w:tcW w:w="1587" w:type="dxa"/>
            <w:tcBorders>
              <w:tl2br w:val="nil"/>
              <w:tr2bl w:val="nil"/>
            </w:tcBorders>
            <w:shd w:val="clear" w:color="auto" w:fill="auto"/>
            <w:noWrap/>
            <w:vAlign w:val="center"/>
          </w:tcPr>
          <w:p w14:paraId="4B23403D">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c>
          <w:tcPr>
            <w:tcW w:w="1625" w:type="dxa"/>
            <w:tcBorders>
              <w:tl2br w:val="nil"/>
              <w:tr2bl w:val="nil"/>
            </w:tcBorders>
            <w:shd w:val="clear" w:color="auto" w:fill="auto"/>
            <w:noWrap/>
            <w:vAlign w:val="center"/>
          </w:tcPr>
          <w:p w14:paraId="2C99B2BF">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c>
          <w:tcPr>
            <w:tcW w:w="1938" w:type="dxa"/>
            <w:tcBorders>
              <w:tl2br w:val="nil"/>
              <w:tr2bl w:val="nil"/>
            </w:tcBorders>
            <w:shd w:val="clear" w:color="auto" w:fill="auto"/>
            <w:noWrap/>
            <w:vAlign w:val="center"/>
          </w:tcPr>
          <w:p w14:paraId="6F153B5D">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c>
          <w:tcPr>
            <w:tcW w:w="1612" w:type="dxa"/>
            <w:tcBorders>
              <w:tl2br w:val="nil"/>
              <w:tr2bl w:val="nil"/>
            </w:tcBorders>
            <w:shd w:val="clear" w:color="auto" w:fill="auto"/>
            <w:noWrap/>
            <w:vAlign w:val="center"/>
          </w:tcPr>
          <w:p w14:paraId="2F9AB182">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r>
      <w:tr w14:paraId="3B2FF3D0">
        <w:trPr>
          <w:trHeight w:val="518" w:hRule="atLeast"/>
        </w:trPr>
        <w:tc>
          <w:tcPr>
            <w:tcW w:w="1480" w:type="dxa"/>
            <w:tcBorders>
              <w:tl2br w:val="nil"/>
              <w:tr2bl w:val="nil"/>
            </w:tcBorders>
            <w:shd w:val="clear" w:color="auto" w:fill="auto"/>
            <w:noWrap/>
            <w:vAlign w:val="center"/>
          </w:tcPr>
          <w:p w14:paraId="08E69D86">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individual effect</w:t>
            </w:r>
          </w:p>
        </w:tc>
        <w:tc>
          <w:tcPr>
            <w:tcW w:w="1587" w:type="dxa"/>
            <w:tcBorders>
              <w:tl2br w:val="nil"/>
              <w:tr2bl w:val="nil"/>
            </w:tcBorders>
            <w:shd w:val="clear" w:color="auto" w:fill="auto"/>
            <w:noWrap/>
            <w:vAlign w:val="center"/>
          </w:tcPr>
          <w:p w14:paraId="33A2A998">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c>
          <w:tcPr>
            <w:tcW w:w="1625" w:type="dxa"/>
            <w:tcBorders>
              <w:tl2br w:val="nil"/>
              <w:tr2bl w:val="nil"/>
            </w:tcBorders>
            <w:shd w:val="clear" w:color="auto" w:fill="auto"/>
            <w:noWrap/>
            <w:vAlign w:val="center"/>
          </w:tcPr>
          <w:p w14:paraId="7FE4327B">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c>
          <w:tcPr>
            <w:tcW w:w="1938" w:type="dxa"/>
            <w:tcBorders>
              <w:tl2br w:val="nil"/>
              <w:tr2bl w:val="nil"/>
            </w:tcBorders>
            <w:shd w:val="clear" w:color="auto" w:fill="auto"/>
            <w:noWrap/>
            <w:vAlign w:val="center"/>
          </w:tcPr>
          <w:p w14:paraId="383BDD5C">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c>
          <w:tcPr>
            <w:tcW w:w="1612" w:type="dxa"/>
            <w:tcBorders>
              <w:tl2br w:val="nil"/>
              <w:tr2bl w:val="nil"/>
            </w:tcBorders>
            <w:shd w:val="clear" w:color="auto" w:fill="auto"/>
            <w:noWrap/>
            <w:vAlign w:val="center"/>
          </w:tcPr>
          <w:p w14:paraId="7C5546C2">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r>
      <w:tr w14:paraId="60829E0E">
        <w:trPr>
          <w:trHeight w:val="140" w:hRule="atLeast"/>
        </w:trPr>
        <w:tc>
          <w:tcPr>
            <w:tcW w:w="1480" w:type="dxa"/>
            <w:tcBorders>
              <w:bottom w:val="single" w:color="auto" w:sz="8" w:space="0"/>
              <w:tl2br w:val="nil"/>
              <w:tr2bl w:val="nil"/>
            </w:tcBorders>
            <w:shd w:val="clear" w:color="auto" w:fill="auto"/>
            <w:noWrap/>
            <w:vAlign w:val="center"/>
          </w:tcPr>
          <w:p w14:paraId="28E3F547">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time effect</w:t>
            </w:r>
          </w:p>
        </w:tc>
        <w:tc>
          <w:tcPr>
            <w:tcW w:w="1587" w:type="dxa"/>
            <w:tcBorders>
              <w:bottom w:val="single" w:color="auto" w:sz="8" w:space="0"/>
              <w:tl2br w:val="nil"/>
              <w:tr2bl w:val="nil"/>
            </w:tcBorders>
            <w:shd w:val="clear" w:color="auto" w:fill="auto"/>
            <w:noWrap/>
            <w:vAlign w:val="center"/>
          </w:tcPr>
          <w:p w14:paraId="4EF20476">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c>
          <w:tcPr>
            <w:tcW w:w="1625" w:type="dxa"/>
            <w:tcBorders>
              <w:bottom w:val="single" w:color="auto" w:sz="8" w:space="0"/>
              <w:tl2br w:val="nil"/>
              <w:tr2bl w:val="nil"/>
            </w:tcBorders>
            <w:shd w:val="clear" w:color="auto" w:fill="auto"/>
            <w:noWrap/>
            <w:vAlign w:val="center"/>
          </w:tcPr>
          <w:p w14:paraId="6F59E3DD">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c>
          <w:tcPr>
            <w:tcW w:w="1938" w:type="dxa"/>
            <w:tcBorders>
              <w:bottom w:val="single" w:color="auto" w:sz="8" w:space="0"/>
              <w:tl2br w:val="nil"/>
              <w:tr2bl w:val="nil"/>
            </w:tcBorders>
            <w:shd w:val="clear" w:color="auto" w:fill="auto"/>
            <w:noWrap/>
            <w:vAlign w:val="center"/>
          </w:tcPr>
          <w:p w14:paraId="176BB789">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c>
          <w:tcPr>
            <w:tcW w:w="1612" w:type="dxa"/>
            <w:tcBorders>
              <w:bottom w:val="single" w:color="auto" w:sz="8" w:space="0"/>
              <w:tl2br w:val="nil"/>
              <w:tr2bl w:val="nil"/>
            </w:tcBorders>
            <w:shd w:val="clear" w:color="auto" w:fill="auto"/>
            <w:noWrap/>
            <w:vAlign w:val="center"/>
          </w:tcPr>
          <w:p w14:paraId="3FA4FA6C">
            <w:pPr>
              <w:widowControl/>
              <w:jc w:val="center"/>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yes</w:t>
            </w:r>
          </w:p>
        </w:tc>
      </w:tr>
      <w:tr w14:paraId="23EEAA82">
        <w:trPr>
          <w:trHeight w:val="195" w:hRule="atLeast"/>
        </w:trPr>
        <w:tc>
          <w:tcPr>
            <w:tcW w:w="1480" w:type="dxa"/>
            <w:tcBorders>
              <w:top w:val="single" w:color="auto" w:sz="8" w:space="0"/>
            </w:tcBorders>
            <w:shd w:val="clear" w:color="auto" w:fill="auto"/>
            <w:noWrap/>
            <w:vAlign w:val="center"/>
          </w:tcPr>
          <w:p w14:paraId="53F66E87">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Adj-R</w:t>
            </w:r>
            <w:r>
              <w:rPr>
                <w:rFonts w:hint="default" w:eastAsia="宋体" w:cs="Arial Regular" w:asciiTheme="minorAscii" w:hAnsiTheme="minorAscii"/>
                <w:color w:val="auto"/>
                <w:kern w:val="0"/>
                <w:sz w:val="22"/>
                <w:szCs w:val="22"/>
                <w:highlight w:val="none"/>
                <w:vertAlign w:val="superscript"/>
                <w:lang w:bidi="ar"/>
              </w:rPr>
              <w:t>2</w:t>
            </w:r>
          </w:p>
        </w:tc>
        <w:tc>
          <w:tcPr>
            <w:tcW w:w="1587" w:type="dxa"/>
            <w:tcBorders>
              <w:top w:val="single" w:color="auto" w:sz="8" w:space="0"/>
            </w:tcBorders>
            <w:shd w:val="clear" w:color="auto" w:fill="auto"/>
            <w:noWrap/>
            <w:vAlign w:val="bottom"/>
          </w:tcPr>
          <w:p w14:paraId="3595A45C">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0.022</w:t>
            </w:r>
          </w:p>
        </w:tc>
        <w:tc>
          <w:tcPr>
            <w:tcW w:w="1625" w:type="dxa"/>
            <w:tcBorders>
              <w:top w:val="single" w:color="auto" w:sz="8" w:space="0"/>
            </w:tcBorders>
            <w:shd w:val="clear" w:color="auto" w:fill="auto"/>
            <w:noWrap/>
            <w:vAlign w:val="bottom"/>
          </w:tcPr>
          <w:p w14:paraId="2D816280">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0.019</w:t>
            </w:r>
          </w:p>
        </w:tc>
        <w:tc>
          <w:tcPr>
            <w:tcW w:w="1938" w:type="dxa"/>
            <w:tcBorders>
              <w:top w:val="single" w:color="auto" w:sz="8" w:space="0"/>
            </w:tcBorders>
            <w:shd w:val="clear" w:color="auto" w:fill="auto"/>
            <w:noWrap/>
            <w:vAlign w:val="bottom"/>
          </w:tcPr>
          <w:p w14:paraId="0A625FC7">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0.025</w:t>
            </w:r>
          </w:p>
        </w:tc>
        <w:tc>
          <w:tcPr>
            <w:tcW w:w="1612" w:type="dxa"/>
            <w:tcBorders>
              <w:top w:val="single" w:color="auto" w:sz="8" w:space="0"/>
            </w:tcBorders>
            <w:shd w:val="clear" w:color="auto" w:fill="auto"/>
            <w:noWrap/>
            <w:vAlign w:val="bottom"/>
          </w:tcPr>
          <w:p w14:paraId="5A0D9AB5">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0.033</w:t>
            </w:r>
          </w:p>
        </w:tc>
      </w:tr>
      <w:tr w14:paraId="6BD778BD">
        <w:trPr>
          <w:trHeight w:val="195" w:hRule="atLeast"/>
        </w:trPr>
        <w:tc>
          <w:tcPr>
            <w:tcW w:w="1480" w:type="dxa"/>
            <w:shd w:val="clear" w:color="auto" w:fill="auto"/>
            <w:noWrap/>
            <w:vAlign w:val="center"/>
          </w:tcPr>
          <w:p w14:paraId="7AD34CC3">
            <w:pPr>
              <w:widowControl/>
              <w:jc w:val="left"/>
              <w:textAlignment w:val="center"/>
              <w:rPr>
                <w:rFonts w:hint="default" w:eastAsia="宋体" w:cs="Arial Regular" w:asciiTheme="minorAscii" w:hAnsiTheme="minorAscii"/>
                <w:color w:val="auto"/>
                <w:sz w:val="22"/>
                <w:szCs w:val="22"/>
                <w:highlight w:val="none"/>
              </w:rPr>
            </w:pPr>
            <w:r>
              <w:rPr>
                <w:rFonts w:hint="default" w:eastAsia="宋体" w:cs="Arial Regular" w:asciiTheme="minorAscii" w:hAnsiTheme="minorAscii"/>
                <w:color w:val="auto"/>
                <w:kern w:val="0"/>
                <w:sz w:val="22"/>
                <w:szCs w:val="22"/>
                <w:highlight w:val="none"/>
                <w:lang w:bidi="ar"/>
              </w:rPr>
              <w:t>N</w:t>
            </w:r>
          </w:p>
        </w:tc>
        <w:tc>
          <w:tcPr>
            <w:tcW w:w="1587" w:type="dxa"/>
            <w:shd w:val="clear" w:color="auto" w:fill="auto"/>
            <w:noWrap/>
            <w:vAlign w:val="bottom"/>
          </w:tcPr>
          <w:p w14:paraId="15EC9479">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5,887</w:t>
            </w:r>
          </w:p>
        </w:tc>
        <w:tc>
          <w:tcPr>
            <w:tcW w:w="1625" w:type="dxa"/>
            <w:shd w:val="clear" w:color="auto" w:fill="auto"/>
            <w:noWrap/>
            <w:vAlign w:val="bottom"/>
          </w:tcPr>
          <w:p w14:paraId="201A52B6">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5,887</w:t>
            </w:r>
          </w:p>
        </w:tc>
        <w:tc>
          <w:tcPr>
            <w:tcW w:w="1938" w:type="dxa"/>
            <w:shd w:val="clear" w:color="auto" w:fill="auto"/>
            <w:noWrap/>
            <w:vAlign w:val="bottom"/>
          </w:tcPr>
          <w:p w14:paraId="72E1AD1E">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9,204</w:t>
            </w:r>
          </w:p>
        </w:tc>
        <w:tc>
          <w:tcPr>
            <w:tcW w:w="1612" w:type="dxa"/>
            <w:shd w:val="clear" w:color="auto" w:fill="auto"/>
            <w:noWrap/>
            <w:vAlign w:val="bottom"/>
          </w:tcPr>
          <w:p w14:paraId="503D184E">
            <w:pPr>
              <w:widowControl/>
              <w:jc w:val="center"/>
              <w:textAlignment w:val="bottom"/>
              <w:rPr>
                <w:rFonts w:hint="default" w:eastAsia="宋体" w:cs="Arial Regular" w:asciiTheme="minorAscii" w:hAnsiTheme="minorAscii"/>
                <w:color w:val="auto"/>
                <w:sz w:val="20"/>
                <w:szCs w:val="20"/>
                <w:highlight w:val="none"/>
              </w:rPr>
            </w:pPr>
            <w:r>
              <w:rPr>
                <w:rFonts w:hint="default" w:eastAsia="宋体" w:cs="Arial Regular" w:asciiTheme="minorAscii" w:hAnsiTheme="minorAscii"/>
                <w:color w:val="auto"/>
                <w:kern w:val="0"/>
                <w:sz w:val="20"/>
                <w:szCs w:val="20"/>
                <w:highlight w:val="none"/>
                <w:lang w:bidi="ar"/>
              </w:rPr>
              <w:t>2,570</w:t>
            </w:r>
          </w:p>
        </w:tc>
      </w:tr>
    </w:tbl>
    <w:p w14:paraId="73CB076B">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CN"/>
        </w:rPr>
      </w:pPr>
      <w:r>
        <w:rPr>
          <w:rFonts w:hint="default" w:asciiTheme="minorAscii" w:hAnsiTheme="minorAscii"/>
          <w:color w:val="auto"/>
          <w:highlight w:val="none"/>
          <w:lang w:val="en-US" w:eastAsia="zh-CN"/>
        </w:rPr>
        <w:t xml:space="preserve">Columns (1) and (2) of Table 7 present the disparity in the influence of producer services trade competitiveness, as evaluated by the RCA index, on the independent innovation of companies of varying sizes. The table above indicates that the competitiveness of producer services trade does not significantly enhance the independent innovation capabilities of small enterprises, yet it substantially contributes to the large enterprises, thereby supporting Hypothesis H6. </w:t>
      </w:r>
    </w:p>
    <w:p w14:paraId="37603399">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CN"/>
        </w:rPr>
      </w:pPr>
      <w:r>
        <w:rPr>
          <w:rFonts w:hint="default" w:asciiTheme="minorAscii" w:hAnsiTheme="minorAscii"/>
          <w:color w:val="auto"/>
          <w:highlight w:val="none"/>
          <w:lang w:val="en-US" w:eastAsia="zh-CN"/>
        </w:rPr>
        <w:t xml:space="preserve">Columns (3) and (4) of Table 7 present the disparity in the influence of producer services trade competitiveness, as quantified by the RCA index, on the independent innovation of companies with varying ownership structures. The table above indicates that the competitiveness of producer services trade does not significantly enhance the independent innovation capabilities of non-state-owned businesses, yet it substantially contributes to the state-owned businesses, thereby supporting Hypothesis H7. </w:t>
      </w:r>
    </w:p>
    <w:p w14:paraId="49475F2D">
      <w:pPr>
        <w:spacing w:before="240" w:after="240" w:line="200" w:lineRule="exact"/>
        <w:jc w:val="center"/>
        <w:rPr>
          <w:rFonts w:hint="default" w:asciiTheme="minorAscii" w:hAnsiTheme="minorAscii"/>
          <w:b/>
          <w:bCs/>
          <w:color w:val="auto"/>
          <w:highlight w:val="none"/>
        </w:rPr>
      </w:pPr>
      <w:r>
        <w:rPr>
          <w:rFonts w:hint="default" w:asciiTheme="minorAscii" w:hAnsiTheme="minorAscii"/>
          <w:b/>
          <w:bCs/>
          <w:color w:val="auto"/>
          <w:highlight w:val="none"/>
        </w:rPr>
        <w:t xml:space="preserve">Table </w:t>
      </w:r>
      <w:r>
        <w:rPr>
          <w:rFonts w:hint="default" w:asciiTheme="minorAscii" w:hAnsiTheme="minorAscii"/>
          <w:b/>
          <w:bCs/>
          <w:color w:val="auto"/>
          <w:highlight w:val="none"/>
          <w:lang w:val="en-US" w:eastAsia="zh-CN"/>
        </w:rPr>
        <w:t>8</w:t>
      </w:r>
      <w:r>
        <w:rPr>
          <w:rFonts w:hint="default" w:asciiTheme="minorAscii" w:hAnsiTheme="minorAscii"/>
          <w:b/>
          <w:bCs/>
          <w:color w:val="auto"/>
          <w:highlight w:val="none"/>
        </w:rPr>
        <w:t xml:space="preserve">  Heterogeneity analysis</w:t>
      </w:r>
    </w:p>
    <w:tbl>
      <w:tblPr>
        <w:tblStyle w:val="3"/>
        <w:tblW w:w="4933" w:type="pct"/>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57"/>
        <w:gridCol w:w="1108"/>
        <w:gridCol w:w="1175"/>
        <w:gridCol w:w="1054"/>
        <w:gridCol w:w="1163"/>
        <w:gridCol w:w="1081"/>
        <w:gridCol w:w="1071"/>
      </w:tblGrid>
      <w:tr w14:paraId="4DA3C1AA">
        <w:trPr>
          <w:trHeight w:val="0" w:hRule="atLeast"/>
        </w:trPr>
        <w:tc>
          <w:tcPr>
            <w:tcW w:w="1757" w:type="dxa"/>
            <w:vMerge w:val="restart"/>
            <w:tcBorders>
              <w:top w:val="single" w:color="000000" w:sz="8" w:space="0"/>
              <w:left w:val="nil"/>
              <w:right w:val="nil"/>
            </w:tcBorders>
            <w:shd w:val="clear" w:color="auto" w:fill="auto"/>
            <w:noWrap/>
            <w:vAlign w:val="center"/>
          </w:tcPr>
          <w:p w14:paraId="41F45CC0">
            <w:pPr>
              <w:widowControl/>
              <w:jc w:val="left"/>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variables</w:t>
            </w:r>
          </w:p>
        </w:tc>
        <w:tc>
          <w:tcPr>
            <w:tcW w:w="6652" w:type="dxa"/>
            <w:gridSpan w:val="6"/>
            <w:tcBorders>
              <w:top w:val="single" w:color="000000" w:sz="8" w:space="0"/>
              <w:left w:val="nil"/>
              <w:bottom w:val="single" w:color="000000" w:sz="8" w:space="0"/>
              <w:right w:val="nil"/>
            </w:tcBorders>
            <w:shd w:val="clear" w:color="auto" w:fill="auto"/>
            <w:noWrap/>
            <w:vAlign w:val="center"/>
          </w:tcPr>
          <w:p w14:paraId="110244BC">
            <w:pPr>
              <w:keepNext w:val="0"/>
              <w:keepLines w:val="0"/>
              <w:widowControl/>
              <w:suppressLineNumbers w:val="0"/>
              <w:jc w:val="center"/>
              <w:textAlignment w:val="center"/>
              <w:rPr>
                <w:rFonts w:hint="default" w:eastAsia="宋体" w:cs="宋体" w:asciiTheme="minorAscii" w:hAnsiTheme="minorAscii"/>
                <w:i w:val="0"/>
                <w:iCs w:val="0"/>
                <w:color w:val="auto"/>
                <w:sz w:val="22"/>
                <w:szCs w:val="22"/>
                <w:highlight w:val="none"/>
                <w:u w:val="none"/>
              </w:rPr>
            </w:pPr>
            <w:r>
              <w:rPr>
                <w:rFonts w:hint="default" w:eastAsia="宋体" w:cs="Arial Regular" w:asciiTheme="minorAscii" w:hAnsiTheme="minorAscii"/>
                <w:color w:val="auto"/>
                <w:kern w:val="0"/>
                <w:sz w:val="22"/>
                <w:szCs w:val="22"/>
                <w:highlight w:val="none"/>
                <w:lang w:bidi="ar"/>
              </w:rPr>
              <w:t>Explained variable</w:t>
            </w:r>
          </w:p>
        </w:tc>
      </w:tr>
      <w:tr w14:paraId="106C5267">
        <w:trPr>
          <w:trHeight w:val="0" w:hRule="atLeast"/>
        </w:trPr>
        <w:tc>
          <w:tcPr>
            <w:tcW w:w="1757" w:type="dxa"/>
            <w:vMerge w:val="continue"/>
            <w:tcBorders>
              <w:left w:val="nil"/>
              <w:bottom w:val="single" w:color="000000" w:sz="8" w:space="0"/>
              <w:right w:val="nil"/>
            </w:tcBorders>
            <w:shd w:val="clear" w:color="auto" w:fill="auto"/>
            <w:noWrap/>
            <w:vAlign w:val="center"/>
          </w:tcPr>
          <w:p w14:paraId="64A68CDB">
            <w:pPr>
              <w:widowControl/>
              <w:jc w:val="left"/>
              <w:textAlignment w:val="center"/>
              <w:rPr>
                <w:rFonts w:hint="default" w:eastAsia="宋体" w:cs="Arial Regular" w:asciiTheme="minorAscii" w:hAnsiTheme="minorAscii"/>
                <w:color w:val="auto"/>
                <w:kern w:val="0"/>
                <w:sz w:val="22"/>
                <w:szCs w:val="22"/>
                <w:highlight w:val="none"/>
                <w:lang w:bidi="ar"/>
              </w:rPr>
            </w:pPr>
          </w:p>
        </w:tc>
        <w:tc>
          <w:tcPr>
            <w:tcW w:w="1108" w:type="dxa"/>
            <w:tcBorders>
              <w:top w:val="single" w:color="000000" w:sz="8" w:space="0"/>
              <w:left w:val="nil"/>
              <w:bottom w:val="single" w:color="000000" w:sz="8" w:space="0"/>
              <w:right w:val="nil"/>
            </w:tcBorders>
            <w:shd w:val="clear" w:color="auto" w:fill="auto"/>
            <w:vAlign w:val="center"/>
          </w:tcPr>
          <w:p w14:paraId="577705BA">
            <w:pPr>
              <w:keepNext w:val="0"/>
              <w:keepLines w:val="0"/>
              <w:widowControl/>
              <w:suppressLineNumbers w:val="0"/>
              <w:jc w:val="left"/>
              <w:textAlignment w:val="center"/>
              <w:rPr>
                <w:rFonts w:hint="default" w:eastAsia="宋体" w:cs="Arial Regular" w:asciiTheme="minorAscii" w:hAnsiTheme="minorAscii"/>
                <w:color w:val="auto"/>
                <w:kern w:val="0"/>
                <w:sz w:val="15"/>
                <w:szCs w:val="15"/>
                <w:highlight w:val="none"/>
                <w:lang w:eastAsia="zh-Hans" w:bidi="ar"/>
              </w:rPr>
            </w:pPr>
            <w:r>
              <w:rPr>
                <w:rFonts w:hint="default" w:asciiTheme="minorAscii" w:hAnsiTheme="minorAscii"/>
                <w:color w:val="auto"/>
                <w:sz w:val="18"/>
                <w:szCs w:val="21"/>
                <w:highlight w:val="none"/>
                <w:lang w:val="en-US" w:eastAsia="zh-Hans"/>
              </w:rPr>
              <w:t>Model</w:t>
            </w:r>
            <w:r>
              <w:rPr>
                <w:rFonts w:hint="default" w:eastAsia="宋体" w:cs="宋体" w:asciiTheme="minorAscii" w:hAnsiTheme="minorAscii"/>
                <w:i w:val="0"/>
                <w:iCs w:val="0"/>
                <w:color w:val="auto"/>
                <w:kern w:val="0"/>
                <w:sz w:val="20"/>
                <w:szCs w:val="20"/>
                <w:highlight w:val="none"/>
                <w:u w:val="none"/>
                <w:lang w:val="en-US" w:eastAsia="zh-CN" w:bidi="ar"/>
              </w:rPr>
              <w:t xml:space="preserve"> (1)</w:t>
            </w:r>
          </w:p>
        </w:tc>
        <w:tc>
          <w:tcPr>
            <w:tcW w:w="1175" w:type="dxa"/>
            <w:tcBorders>
              <w:top w:val="single" w:color="000000" w:sz="8" w:space="0"/>
              <w:left w:val="nil"/>
              <w:bottom w:val="single" w:color="000000" w:sz="8" w:space="0"/>
              <w:right w:val="nil"/>
            </w:tcBorders>
            <w:shd w:val="clear" w:color="auto" w:fill="auto"/>
            <w:vAlign w:val="center"/>
          </w:tcPr>
          <w:p w14:paraId="5904EE01">
            <w:pPr>
              <w:keepNext w:val="0"/>
              <w:keepLines w:val="0"/>
              <w:widowControl/>
              <w:suppressLineNumbers w:val="0"/>
              <w:jc w:val="left"/>
              <w:textAlignment w:val="center"/>
              <w:rPr>
                <w:rFonts w:hint="default" w:eastAsia="宋体" w:cs="Arial Regular" w:asciiTheme="minorAscii" w:hAnsiTheme="minorAscii"/>
                <w:color w:val="auto"/>
                <w:kern w:val="0"/>
                <w:sz w:val="15"/>
                <w:szCs w:val="15"/>
                <w:highlight w:val="none"/>
                <w:lang w:eastAsia="zh-Hans" w:bidi="ar"/>
              </w:rPr>
            </w:pPr>
            <w:r>
              <w:rPr>
                <w:rFonts w:hint="default" w:eastAsia="宋体" w:cs="宋体" w:asciiTheme="minorAscii" w:hAnsiTheme="minorAscii"/>
                <w:i w:val="0"/>
                <w:iCs w:val="0"/>
                <w:color w:val="auto"/>
                <w:kern w:val="0"/>
                <w:sz w:val="20"/>
                <w:szCs w:val="20"/>
                <w:highlight w:val="none"/>
                <w:u w:val="none"/>
                <w:lang w:val="en-US" w:eastAsia="zh-CN" w:bidi="ar"/>
              </w:rPr>
              <w:t xml:space="preserve"> </w:t>
            </w:r>
            <w:r>
              <w:rPr>
                <w:rFonts w:hint="default" w:asciiTheme="minorAscii" w:hAnsiTheme="minorAscii"/>
                <w:color w:val="auto"/>
                <w:sz w:val="18"/>
                <w:szCs w:val="21"/>
                <w:highlight w:val="none"/>
                <w:lang w:val="en-US" w:eastAsia="zh-Hans"/>
              </w:rPr>
              <w:t xml:space="preserve">Model </w:t>
            </w:r>
            <w:r>
              <w:rPr>
                <w:rFonts w:hint="default" w:eastAsia="宋体" w:cs="宋体" w:asciiTheme="minorAscii" w:hAnsiTheme="minorAscii"/>
                <w:i w:val="0"/>
                <w:iCs w:val="0"/>
                <w:color w:val="auto"/>
                <w:kern w:val="0"/>
                <w:sz w:val="20"/>
                <w:szCs w:val="20"/>
                <w:highlight w:val="none"/>
                <w:u w:val="none"/>
                <w:lang w:val="en-US" w:eastAsia="zh-CN" w:bidi="ar"/>
              </w:rPr>
              <w:t>(2)</w:t>
            </w:r>
          </w:p>
        </w:tc>
        <w:tc>
          <w:tcPr>
            <w:tcW w:w="1054" w:type="dxa"/>
            <w:tcBorders>
              <w:top w:val="single" w:color="000000" w:sz="8" w:space="0"/>
              <w:left w:val="nil"/>
              <w:bottom w:val="single" w:color="000000" w:sz="8" w:space="0"/>
              <w:right w:val="nil"/>
            </w:tcBorders>
            <w:shd w:val="clear" w:color="auto" w:fill="auto"/>
            <w:noWrap/>
            <w:vAlign w:val="center"/>
          </w:tcPr>
          <w:p w14:paraId="306D769B">
            <w:pPr>
              <w:keepNext w:val="0"/>
              <w:keepLines w:val="0"/>
              <w:widowControl/>
              <w:suppressLineNumbers w:val="0"/>
              <w:jc w:val="left"/>
              <w:textAlignment w:val="center"/>
              <w:rPr>
                <w:rFonts w:hint="default" w:eastAsia="宋体" w:cs="Arial Regular" w:asciiTheme="minorAscii" w:hAnsiTheme="minorAscii"/>
                <w:color w:val="auto"/>
                <w:kern w:val="0"/>
                <w:sz w:val="15"/>
                <w:szCs w:val="15"/>
                <w:highlight w:val="none"/>
                <w:lang w:eastAsia="zh-Hans" w:bidi="ar"/>
              </w:rPr>
            </w:pPr>
            <w:r>
              <w:rPr>
                <w:rFonts w:hint="default" w:asciiTheme="minorAscii" w:hAnsiTheme="minorAscii"/>
                <w:color w:val="auto"/>
                <w:sz w:val="18"/>
                <w:szCs w:val="21"/>
                <w:highlight w:val="none"/>
                <w:lang w:val="en-US" w:eastAsia="zh-Hans"/>
              </w:rPr>
              <w:t xml:space="preserve">Model </w:t>
            </w:r>
            <w:r>
              <w:rPr>
                <w:rFonts w:hint="default" w:eastAsia="宋体" w:cs="宋体" w:asciiTheme="minorAscii" w:hAnsiTheme="minorAscii"/>
                <w:i w:val="0"/>
                <w:iCs w:val="0"/>
                <w:color w:val="auto"/>
                <w:kern w:val="0"/>
                <w:sz w:val="20"/>
                <w:szCs w:val="20"/>
                <w:highlight w:val="none"/>
                <w:u w:val="none"/>
                <w:lang w:val="en-US" w:eastAsia="zh-CN" w:bidi="ar"/>
              </w:rPr>
              <w:t>(3)</w:t>
            </w:r>
          </w:p>
        </w:tc>
        <w:tc>
          <w:tcPr>
            <w:tcW w:w="1163" w:type="dxa"/>
            <w:tcBorders>
              <w:top w:val="single" w:color="000000" w:sz="8" w:space="0"/>
              <w:left w:val="nil"/>
              <w:bottom w:val="single" w:color="000000" w:sz="8" w:space="0"/>
              <w:right w:val="nil"/>
            </w:tcBorders>
            <w:shd w:val="clear" w:color="auto" w:fill="auto"/>
            <w:noWrap/>
            <w:vAlign w:val="center"/>
          </w:tcPr>
          <w:p w14:paraId="07D7AEAF">
            <w:pPr>
              <w:keepNext w:val="0"/>
              <w:keepLines w:val="0"/>
              <w:widowControl/>
              <w:suppressLineNumbers w:val="0"/>
              <w:jc w:val="left"/>
              <w:textAlignment w:val="center"/>
              <w:rPr>
                <w:rFonts w:hint="default" w:eastAsia="宋体" w:cs="Arial Regular" w:asciiTheme="minorAscii" w:hAnsiTheme="minorAscii"/>
                <w:color w:val="auto"/>
                <w:kern w:val="0"/>
                <w:sz w:val="15"/>
                <w:szCs w:val="15"/>
                <w:highlight w:val="none"/>
                <w:lang w:eastAsia="zh-Hans" w:bidi="ar"/>
              </w:rPr>
            </w:pPr>
            <w:r>
              <w:rPr>
                <w:rFonts w:hint="default" w:asciiTheme="minorAscii" w:hAnsiTheme="minorAscii"/>
                <w:color w:val="auto"/>
                <w:sz w:val="18"/>
                <w:szCs w:val="21"/>
                <w:highlight w:val="none"/>
                <w:lang w:val="en-US" w:eastAsia="zh-Hans"/>
              </w:rPr>
              <w:t xml:space="preserve">Model </w:t>
            </w:r>
            <w:r>
              <w:rPr>
                <w:rFonts w:hint="default" w:eastAsia="宋体" w:cs="宋体" w:asciiTheme="minorAscii" w:hAnsiTheme="minorAscii"/>
                <w:i w:val="0"/>
                <w:iCs w:val="0"/>
                <w:color w:val="auto"/>
                <w:kern w:val="0"/>
                <w:sz w:val="20"/>
                <w:szCs w:val="20"/>
                <w:highlight w:val="none"/>
                <w:u w:val="none"/>
                <w:lang w:val="en-US" w:eastAsia="zh-CN" w:bidi="ar"/>
              </w:rPr>
              <w:t>(4)</w:t>
            </w:r>
          </w:p>
        </w:tc>
        <w:tc>
          <w:tcPr>
            <w:tcW w:w="1081" w:type="dxa"/>
            <w:tcBorders>
              <w:top w:val="single" w:color="000000" w:sz="8" w:space="0"/>
              <w:left w:val="nil"/>
              <w:bottom w:val="single" w:color="000000" w:sz="8" w:space="0"/>
              <w:right w:val="nil"/>
            </w:tcBorders>
            <w:shd w:val="clear" w:color="auto" w:fill="auto"/>
            <w:noWrap/>
            <w:vAlign w:val="center"/>
          </w:tcPr>
          <w:p w14:paraId="0F7C1FB2">
            <w:pPr>
              <w:keepNext w:val="0"/>
              <w:keepLines w:val="0"/>
              <w:widowControl/>
              <w:suppressLineNumbers w:val="0"/>
              <w:jc w:val="left"/>
              <w:textAlignment w:val="center"/>
              <w:rPr>
                <w:rFonts w:hint="default" w:eastAsia="宋体" w:cs="Arial Regular" w:asciiTheme="minorAscii" w:hAnsiTheme="minorAscii"/>
                <w:color w:val="auto"/>
                <w:kern w:val="0"/>
                <w:sz w:val="15"/>
                <w:szCs w:val="15"/>
                <w:highlight w:val="none"/>
                <w:lang w:eastAsia="zh-Hans" w:bidi="ar"/>
              </w:rPr>
            </w:pPr>
            <w:r>
              <w:rPr>
                <w:rFonts w:hint="default" w:asciiTheme="minorAscii" w:hAnsiTheme="minorAscii"/>
                <w:color w:val="auto"/>
                <w:sz w:val="18"/>
                <w:szCs w:val="21"/>
                <w:highlight w:val="none"/>
                <w:lang w:val="en-US" w:eastAsia="zh-Hans"/>
              </w:rPr>
              <w:t>Model (</w:t>
            </w:r>
            <w:r>
              <w:rPr>
                <w:rFonts w:hint="default" w:eastAsia="宋体" w:cs="宋体" w:asciiTheme="minorAscii" w:hAnsiTheme="minorAscii"/>
                <w:i w:val="0"/>
                <w:iCs w:val="0"/>
                <w:color w:val="auto"/>
                <w:kern w:val="0"/>
                <w:sz w:val="20"/>
                <w:szCs w:val="20"/>
                <w:highlight w:val="none"/>
                <w:u w:val="none"/>
                <w:lang w:val="en-US" w:eastAsia="zh-CN" w:bidi="ar"/>
              </w:rPr>
              <w:t>5)</w:t>
            </w:r>
          </w:p>
        </w:tc>
        <w:tc>
          <w:tcPr>
            <w:tcW w:w="1071" w:type="dxa"/>
            <w:tcBorders>
              <w:top w:val="single" w:color="000000" w:sz="8" w:space="0"/>
              <w:left w:val="nil"/>
              <w:bottom w:val="single" w:color="000000" w:sz="8" w:space="0"/>
              <w:right w:val="nil"/>
            </w:tcBorders>
            <w:shd w:val="clear" w:color="auto" w:fill="auto"/>
            <w:noWrap/>
            <w:vAlign w:val="center"/>
          </w:tcPr>
          <w:p w14:paraId="740D0EEB">
            <w:pPr>
              <w:keepNext w:val="0"/>
              <w:keepLines w:val="0"/>
              <w:widowControl/>
              <w:suppressLineNumbers w:val="0"/>
              <w:jc w:val="left"/>
              <w:textAlignment w:val="center"/>
              <w:rPr>
                <w:rFonts w:hint="default" w:eastAsia="宋体" w:cs="Arial Regular" w:asciiTheme="minorAscii" w:hAnsiTheme="minorAscii"/>
                <w:color w:val="auto"/>
                <w:kern w:val="0"/>
                <w:sz w:val="15"/>
                <w:szCs w:val="15"/>
                <w:highlight w:val="none"/>
                <w:lang w:eastAsia="zh-Hans" w:bidi="ar"/>
              </w:rPr>
            </w:pPr>
            <w:r>
              <w:rPr>
                <w:rFonts w:hint="default" w:asciiTheme="minorAscii" w:hAnsiTheme="minorAscii"/>
                <w:color w:val="auto"/>
                <w:sz w:val="18"/>
                <w:szCs w:val="21"/>
                <w:highlight w:val="none"/>
                <w:lang w:val="en-US" w:eastAsia="zh-Hans"/>
              </w:rPr>
              <w:t xml:space="preserve">Model </w:t>
            </w:r>
            <w:r>
              <w:rPr>
                <w:rFonts w:hint="default" w:eastAsia="宋体" w:cs="宋体" w:asciiTheme="minorAscii" w:hAnsiTheme="minorAscii"/>
                <w:i w:val="0"/>
                <w:iCs w:val="0"/>
                <w:color w:val="auto"/>
                <w:kern w:val="0"/>
                <w:sz w:val="20"/>
                <w:szCs w:val="20"/>
                <w:highlight w:val="none"/>
                <w:u w:val="none"/>
                <w:lang w:val="en-US" w:eastAsia="zh-CN" w:bidi="ar"/>
              </w:rPr>
              <w:t>(6)</w:t>
            </w:r>
          </w:p>
        </w:tc>
      </w:tr>
      <w:tr w14:paraId="637EFAC4">
        <w:trPr>
          <w:trHeight w:val="0" w:hRule="atLeast"/>
        </w:trPr>
        <w:tc>
          <w:tcPr>
            <w:tcW w:w="1757" w:type="dxa"/>
            <w:vMerge w:val="restart"/>
            <w:tcBorders>
              <w:top w:val="nil"/>
              <w:left w:val="nil"/>
              <w:bottom w:val="nil"/>
              <w:right w:val="nil"/>
            </w:tcBorders>
            <w:shd w:val="clear" w:color="auto" w:fill="auto"/>
            <w:noWrap/>
            <w:vAlign w:val="center"/>
          </w:tcPr>
          <w:p w14:paraId="6AD639B2">
            <w:pPr>
              <w:widowControl/>
              <w:jc w:val="left"/>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RCA</w:t>
            </w:r>
          </w:p>
        </w:tc>
        <w:tc>
          <w:tcPr>
            <w:tcW w:w="1108" w:type="dxa"/>
            <w:tcBorders>
              <w:top w:val="nil"/>
              <w:left w:val="nil"/>
              <w:bottom w:val="nil"/>
              <w:right w:val="nil"/>
            </w:tcBorders>
            <w:shd w:val="clear" w:color="auto" w:fill="auto"/>
            <w:noWrap/>
            <w:vAlign w:val="bottom"/>
          </w:tcPr>
          <w:p w14:paraId="30B9C088">
            <w:pPr>
              <w:keepNext w:val="0"/>
              <w:keepLines w:val="0"/>
              <w:widowControl/>
              <w:suppressLineNumbers w:val="0"/>
              <w:jc w:val="center"/>
              <w:textAlignment w:val="bottom"/>
              <w:rPr>
                <w:rFonts w:hint="default" w:eastAsia="宋体" w:cs="Calibri" w:asciiTheme="minorAscii" w:hAnsiTheme="minorAscii"/>
                <w:i w:val="0"/>
                <w:iCs w:val="0"/>
                <w:color w:val="auto"/>
                <w:sz w:val="20"/>
                <w:szCs w:val="20"/>
                <w:highlight w:val="none"/>
                <w:u w:val="none"/>
              </w:rPr>
            </w:pPr>
            <w:r>
              <w:rPr>
                <w:rFonts w:hint="default" w:eastAsia="宋体" w:cs="Calibri" w:asciiTheme="minorAscii" w:hAnsiTheme="minorAscii"/>
                <w:i w:val="0"/>
                <w:iCs w:val="0"/>
                <w:color w:val="auto"/>
                <w:kern w:val="0"/>
                <w:sz w:val="20"/>
                <w:szCs w:val="20"/>
                <w:highlight w:val="none"/>
                <w:u w:val="none"/>
                <w:lang w:val="en-US" w:eastAsia="zh-CN" w:bidi="ar"/>
              </w:rPr>
              <w:t>7.437**</w:t>
            </w:r>
          </w:p>
        </w:tc>
        <w:tc>
          <w:tcPr>
            <w:tcW w:w="1175" w:type="dxa"/>
            <w:tcBorders>
              <w:top w:val="nil"/>
              <w:left w:val="nil"/>
              <w:bottom w:val="nil"/>
              <w:right w:val="nil"/>
            </w:tcBorders>
            <w:shd w:val="clear" w:color="auto" w:fill="auto"/>
            <w:noWrap/>
            <w:vAlign w:val="bottom"/>
          </w:tcPr>
          <w:p w14:paraId="4450062F">
            <w:pPr>
              <w:keepNext w:val="0"/>
              <w:keepLines w:val="0"/>
              <w:widowControl/>
              <w:suppressLineNumbers w:val="0"/>
              <w:jc w:val="center"/>
              <w:textAlignment w:val="bottom"/>
              <w:rPr>
                <w:rFonts w:hint="default" w:eastAsia="宋体" w:cs="Calibri" w:asciiTheme="minorAscii" w:hAnsiTheme="minorAscii"/>
                <w:i w:val="0"/>
                <w:iCs w:val="0"/>
                <w:color w:val="auto"/>
                <w:sz w:val="20"/>
                <w:szCs w:val="20"/>
                <w:highlight w:val="none"/>
                <w:u w:val="none"/>
              </w:rPr>
            </w:pPr>
            <w:r>
              <w:rPr>
                <w:rFonts w:hint="default" w:eastAsia="宋体" w:cs="Calibri" w:asciiTheme="minorAscii" w:hAnsiTheme="minorAscii"/>
                <w:i w:val="0"/>
                <w:iCs w:val="0"/>
                <w:color w:val="auto"/>
                <w:kern w:val="0"/>
                <w:sz w:val="20"/>
                <w:szCs w:val="20"/>
                <w:highlight w:val="none"/>
                <w:u w:val="none"/>
                <w:lang w:val="en-US" w:eastAsia="zh-CN" w:bidi="ar"/>
              </w:rPr>
              <w:t>12.001</w:t>
            </w:r>
          </w:p>
        </w:tc>
        <w:tc>
          <w:tcPr>
            <w:tcW w:w="1054" w:type="dxa"/>
            <w:tcBorders>
              <w:top w:val="nil"/>
              <w:left w:val="nil"/>
              <w:bottom w:val="nil"/>
              <w:right w:val="nil"/>
            </w:tcBorders>
            <w:shd w:val="clear" w:color="auto" w:fill="auto"/>
            <w:noWrap/>
            <w:vAlign w:val="bottom"/>
          </w:tcPr>
          <w:p w14:paraId="4EDA38E9">
            <w:pPr>
              <w:keepNext w:val="0"/>
              <w:keepLines w:val="0"/>
              <w:widowControl/>
              <w:suppressLineNumbers w:val="0"/>
              <w:jc w:val="center"/>
              <w:textAlignment w:val="bottom"/>
              <w:rPr>
                <w:rFonts w:hint="default" w:eastAsia="宋体" w:cs="Calibri" w:asciiTheme="minorAscii" w:hAnsiTheme="minorAscii"/>
                <w:i w:val="0"/>
                <w:iCs w:val="0"/>
                <w:color w:val="auto"/>
                <w:sz w:val="20"/>
                <w:szCs w:val="20"/>
                <w:highlight w:val="none"/>
                <w:u w:val="none"/>
              </w:rPr>
            </w:pPr>
            <w:r>
              <w:rPr>
                <w:rFonts w:hint="default" w:eastAsia="宋体" w:cs="Calibri" w:asciiTheme="minorAscii" w:hAnsiTheme="minorAscii"/>
                <w:i w:val="0"/>
                <w:iCs w:val="0"/>
                <w:color w:val="auto"/>
                <w:kern w:val="0"/>
                <w:sz w:val="20"/>
                <w:szCs w:val="20"/>
                <w:highlight w:val="none"/>
                <w:u w:val="none"/>
                <w:lang w:val="en-US" w:eastAsia="zh-CN" w:bidi="ar"/>
              </w:rPr>
              <w:t>3.247</w:t>
            </w:r>
          </w:p>
        </w:tc>
        <w:tc>
          <w:tcPr>
            <w:tcW w:w="1163" w:type="dxa"/>
            <w:tcBorders>
              <w:top w:val="nil"/>
              <w:left w:val="nil"/>
              <w:bottom w:val="nil"/>
              <w:right w:val="nil"/>
            </w:tcBorders>
            <w:shd w:val="clear" w:color="auto" w:fill="auto"/>
            <w:noWrap/>
            <w:vAlign w:val="bottom"/>
          </w:tcPr>
          <w:p w14:paraId="24C46E7A">
            <w:pPr>
              <w:keepNext w:val="0"/>
              <w:keepLines w:val="0"/>
              <w:widowControl/>
              <w:suppressLineNumbers w:val="0"/>
              <w:jc w:val="center"/>
              <w:textAlignment w:val="bottom"/>
              <w:rPr>
                <w:rFonts w:hint="default" w:eastAsia="宋体" w:cs="Calibri" w:asciiTheme="minorAscii" w:hAnsiTheme="minorAscii"/>
                <w:i w:val="0"/>
                <w:iCs w:val="0"/>
                <w:color w:val="auto"/>
                <w:sz w:val="20"/>
                <w:szCs w:val="20"/>
                <w:highlight w:val="none"/>
                <w:u w:val="none"/>
              </w:rPr>
            </w:pPr>
            <w:r>
              <w:rPr>
                <w:rFonts w:hint="default" w:eastAsia="宋体" w:cs="Calibri" w:asciiTheme="minorAscii" w:hAnsiTheme="minorAscii"/>
                <w:i w:val="0"/>
                <w:iCs w:val="0"/>
                <w:color w:val="auto"/>
                <w:kern w:val="0"/>
                <w:sz w:val="20"/>
                <w:szCs w:val="20"/>
                <w:highlight w:val="none"/>
                <w:u w:val="none"/>
                <w:lang w:val="en-US" w:eastAsia="zh-CN" w:bidi="ar"/>
              </w:rPr>
              <w:t>10.403***</w:t>
            </w:r>
          </w:p>
        </w:tc>
        <w:tc>
          <w:tcPr>
            <w:tcW w:w="1081" w:type="dxa"/>
            <w:tcBorders>
              <w:top w:val="nil"/>
              <w:left w:val="nil"/>
              <w:bottom w:val="nil"/>
              <w:right w:val="nil"/>
            </w:tcBorders>
            <w:shd w:val="clear" w:color="auto" w:fill="auto"/>
            <w:noWrap/>
            <w:vAlign w:val="bottom"/>
          </w:tcPr>
          <w:p w14:paraId="648E87AF">
            <w:pPr>
              <w:keepNext w:val="0"/>
              <w:keepLines w:val="0"/>
              <w:widowControl/>
              <w:suppressLineNumbers w:val="0"/>
              <w:jc w:val="center"/>
              <w:textAlignment w:val="bottom"/>
              <w:rPr>
                <w:rFonts w:hint="default" w:eastAsia="宋体" w:cs="Calibri" w:asciiTheme="minorAscii" w:hAnsiTheme="minorAscii"/>
                <w:i w:val="0"/>
                <w:iCs w:val="0"/>
                <w:color w:val="auto"/>
                <w:sz w:val="20"/>
                <w:szCs w:val="20"/>
                <w:highlight w:val="none"/>
                <w:u w:val="none"/>
              </w:rPr>
            </w:pPr>
            <w:r>
              <w:rPr>
                <w:rFonts w:hint="default" w:eastAsia="宋体" w:cs="Calibri" w:asciiTheme="minorAscii" w:hAnsiTheme="minorAscii"/>
                <w:i w:val="0"/>
                <w:iCs w:val="0"/>
                <w:color w:val="auto"/>
                <w:kern w:val="0"/>
                <w:sz w:val="20"/>
                <w:szCs w:val="20"/>
                <w:highlight w:val="none"/>
                <w:u w:val="none"/>
                <w:lang w:val="en-US" w:eastAsia="zh-CN" w:bidi="ar"/>
              </w:rPr>
              <w:t>4.279*</w:t>
            </w:r>
          </w:p>
        </w:tc>
        <w:tc>
          <w:tcPr>
            <w:tcW w:w="1071" w:type="dxa"/>
            <w:tcBorders>
              <w:top w:val="nil"/>
              <w:left w:val="nil"/>
              <w:bottom w:val="nil"/>
              <w:right w:val="nil"/>
            </w:tcBorders>
            <w:shd w:val="clear" w:color="auto" w:fill="auto"/>
            <w:noWrap/>
            <w:vAlign w:val="bottom"/>
          </w:tcPr>
          <w:p w14:paraId="4B2D9D30">
            <w:pPr>
              <w:keepNext w:val="0"/>
              <w:keepLines w:val="0"/>
              <w:widowControl/>
              <w:suppressLineNumbers w:val="0"/>
              <w:jc w:val="center"/>
              <w:textAlignment w:val="bottom"/>
              <w:rPr>
                <w:rFonts w:hint="default" w:eastAsia="宋体" w:cs="Calibri" w:asciiTheme="minorAscii" w:hAnsiTheme="minorAscii"/>
                <w:i w:val="0"/>
                <w:iCs w:val="0"/>
                <w:color w:val="auto"/>
                <w:sz w:val="20"/>
                <w:szCs w:val="20"/>
                <w:highlight w:val="none"/>
                <w:u w:val="none"/>
              </w:rPr>
            </w:pPr>
            <w:r>
              <w:rPr>
                <w:rFonts w:hint="default" w:eastAsia="宋体" w:cs="Calibri" w:asciiTheme="minorAscii" w:hAnsiTheme="minorAscii"/>
                <w:i w:val="0"/>
                <w:iCs w:val="0"/>
                <w:color w:val="auto"/>
                <w:kern w:val="0"/>
                <w:sz w:val="20"/>
                <w:szCs w:val="20"/>
                <w:highlight w:val="none"/>
                <w:u w:val="none"/>
                <w:lang w:val="en-US" w:eastAsia="zh-CN" w:bidi="ar"/>
              </w:rPr>
              <w:t>12.780**</w:t>
            </w:r>
          </w:p>
        </w:tc>
      </w:tr>
      <w:tr w14:paraId="6A3EA24C">
        <w:trPr>
          <w:trHeight w:val="0" w:hRule="atLeast"/>
        </w:trPr>
        <w:tc>
          <w:tcPr>
            <w:tcW w:w="1757" w:type="dxa"/>
            <w:vMerge w:val="continue"/>
            <w:tcBorders>
              <w:top w:val="nil"/>
              <w:left w:val="nil"/>
              <w:bottom w:val="nil"/>
              <w:right w:val="nil"/>
            </w:tcBorders>
            <w:shd w:val="clear" w:color="auto" w:fill="auto"/>
            <w:noWrap/>
            <w:vAlign w:val="center"/>
          </w:tcPr>
          <w:p w14:paraId="24C52440">
            <w:pPr>
              <w:widowControl/>
              <w:jc w:val="left"/>
              <w:textAlignment w:val="center"/>
              <w:rPr>
                <w:rFonts w:hint="default" w:eastAsia="宋体" w:cs="Arial Regular" w:asciiTheme="minorAscii" w:hAnsiTheme="minorAscii"/>
                <w:color w:val="auto"/>
                <w:kern w:val="0"/>
                <w:sz w:val="22"/>
                <w:szCs w:val="22"/>
                <w:highlight w:val="none"/>
                <w:lang w:bidi="ar"/>
              </w:rPr>
            </w:pPr>
          </w:p>
        </w:tc>
        <w:tc>
          <w:tcPr>
            <w:tcW w:w="1108" w:type="dxa"/>
            <w:tcBorders>
              <w:top w:val="nil"/>
              <w:left w:val="nil"/>
              <w:bottom w:val="nil"/>
              <w:right w:val="nil"/>
            </w:tcBorders>
            <w:shd w:val="clear" w:color="auto" w:fill="auto"/>
            <w:noWrap/>
            <w:vAlign w:val="bottom"/>
          </w:tcPr>
          <w:p w14:paraId="0DEB1792">
            <w:pPr>
              <w:keepNext w:val="0"/>
              <w:keepLines w:val="0"/>
              <w:widowControl/>
              <w:suppressLineNumbers w:val="0"/>
              <w:jc w:val="center"/>
              <w:textAlignment w:val="bottom"/>
              <w:rPr>
                <w:rFonts w:hint="default" w:eastAsia="宋体" w:cs="Calibri" w:asciiTheme="minorAscii" w:hAnsiTheme="minorAscii"/>
                <w:i w:val="0"/>
                <w:iCs w:val="0"/>
                <w:color w:val="auto"/>
                <w:sz w:val="20"/>
                <w:szCs w:val="20"/>
                <w:highlight w:val="none"/>
                <w:u w:val="none"/>
              </w:rPr>
            </w:pPr>
            <w:r>
              <w:rPr>
                <w:rFonts w:hint="default" w:eastAsia="宋体" w:cs="Calibri" w:asciiTheme="minorAscii" w:hAnsiTheme="minorAscii"/>
                <w:i w:val="0"/>
                <w:iCs w:val="0"/>
                <w:color w:val="auto"/>
                <w:kern w:val="0"/>
                <w:sz w:val="20"/>
                <w:szCs w:val="20"/>
                <w:highlight w:val="none"/>
                <w:u w:val="none"/>
                <w:lang w:val="en-US" w:eastAsia="zh-CN" w:bidi="ar"/>
              </w:rPr>
              <w:t>(0.029)</w:t>
            </w:r>
          </w:p>
        </w:tc>
        <w:tc>
          <w:tcPr>
            <w:tcW w:w="1175" w:type="dxa"/>
            <w:tcBorders>
              <w:top w:val="nil"/>
              <w:left w:val="nil"/>
              <w:bottom w:val="nil"/>
              <w:right w:val="nil"/>
            </w:tcBorders>
            <w:shd w:val="clear" w:color="auto" w:fill="auto"/>
            <w:noWrap/>
            <w:vAlign w:val="bottom"/>
          </w:tcPr>
          <w:p w14:paraId="7BA8D736">
            <w:pPr>
              <w:keepNext w:val="0"/>
              <w:keepLines w:val="0"/>
              <w:widowControl/>
              <w:suppressLineNumbers w:val="0"/>
              <w:jc w:val="center"/>
              <w:textAlignment w:val="bottom"/>
              <w:rPr>
                <w:rFonts w:hint="default" w:eastAsia="宋体" w:cs="Calibri" w:asciiTheme="minorAscii" w:hAnsiTheme="minorAscii"/>
                <w:i w:val="0"/>
                <w:iCs w:val="0"/>
                <w:color w:val="auto"/>
                <w:sz w:val="20"/>
                <w:szCs w:val="20"/>
                <w:highlight w:val="none"/>
                <w:u w:val="none"/>
              </w:rPr>
            </w:pPr>
            <w:r>
              <w:rPr>
                <w:rFonts w:hint="default" w:eastAsia="宋体" w:cs="Calibri" w:asciiTheme="minorAscii" w:hAnsiTheme="minorAscii"/>
                <w:i w:val="0"/>
                <w:iCs w:val="0"/>
                <w:color w:val="auto"/>
                <w:kern w:val="0"/>
                <w:sz w:val="20"/>
                <w:szCs w:val="20"/>
                <w:highlight w:val="none"/>
                <w:u w:val="none"/>
                <w:lang w:val="en-US" w:eastAsia="zh-CN" w:bidi="ar"/>
              </w:rPr>
              <w:t>(0.135)</w:t>
            </w:r>
          </w:p>
        </w:tc>
        <w:tc>
          <w:tcPr>
            <w:tcW w:w="1054" w:type="dxa"/>
            <w:tcBorders>
              <w:top w:val="nil"/>
              <w:left w:val="nil"/>
              <w:bottom w:val="nil"/>
              <w:right w:val="nil"/>
            </w:tcBorders>
            <w:shd w:val="clear" w:color="auto" w:fill="auto"/>
            <w:noWrap/>
            <w:vAlign w:val="bottom"/>
          </w:tcPr>
          <w:p w14:paraId="73CB1FFC">
            <w:pPr>
              <w:keepNext w:val="0"/>
              <w:keepLines w:val="0"/>
              <w:widowControl/>
              <w:suppressLineNumbers w:val="0"/>
              <w:jc w:val="center"/>
              <w:textAlignment w:val="bottom"/>
              <w:rPr>
                <w:rFonts w:hint="default" w:eastAsia="宋体" w:cs="Calibri" w:asciiTheme="minorAscii" w:hAnsiTheme="minorAscii"/>
                <w:i w:val="0"/>
                <w:iCs w:val="0"/>
                <w:color w:val="auto"/>
                <w:sz w:val="20"/>
                <w:szCs w:val="20"/>
                <w:highlight w:val="none"/>
                <w:u w:val="none"/>
              </w:rPr>
            </w:pPr>
            <w:r>
              <w:rPr>
                <w:rFonts w:hint="default" w:eastAsia="宋体" w:cs="Calibri" w:asciiTheme="minorAscii" w:hAnsiTheme="minorAscii"/>
                <w:i w:val="0"/>
                <w:iCs w:val="0"/>
                <w:color w:val="auto"/>
                <w:kern w:val="0"/>
                <w:sz w:val="20"/>
                <w:szCs w:val="20"/>
                <w:highlight w:val="none"/>
                <w:u w:val="none"/>
                <w:lang w:val="en-US" w:eastAsia="zh-CN" w:bidi="ar"/>
              </w:rPr>
              <w:t>(0.511)</w:t>
            </w:r>
          </w:p>
        </w:tc>
        <w:tc>
          <w:tcPr>
            <w:tcW w:w="1163" w:type="dxa"/>
            <w:tcBorders>
              <w:top w:val="nil"/>
              <w:left w:val="nil"/>
              <w:bottom w:val="nil"/>
              <w:right w:val="nil"/>
            </w:tcBorders>
            <w:shd w:val="clear" w:color="auto" w:fill="auto"/>
            <w:noWrap/>
            <w:vAlign w:val="bottom"/>
          </w:tcPr>
          <w:p w14:paraId="577258DB">
            <w:pPr>
              <w:keepNext w:val="0"/>
              <w:keepLines w:val="0"/>
              <w:widowControl/>
              <w:suppressLineNumbers w:val="0"/>
              <w:jc w:val="center"/>
              <w:textAlignment w:val="bottom"/>
              <w:rPr>
                <w:rFonts w:hint="default" w:eastAsia="宋体" w:cs="Calibri" w:asciiTheme="minorAscii" w:hAnsiTheme="minorAscii"/>
                <w:i w:val="0"/>
                <w:iCs w:val="0"/>
                <w:color w:val="auto"/>
                <w:sz w:val="20"/>
                <w:szCs w:val="20"/>
                <w:highlight w:val="none"/>
                <w:u w:val="none"/>
              </w:rPr>
            </w:pPr>
            <w:r>
              <w:rPr>
                <w:rFonts w:hint="default" w:eastAsia="宋体" w:cs="Calibri" w:asciiTheme="minorAscii" w:hAnsiTheme="minorAscii"/>
                <w:i w:val="0"/>
                <w:iCs w:val="0"/>
                <w:color w:val="auto"/>
                <w:kern w:val="0"/>
                <w:sz w:val="20"/>
                <w:szCs w:val="20"/>
                <w:highlight w:val="none"/>
                <w:u w:val="none"/>
                <w:lang w:val="en-US" w:eastAsia="zh-CN" w:bidi="ar"/>
              </w:rPr>
              <w:t>(0.001)</w:t>
            </w:r>
          </w:p>
        </w:tc>
        <w:tc>
          <w:tcPr>
            <w:tcW w:w="1081" w:type="dxa"/>
            <w:tcBorders>
              <w:top w:val="nil"/>
              <w:left w:val="nil"/>
              <w:bottom w:val="nil"/>
              <w:right w:val="nil"/>
            </w:tcBorders>
            <w:shd w:val="clear" w:color="auto" w:fill="auto"/>
            <w:noWrap/>
            <w:vAlign w:val="bottom"/>
          </w:tcPr>
          <w:p w14:paraId="0DE35D5D">
            <w:pPr>
              <w:keepNext w:val="0"/>
              <w:keepLines w:val="0"/>
              <w:widowControl/>
              <w:suppressLineNumbers w:val="0"/>
              <w:jc w:val="center"/>
              <w:textAlignment w:val="bottom"/>
              <w:rPr>
                <w:rFonts w:hint="default" w:eastAsia="宋体" w:cs="Calibri" w:asciiTheme="minorAscii" w:hAnsiTheme="minorAscii"/>
                <w:i w:val="0"/>
                <w:iCs w:val="0"/>
                <w:color w:val="auto"/>
                <w:sz w:val="20"/>
                <w:szCs w:val="20"/>
                <w:highlight w:val="none"/>
                <w:u w:val="none"/>
              </w:rPr>
            </w:pPr>
            <w:r>
              <w:rPr>
                <w:rFonts w:hint="default" w:eastAsia="宋体" w:cs="Calibri" w:asciiTheme="minorAscii" w:hAnsiTheme="minorAscii"/>
                <w:i w:val="0"/>
                <w:iCs w:val="0"/>
                <w:color w:val="auto"/>
                <w:kern w:val="0"/>
                <w:sz w:val="20"/>
                <w:szCs w:val="20"/>
                <w:highlight w:val="none"/>
                <w:u w:val="none"/>
                <w:lang w:val="en-US" w:eastAsia="zh-CN" w:bidi="ar"/>
              </w:rPr>
              <w:t>(0.089)</w:t>
            </w:r>
          </w:p>
        </w:tc>
        <w:tc>
          <w:tcPr>
            <w:tcW w:w="1071" w:type="dxa"/>
            <w:tcBorders>
              <w:top w:val="nil"/>
              <w:left w:val="nil"/>
              <w:bottom w:val="nil"/>
              <w:right w:val="nil"/>
            </w:tcBorders>
            <w:shd w:val="clear" w:color="auto" w:fill="auto"/>
            <w:noWrap/>
            <w:vAlign w:val="bottom"/>
          </w:tcPr>
          <w:p w14:paraId="6DFDBA52">
            <w:pPr>
              <w:keepNext w:val="0"/>
              <w:keepLines w:val="0"/>
              <w:widowControl/>
              <w:suppressLineNumbers w:val="0"/>
              <w:jc w:val="center"/>
              <w:textAlignment w:val="bottom"/>
              <w:rPr>
                <w:rFonts w:hint="default" w:eastAsia="宋体" w:cs="Calibri" w:asciiTheme="minorAscii" w:hAnsiTheme="minorAscii"/>
                <w:i w:val="0"/>
                <w:iCs w:val="0"/>
                <w:color w:val="auto"/>
                <w:sz w:val="20"/>
                <w:szCs w:val="20"/>
                <w:highlight w:val="none"/>
                <w:u w:val="none"/>
              </w:rPr>
            </w:pPr>
            <w:r>
              <w:rPr>
                <w:rFonts w:hint="default" w:eastAsia="宋体" w:cs="Calibri" w:asciiTheme="minorAscii" w:hAnsiTheme="minorAscii"/>
                <w:i w:val="0"/>
                <w:iCs w:val="0"/>
                <w:color w:val="auto"/>
                <w:kern w:val="0"/>
                <w:sz w:val="20"/>
                <w:szCs w:val="20"/>
                <w:highlight w:val="none"/>
                <w:u w:val="none"/>
                <w:lang w:val="en-US" w:eastAsia="zh-CN" w:bidi="ar"/>
              </w:rPr>
              <w:t>(0.033)</w:t>
            </w:r>
          </w:p>
        </w:tc>
      </w:tr>
      <w:tr w14:paraId="7018040A">
        <w:trPr>
          <w:trHeight w:val="0" w:hRule="atLeast"/>
        </w:trPr>
        <w:tc>
          <w:tcPr>
            <w:tcW w:w="1757" w:type="dxa"/>
            <w:tcBorders>
              <w:top w:val="nil"/>
              <w:left w:val="nil"/>
              <w:bottom w:val="nil"/>
              <w:right w:val="nil"/>
            </w:tcBorders>
            <w:shd w:val="clear" w:color="auto" w:fill="auto"/>
            <w:noWrap/>
            <w:vAlign w:val="center"/>
          </w:tcPr>
          <w:p w14:paraId="7CE33895">
            <w:pPr>
              <w:widowControl/>
              <w:jc w:val="left"/>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controls</w:t>
            </w:r>
          </w:p>
        </w:tc>
        <w:tc>
          <w:tcPr>
            <w:tcW w:w="1108" w:type="dxa"/>
            <w:tcBorders>
              <w:top w:val="nil"/>
              <w:left w:val="nil"/>
              <w:bottom w:val="nil"/>
              <w:right w:val="nil"/>
            </w:tcBorders>
            <w:shd w:val="clear" w:color="auto" w:fill="auto"/>
            <w:noWrap/>
            <w:vAlign w:val="center"/>
          </w:tcPr>
          <w:p w14:paraId="32210BE5">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val="en-US" w:eastAsia="zh-CN" w:bidi="ar"/>
              </w:rPr>
              <w:t>yes</w:t>
            </w:r>
          </w:p>
        </w:tc>
        <w:tc>
          <w:tcPr>
            <w:tcW w:w="1175" w:type="dxa"/>
            <w:tcBorders>
              <w:top w:val="nil"/>
              <w:left w:val="nil"/>
              <w:bottom w:val="nil"/>
              <w:right w:val="nil"/>
            </w:tcBorders>
            <w:shd w:val="clear" w:color="auto" w:fill="auto"/>
            <w:noWrap/>
            <w:vAlign w:val="center"/>
          </w:tcPr>
          <w:p w14:paraId="5AB70E8F">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val="en-US" w:eastAsia="zh-CN" w:bidi="ar"/>
              </w:rPr>
              <w:t>yes</w:t>
            </w:r>
          </w:p>
        </w:tc>
        <w:tc>
          <w:tcPr>
            <w:tcW w:w="1054" w:type="dxa"/>
            <w:tcBorders>
              <w:top w:val="nil"/>
              <w:left w:val="nil"/>
              <w:bottom w:val="nil"/>
              <w:right w:val="nil"/>
            </w:tcBorders>
            <w:shd w:val="clear" w:color="auto" w:fill="auto"/>
            <w:noWrap/>
            <w:vAlign w:val="center"/>
          </w:tcPr>
          <w:p w14:paraId="56E7B2A5">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val="en-US" w:eastAsia="zh-CN" w:bidi="ar"/>
              </w:rPr>
              <w:t>yes</w:t>
            </w:r>
          </w:p>
        </w:tc>
        <w:tc>
          <w:tcPr>
            <w:tcW w:w="1163" w:type="dxa"/>
            <w:tcBorders>
              <w:top w:val="nil"/>
              <w:left w:val="nil"/>
              <w:bottom w:val="nil"/>
              <w:right w:val="nil"/>
            </w:tcBorders>
            <w:shd w:val="clear" w:color="auto" w:fill="auto"/>
            <w:noWrap/>
            <w:vAlign w:val="center"/>
          </w:tcPr>
          <w:p w14:paraId="505839C8">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val="en-US" w:eastAsia="zh-CN" w:bidi="ar"/>
              </w:rPr>
              <w:t>yes</w:t>
            </w:r>
          </w:p>
        </w:tc>
        <w:tc>
          <w:tcPr>
            <w:tcW w:w="1081" w:type="dxa"/>
            <w:tcBorders>
              <w:top w:val="nil"/>
              <w:left w:val="nil"/>
              <w:bottom w:val="nil"/>
              <w:right w:val="nil"/>
            </w:tcBorders>
            <w:shd w:val="clear" w:color="auto" w:fill="auto"/>
            <w:noWrap/>
            <w:vAlign w:val="center"/>
          </w:tcPr>
          <w:p w14:paraId="41D64570">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val="en-US" w:eastAsia="zh-CN" w:bidi="ar"/>
              </w:rPr>
              <w:t>yes</w:t>
            </w:r>
          </w:p>
        </w:tc>
        <w:tc>
          <w:tcPr>
            <w:tcW w:w="1071" w:type="dxa"/>
            <w:tcBorders>
              <w:top w:val="nil"/>
              <w:left w:val="nil"/>
              <w:bottom w:val="nil"/>
              <w:right w:val="nil"/>
            </w:tcBorders>
            <w:shd w:val="clear" w:color="auto" w:fill="auto"/>
            <w:noWrap/>
            <w:vAlign w:val="center"/>
          </w:tcPr>
          <w:p w14:paraId="4170D457">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val="en-US" w:eastAsia="zh-CN" w:bidi="ar"/>
              </w:rPr>
              <w:t>yes</w:t>
            </w:r>
          </w:p>
        </w:tc>
      </w:tr>
      <w:tr w14:paraId="75A67790">
        <w:trPr>
          <w:trHeight w:val="0" w:hRule="atLeast"/>
        </w:trPr>
        <w:tc>
          <w:tcPr>
            <w:tcW w:w="1757" w:type="dxa"/>
            <w:tcBorders>
              <w:top w:val="nil"/>
              <w:left w:val="nil"/>
              <w:bottom w:val="nil"/>
              <w:right w:val="nil"/>
            </w:tcBorders>
            <w:shd w:val="clear" w:color="auto" w:fill="auto"/>
            <w:noWrap/>
            <w:vAlign w:val="center"/>
          </w:tcPr>
          <w:p w14:paraId="4D7248FD">
            <w:pPr>
              <w:widowControl/>
              <w:jc w:val="left"/>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individual</w:t>
            </w:r>
            <w:r>
              <w:rPr>
                <w:rFonts w:hint="default" w:eastAsia="宋体" w:cs="Arial Regular" w:asciiTheme="minorAscii" w:hAnsiTheme="minorAscii"/>
                <w:color w:val="auto"/>
                <w:kern w:val="0"/>
                <w:sz w:val="22"/>
                <w:szCs w:val="22"/>
                <w:highlight w:val="none"/>
                <w:lang w:val="en-US" w:bidi="ar"/>
              </w:rPr>
              <w:t xml:space="preserve"> </w:t>
            </w:r>
            <w:r>
              <w:rPr>
                <w:rFonts w:hint="default" w:eastAsia="宋体" w:cs="Arial Regular" w:asciiTheme="minorAscii" w:hAnsiTheme="minorAscii"/>
                <w:color w:val="auto"/>
                <w:kern w:val="0"/>
                <w:sz w:val="22"/>
                <w:szCs w:val="22"/>
                <w:highlight w:val="none"/>
                <w:lang w:bidi="ar"/>
              </w:rPr>
              <w:t>effect</w:t>
            </w:r>
          </w:p>
        </w:tc>
        <w:tc>
          <w:tcPr>
            <w:tcW w:w="1108" w:type="dxa"/>
            <w:tcBorders>
              <w:top w:val="nil"/>
              <w:left w:val="nil"/>
              <w:bottom w:val="nil"/>
              <w:right w:val="nil"/>
            </w:tcBorders>
            <w:shd w:val="clear" w:color="auto" w:fill="auto"/>
            <w:noWrap/>
            <w:vAlign w:val="center"/>
          </w:tcPr>
          <w:p w14:paraId="1871F5D2">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val="en-US" w:eastAsia="zh-CN" w:bidi="ar"/>
              </w:rPr>
              <w:t>yes</w:t>
            </w:r>
          </w:p>
        </w:tc>
        <w:tc>
          <w:tcPr>
            <w:tcW w:w="1175" w:type="dxa"/>
            <w:tcBorders>
              <w:top w:val="nil"/>
              <w:left w:val="nil"/>
              <w:bottom w:val="nil"/>
              <w:right w:val="nil"/>
            </w:tcBorders>
            <w:shd w:val="clear" w:color="auto" w:fill="auto"/>
            <w:noWrap/>
            <w:vAlign w:val="center"/>
          </w:tcPr>
          <w:p w14:paraId="0358716D">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val="en-US" w:eastAsia="zh-CN" w:bidi="ar"/>
              </w:rPr>
              <w:t>yes</w:t>
            </w:r>
          </w:p>
        </w:tc>
        <w:tc>
          <w:tcPr>
            <w:tcW w:w="1054" w:type="dxa"/>
            <w:tcBorders>
              <w:top w:val="nil"/>
              <w:left w:val="nil"/>
              <w:bottom w:val="nil"/>
              <w:right w:val="nil"/>
            </w:tcBorders>
            <w:shd w:val="clear" w:color="auto" w:fill="auto"/>
            <w:noWrap/>
            <w:vAlign w:val="center"/>
          </w:tcPr>
          <w:p w14:paraId="3F15B4AA">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val="en-US" w:eastAsia="zh-CN" w:bidi="ar"/>
              </w:rPr>
              <w:t>yes</w:t>
            </w:r>
          </w:p>
        </w:tc>
        <w:tc>
          <w:tcPr>
            <w:tcW w:w="1163" w:type="dxa"/>
            <w:tcBorders>
              <w:top w:val="nil"/>
              <w:left w:val="nil"/>
              <w:bottom w:val="nil"/>
              <w:right w:val="nil"/>
            </w:tcBorders>
            <w:shd w:val="clear" w:color="auto" w:fill="auto"/>
            <w:noWrap/>
            <w:vAlign w:val="center"/>
          </w:tcPr>
          <w:p w14:paraId="5ECAEBE6">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val="en-US" w:eastAsia="zh-CN" w:bidi="ar"/>
              </w:rPr>
              <w:t>yes</w:t>
            </w:r>
          </w:p>
        </w:tc>
        <w:tc>
          <w:tcPr>
            <w:tcW w:w="1081" w:type="dxa"/>
            <w:tcBorders>
              <w:top w:val="nil"/>
              <w:left w:val="nil"/>
              <w:bottom w:val="nil"/>
              <w:right w:val="nil"/>
            </w:tcBorders>
            <w:shd w:val="clear" w:color="auto" w:fill="auto"/>
            <w:noWrap/>
            <w:vAlign w:val="center"/>
          </w:tcPr>
          <w:p w14:paraId="4872956B">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val="en-US" w:eastAsia="zh-CN" w:bidi="ar"/>
              </w:rPr>
              <w:t>yes</w:t>
            </w:r>
          </w:p>
        </w:tc>
        <w:tc>
          <w:tcPr>
            <w:tcW w:w="1071" w:type="dxa"/>
            <w:tcBorders>
              <w:top w:val="nil"/>
              <w:left w:val="nil"/>
              <w:bottom w:val="nil"/>
              <w:right w:val="nil"/>
            </w:tcBorders>
            <w:shd w:val="clear" w:color="auto" w:fill="auto"/>
            <w:noWrap/>
            <w:vAlign w:val="center"/>
          </w:tcPr>
          <w:p w14:paraId="54AA8F2F">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val="en-US" w:eastAsia="zh-CN" w:bidi="ar"/>
              </w:rPr>
              <w:t>yes</w:t>
            </w:r>
          </w:p>
        </w:tc>
      </w:tr>
      <w:tr w14:paraId="57183B60">
        <w:trPr>
          <w:trHeight w:val="0" w:hRule="atLeast"/>
        </w:trPr>
        <w:tc>
          <w:tcPr>
            <w:tcW w:w="1757" w:type="dxa"/>
            <w:tcBorders>
              <w:top w:val="nil"/>
              <w:left w:val="nil"/>
              <w:bottom w:val="single" w:color="000000" w:sz="8" w:space="0"/>
              <w:right w:val="nil"/>
            </w:tcBorders>
            <w:shd w:val="clear" w:color="auto" w:fill="auto"/>
            <w:noWrap/>
            <w:vAlign w:val="center"/>
          </w:tcPr>
          <w:p w14:paraId="61AC490F">
            <w:pPr>
              <w:widowControl/>
              <w:jc w:val="left"/>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time</w:t>
            </w:r>
            <w:r>
              <w:rPr>
                <w:rFonts w:hint="default" w:eastAsia="宋体" w:cs="Arial Regular" w:asciiTheme="minorAscii" w:hAnsiTheme="minorAscii"/>
                <w:color w:val="auto"/>
                <w:kern w:val="0"/>
                <w:sz w:val="22"/>
                <w:szCs w:val="22"/>
                <w:highlight w:val="none"/>
                <w:lang w:val="en-US" w:eastAsia="zh-CN" w:bidi="ar"/>
              </w:rPr>
              <w:t xml:space="preserve"> </w:t>
            </w:r>
            <w:r>
              <w:rPr>
                <w:rFonts w:hint="default" w:eastAsia="宋体" w:cs="Arial Regular" w:asciiTheme="minorAscii" w:hAnsiTheme="minorAscii"/>
                <w:color w:val="auto"/>
                <w:kern w:val="0"/>
                <w:sz w:val="22"/>
                <w:szCs w:val="22"/>
                <w:highlight w:val="none"/>
                <w:lang w:bidi="ar"/>
              </w:rPr>
              <w:t>effect</w:t>
            </w:r>
          </w:p>
        </w:tc>
        <w:tc>
          <w:tcPr>
            <w:tcW w:w="1108" w:type="dxa"/>
            <w:tcBorders>
              <w:top w:val="nil"/>
              <w:left w:val="nil"/>
              <w:bottom w:val="single" w:color="000000" w:sz="8" w:space="0"/>
              <w:right w:val="nil"/>
            </w:tcBorders>
            <w:shd w:val="clear" w:color="auto" w:fill="auto"/>
            <w:noWrap/>
            <w:vAlign w:val="center"/>
          </w:tcPr>
          <w:p w14:paraId="3490F957">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val="en-US" w:eastAsia="zh-CN" w:bidi="ar"/>
              </w:rPr>
              <w:t>yes</w:t>
            </w:r>
          </w:p>
        </w:tc>
        <w:tc>
          <w:tcPr>
            <w:tcW w:w="1175" w:type="dxa"/>
            <w:tcBorders>
              <w:top w:val="nil"/>
              <w:left w:val="nil"/>
              <w:bottom w:val="single" w:color="000000" w:sz="8" w:space="0"/>
              <w:right w:val="nil"/>
            </w:tcBorders>
            <w:shd w:val="clear" w:color="auto" w:fill="auto"/>
            <w:noWrap/>
            <w:vAlign w:val="center"/>
          </w:tcPr>
          <w:p w14:paraId="79E50868">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val="en-US" w:eastAsia="zh-CN" w:bidi="ar"/>
              </w:rPr>
              <w:t>yes</w:t>
            </w:r>
          </w:p>
        </w:tc>
        <w:tc>
          <w:tcPr>
            <w:tcW w:w="1054" w:type="dxa"/>
            <w:tcBorders>
              <w:top w:val="nil"/>
              <w:left w:val="nil"/>
              <w:bottom w:val="single" w:color="000000" w:sz="8" w:space="0"/>
              <w:right w:val="nil"/>
            </w:tcBorders>
            <w:shd w:val="clear" w:color="auto" w:fill="auto"/>
            <w:noWrap/>
            <w:vAlign w:val="center"/>
          </w:tcPr>
          <w:p w14:paraId="7FD84BEE">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val="en-US" w:eastAsia="zh-CN" w:bidi="ar"/>
              </w:rPr>
              <w:t>yes</w:t>
            </w:r>
          </w:p>
        </w:tc>
        <w:tc>
          <w:tcPr>
            <w:tcW w:w="1163" w:type="dxa"/>
            <w:tcBorders>
              <w:top w:val="nil"/>
              <w:left w:val="nil"/>
              <w:bottom w:val="single" w:color="000000" w:sz="8" w:space="0"/>
              <w:right w:val="nil"/>
            </w:tcBorders>
            <w:shd w:val="clear" w:color="auto" w:fill="auto"/>
            <w:noWrap/>
            <w:vAlign w:val="center"/>
          </w:tcPr>
          <w:p w14:paraId="66FB7204">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val="en-US" w:eastAsia="zh-CN" w:bidi="ar"/>
              </w:rPr>
              <w:t>yes</w:t>
            </w:r>
          </w:p>
        </w:tc>
        <w:tc>
          <w:tcPr>
            <w:tcW w:w="1081" w:type="dxa"/>
            <w:tcBorders>
              <w:top w:val="nil"/>
              <w:left w:val="nil"/>
              <w:bottom w:val="single" w:color="000000" w:sz="8" w:space="0"/>
              <w:right w:val="nil"/>
            </w:tcBorders>
            <w:shd w:val="clear" w:color="auto" w:fill="auto"/>
            <w:noWrap/>
            <w:vAlign w:val="center"/>
          </w:tcPr>
          <w:p w14:paraId="1AAD5273">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val="en-US" w:eastAsia="zh-CN" w:bidi="ar"/>
              </w:rPr>
              <w:t>yes</w:t>
            </w:r>
          </w:p>
        </w:tc>
        <w:tc>
          <w:tcPr>
            <w:tcW w:w="1071" w:type="dxa"/>
            <w:tcBorders>
              <w:top w:val="nil"/>
              <w:left w:val="nil"/>
              <w:bottom w:val="single" w:color="000000" w:sz="8" w:space="0"/>
              <w:right w:val="nil"/>
            </w:tcBorders>
            <w:shd w:val="clear" w:color="auto" w:fill="auto"/>
            <w:noWrap/>
            <w:vAlign w:val="center"/>
          </w:tcPr>
          <w:p w14:paraId="219B75DD">
            <w:pPr>
              <w:widowControl/>
              <w:jc w:val="center"/>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val="en-US" w:eastAsia="zh-CN" w:bidi="ar"/>
              </w:rPr>
              <w:t>yes</w:t>
            </w:r>
          </w:p>
        </w:tc>
      </w:tr>
      <w:tr w14:paraId="49945625">
        <w:trPr>
          <w:trHeight w:val="0" w:hRule="atLeast"/>
        </w:trPr>
        <w:tc>
          <w:tcPr>
            <w:tcW w:w="1757" w:type="dxa"/>
            <w:tcBorders>
              <w:top w:val="nil"/>
              <w:left w:val="nil"/>
              <w:bottom w:val="single" w:color="000000" w:sz="4" w:space="0"/>
              <w:right w:val="nil"/>
            </w:tcBorders>
            <w:shd w:val="clear" w:color="auto" w:fill="auto"/>
            <w:noWrap/>
            <w:vAlign w:val="center"/>
          </w:tcPr>
          <w:p w14:paraId="34FD697F">
            <w:pPr>
              <w:widowControl/>
              <w:jc w:val="left"/>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Adj-R2</w:t>
            </w:r>
          </w:p>
        </w:tc>
        <w:tc>
          <w:tcPr>
            <w:tcW w:w="1108" w:type="dxa"/>
            <w:tcBorders>
              <w:top w:val="nil"/>
              <w:left w:val="nil"/>
              <w:bottom w:val="single" w:color="000000" w:sz="4" w:space="0"/>
              <w:right w:val="nil"/>
            </w:tcBorders>
            <w:shd w:val="clear" w:color="auto" w:fill="auto"/>
            <w:noWrap/>
            <w:vAlign w:val="bottom"/>
          </w:tcPr>
          <w:p w14:paraId="07775BD7">
            <w:pPr>
              <w:keepNext w:val="0"/>
              <w:keepLines w:val="0"/>
              <w:widowControl/>
              <w:suppressLineNumbers w:val="0"/>
              <w:jc w:val="center"/>
              <w:textAlignment w:val="bottom"/>
              <w:rPr>
                <w:rFonts w:hint="default" w:eastAsia="宋体" w:cs="Calibri" w:asciiTheme="minorAscii" w:hAnsiTheme="minorAscii"/>
                <w:i w:val="0"/>
                <w:iCs w:val="0"/>
                <w:color w:val="auto"/>
                <w:sz w:val="20"/>
                <w:szCs w:val="20"/>
                <w:highlight w:val="none"/>
                <w:u w:val="none"/>
              </w:rPr>
            </w:pPr>
            <w:r>
              <w:rPr>
                <w:rFonts w:hint="default" w:eastAsia="宋体" w:cs="Calibri" w:asciiTheme="minorAscii" w:hAnsiTheme="minorAscii"/>
                <w:i w:val="0"/>
                <w:iCs w:val="0"/>
                <w:color w:val="auto"/>
                <w:kern w:val="0"/>
                <w:sz w:val="20"/>
                <w:szCs w:val="20"/>
                <w:highlight w:val="none"/>
                <w:u w:val="none"/>
                <w:lang w:val="en-US" w:eastAsia="zh-CN" w:bidi="ar"/>
              </w:rPr>
              <w:t>0.030</w:t>
            </w:r>
          </w:p>
        </w:tc>
        <w:tc>
          <w:tcPr>
            <w:tcW w:w="1175" w:type="dxa"/>
            <w:tcBorders>
              <w:top w:val="nil"/>
              <w:left w:val="nil"/>
              <w:bottom w:val="single" w:color="000000" w:sz="4" w:space="0"/>
              <w:right w:val="nil"/>
            </w:tcBorders>
            <w:shd w:val="clear" w:color="auto" w:fill="auto"/>
            <w:noWrap/>
            <w:vAlign w:val="bottom"/>
          </w:tcPr>
          <w:p w14:paraId="5846796B">
            <w:pPr>
              <w:keepNext w:val="0"/>
              <w:keepLines w:val="0"/>
              <w:widowControl/>
              <w:suppressLineNumbers w:val="0"/>
              <w:jc w:val="center"/>
              <w:textAlignment w:val="bottom"/>
              <w:rPr>
                <w:rFonts w:hint="default" w:eastAsia="宋体" w:cs="Calibri" w:asciiTheme="minorAscii" w:hAnsiTheme="minorAscii"/>
                <w:i w:val="0"/>
                <w:iCs w:val="0"/>
                <w:color w:val="auto"/>
                <w:sz w:val="20"/>
                <w:szCs w:val="20"/>
                <w:highlight w:val="none"/>
                <w:u w:val="none"/>
              </w:rPr>
            </w:pPr>
            <w:r>
              <w:rPr>
                <w:rFonts w:hint="default" w:eastAsia="宋体" w:cs="Calibri" w:asciiTheme="minorAscii" w:hAnsiTheme="minorAscii"/>
                <w:i w:val="0"/>
                <w:iCs w:val="0"/>
                <w:color w:val="auto"/>
                <w:kern w:val="0"/>
                <w:sz w:val="20"/>
                <w:szCs w:val="20"/>
                <w:highlight w:val="none"/>
                <w:u w:val="none"/>
                <w:lang w:val="en-US" w:eastAsia="zh-CN" w:bidi="ar"/>
              </w:rPr>
              <w:t>0.019</w:t>
            </w:r>
          </w:p>
        </w:tc>
        <w:tc>
          <w:tcPr>
            <w:tcW w:w="1054" w:type="dxa"/>
            <w:tcBorders>
              <w:top w:val="nil"/>
              <w:left w:val="nil"/>
              <w:bottom w:val="single" w:color="000000" w:sz="4" w:space="0"/>
              <w:right w:val="nil"/>
            </w:tcBorders>
            <w:shd w:val="clear" w:color="auto" w:fill="auto"/>
            <w:noWrap/>
            <w:vAlign w:val="bottom"/>
          </w:tcPr>
          <w:p w14:paraId="6F4E5DBE">
            <w:pPr>
              <w:keepNext w:val="0"/>
              <w:keepLines w:val="0"/>
              <w:widowControl/>
              <w:suppressLineNumbers w:val="0"/>
              <w:jc w:val="center"/>
              <w:textAlignment w:val="bottom"/>
              <w:rPr>
                <w:rFonts w:hint="default" w:eastAsia="宋体" w:cs="Calibri" w:asciiTheme="minorAscii" w:hAnsiTheme="minorAscii"/>
                <w:i w:val="0"/>
                <w:iCs w:val="0"/>
                <w:color w:val="auto"/>
                <w:sz w:val="20"/>
                <w:szCs w:val="20"/>
                <w:highlight w:val="none"/>
                <w:u w:val="none"/>
              </w:rPr>
            </w:pPr>
            <w:r>
              <w:rPr>
                <w:rFonts w:hint="default" w:eastAsia="宋体" w:cs="Calibri" w:asciiTheme="minorAscii" w:hAnsiTheme="minorAscii"/>
                <w:i w:val="0"/>
                <w:iCs w:val="0"/>
                <w:color w:val="auto"/>
                <w:kern w:val="0"/>
                <w:sz w:val="20"/>
                <w:szCs w:val="20"/>
                <w:highlight w:val="none"/>
                <w:u w:val="none"/>
                <w:lang w:val="en-US" w:eastAsia="zh-CN" w:bidi="ar"/>
              </w:rPr>
              <w:t>0.030</w:t>
            </w:r>
          </w:p>
        </w:tc>
        <w:tc>
          <w:tcPr>
            <w:tcW w:w="1163" w:type="dxa"/>
            <w:tcBorders>
              <w:top w:val="nil"/>
              <w:left w:val="nil"/>
              <w:bottom w:val="single" w:color="000000" w:sz="4" w:space="0"/>
              <w:right w:val="nil"/>
            </w:tcBorders>
            <w:shd w:val="clear" w:color="auto" w:fill="auto"/>
            <w:noWrap/>
            <w:vAlign w:val="bottom"/>
          </w:tcPr>
          <w:p w14:paraId="65584C9D">
            <w:pPr>
              <w:keepNext w:val="0"/>
              <w:keepLines w:val="0"/>
              <w:widowControl/>
              <w:suppressLineNumbers w:val="0"/>
              <w:jc w:val="center"/>
              <w:textAlignment w:val="bottom"/>
              <w:rPr>
                <w:rFonts w:hint="default" w:eastAsia="宋体" w:cs="Calibri" w:asciiTheme="minorAscii" w:hAnsiTheme="minorAscii"/>
                <w:i w:val="0"/>
                <w:iCs w:val="0"/>
                <w:color w:val="auto"/>
                <w:sz w:val="20"/>
                <w:szCs w:val="20"/>
                <w:highlight w:val="none"/>
                <w:u w:val="none"/>
              </w:rPr>
            </w:pPr>
            <w:r>
              <w:rPr>
                <w:rFonts w:hint="default" w:eastAsia="宋体" w:cs="Calibri" w:asciiTheme="minorAscii" w:hAnsiTheme="minorAscii"/>
                <w:i w:val="0"/>
                <w:iCs w:val="0"/>
                <w:color w:val="auto"/>
                <w:kern w:val="0"/>
                <w:sz w:val="20"/>
                <w:szCs w:val="20"/>
                <w:highlight w:val="none"/>
                <w:u w:val="none"/>
                <w:lang w:val="en-US" w:eastAsia="zh-CN" w:bidi="ar"/>
              </w:rPr>
              <w:t>0.030</w:t>
            </w:r>
          </w:p>
        </w:tc>
        <w:tc>
          <w:tcPr>
            <w:tcW w:w="1081" w:type="dxa"/>
            <w:tcBorders>
              <w:top w:val="nil"/>
              <w:left w:val="nil"/>
              <w:bottom w:val="single" w:color="000000" w:sz="4" w:space="0"/>
              <w:right w:val="nil"/>
            </w:tcBorders>
            <w:shd w:val="clear" w:color="auto" w:fill="auto"/>
            <w:noWrap/>
            <w:vAlign w:val="bottom"/>
          </w:tcPr>
          <w:p w14:paraId="3113CE2F">
            <w:pPr>
              <w:keepNext w:val="0"/>
              <w:keepLines w:val="0"/>
              <w:widowControl/>
              <w:suppressLineNumbers w:val="0"/>
              <w:jc w:val="center"/>
              <w:textAlignment w:val="bottom"/>
              <w:rPr>
                <w:rFonts w:hint="default" w:eastAsia="宋体" w:cs="Calibri" w:asciiTheme="minorAscii" w:hAnsiTheme="minorAscii"/>
                <w:i w:val="0"/>
                <w:iCs w:val="0"/>
                <w:color w:val="auto"/>
                <w:sz w:val="20"/>
                <w:szCs w:val="20"/>
                <w:highlight w:val="none"/>
                <w:u w:val="none"/>
              </w:rPr>
            </w:pPr>
            <w:r>
              <w:rPr>
                <w:rFonts w:hint="default" w:eastAsia="宋体" w:cs="Calibri" w:asciiTheme="minorAscii" w:hAnsiTheme="minorAscii"/>
                <w:i w:val="0"/>
                <w:iCs w:val="0"/>
                <w:color w:val="auto"/>
                <w:kern w:val="0"/>
                <w:sz w:val="20"/>
                <w:szCs w:val="20"/>
                <w:highlight w:val="none"/>
                <w:u w:val="none"/>
                <w:lang w:val="en-US" w:eastAsia="zh-CN" w:bidi="ar"/>
              </w:rPr>
              <w:t>0.027</w:t>
            </w:r>
          </w:p>
        </w:tc>
        <w:tc>
          <w:tcPr>
            <w:tcW w:w="1071" w:type="dxa"/>
            <w:tcBorders>
              <w:top w:val="nil"/>
              <w:left w:val="nil"/>
              <w:bottom w:val="single" w:color="000000" w:sz="4" w:space="0"/>
              <w:right w:val="nil"/>
            </w:tcBorders>
            <w:shd w:val="clear" w:color="auto" w:fill="auto"/>
            <w:noWrap/>
            <w:vAlign w:val="bottom"/>
          </w:tcPr>
          <w:p w14:paraId="4A9F2171">
            <w:pPr>
              <w:keepNext w:val="0"/>
              <w:keepLines w:val="0"/>
              <w:widowControl/>
              <w:suppressLineNumbers w:val="0"/>
              <w:jc w:val="center"/>
              <w:textAlignment w:val="bottom"/>
              <w:rPr>
                <w:rFonts w:hint="default" w:eastAsia="宋体" w:cs="Calibri" w:asciiTheme="minorAscii" w:hAnsiTheme="minorAscii"/>
                <w:i w:val="0"/>
                <w:iCs w:val="0"/>
                <w:color w:val="auto"/>
                <w:sz w:val="20"/>
                <w:szCs w:val="20"/>
                <w:highlight w:val="none"/>
                <w:u w:val="none"/>
              </w:rPr>
            </w:pPr>
            <w:r>
              <w:rPr>
                <w:rFonts w:hint="default" w:eastAsia="宋体" w:cs="Calibri" w:asciiTheme="minorAscii" w:hAnsiTheme="minorAscii"/>
                <w:i w:val="0"/>
                <w:iCs w:val="0"/>
                <w:color w:val="auto"/>
                <w:kern w:val="0"/>
                <w:sz w:val="20"/>
                <w:szCs w:val="20"/>
                <w:highlight w:val="none"/>
                <w:u w:val="none"/>
                <w:lang w:val="en-US" w:eastAsia="zh-CN" w:bidi="ar"/>
              </w:rPr>
              <w:t>0.020</w:t>
            </w:r>
          </w:p>
        </w:tc>
      </w:tr>
      <w:tr w14:paraId="684D7F48">
        <w:trPr>
          <w:trHeight w:val="0" w:hRule="atLeast"/>
        </w:trPr>
        <w:tc>
          <w:tcPr>
            <w:tcW w:w="1757" w:type="dxa"/>
            <w:tcBorders>
              <w:top w:val="nil"/>
              <w:left w:val="nil"/>
              <w:bottom w:val="single" w:color="000000" w:sz="12" w:space="0"/>
              <w:right w:val="nil"/>
            </w:tcBorders>
            <w:shd w:val="clear" w:color="auto" w:fill="auto"/>
            <w:noWrap/>
            <w:vAlign w:val="center"/>
          </w:tcPr>
          <w:p w14:paraId="14C4E09A">
            <w:pPr>
              <w:widowControl/>
              <w:jc w:val="left"/>
              <w:textAlignment w:val="center"/>
              <w:rPr>
                <w:rFonts w:hint="default" w:eastAsia="宋体" w:cs="Arial Regular" w:asciiTheme="minorAscii" w:hAnsiTheme="minorAscii"/>
                <w:color w:val="auto"/>
                <w:kern w:val="0"/>
                <w:sz w:val="22"/>
                <w:szCs w:val="22"/>
                <w:highlight w:val="none"/>
                <w:lang w:bidi="ar"/>
              </w:rPr>
            </w:pPr>
            <w:r>
              <w:rPr>
                <w:rFonts w:hint="default" w:eastAsia="宋体" w:cs="Arial Regular" w:asciiTheme="minorAscii" w:hAnsiTheme="minorAscii"/>
                <w:color w:val="auto"/>
                <w:kern w:val="0"/>
                <w:sz w:val="22"/>
                <w:szCs w:val="22"/>
                <w:highlight w:val="none"/>
                <w:lang w:bidi="ar"/>
              </w:rPr>
              <w:t>N</w:t>
            </w:r>
          </w:p>
        </w:tc>
        <w:tc>
          <w:tcPr>
            <w:tcW w:w="1108" w:type="dxa"/>
            <w:tcBorders>
              <w:top w:val="nil"/>
              <w:left w:val="nil"/>
              <w:bottom w:val="single" w:color="000000" w:sz="12" w:space="0"/>
              <w:right w:val="nil"/>
            </w:tcBorders>
            <w:shd w:val="clear" w:color="auto" w:fill="auto"/>
            <w:noWrap/>
            <w:vAlign w:val="bottom"/>
          </w:tcPr>
          <w:p w14:paraId="3981C3D7">
            <w:pPr>
              <w:keepNext w:val="0"/>
              <w:keepLines w:val="0"/>
              <w:widowControl/>
              <w:suppressLineNumbers w:val="0"/>
              <w:jc w:val="center"/>
              <w:textAlignment w:val="bottom"/>
              <w:rPr>
                <w:rFonts w:hint="default" w:eastAsia="宋体" w:cs="Calibri" w:asciiTheme="minorAscii" w:hAnsiTheme="minorAscii"/>
                <w:i w:val="0"/>
                <w:iCs w:val="0"/>
                <w:color w:val="auto"/>
                <w:sz w:val="20"/>
                <w:szCs w:val="20"/>
                <w:highlight w:val="none"/>
                <w:u w:val="none"/>
              </w:rPr>
            </w:pPr>
            <w:r>
              <w:rPr>
                <w:rFonts w:hint="default" w:eastAsia="宋体" w:cs="Calibri" w:asciiTheme="minorAscii" w:hAnsiTheme="minorAscii"/>
                <w:i w:val="0"/>
                <w:iCs w:val="0"/>
                <w:color w:val="auto"/>
                <w:kern w:val="0"/>
                <w:sz w:val="20"/>
                <w:szCs w:val="20"/>
                <w:highlight w:val="none"/>
                <w:u w:val="none"/>
                <w:lang w:val="en-US" w:eastAsia="zh-CN" w:bidi="ar"/>
              </w:rPr>
              <w:t>5,835</w:t>
            </w:r>
          </w:p>
        </w:tc>
        <w:tc>
          <w:tcPr>
            <w:tcW w:w="1175" w:type="dxa"/>
            <w:tcBorders>
              <w:top w:val="nil"/>
              <w:left w:val="nil"/>
              <w:bottom w:val="single" w:color="000000" w:sz="12" w:space="0"/>
              <w:right w:val="nil"/>
            </w:tcBorders>
            <w:shd w:val="clear" w:color="auto" w:fill="auto"/>
            <w:noWrap/>
            <w:vAlign w:val="bottom"/>
          </w:tcPr>
          <w:p w14:paraId="721B0860">
            <w:pPr>
              <w:keepNext w:val="0"/>
              <w:keepLines w:val="0"/>
              <w:widowControl/>
              <w:suppressLineNumbers w:val="0"/>
              <w:jc w:val="center"/>
              <w:textAlignment w:val="bottom"/>
              <w:rPr>
                <w:rFonts w:hint="default" w:eastAsia="宋体" w:cs="Calibri" w:asciiTheme="minorAscii" w:hAnsiTheme="minorAscii"/>
                <w:i w:val="0"/>
                <w:iCs w:val="0"/>
                <w:color w:val="auto"/>
                <w:sz w:val="20"/>
                <w:szCs w:val="20"/>
                <w:highlight w:val="none"/>
                <w:u w:val="none"/>
              </w:rPr>
            </w:pPr>
            <w:r>
              <w:rPr>
                <w:rFonts w:hint="default" w:eastAsia="宋体" w:cs="Calibri" w:asciiTheme="minorAscii" w:hAnsiTheme="minorAscii"/>
                <w:i w:val="0"/>
                <w:iCs w:val="0"/>
                <w:color w:val="auto"/>
                <w:kern w:val="0"/>
                <w:sz w:val="20"/>
                <w:szCs w:val="20"/>
                <w:highlight w:val="none"/>
                <w:u w:val="none"/>
                <w:lang w:val="en-US" w:eastAsia="zh-CN" w:bidi="ar"/>
              </w:rPr>
              <w:t>5,835</w:t>
            </w:r>
          </w:p>
        </w:tc>
        <w:tc>
          <w:tcPr>
            <w:tcW w:w="1054" w:type="dxa"/>
            <w:tcBorders>
              <w:top w:val="nil"/>
              <w:left w:val="nil"/>
              <w:bottom w:val="single" w:color="000000" w:sz="12" w:space="0"/>
              <w:right w:val="nil"/>
            </w:tcBorders>
            <w:shd w:val="clear" w:color="auto" w:fill="auto"/>
            <w:noWrap/>
            <w:vAlign w:val="bottom"/>
          </w:tcPr>
          <w:p w14:paraId="26DC1C37">
            <w:pPr>
              <w:keepNext w:val="0"/>
              <w:keepLines w:val="0"/>
              <w:widowControl/>
              <w:suppressLineNumbers w:val="0"/>
              <w:jc w:val="center"/>
              <w:textAlignment w:val="bottom"/>
              <w:rPr>
                <w:rFonts w:hint="default" w:eastAsia="宋体" w:cs="Calibri" w:asciiTheme="minorAscii" w:hAnsiTheme="minorAscii"/>
                <w:i w:val="0"/>
                <w:iCs w:val="0"/>
                <w:color w:val="auto"/>
                <w:sz w:val="20"/>
                <w:szCs w:val="20"/>
                <w:highlight w:val="none"/>
                <w:u w:val="none"/>
              </w:rPr>
            </w:pPr>
            <w:r>
              <w:rPr>
                <w:rFonts w:hint="default" w:eastAsia="宋体" w:cs="Calibri" w:asciiTheme="minorAscii" w:hAnsiTheme="minorAscii"/>
                <w:i w:val="0"/>
                <w:iCs w:val="0"/>
                <w:color w:val="auto"/>
                <w:kern w:val="0"/>
                <w:sz w:val="20"/>
                <w:szCs w:val="20"/>
                <w:highlight w:val="none"/>
                <w:u w:val="none"/>
                <w:lang w:val="en-US" w:eastAsia="zh-CN" w:bidi="ar"/>
              </w:rPr>
              <w:t>5,887</w:t>
            </w:r>
          </w:p>
        </w:tc>
        <w:tc>
          <w:tcPr>
            <w:tcW w:w="1163" w:type="dxa"/>
            <w:tcBorders>
              <w:top w:val="nil"/>
              <w:left w:val="nil"/>
              <w:bottom w:val="single" w:color="000000" w:sz="12" w:space="0"/>
              <w:right w:val="nil"/>
            </w:tcBorders>
            <w:shd w:val="clear" w:color="auto" w:fill="auto"/>
            <w:noWrap/>
            <w:vAlign w:val="bottom"/>
          </w:tcPr>
          <w:p w14:paraId="5E51FABA">
            <w:pPr>
              <w:keepNext w:val="0"/>
              <w:keepLines w:val="0"/>
              <w:widowControl/>
              <w:suppressLineNumbers w:val="0"/>
              <w:jc w:val="center"/>
              <w:textAlignment w:val="bottom"/>
              <w:rPr>
                <w:rFonts w:hint="default" w:eastAsia="宋体" w:cs="Calibri" w:asciiTheme="minorAscii" w:hAnsiTheme="minorAscii"/>
                <w:i w:val="0"/>
                <w:iCs w:val="0"/>
                <w:color w:val="auto"/>
                <w:sz w:val="20"/>
                <w:szCs w:val="20"/>
                <w:highlight w:val="none"/>
                <w:u w:val="none"/>
              </w:rPr>
            </w:pPr>
            <w:r>
              <w:rPr>
                <w:rFonts w:hint="default" w:eastAsia="宋体" w:cs="Calibri" w:asciiTheme="minorAscii" w:hAnsiTheme="minorAscii"/>
                <w:i w:val="0"/>
                <w:iCs w:val="0"/>
                <w:color w:val="auto"/>
                <w:kern w:val="0"/>
                <w:sz w:val="20"/>
                <w:szCs w:val="20"/>
                <w:highlight w:val="none"/>
                <w:u w:val="none"/>
                <w:lang w:val="en-US" w:eastAsia="zh-CN" w:bidi="ar"/>
              </w:rPr>
              <w:t>5,887</w:t>
            </w:r>
          </w:p>
        </w:tc>
        <w:tc>
          <w:tcPr>
            <w:tcW w:w="1081" w:type="dxa"/>
            <w:tcBorders>
              <w:top w:val="nil"/>
              <w:left w:val="nil"/>
              <w:bottom w:val="single" w:color="000000" w:sz="12" w:space="0"/>
              <w:right w:val="nil"/>
            </w:tcBorders>
            <w:shd w:val="clear" w:color="auto" w:fill="auto"/>
            <w:noWrap/>
            <w:vAlign w:val="bottom"/>
          </w:tcPr>
          <w:p w14:paraId="64C16AB5">
            <w:pPr>
              <w:keepNext w:val="0"/>
              <w:keepLines w:val="0"/>
              <w:widowControl/>
              <w:suppressLineNumbers w:val="0"/>
              <w:jc w:val="center"/>
              <w:textAlignment w:val="bottom"/>
              <w:rPr>
                <w:rFonts w:hint="default" w:eastAsia="宋体" w:cs="Calibri" w:asciiTheme="minorAscii" w:hAnsiTheme="minorAscii"/>
                <w:i w:val="0"/>
                <w:iCs w:val="0"/>
                <w:color w:val="auto"/>
                <w:sz w:val="20"/>
                <w:szCs w:val="20"/>
                <w:highlight w:val="none"/>
                <w:u w:val="none"/>
              </w:rPr>
            </w:pPr>
            <w:r>
              <w:rPr>
                <w:rFonts w:hint="default" w:eastAsia="宋体" w:cs="Calibri" w:asciiTheme="minorAscii" w:hAnsiTheme="minorAscii"/>
                <w:i w:val="0"/>
                <w:iCs w:val="0"/>
                <w:color w:val="auto"/>
                <w:kern w:val="0"/>
                <w:sz w:val="20"/>
                <w:szCs w:val="20"/>
                <w:highlight w:val="none"/>
                <w:u w:val="none"/>
                <w:lang w:val="en-US" w:eastAsia="zh-CN" w:bidi="ar"/>
              </w:rPr>
              <w:t>5,887</w:t>
            </w:r>
          </w:p>
        </w:tc>
        <w:tc>
          <w:tcPr>
            <w:tcW w:w="1071" w:type="dxa"/>
            <w:tcBorders>
              <w:top w:val="nil"/>
              <w:left w:val="nil"/>
              <w:bottom w:val="single" w:color="000000" w:sz="12" w:space="0"/>
              <w:right w:val="nil"/>
            </w:tcBorders>
            <w:shd w:val="clear" w:color="auto" w:fill="auto"/>
            <w:noWrap/>
            <w:vAlign w:val="bottom"/>
          </w:tcPr>
          <w:p w14:paraId="763B6815">
            <w:pPr>
              <w:keepNext w:val="0"/>
              <w:keepLines w:val="0"/>
              <w:widowControl/>
              <w:suppressLineNumbers w:val="0"/>
              <w:jc w:val="center"/>
              <w:textAlignment w:val="bottom"/>
              <w:rPr>
                <w:rFonts w:hint="default" w:eastAsia="宋体" w:cs="Calibri" w:asciiTheme="minorAscii" w:hAnsiTheme="minorAscii"/>
                <w:i w:val="0"/>
                <w:iCs w:val="0"/>
                <w:color w:val="auto"/>
                <w:sz w:val="20"/>
                <w:szCs w:val="20"/>
                <w:highlight w:val="none"/>
                <w:u w:val="none"/>
              </w:rPr>
            </w:pPr>
            <w:r>
              <w:rPr>
                <w:rFonts w:hint="default" w:eastAsia="宋体" w:cs="Calibri" w:asciiTheme="minorAscii" w:hAnsiTheme="minorAscii"/>
                <w:i w:val="0"/>
                <w:iCs w:val="0"/>
                <w:color w:val="auto"/>
                <w:kern w:val="0"/>
                <w:sz w:val="20"/>
                <w:szCs w:val="20"/>
                <w:highlight w:val="none"/>
                <w:u w:val="none"/>
                <w:lang w:val="en-US" w:eastAsia="zh-CN" w:bidi="ar"/>
              </w:rPr>
              <w:t>5,887</w:t>
            </w:r>
          </w:p>
        </w:tc>
      </w:tr>
    </w:tbl>
    <w:p w14:paraId="7036C986">
      <w:pPr>
        <w:keepNext w:val="0"/>
        <w:keepLines w:val="0"/>
        <w:pageBreakBefore w:val="0"/>
        <w:widowControl w:val="0"/>
        <w:kinsoku/>
        <w:wordWrap/>
        <w:overflowPunct/>
        <w:topLinePunct w:val="0"/>
        <w:autoSpaceDE/>
        <w:autoSpaceDN/>
        <w:bidi w:val="0"/>
        <w:adjustRightInd/>
        <w:snapToGrid/>
        <w:spacing w:before="60" w:after="60" w:line="220" w:lineRule="exact"/>
        <w:textAlignment w:val="auto"/>
        <w:rPr>
          <w:rFonts w:hint="default" w:asciiTheme="minorAscii" w:hAnsiTheme="minorAscii"/>
          <w:color w:val="auto"/>
          <w:sz w:val="18"/>
          <w:szCs w:val="21"/>
          <w:highlight w:val="none"/>
          <w:lang w:val="en-US" w:eastAsia="zh-Hans"/>
        </w:rPr>
      </w:pPr>
      <w:r>
        <w:rPr>
          <w:rFonts w:hint="default" w:asciiTheme="minorAscii" w:hAnsiTheme="minorAscii"/>
          <w:color w:val="auto"/>
          <w:sz w:val="18"/>
          <w:szCs w:val="21"/>
          <w:highlight w:val="none"/>
          <w:lang w:val="en-US" w:eastAsia="zh-Hans"/>
        </w:rPr>
        <w:t>Note: Model (1) refers to labor-intensive enterprises; Model (2) refers to capital-intensive enterprises; Model (3) refers to enterprises with low industry competition; Model (4) refers to enterprises with high industry competition; Model (5) refers to enterprises with low financing constraints; Model (6) refers to enterprises with high financing constraints;</w:t>
      </w:r>
    </w:p>
    <w:p w14:paraId="2356B723">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 xml:space="preserve">Columns (1) and (2) of Table 8 show how the competitiveness of productive service trade, as measured by the RCA index, affects the innovation of different types of factor-intensive businesses in different ways. As can be seen from the above table, the competitiveness of productive service trade has a significant promoting effect on the independent innovation of labor-intensive enterprises, but has no significant promoting effect on the capital-intensive enterprises. Hypothesis H8 is verified. </w:t>
      </w:r>
    </w:p>
    <w:p w14:paraId="0D9424EB">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 xml:space="preserve">Columns (3) and (4) of Table 8 show the differences in the impact of the competitiveness of productive service trade measured by the RCA index on the independent innovation of enterprises with different levels of industry competition. As can be seen from the above table, the competitiveness of productive service trade has no significant effect on the independent innovation capabilities of enterprises with low industry competition levels, but has a significant promoting effect on the enterprises with high industry competition levels, verifying hypothesis H9. </w:t>
      </w:r>
    </w:p>
    <w:p w14:paraId="1779EC12">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 xml:space="preserve">Columns (5) and (6) of Table 8 report the differences in the impact of the competitiveness of productive service trade measured by the RCA index on the independent innovation of enterprises with different degrees of financing constraints. As can be seen from the table above, the competitiveness of producer service trade has a more significant effect on the independent innovation capability of enterprises with high financing constraints than on enterprises with low financing constraints, which verifies hypothesis H10. </w:t>
      </w:r>
    </w:p>
    <w:p w14:paraId="59433E96">
      <w:pPr>
        <w:keepNext w:val="0"/>
        <w:keepLines w:val="0"/>
        <w:pageBreakBefore w:val="0"/>
        <w:widowControl w:val="0"/>
        <w:kinsoku/>
        <w:wordWrap/>
        <w:overflowPunct/>
        <w:topLinePunct w:val="0"/>
        <w:autoSpaceDE/>
        <w:autoSpaceDN/>
        <w:bidi w:val="0"/>
        <w:adjustRightInd/>
        <w:snapToGrid/>
        <w:spacing w:before="625" w:beforeLines="200" w:after="313" w:afterLines="100"/>
        <w:jc w:val="left"/>
        <w:textAlignment w:val="auto"/>
        <w:rPr>
          <w:rFonts w:hint="default" w:asciiTheme="minorAscii" w:hAnsiTheme="minorAscii"/>
          <w:b/>
          <w:bCs/>
          <w:color w:val="auto"/>
          <w:sz w:val="22"/>
          <w:szCs w:val="28"/>
          <w:highlight w:val="none"/>
          <w:lang w:val="en-US" w:eastAsia="zh-CN"/>
        </w:rPr>
      </w:pPr>
      <w:r>
        <w:rPr>
          <w:rFonts w:hint="default" w:asciiTheme="minorAscii" w:hAnsiTheme="minorAscii"/>
          <w:b/>
          <w:bCs/>
          <w:color w:val="auto"/>
          <w:sz w:val="22"/>
          <w:szCs w:val="28"/>
          <w:highlight w:val="none"/>
          <w:lang w:val="en-US" w:eastAsia="zh-CN"/>
        </w:rPr>
        <w:t>9. DISCUSSION</w:t>
      </w:r>
    </w:p>
    <w:p w14:paraId="75DF76A3">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The empirical results show that the competitiveness of productive service trade has significantly promoted the innovation output of manufacturing enterprises as a whole, which is consistent with the research of Li Huijuan and Cai Weihong (2016), Yu Shenghua et al. (2022), Yang Xiaoyun and Zhao Xiaohong (2022), etc., indicating that it has enhanced the ability of enterprises to absorb external knowledge and technology by promoting the cross-border flow and allocation of high-end service factors.</w:t>
      </w:r>
    </w:p>
    <w:p w14:paraId="1155013D">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The moderating effect analysis found that: ① The proportion of industrial employment has a suppressive effect on the relationship. The excessive concentration of employment structure in labor-intensive industries is likely to hinder the penetration of service factors and restrict the release of innovation; ② The degree of transformation of the service industry has an enhancing effect. The accelerated growth rate of the added value of the service industry can provide more high-quality service resources, amplifying and catalyzing the positive effect of the competitiveness of productive service trade on innovation; ③ The level of inflation also has an enhancing effect. Moderate inflation guides resources to efficient areas through the dual effects of "price pressure" and "price guidance", and promotes enterprises to cope with rising costs through innovation. The above conclusions are consistent with Liu Zhenzhong and Wang Yan (2020), Zhang Feng (2016) and Stiglitz (1997).</w:t>
      </w:r>
    </w:p>
    <w:p w14:paraId="2A2783DC">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Heterogeneity analysis found that: ① Geographical location: The competitiveness of producer service trade has a stronger effect on promoting innovation of enterprises in the central, western and northeastern regions than in the eastern regions. This is related to the differences in industrial structure and innovation factor allocation in different regions. The secondary and tertiary industries in the east account for a large proportion, and the innovation foundation itself is relatively good, so the incremental effect is limited; the primary industry in other regions accounts for a high proportion, and the innovation resources are insufficient, so they rely more on producer services to drive the inflow of external knowledge and technology. ② Enterprise scale: The competitiveness of producer service trade has a more obvious promoting effect on large enterprises because they have sufficient resources such as funds, technology, and manpower. This is because large enterprises usually have more sufficient funds, technology, manpower and information resources, a sound management system, strong coordination and integration capabilities, and can better absorb the innovation factors brought by producer services. ③ Enterprise ownership: The competitiveness of producer service trade has a greater promoting effect on state-owned enterprises because they pay more attention to long-term layout and overall benefits, and can more actively undertake the innovation momentum brought by producer services; while non-state-owned enterprises pay more attention to short-term returns and are relatively cautious in investment. ④ Factor-intensive type: The competitiveness of productive service trade has a more significant promoting effect on labor-intensive enterprises, because their technology level and management are relatively backward and they rely heavily on external services; while capital-intensive enterprises rely more on internal inputs and have a low degree of dependence on external services. ⑤ Industry competition level: The competitiveness of productive service trade has a more significant promoting effect on enterprises with high competition levels, because their market pressure is high and enterprises are more actively introducing cutting-edge services to improve their innovation level; low-competition enterprises lack innovation motivation and have limited demand for external services. ⑥ Financing constraints: The competitiveness of productive service trade has a greater promoting effect on enterprises with high financing constraints, because enterprises with high financing constraints are mostly small and medium-sized or start-up enterprises, which have difficulty in obtaining funds and need to rely more on external services to make up for the lack of resources; while enterprises with low financing constraints are large, well-known brands or high-tech enterprises, with sufficient resources and low external dependence, so the benefits are relatively limited.</w:t>
      </w:r>
    </w:p>
    <w:p w14:paraId="2729EB88">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b/>
          <w:bCs/>
          <w:color w:val="auto"/>
          <w:sz w:val="22"/>
          <w:szCs w:val="28"/>
          <w:highlight w:val="none"/>
          <w:lang w:val="en-US" w:eastAsia="zh-CN"/>
        </w:rPr>
      </w:pPr>
      <w:r>
        <w:rPr>
          <w:rFonts w:hint="default" w:asciiTheme="minorAscii" w:hAnsiTheme="minorAscii"/>
          <w:b/>
          <w:bCs/>
          <w:color w:val="auto"/>
          <w:sz w:val="22"/>
          <w:szCs w:val="28"/>
          <w:highlight w:val="none"/>
          <w:lang w:val="en-US" w:eastAsia="zh-CN"/>
        </w:rPr>
        <w:t>10. CONCLUSION</w:t>
      </w:r>
    </w:p>
    <w:p w14:paraId="6759D64E">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Based on the micro-panel data of China's listed manufacturing enterprises from 2007 to 2020, this paper systematically analyzes the impact of the competitiveness of productive service trade on the independent innovation of enterprises, its mechanism of action and heterogeneity.</w:t>
      </w:r>
    </w:p>
    <w:p w14:paraId="2C225071">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The empirical results show that: ① Overall, the competitiveness of productive service trade significantly improves the level of independent innovation of manufacturing enterprises; ② In terms of mechanism, the proportion of industrial employment has a suppressive effect, while industrial structure transformation and moderate inflation have an enhancing effect; ③ In terms of heterogeneity, this effect is more significant in large, state-owned, labor-intensive enterprises with high industry competition and strong financing constraints in the central and western regions and the northeast.</w:t>
      </w:r>
    </w:p>
    <w:p w14:paraId="502FAF71">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Hans"/>
        </w:rPr>
      </w:pPr>
      <w:r>
        <w:rPr>
          <w:rFonts w:hint="default" w:asciiTheme="minorAscii" w:hAnsiTheme="minorAscii"/>
          <w:color w:val="auto"/>
          <w:highlight w:val="none"/>
          <w:lang w:val="en-US" w:eastAsia="zh-Hans"/>
        </w:rPr>
        <w:t>Overall, improving the competitiveness of productive service trade will help promote the development of manufacturing industry towards high added value and high innovation, but attention should be paid to the impact of employment structure, industrial transformation and macro environment on this effect.</w:t>
      </w:r>
    </w:p>
    <w:p w14:paraId="47B247F1">
      <w:pPr>
        <w:keepNext w:val="0"/>
        <w:keepLines w:val="0"/>
        <w:pageBreakBefore w:val="0"/>
        <w:widowControl w:val="0"/>
        <w:kinsoku/>
        <w:wordWrap/>
        <w:overflowPunct/>
        <w:topLinePunct w:val="0"/>
        <w:autoSpaceDE/>
        <w:autoSpaceDN/>
        <w:bidi w:val="0"/>
        <w:adjustRightInd/>
        <w:snapToGrid/>
        <w:spacing w:before="625" w:beforeLines="200" w:after="313" w:afterLines="100"/>
        <w:jc w:val="left"/>
        <w:textAlignment w:val="auto"/>
        <w:rPr>
          <w:rFonts w:hint="default" w:asciiTheme="minorAscii" w:hAnsiTheme="minorAscii"/>
          <w:b/>
          <w:bCs/>
          <w:color w:val="auto"/>
          <w:sz w:val="22"/>
          <w:szCs w:val="28"/>
          <w:highlight w:val="none"/>
          <w:lang w:val="en-US" w:eastAsia="zh-CN"/>
        </w:rPr>
      </w:pPr>
      <w:r>
        <w:rPr>
          <w:rFonts w:hint="default" w:asciiTheme="minorAscii" w:hAnsiTheme="minorAscii"/>
          <w:b/>
          <w:bCs/>
          <w:color w:val="auto"/>
          <w:sz w:val="22"/>
          <w:szCs w:val="28"/>
          <w:highlight w:val="none"/>
          <w:lang w:val="en-US" w:eastAsia="zh-CN"/>
        </w:rPr>
        <w:t>11. IMPLICATIONS</w:t>
      </w:r>
    </w:p>
    <w:p w14:paraId="2E26FC9B">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CN"/>
        </w:rPr>
      </w:pPr>
      <w:r>
        <w:rPr>
          <w:rFonts w:hint="default" w:asciiTheme="minorAscii" w:hAnsiTheme="minorAscii"/>
          <w:color w:val="auto"/>
          <w:highlight w:val="none"/>
          <w:lang w:val="en-US" w:eastAsia="zh-CN"/>
        </w:rPr>
        <w:t>For policymakers, the results suggest that they should optimize the opening up of the service industry and the allocation of factors, improve the innovation ecosystem, support the deep integration of services and manufacturing, and enhance the ability of enterprises to utilize external service resources.</w:t>
      </w:r>
    </w:p>
    <w:p w14:paraId="0654B11E">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CN"/>
        </w:rPr>
      </w:pPr>
      <w:r>
        <w:rPr>
          <w:rFonts w:hint="default" w:asciiTheme="minorAscii" w:hAnsiTheme="minorAscii"/>
          <w:color w:val="auto"/>
          <w:highlight w:val="none"/>
          <w:lang w:val="en-US" w:eastAsia="zh-CN"/>
        </w:rPr>
        <w:t>For industry observers, this study reveals the differentiated impact of the external environment and enterprise characteristics on innovation capabilities, which is helpful for judging industry trends and resource optimization.</w:t>
      </w:r>
    </w:p>
    <w:p w14:paraId="3787F1EC">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CN"/>
        </w:rPr>
      </w:pPr>
      <w:r>
        <w:rPr>
          <w:rFonts w:hint="default" w:asciiTheme="minorAscii" w:hAnsiTheme="minorAscii"/>
          <w:color w:val="auto"/>
          <w:highlight w:val="none"/>
          <w:lang w:val="en-US" w:eastAsia="zh-CN"/>
        </w:rPr>
        <w:t>For enterprises, improving the ability to obtain and integrate high-end productive services is the key to promoting innovation, especially for large, state-owned, labor-intensive and financing-constrained enterprises. Enterprises should actively deploy service outsourcing and knowledge transfer, flexibly adjust resources and innovation strategies, and enhance their ability to cope with complex market environments and sustainable development.</w:t>
      </w:r>
    </w:p>
    <w:p w14:paraId="23D1A165">
      <w:pPr>
        <w:keepNext w:val="0"/>
        <w:keepLines w:val="0"/>
        <w:pageBreakBefore w:val="0"/>
        <w:widowControl w:val="0"/>
        <w:kinsoku/>
        <w:wordWrap/>
        <w:overflowPunct/>
        <w:topLinePunct w:val="0"/>
        <w:autoSpaceDE/>
        <w:autoSpaceDN/>
        <w:bidi w:val="0"/>
        <w:adjustRightInd/>
        <w:snapToGrid/>
        <w:spacing w:before="625" w:beforeLines="200" w:after="313" w:afterLines="100"/>
        <w:jc w:val="left"/>
        <w:textAlignment w:val="auto"/>
        <w:rPr>
          <w:rFonts w:hint="default" w:asciiTheme="minorAscii" w:hAnsiTheme="minorAscii"/>
          <w:b/>
          <w:bCs/>
          <w:color w:val="auto"/>
          <w:sz w:val="22"/>
          <w:szCs w:val="28"/>
          <w:highlight w:val="none"/>
          <w:lang w:val="en-US" w:eastAsia="zh-CN"/>
        </w:rPr>
      </w:pPr>
      <w:r>
        <w:rPr>
          <w:rFonts w:hint="default" w:asciiTheme="minorAscii" w:hAnsiTheme="minorAscii"/>
          <w:b/>
          <w:bCs/>
          <w:color w:val="auto"/>
          <w:sz w:val="22"/>
          <w:szCs w:val="28"/>
          <w:highlight w:val="none"/>
          <w:lang w:val="en-US" w:eastAsia="zh-CN"/>
        </w:rPr>
        <w:t>12. LIMITATIONS AND FUTURE RESEARCH</w:t>
      </w:r>
    </w:p>
    <w:p w14:paraId="2B3D6DA0">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CN"/>
        </w:rPr>
      </w:pPr>
      <w:r>
        <w:rPr>
          <w:rFonts w:hint="default" w:asciiTheme="minorAscii" w:hAnsiTheme="minorAscii"/>
          <w:color w:val="auto"/>
          <w:highlight w:val="none"/>
          <w:lang w:val="en-US" w:eastAsia="zh-CN"/>
        </w:rPr>
        <w:t>Limitations of this article: ① Due to data availability, this study does not cover non-listed companies, small and medium-sized enterprises and service industry entities, and the sample representativeness and extrapolation are limited. ② The moderating variables do not cover potential mechanisms such as policy support and innovation networks, which need further study. ③ The spatial measurement method is not introduced, which may ignore the innovation spillover effect brought about by the flow of service factors between regions.</w:t>
      </w:r>
    </w:p>
    <w:p w14:paraId="5B431B10">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heme="minorAscii" w:hAnsiTheme="minorAscii"/>
          <w:color w:val="auto"/>
          <w:highlight w:val="none"/>
          <w:lang w:val="en-US" w:eastAsia="zh-CN"/>
        </w:rPr>
      </w:pPr>
      <w:r>
        <w:rPr>
          <w:rFonts w:hint="default" w:asciiTheme="minorAscii" w:hAnsiTheme="minorAscii"/>
          <w:color w:val="auto"/>
          <w:highlight w:val="none"/>
          <w:lang w:val="en-US" w:eastAsia="zh-CN"/>
        </w:rPr>
        <w:t>Future research expansion: ① Introduce factors such as regional policy support and digital services as mediating or moderating variables to fully reveal the mechanism of action. ② Combine dynamic panel or event research to analyze the long-term and short-term impact of policies or external shocks on corporate innovation. ③ Combine spatial effects to explore the differences in innovation efficiency among regions in advanced productive services.</w:t>
      </w:r>
    </w:p>
    <w:p w14:paraId="693FFD8F">
      <w:pPr>
        <w:keepNext w:val="0"/>
        <w:keepLines w:val="0"/>
        <w:pageBreakBefore w:val="0"/>
        <w:widowControl w:val="0"/>
        <w:kinsoku/>
        <w:wordWrap/>
        <w:overflowPunct/>
        <w:topLinePunct w:val="0"/>
        <w:autoSpaceDE/>
        <w:autoSpaceDN/>
        <w:bidi w:val="0"/>
        <w:adjustRightInd/>
        <w:snapToGrid/>
        <w:spacing w:before="625" w:beforeLines="200" w:after="313" w:afterLines="100"/>
        <w:jc w:val="left"/>
        <w:textAlignment w:val="auto"/>
        <w:rPr>
          <w:rFonts w:hint="default"/>
          <w:b/>
          <w:bCs/>
          <w:color w:val="auto"/>
          <w:sz w:val="22"/>
          <w:szCs w:val="28"/>
          <w:highlight w:val="none"/>
          <w:lang w:val="en-US" w:eastAsia="zh-Hans"/>
        </w:rPr>
      </w:pPr>
      <w:r>
        <w:rPr>
          <w:rFonts w:hint="default"/>
          <w:b/>
          <w:bCs/>
          <w:color w:val="auto"/>
          <w:sz w:val="22"/>
          <w:szCs w:val="28"/>
          <w:highlight w:val="none"/>
          <w:lang w:val="en-US" w:eastAsia="zh-Hans"/>
        </w:rPr>
        <w:t>R</w:t>
      </w:r>
      <w:r>
        <w:rPr>
          <w:rFonts w:hint="eastAsia"/>
          <w:b/>
          <w:bCs/>
          <w:color w:val="auto"/>
          <w:sz w:val="22"/>
          <w:szCs w:val="28"/>
          <w:highlight w:val="none"/>
          <w:lang w:val="en-US" w:eastAsia="zh-CN"/>
        </w:rPr>
        <w:t xml:space="preserve">EFERENCES </w:t>
      </w:r>
    </w:p>
    <w:p w14:paraId="7DBDC0A1">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eastAsia" w:hAnsi="DejaVu Math TeX Gyre"/>
          <w:color w:val="auto"/>
          <w:highlight w:val="none"/>
          <w:lang w:val="en-US" w:eastAsia="zh-Hans"/>
        </w:rPr>
        <w:t>Bernardo Maggi</w:t>
      </w:r>
      <w:r>
        <w:rPr>
          <w:rFonts w:hint="default" w:hAnsi="DejaVu Math TeX Gyre"/>
          <w:color w:val="auto"/>
          <w:highlight w:val="none"/>
          <w:lang w:val="en-US" w:eastAsia="zh-Hans"/>
        </w:rPr>
        <w:t xml:space="preserve"> </w:t>
      </w:r>
      <w:r>
        <w:rPr>
          <w:rFonts w:hint="eastAsia" w:hAnsi="DejaVu Math TeX Gyre"/>
          <w:color w:val="auto"/>
          <w:highlight w:val="none"/>
          <w:lang w:val="en-US" w:eastAsia="zh-Hans"/>
        </w:rPr>
        <w:t>&amp;</w:t>
      </w:r>
      <w:r>
        <w:rPr>
          <w:rFonts w:hint="default" w:hAnsi="DejaVu Math TeX Gyre"/>
          <w:color w:val="auto"/>
          <w:highlight w:val="none"/>
          <w:lang w:val="en-US" w:eastAsia="zh-Hans"/>
        </w:rPr>
        <w:t xml:space="preserve"> </w:t>
      </w:r>
      <w:r>
        <w:rPr>
          <w:rFonts w:hint="eastAsia" w:hAnsi="DejaVu Math TeX Gyre"/>
          <w:color w:val="auto"/>
          <w:highlight w:val="none"/>
          <w:lang w:val="en-US" w:eastAsia="zh-Hans"/>
        </w:rPr>
        <w:t>Daniel Muro.(2013).A multi-country non-linear dynamical model for the study of European growth based on technology and business services.</w:t>
      </w:r>
      <w:r>
        <w:rPr>
          <w:rFonts w:hint="eastAsia" w:hAnsi="DejaVu Math TeX Gyre"/>
          <w:i/>
          <w:iCs/>
          <w:color w:val="auto"/>
          <w:highlight w:val="none"/>
          <w:lang w:val="en-US" w:eastAsia="zh-Hans"/>
        </w:rPr>
        <w:t>Structural Change and Economic Dynamics</w:t>
      </w:r>
      <w:r>
        <w:rPr>
          <w:rFonts w:hint="eastAsia" w:hAnsi="DejaVu Math TeX Gyre"/>
          <w:color w:val="auto"/>
          <w:highlight w:val="none"/>
          <w:lang w:val="en-US" w:eastAsia="zh-Hans"/>
        </w:rPr>
        <w:t>,173-187.</w:t>
      </w:r>
    </w:p>
    <w:p w14:paraId="44A13197">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eastAsia" w:hAnsi="DejaVu Math TeX Gyre"/>
          <w:color w:val="auto"/>
          <w:highlight w:val="none"/>
          <w:lang w:val="en-US" w:eastAsia="zh-Hans"/>
        </w:rPr>
        <w:t xml:space="preserve">Chen Si, He Wenlong, Zhang Ran. (2017). Venture capital and corporate innovation: impacts and potential mechanisms. </w:t>
      </w:r>
      <w:r>
        <w:rPr>
          <w:rFonts w:hint="eastAsia" w:hAnsi="DejaVu Math TeX Gyre"/>
          <w:i/>
          <w:iCs/>
          <w:color w:val="auto"/>
          <w:highlight w:val="none"/>
          <w:lang w:val="en-US" w:eastAsia="zh-Hans"/>
        </w:rPr>
        <w:t>Management World (01):</w:t>
      </w:r>
      <w:r>
        <w:rPr>
          <w:rFonts w:hint="eastAsia" w:hAnsi="DejaVu Math TeX Gyre"/>
          <w:color w:val="auto"/>
          <w:highlight w:val="none"/>
          <w:lang w:val="en-US" w:eastAsia="zh-Hans"/>
        </w:rPr>
        <w:t>158-169.</w:t>
      </w:r>
    </w:p>
    <w:p w14:paraId="647EF51D">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eastAsia" w:hAnsi="DejaVu Math TeX Gyre"/>
          <w:color w:val="auto"/>
          <w:highlight w:val="none"/>
          <w:lang w:val="en-US" w:eastAsia="zh-Hans"/>
        </w:rPr>
        <w:t xml:space="preserve">Chen Yanying &amp; Wang Zhouyu. (2011). Factors affecting foreign direct investment in producer services—an empirical study of panel data of Chinese provinces. </w:t>
      </w:r>
      <w:r>
        <w:rPr>
          <w:rFonts w:hint="eastAsia" w:hAnsi="DejaVu Math TeX Gyre"/>
          <w:i/>
          <w:iCs/>
          <w:color w:val="auto"/>
          <w:highlight w:val="none"/>
          <w:lang w:val="en-US" w:eastAsia="zh-Hans"/>
        </w:rPr>
        <w:t>Industrial Economics Research (04)</w:t>
      </w:r>
      <w:r>
        <w:rPr>
          <w:rFonts w:hint="eastAsia" w:hAnsi="DejaVu Math TeX Gyre"/>
          <w:color w:val="auto"/>
          <w:highlight w:val="none"/>
          <w:lang w:val="en-US" w:eastAsia="zh-Hans"/>
        </w:rPr>
        <w:t>, 71-77+88.</w:t>
      </w:r>
    </w:p>
    <w:p w14:paraId="24CE4CE7">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eastAsia" w:hAnsi="DejaVu Math TeX Gyre"/>
          <w:color w:val="auto"/>
          <w:highlight w:val="none"/>
          <w:lang w:val="en-US" w:eastAsia="zh-Hans"/>
        </w:rPr>
        <w:t xml:space="preserve">Cheng Dazhong. (2008). The level, structure and impact of China's producer services industry - an international comparative study based on the input-output method. </w:t>
      </w:r>
      <w:r>
        <w:rPr>
          <w:rFonts w:hint="eastAsia" w:hAnsi="DejaVu Math TeX Gyre"/>
          <w:i/>
          <w:iCs/>
          <w:color w:val="auto"/>
          <w:highlight w:val="none"/>
          <w:lang w:val="en-US" w:eastAsia="zh-Hans"/>
        </w:rPr>
        <w:t>Economic Research (01)</w:t>
      </w:r>
      <w:r>
        <w:rPr>
          <w:rFonts w:hint="eastAsia" w:hAnsi="DejaVu Math TeX Gyre"/>
          <w:color w:val="auto"/>
          <w:highlight w:val="none"/>
          <w:lang w:val="en-US" w:eastAsia="zh-Hans"/>
        </w:rPr>
        <w:t>, 76-88.</w:t>
      </w:r>
    </w:p>
    <w:p w14:paraId="40045E8D">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eastAsia" w:hAnsi="DejaVu Math TeX Gyre"/>
          <w:color w:val="auto"/>
          <w:highlight w:val="none"/>
          <w:lang w:val="en-US" w:eastAsia="zh-Hans"/>
        </w:rPr>
        <w:t xml:space="preserve">Dai Xiang. (2016). Evolution and factors determining the service value of China’s manufacturing exports. </w:t>
      </w:r>
      <w:r>
        <w:rPr>
          <w:rFonts w:hint="eastAsia" w:hAnsi="DejaVu Math TeX Gyre"/>
          <w:i/>
          <w:iCs/>
          <w:color w:val="auto"/>
          <w:highlight w:val="none"/>
          <w:lang w:val="en-US" w:eastAsia="zh-Hans"/>
        </w:rPr>
        <w:t>Economic Research (09)</w:t>
      </w:r>
      <w:r>
        <w:rPr>
          <w:rFonts w:hint="eastAsia" w:hAnsi="DejaVu Math TeX Gyre"/>
          <w:color w:val="auto"/>
          <w:highlight w:val="none"/>
          <w:lang w:val="en-US" w:eastAsia="zh-Hans"/>
        </w:rPr>
        <w:t>, 44-57+174.</w:t>
      </w:r>
    </w:p>
    <w:p w14:paraId="7E310180">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default" w:hAnsi="DejaVu Math TeX Gyre"/>
          <w:color w:val="auto"/>
          <w:highlight w:val="none"/>
          <w:lang w:val="en-US" w:eastAsia="zh-Hans"/>
        </w:rPr>
      </w:pPr>
      <w:r>
        <w:rPr>
          <w:rFonts w:hint="default" w:hAnsi="DejaVu Math TeX Gyre"/>
          <w:color w:val="auto"/>
          <w:highlight w:val="none"/>
          <w:lang w:val="en-US" w:eastAsia="zh-Hans"/>
        </w:rPr>
        <w:t xml:space="preserve">Dai Zhiguang. (2024). The impact of trade friction on corporate investment efficiency: a study based on the “Entity List”. </w:t>
      </w:r>
      <w:r>
        <w:rPr>
          <w:rFonts w:hint="default" w:hAnsi="DejaVu Math TeX Gyre"/>
          <w:i/>
          <w:iCs/>
          <w:color w:val="auto"/>
          <w:highlight w:val="none"/>
          <w:lang w:val="en-US" w:eastAsia="zh-Hans"/>
        </w:rPr>
        <w:t>Accounting Communications (10)</w:t>
      </w:r>
      <w:r>
        <w:rPr>
          <w:rFonts w:hint="default" w:hAnsi="DejaVu Math TeX Gyre"/>
          <w:color w:val="auto"/>
          <w:highlight w:val="none"/>
          <w:lang w:val="en-US" w:eastAsia="zh-Hans"/>
        </w:rPr>
        <w:t>, 90-93+123.</w:t>
      </w:r>
    </w:p>
    <w:p w14:paraId="76B6E4DA">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eastAsia" w:hAnsi="DejaVu Math TeX Gyre"/>
          <w:color w:val="auto"/>
          <w:highlight w:val="none"/>
          <w:lang w:val="en-US" w:eastAsia="zh-Hans"/>
        </w:rPr>
        <w:t xml:space="preserve">Du Yunsu &amp; Peng Dongdong. (2019). Import complexity of producer services, institutional quality and division of labor status in the manufacturing industry - based on the world input-output table from 2000 to 2014. </w:t>
      </w:r>
      <w:r>
        <w:rPr>
          <w:rFonts w:hint="eastAsia" w:hAnsi="DejaVu Math TeX Gyre"/>
          <w:i/>
          <w:iCs/>
          <w:color w:val="auto"/>
          <w:highlight w:val="none"/>
          <w:lang w:val="en-US" w:eastAsia="zh-Hans"/>
        </w:rPr>
        <w:t>International Trade Issues (01)</w:t>
      </w:r>
      <w:r>
        <w:rPr>
          <w:rFonts w:hint="eastAsia" w:hAnsi="DejaVu Math TeX Gyre"/>
          <w:color w:val="auto"/>
          <w:highlight w:val="none"/>
          <w:lang w:val="en-US" w:eastAsia="zh-Hans"/>
        </w:rPr>
        <w:t>, 41-53.</w:t>
      </w:r>
    </w:p>
    <w:p w14:paraId="49F7AEC2">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eastAsia" w:hAnsi="DejaVu Math TeX Gyre"/>
          <w:color w:val="auto"/>
          <w:highlight w:val="none"/>
          <w:lang w:val="en-US" w:eastAsia="zh-Hans"/>
        </w:rPr>
        <w:t xml:space="preserve">Francois J F. (1990). Trade in Producer Services and Returns Due to Specialization under Monopolistic. </w:t>
      </w:r>
      <w:r>
        <w:rPr>
          <w:rFonts w:hint="eastAsia" w:hAnsi="DejaVu Math TeX Gyre"/>
          <w:i/>
          <w:iCs/>
          <w:color w:val="auto"/>
          <w:highlight w:val="none"/>
          <w:lang w:val="en-US" w:eastAsia="zh-Hans"/>
        </w:rPr>
        <w:t>Canadian Journal of Economics, 23(1)</w:t>
      </w:r>
      <w:r>
        <w:rPr>
          <w:rFonts w:hint="eastAsia" w:hAnsi="DejaVu Math TeX Gyre"/>
          <w:color w:val="auto"/>
          <w:highlight w:val="none"/>
          <w:lang w:val="en-US" w:eastAsia="zh-Hans"/>
        </w:rPr>
        <w:t>: 109-124.</w:t>
      </w:r>
    </w:p>
    <w:p w14:paraId="06E62103">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eastAsia" w:hAnsi="DejaVu Math TeX Gyre"/>
          <w:color w:val="auto"/>
          <w:highlight w:val="none"/>
          <w:lang w:val="en-US" w:eastAsia="zh-Hans"/>
        </w:rPr>
        <w:t xml:space="preserve">Fu Yixin &amp; Liang Dawei. (2015). A study of Shanghai's foreign trade from the perspective of independent innovation. </w:t>
      </w:r>
      <w:r>
        <w:rPr>
          <w:rFonts w:hint="eastAsia" w:hAnsi="DejaVu Math TeX Gyre"/>
          <w:i/>
          <w:iCs/>
          <w:color w:val="auto"/>
          <w:highlight w:val="none"/>
          <w:lang w:val="en-US" w:eastAsia="zh-Hans"/>
        </w:rPr>
        <w:t>Labor Security World (15)</w:t>
      </w:r>
      <w:r>
        <w:rPr>
          <w:rFonts w:hint="eastAsia" w:hAnsi="DejaVu Math TeX Gyre"/>
          <w:color w:val="auto"/>
          <w:highlight w:val="none"/>
          <w:lang w:val="en-US" w:eastAsia="zh-Hans"/>
        </w:rPr>
        <w:t>, 51.</w:t>
      </w:r>
    </w:p>
    <w:p w14:paraId="16803686">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eastAsia" w:hAnsi="DejaVu Math TeX Gyre"/>
          <w:color w:val="auto"/>
          <w:highlight w:val="none"/>
          <w:lang w:val="en-US" w:eastAsia="zh-Hans"/>
        </w:rPr>
        <w:t xml:space="preserve">Gao Jing, Han Dechao &amp; Liu Guoguang. (2019). Upgrading the export quality of Chinese enterprises under the embeddedness of global value chains. </w:t>
      </w:r>
      <w:r>
        <w:rPr>
          <w:rFonts w:hint="eastAsia" w:hAnsi="DejaVu Math TeX Gyre"/>
          <w:i/>
          <w:iCs/>
          <w:color w:val="auto"/>
          <w:highlight w:val="none"/>
          <w:lang w:val="en-US" w:eastAsia="zh-Hans"/>
        </w:rPr>
        <w:t>World Economic Research (02)</w:t>
      </w:r>
      <w:r>
        <w:rPr>
          <w:rFonts w:hint="eastAsia" w:hAnsi="DejaVu Math TeX Gyre"/>
          <w:color w:val="auto"/>
          <w:highlight w:val="none"/>
          <w:lang w:val="en-US" w:eastAsia="zh-Hans"/>
        </w:rPr>
        <w:t>, 74-84+136-137.</w:t>
      </w:r>
    </w:p>
    <w:p w14:paraId="6B061C76">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eastAsia" w:hAnsi="DejaVu Math TeX Gyre"/>
          <w:color w:val="auto"/>
          <w:highlight w:val="none"/>
          <w:lang w:val="en-US" w:eastAsia="zh-Hans"/>
        </w:rPr>
        <w:t xml:space="preserve">Ge Xuemei &amp; Xiong Jun. (2017). A study on the role of international trade in regional technological progress. </w:t>
      </w:r>
      <w:r>
        <w:rPr>
          <w:rFonts w:hint="eastAsia" w:hAnsi="DejaVu Math TeX Gyre"/>
          <w:i/>
          <w:iCs/>
          <w:color w:val="auto"/>
          <w:highlight w:val="none"/>
          <w:lang w:val="en-US" w:eastAsia="zh-Hans"/>
        </w:rPr>
        <w:t>Modern Marketing (Second Half Issue) (09)</w:t>
      </w:r>
      <w:r>
        <w:rPr>
          <w:rFonts w:hint="eastAsia" w:hAnsi="DejaVu Math TeX Gyre"/>
          <w:color w:val="auto"/>
          <w:highlight w:val="none"/>
          <w:lang w:val="en-US" w:eastAsia="zh-Hans"/>
        </w:rPr>
        <w:t>, 180-182.</w:t>
      </w:r>
    </w:p>
    <w:p w14:paraId="23D27DAE">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eastAsia" w:hAnsi="DejaVu Math TeX Gyre"/>
          <w:color w:val="auto"/>
          <w:highlight w:val="none"/>
          <w:lang w:val="en-US" w:eastAsia="zh-Hans"/>
        </w:rPr>
        <w:t xml:space="preserve">Geng Dianhe &amp; Yuan Yijun. (2010). Research on the mechanism of producer services promoting the dynamic innovation capabilities of manufacturing enterprises. </w:t>
      </w:r>
      <w:r>
        <w:rPr>
          <w:rFonts w:hint="eastAsia" w:hAnsi="DejaVu Math TeX Gyre"/>
          <w:i/>
          <w:iCs/>
          <w:color w:val="auto"/>
          <w:highlight w:val="none"/>
          <w:lang w:val="en-US" w:eastAsia="zh-Hans"/>
        </w:rPr>
        <w:t>Economic Research Guide (24)</w:t>
      </w:r>
      <w:r>
        <w:rPr>
          <w:rFonts w:hint="eastAsia" w:hAnsi="DejaVu Math TeX Gyre"/>
          <w:color w:val="auto"/>
          <w:highlight w:val="none"/>
          <w:lang w:val="en-US" w:eastAsia="zh-Hans"/>
        </w:rPr>
        <w:t>, 22-24.</w:t>
      </w:r>
    </w:p>
    <w:p w14:paraId="707B8040">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eastAsia" w:hAnsi="DejaVu Math TeX Gyre"/>
          <w:color w:val="auto"/>
          <w:highlight w:val="none"/>
          <w:lang w:val="en-US" w:eastAsia="zh-Hans"/>
        </w:rPr>
        <w:t xml:space="preserve">Grubel H G. (1989). Walker M. Service Industry Growth: Causes and Effects. </w:t>
      </w:r>
      <w:r>
        <w:rPr>
          <w:rFonts w:hint="eastAsia" w:hAnsi="DejaVu Math TeX Gyre"/>
          <w:i/>
          <w:iCs/>
          <w:color w:val="auto"/>
          <w:highlight w:val="none"/>
          <w:lang w:val="en-US" w:eastAsia="zh-Hans"/>
        </w:rPr>
        <w:t>Fraser Institute</w:t>
      </w:r>
      <w:r>
        <w:rPr>
          <w:rFonts w:hint="eastAsia" w:hAnsi="DejaVu Math TeX Gyre"/>
          <w:color w:val="auto"/>
          <w:highlight w:val="none"/>
          <w:lang w:val="en-US" w:eastAsia="zh-Hans"/>
        </w:rPr>
        <w:t>. 168-225.</w:t>
      </w:r>
    </w:p>
    <w:p w14:paraId="42DF2C0C">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eastAsia" w:hAnsi="DejaVu Math TeX Gyre"/>
          <w:color w:val="auto"/>
          <w:highlight w:val="none"/>
          <w:lang w:val="en-US" w:eastAsia="zh-Hans"/>
        </w:rPr>
        <w:t>Guillaume Daudin, Christine Rifflart &amp; Danielle Schweisguth.(2011).Who produces for whom in the world economy?.</w:t>
      </w:r>
      <w:r>
        <w:rPr>
          <w:rFonts w:hint="eastAsia" w:hAnsi="DejaVu Math TeX Gyre"/>
          <w:i/>
          <w:iCs/>
          <w:color w:val="auto"/>
          <w:highlight w:val="none"/>
          <w:lang w:val="en-US" w:eastAsia="zh-Hans"/>
        </w:rPr>
        <w:t>The Canadian Journal of Economics / Revue canadienne d'Economique(4)</w:t>
      </w:r>
      <w:r>
        <w:rPr>
          <w:rFonts w:hint="eastAsia" w:hAnsi="DejaVu Math TeX Gyre"/>
          <w:color w:val="auto"/>
          <w:highlight w:val="none"/>
          <w:lang w:val="en-US" w:eastAsia="zh-Hans"/>
        </w:rPr>
        <w:t>,1403-1437.</w:t>
      </w:r>
    </w:p>
    <w:p w14:paraId="7DB89208">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eastAsia" w:hAnsi="DejaVu Math TeX Gyre"/>
          <w:color w:val="auto"/>
          <w:highlight w:val="none"/>
          <w:lang w:val="en-US" w:eastAsia="zh-Hans"/>
        </w:rPr>
        <w:t xml:space="preserve">He Xuefeng, Jiang Beili &amp; Zhou Yingyue. Industry competition, executive incentives and financialization of manufacturing. </w:t>
      </w:r>
      <w:r>
        <w:rPr>
          <w:rFonts w:hint="eastAsia" w:hAnsi="DejaVu Math TeX Gyre"/>
          <w:i/>
          <w:iCs/>
          <w:color w:val="auto"/>
          <w:highlight w:val="none"/>
          <w:lang w:val="en-US" w:eastAsia="zh-Hans"/>
        </w:rPr>
        <w:t>Journal of Chongqing University of Technology (Social Sciences)</w:t>
      </w:r>
      <w:r>
        <w:rPr>
          <w:rFonts w:hint="eastAsia" w:hAnsi="DejaVu Math TeX Gyre"/>
          <w:color w:val="auto"/>
          <w:highlight w:val="none"/>
          <w:lang w:val="en-US" w:eastAsia="zh-Hans"/>
        </w:rPr>
        <w:t>, 1-15.</w:t>
      </w:r>
    </w:p>
    <w:p w14:paraId="0BA1420D">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eastAsia" w:hAnsi="DejaVu Math TeX Gyre"/>
          <w:color w:val="auto"/>
          <w:highlight w:val="none"/>
          <w:lang w:val="en-US" w:eastAsia="zh-Hans"/>
        </w:rPr>
        <w:t xml:space="preserve">Huang Xianhai &amp; Qing Tao. (2020). Export trade costs and corporate innovation: theoretical mechanism and empirical test. </w:t>
      </w:r>
      <w:r>
        <w:rPr>
          <w:rFonts w:hint="eastAsia" w:hAnsi="DejaVu Math TeX Gyre"/>
          <w:i/>
          <w:iCs/>
          <w:color w:val="auto"/>
          <w:highlight w:val="none"/>
          <w:lang w:val="en-US" w:eastAsia="zh-Hans"/>
        </w:rPr>
        <w:t>World Economic Research (05)</w:t>
      </w:r>
      <w:r>
        <w:rPr>
          <w:rFonts w:hint="eastAsia" w:hAnsi="DejaVu Math TeX Gyre"/>
          <w:color w:val="auto"/>
          <w:highlight w:val="none"/>
          <w:lang w:val="en-US" w:eastAsia="zh-Hans"/>
        </w:rPr>
        <w:t>, 3-16+135.</w:t>
      </w:r>
    </w:p>
    <w:p w14:paraId="0811B7FC">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eastAsia" w:hAnsi="DejaVu Math TeX Gyre"/>
          <w:color w:val="auto"/>
          <w:highlight w:val="none"/>
          <w:lang w:val="en-US" w:eastAsia="zh-Hans"/>
        </w:rPr>
        <w:t>James Markusen,Thomas F,Rutherford&amp;David Tarr.(2005).Trade and Direct Investment in Producer Services and the Domestic Market for Expertise.</w:t>
      </w:r>
      <w:r>
        <w:rPr>
          <w:rFonts w:hint="eastAsia" w:hAnsi="DejaVu Math TeX Gyre"/>
          <w:i/>
          <w:iCs/>
          <w:color w:val="auto"/>
          <w:highlight w:val="none"/>
          <w:lang w:val="en-US" w:eastAsia="zh-Hans"/>
        </w:rPr>
        <w:t>The Canadian Journal of Economics / Revue canadienne d'Economique</w:t>
      </w:r>
      <w:r>
        <w:rPr>
          <w:rFonts w:hint="default" w:hAnsi="DejaVu Math TeX Gyre"/>
          <w:i/>
          <w:iCs/>
          <w:color w:val="auto"/>
          <w:highlight w:val="none"/>
          <w:lang w:val="en-US" w:eastAsia="zh-Hans"/>
        </w:rPr>
        <w:t xml:space="preserve"> </w:t>
      </w:r>
      <w:r>
        <w:rPr>
          <w:rFonts w:hint="eastAsia" w:hAnsi="DejaVu Math TeX Gyre"/>
          <w:i/>
          <w:iCs/>
          <w:color w:val="auto"/>
          <w:highlight w:val="none"/>
          <w:lang w:val="en-US" w:eastAsia="zh-Hans"/>
        </w:rPr>
        <w:t>(3)</w:t>
      </w:r>
      <w:r>
        <w:rPr>
          <w:rFonts w:hint="eastAsia" w:hAnsi="DejaVu Math TeX Gyre"/>
          <w:color w:val="auto"/>
          <w:highlight w:val="none"/>
          <w:lang w:val="en-US" w:eastAsia="zh-Hans"/>
        </w:rPr>
        <w:t>,758-777.</w:t>
      </w:r>
    </w:p>
    <w:p w14:paraId="1AE66019">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default" w:hAnsi="DejaVu Math TeX Gyre"/>
          <w:color w:val="auto"/>
          <w:highlight w:val="none"/>
          <w:lang w:val="en-US" w:eastAsia="zh-CN"/>
        </w:rPr>
        <w:t xml:space="preserve">Li Huijuan &amp; Cai Weihong. (2016). The impact of producer service imports on the efficiency of independent innovation in manufacturing industry - an empirical analysis based on cross-national panel data. </w:t>
      </w:r>
      <w:r>
        <w:rPr>
          <w:rFonts w:hint="default" w:hAnsi="DejaVu Math TeX Gyre"/>
          <w:i/>
          <w:iCs/>
          <w:color w:val="auto"/>
          <w:highlight w:val="none"/>
          <w:lang w:val="en-US" w:eastAsia="zh-CN"/>
        </w:rPr>
        <w:t>Industrial Technology and Economics (05)</w:t>
      </w:r>
      <w:r>
        <w:rPr>
          <w:rFonts w:hint="default" w:hAnsi="DejaVu Math TeX Gyre"/>
          <w:color w:val="auto"/>
          <w:highlight w:val="none"/>
          <w:lang w:val="en-US" w:eastAsia="zh-CN"/>
        </w:rPr>
        <w:t>, 124-129.</w:t>
      </w:r>
    </w:p>
    <w:p w14:paraId="2187CAC1">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eastAsia" w:hAnsi="DejaVu Math TeX Gyre"/>
          <w:color w:val="auto"/>
          <w:highlight w:val="none"/>
          <w:lang w:val="en-US" w:eastAsia="zh-Hans"/>
        </w:rPr>
        <w:t xml:space="preserve">Li Wengui &amp; Yu Minggui. (2015). Equity structure and corporate innovation of privatized enterprises. </w:t>
      </w:r>
      <w:r>
        <w:rPr>
          <w:rFonts w:hint="eastAsia" w:hAnsi="DejaVu Math TeX Gyre"/>
          <w:i/>
          <w:iCs/>
          <w:color w:val="auto"/>
          <w:highlight w:val="none"/>
          <w:lang w:val="en-US" w:eastAsia="zh-Hans"/>
        </w:rPr>
        <w:t>Management World (04)</w:t>
      </w:r>
      <w:r>
        <w:rPr>
          <w:rFonts w:hint="eastAsia" w:hAnsi="DejaVu Math TeX Gyre"/>
          <w:color w:val="auto"/>
          <w:highlight w:val="none"/>
          <w:lang w:val="en-US" w:eastAsia="zh-Hans"/>
        </w:rPr>
        <w:t>, 112-125.</w:t>
      </w:r>
    </w:p>
    <w:p w14:paraId="686589BF">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default" w:hAnsi="DejaVu Math TeX Gyre"/>
          <w:color w:val="auto"/>
          <w:highlight w:val="none"/>
          <w:lang w:val="en-US" w:eastAsia="zh-Hans"/>
        </w:rPr>
      </w:pPr>
      <w:r>
        <w:rPr>
          <w:rFonts w:hint="default" w:hAnsi="DejaVu Math TeX Gyre"/>
          <w:color w:val="auto"/>
          <w:highlight w:val="none"/>
          <w:lang w:val="en-US" w:eastAsia="zh-Hans"/>
        </w:rPr>
        <w:t xml:space="preserve">Li Lei &amp; Sheng Bin. (2019). Gender hiring bias and enterprise productivity. </w:t>
      </w:r>
      <w:r>
        <w:rPr>
          <w:rFonts w:hint="default" w:hAnsi="DejaVu Math TeX Gyre"/>
          <w:i/>
          <w:iCs/>
          <w:color w:val="auto"/>
          <w:highlight w:val="none"/>
          <w:lang w:val="en-US" w:eastAsia="zh-Hans"/>
        </w:rPr>
        <w:t>Economics (Quarterly) (04)</w:t>
      </w:r>
      <w:r>
        <w:rPr>
          <w:rFonts w:hint="default" w:hAnsi="DejaVu Math TeX Gyre"/>
          <w:color w:val="auto"/>
          <w:highlight w:val="none"/>
          <w:lang w:val="en-US" w:eastAsia="zh-Hans"/>
        </w:rPr>
        <w:t>, 1267-1288.</w:t>
      </w:r>
    </w:p>
    <w:p w14:paraId="44CAB6FD">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default" w:hAnsi="DejaVu Math TeX Gyre"/>
          <w:color w:val="auto"/>
          <w:highlight w:val="none"/>
          <w:lang w:val="en-US" w:eastAsia="zh-Hans"/>
        </w:rPr>
      </w:pPr>
      <w:r>
        <w:rPr>
          <w:rFonts w:hint="default" w:hAnsi="DejaVu Math TeX Gyre"/>
          <w:color w:val="auto"/>
          <w:highlight w:val="none"/>
          <w:lang w:val="en-US" w:eastAsia="zh-Hans"/>
        </w:rPr>
        <w:t xml:space="preserve">Li Xin &amp; Li Jiahui. (2020). Industry competition, audit quality and financing constraints. </w:t>
      </w:r>
      <w:r>
        <w:rPr>
          <w:rFonts w:hint="default" w:hAnsi="DejaVu Math TeX Gyre"/>
          <w:i/>
          <w:iCs/>
          <w:color w:val="auto"/>
          <w:highlight w:val="none"/>
          <w:lang w:val="en-US" w:eastAsia="zh-Hans"/>
        </w:rPr>
        <w:t>Journal of Chongqing University of Technology (Social Sciences) (07)</w:t>
      </w:r>
      <w:r>
        <w:rPr>
          <w:rFonts w:hint="default" w:hAnsi="DejaVu Math TeX Gyre"/>
          <w:color w:val="auto"/>
          <w:highlight w:val="none"/>
          <w:lang w:val="en-US" w:eastAsia="zh-Hans"/>
        </w:rPr>
        <w:t>, 88-96.</w:t>
      </w:r>
    </w:p>
    <w:p w14:paraId="49F4C484">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default" w:hAnsi="DejaVu Math TeX Gyre"/>
          <w:color w:val="auto"/>
          <w:highlight w:val="none"/>
          <w:lang w:val="en-US" w:eastAsia="zh-Hans"/>
        </w:rPr>
      </w:pPr>
      <w:r>
        <w:rPr>
          <w:rFonts w:hint="default" w:hAnsi="DejaVu Math TeX Gyre"/>
          <w:color w:val="auto"/>
          <w:highlight w:val="none"/>
          <w:lang w:val="en-US" w:eastAsia="zh-CN"/>
        </w:rPr>
        <w:t xml:space="preserve">Liu Zhenzhong &amp; Wang Yan. (2024). Developing new quality productivity by transforming traditional industries: logical mechanism and basic path. </w:t>
      </w:r>
      <w:r>
        <w:rPr>
          <w:rFonts w:hint="default" w:hAnsi="DejaVu Math TeX Gyre"/>
          <w:i/>
          <w:iCs/>
          <w:color w:val="auto"/>
          <w:highlight w:val="none"/>
          <w:lang w:val="en-US" w:eastAsia="zh-CN"/>
        </w:rPr>
        <w:t>Reform (10)</w:t>
      </w:r>
      <w:r>
        <w:rPr>
          <w:rFonts w:hint="default" w:hAnsi="DejaVu Math TeX Gyre"/>
          <w:color w:val="auto"/>
          <w:highlight w:val="none"/>
          <w:lang w:val="en-US" w:eastAsia="zh-CN"/>
        </w:rPr>
        <w:t>, 29-43.</w:t>
      </w:r>
    </w:p>
    <w:p w14:paraId="071D37C8">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default" w:hAnsi="DejaVu Math TeX Gyre"/>
          <w:color w:val="auto"/>
          <w:highlight w:val="none"/>
          <w:lang w:val="en-US" w:eastAsia="zh-Hans"/>
        </w:rPr>
      </w:pPr>
      <w:r>
        <w:rPr>
          <w:rFonts w:hint="default" w:hAnsi="DejaVu Math TeX Gyre"/>
          <w:color w:val="auto"/>
          <w:highlight w:val="none"/>
          <w:lang w:val="en-US" w:eastAsia="zh-Hans"/>
        </w:rPr>
        <w:t xml:space="preserve">Lu Qiuqin &amp; Shi Ziwen. State-owned equity participation, financing constraints and green technology innovation of private heavily polluting enterprises. </w:t>
      </w:r>
      <w:r>
        <w:rPr>
          <w:rFonts w:hint="default" w:hAnsi="DejaVu Math TeX Gyre"/>
          <w:i/>
          <w:iCs/>
          <w:color w:val="auto"/>
          <w:highlight w:val="none"/>
          <w:lang w:val="en-US" w:eastAsia="zh-Hans"/>
        </w:rPr>
        <w:t>Operation and Management</w:t>
      </w:r>
      <w:r>
        <w:rPr>
          <w:rFonts w:hint="default" w:hAnsi="DejaVu Math TeX Gyre"/>
          <w:color w:val="auto"/>
          <w:highlight w:val="none"/>
          <w:lang w:val="en-US" w:eastAsia="zh-CN"/>
        </w:rPr>
        <w:t xml:space="preserve">, </w:t>
      </w:r>
      <w:r>
        <w:rPr>
          <w:rFonts w:hint="default" w:hAnsi="DejaVu Math TeX Gyre"/>
          <w:color w:val="auto"/>
          <w:highlight w:val="none"/>
          <w:lang w:val="en-US" w:eastAsia="zh-Hans"/>
        </w:rPr>
        <w:t>1-13.</w:t>
      </w:r>
    </w:p>
    <w:p w14:paraId="62C825F8">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default" w:hAnsi="DejaVu Math TeX Gyre"/>
          <w:color w:val="auto"/>
          <w:highlight w:val="none"/>
          <w:lang w:val="en-US" w:eastAsia="zh-Hans"/>
        </w:rPr>
      </w:pPr>
      <w:r>
        <w:rPr>
          <w:rFonts w:hint="default" w:hAnsi="DejaVu Math TeX Gyre"/>
          <w:color w:val="auto"/>
          <w:highlight w:val="none"/>
          <w:lang w:val="en-US" w:eastAsia="zh-Hans"/>
        </w:rPr>
        <w:t xml:space="preserve">Mao Qilin &amp; Wang Yueqing. (2023). Research on the employment effect of ESG: Evidence from Chinese listed companies. </w:t>
      </w:r>
      <w:r>
        <w:rPr>
          <w:rFonts w:hint="default" w:hAnsi="DejaVu Math TeX Gyre"/>
          <w:i/>
          <w:iCs/>
          <w:color w:val="auto"/>
          <w:highlight w:val="none"/>
          <w:lang w:val="en-US" w:eastAsia="zh-Hans"/>
        </w:rPr>
        <w:t>Economic Research (07)</w:t>
      </w:r>
      <w:r>
        <w:rPr>
          <w:rFonts w:hint="default" w:hAnsi="DejaVu Math TeX Gyre"/>
          <w:color w:val="auto"/>
          <w:highlight w:val="none"/>
          <w:lang w:val="en-US" w:eastAsia="zh-Hans"/>
        </w:rPr>
        <w:t>, 86-103.</w:t>
      </w:r>
    </w:p>
    <w:p w14:paraId="1C587ED1">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eastAsia" w:hAnsi="DejaVu Math TeX Gyre"/>
          <w:color w:val="auto"/>
          <w:highlight w:val="none"/>
          <w:lang w:val="en-US" w:eastAsia="zh-Hans"/>
        </w:rPr>
        <w:t xml:space="preserve">Mao Qilin. (2010). The impact of import trade on the improvement of my country's technological innovation capabilities - an empirical analysis based on dynamic panel data GMM method. </w:t>
      </w:r>
      <w:r>
        <w:rPr>
          <w:rFonts w:hint="eastAsia" w:hAnsi="DejaVu Math TeX Gyre"/>
          <w:i/>
          <w:iCs/>
          <w:color w:val="auto"/>
          <w:highlight w:val="none"/>
          <w:lang w:val="en-US" w:eastAsia="zh-Hans"/>
        </w:rPr>
        <w:t>Financial Science (04)</w:t>
      </w:r>
      <w:r>
        <w:rPr>
          <w:rFonts w:hint="eastAsia" w:hAnsi="DejaVu Math TeX Gyre"/>
          <w:color w:val="auto"/>
          <w:highlight w:val="none"/>
          <w:lang w:val="en-US" w:eastAsia="zh-Hans"/>
        </w:rPr>
        <w:t>, 94-101.</w:t>
      </w:r>
    </w:p>
    <w:p w14:paraId="4CCCA6AA">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eastAsia" w:hAnsi="DejaVu Math TeX Gyre"/>
          <w:color w:val="auto"/>
          <w:highlight w:val="none"/>
          <w:lang w:val="en-US" w:eastAsia="zh-Hans"/>
        </w:rPr>
        <w:t>Sherman Robinson,Zhi Wang&amp;Will Martin.(2002).Capturing the Implications of Services Trade Liberalization.</w:t>
      </w:r>
      <w:r>
        <w:rPr>
          <w:rFonts w:hint="eastAsia" w:hAnsi="DejaVu Math TeX Gyre"/>
          <w:i/>
          <w:iCs/>
          <w:color w:val="auto"/>
          <w:highlight w:val="none"/>
          <w:lang w:val="en-US" w:eastAsia="zh-Hans"/>
        </w:rPr>
        <w:t>Economic Systems Research</w:t>
      </w:r>
      <w:r>
        <w:rPr>
          <w:rFonts w:hint="default" w:hAnsi="DejaVu Math TeX Gyre"/>
          <w:i/>
          <w:iCs/>
          <w:color w:val="auto"/>
          <w:highlight w:val="none"/>
          <w:lang w:val="en-US" w:eastAsia="zh-Hans"/>
        </w:rPr>
        <w:t xml:space="preserve"> </w:t>
      </w:r>
      <w:r>
        <w:rPr>
          <w:rFonts w:hint="eastAsia" w:hAnsi="DejaVu Math TeX Gyre"/>
          <w:i/>
          <w:iCs/>
          <w:color w:val="auto"/>
          <w:highlight w:val="none"/>
          <w:lang w:val="en-US" w:eastAsia="zh-Hans"/>
        </w:rPr>
        <w:t>(1)</w:t>
      </w:r>
      <w:r>
        <w:rPr>
          <w:rFonts w:hint="eastAsia" w:hAnsi="DejaVu Math TeX Gyre"/>
          <w:color w:val="auto"/>
          <w:highlight w:val="none"/>
          <w:lang w:val="en-US" w:eastAsia="zh-Hans"/>
        </w:rPr>
        <w:t>,3-33.</w:t>
      </w:r>
    </w:p>
    <w:p w14:paraId="50C5B7C8">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default" w:hAnsi="DejaVu Math TeX Gyre"/>
          <w:color w:val="auto"/>
          <w:highlight w:val="none"/>
          <w:lang w:val="en-US" w:eastAsia="zh-CN"/>
        </w:rPr>
        <w:t xml:space="preserve">Stiglitz, J. (1997). Reflections on the natural rate hypothesis. </w:t>
      </w:r>
      <w:r>
        <w:rPr>
          <w:rFonts w:hint="default" w:hAnsi="DejaVu Math TeX Gyre"/>
          <w:i/>
          <w:iCs/>
          <w:color w:val="auto"/>
          <w:highlight w:val="none"/>
          <w:lang w:val="en-US" w:eastAsia="zh-CN"/>
        </w:rPr>
        <w:t>Journal of Economic perspectives, 11(1)</w:t>
      </w:r>
      <w:r>
        <w:rPr>
          <w:rFonts w:hint="default" w:hAnsi="DejaVu Math TeX Gyre"/>
          <w:color w:val="auto"/>
          <w:highlight w:val="none"/>
          <w:lang w:val="en-US" w:eastAsia="zh-CN"/>
        </w:rPr>
        <w:t>, 3-10.</w:t>
      </w:r>
    </w:p>
    <w:p w14:paraId="404EF540">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eastAsia" w:hAnsi="DejaVu Math TeX Gyre"/>
          <w:color w:val="auto"/>
          <w:highlight w:val="none"/>
          <w:lang w:val="en-US" w:eastAsia="zh-Hans"/>
        </w:rPr>
        <w:t xml:space="preserve">Tang Baoqing. (2009). Does FDI in producer services chase FDI in manufacturing?. </w:t>
      </w:r>
      <w:r>
        <w:rPr>
          <w:rFonts w:hint="eastAsia" w:hAnsi="DejaVu Math TeX Gyre"/>
          <w:i/>
          <w:iCs/>
          <w:color w:val="auto"/>
          <w:highlight w:val="none"/>
          <w:lang w:val="en-US" w:eastAsia="zh-Hans"/>
        </w:rPr>
        <w:t>Finance and Trade Research (05)</w:t>
      </w:r>
      <w:r>
        <w:rPr>
          <w:rFonts w:hint="eastAsia" w:hAnsi="DejaVu Math TeX Gyre"/>
          <w:color w:val="auto"/>
          <w:highlight w:val="none"/>
          <w:lang w:val="en-US" w:eastAsia="zh-Hans"/>
        </w:rPr>
        <w:t>, 56-63.</w:t>
      </w:r>
    </w:p>
    <w:p w14:paraId="279FCBA5">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eastAsia" w:hAnsi="DejaVu Math TeX Gyre"/>
          <w:color w:val="auto"/>
          <w:highlight w:val="none"/>
          <w:lang w:val="en-US" w:eastAsia="zh-Hans"/>
        </w:rPr>
        <w:t xml:space="preserve">Wang Huan, Huang Shengqiang &amp; He Shuquan. (2023). Liberalization of productive service trade, digital development level and quality of manufacturing export products. </w:t>
      </w:r>
      <w:r>
        <w:rPr>
          <w:rFonts w:hint="eastAsia" w:hAnsi="DejaVu Math TeX Gyre"/>
          <w:i/>
          <w:iCs/>
          <w:color w:val="auto"/>
          <w:highlight w:val="none"/>
          <w:lang w:val="en-US" w:eastAsia="zh-Hans"/>
        </w:rPr>
        <w:t>Industrial Economics Research (05)</w:t>
      </w:r>
      <w:r>
        <w:rPr>
          <w:rFonts w:hint="eastAsia" w:hAnsi="DejaVu Math TeX Gyre"/>
          <w:color w:val="auto"/>
          <w:highlight w:val="none"/>
          <w:lang w:val="en-US" w:eastAsia="zh-Hans"/>
        </w:rPr>
        <w:t>, 72-86.</w:t>
      </w:r>
    </w:p>
    <w:p w14:paraId="3F49A19F">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eastAsia" w:hAnsi="DejaVu Math TeX Gyre"/>
          <w:color w:val="auto"/>
          <w:highlight w:val="none"/>
          <w:lang w:val="en-US" w:eastAsia="zh-Hans"/>
        </w:rPr>
        <w:t xml:space="preserve">Wang Wen, Niu Zedong &amp; Sun Zao. (2020). Development of producer services, city scale and manufacturing efficiency. </w:t>
      </w:r>
      <w:r>
        <w:rPr>
          <w:rFonts w:hint="eastAsia" w:hAnsi="DejaVu Math TeX Gyre"/>
          <w:i/>
          <w:iCs/>
          <w:color w:val="auto"/>
          <w:highlight w:val="none"/>
          <w:lang w:val="en-US" w:eastAsia="zh-Hans"/>
        </w:rPr>
        <w:t>Contemporary Economic Science (03)</w:t>
      </w:r>
      <w:r>
        <w:rPr>
          <w:rFonts w:hint="eastAsia" w:hAnsi="DejaVu Math TeX Gyre"/>
          <w:color w:val="auto"/>
          <w:highlight w:val="none"/>
          <w:lang w:val="en-US" w:eastAsia="zh-Hans"/>
        </w:rPr>
        <w:t>, 15-27.</w:t>
      </w:r>
    </w:p>
    <w:p w14:paraId="5A87C96C">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eastAsia" w:hAnsi="DejaVu Math TeX Gyre"/>
          <w:color w:val="auto"/>
          <w:highlight w:val="none"/>
          <w:lang w:val="en-US" w:eastAsia="zh-Hans"/>
        </w:rPr>
        <w:t xml:space="preserve">Wang Zhi, Wei Shangjin &amp; Zhu Kunfu. (2015). Total trade accounting method: official trade statistics and the measurement of global value chains. </w:t>
      </w:r>
      <w:r>
        <w:rPr>
          <w:rFonts w:hint="eastAsia" w:hAnsi="DejaVu Math TeX Gyre"/>
          <w:i/>
          <w:iCs/>
          <w:color w:val="auto"/>
          <w:highlight w:val="none"/>
          <w:lang w:val="en-US" w:eastAsia="zh-Hans"/>
        </w:rPr>
        <w:t>Chinese Social Sciences (09)</w:t>
      </w:r>
      <w:r>
        <w:rPr>
          <w:rFonts w:hint="eastAsia" w:hAnsi="DejaVu Math TeX Gyre"/>
          <w:color w:val="auto"/>
          <w:highlight w:val="none"/>
          <w:lang w:val="en-US" w:eastAsia="zh-Hans"/>
        </w:rPr>
        <w:t>, 108-127+205-206.</w:t>
      </w:r>
    </w:p>
    <w:p w14:paraId="426A4F4B">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eastAsia" w:hAnsi="DejaVu Math TeX Gyre"/>
          <w:color w:val="auto"/>
          <w:highlight w:val="none"/>
          <w:lang w:val="en-US" w:eastAsia="zh-Hans"/>
        </w:rPr>
        <w:t xml:space="preserve">Yang Xiaomei &amp; Zhang Cheng. (2015). The technical content of imports of producer services and the efficiency of China’s manufacturing industry. </w:t>
      </w:r>
      <w:r>
        <w:rPr>
          <w:rFonts w:hint="eastAsia" w:hAnsi="DejaVu Math TeX Gyre"/>
          <w:i/>
          <w:iCs/>
          <w:color w:val="auto"/>
          <w:highlight w:val="none"/>
          <w:lang w:val="en-US" w:eastAsia="zh-Hans"/>
        </w:rPr>
        <w:t>Chinese Economic Issues (05)</w:t>
      </w:r>
      <w:r>
        <w:rPr>
          <w:rFonts w:hint="eastAsia" w:hAnsi="DejaVu Math TeX Gyre"/>
          <w:color w:val="auto"/>
          <w:highlight w:val="none"/>
          <w:lang w:val="en-US" w:eastAsia="zh-Hans"/>
        </w:rPr>
        <w:t>, 82-94.</w:t>
      </w:r>
    </w:p>
    <w:p w14:paraId="0BC4F342">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eastAsia" w:hAnsi="DejaVu Math TeX Gyre"/>
          <w:color w:val="auto"/>
          <w:highlight w:val="none"/>
          <w:lang w:val="en-US" w:eastAsia="zh-Hans"/>
        </w:rPr>
        <w:t xml:space="preserve">Yang Renfa &amp; Liu Chunbin. (2011). Industrial upgrading in the context of the      integration of producer services and manufacturing. </w:t>
      </w:r>
      <w:r>
        <w:rPr>
          <w:rFonts w:hint="eastAsia" w:hAnsi="DejaVu Math TeX Gyre"/>
          <w:i/>
          <w:iCs/>
          <w:color w:val="auto"/>
          <w:highlight w:val="none"/>
          <w:lang w:val="en-US" w:eastAsia="zh-Hans"/>
        </w:rPr>
        <w:t>Reform (01)</w:t>
      </w:r>
      <w:r>
        <w:rPr>
          <w:rFonts w:hint="eastAsia" w:hAnsi="DejaVu Math TeX Gyre"/>
          <w:color w:val="auto"/>
          <w:highlight w:val="none"/>
          <w:lang w:val="en-US" w:eastAsia="zh-Hans"/>
        </w:rPr>
        <w:t>, 40-46.</w:t>
      </w:r>
    </w:p>
    <w:p w14:paraId="04F97133">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default" w:hAnsi="DejaVu Math TeX Gyre"/>
          <w:color w:val="auto"/>
          <w:highlight w:val="none"/>
          <w:lang w:val="en-US" w:eastAsia="zh-CN"/>
        </w:rPr>
        <w:t xml:space="preserve">Yang Xiaoyun &amp; Zhao Xiaohong. (2022). Technical complexity of producer service imports and innovation of manufacturing enterprises. </w:t>
      </w:r>
      <w:r>
        <w:rPr>
          <w:rFonts w:hint="default" w:hAnsi="DejaVu Math TeX Gyre"/>
          <w:i/>
          <w:iCs/>
          <w:color w:val="auto"/>
          <w:highlight w:val="none"/>
          <w:lang w:val="en-US" w:eastAsia="zh-CN"/>
        </w:rPr>
        <w:t>Soft Science (07)</w:t>
      </w:r>
      <w:r>
        <w:rPr>
          <w:rFonts w:hint="default" w:hAnsi="DejaVu Math TeX Gyre"/>
          <w:color w:val="auto"/>
          <w:highlight w:val="none"/>
          <w:lang w:val="en-US" w:eastAsia="zh-CN"/>
        </w:rPr>
        <w:t>, 31-37.</w:t>
      </w:r>
    </w:p>
    <w:p w14:paraId="1A1167A3">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eastAsia" w:hAnsi="DejaVu Math TeX Gyre"/>
          <w:color w:val="auto"/>
          <w:highlight w:val="none"/>
          <w:lang w:val="en-US" w:eastAsia="zh-Hans"/>
        </w:rPr>
        <w:t xml:space="preserve">Yu Guansheng. (2011). An empirical study on the relationship between my country's export trade and independent innovation—based on a system of simultaneous equations. </w:t>
      </w:r>
      <w:r>
        <w:rPr>
          <w:rFonts w:hint="eastAsia" w:hAnsi="DejaVu Math TeX Gyre"/>
          <w:i/>
          <w:iCs/>
          <w:color w:val="auto"/>
          <w:highlight w:val="none"/>
          <w:lang w:val="en-US" w:eastAsia="zh-Hans"/>
        </w:rPr>
        <w:t xml:space="preserve">Scientific Research (02): </w:t>
      </w:r>
      <w:r>
        <w:rPr>
          <w:rFonts w:hint="eastAsia" w:hAnsi="DejaVu Math TeX Gyre"/>
          <w:color w:val="auto"/>
          <w:highlight w:val="none"/>
          <w:lang w:val="en-US" w:eastAsia="zh-Hans"/>
        </w:rPr>
        <w:t>300-305.</w:t>
      </w:r>
    </w:p>
    <w:p w14:paraId="1FCD3425">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eastAsia" w:hAnsi="DejaVu Math TeX Gyre"/>
          <w:color w:val="auto"/>
          <w:highlight w:val="none"/>
          <w:lang w:val="en-US" w:eastAsia="zh-Hans"/>
        </w:rPr>
        <w:t xml:space="preserve">Yu Minggui, Fan Rui, Zhong Huijie. (2016). China's industrial policy and enterprise technological innovation. </w:t>
      </w:r>
      <w:r>
        <w:rPr>
          <w:rFonts w:hint="eastAsia" w:hAnsi="DejaVu Math TeX Gyre"/>
          <w:i/>
          <w:iCs/>
          <w:color w:val="auto"/>
          <w:highlight w:val="none"/>
          <w:lang w:val="en-US" w:eastAsia="zh-Hans"/>
        </w:rPr>
        <w:t>China Industrial Economics (12):</w:t>
      </w:r>
      <w:r>
        <w:rPr>
          <w:rFonts w:hint="eastAsia" w:hAnsi="DejaVu Math TeX Gyre"/>
          <w:color w:val="auto"/>
          <w:highlight w:val="none"/>
          <w:lang w:val="en-US" w:eastAsia="zh-Hans"/>
        </w:rPr>
        <w:t>5-22.</w:t>
      </w:r>
    </w:p>
    <w:p w14:paraId="44C0C7FF">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eastAsia" w:hAnsi="DejaVu Math TeX Gyre"/>
          <w:color w:val="auto"/>
          <w:highlight w:val="none"/>
          <w:lang w:val="en-US" w:eastAsia="zh-Hans"/>
        </w:rPr>
        <w:t xml:space="preserve">Yu Shenghua, Huang Wanying &amp; Zhao Pan. (2022). Research on the impact of the opening of producer service industry on the quality of innovation in manufacturing industry - a quasi-natural experiment based on China's accession to the WTO. </w:t>
      </w:r>
      <w:r>
        <w:rPr>
          <w:rFonts w:hint="eastAsia" w:hAnsi="DejaVu Math TeX Gyre"/>
          <w:i/>
          <w:iCs/>
          <w:color w:val="auto"/>
          <w:highlight w:val="none"/>
          <w:lang w:val="en-US" w:eastAsia="zh-Hans"/>
        </w:rPr>
        <w:t>Financial Theory and Practice (06)</w:t>
      </w:r>
      <w:r>
        <w:rPr>
          <w:rFonts w:hint="eastAsia" w:hAnsi="DejaVu Math TeX Gyre"/>
          <w:color w:val="auto"/>
          <w:highlight w:val="none"/>
          <w:lang w:val="en-US" w:eastAsia="zh-Hans"/>
        </w:rPr>
        <w:t>, 131-139.</w:t>
      </w:r>
    </w:p>
    <w:p w14:paraId="72B4A873">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default" w:hAnsi="DejaVu Math TeX Gyre"/>
          <w:color w:val="auto"/>
          <w:highlight w:val="none"/>
          <w:lang w:val="en-US" w:eastAsia="zh-Hans"/>
        </w:rPr>
      </w:pPr>
      <w:r>
        <w:rPr>
          <w:rFonts w:hint="default" w:hAnsi="DejaVu Math TeX Gyre"/>
          <w:color w:val="auto"/>
          <w:highlight w:val="none"/>
          <w:lang w:val="en-US" w:eastAsia="zh-Hans"/>
        </w:rPr>
        <w:t xml:space="preserve">Zhan Weiwei. (2023). Can the opening of capital markets promote the digital transformation of enterprises? —A quasi-natural experiment based on the trading system of the Mainland-Hong Kong Stock Connect. </w:t>
      </w:r>
      <w:r>
        <w:rPr>
          <w:rFonts w:hint="default" w:hAnsi="DejaVu Math TeX Gyre"/>
          <w:i/>
          <w:iCs/>
          <w:color w:val="auto"/>
          <w:highlight w:val="none"/>
          <w:lang w:val="en-US" w:eastAsia="zh-Hans"/>
        </w:rPr>
        <w:t>Journal of Beijing Institute of Technology (Social Sciences Edition) (04)</w:t>
      </w:r>
      <w:r>
        <w:rPr>
          <w:rFonts w:hint="default" w:hAnsi="DejaVu Math TeX Gyre"/>
          <w:color w:val="auto"/>
          <w:highlight w:val="none"/>
          <w:lang w:val="en-US" w:eastAsia="zh-Hans"/>
        </w:rPr>
        <w:t>, 159-172.</w:t>
      </w:r>
    </w:p>
    <w:p w14:paraId="75A48A87">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eastAsia" w:hAnsi="DejaVu Math TeX Gyre"/>
          <w:color w:val="auto"/>
          <w:highlight w:val="none"/>
          <w:lang w:val="en-US" w:eastAsia="zh-Hans"/>
        </w:rPr>
        <w:t xml:space="preserve">Zhang Feng, Liu Xiyuan, Wu Lidong, et al. (2019). Independent product innovation or service transformation: Economic policy uncertainty and independent innovation choices in the manufacturing industry. </w:t>
      </w:r>
      <w:r>
        <w:rPr>
          <w:rFonts w:hint="eastAsia" w:hAnsi="DejaVu Math TeX Gyre"/>
          <w:i/>
          <w:iCs/>
          <w:color w:val="auto"/>
          <w:highlight w:val="none"/>
          <w:lang w:val="en-US" w:eastAsia="zh-Hans"/>
        </w:rPr>
        <w:t>China Industrial Economics (07)</w:t>
      </w:r>
      <w:r>
        <w:rPr>
          <w:rFonts w:hint="eastAsia" w:hAnsi="DejaVu Math TeX Gyre"/>
          <w:color w:val="auto"/>
          <w:highlight w:val="none"/>
          <w:lang w:val="en-US" w:eastAsia="zh-Hans"/>
        </w:rPr>
        <w:t>:101-118.</w:t>
      </w:r>
    </w:p>
    <w:p w14:paraId="464C7189">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hAnsi="DejaVu Math TeX Gyre"/>
          <w:color w:val="auto"/>
          <w:highlight w:val="none"/>
          <w:lang w:val="en-US" w:eastAsia="zh-Hans"/>
        </w:rPr>
      </w:pPr>
      <w:r>
        <w:rPr>
          <w:rFonts w:hint="eastAsia" w:hAnsi="DejaVu Math TeX Gyre"/>
          <w:color w:val="auto"/>
          <w:highlight w:val="none"/>
          <w:lang w:val="en-US" w:eastAsia="zh-Hans"/>
        </w:rPr>
        <w:t xml:space="preserve">Zhang Feng, Dong Huizhong &amp; Wan Liyang. (2016). Analysis on the linkage development of knowledge-intensive producer service industry and manufacturing industry - an empirical study based on VAR model. </w:t>
      </w:r>
      <w:r>
        <w:rPr>
          <w:rFonts w:hint="eastAsia" w:hAnsi="DejaVu Math TeX Gyre"/>
          <w:i/>
          <w:iCs/>
          <w:color w:val="auto"/>
          <w:highlight w:val="none"/>
          <w:lang w:val="en-US" w:eastAsia="zh-Hans"/>
        </w:rPr>
        <w:t>Science and Technology Management Research (02)</w:t>
      </w:r>
      <w:r>
        <w:rPr>
          <w:rFonts w:hint="eastAsia" w:hAnsi="DejaVu Math TeX Gyre"/>
          <w:color w:val="auto"/>
          <w:highlight w:val="none"/>
          <w:lang w:val="en-US" w:eastAsia="zh-Hans"/>
        </w:rPr>
        <w:t>, 139-144.</w:t>
      </w:r>
    </w:p>
    <w:p w14:paraId="34EA02AB">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color w:val="auto"/>
          <w:highlight w:val="none"/>
        </w:rPr>
      </w:pPr>
      <w:r>
        <w:rPr>
          <w:rFonts w:hint="eastAsia" w:hAnsi="DejaVu Math TeX Gyre"/>
          <w:color w:val="auto"/>
          <w:highlight w:val="none"/>
          <w:lang w:val="en-US" w:eastAsia="zh-Hans"/>
        </w:rPr>
        <w:t xml:space="preserve">Zhang Yan, Tang Yihong &amp; Zhou Mohan. (2013). Does the liberalization of service trade improve the production efficiency of manufacturing enterprises? </w:t>
      </w:r>
      <w:r>
        <w:rPr>
          <w:rFonts w:hint="eastAsia" w:hAnsi="DejaVu Math TeX Gyre"/>
          <w:i/>
          <w:iCs/>
          <w:color w:val="auto"/>
          <w:highlight w:val="none"/>
          <w:lang w:val="en-US" w:eastAsia="zh-Hans"/>
        </w:rPr>
        <w:t>World Economy (11)</w:t>
      </w:r>
      <w:r>
        <w:rPr>
          <w:rFonts w:hint="eastAsia" w:hAnsi="DejaVu Math TeX Gyre"/>
          <w:color w:val="auto"/>
          <w:highlight w:val="none"/>
          <w:lang w:val="en-US" w:eastAsia="zh-Hans"/>
        </w:rPr>
        <w:t>, 51-71.</w:t>
      </w:r>
    </w:p>
    <w:p w14:paraId="74C76D60">
      <w:pPr>
        <w:ind w:left="210" w:hanging="210" w:hangingChars="100"/>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微软雅黑">
    <w:altName w:val="汉仪旗黑"/>
    <w:panose1 w:val="00000000000000000000"/>
    <w:charset w:val="00"/>
    <w:family w:val="auto"/>
    <w:pitch w:val="default"/>
    <w:sig w:usb0="00000000" w:usb1="00000000" w:usb2="00000000" w:usb3="00000000" w:csb0="00000000" w:csb1="00000000"/>
  </w:font>
  <w:font w:name="微软雅黑">
    <w:altName w:val="汉仪旗黑"/>
    <w:panose1 w:val="020B0503020204020204"/>
    <w:charset w:val="86"/>
    <w:family w:val="swiss"/>
    <w:pitch w:val="variable"/>
    <w:sig w:usb0="00000000" w:usb1="00000000" w:usb2="00000000" w:usb3="00000000" w:csb0="00000000" w:csb1="00000000"/>
  </w:font>
  <w:font w:name="Arial">
    <w:panose1 w:val="020B0604020202090204"/>
    <w:charset w:val="00"/>
    <w:family w:val=""/>
    <w:pitch w:val="default"/>
    <w:sig w:usb0="E0000AFF" w:usb1="00007843" w:usb2="00000001" w:usb3="00000000" w:csb0="400001BF" w:csb1="DFF70000"/>
  </w:font>
  <w:font w:name="DejaVu Math TeX Gyre">
    <w:panose1 w:val="02000503000000000000"/>
    <w:charset w:val="00"/>
    <w:family w:val="auto"/>
    <w:pitch w:val="default"/>
    <w:sig w:usb0="A10000EF" w:usb1="4201F9EE" w:usb2="02000000" w:usb3="00000000" w:csb0="60000193" w:csb1="0DD40000"/>
  </w:font>
  <w:font w:name="Arial Regular">
    <w:panose1 w:val="020B0604020202090204"/>
    <w:charset w:val="00"/>
    <w:family w:val="auto"/>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5MDYxNGE2YTlhMDNmY2EzMzhiNTNhYjE0MThkMGQifQ=="/>
  </w:docVars>
  <w:rsids>
    <w:rsidRoot w:val="21FFD97F"/>
    <w:rsid w:val="00023CE3"/>
    <w:rsid w:val="00131A56"/>
    <w:rsid w:val="002E1D12"/>
    <w:rsid w:val="00456738"/>
    <w:rsid w:val="00802052"/>
    <w:rsid w:val="009C00D4"/>
    <w:rsid w:val="009F7498"/>
    <w:rsid w:val="00B40BDD"/>
    <w:rsid w:val="00C01D91"/>
    <w:rsid w:val="00E37511"/>
    <w:rsid w:val="05DE8987"/>
    <w:rsid w:val="05FF39CE"/>
    <w:rsid w:val="077F5DD0"/>
    <w:rsid w:val="09E6CCBB"/>
    <w:rsid w:val="0DE5A14A"/>
    <w:rsid w:val="0F734BA8"/>
    <w:rsid w:val="0FDC614D"/>
    <w:rsid w:val="0FFD9D39"/>
    <w:rsid w:val="127FF3E0"/>
    <w:rsid w:val="137F6F60"/>
    <w:rsid w:val="15FF5AD4"/>
    <w:rsid w:val="15FFD948"/>
    <w:rsid w:val="173E89AA"/>
    <w:rsid w:val="175F710D"/>
    <w:rsid w:val="177C1DFE"/>
    <w:rsid w:val="17BF1922"/>
    <w:rsid w:val="17C67419"/>
    <w:rsid w:val="17DF308F"/>
    <w:rsid w:val="17E58CBA"/>
    <w:rsid w:val="17EF5CF2"/>
    <w:rsid w:val="19EF06FE"/>
    <w:rsid w:val="19FFCDEB"/>
    <w:rsid w:val="1A7846EF"/>
    <w:rsid w:val="1B6DFE11"/>
    <w:rsid w:val="1BE74330"/>
    <w:rsid w:val="1BF75401"/>
    <w:rsid w:val="1C6BCB3D"/>
    <w:rsid w:val="1C959B71"/>
    <w:rsid w:val="1CBF84E6"/>
    <w:rsid w:val="1CF47E61"/>
    <w:rsid w:val="1DEF1123"/>
    <w:rsid w:val="1DEF5AFF"/>
    <w:rsid w:val="1DFF57D0"/>
    <w:rsid w:val="1DFFA563"/>
    <w:rsid w:val="1E2FBEEA"/>
    <w:rsid w:val="1EDF76B0"/>
    <w:rsid w:val="1F16C0F5"/>
    <w:rsid w:val="1F38B5C3"/>
    <w:rsid w:val="1F6B3BA6"/>
    <w:rsid w:val="1F76A5E0"/>
    <w:rsid w:val="1F7F5C6D"/>
    <w:rsid w:val="1F7F9E1F"/>
    <w:rsid w:val="1FBD8A6D"/>
    <w:rsid w:val="1FDF4357"/>
    <w:rsid w:val="1FEB496B"/>
    <w:rsid w:val="1FECFEFB"/>
    <w:rsid w:val="1FEFC229"/>
    <w:rsid w:val="1FFB8A75"/>
    <w:rsid w:val="1FFE4294"/>
    <w:rsid w:val="1FFE6AAF"/>
    <w:rsid w:val="1FFF60D4"/>
    <w:rsid w:val="1FFF656E"/>
    <w:rsid w:val="1FFFF465"/>
    <w:rsid w:val="20FDDE09"/>
    <w:rsid w:val="21FFD97F"/>
    <w:rsid w:val="25F57694"/>
    <w:rsid w:val="2771A988"/>
    <w:rsid w:val="27775ECE"/>
    <w:rsid w:val="27DFD3C8"/>
    <w:rsid w:val="27F67EDE"/>
    <w:rsid w:val="27FFDA3A"/>
    <w:rsid w:val="29FC4FA6"/>
    <w:rsid w:val="2B13D60A"/>
    <w:rsid w:val="2B6F136C"/>
    <w:rsid w:val="2B7D1B1D"/>
    <w:rsid w:val="2B7EB768"/>
    <w:rsid w:val="2BD3D745"/>
    <w:rsid w:val="2BEBBAC2"/>
    <w:rsid w:val="2C9BBE85"/>
    <w:rsid w:val="2CBF94A2"/>
    <w:rsid w:val="2CDA8FDD"/>
    <w:rsid w:val="2D99C088"/>
    <w:rsid w:val="2DBBCA3C"/>
    <w:rsid w:val="2DD705B3"/>
    <w:rsid w:val="2DD79590"/>
    <w:rsid w:val="2DFD8C8B"/>
    <w:rsid w:val="2DFFD44D"/>
    <w:rsid w:val="2E7F7721"/>
    <w:rsid w:val="2E9F4106"/>
    <w:rsid w:val="2ED7F3C9"/>
    <w:rsid w:val="2EFDD021"/>
    <w:rsid w:val="2F56D78C"/>
    <w:rsid w:val="2F5BEEF5"/>
    <w:rsid w:val="2F776746"/>
    <w:rsid w:val="2F7CB4CD"/>
    <w:rsid w:val="2F9EFE95"/>
    <w:rsid w:val="2F9FEE69"/>
    <w:rsid w:val="2FCDBCC1"/>
    <w:rsid w:val="2FD1A240"/>
    <w:rsid w:val="2FDBA489"/>
    <w:rsid w:val="2FDBC049"/>
    <w:rsid w:val="2FF1DEA1"/>
    <w:rsid w:val="2FF598C2"/>
    <w:rsid w:val="2FF71ADB"/>
    <w:rsid w:val="2FFB96CC"/>
    <w:rsid w:val="2FFFA15A"/>
    <w:rsid w:val="2FFFA544"/>
    <w:rsid w:val="2FFFE467"/>
    <w:rsid w:val="313EFA9C"/>
    <w:rsid w:val="31799A1A"/>
    <w:rsid w:val="319F3D38"/>
    <w:rsid w:val="33738D20"/>
    <w:rsid w:val="33DFE088"/>
    <w:rsid w:val="33F536DD"/>
    <w:rsid w:val="35048AE6"/>
    <w:rsid w:val="356690D3"/>
    <w:rsid w:val="35FD2BA4"/>
    <w:rsid w:val="35FF33FD"/>
    <w:rsid w:val="35FFA89E"/>
    <w:rsid w:val="367A870C"/>
    <w:rsid w:val="367D191E"/>
    <w:rsid w:val="36FF1117"/>
    <w:rsid w:val="36FF56F1"/>
    <w:rsid w:val="3731DCAA"/>
    <w:rsid w:val="37480FD8"/>
    <w:rsid w:val="376F7AE8"/>
    <w:rsid w:val="377E9D87"/>
    <w:rsid w:val="378F5F56"/>
    <w:rsid w:val="379B5A25"/>
    <w:rsid w:val="379DE570"/>
    <w:rsid w:val="37AFF631"/>
    <w:rsid w:val="37BF2024"/>
    <w:rsid w:val="37DFB6F3"/>
    <w:rsid w:val="37E5563E"/>
    <w:rsid w:val="37E76755"/>
    <w:rsid w:val="37EF203F"/>
    <w:rsid w:val="37F5A0E1"/>
    <w:rsid w:val="37FB96B4"/>
    <w:rsid w:val="37FDA351"/>
    <w:rsid w:val="37FF46E0"/>
    <w:rsid w:val="37FFA7C7"/>
    <w:rsid w:val="37FFA936"/>
    <w:rsid w:val="38570BEA"/>
    <w:rsid w:val="38EFAB0E"/>
    <w:rsid w:val="38F7DB57"/>
    <w:rsid w:val="39B3E094"/>
    <w:rsid w:val="39BF4C31"/>
    <w:rsid w:val="39CF21F0"/>
    <w:rsid w:val="39F3E37D"/>
    <w:rsid w:val="39FD52B2"/>
    <w:rsid w:val="3A5F0F7A"/>
    <w:rsid w:val="3A7C3016"/>
    <w:rsid w:val="3A9B3414"/>
    <w:rsid w:val="3AAE00BB"/>
    <w:rsid w:val="3ADC275C"/>
    <w:rsid w:val="3AFB7300"/>
    <w:rsid w:val="3B6CAA24"/>
    <w:rsid w:val="3B7A962C"/>
    <w:rsid w:val="3B7BB71E"/>
    <w:rsid w:val="3BAB8393"/>
    <w:rsid w:val="3BB38471"/>
    <w:rsid w:val="3BB3C17D"/>
    <w:rsid w:val="3BC33D30"/>
    <w:rsid w:val="3BC4855F"/>
    <w:rsid w:val="3BDF8756"/>
    <w:rsid w:val="3BEF9EEE"/>
    <w:rsid w:val="3BF14527"/>
    <w:rsid w:val="3BF33FD2"/>
    <w:rsid w:val="3BF7BAFD"/>
    <w:rsid w:val="3BFD21B2"/>
    <w:rsid w:val="3BFE922E"/>
    <w:rsid w:val="3BFFF83C"/>
    <w:rsid w:val="3C5FB9A5"/>
    <w:rsid w:val="3C7772F4"/>
    <w:rsid w:val="3C7DB41E"/>
    <w:rsid w:val="3CC76E44"/>
    <w:rsid w:val="3D5F76A0"/>
    <w:rsid w:val="3D6B217B"/>
    <w:rsid w:val="3D74045B"/>
    <w:rsid w:val="3D7B4ED7"/>
    <w:rsid w:val="3D7B755D"/>
    <w:rsid w:val="3D7F8D08"/>
    <w:rsid w:val="3DBA37E7"/>
    <w:rsid w:val="3DBE699A"/>
    <w:rsid w:val="3DD3E62F"/>
    <w:rsid w:val="3DDC0AF0"/>
    <w:rsid w:val="3DDE7CD3"/>
    <w:rsid w:val="3DDEABEC"/>
    <w:rsid w:val="3DEBE415"/>
    <w:rsid w:val="3DEE1E8E"/>
    <w:rsid w:val="3DF431C3"/>
    <w:rsid w:val="3DFE4DB6"/>
    <w:rsid w:val="3DFF08C6"/>
    <w:rsid w:val="3DFF275C"/>
    <w:rsid w:val="3DFF6A08"/>
    <w:rsid w:val="3DFFDA97"/>
    <w:rsid w:val="3E6708F9"/>
    <w:rsid w:val="3E7D7467"/>
    <w:rsid w:val="3E7F0601"/>
    <w:rsid w:val="3EBDD585"/>
    <w:rsid w:val="3EDF7F3B"/>
    <w:rsid w:val="3EEDF3B2"/>
    <w:rsid w:val="3EEF0CDF"/>
    <w:rsid w:val="3EF6E003"/>
    <w:rsid w:val="3F1D0F19"/>
    <w:rsid w:val="3F4F36AF"/>
    <w:rsid w:val="3F541CF9"/>
    <w:rsid w:val="3F5A6C54"/>
    <w:rsid w:val="3F5DDB4F"/>
    <w:rsid w:val="3F5E6B63"/>
    <w:rsid w:val="3F5FF775"/>
    <w:rsid w:val="3F7B85C8"/>
    <w:rsid w:val="3F7D711D"/>
    <w:rsid w:val="3FABC8E9"/>
    <w:rsid w:val="3FB362BC"/>
    <w:rsid w:val="3FB7846D"/>
    <w:rsid w:val="3FB7A1BF"/>
    <w:rsid w:val="3FBD44C6"/>
    <w:rsid w:val="3FBE712C"/>
    <w:rsid w:val="3FBF7702"/>
    <w:rsid w:val="3FBF8B4B"/>
    <w:rsid w:val="3FBFEE4D"/>
    <w:rsid w:val="3FC7C5C9"/>
    <w:rsid w:val="3FCF7C0D"/>
    <w:rsid w:val="3FD6547E"/>
    <w:rsid w:val="3FDBA607"/>
    <w:rsid w:val="3FE39777"/>
    <w:rsid w:val="3FE5E109"/>
    <w:rsid w:val="3FE64F67"/>
    <w:rsid w:val="3FF27EDA"/>
    <w:rsid w:val="3FF53831"/>
    <w:rsid w:val="3FF5526C"/>
    <w:rsid w:val="3FF5DB3F"/>
    <w:rsid w:val="3FF6E1EF"/>
    <w:rsid w:val="3FF709B4"/>
    <w:rsid w:val="3FFAF8EF"/>
    <w:rsid w:val="3FFBF94D"/>
    <w:rsid w:val="3FFD874A"/>
    <w:rsid w:val="3FFD987D"/>
    <w:rsid w:val="3FFE2555"/>
    <w:rsid w:val="3FFE94D9"/>
    <w:rsid w:val="3FFEC2F8"/>
    <w:rsid w:val="3FFF7EEA"/>
    <w:rsid w:val="3FFF82E3"/>
    <w:rsid w:val="3FFFADDF"/>
    <w:rsid w:val="3FFFBD36"/>
    <w:rsid w:val="42FE0DD9"/>
    <w:rsid w:val="437F60FC"/>
    <w:rsid w:val="43B486BA"/>
    <w:rsid w:val="44977BD5"/>
    <w:rsid w:val="44C3528B"/>
    <w:rsid w:val="45EFEDD9"/>
    <w:rsid w:val="461FE636"/>
    <w:rsid w:val="465E63EF"/>
    <w:rsid w:val="47AFEF23"/>
    <w:rsid w:val="47ECCDFE"/>
    <w:rsid w:val="47F7C5C2"/>
    <w:rsid w:val="47FA34D0"/>
    <w:rsid w:val="47FF28B4"/>
    <w:rsid w:val="48BB9601"/>
    <w:rsid w:val="48F5B0E4"/>
    <w:rsid w:val="4B3E6291"/>
    <w:rsid w:val="4B6BF00D"/>
    <w:rsid w:val="4BCF6469"/>
    <w:rsid w:val="4BD7D436"/>
    <w:rsid w:val="4BDBADEF"/>
    <w:rsid w:val="4BDFEB36"/>
    <w:rsid w:val="4CEBD471"/>
    <w:rsid w:val="4D7BD3C0"/>
    <w:rsid w:val="4E1F21BE"/>
    <w:rsid w:val="4E3B2164"/>
    <w:rsid w:val="4E3F4CD1"/>
    <w:rsid w:val="4E7F85FF"/>
    <w:rsid w:val="4E9185D7"/>
    <w:rsid w:val="4EC7ED57"/>
    <w:rsid w:val="4EFB65D4"/>
    <w:rsid w:val="4EFD4B7E"/>
    <w:rsid w:val="4EFEB58D"/>
    <w:rsid w:val="4EFF4DF2"/>
    <w:rsid w:val="4F0D123B"/>
    <w:rsid w:val="4F728710"/>
    <w:rsid w:val="4F79A850"/>
    <w:rsid w:val="4F7FB3FB"/>
    <w:rsid w:val="4FBFF21D"/>
    <w:rsid w:val="4FC32BF9"/>
    <w:rsid w:val="4FF7A0ED"/>
    <w:rsid w:val="4FF7BCF8"/>
    <w:rsid w:val="4FF7E7F8"/>
    <w:rsid w:val="4FFBD302"/>
    <w:rsid w:val="4FFF649C"/>
    <w:rsid w:val="4FFF8F87"/>
    <w:rsid w:val="50FE516B"/>
    <w:rsid w:val="50FFD983"/>
    <w:rsid w:val="517FBF82"/>
    <w:rsid w:val="51DF73AF"/>
    <w:rsid w:val="51FB447B"/>
    <w:rsid w:val="5359BC8F"/>
    <w:rsid w:val="537FF0A9"/>
    <w:rsid w:val="53BF6892"/>
    <w:rsid w:val="53F95AA6"/>
    <w:rsid w:val="53FDA845"/>
    <w:rsid w:val="53FF3DEF"/>
    <w:rsid w:val="53FF8A05"/>
    <w:rsid w:val="54DB0BDE"/>
    <w:rsid w:val="54DFA799"/>
    <w:rsid w:val="54FF6C88"/>
    <w:rsid w:val="557E54FB"/>
    <w:rsid w:val="55D17575"/>
    <w:rsid w:val="55F767A8"/>
    <w:rsid w:val="55FBDB05"/>
    <w:rsid w:val="565D40AC"/>
    <w:rsid w:val="567EFCF0"/>
    <w:rsid w:val="56D1FAFA"/>
    <w:rsid w:val="56FEE764"/>
    <w:rsid w:val="56FEFF29"/>
    <w:rsid w:val="572EFB86"/>
    <w:rsid w:val="573D7B90"/>
    <w:rsid w:val="575BB64B"/>
    <w:rsid w:val="575FB7AB"/>
    <w:rsid w:val="576FBB72"/>
    <w:rsid w:val="57BF0956"/>
    <w:rsid w:val="57DFD09A"/>
    <w:rsid w:val="57E6F8D7"/>
    <w:rsid w:val="57EF516B"/>
    <w:rsid w:val="57F036CB"/>
    <w:rsid w:val="57F3965B"/>
    <w:rsid w:val="57F5015C"/>
    <w:rsid w:val="57F7AF8D"/>
    <w:rsid w:val="57FB38FF"/>
    <w:rsid w:val="57FDF2E7"/>
    <w:rsid w:val="57FEF292"/>
    <w:rsid w:val="57FF8990"/>
    <w:rsid w:val="57FFA46A"/>
    <w:rsid w:val="583F4A42"/>
    <w:rsid w:val="597B5F65"/>
    <w:rsid w:val="59AEBA5D"/>
    <w:rsid w:val="59BFA9D5"/>
    <w:rsid w:val="59FB3B6F"/>
    <w:rsid w:val="5AB987EB"/>
    <w:rsid w:val="5ABBE559"/>
    <w:rsid w:val="5AFF20FB"/>
    <w:rsid w:val="5B3FA2FC"/>
    <w:rsid w:val="5B4FA652"/>
    <w:rsid w:val="5B6E2BED"/>
    <w:rsid w:val="5B6F2F8B"/>
    <w:rsid w:val="5B6F344E"/>
    <w:rsid w:val="5B773506"/>
    <w:rsid w:val="5BAFED39"/>
    <w:rsid w:val="5BB7791C"/>
    <w:rsid w:val="5BDF8688"/>
    <w:rsid w:val="5BFDB4BA"/>
    <w:rsid w:val="5BFE3A56"/>
    <w:rsid w:val="5BFF1317"/>
    <w:rsid w:val="5BFF3F18"/>
    <w:rsid w:val="5BFFC1D0"/>
    <w:rsid w:val="5C398603"/>
    <w:rsid w:val="5C8FEBB3"/>
    <w:rsid w:val="5CB30F8A"/>
    <w:rsid w:val="5CBBBFAA"/>
    <w:rsid w:val="5CF81632"/>
    <w:rsid w:val="5D3F7813"/>
    <w:rsid w:val="5D47A15D"/>
    <w:rsid w:val="5D7FDC68"/>
    <w:rsid w:val="5D9FF3BE"/>
    <w:rsid w:val="5DAD3646"/>
    <w:rsid w:val="5DB75564"/>
    <w:rsid w:val="5DB77183"/>
    <w:rsid w:val="5DBFDB6B"/>
    <w:rsid w:val="5DDF1E63"/>
    <w:rsid w:val="5DEBE2C6"/>
    <w:rsid w:val="5DEDA502"/>
    <w:rsid w:val="5DF6C46F"/>
    <w:rsid w:val="5DF73AEF"/>
    <w:rsid w:val="5DFFE213"/>
    <w:rsid w:val="5E7E2167"/>
    <w:rsid w:val="5E7F29FE"/>
    <w:rsid w:val="5E9F56D6"/>
    <w:rsid w:val="5EAF28DF"/>
    <w:rsid w:val="5EBF4E38"/>
    <w:rsid w:val="5EBF97E1"/>
    <w:rsid w:val="5EC31417"/>
    <w:rsid w:val="5ED836E5"/>
    <w:rsid w:val="5EDEED22"/>
    <w:rsid w:val="5EDFD9A9"/>
    <w:rsid w:val="5EEBF016"/>
    <w:rsid w:val="5EF26C9A"/>
    <w:rsid w:val="5EF3B837"/>
    <w:rsid w:val="5EF729DB"/>
    <w:rsid w:val="5EF74D65"/>
    <w:rsid w:val="5F2C81E5"/>
    <w:rsid w:val="5F2FBB2C"/>
    <w:rsid w:val="5F3E68FB"/>
    <w:rsid w:val="5F3F0DFF"/>
    <w:rsid w:val="5F3F8D53"/>
    <w:rsid w:val="5F539FC4"/>
    <w:rsid w:val="5F5E7E75"/>
    <w:rsid w:val="5F6F3E5D"/>
    <w:rsid w:val="5F6FE8F9"/>
    <w:rsid w:val="5F72A289"/>
    <w:rsid w:val="5F7A1965"/>
    <w:rsid w:val="5F7DF06C"/>
    <w:rsid w:val="5F973A38"/>
    <w:rsid w:val="5FABC0D2"/>
    <w:rsid w:val="5FB589CE"/>
    <w:rsid w:val="5FB73945"/>
    <w:rsid w:val="5FB7E9B8"/>
    <w:rsid w:val="5FBF1B8B"/>
    <w:rsid w:val="5FBFAE80"/>
    <w:rsid w:val="5FBFCD38"/>
    <w:rsid w:val="5FDC78F2"/>
    <w:rsid w:val="5FE77938"/>
    <w:rsid w:val="5FEB9D2A"/>
    <w:rsid w:val="5FEDC5B2"/>
    <w:rsid w:val="5FF10783"/>
    <w:rsid w:val="5FF71136"/>
    <w:rsid w:val="5FF7D29D"/>
    <w:rsid w:val="5FFB0A59"/>
    <w:rsid w:val="5FFD42CA"/>
    <w:rsid w:val="5FFDFF1B"/>
    <w:rsid w:val="5FFE3A53"/>
    <w:rsid w:val="5FFEA264"/>
    <w:rsid w:val="5FFF2915"/>
    <w:rsid w:val="5FFF4083"/>
    <w:rsid w:val="5FFFA4B8"/>
    <w:rsid w:val="5FFFC5DD"/>
    <w:rsid w:val="609EE7D4"/>
    <w:rsid w:val="61FC1E12"/>
    <w:rsid w:val="62E32F35"/>
    <w:rsid w:val="63570EFA"/>
    <w:rsid w:val="63CB6B9E"/>
    <w:rsid w:val="63DF8EAD"/>
    <w:rsid w:val="63FD4171"/>
    <w:rsid w:val="63FE5A54"/>
    <w:rsid w:val="64BD3DA0"/>
    <w:rsid w:val="6554BB27"/>
    <w:rsid w:val="657F3841"/>
    <w:rsid w:val="6596B664"/>
    <w:rsid w:val="65CFC2E8"/>
    <w:rsid w:val="666F3226"/>
    <w:rsid w:val="667D549C"/>
    <w:rsid w:val="66B23785"/>
    <w:rsid w:val="66D7E901"/>
    <w:rsid w:val="66DFD353"/>
    <w:rsid w:val="66EF2DB3"/>
    <w:rsid w:val="66FD00B8"/>
    <w:rsid w:val="6721AB64"/>
    <w:rsid w:val="67340E28"/>
    <w:rsid w:val="67376A85"/>
    <w:rsid w:val="677D3E46"/>
    <w:rsid w:val="677F2B89"/>
    <w:rsid w:val="67BFE92F"/>
    <w:rsid w:val="67BFED51"/>
    <w:rsid w:val="67DA06C4"/>
    <w:rsid w:val="67EC3B9E"/>
    <w:rsid w:val="67F7A82A"/>
    <w:rsid w:val="67FE6B31"/>
    <w:rsid w:val="67FF35F1"/>
    <w:rsid w:val="67FF423E"/>
    <w:rsid w:val="687562FA"/>
    <w:rsid w:val="68F5E23D"/>
    <w:rsid w:val="68FB5DC9"/>
    <w:rsid w:val="68FEF48C"/>
    <w:rsid w:val="69F72640"/>
    <w:rsid w:val="69FBF951"/>
    <w:rsid w:val="69FF3CB8"/>
    <w:rsid w:val="6A3F50D3"/>
    <w:rsid w:val="6B57EA43"/>
    <w:rsid w:val="6B5BD112"/>
    <w:rsid w:val="6B76200D"/>
    <w:rsid w:val="6B7E27A2"/>
    <w:rsid w:val="6B9F6FB7"/>
    <w:rsid w:val="6BBF6F1B"/>
    <w:rsid w:val="6BBFE73D"/>
    <w:rsid w:val="6BCF7751"/>
    <w:rsid w:val="6BD3E177"/>
    <w:rsid w:val="6BE1D067"/>
    <w:rsid w:val="6BE7C51D"/>
    <w:rsid w:val="6BEADA83"/>
    <w:rsid w:val="6BF3CF47"/>
    <w:rsid w:val="6BFBA64D"/>
    <w:rsid w:val="6BFF1418"/>
    <w:rsid w:val="6BFFD5E4"/>
    <w:rsid w:val="6CBF10B1"/>
    <w:rsid w:val="6CF79B53"/>
    <w:rsid w:val="6CFF663A"/>
    <w:rsid w:val="6D2C1826"/>
    <w:rsid w:val="6D3F3926"/>
    <w:rsid w:val="6D77344E"/>
    <w:rsid w:val="6D777A2A"/>
    <w:rsid w:val="6D7ED3CD"/>
    <w:rsid w:val="6D9D8ABC"/>
    <w:rsid w:val="6DC1E705"/>
    <w:rsid w:val="6DDD5D31"/>
    <w:rsid w:val="6DDF18C5"/>
    <w:rsid w:val="6DE7BD02"/>
    <w:rsid w:val="6DEC9589"/>
    <w:rsid w:val="6DEF1DC4"/>
    <w:rsid w:val="6DF35297"/>
    <w:rsid w:val="6DF634DC"/>
    <w:rsid w:val="6DFFA411"/>
    <w:rsid w:val="6E7491D0"/>
    <w:rsid w:val="6E7E2C70"/>
    <w:rsid w:val="6E975F8E"/>
    <w:rsid w:val="6EB38D75"/>
    <w:rsid w:val="6EBF7DCA"/>
    <w:rsid w:val="6EDE6930"/>
    <w:rsid w:val="6EF6B843"/>
    <w:rsid w:val="6EFAD2E7"/>
    <w:rsid w:val="6EFB3C20"/>
    <w:rsid w:val="6EFF38A2"/>
    <w:rsid w:val="6EFFC84D"/>
    <w:rsid w:val="6F1371C5"/>
    <w:rsid w:val="6F37F8B5"/>
    <w:rsid w:val="6F3EC035"/>
    <w:rsid w:val="6F47125A"/>
    <w:rsid w:val="6F557E00"/>
    <w:rsid w:val="6F5E4EF6"/>
    <w:rsid w:val="6F5FB085"/>
    <w:rsid w:val="6F73676E"/>
    <w:rsid w:val="6F7B89CA"/>
    <w:rsid w:val="6FAF341D"/>
    <w:rsid w:val="6FBD5167"/>
    <w:rsid w:val="6FBED6E5"/>
    <w:rsid w:val="6FBF0D7B"/>
    <w:rsid w:val="6FBF698F"/>
    <w:rsid w:val="6FD4D4BE"/>
    <w:rsid w:val="6FD6AF28"/>
    <w:rsid w:val="6FDAF7DE"/>
    <w:rsid w:val="6FDBE822"/>
    <w:rsid w:val="6FDD7CFE"/>
    <w:rsid w:val="6FDFDC22"/>
    <w:rsid w:val="6FEB679B"/>
    <w:rsid w:val="6FF34E10"/>
    <w:rsid w:val="6FF4AB49"/>
    <w:rsid w:val="6FF51006"/>
    <w:rsid w:val="6FF5C69F"/>
    <w:rsid w:val="6FF79A49"/>
    <w:rsid w:val="6FFD263F"/>
    <w:rsid w:val="6FFD8A5F"/>
    <w:rsid w:val="6FFDD4B3"/>
    <w:rsid w:val="6FFE272A"/>
    <w:rsid w:val="6FFF3CC7"/>
    <w:rsid w:val="6FFF7EEA"/>
    <w:rsid w:val="6FFFA27F"/>
    <w:rsid w:val="6FFFC6D7"/>
    <w:rsid w:val="6FFFD906"/>
    <w:rsid w:val="6FFFDEEE"/>
    <w:rsid w:val="6FFFE565"/>
    <w:rsid w:val="6FFFE888"/>
    <w:rsid w:val="70FB956D"/>
    <w:rsid w:val="71D32BB4"/>
    <w:rsid w:val="71F72B63"/>
    <w:rsid w:val="71FB66DD"/>
    <w:rsid w:val="72BDBEEB"/>
    <w:rsid w:val="72DFDE91"/>
    <w:rsid w:val="72F75381"/>
    <w:rsid w:val="72FD4358"/>
    <w:rsid w:val="732751CC"/>
    <w:rsid w:val="733B48CC"/>
    <w:rsid w:val="733D3687"/>
    <w:rsid w:val="73792FDF"/>
    <w:rsid w:val="737F9EE3"/>
    <w:rsid w:val="739F707A"/>
    <w:rsid w:val="73E8A95E"/>
    <w:rsid w:val="73FF44F9"/>
    <w:rsid w:val="73FFBF77"/>
    <w:rsid w:val="743B653F"/>
    <w:rsid w:val="749D4702"/>
    <w:rsid w:val="74AF153F"/>
    <w:rsid w:val="74B385CF"/>
    <w:rsid w:val="74FE2D5D"/>
    <w:rsid w:val="74FFDBE8"/>
    <w:rsid w:val="755B8046"/>
    <w:rsid w:val="757F53BB"/>
    <w:rsid w:val="75DFDCE5"/>
    <w:rsid w:val="75ED52FB"/>
    <w:rsid w:val="75FB216C"/>
    <w:rsid w:val="75FBFF4E"/>
    <w:rsid w:val="76176BC8"/>
    <w:rsid w:val="76341815"/>
    <w:rsid w:val="764124AB"/>
    <w:rsid w:val="76571B2A"/>
    <w:rsid w:val="7677AA33"/>
    <w:rsid w:val="76B7923E"/>
    <w:rsid w:val="76BD674A"/>
    <w:rsid w:val="76E24B94"/>
    <w:rsid w:val="76F6B44A"/>
    <w:rsid w:val="76FB6F0F"/>
    <w:rsid w:val="76FF3690"/>
    <w:rsid w:val="76FF4625"/>
    <w:rsid w:val="76FF8DC0"/>
    <w:rsid w:val="77079B3F"/>
    <w:rsid w:val="773E54FA"/>
    <w:rsid w:val="77577745"/>
    <w:rsid w:val="776B007A"/>
    <w:rsid w:val="776FCA57"/>
    <w:rsid w:val="777A35D8"/>
    <w:rsid w:val="777D0DAB"/>
    <w:rsid w:val="778A5B93"/>
    <w:rsid w:val="778F2CBD"/>
    <w:rsid w:val="779BC816"/>
    <w:rsid w:val="77A7EF01"/>
    <w:rsid w:val="77A8F110"/>
    <w:rsid w:val="77B3CEE6"/>
    <w:rsid w:val="77B3CF30"/>
    <w:rsid w:val="77B5A377"/>
    <w:rsid w:val="77BAD38B"/>
    <w:rsid w:val="77BB0F58"/>
    <w:rsid w:val="77BEBF3C"/>
    <w:rsid w:val="77BF0072"/>
    <w:rsid w:val="77BF62C1"/>
    <w:rsid w:val="77D79362"/>
    <w:rsid w:val="77D7E51E"/>
    <w:rsid w:val="77DB4E71"/>
    <w:rsid w:val="77DD76D0"/>
    <w:rsid w:val="77DF10B5"/>
    <w:rsid w:val="77EB5349"/>
    <w:rsid w:val="77EB7BDE"/>
    <w:rsid w:val="77F2E0D3"/>
    <w:rsid w:val="77F5F0C8"/>
    <w:rsid w:val="77F71E1E"/>
    <w:rsid w:val="77F738D0"/>
    <w:rsid w:val="77F77570"/>
    <w:rsid w:val="77FA2D41"/>
    <w:rsid w:val="77FB95E1"/>
    <w:rsid w:val="77FBD3C1"/>
    <w:rsid w:val="77FD13E1"/>
    <w:rsid w:val="77FE091C"/>
    <w:rsid w:val="77FED168"/>
    <w:rsid w:val="77FF635C"/>
    <w:rsid w:val="77FFAC2F"/>
    <w:rsid w:val="78777B04"/>
    <w:rsid w:val="789BEDE1"/>
    <w:rsid w:val="78AD5C78"/>
    <w:rsid w:val="78EBE496"/>
    <w:rsid w:val="78F7A8B5"/>
    <w:rsid w:val="78FD9163"/>
    <w:rsid w:val="7923EC11"/>
    <w:rsid w:val="793FAF7E"/>
    <w:rsid w:val="797F8502"/>
    <w:rsid w:val="798F6D88"/>
    <w:rsid w:val="79B0C509"/>
    <w:rsid w:val="79B7DE19"/>
    <w:rsid w:val="79BF39B8"/>
    <w:rsid w:val="79EF3840"/>
    <w:rsid w:val="79F543F4"/>
    <w:rsid w:val="79F7A6C2"/>
    <w:rsid w:val="79FB1247"/>
    <w:rsid w:val="79FE68DC"/>
    <w:rsid w:val="79FE9057"/>
    <w:rsid w:val="79FF3AB9"/>
    <w:rsid w:val="79FFE140"/>
    <w:rsid w:val="7A5A9944"/>
    <w:rsid w:val="7A751F9C"/>
    <w:rsid w:val="7A757B9F"/>
    <w:rsid w:val="7A7E8D20"/>
    <w:rsid w:val="7A9E971E"/>
    <w:rsid w:val="7AA6354C"/>
    <w:rsid w:val="7ABF6E37"/>
    <w:rsid w:val="7ACC6736"/>
    <w:rsid w:val="7AD90B70"/>
    <w:rsid w:val="7AE914F5"/>
    <w:rsid w:val="7AEDAD04"/>
    <w:rsid w:val="7AEF46EF"/>
    <w:rsid w:val="7AFF0ED7"/>
    <w:rsid w:val="7AFF3394"/>
    <w:rsid w:val="7AFF9981"/>
    <w:rsid w:val="7AFFB154"/>
    <w:rsid w:val="7B3D1F88"/>
    <w:rsid w:val="7B47BB99"/>
    <w:rsid w:val="7B57FDBF"/>
    <w:rsid w:val="7B6B5B2A"/>
    <w:rsid w:val="7B6F4FAB"/>
    <w:rsid w:val="7B77C48A"/>
    <w:rsid w:val="7B7BC221"/>
    <w:rsid w:val="7B7DEF85"/>
    <w:rsid w:val="7B7E8DA5"/>
    <w:rsid w:val="7B7F0B90"/>
    <w:rsid w:val="7B9A71AD"/>
    <w:rsid w:val="7B9F2989"/>
    <w:rsid w:val="7BAB8436"/>
    <w:rsid w:val="7BAFD4D6"/>
    <w:rsid w:val="7BBB4B4F"/>
    <w:rsid w:val="7BBBD3CC"/>
    <w:rsid w:val="7BBD3613"/>
    <w:rsid w:val="7BBFBB88"/>
    <w:rsid w:val="7BBFCE9B"/>
    <w:rsid w:val="7BBFDC59"/>
    <w:rsid w:val="7BBFE355"/>
    <w:rsid w:val="7BCB3F00"/>
    <w:rsid w:val="7BD3E7A6"/>
    <w:rsid w:val="7BD945E7"/>
    <w:rsid w:val="7BDEF88F"/>
    <w:rsid w:val="7BDF1EA6"/>
    <w:rsid w:val="7BDF4939"/>
    <w:rsid w:val="7BE70F81"/>
    <w:rsid w:val="7BEB884C"/>
    <w:rsid w:val="7BEF5300"/>
    <w:rsid w:val="7BEF9AB6"/>
    <w:rsid w:val="7BEFCF38"/>
    <w:rsid w:val="7BF78D79"/>
    <w:rsid w:val="7BFB1365"/>
    <w:rsid w:val="7BFB2289"/>
    <w:rsid w:val="7BFB9407"/>
    <w:rsid w:val="7BFB98A0"/>
    <w:rsid w:val="7BFEE754"/>
    <w:rsid w:val="7BFF6815"/>
    <w:rsid w:val="7BFF7EF9"/>
    <w:rsid w:val="7BFF9B8D"/>
    <w:rsid w:val="7BFFB1CE"/>
    <w:rsid w:val="7BFFBD71"/>
    <w:rsid w:val="7BFFBDBF"/>
    <w:rsid w:val="7C149E30"/>
    <w:rsid w:val="7C2FDD52"/>
    <w:rsid w:val="7C4F80FB"/>
    <w:rsid w:val="7C7C3E07"/>
    <w:rsid w:val="7C9BB311"/>
    <w:rsid w:val="7CA53CF3"/>
    <w:rsid w:val="7CCEFA11"/>
    <w:rsid w:val="7CCF183F"/>
    <w:rsid w:val="7CD76603"/>
    <w:rsid w:val="7CDD6259"/>
    <w:rsid w:val="7CF97DBA"/>
    <w:rsid w:val="7CF99E4D"/>
    <w:rsid w:val="7CFA0869"/>
    <w:rsid w:val="7CFABEEC"/>
    <w:rsid w:val="7CFF4DEE"/>
    <w:rsid w:val="7CFF5B6D"/>
    <w:rsid w:val="7CFFE04E"/>
    <w:rsid w:val="7CFFF97F"/>
    <w:rsid w:val="7D371D28"/>
    <w:rsid w:val="7D3D7919"/>
    <w:rsid w:val="7D3FF8D9"/>
    <w:rsid w:val="7D5322F2"/>
    <w:rsid w:val="7D5B32AB"/>
    <w:rsid w:val="7D5D3B2A"/>
    <w:rsid w:val="7D971573"/>
    <w:rsid w:val="7D9B966F"/>
    <w:rsid w:val="7DAFA642"/>
    <w:rsid w:val="7DBBF00F"/>
    <w:rsid w:val="7DBD2D71"/>
    <w:rsid w:val="7DBF5BB3"/>
    <w:rsid w:val="7DC7540E"/>
    <w:rsid w:val="7DCE9862"/>
    <w:rsid w:val="7DCFBDAF"/>
    <w:rsid w:val="7DD5C01E"/>
    <w:rsid w:val="7DD948B7"/>
    <w:rsid w:val="7DDB6F3E"/>
    <w:rsid w:val="7DDFA479"/>
    <w:rsid w:val="7DE3B4B6"/>
    <w:rsid w:val="7DEF62DB"/>
    <w:rsid w:val="7DEFFD9C"/>
    <w:rsid w:val="7DF3BB33"/>
    <w:rsid w:val="7DFB4E83"/>
    <w:rsid w:val="7DFB6700"/>
    <w:rsid w:val="7DFD6A76"/>
    <w:rsid w:val="7DFF753E"/>
    <w:rsid w:val="7DFF84AC"/>
    <w:rsid w:val="7E0FB61E"/>
    <w:rsid w:val="7E3DF0AE"/>
    <w:rsid w:val="7E577EFE"/>
    <w:rsid w:val="7E6F395A"/>
    <w:rsid w:val="7E76D2F5"/>
    <w:rsid w:val="7E7B400E"/>
    <w:rsid w:val="7E7D4BD7"/>
    <w:rsid w:val="7E7E32C9"/>
    <w:rsid w:val="7E7EDD3A"/>
    <w:rsid w:val="7E7F68CC"/>
    <w:rsid w:val="7E7FA179"/>
    <w:rsid w:val="7E8EC337"/>
    <w:rsid w:val="7EA7EA1D"/>
    <w:rsid w:val="7EB69510"/>
    <w:rsid w:val="7EBBE259"/>
    <w:rsid w:val="7ED91E25"/>
    <w:rsid w:val="7EE5B96A"/>
    <w:rsid w:val="7EE6B446"/>
    <w:rsid w:val="7EE982E0"/>
    <w:rsid w:val="7EEBBE06"/>
    <w:rsid w:val="7EED3C98"/>
    <w:rsid w:val="7EEFEF2B"/>
    <w:rsid w:val="7EF1AF2B"/>
    <w:rsid w:val="7EF7D133"/>
    <w:rsid w:val="7EF993C4"/>
    <w:rsid w:val="7EFD52AE"/>
    <w:rsid w:val="7EFED9D9"/>
    <w:rsid w:val="7EFFB547"/>
    <w:rsid w:val="7EFFF33A"/>
    <w:rsid w:val="7F07C482"/>
    <w:rsid w:val="7F0DB784"/>
    <w:rsid w:val="7F0EAD06"/>
    <w:rsid w:val="7F1B87D4"/>
    <w:rsid w:val="7F1FDF2A"/>
    <w:rsid w:val="7F368E20"/>
    <w:rsid w:val="7F38A234"/>
    <w:rsid w:val="7F3B8DAC"/>
    <w:rsid w:val="7F3DB085"/>
    <w:rsid w:val="7F3F6BEC"/>
    <w:rsid w:val="7F3F8118"/>
    <w:rsid w:val="7F3F9C68"/>
    <w:rsid w:val="7F4A6F8C"/>
    <w:rsid w:val="7F575620"/>
    <w:rsid w:val="7F5B8824"/>
    <w:rsid w:val="7F5C5154"/>
    <w:rsid w:val="7F5FB5C8"/>
    <w:rsid w:val="7F66FD53"/>
    <w:rsid w:val="7F67730D"/>
    <w:rsid w:val="7F6AF388"/>
    <w:rsid w:val="7F6B0DA2"/>
    <w:rsid w:val="7F6B7F85"/>
    <w:rsid w:val="7F753D3C"/>
    <w:rsid w:val="7F759D36"/>
    <w:rsid w:val="7F765D38"/>
    <w:rsid w:val="7F76C7D7"/>
    <w:rsid w:val="7F77DBBD"/>
    <w:rsid w:val="7F7B8CBA"/>
    <w:rsid w:val="7F7C3610"/>
    <w:rsid w:val="7F7CCDE9"/>
    <w:rsid w:val="7F7D0E95"/>
    <w:rsid w:val="7F7E1824"/>
    <w:rsid w:val="7F7E8FA4"/>
    <w:rsid w:val="7F7EFFDA"/>
    <w:rsid w:val="7F7F0773"/>
    <w:rsid w:val="7F950B7E"/>
    <w:rsid w:val="7F9694BD"/>
    <w:rsid w:val="7F9C98EE"/>
    <w:rsid w:val="7F9D25C0"/>
    <w:rsid w:val="7F9F7DB2"/>
    <w:rsid w:val="7FAD50BE"/>
    <w:rsid w:val="7FADC9F1"/>
    <w:rsid w:val="7FAE097D"/>
    <w:rsid w:val="7FB00BE1"/>
    <w:rsid w:val="7FB1BCBA"/>
    <w:rsid w:val="7FB4DD99"/>
    <w:rsid w:val="7FB6AD04"/>
    <w:rsid w:val="7FB7E0DF"/>
    <w:rsid w:val="7FBB2657"/>
    <w:rsid w:val="7FBBFA0C"/>
    <w:rsid w:val="7FBC3D5B"/>
    <w:rsid w:val="7FBDBACA"/>
    <w:rsid w:val="7FBEF007"/>
    <w:rsid w:val="7FBF0D70"/>
    <w:rsid w:val="7FBF4543"/>
    <w:rsid w:val="7FBF546E"/>
    <w:rsid w:val="7FBF8CE0"/>
    <w:rsid w:val="7FBF99BC"/>
    <w:rsid w:val="7FC7D824"/>
    <w:rsid w:val="7FCEF733"/>
    <w:rsid w:val="7FCF3BE0"/>
    <w:rsid w:val="7FD208DD"/>
    <w:rsid w:val="7FD2A27F"/>
    <w:rsid w:val="7FD3C609"/>
    <w:rsid w:val="7FD70B7D"/>
    <w:rsid w:val="7FDB0879"/>
    <w:rsid w:val="7FDE3AE6"/>
    <w:rsid w:val="7FDF1E5C"/>
    <w:rsid w:val="7FDF22B3"/>
    <w:rsid w:val="7FDF2950"/>
    <w:rsid w:val="7FDF65A6"/>
    <w:rsid w:val="7FE73A09"/>
    <w:rsid w:val="7FE99FC1"/>
    <w:rsid w:val="7FEB31A0"/>
    <w:rsid w:val="7FED0FAD"/>
    <w:rsid w:val="7FEE1715"/>
    <w:rsid w:val="7FEE7938"/>
    <w:rsid w:val="7FEF69D2"/>
    <w:rsid w:val="7FEF7C6B"/>
    <w:rsid w:val="7FEFB830"/>
    <w:rsid w:val="7FF33522"/>
    <w:rsid w:val="7FF5BDAA"/>
    <w:rsid w:val="7FF683AF"/>
    <w:rsid w:val="7FF69744"/>
    <w:rsid w:val="7FF72B34"/>
    <w:rsid w:val="7FF76EFB"/>
    <w:rsid w:val="7FFA7CC1"/>
    <w:rsid w:val="7FFAB86D"/>
    <w:rsid w:val="7FFB435A"/>
    <w:rsid w:val="7FFB54CD"/>
    <w:rsid w:val="7FFBA264"/>
    <w:rsid w:val="7FFBAD63"/>
    <w:rsid w:val="7FFBC462"/>
    <w:rsid w:val="7FFBE1D1"/>
    <w:rsid w:val="7FFCDFA3"/>
    <w:rsid w:val="7FFCF070"/>
    <w:rsid w:val="7FFD1641"/>
    <w:rsid w:val="7FFD5C30"/>
    <w:rsid w:val="7FFD71F0"/>
    <w:rsid w:val="7FFDDB67"/>
    <w:rsid w:val="7FFE0B2B"/>
    <w:rsid w:val="7FFE32E5"/>
    <w:rsid w:val="7FFE5905"/>
    <w:rsid w:val="7FFE74D7"/>
    <w:rsid w:val="7FFE88C4"/>
    <w:rsid w:val="7FFEE091"/>
    <w:rsid w:val="7FFEF5CD"/>
    <w:rsid w:val="7FFEFFFD"/>
    <w:rsid w:val="7FFF06E6"/>
    <w:rsid w:val="7FFF0D42"/>
    <w:rsid w:val="7FFF0F9D"/>
    <w:rsid w:val="7FFF2B9F"/>
    <w:rsid w:val="7FFF461E"/>
    <w:rsid w:val="7FFF6386"/>
    <w:rsid w:val="7FFF6F8B"/>
    <w:rsid w:val="7FFF97F0"/>
    <w:rsid w:val="7FFFA98B"/>
    <w:rsid w:val="7FFFBDB0"/>
    <w:rsid w:val="7FFFD4B6"/>
    <w:rsid w:val="7FFFDD8C"/>
    <w:rsid w:val="7FFFF9D6"/>
    <w:rsid w:val="817B7761"/>
    <w:rsid w:val="856F44D7"/>
    <w:rsid w:val="87768989"/>
    <w:rsid w:val="87DF6587"/>
    <w:rsid w:val="89575615"/>
    <w:rsid w:val="8B7502B8"/>
    <w:rsid w:val="8F7F8E17"/>
    <w:rsid w:val="8FBAA92C"/>
    <w:rsid w:val="8FDA6E03"/>
    <w:rsid w:val="8FDE717C"/>
    <w:rsid w:val="8FEFE474"/>
    <w:rsid w:val="8FFE3FB5"/>
    <w:rsid w:val="8FFE9F0B"/>
    <w:rsid w:val="8FFF415A"/>
    <w:rsid w:val="911B19DB"/>
    <w:rsid w:val="927E9809"/>
    <w:rsid w:val="9311B936"/>
    <w:rsid w:val="93DBA9C8"/>
    <w:rsid w:val="93F7D09F"/>
    <w:rsid w:val="955B661B"/>
    <w:rsid w:val="967F6346"/>
    <w:rsid w:val="96EF2C5D"/>
    <w:rsid w:val="979B8F01"/>
    <w:rsid w:val="979F71C2"/>
    <w:rsid w:val="97FB949C"/>
    <w:rsid w:val="9A6D9F80"/>
    <w:rsid w:val="9ABDB596"/>
    <w:rsid w:val="9AFE1588"/>
    <w:rsid w:val="9AFF4EF4"/>
    <w:rsid w:val="9B755E89"/>
    <w:rsid w:val="9CAC56DC"/>
    <w:rsid w:val="9CBA76FC"/>
    <w:rsid w:val="9CF7430F"/>
    <w:rsid w:val="9D7D55F2"/>
    <w:rsid w:val="9D9F10EE"/>
    <w:rsid w:val="9DDB376C"/>
    <w:rsid w:val="9DDBA62C"/>
    <w:rsid w:val="9DDF93DD"/>
    <w:rsid w:val="9E9F4592"/>
    <w:rsid w:val="9EBDCB18"/>
    <w:rsid w:val="9EFB0BD4"/>
    <w:rsid w:val="9F7A522F"/>
    <w:rsid w:val="9F7BECAA"/>
    <w:rsid w:val="9F7ED617"/>
    <w:rsid w:val="9F9BC810"/>
    <w:rsid w:val="9FA671AB"/>
    <w:rsid w:val="9FACF222"/>
    <w:rsid w:val="9FB7B045"/>
    <w:rsid w:val="9FB7BCB3"/>
    <w:rsid w:val="9FBB219C"/>
    <w:rsid w:val="9FBFA1BD"/>
    <w:rsid w:val="9FC64022"/>
    <w:rsid w:val="9FCF4795"/>
    <w:rsid w:val="9FFD65BA"/>
    <w:rsid w:val="A3BC4701"/>
    <w:rsid w:val="A3DDADC6"/>
    <w:rsid w:val="A4FFBF36"/>
    <w:rsid w:val="A57F4A66"/>
    <w:rsid w:val="A672D026"/>
    <w:rsid w:val="A6EEAF40"/>
    <w:rsid w:val="A7AE27BF"/>
    <w:rsid w:val="A7CB2D10"/>
    <w:rsid w:val="A7FCB8AA"/>
    <w:rsid w:val="A9757A7D"/>
    <w:rsid w:val="A9AEEB57"/>
    <w:rsid w:val="A9BFFBE5"/>
    <w:rsid w:val="A9FB928E"/>
    <w:rsid w:val="ABA70AD7"/>
    <w:rsid w:val="ABE3C53B"/>
    <w:rsid w:val="ABEE279C"/>
    <w:rsid w:val="ABF7BFAF"/>
    <w:rsid w:val="ACFF5067"/>
    <w:rsid w:val="AD747EFB"/>
    <w:rsid w:val="AD8D1918"/>
    <w:rsid w:val="ADDC600F"/>
    <w:rsid w:val="ADEF1F34"/>
    <w:rsid w:val="ADFBE0F0"/>
    <w:rsid w:val="AE3D5E4F"/>
    <w:rsid w:val="AE6BACEB"/>
    <w:rsid w:val="AE8761F7"/>
    <w:rsid w:val="AEB7712A"/>
    <w:rsid w:val="AEB826DD"/>
    <w:rsid w:val="AEEE37DD"/>
    <w:rsid w:val="AEF529D6"/>
    <w:rsid w:val="AEFAE2C7"/>
    <w:rsid w:val="AEFE678A"/>
    <w:rsid w:val="AEFEAEAC"/>
    <w:rsid w:val="AF32D5AE"/>
    <w:rsid w:val="AF57FDC9"/>
    <w:rsid w:val="AF5F1270"/>
    <w:rsid w:val="AF90BB4C"/>
    <w:rsid w:val="AF9379FC"/>
    <w:rsid w:val="AFBB2F32"/>
    <w:rsid w:val="AFD61DE9"/>
    <w:rsid w:val="AFF39E9E"/>
    <w:rsid w:val="AFF708B5"/>
    <w:rsid w:val="AFF7EB18"/>
    <w:rsid w:val="AFFB5C16"/>
    <w:rsid w:val="B0DB347B"/>
    <w:rsid w:val="B1FB7B4B"/>
    <w:rsid w:val="B33B383A"/>
    <w:rsid w:val="B37E5214"/>
    <w:rsid w:val="B3B746B7"/>
    <w:rsid w:val="B3BD6115"/>
    <w:rsid w:val="B3BF9C4D"/>
    <w:rsid w:val="B3E892DB"/>
    <w:rsid w:val="B3FF8D87"/>
    <w:rsid w:val="B51FDD1D"/>
    <w:rsid w:val="B534224B"/>
    <w:rsid w:val="B5772491"/>
    <w:rsid w:val="B59955DB"/>
    <w:rsid w:val="B5BB4064"/>
    <w:rsid w:val="B5E2AC30"/>
    <w:rsid w:val="B5F80A33"/>
    <w:rsid w:val="B6D88671"/>
    <w:rsid w:val="B6FA8F11"/>
    <w:rsid w:val="B6FEB19C"/>
    <w:rsid w:val="B6FF0607"/>
    <w:rsid w:val="B71F763D"/>
    <w:rsid w:val="B76FDBC2"/>
    <w:rsid w:val="B77DBAB8"/>
    <w:rsid w:val="B799BEBA"/>
    <w:rsid w:val="B79E3C96"/>
    <w:rsid w:val="B7B8E8F6"/>
    <w:rsid w:val="B7BF26AF"/>
    <w:rsid w:val="B7BF5BC8"/>
    <w:rsid w:val="B7CC4ADF"/>
    <w:rsid w:val="B7CF01C2"/>
    <w:rsid w:val="B7CF0A52"/>
    <w:rsid w:val="B7D3A918"/>
    <w:rsid w:val="B7D76AC9"/>
    <w:rsid w:val="B7EF98C9"/>
    <w:rsid w:val="B7FC9276"/>
    <w:rsid w:val="B7FDB2EC"/>
    <w:rsid w:val="B8F6F06D"/>
    <w:rsid w:val="B92DE0EF"/>
    <w:rsid w:val="B93FB7C4"/>
    <w:rsid w:val="B97E1FDB"/>
    <w:rsid w:val="B9CD54BA"/>
    <w:rsid w:val="B9FCEB43"/>
    <w:rsid w:val="BA7F8610"/>
    <w:rsid w:val="BADD823E"/>
    <w:rsid w:val="BAFDF0A4"/>
    <w:rsid w:val="BB4D5595"/>
    <w:rsid w:val="BB5F1FE8"/>
    <w:rsid w:val="BB743712"/>
    <w:rsid w:val="BB79ED27"/>
    <w:rsid w:val="BB9966E6"/>
    <w:rsid w:val="BB9F1E10"/>
    <w:rsid w:val="BBA2F444"/>
    <w:rsid w:val="BBB7DD21"/>
    <w:rsid w:val="BBCD4679"/>
    <w:rsid w:val="BBFE015A"/>
    <w:rsid w:val="BBFECC73"/>
    <w:rsid w:val="BBFEDDB9"/>
    <w:rsid w:val="BBFF64FF"/>
    <w:rsid w:val="BC7F244B"/>
    <w:rsid w:val="BCA7A106"/>
    <w:rsid w:val="BCDE8E2E"/>
    <w:rsid w:val="BCE1AEAC"/>
    <w:rsid w:val="BCFF20B2"/>
    <w:rsid w:val="BCFF85BB"/>
    <w:rsid w:val="BD2760B7"/>
    <w:rsid w:val="BD5FE7C6"/>
    <w:rsid w:val="BD7F05C0"/>
    <w:rsid w:val="BD9A5B4B"/>
    <w:rsid w:val="BD9B18E2"/>
    <w:rsid w:val="BDBD122E"/>
    <w:rsid w:val="BDDF81C9"/>
    <w:rsid w:val="BDEB6B55"/>
    <w:rsid w:val="BDEF2674"/>
    <w:rsid w:val="BDFEE26A"/>
    <w:rsid w:val="BDFFD042"/>
    <w:rsid w:val="BE36F3EA"/>
    <w:rsid w:val="BE39BE2D"/>
    <w:rsid w:val="BEBA92C8"/>
    <w:rsid w:val="BEBF26D9"/>
    <w:rsid w:val="BED99FB7"/>
    <w:rsid w:val="BEDFD665"/>
    <w:rsid w:val="BEE7BFA8"/>
    <w:rsid w:val="BEEFA21B"/>
    <w:rsid w:val="BEFB5E30"/>
    <w:rsid w:val="BEFD69BC"/>
    <w:rsid w:val="BEFD8C76"/>
    <w:rsid w:val="BEFE523B"/>
    <w:rsid w:val="BEFF5576"/>
    <w:rsid w:val="BF3BA8DE"/>
    <w:rsid w:val="BF3BCCD9"/>
    <w:rsid w:val="BF5446E2"/>
    <w:rsid w:val="BF66DB32"/>
    <w:rsid w:val="BF6F8C62"/>
    <w:rsid w:val="BF758AF4"/>
    <w:rsid w:val="BF77D17A"/>
    <w:rsid w:val="BF7DB548"/>
    <w:rsid w:val="BF7F744A"/>
    <w:rsid w:val="BF93510F"/>
    <w:rsid w:val="BF942360"/>
    <w:rsid w:val="BFA7D77A"/>
    <w:rsid w:val="BFAE8B0F"/>
    <w:rsid w:val="BFB629B7"/>
    <w:rsid w:val="BFB75449"/>
    <w:rsid w:val="BFB7F888"/>
    <w:rsid w:val="BFBE2229"/>
    <w:rsid w:val="BFBFAD5D"/>
    <w:rsid w:val="BFC73696"/>
    <w:rsid w:val="BFCD3275"/>
    <w:rsid w:val="BFDBD791"/>
    <w:rsid w:val="BFDF1699"/>
    <w:rsid w:val="BFDFA33F"/>
    <w:rsid w:val="BFE5700D"/>
    <w:rsid w:val="BFF33827"/>
    <w:rsid w:val="BFF3FA9A"/>
    <w:rsid w:val="BFF5140E"/>
    <w:rsid w:val="BFF59F80"/>
    <w:rsid w:val="BFF63BE2"/>
    <w:rsid w:val="BFF6462F"/>
    <w:rsid w:val="BFF727DB"/>
    <w:rsid w:val="BFF76A9A"/>
    <w:rsid w:val="BFF77968"/>
    <w:rsid w:val="BFF78333"/>
    <w:rsid w:val="BFFD927A"/>
    <w:rsid w:val="BFFEA8F6"/>
    <w:rsid w:val="BFFEB50D"/>
    <w:rsid w:val="BFFF61FF"/>
    <w:rsid w:val="BFFF6753"/>
    <w:rsid w:val="BFFF7006"/>
    <w:rsid w:val="BFFFD398"/>
    <w:rsid w:val="C3BBF3AB"/>
    <w:rsid w:val="C4D26366"/>
    <w:rsid w:val="C4EE7104"/>
    <w:rsid w:val="C54E9820"/>
    <w:rsid w:val="C5E7F67A"/>
    <w:rsid w:val="C6DF2FF6"/>
    <w:rsid w:val="C6ED500A"/>
    <w:rsid w:val="C7DFD714"/>
    <w:rsid w:val="C8EEC7CD"/>
    <w:rsid w:val="C9E1310B"/>
    <w:rsid w:val="CA5FA4C6"/>
    <w:rsid w:val="CA74FC75"/>
    <w:rsid w:val="CAAFC2CE"/>
    <w:rsid w:val="CAFD0892"/>
    <w:rsid w:val="CBF3A08E"/>
    <w:rsid w:val="CBF7DC0F"/>
    <w:rsid w:val="CC5476DD"/>
    <w:rsid w:val="CD7445D8"/>
    <w:rsid w:val="CDFB0862"/>
    <w:rsid w:val="CDFB54F8"/>
    <w:rsid w:val="CDFF356A"/>
    <w:rsid w:val="CDFFF812"/>
    <w:rsid w:val="CE6787F4"/>
    <w:rsid w:val="CE7FF487"/>
    <w:rsid w:val="CEBCD9D2"/>
    <w:rsid w:val="CEDF6BE6"/>
    <w:rsid w:val="CEF7F6CC"/>
    <w:rsid w:val="CEFF8C0C"/>
    <w:rsid w:val="CF4F0B83"/>
    <w:rsid w:val="CF5D5407"/>
    <w:rsid w:val="CF79D754"/>
    <w:rsid w:val="CF9FBFF2"/>
    <w:rsid w:val="CFAF60C6"/>
    <w:rsid w:val="CFB77945"/>
    <w:rsid w:val="CFEC0DB8"/>
    <w:rsid w:val="CFED95BD"/>
    <w:rsid w:val="CFEFECF1"/>
    <w:rsid w:val="CFF74408"/>
    <w:rsid w:val="CFFF3A02"/>
    <w:rsid w:val="CFFF750D"/>
    <w:rsid w:val="CFFF9567"/>
    <w:rsid w:val="D17F5A75"/>
    <w:rsid w:val="D32FC691"/>
    <w:rsid w:val="D3676337"/>
    <w:rsid w:val="D39F27B3"/>
    <w:rsid w:val="D3F39F2F"/>
    <w:rsid w:val="D4F4F0AF"/>
    <w:rsid w:val="D5DFD196"/>
    <w:rsid w:val="D5EFE1D6"/>
    <w:rsid w:val="D5F7E51D"/>
    <w:rsid w:val="D5FD49CF"/>
    <w:rsid w:val="D5FE7FCE"/>
    <w:rsid w:val="D5FE9EC8"/>
    <w:rsid w:val="D67781F0"/>
    <w:rsid w:val="D69ED022"/>
    <w:rsid w:val="D6BEA797"/>
    <w:rsid w:val="D6C6B57A"/>
    <w:rsid w:val="D775EB2C"/>
    <w:rsid w:val="D77F148A"/>
    <w:rsid w:val="D7B6E039"/>
    <w:rsid w:val="D7B7DD41"/>
    <w:rsid w:val="D7DA5A00"/>
    <w:rsid w:val="D7DD295C"/>
    <w:rsid w:val="D7DF359C"/>
    <w:rsid w:val="D7FB75B1"/>
    <w:rsid w:val="D7FF532D"/>
    <w:rsid w:val="D7FFC87E"/>
    <w:rsid w:val="D7FFFAAE"/>
    <w:rsid w:val="D8FF28F4"/>
    <w:rsid w:val="D93F20F5"/>
    <w:rsid w:val="D97F1237"/>
    <w:rsid w:val="D97F1E55"/>
    <w:rsid w:val="DAD8856C"/>
    <w:rsid w:val="DAFD99CA"/>
    <w:rsid w:val="DAFFBCF1"/>
    <w:rsid w:val="DAFFBE96"/>
    <w:rsid w:val="DB0B35C0"/>
    <w:rsid w:val="DB1D4098"/>
    <w:rsid w:val="DB7A33FA"/>
    <w:rsid w:val="DB7D3972"/>
    <w:rsid w:val="DB7F5511"/>
    <w:rsid w:val="DBA9E4AA"/>
    <w:rsid w:val="DBAD4B19"/>
    <w:rsid w:val="DBC2C950"/>
    <w:rsid w:val="DBD76CFB"/>
    <w:rsid w:val="DBFB1B79"/>
    <w:rsid w:val="DBFB9917"/>
    <w:rsid w:val="DBFDB054"/>
    <w:rsid w:val="DBFDF4E0"/>
    <w:rsid w:val="DBFEF8CB"/>
    <w:rsid w:val="DC66E16C"/>
    <w:rsid w:val="DCDB91E5"/>
    <w:rsid w:val="DCFE84AE"/>
    <w:rsid w:val="DCFFB772"/>
    <w:rsid w:val="DD2F11C8"/>
    <w:rsid w:val="DD7419FB"/>
    <w:rsid w:val="DD8F753C"/>
    <w:rsid w:val="DD9FD391"/>
    <w:rsid w:val="DDBB42FC"/>
    <w:rsid w:val="DDBD0397"/>
    <w:rsid w:val="DDBFD366"/>
    <w:rsid w:val="DDED1504"/>
    <w:rsid w:val="DDEF3C41"/>
    <w:rsid w:val="DDFAEBC7"/>
    <w:rsid w:val="DDFBFA39"/>
    <w:rsid w:val="DDFF179F"/>
    <w:rsid w:val="DDFF5687"/>
    <w:rsid w:val="DDFF872E"/>
    <w:rsid w:val="DDFFE5CB"/>
    <w:rsid w:val="DE536157"/>
    <w:rsid w:val="DE792C23"/>
    <w:rsid w:val="DE7B2C5A"/>
    <w:rsid w:val="DE7F3A50"/>
    <w:rsid w:val="DE7F8D9A"/>
    <w:rsid w:val="DEAB4B06"/>
    <w:rsid w:val="DEBB9267"/>
    <w:rsid w:val="DEBF2893"/>
    <w:rsid w:val="DEEF36FF"/>
    <w:rsid w:val="DEF755D7"/>
    <w:rsid w:val="DF0E5844"/>
    <w:rsid w:val="DF1F01A8"/>
    <w:rsid w:val="DF27F555"/>
    <w:rsid w:val="DF3FE1B2"/>
    <w:rsid w:val="DF5E82A7"/>
    <w:rsid w:val="DF6AA208"/>
    <w:rsid w:val="DF775A16"/>
    <w:rsid w:val="DF77EC92"/>
    <w:rsid w:val="DF7B81E7"/>
    <w:rsid w:val="DF7F8ECF"/>
    <w:rsid w:val="DF9E2B7E"/>
    <w:rsid w:val="DF9F2F22"/>
    <w:rsid w:val="DF9F60DF"/>
    <w:rsid w:val="DF9FFF79"/>
    <w:rsid w:val="DFAFDA54"/>
    <w:rsid w:val="DFB55B52"/>
    <w:rsid w:val="DFBB7F7B"/>
    <w:rsid w:val="DFBC9891"/>
    <w:rsid w:val="DFBF0799"/>
    <w:rsid w:val="DFBFA843"/>
    <w:rsid w:val="DFC7DAD9"/>
    <w:rsid w:val="DFC7EAC6"/>
    <w:rsid w:val="DFCDC7FC"/>
    <w:rsid w:val="DFD92A19"/>
    <w:rsid w:val="DFDB4A2D"/>
    <w:rsid w:val="DFDFABA7"/>
    <w:rsid w:val="DFE7ED91"/>
    <w:rsid w:val="DFEE6DD1"/>
    <w:rsid w:val="DFEF0F36"/>
    <w:rsid w:val="DFF2C624"/>
    <w:rsid w:val="DFF55A3A"/>
    <w:rsid w:val="DFF57538"/>
    <w:rsid w:val="DFF7CDBA"/>
    <w:rsid w:val="DFF97DEB"/>
    <w:rsid w:val="DFFCB555"/>
    <w:rsid w:val="DFFD9F22"/>
    <w:rsid w:val="DFFEE15C"/>
    <w:rsid w:val="DFFF42AD"/>
    <w:rsid w:val="DFFF596C"/>
    <w:rsid w:val="DFFFD238"/>
    <w:rsid w:val="E1B71428"/>
    <w:rsid w:val="E32B3681"/>
    <w:rsid w:val="E38E4FA9"/>
    <w:rsid w:val="E3CDDE56"/>
    <w:rsid w:val="E3D697DF"/>
    <w:rsid w:val="E3EFA6B1"/>
    <w:rsid w:val="E3F0B09A"/>
    <w:rsid w:val="E3F1976A"/>
    <w:rsid w:val="E3FF5A0F"/>
    <w:rsid w:val="E3FFE7D3"/>
    <w:rsid w:val="E44BA1E5"/>
    <w:rsid w:val="E45F4D96"/>
    <w:rsid w:val="E51F1973"/>
    <w:rsid w:val="E53F80CC"/>
    <w:rsid w:val="E557EE1D"/>
    <w:rsid w:val="E5976E1E"/>
    <w:rsid w:val="E5FD9A7D"/>
    <w:rsid w:val="E5FE3EEF"/>
    <w:rsid w:val="E5FFFFE4"/>
    <w:rsid w:val="E672C103"/>
    <w:rsid w:val="E679D7CD"/>
    <w:rsid w:val="E6B61602"/>
    <w:rsid w:val="E6DB1B8D"/>
    <w:rsid w:val="E6EFD378"/>
    <w:rsid w:val="E6FA1900"/>
    <w:rsid w:val="E6FF4B32"/>
    <w:rsid w:val="E73BB3DE"/>
    <w:rsid w:val="E757F7C8"/>
    <w:rsid w:val="E77F1555"/>
    <w:rsid w:val="E7AD4310"/>
    <w:rsid w:val="E7BE4F47"/>
    <w:rsid w:val="E7ED0C0E"/>
    <w:rsid w:val="E7F39F9F"/>
    <w:rsid w:val="E7F4556B"/>
    <w:rsid w:val="E7FA6E31"/>
    <w:rsid w:val="E7FDB71F"/>
    <w:rsid w:val="E7FDDC01"/>
    <w:rsid w:val="E7FF3807"/>
    <w:rsid w:val="E7FFFAE7"/>
    <w:rsid w:val="E96F1278"/>
    <w:rsid w:val="E977F089"/>
    <w:rsid w:val="E9CD8BAB"/>
    <w:rsid w:val="EA979303"/>
    <w:rsid w:val="EA9A7A3B"/>
    <w:rsid w:val="EAEDA6A4"/>
    <w:rsid w:val="EAF4D558"/>
    <w:rsid w:val="EAFF4EDA"/>
    <w:rsid w:val="EB5F2440"/>
    <w:rsid w:val="EB7F168E"/>
    <w:rsid w:val="EB8DCC3D"/>
    <w:rsid w:val="EB9DD13B"/>
    <w:rsid w:val="EBB56FAC"/>
    <w:rsid w:val="EBBD6E6C"/>
    <w:rsid w:val="EBDD6BCF"/>
    <w:rsid w:val="EBE739A9"/>
    <w:rsid w:val="EBF26D26"/>
    <w:rsid w:val="EBF3E557"/>
    <w:rsid w:val="EBFD6B61"/>
    <w:rsid w:val="EBFE0519"/>
    <w:rsid w:val="EBFF0864"/>
    <w:rsid w:val="EBFF3FD5"/>
    <w:rsid w:val="ECEEB4EB"/>
    <w:rsid w:val="ECF62EBE"/>
    <w:rsid w:val="ED79799F"/>
    <w:rsid w:val="ED7B0892"/>
    <w:rsid w:val="ED7B7E76"/>
    <w:rsid w:val="ED7C0576"/>
    <w:rsid w:val="ED961183"/>
    <w:rsid w:val="ED9FC9E3"/>
    <w:rsid w:val="ED9FD657"/>
    <w:rsid w:val="EDB44DC1"/>
    <w:rsid w:val="EDCC8C3F"/>
    <w:rsid w:val="EDCF24AB"/>
    <w:rsid w:val="EDDE6153"/>
    <w:rsid w:val="EDEC029A"/>
    <w:rsid w:val="EDF9F6AD"/>
    <w:rsid w:val="EDFB3187"/>
    <w:rsid w:val="EDFD9F4E"/>
    <w:rsid w:val="EDFFF706"/>
    <w:rsid w:val="EE360CF9"/>
    <w:rsid w:val="EE5D97BB"/>
    <w:rsid w:val="EE74421A"/>
    <w:rsid w:val="EEBA6AA6"/>
    <w:rsid w:val="EEBF6739"/>
    <w:rsid w:val="EEC6C180"/>
    <w:rsid w:val="EEC7EE25"/>
    <w:rsid w:val="EED7ACEB"/>
    <w:rsid w:val="EEDAAD08"/>
    <w:rsid w:val="EEED060A"/>
    <w:rsid w:val="EEEE6646"/>
    <w:rsid w:val="EEF120A0"/>
    <w:rsid w:val="EEF3D004"/>
    <w:rsid w:val="EEFF134C"/>
    <w:rsid w:val="EEFF3265"/>
    <w:rsid w:val="EEFFBD3C"/>
    <w:rsid w:val="EF3B0DD2"/>
    <w:rsid w:val="EF3F43FA"/>
    <w:rsid w:val="EF3FCE56"/>
    <w:rsid w:val="EF5722DC"/>
    <w:rsid w:val="EF5B04E1"/>
    <w:rsid w:val="EF68FE13"/>
    <w:rsid w:val="EF7F373E"/>
    <w:rsid w:val="EF7FA1BA"/>
    <w:rsid w:val="EF8E724C"/>
    <w:rsid w:val="EF99BBC9"/>
    <w:rsid w:val="EF9D4395"/>
    <w:rsid w:val="EFAF9482"/>
    <w:rsid w:val="EFAF9904"/>
    <w:rsid w:val="EFB95B72"/>
    <w:rsid w:val="EFBBFE56"/>
    <w:rsid w:val="EFBF304F"/>
    <w:rsid w:val="EFBFB162"/>
    <w:rsid w:val="EFDE0A3F"/>
    <w:rsid w:val="EFDF1A22"/>
    <w:rsid w:val="EFDFD52E"/>
    <w:rsid w:val="EFDFF577"/>
    <w:rsid w:val="EFE509A0"/>
    <w:rsid w:val="EFEBC706"/>
    <w:rsid w:val="EFF500C9"/>
    <w:rsid w:val="EFF7344D"/>
    <w:rsid w:val="EFF806DC"/>
    <w:rsid w:val="EFF8EEC5"/>
    <w:rsid w:val="EFFB52CE"/>
    <w:rsid w:val="EFFBC598"/>
    <w:rsid w:val="EFFD34F8"/>
    <w:rsid w:val="EFFE0E06"/>
    <w:rsid w:val="EFFE38F2"/>
    <w:rsid w:val="EFFF3748"/>
    <w:rsid w:val="EFFFEEA2"/>
    <w:rsid w:val="F0B31C68"/>
    <w:rsid w:val="F0FD1D42"/>
    <w:rsid w:val="F137CF13"/>
    <w:rsid w:val="F13FFECE"/>
    <w:rsid w:val="F1D7AFBC"/>
    <w:rsid w:val="F1DF7CE5"/>
    <w:rsid w:val="F1FF169E"/>
    <w:rsid w:val="F212392D"/>
    <w:rsid w:val="F29E27B8"/>
    <w:rsid w:val="F2AD3F4D"/>
    <w:rsid w:val="F2EFE72F"/>
    <w:rsid w:val="F2FE3EF7"/>
    <w:rsid w:val="F2FF4E16"/>
    <w:rsid w:val="F2FF5C2E"/>
    <w:rsid w:val="F2FF8905"/>
    <w:rsid w:val="F31FD3A7"/>
    <w:rsid w:val="F3376CC1"/>
    <w:rsid w:val="F33F4385"/>
    <w:rsid w:val="F33F4DDD"/>
    <w:rsid w:val="F36F8162"/>
    <w:rsid w:val="F38CDBE4"/>
    <w:rsid w:val="F3AD13A5"/>
    <w:rsid w:val="F3AFDF08"/>
    <w:rsid w:val="F3BF8F30"/>
    <w:rsid w:val="F3EF6E08"/>
    <w:rsid w:val="F3F176B1"/>
    <w:rsid w:val="F3F5BBCA"/>
    <w:rsid w:val="F3FA4773"/>
    <w:rsid w:val="F3FEC0AE"/>
    <w:rsid w:val="F3FFB74C"/>
    <w:rsid w:val="F3FFD23C"/>
    <w:rsid w:val="F4E71E11"/>
    <w:rsid w:val="F51AD58C"/>
    <w:rsid w:val="F536E22F"/>
    <w:rsid w:val="F55F1D0B"/>
    <w:rsid w:val="F57E3067"/>
    <w:rsid w:val="F5BF1174"/>
    <w:rsid w:val="F5CE1767"/>
    <w:rsid w:val="F5EB60FA"/>
    <w:rsid w:val="F5EDF842"/>
    <w:rsid w:val="F5FDFCF3"/>
    <w:rsid w:val="F6775A9F"/>
    <w:rsid w:val="F679766B"/>
    <w:rsid w:val="F67DD055"/>
    <w:rsid w:val="F6BF02D3"/>
    <w:rsid w:val="F6DF83CC"/>
    <w:rsid w:val="F6EBF9FA"/>
    <w:rsid w:val="F6F7EA3B"/>
    <w:rsid w:val="F6FCA4D5"/>
    <w:rsid w:val="F6FD2B9E"/>
    <w:rsid w:val="F6FE9466"/>
    <w:rsid w:val="F71F4327"/>
    <w:rsid w:val="F73BB3FD"/>
    <w:rsid w:val="F75718CB"/>
    <w:rsid w:val="F757EB09"/>
    <w:rsid w:val="F75F4B69"/>
    <w:rsid w:val="F76F52E7"/>
    <w:rsid w:val="F76FAF68"/>
    <w:rsid w:val="F76FF0F3"/>
    <w:rsid w:val="F775D2B7"/>
    <w:rsid w:val="F77769A1"/>
    <w:rsid w:val="F79E65C6"/>
    <w:rsid w:val="F79FE050"/>
    <w:rsid w:val="F7AD65EA"/>
    <w:rsid w:val="F7AE9DE7"/>
    <w:rsid w:val="F7B3323F"/>
    <w:rsid w:val="F7B63703"/>
    <w:rsid w:val="F7BB1A6D"/>
    <w:rsid w:val="F7BBFC67"/>
    <w:rsid w:val="F7BDD95F"/>
    <w:rsid w:val="F7BDDAAE"/>
    <w:rsid w:val="F7BF714E"/>
    <w:rsid w:val="F7BFA382"/>
    <w:rsid w:val="F7BFA7CD"/>
    <w:rsid w:val="F7BFB147"/>
    <w:rsid w:val="F7CA2BC5"/>
    <w:rsid w:val="F7CF17D9"/>
    <w:rsid w:val="F7DBE80C"/>
    <w:rsid w:val="F7DD078A"/>
    <w:rsid w:val="F7EB6792"/>
    <w:rsid w:val="F7EF0EE3"/>
    <w:rsid w:val="F7EF561E"/>
    <w:rsid w:val="F7F5DDAA"/>
    <w:rsid w:val="F7F60A53"/>
    <w:rsid w:val="F7F653C1"/>
    <w:rsid w:val="F7F6E0AA"/>
    <w:rsid w:val="F7F9E8B5"/>
    <w:rsid w:val="F7FCDDD4"/>
    <w:rsid w:val="F7FD148F"/>
    <w:rsid w:val="F7FE3FD8"/>
    <w:rsid w:val="F7FF1328"/>
    <w:rsid w:val="F7FF647E"/>
    <w:rsid w:val="F81C4E42"/>
    <w:rsid w:val="F8DCAE86"/>
    <w:rsid w:val="F8EF4574"/>
    <w:rsid w:val="F8FBD734"/>
    <w:rsid w:val="F8FFD364"/>
    <w:rsid w:val="F93B6CE8"/>
    <w:rsid w:val="F95B90E8"/>
    <w:rsid w:val="F97D0CE1"/>
    <w:rsid w:val="F97FFD70"/>
    <w:rsid w:val="F9A737BF"/>
    <w:rsid w:val="F9BF8467"/>
    <w:rsid w:val="F9CE664A"/>
    <w:rsid w:val="F9DA71ED"/>
    <w:rsid w:val="F9DD03C6"/>
    <w:rsid w:val="F9DD539F"/>
    <w:rsid w:val="F9E3F251"/>
    <w:rsid w:val="F9FB6B71"/>
    <w:rsid w:val="F9FD4C65"/>
    <w:rsid w:val="F9FF4860"/>
    <w:rsid w:val="F9FFB5A3"/>
    <w:rsid w:val="F9FFDF34"/>
    <w:rsid w:val="FA1F821E"/>
    <w:rsid w:val="FA3E9F59"/>
    <w:rsid w:val="FA75A763"/>
    <w:rsid w:val="FA7732A9"/>
    <w:rsid w:val="FA7B9273"/>
    <w:rsid w:val="FA7E63A7"/>
    <w:rsid w:val="FA7E6FBD"/>
    <w:rsid w:val="FA7F0912"/>
    <w:rsid w:val="FA9FC83C"/>
    <w:rsid w:val="FACB12FD"/>
    <w:rsid w:val="FACCCA52"/>
    <w:rsid w:val="FAE7C062"/>
    <w:rsid w:val="FAEB77AB"/>
    <w:rsid w:val="FAEE7733"/>
    <w:rsid w:val="FAF72E1D"/>
    <w:rsid w:val="FAFB9092"/>
    <w:rsid w:val="FAFD5505"/>
    <w:rsid w:val="FAFE8554"/>
    <w:rsid w:val="FAFF43D5"/>
    <w:rsid w:val="FAFFD6CF"/>
    <w:rsid w:val="FB33FB51"/>
    <w:rsid w:val="FB3E9ADC"/>
    <w:rsid w:val="FB56FC38"/>
    <w:rsid w:val="FB5B9D1C"/>
    <w:rsid w:val="FB5E581F"/>
    <w:rsid w:val="FB6B7CF9"/>
    <w:rsid w:val="FB7BE94D"/>
    <w:rsid w:val="FB7F0688"/>
    <w:rsid w:val="FB7FC84A"/>
    <w:rsid w:val="FB890C6C"/>
    <w:rsid w:val="FB9BB389"/>
    <w:rsid w:val="FB9BD1A2"/>
    <w:rsid w:val="FBA72708"/>
    <w:rsid w:val="FBABBD67"/>
    <w:rsid w:val="FBAD0A6A"/>
    <w:rsid w:val="FBB3491F"/>
    <w:rsid w:val="FBB6BC18"/>
    <w:rsid w:val="FBB715FE"/>
    <w:rsid w:val="FBBD4896"/>
    <w:rsid w:val="FBBED64B"/>
    <w:rsid w:val="FBCBC9EB"/>
    <w:rsid w:val="FBD314DE"/>
    <w:rsid w:val="FBDF2ADB"/>
    <w:rsid w:val="FBDF53CA"/>
    <w:rsid w:val="FBE73EB5"/>
    <w:rsid w:val="FBEADF52"/>
    <w:rsid w:val="FBED8CE3"/>
    <w:rsid w:val="FBEE7DB4"/>
    <w:rsid w:val="FBEF1716"/>
    <w:rsid w:val="FBF088BE"/>
    <w:rsid w:val="FBF3C65B"/>
    <w:rsid w:val="FBF493D2"/>
    <w:rsid w:val="FBF6CA8D"/>
    <w:rsid w:val="FBF726F4"/>
    <w:rsid w:val="FBFAB45B"/>
    <w:rsid w:val="FBFC9E22"/>
    <w:rsid w:val="FBFD9810"/>
    <w:rsid w:val="FBFDD48D"/>
    <w:rsid w:val="FBFE9528"/>
    <w:rsid w:val="FBFEBC7E"/>
    <w:rsid w:val="FBFEE708"/>
    <w:rsid w:val="FBFF4288"/>
    <w:rsid w:val="FBFF562C"/>
    <w:rsid w:val="FBFFBD67"/>
    <w:rsid w:val="FBFFF8F6"/>
    <w:rsid w:val="FC6F1BEF"/>
    <w:rsid w:val="FC779A40"/>
    <w:rsid w:val="FC7F3352"/>
    <w:rsid w:val="FCA72D11"/>
    <w:rsid w:val="FCC6C9B1"/>
    <w:rsid w:val="FCE384B2"/>
    <w:rsid w:val="FCEB1081"/>
    <w:rsid w:val="FCF7C53E"/>
    <w:rsid w:val="FCFB9720"/>
    <w:rsid w:val="FCFBA0E6"/>
    <w:rsid w:val="FCFE7211"/>
    <w:rsid w:val="FCFED68C"/>
    <w:rsid w:val="FD1BFD9B"/>
    <w:rsid w:val="FD1DDC37"/>
    <w:rsid w:val="FD1EB486"/>
    <w:rsid w:val="FD1FD04A"/>
    <w:rsid w:val="FD4E7B02"/>
    <w:rsid w:val="FD77A3A2"/>
    <w:rsid w:val="FD7A8AAF"/>
    <w:rsid w:val="FD7B5D28"/>
    <w:rsid w:val="FD7BC609"/>
    <w:rsid w:val="FD7EE85F"/>
    <w:rsid w:val="FD86EF8B"/>
    <w:rsid w:val="FDA5FED2"/>
    <w:rsid w:val="FDAF55D4"/>
    <w:rsid w:val="FDB6CD37"/>
    <w:rsid w:val="FDBEC002"/>
    <w:rsid w:val="FDBFB398"/>
    <w:rsid w:val="FDBFFAD6"/>
    <w:rsid w:val="FDC62C55"/>
    <w:rsid w:val="FDC77C42"/>
    <w:rsid w:val="FDD56628"/>
    <w:rsid w:val="FDD71581"/>
    <w:rsid w:val="FDDBCC16"/>
    <w:rsid w:val="FDE7EF1D"/>
    <w:rsid w:val="FDE943A8"/>
    <w:rsid w:val="FDEF51E0"/>
    <w:rsid w:val="FDF31274"/>
    <w:rsid w:val="FDF35546"/>
    <w:rsid w:val="FDF5BF28"/>
    <w:rsid w:val="FDF79EF1"/>
    <w:rsid w:val="FDF7A6F6"/>
    <w:rsid w:val="FDF95F5C"/>
    <w:rsid w:val="FDFD0175"/>
    <w:rsid w:val="FDFD261F"/>
    <w:rsid w:val="FDFDD317"/>
    <w:rsid w:val="FDFE4DCC"/>
    <w:rsid w:val="FDFF0D62"/>
    <w:rsid w:val="FDFF1F12"/>
    <w:rsid w:val="FDFF2A21"/>
    <w:rsid w:val="FDFFBD02"/>
    <w:rsid w:val="FE0D1E4B"/>
    <w:rsid w:val="FE4C1787"/>
    <w:rsid w:val="FE5B2A20"/>
    <w:rsid w:val="FE678685"/>
    <w:rsid w:val="FE6E44AA"/>
    <w:rsid w:val="FE6F84A6"/>
    <w:rsid w:val="FE72AA35"/>
    <w:rsid w:val="FE73AC29"/>
    <w:rsid w:val="FE757A10"/>
    <w:rsid w:val="FE7626BD"/>
    <w:rsid w:val="FE7660B3"/>
    <w:rsid w:val="FE770843"/>
    <w:rsid w:val="FE7B4C55"/>
    <w:rsid w:val="FE7B7FD9"/>
    <w:rsid w:val="FE7EB93D"/>
    <w:rsid w:val="FE7EF19E"/>
    <w:rsid w:val="FE7EFAAB"/>
    <w:rsid w:val="FE7F4B07"/>
    <w:rsid w:val="FE7F4B1F"/>
    <w:rsid w:val="FE8607C4"/>
    <w:rsid w:val="FEA3818E"/>
    <w:rsid w:val="FEADF2CA"/>
    <w:rsid w:val="FEB270AB"/>
    <w:rsid w:val="FEB6074A"/>
    <w:rsid w:val="FEB6CAAF"/>
    <w:rsid w:val="FEB700F1"/>
    <w:rsid w:val="FEBB4892"/>
    <w:rsid w:val="FEBE98CD"/>
    <w:rsid w:val="FECF6734"/>
    <w:rsid w:val="FED4DE5D"/>
    <w:rsid w:val="FED77854"/>
    <w:rsid w:val="FED77E5B"/>
    <w:rsid w:val="FED8A434"/>
    <w:rsid w:val="FEDBD271"/>
    <w:rsid w:val="FEDF85C6"/>
    <w:rsid w:val="FEDFFB56"/>
    <w:rsid w:val="FEE7D112"/>
    <w:rsid w:val="FEEDBAEF"/>
    <w:rsid w:val="FEF36C30"/>
    <w:rsid w:val="FEF74A89"/>
    <w:rsid w:val="FEF8CA10"/>
    <w:rsid w:val="FEFA6B5D"/>
    <w:rsid w:val="FEFC09DA"/>
    <w:rsid w:val="FEFCD87B"/>
    <w:rsid w:val="FEFD6680"/>
    <w:rsid w:val="FEFD7076"/>
    <w:rsid w:val="FEFDA72B"/>
    <w:rsid w:val="FEFDC205"/>
    <w:rsid w:val="FEFF0491"/>
    <w:rsid w:val="FEFF0C41"/>
    <w:rsid w:val="FEFF4526"/>
    <w:rsid w:val="FEFF59C5"/>
    <w:rsid w:val="FEFFAC57"/>
    <w:rsid w:val="FEFFC497"/>
    <w:rsid w:val="FF0D1B13"/>
    <w:rsid w:val="FF17C72D"/>
    <w:rsid w:val="FF2DD236"/>
    <w:rsid w:val="FF3457B7"/>
    <w:rsid w:val="FF3BA898"/>
    <w:rsid w:val="FF3C6999"/>
    <w:rsid w:val="FF3E4138"/>
    <w:rsid w:val="FF3F3CA2"/>
    <w:rsid w:val="FF4DA9F6"/>
    <w:rsid w:val="FF4F57B2"/>
    <w:rsid w:val="FF4FB54C"/>
    <w:rsid w:val="FF542359"/>
    <w:rsid w:val="FF57E94D"/>
    <w:rsid w:val="FF5B4942"/>
    <w:rsid w:val="FF5DCBC9"/>
    <w:rsid w:val="FF5F4FB8"/>
    <w:rsid w:val="FF6BDCF9"/>
    <w:rsid w:val="FF6F6317"/>
    <w:rsid w:val="FF6F8EF2"/>
    <w:rsid w:val="FF6FD4EB"/>
    <w:rsid w:val="FF75AD13"/>
    <w:rsid w:val="FF7799FE"/>
    <w:rsid w:val="FF77AA0E"/>
    <w:rsid w:val="FF77C93D"/>
    <w:rsid w:val="FF7B0833"/>
    <w:rsid w:val="FF7BC85E"/>
    <w:rsid w:val="FF7D5233"/>
    <w:rsid w:val="FF7D93BB"/>
    <w:rsid w:val="FF7DA0F7"/>
    <w:rsid w:val="FF7DA5E2"/>
    <w:rsid w:val="FF7F7164"/>
    <w:rsid w:val="FF8BF833"/>
    <w:rsid w:val="FF8EA658"/>
    <w:rsid w:val="FF977E7E"/>
    <w:rsid w:val="FF9B0FCA"/>
    <w:rsid w:val="FF9B9CD7"/>
    <w:rsid w:val="FF9D2FA4"/>
    <w:rsid w:val="FF9DB92E"/>
    <w:rsid w:val="FF9E41CD"/>
    <w:rsid w:val="FFAB2A29"/>
    <w:rsid w:val="FFAB6399"/>
    <w:rsid w:val="FFB55AD2"/>
    <w:rsid w:val="FFB5941F"/>
    <w:rsid w:val="FFB6143C"/>
    <w:rsid w:val="FFBAC06B"/>
    <w:rsid w:val="FFBB7745"/>
    <w:rsid w:val="FFBBF327"/>
    <w:rsid w:val="FFBCFCAC"/>
    <w:rsid w:val="FFBD22EF"/>
    <w:rsid w:val="FFBD74AB"/>
    <w:rsid w:val="FFBDADF2"/>
    <w:rsid w:val="FFBE21CB"/>
    <w:rsid w:val="FFBF4D3C"/>
    <w:rsid w:val="FFBF9107"/>
    <w:rsid w:val="FFBFE1AF"/>
    <w:rsid w:val="FFBFF51E"/>
    <w:rsid w:val="FFC405BE"/>
    <w:rsid w:val="FFC66760"/>
    <w:rsid w:val="FFCD5C80"/>
    <w:rsid w:val="FFCE99CD"/>
    <w:rsid w:val="FFCF86C4"/>
    <w:rsid w:val="FFCFFF6A"/>
    <w:rsid w:val="FFD12A9A"/>
    <w:rsid w:val="FFD7BD09"/>
    <w:rsid w:val="FFD82DFE"/>
    <w:rsid w:val="FFD92152"/>
    <w:rsid w:val="FFDB1612"/>
    <w:rsid w:val="FFDB6A16"/>
    <w:rsid w:val="FFDBB932"/>
    <w:rsid w:val="FFDD7D6E"/>
    <w:rsid w:val="FFDDE717"/>
    <w:rsid w:val="FFDDF823"/>
    <w:rsid w:val="FFDE3672"/>
    <w:rsid w:val="FFDE5811"/>
    <w:rsid w:val="FFDE70E5"/>
    <w:rsid w:val="FFDF1640"/>
    <w:rsid w:val="FFDF19F3"/>
    <w:rsid w:val="FFDF3006"/>
    <w:rsid w:val="FFDF80C4"/>
    <w:rsid w:val="FFDF97D4"/>
    <w:rsid w:val="FFDFB0BB"/>
    <w:rsid w:val="FFDFD7FA"/>
    <w:rsid w:val="FFE281F1"/>
    <w:rsid w:val="FFE66FBD"/>
    <w:rsid w:val="FFED3BE2"/>
    <w:rsid w:val="FFEF89BC"/>
    <w:rsid w:val="FFEF8CE8"/>
    <w:rsid w:val="FFEFB9FE"/>
    <w:rsid w:val="FFEFD87C"/>
    <w:rsid w:val="FFF20502"/>
    <w:rsid w:val="FFF4F2AE"/>
    <w:rsid w:val="FFF5D50D"/>
    <w:rsid w:val="FFF6741F"/>
    <w:rsid w:val="FFF68D4C"/>
    <w:rsid w:val="FFF69C4D"/>
    <w:rsid w:val="FFF6A72D"/>
    <w:rsid w:val="FFF6F440"/>
    <w:rsid w:val="FFF6FD8F"/>
    <w:rsid w:val="FFF7E4F5"/>
    <w:rsid w:val="FFF86D83"/>
    <w:rsid w:val="FFF9CCC2"/>
    <w:rsid w:val="FFFB4FFA"/>
    <w:rsid w:val="FFFB54C5"/>
    <w:rsid w:val="FFFB5FB7"/>
    <w:rsid w:val="FFFC148F"/>
    <w:rsid w:val="FFFC6352"/>
    <w:rsid w:val="FFFC87FD"/>
    <w:rsid w:val="FFFD1EC4"/>
    <w:rsid w:val="FFFD45B6"/>
    <w:rsid w:val="FFFD82CB"/>
    <w:rsid w:val="FFFE18C7"/>
    <w:rsid w:val="FFFE3813"/>
    <w:rsid w:val="FFFE5FB7"/>
    <w:rsid w:val="FFFEC341"/>
    <w:rsid w:val="FFFEC829"/>
    <w:rsid w:val="FFFF0C1A"/>
    <w:rsid w:val="FFFF0EE0"/>
    <w:rsid w:val="FFFF174D"/>
    <w:rsid w:val="FFFF323B"/>
    <w:rsid w:val="FFFF32D7"/>
    <w:rsid w:val="FFFF57EE"/>
    <w:rsid w:val="FFFF5AA4"/>
    <w:rsid w:val="FFFF74B4"/>
    <w:rsid w:val="FFFF7C2F"/>
    <w:rsid w:val="FFFF8342"/>
    <w:rsid w:val="FFFF9C75"/>
    <w:rsid w:val="FFFF9E13"/>
    <w:rsid w:val="FFFFACDD"/>
    <w:rsid w:val="FFFFB0AC"/>
    <w:rsid w:val="FFFFBDEB"/>
    <w:rsid w:val="FFFFBE8E"/>
    <w:rsid w:val="FFFFC19B"/>
    <w:rsid w:val="FFFFC347"/>
    <w:rsid w:val="FFFFD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paragraph" w:customStyle="1" w:styleId="6">
    <w:name w:val="样式2"/>
    <w:basedOn w:val="1"/>
    <w:qFormat/>
    <w:uiPriority w:val="0"/>
    <w:pPr>
      <w:spacing w:line="15" w:lineRule="auto"/>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Users/smj123/Desktop/1.RCA&#25968;&#25454;.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Users/smj123/Desktop/2.&#21046;&#36896;&#19994;&#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'[1.RCA数据.xlsx]RCA-增加值前向联系'!$A$2</c:f>
              <c:strCache>
                <c:ptCount val="1"/>
                <c:pt idx="0">
                  <c:v>RCA</c:v>
                </c:pt>
              </c:strCache>
            </c:strRef>
          </c:tx>
          <c:spPr>
            <a:ln w="28575" cap="rnd">
              <a:solidFill>
                <a:srgbClr val="70AD47"/>
              </a:solidFill>
              <a:round/>
            </a:ln>
            <a:effectLst/>
          </c:spPr>
          <c:marker>
            <c:symbol val="circle"/>
            <c:size val="7"/>
            <c:spPr>
              <a:solidFill>
                <a:srgbClr val="70AD47"/>
              </a:solidFill>
              <a:ln w="9525">
                <a:solidFill>
                  <a:srgbClr val="70AD47"/>
                </a:solidFill>
              </a:ln>
              <a:effectLst/>
            </c:spPr>
          </c:marker>
          <c:dLbls>
            <c:delete val="1"/>
          </c:dLbls>
          <c:cat>
            <c:numRef>
              <c:f>'[1.RCA数据.xlsx]RCA-增加值前向联系'!$B$1:$O$1</c:f>
              <c:numCache>
                <c:formatCode>General</c:formatCode>
                <c:ptCount val="14"/>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numCache>
            </c:numRef>
          </c:cat>
          <c:val>
            <c:numRef>
              <c:f>'[1.RCA数据.xlsx]RCA-增加值前向联系'!$B$2:$O$2</c:f>
              <c:numCache>
                <c:formatCode>0.00_ </c:formatCode>
                <c:ptCount val="14"/>
                <c:pt idx="0">
                  <c:v>0.682599584</c:v>
                </c:pt>
                <c:pt idx="1">
                  <c:v>0.729086188</c:v>
                </c:pt>
                <c:pt idx="2">
                  <c:v>0.755580428</c:v>
                </c:pt>
                <c:pt idx="3">
                  <c:v>0.773554034</c:v>
                </c:pt>
                <c:pt idx="4">
                  <c:v>0.807017752</c:v>
                </c:pt>
                <c:pt idx="5">
                  <c:v>0.829099236</c:v>
                </c:pt>
                <c:pt idx="6">
                  <c:v>0.820495436</c:v>
                </c:pt>
                <c:pt idx="7">
                  <c:v>0.823786702</c:v>
                </c:pt>
                <c:pt idx="8">
                  <c:v>0.842328095</c:v>
                </c:pt>
                <c:pt idx="9">
                  <c:v>0.833907767</c:v>
                </c:pt>
                <c:pt idx="10">
                  <c:v>0.864999191</c:v>
                </c:pt>
                <c:pt idx="11">
                  <c:v>0.857608505</c:v>
                </c:pt>
                <c:pt idx="12">
                  <c:v>0.799011335</c:v>
                </c:pt>
                <c:pt idx="13">
                  <c:v>0.796262146</c:v>
                </c:pt>
              </c:numCache>
            </c:numRef>
          </c:val>
          <c:smooth val="0"/>
        </c:ser>
        <c:dLbls>
          <c:showLegendKey val="0"/>
          <c:showVal val="0"/>
          <c:showCatName val="0"/>
          <c:showSerName val="0"/>
          <c:showPercent val="0"/>
          <c:showBubbleSize val="0"/>
        </c:dLbls>
        <c:marker val="1"/>
        <c:smooth val="0"/>
        <c:axId val="184894844"/>
        <c:axId val="358366337"/>
      </c:lineChart>
      <c:lineChart>
        <c:grouping val="standard"/>
        <c:varyColors val="0"/>
        <c:ser>
          <c:idx val="2"/>
          <c:order val="1"/>
          <c:tx>
            <c:strRef>
              <c:f>'[1.RCA数据.xlsx]RCA-增加值前向联系'!$A$3</c:f>
              <c:strCache>
                <c:ptCount val="1"/>
                <c:pt idx="0">
                  <c:v>Growth Rate</c:v>
                </c:pt>
              </c:strCache>
            </c:strRef>
          </c:tx>
          <c:spPr>
            <a:ln w="28575" cap="rnd">
              <a:solidFill>
                <a:schemeClr val="accent5">
                  <a:shade val="90000"/>
                </a:schemeClr>
              </a:solidFill>
              <a:round/>
            </a:ln>
            <a:effectLst/>
          </c:spPr>
          <c:marker>
            <c:symbol val="circle"/>
            <c:size val="7"/>
            <c:spPr>
              <a:solidFill>
                <a:schemeClr val="accent5">
                  <a:shade val="90000"/>
                </a:schemeClr>
              </a:solidFill>
              <a:ln w="9525">
                <a:solidFill>
                  <a:schemeClr val="accent5">
                    <a:shade val="90000"/>
                  </a:schemeClr>
                </a:solidFill>
              </a:ln>
              <a:effectLst/>
            </c:spPr>
          </c:marker>
          <c:dLbls>
            <c:delete val="1"/>
          </c:dLbls>
          <c:cat>
            <c:numRef>
              <c:f>'[1.RCA数据.xlsx]RCA-增加值前向联系'!$B$1:$O$1</c:f>
              <c:numCache>
                <c:formatCode>General</c:formatCode>
                <c:ptCount val="14"/>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numCache>
            </c:numRef>
          </c:cat>
          <c:val>
            <c:numRef>
              <c:f>'[1.RCA数据.xlsx]RCA-增加值前向联系'!$B$3:$O$3</c:f>
              <c:numCache>
                <c:formatCode>0.00000_ </c:formatCode>
                <c:ptCount val="14"/>
                <c:pt idx="0">
                  <c:v>-0.0504357267373709</c:v>
                </c:pt>
                <c:pt idx="1">
                  <c:v>0.0681023034435369</c:v>
                </c:pt>
                <c:pt idx="2">
                  <c:v>0.0363389684732308</c:v>
                </c:pt>
                <c:pt idx="3">
                  <c:v>0.0237878130956563</c:v>
                </c:pt>
                <c:pt idx="4">
                  <c:v>0.0432597033034153</c:v>
                </c:pt>
                <c:pt idx="5">
                  <c:v>0.0273618318125919</c:v>
                </c:pt>
                <c:pt idx="6">
                  <c:v>-0.0103772861274233</c:v>
                </c:pt>
                <c:pt idx="7">
                  <c:v>0.00401131542674428</c:v>
                </c:pt>
                <c:pt idx="8">
                  <c:v>0.022507516757657</c:v>
                </c:pt>
                <c:pt idx="9">
                  <c:v>-0.0099964942995283</c:v>
                </c:pt>
                <c:pt idx="10">
                  <c:v>0.0372840081725729</c:v>
                </c:pt>
                <c:pt idx="11">
                  <c:v>-0.00854415365574606</c:v>
                </c:pt>
                <c:pt idx="12">
                  <c:v>-0.0683262463680907</c:v>
                </c:pt>
                <c:pt idx="13">
                  <c:v>-0.00344073842206505</c:v>
                </c:pt>
              </c:numCache>
            </c:numRef>
          </c:val>
          <c:smooth val="0"/>
        </c:ser>
        <c:dLbls>
          <c:showLegendKey val="0"/>
          <c:showVal val="0"/>
          <c:showCatName val="0"/>
          <c:showSerName val="0"/>
          <c:showPercent val="0"/>
          <c:showBubbleSize val="0"/>
        </c:dLbls>
        <c:marker val="1"/>
        <c:smooth val="0"/>
        <c:axId val="541849415"/>
        <c:axId val="665751307"/>
      </c:lineChart>
      <c:catAx>
        <c:axId val="184894844"/>
        <c:scaling>
          <c:orientation val="minMax"/>
        </c:scaling>
        <c:delete val="0"/>
        <c:axPos val="b"/>
        <c:numFmt formatCode="General" sourceLinked="1"/>
        <c:majorTickMark val="none"/>
        <c:minorTickMark val="none"/>
        <c:tickLblPos val="nextTo"/>
        <c:spPr>
          <a:noFill/>
          <a:ln w="9525" cap="flat" cmpd="sng" algn="ctr">
            <a:solidFill>
              <a:schemeClr val="bg1">
                <a:lumMod val="95000"/>
              </a:schemeClr>
            </a:solidFill>
            <a:round/>
          </a:ln>
          <a:effectLst/>
        </c:spPr>
        <c:txPr>
          <a:bodyPr rot="-60000000" spcFirstLastPara="0" vertOverflow="ellipsis" vert="horz" wrap="square" anchor="ctr" anchorCtr="1" forceAA="0"/>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微软雅黑" charset="0"/>
                <a:ea typeface="微软雅黑" panose="020B0503020204020204" pitchFamily="34" charset="-122"/>
                <a:cs typeface="+mn-cs"/>
              </a:defRPr>
            </a:pPr>
          </a:p>
        </c:txPr>
        <c:crossAx val="358366337"/>
        <c:crosses val="autoZero"/>
        <c:auto val="1"/>
        <c:lblAlgn val="ctr"/>
        <c:lblOffset val="100"/>
        <c:noMultiLvlLbl val="0"/>
      </c:catAx>
      <c:valAx>
        <c:axId val="358366337"/>
        <c:scaling>
          <c:orientation val="minMax"/>
        </c:scaling>
        <c:delete val="0"/>
        <c:axPos val="l"/>
        <c:majorGridlines>
          <c:spPr>
            <a:ln w="9525" cap="flat" cmpd="sng" algn="ctr">
              <a:solidFill>
                <a:schemeClr val="bg1">
                  <a:lumMod val="9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Arial" panose="020B0604020202090204" pitchFamily="7" charset="0"/>
                <a:ea typeface="+mn-ea"/>
                <a:cs typeface="Arial" panose="020B0604020202090204" pitchFamily="7" charset="0"/>
              </a:defRPr>
            </a:pPr>
          </a:p>
        </c:txPr>
        <c:crossAx val="184894844"/>
        <c:crosses val="autoZero"/>
        <c:crossBetween val="between"/>
        <c:majorUnit val="0.1"/>
      </c:valAx>
      <c:catAx>
        <c:axId val="541849415"/>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5751307"/>
        <c:crosses val="autoZero"/>
        <c:auto val="1"/>
        <c:lblAlgn val="ctr"/>
        <c:lblOffset val="100"/>
        <c:noMultiLvlLbl val="0"/>
      </c:catAx>
      <c:valAx>
        <c:axId val="665751307"/>
        <c:scaling>
          <c:orientation val="minMax"/>
        </c:scaling>
        <c:delete val="0"/>
        <c:axPos val="r"/>
        <c:numFmt formatCode="0.00_ ;[Red]\-0.00\ " sourceLinked="0"/>
        <c:majorTickMark val="cross"/>
        <c:minorTickMark val="none"/>
        <c:tickLblPos val="nextTo"/>
        <c:spPr>
          <a:noFill/>
          <a:ln>
            <a:solidFill>
              <a:schemeClr val="accent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1849415"/>
        <c:crosses val="max"/>
        <c:crossBetween val="between"/>
        <c:majorUnit val="0.02"/>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mn-cs"/>
            </a:defRPr>
          </a:pPr>
        </a:p>
      </c:txPr>
    </c:legend>
    <c:plotVisOnly val="1"/>
    <c:dispBlanksAs val="gap"/>
    <c:showDLblsOverMax val="0"/>
    <c:extLst>
      <c:ext uri="{0b15fc19-7d7d-44ad-8c2d-2c3a37ce22c3}">
        <chartProps xmlns="https://web.wps.cn/et/2018/main" chartId="{7e529d74-2846-4869-b802-078e47a3d45f}"/>
      </c:ext>
    </c:extLst>
  </c:chart>
  <c:spPr>
    <a:solidFill>
      <a:schemeClr val="bg1"/>
    </a:solidFill>
    <a:ln w="9525" cap="flat" cmpd="sng" algn="ctr">
      <a:solidFill>
        <a:schemeClr val="bg1">
          <a:lumMod val="9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[2.制造业数据.xlsx]Sheet2!$A$2</c:f>
              <c:strCache>
                <c:ptCount val="1"/>
                <c:pt idx="0">
                  <c:v>Number of valid invention patents in the manufacturing industry (10,000 pieces)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1"/>
          </c:dLbls>
          <c:cat>
            <c:numRef>
              <c:f>[2.制造业数据.xlsx]Sheet2!$B$1:$O$1</c:f>
              <c:numCache>
                <c:formatCode>General</c:formatCode>
                <c:ptCount val="14"/>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numCache>
            </c:numRef>
          </c:cat>
          <c:val>
            <c:numRef>
              <c:f>[2.制造业数据.xlsx]Sheet2!$B$2:$O$2</c:f>
              <c:numCache>
                <c:formatCode>General</c:formatCode>
                <c:ptCount val="14"/>
                <c:pt idx="0">
                  <c:v>4.25</c:v>
                </c:pt>
                <c:pt idx="1">
                  <c:v>5.42</c:v>
                </c:pt>
                <c:pt idx="2">
                  <c:v>7.89</c:v>
                </c:pt>
                <c:pt idx="3">
                  <c:v>10.97</c:v>
                </c:pt>
                <c:pt idx="4">
                  <c:v>19.66</c:v>
                </c:pt>
                <c:pt idx="5">
                  <c:v>27.14</c:v>
                </c:pt>
                <c:pt idx="6">
                  <c:v>32.87</c:v>
                </c:pt>
                <c:pt idx="7">
                  <c:v>43.8</c:v>
                </c:pt>
                <c:pt idx="8">
                  <c:v>56.01</c:v>
                </c:pt>
                <c:pt idx="9">
                  <c:v>74.75</c:v>
                </c:pt>
                <c:pt idx="10">
                  <c:v>90.73</c:v>
                </c:pt>
                <c:pt idx="11">
                  <c:v>105.93</c:v>
                </c:pt>
                <c:pt idx="12">
                  <c:v>117.19</c:v>
                </c:pt>
                <c:pt idx="13">
                  <c:v>139.42</c:v>
                </c:pt>
              </c:numCache>
            </c:numRef>
          </c:val>
          <c:smooth val="0"/>
        </c:ser>
        <c:dLbls>
          <c:showLegendKey val="0"/>
          <c:showVal val="0"/>
          <c:showCatName val="0"/>
          <c:showSerName val="0"/>
          <c:showPercent val="0"/>
          <c:showBubbleSize val="0"/>
        </c:dLbls>
        <c:marker val="1"/>
        <c:smooth val="0"/>
        <c:axId val="849720030"/>
        <c:axId val="886131274"/>
      </c:lineChart>
      <c:lineChart>
        <c:grouping val="standard"/>
        <c:varyColors val="0"/>
        <c:ser>
          <c:idx val="1"/>
          <c:order val="1"/>
          <c:tx>
            <c:strRef>
              <c:f>[2.制造业数据.xlsx]Sheet2!$A$3</c:f>
              <c:strCache>
                <c:ptCount val="1"/>
                <c:pt idx="0">
                  <c:v>Growth Rate</c:v>
                </c:pt>
              </c:strCache>
            </c:strRef>
          </c:tx>
          <c:spPr>
            <a:ln w="28575" cap="rnd">
              <a:solidFill>
                <a:schemeClr val="accent1">
                  <a:lumMod val="75000"/>
                </a:schemeClr>
              </a:solidFill>
              <a:round/>
            </a:ln>
            <a:effectLst/>
          </c:spPr>
          <c:marker>
            <c:symbol val="circle"/>
            <c:size val="5"/>
            <c:spPr>
              <a:solidFill>
                <a:schemeClr val="accent1">
                  <a:lumMod val="75000"/>
                </a:schemeClr>
              </a:solidFill>
              <a:ln w="9525">
                <a:solidFill>
                  <a:schemeClr val="accent1">
                    <a:lumMod val="75000"/>
                  </a:schemeClr>
                </a:solidFill>
              </a:ln>
              <a:effectLst/>
            </c:spPr>
          </c:marker>
          <c:dLbls>
            <c:delete val="1"/>
          </c:dLbls>
          <c:val>
            <c:numRef>
              <c:f>[2.制造业数据.xlsx]Sheet2!$B$3:$O$3</c:f>
              <c:numCache>
                <c:formatCode>General</c:formatCode>
                <c:ptCount val="14"/>
                <c:pt idx="0">
                  <c:v>0.50709219858156</c:v>
                </c:pt>
                <c:pt idx="1">
                  <c:v>0.275294117647059</c:v>
                </c:pt>
                <c:pt idx="2">
                  <c:v>0.455719557195572</c:v>
                </c:pt>
                <c:pt idx="3">
                  <c:v>0.390367553865653</c:v>
                </c:pt>
                <c:pt idx="4">
                  <c:v>0.792160437556974</c:v>
                </c:pt>
                <c:pt idx="5">
                  <c:v>0.380467955239064</c:v>
                </c:pt>
                <c:pt idx="6">
                  <c:v>0.211127487103906</c:v>
                </c:pt>
                <c:pt idx="7">
                  <c:v>0.332522056586553</c:v>
                </c:pt>
                <c:pt idx="8">
                  <c:v>0.278767123287671</c:v>
                </c:pt>
                <c:pt idx="9">
                  <c:v>0.3345831101589</c:v>
                </c:pt>
                <c:pt idx="10">
                  <c:v>0.213779264214047</c:v>
                </c:pt>
                <c:pt idx="11">
                  <c:v>0.16753003416731</c:v>
                </c:pt>
                <c:pt idx="12">
                  <c:v>0.106296610969508</c:v>
                </c:pt>
                <c:pt idx="13">
                  <c:v>0.189691953238331</c:v>
                </c:pt>
              </c:numCache>
            </c:numRef>
          </c:val>
          <c:smooth val="0"/>
        </c:ser>
        <c:dLbls>
          <c:showLegendKey val="0"/>
          <c:showVal val="0"/>
          <c:showCatName val="0"/>
          <c:showSerName val="0"/>
          <c:showPercent val="0"/>
          <c:showBubbleSize val="0"/>
        </c:dLbls>
        <c:marker val="1"/>
        <c:smooth val="0"/>
        <c:axId val="364040388"/>
        <c:axId val="382772145"/>
      </c:lineChart>
      <c:catAx>
        <c:axId val="84972003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6131274"/>
        <c:crosses val="autoZero"/>
        <c:auto val="1"/>
        <c:lblAlgn val="ctr"/>
        <c:lblOffset val="100"/>
        <c:noMultiLvlLbl val="0"/>
      </c:catAx>
      <c:valAx>
        <c:axId val="88613127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9720030"/>
        <c:crosses val="autoZero"/>
        <c:crossBetween val="between"/>
      </c:valAx>
      <c:catAx>
        <c:axId val="364040388"/>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2772145"/>
        <c:crosses val="autoZero"/>
        <c:auto val="1"/>
        <c:lblAlgn val="ctr"/>
        <c:lblOffset val="100"/>
        <c:noMultiLvlLbl val="0"/>
      </c:catAx>
      <c:valAx>
        <c:axId val="382772145"/>
        <c:scaling>
          <c:orientation val="minMax"/>
        </c:scaling>
        <c:delete val="0"/>
        <c:axPos val="r"/>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4040388"/>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b7d18e4-7360-459a-b003-317c0659191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29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Pages>21</Pages>
  <Words>7871</Words>
  <Characters>44865</Characters>
  <Lines>373</Lines>
  <Paragraphs>105</Paragraphs>
  <TotalTime>0</TotalTime>
  <ScaleCrop>false</ScaleCrop>
  <LinksUpToDate>false</LinksUpToDate>
  <CharactersWithSpaces>52631</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2024-06-06T07:04:00Z</dcterms:created>
  <dc:creator>羌芍纤次偃</dc:creator>
  <cp:lastModifiedBy>麻薯</cp:lastModifiedBy>
  <dcterms:modified xsi:type="dcterms:W3CDTF">2026-06-16T21:16:59Z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ED08A4B7FDB9B747BC0D4F66D96E10A7_41</vt:lpwstr>
  </property>
</Properties>
</file>