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30" w:rsidRPr="00712188" w:rsidRDefault="000D2E66" w:rsidP="00705731">
      <w:pPr>
        <w:spacing w:before="100" w:after="120"/>
        <w:jc w:val="center"/>
        <w:rPr>
          <w:rFonts w:ascii="Times New Roman" w:hAnsi="Times New Roman" w:cs="Times New Roman"/>
        </w:rPr>
      </w:pPr>
      <w:r w:rsidRPr="00712188">
        <w:rPr>
          <w:rFonts w:ascii="Times New Roman" w:hAnsi="Times New Roman" w:cs="Times New Roman"/>
          <w:b/>
          <w:bCs/>
          <w:color w:val="1F5C99"/>
          <w:sz w:val="32"/>
          <w:szCs w:val="32"/>
        </w:rPr>
        <w:t xml:space="preserve">Delivery Mechanisms and Outcomes of the </w:t>
      </w:r>
      <w:proofErr w:type="spellStart"/>
      <w:r w:rsidRPr="00712188">
        <w:rPr>
          <w:rFonts w:ascii="Times New Roman" w:hAnsi="Times New Roman" w:cs="Times New Roman"/>
          <w:b/>
          <w:bCs/>
          <w:color w:val="1F5C99"/>
          <w:sz w:val="32"/>
          <w:szCs w:val="32"/>
        </w:rPr>
        <w:t>Emyooga</w:t>
      </w:r>
      <w:proofErr w:type="spellEnd"/>
      <w:r w:rsidRPr="00712188">
        <w:rPr>
          <w:rFonts w:ascii="Times New Roman" w:hAnsi="Times New Roman" w:cs="Times New Roman"/>
          <w:b/>
          <w:bCs/>
          <w:color w:val="1F5C99"/>
          <w:sz w:val="32"/>
          <w:szCs w:val="32"/>
        </w:rPr>
        <w:t xml:space="preserve"> Programme in Uganda: Evidence from a Mixed-Methods Pilot Study</w:t>
      </w:r>
    </w:p>
    <w:p w:rsidR="002E21A0" w:rsidRPr="00716CED" w:rsidRDefault="000D2E66" w:rsidP="002E21A0">
      <w:pPr>
        <w:spacing w:after="40" w:line="276" w:lineRule="auto"/>
        <w:jc w:val="both"/>
        <w:rPr>
          <w:rFonts w:ascii="Times New Roman" w:hAnsi="Times New Roman" w:cs="Times New Roman"/>
          <w:vertAlign w:val="superscript"/>
        </w:rPr>
      </w:pPr>
      <w:proofErr w:type="spellStart"/>
      <w:r w:rsidRPr="00712188">
        <w:rPr>
          <w:rFonts w:ascii="Times New Roman" w:hAnsi="Times New Roman" w:cs="Times New Roman"/>
          <w:b/>
          <w:bCs/>
          <w:sz w:val="22"/>
          <w:szCs w:val="22"/>
        </w:rPr>
        <w:t>Bisaso</w:t>
      </w:r>
      <w:proofErr w:type="spellEnd"/>
      <w:r w:rsidRPr="00712188">
        <w:rPr>
          <w:rFonts w:ascii="Times New Roman" w:hAnsi="Times New Roman" w:cs="Times New Roman"/>
          <w:b/>
          <w:bCs/>
          <w:sz w:val="22"/>
          <w:szCs w:val="22"/>
        </w:rPr>
        <w:t xml:space="preserve"> Abdul</w:t>
      </w:r>
      <w:r w:rsidR="00716CED">
        <w:rPr>
          <w:rFonts w:ascii="Times New Roman" w:hAnsi="Times New Roman" w:cs="Times New Roman"/>
          <w:b/>
          <w:bCs/>
          <w:sz w:val="22"/>
          <w:szCs w:val="22"/>
          <w:vertAlign w:val="superscript"/>
        </w:rPr>
        <w:t>1</w:t>
      </w:r>
      <w:r w:rsidR="002E21A0" w:rsidRPr="00712188">
        <w:rPr>
          <w:rFonts w:ascii="Times New Roman" w:hAnsi="Times New Roman" w:cs="Times New Roman"/>
          <w:b/>
          <w:bCs/>
          <w:sz w:val="22"/>
          <w:szCs w:val="22"/>
        </w:rPr>
        <w:t xml:space="preserve">, </w:t>
      </w:r>
      <w:proofErr w:type="spellStart"/>
      <w:r w:rsidR="002E21A0" w:rsidRPr="00712188">
        <w:rPr>
          <w:rFonts w:ascii="Times New Roman" w:hAnsi="Times New Roman" w:cs="Times New Roman"/>
          <w:b/>
          <w:bCs/>
          <w:sz w:val="22"/>
          <w:szCs w:val="22"/>
        </w:rPr>
        <w:t>Nkuutu</w:t>
      </w:r>
      <w:proofErr w:type="spellEnd"/>
      <w:r w:rsidR="002E21A0" w:rsidRPr="00712188">
        <w:rPr>
          <w:rFonts w:ascii="Times New Roman" w:hAnsi="Times New Roman" w:cs="Times New Roman"/>
          <w:b/>
          <w:bCs/>
          <w:sz w:val="22"/>
          <w:szCs w:val="22"/>
        </w:rPr>
        <w:t xml:space="preserve"> David Nelson</w:t>
      </w:r>
      <w:r w:rsidR="00716CED">
        <w:rPr>
          <w:rFonts w:ascii="Times New Roman" w:hAnsi="Times New Roman" w:cs="Times New Roman"/>
          <w:b/>
          <w:bCs/>
          <w:sz w:val="22"/>
          <w:szCs w:val="22"/>
          <w:vertAlign w:val="superscript"/>
        </w:rPr>
        <w:t>2</w:t>
      </w:r>
      <w:r w:rsidR="002E21A0" w:rsidRPr="00712188">
        <w:rPr>
          <w:rFonts w:ascii="Times New Roman" w:hAnsi="Times New Roman" w:cs="Times New Roman"/>
          <w:b/>
          <w:bCs/>
          <w:sz w:val="22"/>
          <w:szCs w:val="22"/>
        </w:rPr>
        <w:t xml:space="preserve">, </w:t>
      </w:r>
      <w:proofErr w:type="spellStart"/>
      <w:r w:rsidR="006609EA" w:rsidRPr="00712188">
        <w:rPr>
          <w:rFonts w:ascii="Times New Roman" w:hAnsi="Times New Roman" w:cs="Times New Roman"/>
          <w:b/>
          <w:bCs/>
          <w:sz w:val="22"/>
          <w:szCs w:val="22"/>
        </w:rPr>
        <w:t>Ndyabarema</w:t>
      </w:r>
      <w:proofErr w:type="spellEnd"/>
      <w:r w:rsidR="006609EA" w:rsidRPr="00712188">
        <w:rPr>
          <w:rFonts w:ascii="Times New Roman" w:hAnsi="Times New Roman" w:cs="Times New Roman"/>
          <w:b/>
          <w:bCs/>
          <w:sz w:val="22"/>
          <w:szCs w:val="22"/>
        </w:rPr>
        <w:t xml:space="preserve"> Robert</w:t>
      </w:r>
      <w:r w:rsidR="00716CED">
        <w:rPr>
          <w:rFonts w:ascii="Times New Roman" w:hAnsi="Times New Roman" w:cs="Times New Roman"/>
          <w:b/>
          <w:bCs/>
          <w:sz w:val="22"/>
          <w:szCs w:val="22"/>
          <w:vertAlign w:val="superscript"/>
        </w:rPr>
        <w:t>2</w:t>
      </w:r>
      <w:r w:rsidR="002E21A0" w:rsidRPr="00712188">
        <w:rPr>
          <w:rFonts w:ascii="Times New Roman" w:hAnsi="Times New Roman" w:cs="Times New Roman"/>
          <w:b/>
          <w:bCs/>
          <w:sz w:val="22"/>
          <w:szCs w:val="22"/>
        </w:rPr>
        <w:t xml:space="preserve">, and </w:t>
      </w:r>
      <w:r w:rsidR="006609EA" w:rsidRPr="00712188">
        <w:rPr>
          <w:rFonts w:ascii="Times New Roman" w:hAnsi="Times New Roman" w:cs="Times New Roman"/>
          <w:b/>
          <w:bCs/>
          <w:sz w:val="22"/>
          <w:szCs w:val="22"/>
        </w:rPr>
        <w:t>Dr Kareyo Margaret</w:t>
      </w:r>
      <w:r w:rsidR="00716CED">
        <w:rPr>
          <w:rFonts w:ascii="Times New Roman" w:hAnsi="Times New Roman" w:cs="Times New Roman"/>
          <w:b/>
          <w:bCs/>
          <w:sz w:val="22"/>
          <w:szCs w:val="22"/>
          <w:vertAlign w:val="superscript"/>
        </w:rPr>
        <w:t>3</w:t>
      </w:r>
    </w:p>
    <w:p w:rsidR="007F6378" w:rsidRPr="004303D6" w:rsidRDefault="007F6378" w:rsidP="007F6378">
      <w:pPr>
        <w:pStyle w:val="ListParagraph"/>
        <w:numPr>
          <w:ilvl w:val="0"/>
          <w:numId w:val="2"/>
        </w:numPr>
        <w:ind w:left="714" w:hanging="357"/>
        <w:jc w:val="both"/>
        <w:rPr>
          <w:rFonts w:ascii="Times New Roman" w:hAnsi="Times New Roman" w:cs="Times New Roman"/>
          <w:i/>
          <w:iCs/>
        </w:rPr>
      </w:pPr>
      <w:r w:rsidRPr="004303D6">
        <w:rPr>
          <w:rFonts w:ascii="Times New Roman" w:hAnsi="Times New Roman" w:cs="Times New Roman"/>
          <w:i/>
          <w:iCs/>
          <w:sz w:val="18"/>
          <w:szCs w:val="18"/>
        </w:rPr>
        <w:t>College of Humanities and Social Sciences</w:t>
      </w:r>
      <w:r w:rsidRPr="00897ABD">
        <w:rPr>
          <w:rFonts w:ascii="Times New Roman" w:hAnsi="Times New Roman" w:cs="Times New Roman"/>
          <w:i/>
          <w:iCs/>
          <w:color w:val="444444"/>
          <w:sz w:val="18"/>
          <w:szCs w:val="18"/>
        </w:rPr>
        <w:t>, Kampala International University, Uganda</w:t>
      </w:r>
      <w:r w:rsidRPr="004303D6">
        <w:rPr>
          <w:rFonts w:ascii="Times New Roman" w:hAnsi="Times New Roman" w:cs="Times New Roman"/>
          <w:i/>
          <w:iCs/>
          <w:sz w:val="18"/>
          <w:szCs w:val="18"/>
        </w:rPr>
        <w:t xml:space="preserve"> </w:t>
      </w:r>
    </w:p>
    <w:p w:rsidR="00F25E5D" w:rsidRPr="00897ABD" w:rsidRDefault="00F25E5D" w:rsidP="00F25E5D">
      <w:pPr>
        <w:pStyle w:val="ListParagraph"/>
        <w:numPr>
          <w:ilvl w:val="0"/>
          <w:numId w:val="2"/>
        </w:numPr>
        <w:ind w:left="714" w:hanging="357"/>
        <w:jc w:val="both"/>
        <w:rPr>
          <w:rFonts w:ascii="Times New Roman" w:hAnsi="Times New Roman" w:cs="Times New Roman"/>
        </w:rPr>
      </w:pPr>
      <w:r w:rsidRPr="00897ABD">
        <w:rPr>
          <w:rFonts w:ascii="Times New Roman" w:hAnsi="Times New Roman" w:cs="Times New Roman"/>
          <w:i/>
          <w:iCs/>
          <w:color w:val="444444"/>
          <w:sz w:val="18"/>
          <w:szCs w:val="18"/>
        </w:rPr>
        <w:t>School of Natural and Applied Sciences, Kampala International University, Uganda</w:t>
      </w:r>
    </w:p>
    <w:p w:rsidR="004303D6" w:rsidRPr="004303D6" w:rsidRDefault="00F25E5D" w:rsidP="004C1186">
      <w:pPr>
        <w:pStyle w:val="ListParagraph"/>
        <w:numPr>
          <w:ilvl w:val="0"/>
          <w:numId w:val="2"/>
        </w:numPr>
        <w:ind w:left="714" w:hanging="357"/>
        <w:jc w:val="both"/>
        <w:rPr>
          <w:rFonts w:ascii="Times New Roman" w:hAnsi="Times New Roman" w:cs="Times New Roman"/>
        </w:rPr>
      </w:pPr>
      <w:r>
        <w:rPr>
          <w:rFonts w:ascii="Times New Roman" w:hAnsi="Times New Roman" w:cs="Times New Roman"/>
          <w:i/>
          <w:iCs/>
          <w:color w:val="444444"/>
          <w:sz w:val="18"/>
          <w:szCs w:val="18"/>
        </w:rPr>
        <w:t xml:space="preserve">School of </w:t>
      </w:r>
      <w:r w:rsidR="00716CED">
        <w:rPr>
          <w:rFonts w:ascii="Times New Roman" w:hAnsi="Times New Roman" w:cs="Times New Roman"/>
          <w:i/>
          <w:iCs/>
          <w:color w:val="444444"/>
          <w:sz w:val="18"/>
          <w:szCs w:val="18"/>
        </w:rPr>
        <w:t>M</w:t>
      </w:r>
      <w:r>
        <w:rPr>
          <w:rFonts w:ascii="Times New Roman" w:hAnsi="Times New Roman" w:cs="Times New Roman"/>
          <w:i/>
          <w:iCs/>
          <w:color w:val="444444"/>
          <w:sz w:val="18"/>
          <w:szCs w:val="18"/>
        </w:rPr>
        <w:t>athematics and Computing</w:t>
      </w:r>
      <w:r w:rsidR="004303D6" w:rsidRPr="00897ABD">
        <w:rPr>
          <w:rFonts w:ascii="Times New Roman" w:hAnsi="Times New Roman" w:cs="Times New Roman"/>
          <w:i/>
          <w:iCs/>
          <w:color w:val="444444"/>
          <w:sz w:val="18"/>
          <w:szCs w:val="18"/>
        </w:rPr>
        <w:t>, Kampala International University, Uganda</w:t>
      </w:r>
    </w:p>
    <w:p w:rsidR="00C558AE" w:rsidRPr="00A07D98" w:rsidRDefault="00C558AE" w:rsidP="00C558AE">
      <w:pPr>
        <w:spacing w:after="40" w:line="276" w:lineRule="auto"/>
        <w:jc w:val="both"/>
        <w:rPr>
          <w:rFonts w:ascii="Times New Roman" w:hAnsi="Times New Roman" w:cs="Times New Roman"/>
        </w:rPr>
      </w:pPr>
      <w:r w:rsidRPr="00A07D98">
        <w:rPr>
          <w:rFonts w:ascii="Times New Roman" w:hAnsi="Times New Roman" w:cs="Times New Roman"/>
          <w:b/>
          <w:bCs/>
          <w:color w:val="1F5C99"/>
          <w:sz w:val="18"/>
          <w:szCs w:val="18"/>
        </w:rPr>
        <w:t xml:space="preserve">Corresponding Author: </w:t>
      </w:r>
      <w:proofErr w:type="spellStart"/>
      <w:r w:rsidRPr="00C558AE">
        <w:rPr>
          <w:rFonts w:ascii="Times New Roman" w:hAnsi="Times New Roman" w:cs="Times New Roman"/>
          <w:color w:val="444444"/>
          <w:sz w:val="18"/>
          <w:szCs w:val="18"/>
        </w:rPr>
        <w:t>Bisaso</w:t>
      </w:r>
      <w:proofErr w:type="spellEnd"/>
      <w:r w:rsidRPr="00C558AE">
        <w:rPr>
          <w:rFonts w:ascii="Times New Roman" w:hAnsi="Times New Roman" w:cs="Times New Roman"/>
          <w:color w:val="444444"/>
          <w:sz w:val="18"/>
          <w:szCs w:val="18"/>
        </w:rPr>
        <w:t xml:space="preserve"> Abdul</w:t>
      </w:r>
      <w:r w:rsidR="00C8554C">
        <w:rPr>
          <w:rFonts w:ascii="Times New Roman" w:hAnsi="Times New Roman" w:cs="Times New Roman"/>
          <w:color w:val="444444"/>
          <w:sz w:val="18"/>
          <w:szCs w:val="18"/>
        </w:rPr>
        <w:t xml:space="preserve"> </w:t>
      </w:r>
      <w:hyperlink r:id="rId7" w:history="1">
        <w:r w:rsidR="000E3BA4" w:rsidRPr="000534BD">
          <w:rPr>
            <w:rStyle w:val="Hyperlink"/>
            <w:rFonts w:ascii="Times New Roman" w:hAnsi="Times New Roman" w:cs="Times New Roman"/>
            <w:sz w:val="18"/>
            <w:szCs w:val="18"/>
          </w:rPr>
          <w:t>abdul.bisaso@studmc.kiu.ac.ug</w:t>
        </w:r>
      </w:hyperlink>
      <w:r w:rsidRPr="00A07D98">
        <w:rPr>
          <w:rFonts w:ascii="Times New Roman" w:hAnsi="Times New Roman" w:cs="Times New Roman"/>
          <w:color w:val="444444"/>
          <w:sz w:val="18"/>
          <w:szCs w:val="18"/>
        </w:rPr>
        <w:t>, Kampala International University, Uganda</w:t>
      </w:r>
    </w:p>
    <w:p w:rsidR="002E21A0" w:rsidRPr="00712188" w:rsidRDefault="002E21A0">
      <w:pPr>
        <w:spacing w:after="80"/>
        <w:rPr>
          <w:rFonts w:ascii="Times New Roman" w:hAnsi="Times New Roman" w:cs="Times New Roman"/>
        </w:rPr>
      </w:pPr>
      <w:r w:rsidRPr="00712188">
        <w:rPr>
          <w:rFonts w:ascii="Times New Roman" w:hAnsi="Times New Roman" w:cs="Times New Roman"/>
          <w:b/>
          <w:bCs/>
          <w:color w:val="1F5C99"/>
          <w:sz w:val="22"/>
          <w:szCs w:val="22"/>
        </w:rPr>
        <w:t>Abstract</w:t>
      </w:r>
    </w:p>
    <w:p w:rsidR="002E21A0" w:rsidRPr="00712188" w:rsidRDefault="002E21A0">
      <w:pPr>
        <w:spacing w:after="100" w:line="276" w:lineRule="auto"/>
        <w:jc w:val="both"/>
        <w:rPr>
          <w:rFonts w:ascii="Times New Roman" w:hAnsi="Times New Roman" w:cs="Times New Roman"/>
        </w:rPr>
      </w:pPr>
      <w:r w:rsidRPr="00712188">
        <w:rPr>
          <w:rFonts w:ascii="Times New Roman" w:hAnsi="Times New Roman" w:cs="Times New Roman"/>
          <w:sz w:val="19"/>
          <w:szCs w:val="19"/>
        </w:rPr>
        <w:t xml:space="preserve">The </w:t>
      </w:r>
      <w:proofErr w:type="spellStart"/>
      <w:r w:rsidRPr="00712188">
        <w:rPr>
          <w:rFonts w:ascii="Times New Roman" w:hAnsi="Times New Roman" w:cs="Times New Roman"/>
          <w:sz w:val="19"/>
          <w:szCs w:val="19"/>
        </w:rPr>
        <w:t>Emyooga</w:t>
      </w:r>
      <w:proofErr w:type="spellEnd"/>
      <w:r w:rsidRPr="00712188">
        <w:rPr>
          <w:rFonts w:ascii="Times New Roman" w:hAnsi="Times New Roman" w:cs="Times New Roman"/>
          <w:sz w:val="19"/>
          <w:szCs w:val="19"/>
        </w:rPr>
        <w:t xml:space="preserve"> Programme, Uganda's flagship presidential wealth-creation initiative, channels public seed capital through parish associations and constituency Savings and Credit Cooperative Organisations (SACCOs) with the goal of catalysing sustainable microenterprise formation and durable household income growth. Despite its ambitious reach, the programme has produced markedly uneven outcomes across communities, with some groups sustaining revolving funds whilst others report rapid capital dissipation, weak loan repayment, and negligible livelihood gains. This paper draws on a convergent mixed-methods pilot study (n = 32) to interrogate how four discrete delivery mechanisms disbursement modality and timing, SACCO governance, capacity-building provision, and monitoring and evaluation mediate early beneficiary outcomes. The findings reveal pervasive uncertainty about disbursement terms (67.7% of respondents were unsure whether funds arrived on time), high rates of suspected fund misuse (76.7%), and a near-total absence of follow-up coaching following one-off training workshops. Crucially, respondents expressed strong willingness to participate in low-cost governance and training pilots, suggesting that targeted, scalable interventions hold genuine promise for strengthening programme effectiveness. Theoretical contributions are drawn from principal–agent theory, microenterprise research, and enterprise risk management scholarship. Policy recommendations centre on transparency, governance regularisation, and the reconfiguration of capacity-building support.</w:t>
      </w:r>
    </w:p>
    <w:p w:rsidR="002E21A0" w:rsidRPr="00712188" w:rsidRDefault="002E21A0">
      <w:pPr>
        <w:spacing w:before="80"/>
        <w:rPr>
          <w:rFonts w:ascii="Times New Roman" w:hAnsi="Times New Roman" w:cs="Times New Roman"/>
        </w:rPr>
      </w:pPr>
      <w:r w:rsidRPr="00712188">
        <w:rPr>
          <w:rFonts w:ascii="Times New Roman" w:hAnsi="Times New Roman" w:cs="Times New Roman"/>
          <w:b/>
          <w:bCs/>
          <w:color w:val="1F5C99"/>
          <w:sz w:val="19"/>
          <w:szCs w:val="19"/>
        </w:rPr>
        <w:t xml:space="preserve">Keywords: </w:t>
      </w:r>
      <w:proofErr w:type="spellStart"/>
      <w:r w:rsidRPr="00712188">
        <w:rPr>
          <w:rFonts w:ascii="Times New Roman" w:hAnsi="Times New Roman" w:cs="Times New Roman"/>
          <w:sz w:val="19"/>
          <w:szCs w:val="19"/>
        </w:rPr>
        <w:t>Emyooga</w:t>
      </w:r>
      <w:proofErr w:type="spellEnd"/>
      <w:r w:rsidRPr="00712188">
        <w:rPr>
          <w:rFonts w:ascii="Times New Roman" w:hAnsi="Times New Roman" w:cs="Times New Roman"/>
          <w:sz w:val="19"/>
          <w:szCs w:val="19"/>
        </w:rPr>
        <w:t xml:space="preserve"> </w:t>
      </w:r>
      <w:proofErr w:type="spellStart"/>
      <w:r w:rsidRPr="00712188">
        <w:rPr>
          <w:rFonts w:ascii="Times New Roman" w:hAnsi="Times New Roman" w:cs="Times New Roman"/>
          <w:sz w:val="19"/>
          <w:szCs w:val="19"/>
        </w:rPr>
        <w:t>Saccos</w:t>
      </w:r>
      <w:proofErr w:type="spellEnd"/>
      <w:r w:rsidRPr="00712188">
        <w:rPr>
          <w:rFonts w:ascii="Times New Roman" w:hAnsi="Times New Roman" w:cs="Times New Roman"/>
          <w:sz w:val="19"/>
          <w:szCs w:val="19"/>
        </w:rPr>
        <w:t xml:space="preserve"> Microenterprise Uganda Delivery Mechanisms Governance Capacity Building Public Seed Capital Mixed Methods</w:t>
      </w:r>
    </w:p>
    <w:p w:rsidR="00B21F30" w:rsidRPr="00712188" w:rsidRDefault="00B21F30">
      <w:pPr>
        <w:spacing w:after="200"/>
        <w:rPr>
          <w:rFonts w:ascii="Times New Roman" w:hAnsi="Times New Roman" w:cs="Times New Roman"/>
        </w:rPr>
      </w:pPr>
    </w:p>
    <w:p w:rsidR="00B21F30" w:rsidRPr="00712188" w:rsidRDefault="000D2E66">
      <w:pPr>
        <w:pBdr>
          <w:bottom w:val="single" w:sz="6" w:space="2" w:color="1F5C99"/>
        </w:pBdr>
        <w:spacing w:before="200" w:after="100"/>
        <w:rPr>
          <w:rFonts w:ascii="Times New Roman" w:hAnsi="Times New Roman" w:cs="Times New Roman"/>
        </w:rPr>
      </w:pPr>
      <w:r w:rsidRPr="00712188">
        <w:rPr>
          <w:rFonts w:ascii="Times New Roman" w:hAnsi="Times New Roman" w:cs="Times New Roman"/>
          <w:b/>
          <w:bCs/>
          <w:color w:val="1F5C99"/>
          <w:sz w:val="22"/>
          <w:szCs w:val="22"/>
        </w:rPr>
        <w:t>1 Introduction</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Public sector initiatives designed to stimulate grassroots entrepreneurship are a recurring fixture of development policy across sub-Saharan Africa. Yet the gap between the rhetoric of wealth creation and the lived experience of intended beneficiaries remains stubbornly wide. The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Programme</w:t>
      </w:r>
      <w:r w:rsidR="002E21A0" w:rsidRPr="00712188">
        <w:rPr>
          <w:rFonts w:ascii="Times New Roman" w:hAnsi="Times New Roman" w:cs="Times New Roman"/>
        </w:rPr>
        <w:t xml:space="preserve"> </w:t>
      </w:r>
      <w:r w:rsidRPr="00712188">
        <w:rPr>
          <w:rFonts w:ascii="Times New Roman" w:hAnsi="Times New Roman" w:cs="Times New Roman"/>
        </w:rPr>
        <w:t>launched as a presidential initiative at the heart of Uganda's broader wealth-creation agenda</w:t>
      </w:r>
      <w:r w:rsidR="002E21A0" w:rsidRPr="00712188">
        <w:rPr>
          <w:rFonts w:ascii="Times New Roman" w:hAnsi="Times New Roman" w:cs="Times New Roman"/>
        </w:rPr>
        <w:t xml:space="preserve"> </w:t>
      </w:r>
      <w:r w:rsidRPr="00712188">
        <w:rPr>
          <w:rFonts w:ascii="Times New Roman" w:hAnsi="Times New Roman" w:cs="Times New Roman"/>
        </w:rPr>
        <w:t>represents one of the most ambitious attempts in the region's recent history to bridge that gap through the organised injection of seed capital at the community level (Ministry of Finance, Planning and Economic Development [MFPED], 2023; Presidential Initiatives, n.d.).</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The programme's theory of change is elegant in its simplicity: bring beneficiaries together in parish associations and constituency SACCOs, provide seed capital, build their skills, and enterprise growth will follow, generating sustained household income improvements. Thousands of Ugandans have enrolled, and official communications paint an optimistic picture of transformation (MFPED, 2023). Yet independent reviews and audit findings tell a more complicated story</w:t>
      </w:r>
      <w:r w:rsidR="002E21A0" w:rsidRPr="00712188">
        <w:rPr>
          <w:rFonts w:ascii="Times New Roman" w:hAnsi="Times New Roman" w:cs="Times New Roman"/>
        </w:rPr>
        <w:t xml:space="preserve"> </w:t>
      </w:r>
      <w:r w:rsidRPr="00712188">
        <w:rPr>
          <w:rFonts w:ascii="Times New Roman" w:hAnsi="Times New Roman" w:cs="Times New Roman"/>
        </w:rPr>
        <w:t>one of heterogeneous outcomes in which some SACCOs have succeeded in sustaining revolving funds and nurturing enterprise growth, whilst others have experienced rapid dissipation of capital, high default rates, and limited welfare gains (Office of the Auditor General [OAG], 2025; The Source, n.d.; UCU Scholar, n.d.).</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This divergence is the puzzle that motivates the present study. Rather than asking the blunt question of whether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'works', this paper asks a more analytically productive question: which delivery mechanisms shape these divergent outcomes, and how? Drawing on a convergent mixed-methods pilot (n = 32) conducted via structured questionnaire, this paper examines four key mechanisms</w:t>
      </w:r>
      <w:r w:rsidR="002E21A0" w:rsidRPr="00712188">
        <w:rPr>
          <w:rFonts w:ascii="Times New Roman" w:hAnsi="Times New Roman" w:cs="Times New Roman"/>
        </w:rPr>
        <w:t xml:space="preserve"> </w:t>
      </w:r>
      <w:r w:rsidRPr="00712188">
        <w:rPr>
          <w:rFonts w:ascii="Times New Roman" w:hAnsi="Times New Roman" w:cs="Times New Roman"/>
        </w:rPr>
        <w:t>disbursement modality and timing, SACCO governance quality, capacity-building provision, and monitoring and evaluation</w:t>
      </w:r>
      <w:r w:rsidR="002E21A0" w:rsidRPr="00712188">
        <w:rPr>
          <w:rFonts w:ascii="Times New Roman" w:hAnsi="Times New Roman" w:cs="Times New Roman"/>
        </w:rPr>
        <w:t xml:space="preserve"> </w:t>
      </w:r>
      <w:r w:rsidRPr="00712188">
        <w:rPr>
          <w:rFonts w:ascii="Times New Roman" w:hAnsi="Times New Roman" w:cs="Times New Roman"/>
        </w:rPr>
        <w:t xml:space="preserve">and assesses their relationship with early beneficiary outcomes. The analysis is framed within a conceptual architecture that integrates principal–agent theory, microenterprise development research, and enterprise risk management scholarship, and it situates the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experience within the broader landscape of public seed-capital programmes in low- and middle-income countries.</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The paper makes three contributions. First, it provides empirical evidence</w:t>
      </w:r>
      <w:r w:rsidR="002E21A0" w:rsidRPr="00712188">
        <w:rPr>
          <w:rFonts w:ascii="Times New Roman" w:hAnsi="Times New Roman" w:cs="Times New Roman"/>
        </w:rPr>
        <w:t xml:space="preserve"> </w:t>
      </w:r>
      <w:r w:rsidRPr="00712188">
        <w:rPr>
          <w:rFonts w:ascii="Times New Roman" w:hAnsi="Times New Roman" w:cs="Times New Roman"/>
        </w:rPr>
        <w:t>modest but pointed</w:t>
      </w:r>
      <w:r w:rsidR="002E21A0" w:rsidRPr="00712188">
        <w:rPr>
          <w:rFonts w:ascii="Times New Roman" w:hAnsi="Times New Roman" w:cs="Times New Roman"/>
        </w:rPr>
        <w:t xml:space="preserve"> </w:t>
      </w:r>
      <w:r w:rsidRPr="00712188">
        <w:rPr>
          <w:rFonts w:ascii="Times New Roman" w:hAnsi="Times New Roman" w:cs="Times New Roman"/>
        </w:rPr>
        <w:t>on the internal workings of a high-profile African public welfare programme at a stage when design refinements are still feasible. Second, it tests and refines a conceptual framework that can guide the subsequent full-scale doctoral study. Third, it identifies pragmatic, low-cost interventions that the PhD study can pilot with genuine prospect of policy uptake. The remainder of the paper is structured as follows: Section 2 reviews the relevant literature; Section 3 describes the methodology; Section 4 presents and discusses the findings; Section 5 draws conclusions and outlines the research agenda going forward.</w:t>
      </w:r>
    </w:p>
    <w:p w:rsidR="00B21F30" w:rsidRPr="00712188" w:rsidRDefault="000D2E66">
      <w:pPr>
        <w:pBdr>
          <w:bottom w:val="single" w:sz="6" w:space="2" w:color="1F5C99"/>
        </w:pBdr>
        <w:spacing w:before="200" w:after="100"/>
        <w:rPr>
          <w:rFonts w:ascii="Times New Roman" w:hAnsi="Times New Roman" w:cs="Times New Roman"/>
        </w:rPr>
      </w:pPr>
      <w:r w:rsidRPr="00712188">
        <w:rPr>
          <w:rFonts w:ascii="Times New Roman" w:hAnsi="Times New Roman" w:cs="Times New Roman"/>
          <w:b/>
          <w:bCs/>
          <w:color w:val="1F5C99"/>
          <w:sz w:val="22"/>
          <w:szCs w:val="22"/>
        </w:rPr>
        <w:lastRenderedPageBreak/>
        <w:t>2 Literature Review</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2.1 Public Seed-Capital Programmes and the Microenterprise Imperative</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Public seed-capital programmes rest on a straightforward causal logic: modest capital injections, when combined with organisation and skills development, can catalyse microenterprise formation and durable income gains at scale (MFPED, 2023). This logic is not without empirical grounding</w:t>
      </w:r>
      <w:r w:rsidR="002E21A0" w:rsidRPr="00712188">
        <w:rPr>
          <w:rFonts w:ascii="Times New Roman" w:hAnsi="Times New Roman" w:cs="Times New Roman"/>
        </w:rPr>
        <w:t xml:space="preserve"> </w:t>
      </w:r>
      <w:r w:rsidRPr="00712188">
        <w:rPr>
          <w:rFonts w:ascii="Times New Roman" w:hAnsi="Times New Roman" w:cs="Times New Roman"/>
        </w:rPr>
        <w:t>randomised and quasi-experimental evaluations of similar programmes in Kenya, Ghana, and Bangladesh have documented positive effects on business investment and income when implementation conditions are favourable (World Bank, n.d.; Better Evaluation, n.d.). However, the microenterprise literature is equally emphatic that capital is rarely sufficient on its own. Human capital, managerial capacity, and market access are critical mediators of firm survival and growth, and programmes that neglect these dimensions routinely fail to generate lasting impact (Xia &amp; Ding, 2026).</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The evidence base on training design is particularly instructive. Studies repeatedly demonstrate that one-off workshops</w:t>
      </w:r>
      <w:r w:rsidR="002E21A0" w:rsidRPr="00712188">
        <w:rPr>
          <w:rFonts w:ascii="Times New Roman" w:hAnsi="Times New Roman" w:cs="Times New Roman"/>
        </w:rPr>
        <w:t xml:space="preserve"> </w:t>
      </w:r>
      <w:r w:rsidRPr="00712188">
        <w:rPr>
          <w:rFonts w:ascii="Times New Roman" w:hAnsi="Times New Roman" w:cs="Times New Roman"/>
        </w:rPr>
        <w:t>however well-designed</w:t>
      </w:r>
      <w:r w:rsidR="002E21A0" w:rsidRPr="00712188">
        <w:rPr>
          <w:rFonts w:ascii="Times New Roman" w:hAnsi="Times New Roman" w:cs="Times New Roman"/>
        </w:rPr>
        <w:t xml:space="preserve"> </w:t>
      </w:r>
      <w:r w:rsidRPr="00712188">
        <w:rPr>
          <w:rFonts w:ascii="Times New Roman" w:hAnsi="Times New Roman" w:cs="Times New Roman"/>
        </w:rPr>
        <w:t xml:space="preserve">rarely change business practice in sustainable ways. What does shift behaviour is sustained, practical coaching that is embedded in the rhythms of enterprise activity and accompanied by peer mentoring and follow-up support (Better Evaluation, n.d.). For a programme like </w:t>
      </w:r>
      <w:proofErr w:type="spellStart"/>
      <w:r w:rsidRPr="00712188">
        <w:rPr>
          <w:rFonts w:ascii="Times New Roman" w:hAnsi="Times New Roman" w:cs="Times New Roman"/>
        </w:rPr>
        <w:t>Emyooga</w:t>
      </w:r>
      <w:proofErr w:type="spellEnd"/>
      <w:r w:rsidRPr="00712188">
        <w:rPr>
          <w:rFonts w:ascii="Times New Roman" w:hAnsi="Times New Roman" w:cs="Times New Roman"/>
        </w:rPr>
        <w:t>, which operates at enormous geographic scale with a diverse beneficiary base, the implications are significant: training architecture matters as much as training content.</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2.2 Governance, Principal–Agent Problems, and SACCO Performance</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The governance dimensions of rotating fund management have attracted considerable scholarly attention. Principal–agent theory provides the most compelling analytical lens: when implementing agents</w:t>
      </w:r>
      <w:r w:rsidR="002E21A0" w:rsidRPr="00712188">
        <w:rPr>
          <w:rFonts w:ascii="Times New Roman" w:hAnsi="Times New Roman" w:cs="Times New Roman"/>
        </w:rPr>
        <w:t xml:space="preserve"> </w:t>
      </w:r>
      <w:r w:rsidRPr="00712188">
        <w:rPr>
          <w:rFonts w:ascii="Times New Roman" w:hAnsi="Times New Roman" w:cs="Times New Roman"/>
        </w:rPr>
        <w:t>SACCO leaders, local officials, and district coordinators</w:t>
      </w:r>
      <w:r w:rsidR="002E21A0" w:rsidRPr="00712188">
        <w:rPr>
          <w:rFonts w:ascii="Times New Roman" w:hAnsi="Times New Roman" w:cs="Times New Roman"/>
        </w:rPr>
        <w:t xml:space="preserve"> </w:t>
      </w:r>
      <w:r w:rsidRPr="00712188">
        <w:rPr>
          <w:rFonts w:ascii="Times New Roman" w:hAnsi="Times New Roman" w:cs="Times New Roman"/>
        </w:rPr>
        <w:t>have incentives or capacities that are misaligned with programme objectives, the conditions for fund leakage and misallocation are created (Parliament of Uganda, 2016; OAG, 2025). The problem is compounded when monitoring is weak, leadership is opaque, and member oversight mechanisms are absent or ineffective.</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Audit evidence from Uganda's own accountability institutions corroborates this concern. The Office of the Auditor General's 2025 annual report identifies governance deficiencies</w:t>
      </w:r>
      <w:r w:rsidR="002E21A0" w:rsidRPr="00712188">
        <w:rPr>
          <w:rFonts w:ascii="Times New Roman" w:hAnsi="Times New Roman" w:cs="Times New Roman"/>
        </w:rPr>
        <w:t xml:space="preserve"> </w:t>
      </w:r>
      <w:r w:rsidRPr="00712188">
        <w:rPr>
          <w:rFonts w:ascii="Times New Roman" w:hAnsi="Times New Roman" w:cs="Times New Roman"/>
        </w:rPr>
        <w:t>including irregular meetings, poor record-keeping, and inadequate board oversight</w:t>
      </w:r>
      <w:r w:rsidR="002E21A0" w:rsidRPr="00712188">
        <w:rPr>
          <w:rFonts w:ascii="Times New Roman" w:hAnsi="Times New Roman" w:cs="Times New Roman"/>
        </w:rPr>
        <w:t xml:space="preserve"> </w:t>
      </w:r>
      <w:r w:rsidRPr="00712188">
        <w:rPr>
          <w:rFonts w:ascii="Times New Roman" w:hAnsi="Times New Roman" w:cs="Times New Roman"/>
        </w:rPr>
        <w:t>as systemic risks to the programme's financial integrity (OAG, 2025). These findings align with holistic enterprise risk management frameworks that emphasise the integration of governance controls, operational oversight, and risk assessment as essential preconditions for institutional resilience in volatile and complex environments (Goh, 2026; Garrison &amp; Critchlow, 2026).</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Social capital theory adds a further dimension. Where trust and reciprocity are strong within a SACCO membership, peer monitoring can act as a partial substitute for formal governance controls, enabling collective enforcement of repayment norms and deterring opportunistic behaviour (Belanger, 2026). Conversely, where social cohesion is weak</w:t>
      </w:r>
      <w:r w:rsidR="002E21A0" w:rsidRPr="00712188">
        <w:rPr>
          <w:rFonts w:ascii="Times New Roman" w:hAnsi="Times New Roman" w:cs="Times New Roman"/>
        </w:rPr>
        <w:t xml:space="preserve"> </w:t>
      </w:r>
      <w:r w:rsidRPr="00712188">
        <w:rPr>
          <w:rFonts w:ascii="Times New Roman" w:hAnsi="Times New Roman" w:cs="Times New Roman"/>
        </w:rPr>
        <w:t>as is often the case in large, heterogeneous, centrally constituted groups</w:t>
      </w:r>
      <w:r w:rsidR="002E21A0" w:rsidRPr="00712188">
        <w:rPr>
          <w:rFonts w:ascii="Times New Roman" w:hAnsi="Times New Roman" w:cs="Times New Roman"/>
        </w:rPr>
        <w:t xml:space="preserve"> </w:t>
      </w:r>
      <w:r w:rsidRPr="00712188">
        <w:rPr>
          <w:rFonts w:ascii="Times New Roman" w:hAnsi="Times New Roman" w:cs="Times New Roman"/>
        </w:rPr>
        <w:t xml:space="preserve">formal governance mechanisms become more critical precisely because informal enforcement is unavailable.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SACCOs, constituted along occupational rather than community lines, may be particularly vulnerable to weak social cohesion.</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2.3 Political Economy and the Risks of High-Visibility Programmes</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High-visibility, centrally driven programmes are inherently exposed to political economy dynamics that can distort targeting and weaken accountability. Elite capture</w:t>
      </w:r>
      <w:r w:rsidR="002E21A0" w:rsidRPr="00712188">
        <w:rPr>
          <w:rFonts w:ascii="Times New Roman" w:hAnsi="Times New Roman" w:cs="Times New Roman"/>
        </w:rPr>
        <w:t xml:space="preserve"> </w:t>
      </w:r>
      <w:r w:rsidRPr="00712188">
        <w:rPr>
          <w:rFonts w:ascii="Times New Roman" w:hAnsi="Times New Roman" w:cs="Times New Roman"/>
        </w:rPr>
        <w:t>the diversion of programme resources towards well-connected individuals rather than intended beneficiaries</w:t>
      </w:r>
      <w:r w:rsidR="002E21A0" w:rsidRPr="00712188">
        <w:rPr>
          <w:rFonts w:ascii="Times New Roman" w:hAnsi="Times New Roman" w:cs="Times New Roman"/>
        </w:rPr>
        <w:t xml:space="preserve"> </w:t>
      </w:r>
      <w:r w:rsidRPr="00712188">
        <w:rPr>
          <w:rFonts w:ascii="Times New Roman" w:hAnsi="Times New Roman" w:cs="Times New Roman"/>
        </w:rPr>
        <w:t xml:space="preserve">is a well-documented hazard of public welfare programmes in contexts where patronage networks intersect with public service delivery (The Source, n.d.). The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Programme, closely associated with the presidency and operational during an election period, has been subject to precisely these concerns, with journalistic and civil society accounts documenting politically motivated interference in beneficiary selection and fund disbursement.</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Organisational culture scholarship offers a complementary perspective. Toxic leadership</w:t>
      </w:r>
      <w:r w:rsidR="002E21A0" w:rsidRPr="00712188">
        <w:rPr>
          <w:rFonts w:ascii="Times New Roman" w:hAnsi="Times New Roman" w:cs="Times New Roman"/>
        </w:rPr>
        <w:t xml:space="preserve"> </w:t>
      </w:r>
      <w:r w:rsidRPr="00712188">
        <w:rPr>
          <w:rFonts w:ascii="Times New Roman" w:hAnsi="Times New Roman" w:cs="Times New Roman"/>
        </w:rPr>
        <w:t>characterised by self-serving behaviour, poor communication, and the suppression of member voice</w:t>
      </w:r>
      <w:r w:rsidR="002E21A0" w:rsidRPr="00712188">
        <w:rPr>
          <w:rFonts w:ascii="Times New Roman" w:hAnsi="Times New Roman" w:cs="Times New Roman"/>
        </w:rPr>
        <w:t xml:space="preserve"> </w:t>
      </w:r>
      <w:r w:rsidRPr="00712188">
        <w:rPr>
          <w:rFonts w:ascii="Times New Roman" w:hAnsi="Times New Roman" w:cs="Times New Roman"/>
        </w:rPr>
        <w:t xml:space="preserve">undermines the trust and participation on which rotating credit schemes depend (Belanger, 2026). When SACCO leaders are perceived as unaccountable or self-interested, members disengage from collective governance, repayment rates fall, and the revolving fund mechanism breaks down. The design of any intervention aimed at strengthening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must therefore address not just technical governance structures but the relational dynamics that determine whether those structures are activated in practice.</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2.4 A Mechanism-Focused Analytical Approach</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Taken together, these literatures argue compellingly for a mechanism-focused rather than an impact-focused inquiry. Rather than asking simply whether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produces a positive aggregate effect, the research should identify which delivery practices mediate outcomes</w:t>
      </w:r>
      <w:r w:rsidR="002E21A0" w:rsidRPr="00712188">
        <w:rPr>
          <w:rFonts w:ascii="Times New Roman" w:hAnsi="Times New Roman" w:cs="Times New Roman"/>
        </w:rPr>
        <w:t xml:space="preserve"> </w:t>
      </w:r>
      <w:r w:rsidRPr="00712188">
        <w:rPr>
          <w:rFonts w:ascii="Times New Roman" w:hAnsi="Times New Roman" w:cs="Times New Roman"/>
        </w:rPr>
        <w:t>and under what conditions</w:t>
      </w:r>
      <w:r w:rsidR="002E21A0" w:rsidRPr="00712188">
        <w:rPr>
          <w:rFonts w:ascii="Times New Roman" w:hAnsi="Times New Roman" w:cs="Times New Roman"/>
        </w:rPr>
        <w:t xml:space="preserve"> </w:t>
      </w:r>
      <w:r w:rsidRPr="00712188">
        <w:rPr>
          <w:rFonts w:ascii="Times New Roman" w:hAnsi="Times New Roman" w:cs="Times New Roman"/>
        </w:rPr>
        <w:t xml:space="preserve">and how low-cost interventions can strengthen those </w:t>
      </w:r>
      <w:r w:rsidRPr="00712188">
        <w:rPr>
          <w:rFonts w:ascii="Times New Roman" w:hAnsi="Times New Roman" w:cs="Times New Roman"/>
        </w:rPr>
        <w:lastRenderedPageBreak/>
        <w:t>mechanisms (MFPED, 2023; OAG, 2025). This is the analytical approach adopted in the present study, and it is this approach that distinguishes the research from prior evaluative work on the programme.</w:t>
      </w:r>
    </w:p>
    <w:p w:rsidR="00B21F30" w:rsidRPr="00712188" w:rsidRDefault="000D2E66">
      <w:pPr>
        <w:pBdr>
          <w:bottom w:val="single" w:sz="6" w:space="2" w:color="1F5C99"/>
        </w:pBdr>
        <w:spacing w:before="200" w:after="100"/>
        <w:rPr>
          <w:rFonts w:ascii="Times New Roman" w:hAnsi="Times New Roman" w:cs="Times New Roman"/>
        </w:rPr>
      </w:pPr>
      <w:r w:rsidRPr="00712188">
        <w:rPr>
          <w:rFonts w:ascii="Times New Roman" w:hAnsi="Times New Roman" w:cs="Times New Roman"/>
          <w:b/>
          <w:bCs/>
          <w:color w:val="1F5C99"/>
          <w:sz w:val="22"/>
          <w:szCs w:val="22"/>
        </w:rPr>
        <w:t>3 Methodology</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3.1 Study Design and Sample</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This study employs a convergent mixed-methods pilot design, integrating quantitative and qualitative data to test the doctoral conceptual framework and refine instruments ahead of the full-scale study. The quantitative component comprised a structured questionnaire administered via Google Forms to 32 respondents drawn from constituencies where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activities have been reported. A purposive sampling strategy was adopted given the exploratory objectives of the pilot: the aim was not to generate nationally representative estimates but to test question wording, assess response distributions, and evaluate the feasibility of piloting governance and training interventions.</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The sample is deliberately diverse in occupational profile, encompassing farmers, market vendors, food vendors, tailors, </w:t>
      </w:r>
      <w:proofErr w:type="spellStart"/>
      <w:r w:rsidRPr="00712188">
        <w:rPr>
          <w:rFonts w:ascii="Times New Roman" w:hAnsi="Times New Roman" w:cs="Times New Roman"/>
        </w:rPr>
        <w:t>boda</w:t>
      </w:r>
      <w:proofErr w:type="spellEnd"/>
      <w:r w:rsidRPr="00712188">
        <w:rPr>
          <w:rFonts w:ascii="Times New Roman" w:hAnsi="Times New Roman" w:cs="Times New Roman"/>
        </w:rPr>
        <w:t xml:space="preserve"> </w:t>
      </w:r>
      <w:proofErr w:type="spellStart"/>
      <w:r w:rsidRPr="00712188">
        <w:rPr>
          <w:rFonts w:ascii="Times New Roman" w:hAnsi="Times New Roman" w:cs="Times New Roman"/>
        </w:rPr>
        <w:t>boda</w:t>
      </w:r>
      <w:proofErr w:type="spellEnd"/>
      <w:r w:rsidRPr="00712188">
        <w:rPr>
          <w:rFonts w:ascii="Times New Roman" w:hAnsi="Times New Roman" w:cs="Times New Roman"/>
        </w:rPr>
        <w:t xml:space="preserve"> operators, and carpenters</w:t>
      </w:r>
      <w:r w:rsidR="002E21A0" w:rsidRPr="00712188">
        <w:rPr>
          <w:rFonts w:ascii="Times New Roman" w:hAnsi="Times New Roman" w:cs="Times New Roman"/>
        </w:rPr>
        <w:t xml:space="preserve"> </w:t>
      </w:r>
      <w:r w:rsidRPr="00712188">
        <w:rPr>
          <w:rFonts w:ascii="Times New Roman" w:hAnsi="Times New Roman" w:cs="Times New Roman"/>
        </w:rPr>
        <w:t xml:space="preserve">reflecting the occupational heterogeneity of </w:t>
      </w:r>
      <w:proofErr w:type="spellStart"/>
      <w:r w:rsidRPr="00712188">
        <w:rPr>
          <w:rFonts w:ascii="Times New Roman" w:hAnsi="Times New Roman" w:cs="Times New Roman"/>
        </w:rPr>
        <w:t>Emyooga's</w:t>
      </w:r>
      <w:proofErr w:type="spellEnd"/>
      <w:r w:rsidRPr="00712188">
        <w:rPr>
          <w:rFonts w:ascii="Times New Roman" w:hAnsi="Times New Roman" w:cs="Times New Roman"/>
        </w:rPr>
        <w:t xml:space="preserve"> target population. Gender parity was achieved, with 50% male and 50% female respondents. The age distribution skewed towards working-age adults, with the largest concentration (31.3%) in the 35–44 age band.</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3.2 Measures</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Key constructs were operationalised as follows:</w:t>
      </w:r>
    </w:p>
    <w:p w:rsidR="00B21F30" w:rsidRPr="00712188" w:rsidRDefault="000D2E66">
      <w:pPr>
        <w:spacing w:before="40" w:after="40"/>
        <w:ind w:left="360" w:hanging="200"/>
        <w:jc w:val="both"/>
        <w:rPr>
          <w:rFonts w:ascii="Times New Roman" w:hAnsi="Times New Roman" w:cs="Times New Roman"/>
        </w:rPr>
      </w:pPr>
      <w:r w:rsidRPr="00712188">
        <w:rPr>
          <w:rFonts w:ascii="Times New Roman" w:hAnsi="Times New Roman" w:cs="Times New Roman"/>
          <w:color w:val="1F5C99"/>
        </w:rPr>
        <w:t xml:space="preserve">• </w:t>
      </w:r>
      <w:r w:rsidRPr="00712188">
        <w:rPr>
          <w:rFonts w:ascii="Times New Roman" w:hAnsi="Times New Roman" w:cs="Times New Roman"/>
        </w:rPr>
        <w:t>Disbursement modality and timing: categorical indicators capturing how funds were received (SACCO account; direct cash; in-kind) and whether disbursement was timely.</w:t>
      </w:r>
    </w:p>
    <w:p w:rsidR="00B21F30" w:rsidRPr="00712188" w:rsidRDefault="000D2E66">
      <w:pPr>
        <w:spacing w:before="40" w:after="40"/>
        <w:ind w:left="360" w:hanging="200"/>
        <w:jc w:val="both"/>
        <w:rPr>
          <w:rFonts w:ascii="Times New Roman" w:hAnsi="Times New Roman" w:cs="Times New Roman"/>
        </w:rPr>
      </w:pPr>
      <w:r w:rsidRPr="00712188">
        <w:rPr>
          <w:rFonts w:ascii="Times New Roman" w:hAnsi="Times New Roman" w:cs="Times New Roman"/>
          <w:color w:val="1F5C99"/>
        </w:rPr>
        <w:t xml:space="preserve">• </w:t>
      </w:r>
      <w:r w:rsidRPr="00712188">
        <w:rPr>
          <w:rFonts w:ascii="Times New Roman" w:hAnsi="Times New Roman" w:cs="Times New Roman"/>
        </w:rPr>
        <w:t>Governance quality: indicators covering registration and licensing status, meeting frequency, board activity, record-keeping practices, transparency, and reported instances of fund misuse. A composite governance index will be constructed for the full study.</w:t>
      </w:r>
    </w:p>
    <w:p w:rsidR="00B21F30" w:rsidRPr="00712188" w:rsidRDefault="000D2E66">
      <w:pPr>
        <w:spacing w:before="40" w:after="40"/>
        <w:ind w:left="360" w:hanging="200"/>
        <w:jc w:val="both"/>
        <w:rPr>
          <w:rFonts w:ascii="Times New Roman" w:hAnsi="Times New Roman" w:cs="Times New Roman"/>
        </w:rPr>
      </w:pPr>
      <w:r w:rsidRPr="00712188">
        <w:rPr>
          <w:rFonts w:ascii="Times New Roman" w:hAnsi="Times New Roman" w:cs="Times New Roman"/>
          <w:color w:val="1F5C99"/>
        </w:rPr>
        <w:t xml:space="preserve">• </w:t>
      </w:r>
      <w:r w:rsidRPr="00712188">
        <w:rPr>
          <w:rFonts w:ascii="Times New Roman" w:hAnsi="Times New Roman" w:cs="Times New Roman"/>
        </w:rPr>
        <w:t>Capacity-building provision: training receipt (none; one-off; sustained), topics covered, and presence of follow-up coaching.</w:t>
      </w:r>
    </w:p>
    <w:p w:rsidR="00B21F30" w:rsidRPr="00712188" w:rsidRDefault="000D2E66">
      <w:pPr>
        <w:spacing w:before="40" w:after="40"/>
        <w:ind w:left="360" w:hanging="200"/>
        <w:jc w:val="both"/>
        <w:rPr>
          <w:rFonts w:ascii="Times New Roman" w:hAnsi="Times New Roman" w:cs="Times New Roman"/>
        </w:rPr>
      </w:pPr>
      <w:r w:rsidRPr="00712188">
        <w:rPr>
          <w:rFonts w:ascii="Times New Roman" w:hAnsi="Times New Roman" w:cs="Times New Roman"/>
          <w:color w:val="1F5C99"/>
        </w:rPr>
        <w:t xml:space="preserve">• </w:t>
      </w:r>
      <w:r w:rsidRPr="00712188">
        <w:rPr>
          <w:rFonts w:ascii="Times New Roman" w:hAnsi="Times New Roman" w:cs="Times New Roman"/>
        </w:rPr>
        <w:t>Monitoring and evaluation: frequency of reporting to district and national coordinators, monitoring visit frequency, and perceived effectiveness of oversight in resolving problems.</w:t>
      </w:r>
    </w:p>
    <w:p w:rsidR="00B21F30" w:rsidRPr="00712188" w:rsidRDefault="000D2E66">
      <w:pPr>
        <w:spacing w:before="40" w:after="40"/>
        <w:ind w:left="360" w:hanging="200"/>
        <w:jc w:val="both"/>
        <w:rPr>
          <w:rFonts w:ascii="Times New Roman" w:hAnsi="Times New Roman" w:cs="Times New Roman"/>
        </w:rPr>
      </w:pPr>
      <w:r w:rsidRPr="00712188">
        <w:rPr>
          <w:rFonts w:ascii="Times New Roman" w:hAnsi="Times New Roman" w:cs="Times New Roman"/>
          <w:color w:val="1F5C99"/>
        </w:rPr>
        <w:t xml:space="preserve">• </w:t>
      </w:r>
      <w:r w:rsidRPr="00712188">
        <w:rPr>
          <w:rFonts w:ascii="Times New Roman" w:hAnsi="Times New Roman" w:cs="Times New Roman"/>
        </w:rPr>
        <w:t xml:space="preserve">Outcomes: self-reported household income before and after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support (UGX), changes in revenue and profit, employment creation, and subjective welfare ratings.</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3.3 Data Analysis</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Descriptive statistics were used to summarise respondent characteristics and response distributions. Cross-tabulations were employed, where appropriate, to explore associations between governance and training variables and self-reported outcomes. Given the small pilot sample, inferential statistics were deliberately limited; the emphasis was placed on pattern recognition, measurement validity assessment, and implications for the full study design. Qualitative free-text responses were analysed thematically to contextualise quantitative findings and to identify candidate low-cost interventions for subsequent piloting.</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3.4 Ethical Considerations</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Participation was entirely voluntary and anonymous. Respondents were provided with a plain-language explanation of the study's purpose and gave informed consent before proceeding. The pilot adhered to the ethical standards applicable to minimal-risk social research. Formal ethical clearance from Kampala International University's Institutional Review Board and Uganda's National Research Ethics Committee will be obtained before the full doctoral study commences, alongside the implementation of comprehensive data protection protocols.</w:t>
      </w:r>
    </w:p>
    <w:p w:rsidR="00B21F30" w:rsidRPr="00712188" w:rsidRDefault="000D2E66">
      <w:pPr>
        <w:pBdr>
          <w:bottom w:val="single" w:sz="6" w:space="2" w:color="1F5C99"/>
        </w:pBdr>
        <w:spacing w:before="200" w:after="100"/>
        <w:rPr>
          <w:rFonts w:ascii="Times New Roman" w:hAnsi="Times New Roman" w:cs="Times New Roman"/>
        </w:rPr>
      </w:pPr>
      <w:r w:rsidRPr="00712188">
        <w:rPr>
          <w:rFonts w:ascii="Times New Roman" w:hAnsi="Times New Roman" w:cs="Times New Roman"/>
          <w:b/>
          <w:bCs/>
          <w:color w:val="1F5C99"/>
          <w:sz w:val="22"/>
          <w:szCs w:val="22"/>
        </w:rPr>
        <w:t>4 Results and Discussion</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4.1 Respondent Profile</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Thirty-two respondents completed the questionnaire. The gender distribution was equal (50% male, 50% female), and the age profile showed a concentration in the 35–54 range, with 31.3% aged 35–44, 21.9% aged 25–34, 15.6% aged 55 or above, and 9.4% aged 18–24. Educational attainment varied considerably: 34.4% reported no formal education, 21.9% secondary education, 12.5% a first degree, and 12.5% postgraduate or higher tertiary qualifications. The primary livelihoods represented in the sample included farming and agribusiness (34.4%), market vending (15.6%), restaurant and food vending (12.5%), and smaller proportions in tailoring, </w:t>
      </w:r>
      <w:proofErr w:type="spellStart"/>
      <w:r w:rsidRPr="00712188">
        <w:rPr>
          <w:rFonts w:ascii="Times New Roman" w:hAnsi="Times New Roman" w:cs="Times New Roman"/>
        </w:rPr>
        <w:t>boda</w:t>
      </w:r>
      <w:proofErr w:type="spellEnd"/>
      <w:r w:rsidRPr="00712188">
        <w:rPr>
          <w:rFonts w:ascii="Times New Roman" w:hAnsi="Times New Roman" w:cs="Times New Roman"/>
        </w:rPr>
        <w:t xml:space="preserve"> </w:t>
      </w:r>
      <w:proofErr w:type="spellStart"/>
      <w:r w:rsidRPr="00712188">
        <w:rPr>
          <w:rFonts w:ascii="Times New Roman" w:hAnsi="Times New Roman" w:cs="Times New Roman"/>
        </w:rPr>
        <w:t>boda</w:t>
      </w:r>
      <w:proofErr w:type="spellEnd"/>
      <w:r w:rsidRPr="00712188">
        <w:rPr>
          <w:rFonts w:ascii="Times New Roman" w:hAnsi="Times New Roman" w:cs="Times New Roman"/>
        </w:rPr>
        <w:t xml:space="preserve"> operation, and carpentry.</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lastRenderedPageBreak/>
        <w:t xml:space="preserve">The occupational and educational diversity of the sample reflects the broad targeting of the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Programme and provides useful variation for exploring whether delivery mechanism quality differs across beneficiary groups</w:t>
      </w:r>
      <w:r w:rsidR="002E21A0" w:rsidRPr="00712188">
        <w:rPr>
          <w:rFonts w:ascii="Times New Roman" w:hAnsi="Times New Roman" w:cs="Times New Roman"/>
        </w:rPr>
        <w:t xml:space="preserve"> </w:t>
      </w:r>
      <w:r w:rsidRPr="00712188">
        <w:rPr>
          <w:rFonts w:ascii="Times New Roman" w:hAnsi="Times New Roman" w:cs="Times New Roman"/>
        </w:rPr>
        <w:t>a question the full study will pursue more systematically.</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4.2 Participation, Disbursement Modalities, and Documentation</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Only 15.6% of respondents reported having participated directly in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or joined a SACCO under the programme's umbrella, whilst 84.4% had not. Amongst those reporting access to or receipt of funds (n ≈ 31 valid responses to modality questions), 38.7% indicated that funds were disbursed into a SACCO account and then distributed to members, whilst 48.4% reported direct cash transfers to individual members or other modalities. A small minority received in-kind support.</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On the question of timeliness, the findings are striking and troubling in equal measure. Only 16.1% of respondents reported that disbursement had been on time; 9.7% reported partial delays; and a remarkable 67.7% indicated that they were simply unsure whether disbursement had been timely or not. The prevalence of uncertainty is not merely a measurement artefact</w:t>
      </w:r>
      <w:r w:rsidR="002E21A0" w:rsidRPr="00712188">
        <w:rPr>
          <w:rFonts w:ascii="Times New Roman" w:hAnsi="Times New Roman" w:cs="Times New Roman"/>
        </w:rPr>
        <w:t xml:space="preserve"> </w:t>
      </w:r>
      <w:r w:rsidRPr="00712188">
        <w:rPr>
          <w:rFonts w:ascii="Times New Roman" w:hAnsi="Times New Roman" w:cs="Times New Roman"/>
        </w:rPr>
        <w:t>it reflects a genuine governance deficit. Beneficiaries who do not know whether funds arrived on schedule cannot participate meaningfully in holding implementing agents to account.</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Documentation practices are equally concerning. Only 20% of respondents reported the existence of a written agreement or record of disbursement terms; 10% reported a verbal-only arrangement; and 70% were unsure whether any record existed. The absence of written disbursement records eliminates a basic accountability mechanism and creates the conditions for disputes, misallocation, and the erosion of member trust in SACCO leadership.</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4.3 Governance and Financial Management</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Governance indicators from the pilot reveal a landscape of considerable fragility. Meeting regularity</w:t>
      </w:r>
      <w:r w:rsidR="002E21A0" w:rsidRPr="00712188">
        <w:rPr>
          <w:rFonts w:ascii="Times New Roman" w:hAnsi="Times New Roman" w:cs="Times New Roman"/>
        </w:rPr>
        <w:t xml:space="preserve"> </w:t>
      </w:r>
      <w:r w:rsidRPr="00712188">
        <w:rPr>
          <w:rFonts w:ascii="Times New Roman" w:hAnsi="Times New Roman" w:cs="Times New Roman"/>
        </w:rPr>
        <w:t>one of the most basic prerequisites for collective oversight</w:t>
      </w:r>
      <w:r w:rsidR="002E21A0" w:rsidRPr="00712188">
        <w:rPr>
          <w:rFonts w:ascii="Times New Roman" w:hAnsi="Times New Roman" w:cs="Times New Roman"/>
        </w:rPr>
        <w:t xml:space="preserve"> </w:t>
      </w:r>
      <w:r w:rsidRPr="00712188">
        <w:rPr>
          <w:rFonts w:ascii="Times New Roman" w:hAnsi="Times New Roman" w:cs="Times New Roman"/>
        </w:rPr>
        <w:t>was reported as irregular or non-existent by 40% of respondents, with only 16.7% reporting monthly meetings and a further 16.7% reporting quarterly ones. Active board functioning and regular record-keeping were similarly inconsistent.</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Most alarmingly, 56.7% of respondents reported suspected but unconfirmed misuse of programme funds, whilst a further 20% reported confirmed misuse</w:t>
      </w:r>
      <w:r w:rsidR="002E21A0" w:rsidRPr="00712188">
        <w:rPr>
          <w:rFonts w:ascii="Times New Roman" w:hAnsi="Times New Roman" w:cs="Times New Roman"/>
        </w:rPr>
        <w:t xml:space="preserve"> </w:t>
      </w:r>
      <w:r w:rsidRPr="00712188">
        <w:rPr>
          <w:rFonts w:ascii="Times New Roman" w:hAnsi="Times New Roman" w:cs="Times New Roman"/>
        </w:rPr>
        <w:t>meaning that 76.7% of the sample had encountered some form of fiduciary concern within their SACCO. Confidence in SACCO leadership to manage funds responsibly was low to moderate across the sample. These figures are consistent with the audit findings of the Office of the Auditor General (2025), which identified systemic governance weaknesses across the programme's implementing structures, and with parliamentary concerns about accountability mechanisms under the Tier 4 Microfinance Institutions and Money Lenders Act, 2016 (Parliament of Uganda, 2016).</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The theoretical expectations of principal–agent frameworks are squarely borne out. In the absence of credible monitoring, transparent record-keeping, and active member oversight, implementing agents face limited sanctions for self-interested behaviour, and the conditions for fund diversion are created (Belanger, 2026; Goh, 2026).</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4.4 Monitoring, Evaluation, and External Oversight</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The monitoring and evaluation architecture of the programme appears equally weak at the operational level. Half of respondents indicated that their SACCO submitted reports irregularly or not at all to district or national coordinators; only 20% reported monthly reporting and 20% quarterly. Monitoring visits were described as infrequent, and the perceived effectiveness of external oversight in resolving governance problems was generally low. In the absence of credible external accountability, the burden of monitoring falls entirely on member peer oversight</w:t>
      </w:r>
      <w:r w:rsidR="001947D0" w:rsidRPr="00712188">
        <w:rPr>
          <w:rFonts w:ascii="Times New Roman" w:hAnsi="Times New Roman" w:cs="Times New Roman"/>
        </w:rPr>
        <w:t xml:space="preserve"> </w:t>
      </w:r>
      <w:r w:rsidRPr="00712188">
        <w:rPr>
          <w:rFonts w:ascii="Times New Roman" w:hAnsi="Times New Roman" w:cs="Times New Roman"/>
        </w:rPr>
        <w:t>a mechanism that, as noted above, is compromised by low meeting regularity and eroded member trust.</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4.5 Capacity Building: The One-Off Workshop Problem</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Training exposure across the sample was limited and poorly designed by the standards of the microenterprise development literature. A minority of respondents reported participation in multiple sessions with structured follow-up; the majority described one-off workshops or no training at all. Where training occurred, topics included financial literacy, technical skills, and business planning</w:t>
      </w:r>
      <w:r w:rsidR="002E21A0" w:rsidRPr="00712188">
        <w:rPr>
          <w:rFonts w:ascii="Times New Roman" w:hAnsi="Times New Roman" w:cs="Times New Roman"/>
        </w:rPr>
        <w:t xml:space="preserve"> </w:t>
      </w:r>
      <w:r w:rsidRPr="00712188">
        <w:rPr>
          <w:rFonts w:ascii="Times New Roman" w:hAnsi="Times New Roman" w:cs="Times New Roman"/>
        </w:rPr>
        <w:t>a sensible portfolio</w:t>
      </w:r>
      <w:r w:rsidR="002E21A0" w:rsidRPr="00712188">
        <w:rPr>
          <w:rFonts w:ascii="Times New Roman" w:hAnsi="Times New Roman" w:cs="Times New Roman"/>
        </w:rPr>
        <w:t xml:space="preserve"> </w:t>
      </w:r>
      <w:r w:rsidRPr="00712188">
        <w:rPr>
          <w:rFonts w:ascii="Times New Roman" w:hAnsi="Times New Roman" w:cs="Times New Roman"/>
        </w:rPr>
        <w:t>but follow-up coaching was described as rare. Respondents' qualitative comments were pointed in their critique: the consensus was that sporadic workshops, however informative, do not change business behaviour in the absence of sustained, practical reinforcement.</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This finding aligns precisely with the microenterprise literature's emphasis on follow-up support as the critical mediator between capital provision and productive investment (Xia &amp; Ding, 2026; Better Evaluation, n.d.). It also suggests a clear and actionable intervention point for the full doctoral study.</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4.6 Outcomes and Perceived Programme Impact</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lastRenderedPageBreak/>
        <w:t xml:space="preserve">Self-reported outcome data present a mixed picture that resists simple characterisation. On the subjective welfare dimension, 59.4% of respondents rated </w:t>
      </w:r>
      <w:proofErr w:type="spellStart"/>
      <w:r w:rsidRPr="00712188">
        <w:rPr>
          <w:rFonts w:ascii="Times New Roman" w:hAnsi="Times New Roman" w:cs="Times New Roman"/>
        </w:rPr>
        <w:t>Emyooga's</w:t>
      </w:r>
      <w:proofErr w:type="spellEnd"/>
      <w:r w:rsidRPr="00712188">
        <w:rPr>
          <w:rFonts w:ascii="Times New Roman" w:hAnsi="Times New Roman" w:cs="Times New Roman"/>
        </w:rPr>
        <w:t xml:space="preserve"> overall effect on household welfare as very positive or somewhat positive</w:t>
      </w:r>
      <w:r w:rsidR="002E21A0" w:rsidRPr="00712188">
        <w:rPr>
          <w:rFonts w:ascii="Times New Roman" w:hAnsi="Times New Roman" w:cs="Times New Roman"/>
        </w:rPr>
        <w:t xml:space="preserve"> </w:t>
      </w:r>
      <w:r w:rsidRPr="00712188">
        <w:rPr>
          <w:rFonts w:ascii="Times New Roman" w:hAnsi="Times New Roman" w:cs="Times New Roman"/>
        </w:rPr>
        <w:t>a majority, and an encouraging signal. However, 12.5% reported a somewhat negative effect, 9.4% reported no change, and a further 12.5% reported negative or no perceptible impact. Enterprise-level outcomes were similarly heterogeneous: many respondents reported increased revenue or profit, but a substantial minority reported no change or deterioration.</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When asked to explain negative or unchanged outcomes, respondents consistently cited a cluster of overlapping factors: the small size of the initial fund allocation; delayed or opaque disbursement; fund mismanagement by SACCO leadership; inadequate and un</w:t>
      </w:r>
      <w:r w:rsidR="002E21A0" w:rsidRPr="00712188">
        <w:rPr>
          <w:rFonts w:ascii="Times New Roman" w:hAnsi="Times New Roman" w:cs="Times New Roman"/>
        </w:rPr>
        <w:t>-</w:t>
      </w:r>
      <w:r w:rsidRPr="00712188">
        <w:rPr>
          <w:rFonts w:ascii="Times New Roman" w:hAnsi="Times New Roman" w:cs="Times New Roman"/>
        </w:rPr>
        <w:t>sustained training; and a lack of access to markets for their goods and services. This constellation of explanations maps precisely onto the delivery mechanism framework developed for the doctoral study, providing preliminary validation of the conceptual architecture.</w:t>
      </w:r>
    </w:p>
    <w:p w:rsidR="00B21F30" w:rsidRPr="00712188" w:rsidRDefault="000D2E66">
      <w:pPr>
        <w:spacing w:before="60" w:after="60"/>
        <w:rPr>
          <w:rFonts w:ascii="Times New Roman" w:hAnsi="Times New Roman" w:cs="Times New Roman"/>
        </w:rPr>
      </w:pPr>
      <w:r w:rsidRPr="00712188">
        <w:rPr>
          <w:rFonts w:ascii="Times New Roman" w:hAnsi="Times New Roman" w:cs="Times New Roman"/>
          <w:b/>
          <w:bCs/>
        </w:rPr>
        <w:t>Table 1</w:t>
      </w:r>
      <w:r w:rsidRPr="00712188">
        <w:rPr>
          <w:rFonts w:ascii="Times New Roman" w:hAnsi="Times New Roman" w:cs="Times New Roman"/>
        </w:rPr>
        <w:t xml:space="preserve"> Summary of key findings by delivery mechanism.</w:t>
      </w:r>
    </w:p>
    <w:tbl>
      <w:tblPr>
        <w:tblStyle w:val="PlainTable2"/>
        <w:tblW w:w="9906" w:type="dxa"/>
        <w:tblLook w:val="0000"/>
      </w:tblPr>
      <w:tblGrid>
        <w:gridCol w:w="2200"/>
        <w:gridCol w:w="4100"/>
        <w:gridCol w:w="3606"/>
      </w:tblGrid>
      <w:tr w:rsidR="00B21F30" w:rsidRPr="00712188" w:rsidTr="001947D0">
        <w:trPr>
          <w:cnfStyle w:val="000000100000"/>
        </w:trPr>
        <w:tc>
          <w:tcPr>
            <w:cnfStyle w:val="000010000000"/>
            <w:tcW w:w="2200" w:type="dxa"/>
          </w:tcPr>
          <w:p w:rsidR="00B21F30" w:rsidRPr="00712188" w:rsidRDefault="000D2E66">
            <w:pPr>
              <w:rPr>
                <w:rFonts w:ascii="Times New Roman" w:hAnsi="Times New Roman" w:cs="Times New Roman"/>
              </w:rPr>
            </w:pPr>
            <w:r w:rsidRPr="00712188">
              <w:rPr>
                <w:rFonts w:ascii="Times New Roman" w:hAnsi="Times New Roman" w:cs="Times New Roman"/>
                <w:b/>
                <w:bCs/>
                <w:color w:val="FFFFFF"/>
                <w:sz w:val="19"/>
                <w:szCs w:val="19"/>
              </w:rPr>
              <w:t>Delivery Mechanism</w:t>
            </w:r>
          </w:p>
        </w:tc>
        <w:tc>
          <w:tcPr>
            <w:cnfStyle w:val="000001000000"/>
            <w:tcW w:w="4100" w:type="dxa"/>
          </w:tcPr>
          <w:p w:rsidR="00B21F30" w:rsidRPr="00712188" w:rsidRDefault="000D2E66">
            <w:pPr>
              <w:rPr>
                <w:rFonts w:ascii="Times New Roman" w:hAnsi="Times New Roman" w:cs="Times New Roman"/>
              </w:rPr>
            </w:pPr>
            <w:r w:rsidRPr="00712188">
              <w:rPr>
                <w:rFonts w:ascii="Times New Roman" w:hAnsi="Times New Roman" w:cs="Times New Roman"/>
                <w:b/>
                <w:bCs/>
                <w:color w:val="FFFFFF"/>
                <w:sz w:val="19"/>
                <w:szCs w:val="19"/>
              </w:rPr>
              <w:t>Finding</w:t>
            </w:r>
          </w:p>
        </w:tc>
        <w:tc>
          <w:tcPr>
            <w:cnfStyle w:val="000010000000"/>
            <w:tcW w:w="3606" w:type="dxa"/>
          </w:tcPr>
          <w:p w:rsidR="00B21F30" w:rsidRPr="00712188" w:rsidRDefault="000D2E66">
            <w:pPr>
              <w:rPr>
                <w:rFonts w:ascii="Times New Roman" w:hAnsi="Times New Roman" w:cs="Times New Roman"/>
              </w:rPr>
            </w:pPr>
            <w:r w:rsidRPr="00712188">
              <w:rPr>
                <w:rFonts w:ascii="Times New Roman" w:hAnsi="Times New Roman" w:cs="Times New Roman"/>
                <w:b/>
                <w:bCs/>
                <w:color w:val="FFFFFF"/>
                <w:sz w:val="19"/>
                <w:szCs w:val="19"/>
              </w:rPr>
              <w:t>Implication</w:t>
            </w:r>
          </w:p>
        </w:tc>
      </w:tr>
      <w:tr w:rsidR="00B21F30" w:rsidRPr="00712188" w:rsidTr="001947D0">
        <w:tc>
          <w:tcPr>
            <w:cnfStyle w:val="000010000000"/>
            <w:tcW w:w="2200" w:type="dxa"/>
          </w:tcPr>
          <w:p w:rsidR="00B21F30" w:rsidRPr="00712188" w:rsidRDefault="000D2E66">
            <w:pPr>
              <w:jc w:val="both"/>
              <w:rPr>
                <w:rFonts w:ascii="Times New Roman" w:hAnsi="Times New Roman" w:cs="Times New Roman"/>
              </w:rPr>
            </w:pPr>
            <w:r w:rsidRPr="00712188">
              <w:rPr>
                <w:rFonts w:ascii="Times New Roman" w:hAnsi="Times New Roman" w:cs="Times New Roman"/>
                <w:b/>
                <w:bCs/>
                <w:sz w:val="18"/>
                <w:szCs w:val="18"/>
              </w:rPr>
              <w:t>Disbursement timing</w:t>
            </w:r>
          </w:p>
        </w:tc>
        <w:tc>
          <w:tcPr>
            <w:cnfStyle w:val="000001000000"/>
            <w:tcW w:w="4100"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67.7% of respondents uncertain whether funds arrived on time</w:t>
            </w:r>
          </w:p>
        </w:tc>
        <w:tc>
          <w:tcPr>
            <w:cnfStyle w:val="000010000000"/>
            <w:tcW w:w="3606"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Weak communication channels undermine accountability from the outset</w:t>
            </w:r>
          </w:p>
        </w:tc>
      </w:tr>
      <w:tr w:rsidR="00B21F30" w:rsidRPr="00712188" w:rsidTr="001947D0">
        <w:trPr>
          <w:cnfStyle w:val="000000100000"/>
        </w:trPr>
        <w:tc>
          <w:tcPr>
            <w:cnfStyle w:val="000010000000"/>
            <w:tcW w:w="2200" w:type="dxa"/>
          </w:tcPr>
          <w:p w:rsidR="00B21F30" w:rsidRPr="00712188" w:rsidRDefault="000D2E66">
            <w:pPr>
              <w:jc w:val="both"/>
              <w:rPr>
                <w:rFonts w:ascii="Times New Roman" w:hAnsi="Times New Roman" w:cs="Times New Roman"/>
              </w:rPr>
            </w:pPr>
            <w:r w:rsidRPr="00712188">
              <w:rPr>
                <w:rFonts w:ascii="Times New Roman" w:hAnsi="Times New Roman" w:cs="Times New Roman"/>
                <w:b/>
                <w:bCs/>
                <w:sz w:val="18"/>
                <w:szCs w:val="18"/>
              </w:rPr>
              <w:t>Documentation</w:t>
            </w:r>
          </w:p>
        </w:tc>
        <w:tc>
          <w:tcPr>
            <w:cnfStyle w:val="000001000000"/>
            <w:tcW w:w="4100"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70% lacked written records of disbursement terms</w:t>
            </w:r>
          </w:p>
        </w:tc>
        <w:tc>
          <w:tcPr>
            <w:cnfStyle w:val="000010000000"/>
            <w:tcW w:w="3606"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Absence of paper trails enables misuse and impedes dispute resolution</w:t>
            </w:r>
          </w:p>
        </w:tc>
      </w:tr>
      <w:tr w:rsidR="00B21F30" w:rsidRPr="00712188" w:rsidTr="001947D0">
        <w:tc>
          <w:tcPr>
            <w:cnfStyle w:val="000010000000"/>
            <w:tcW w:w="2200" w:type="dxa"/>
          </w:tcPr>
          <w:p w:rsidR="00B21F30" w:rsidRPr="00712188" w:rsidRDefault="000D2E66">
            <w:pPr>
              <w:jc w:val="both"/>
              <w:rPr>
                <w:rFonts w:ascii="Times New Roman" w:hAnsi="Times New Roman" w:cs="Times New Roman"/>
              </w:rPr>
            </w:pPr>
            <w:r w:rsidRPr="00712188">
              <w:rPr>
                <w:rFonts w:ascii="Times New Roman" w:hAnsi="Times New Roman" w:cs="Times New Roman"/>
                <w:b/>
                <w:bCs/>
                <w:sz w:val="18"/>
                <w:szCs w:val="18"/>
              </w:rPr>
              <w:t>Governance</w:t>
            </w:r>
          </w:p>
        </w:tc>
        <w:tc>
          <w:tcPr>
            <w:cnfStyle w:val="000001000000"/>
            <w:tcW w:w="4100"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76.7% reported suspected or confirmed misuse of funds</w:t>
            </w:r>
          </w:p>
        </w:tc>
        <w:tc>
          <w:tcPr>
            <w:cnfStyle w:val="000010000000"/>
            <w:tcW w:w="3606"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Principal–agent problems demand stronger internal controls</w:t>
            </w:r>
          </w:p>
        </w:tc>
      </w:tr>
      <w:tr w:rsidR="00B21F30" w:rsidRPr="00712188" w:rsidTr="001947D0">
        <w:trPr>
          <w:cnfStyle w:val="000000100000"/>
        </w:trPr>
        <w:tc>
          <w:tcPr>
            <w:cnfStyle w:val="000010000000"/>
            <w:tcW w:w="2200" w:type="dxa"/>
          </w:tcPr>
          <w:p w:rsidR="00B21F30" w:rsidRPr="00712188" w:rsidRDefault="000D2E66">
            <w:pPr>
              <w:jc w:val="both"/>
              <w:rPr>
                <w:rFonts w:ascii="Times New Roman" w:hAnsi="Times New Roman" w:cs="Times New Roman"/>
              </w:rPr>
            </w:pPr>
            <w:r w:rsidRPr="00712188">
              <w:rPr>
                <w:rFonts w:ascii="Times New Roman" w:hAnsi="Times New Roman" w:cs="Times New Roman"/>
                <w:b/>
                <w:bCs/>
                <w:sz w:val="18"/>
                <w:szCs w:val="18"/>
              </w:rPr>
              <w:t>Capacity building</w:t>
            </w:r>
          </w:p>
        </w:tc>
        <w:tc>
          <w:tcPr>
            <w:cnfStyle w:val="000001000000"/>
            <w:tcW w:w="4100"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One-off training predominates; follow-up coaching is rare</w:t>
            </w:r>
          </w:p>
        </w:tc>
        <w:tc>
          <w:tcPr>
            <w:cnfStyle w:val="000010000000"/>
            <w:tcW w:w="3606"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Sustained practical coaching is needed to convert capital into profit</w:t>
            </w:r>
          </w:p>
        </w:tc>
      </w:tr>
      <w:tr w:rsidR="00B21F30" w:rsidRPr="00712188" w:rsidTr="001947D0">
        <w:tc>
          <w:tcPr>
            <w:cnfStyle w:val="000010000000"/>
            <w:tcW w:w="2200" w:type="dxa"/>
          </w:tcPr>
          <w:p w:rsidR="00B21F30" w:rsidRPr="00712188" w:rsidRDefault="000D2E66">
            <w:pPr>
              <w:jc w:val="both"/>
              <w:rPr>
                <w:rFonts w:ascii="Times New Roman" w:hAnsi="Times New Roman" w:cs="Times New Roman"/>
              </w:rPr>
            </w:pPr>
            <w:r w:rsidRPr="00712188">
              <w:rPr>
                <w:rFonts w:ascii="Times New Roman" w:hAnsi="Times New Roman" w:cs="Times New Roman"/>
                <w:b/>
                <w:bCs/>
                <w:sz w:val="18"/>
                <w:szCs w:val="18"/>
              </w:rPr>
              <w:t>Meeting regularity</w:t>
            </w:r>
          </w:p>
        </w:tc>
        <w:tc>
          <w:tcPr>
            <w:cnfStyle w:val="000001000000"/>
            <w:tcW w:w="4100"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40% report irregular or no SACCO meetings</w:t>
            </w:r>
          </w:p>
        </w:tc>
        <w:tc>
          <w:tcPr>
            <w:cnfStyle w:val="000010000000"/>
            <w:tcW w:w="3606"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Low member engagement weakens peer monitoring and fund rotation</w:t>
            </w:r>
          </w:p>
        </w:tc>
      </w:tr>
      <w:tr w:rsidR="00B21F30" w:rsidRPr="00712188" w:rsidTr="001947D0">
        <w:trPr>
          <w:cnfStyle w:val="000000100000"/>
        </w:trPr>
        <w:tc>
          <w:tcPr>
            <w:cnfStyle w:val="000010000000"/>
            <w:tcW w:w="2200" w:type="dxa"/>
          </w:tcPr>
          <w:p w:rsidR="00B21F30" w:rsidRPr="00712188" w:rsidRDefault="000D2E66">
            <w:pPr>
              <w:jc w:val="both"/>
              <w:rPr>
                <w:rFonts w:ascii="Times New Roman" w:hAnsi="Times New Roman" w:cs="Times New Roman"/>
              </w:rPr>
            </w:pPr>
            <w:r w:rsidRPr="00712188">
              <w:rPr>
                <w:rFonts w:ascii="Times New Roman" w:hAnsi="Times New Roman" w:cs="Times New Roman"/>
                <w:b/>
                <w:bCs/>
                <w:sz w:val="18"/>
                <w:szCs w:val="18"/>
              </w:rPr>
              <w:t>Perceived welfare impact</w:t>
            </w:r>
          </w:p>
        </w:tc>
        <w:tc>
          <w:tcPr>
            <w:cnfStyle w:val="000001000000"/>
            <w:tcW w:w="4100"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59.4% report positive effect; 21.9% report no change or harm</w:t>
            </w:r>
          </w:p>
        </w:tc>
        <w:tc>
          <w:tcPr>
            <w:cnfStyle w:val="000010000000"/>
            <w:tcW w:w="3606" w:type="dxa"/>
          </w:tcPr>
          <w:p w:rsidR="00B21F30" w:rsidRPr="00712188" w:rsidRDefault="000D2E66">
            <w:pPr>
              <w:jc w:val="both"/>
              <w:rPr>
                <w:rFonts w:ascii="Times New Roman" w:hAnsi="Times New Roman" w:cs="Times New Roman"/>
              </w:rPr>
            </w:pPr>
            <w:r w:rsidRPr="00712188">
              <w:rPr>
                <w:rFonts w:ascii="Times New Roman" w:hAnsi="Times New Roman" w:cs="Times New Roman"/>
                <w:sz w:val="18"/>
                <w:szCs w:val="18"/>
              </w:rPr>
              <w:t>Heterogeneous outcomes confirm mechanism-level analysis is essential</w:t>
            </w:r>
          </w:p>
        </w:tc>
      </w:tr>
    </w:tbl>
    <w:p w:rsidR="00B21F30" w:rsidRPr="00712188" w:rsidRDefault="00B21F30">
      <w:pPr>
        <w:spacing w:after="120"/>
        <w:rPr>
          <w:rFonts w:ascii="Times New Roman" w:hAnsi="Times New Roman" w:cs="Times New Roman"/>
        </w:rPr>
      </w:pP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4.7 Willingness to Engage in Governance and Training Pilots</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A notably encouraging finding from the pilot concerns respondents' orientation towards intervention. A strong majority expressed willingness, or conditional willingness, to participate in low-cost governance and training pilots. Proposed interventions that attracted enthusiasm included simple bookkeeping templates, the public posting of SACCO accounts, follow-up coaching sessions structured around enterprise-specific challenges, and SMS reminders for repayment deadlines and meeting schedules. This receptiveness is a critical precondition for the full study's planned pilot of selected interventions, and it suggests that local buy-in</w:t>
      </w:r>
      <w:r w:rsidR="002E21A0" w:rsidRPr="00712188">
        <w:rPr>
          <w:rFonts w:ascii="Times New Roman" w:hAnsi="Times New Roman" w:cs="Times New Roman"/>
        </w:rPr>
        <w:t xml:space="preserve"> </w:t>
      </w:r>
      <w:r w:rsidRPr="00712188">
        <w:rPr>
          <w:rFonts w:ascii="Times New Roman" w:hAnsi="Times New Roman" w:cs="Times New Roman"/>
        </w:rPr>
        <w:t>often a decisive determinant of pilot success</w:t>
      </w:r>
      <w:r w:rsidR="002E21A0" w:rsidRPr="00712188">
        <w:rPr>
          <w:rFonts w:ascii="Times New Roman" w:hAnsi="Times New Roman" w:cs="Times New Roman"/>
        </w:rPr>
        <w:t xml:space="preserve"> </w:t>
      </w:r>
      <w:r w:rsidRPr="00712188">
        <w:rPr>
          <w:rFonts w:ascii="Times New Roman" w:hAnsi="Times New Roman" w:cs="Times New Roman"/>
        </w:rPr>
        <w:t>is achievable in this context.</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4.8 Methodological Lessons for the Full Doctoral Study</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The pilot highlights measurement challenges that the full study must address squarely. High rates of 'don't know' responses on administrative questions</w:t>
      </w:r>
      <w:r w:rsidR="002E21A0" w:rsidRPr="00712188">
        <w:rPr>
          <w:rFonts w:ascii="Times New Roman" w:hAnsi="Times New Roman" w:cs="Times New Roman"/>
        </w:rPr>
        <w:t xml:space="preserve"> </w:t>
      </w:r>
      <w:r w:rsidRPr="00712188">
        <w:rPr>
          <w:rFonts w:ascii="Times New Roman" w:hAnsi="Times New Roman" w:cs="Times New Roman"/>
        </w:rPr>
        <w:t>most notably concerning disbursement timing and documentation</w:t>
      </w:r>
      <w:r w:rsidR="002E21A0" w:rsidRPr="00712188">
        <w:rPr>
          <w:rFonts w:ascii="Times New Roman" w:hAnsi="Times New Roman" w:cs="Times New Roman"/>
        </w:rPr>
        <w:t xml:space="preserve"> </w:t>
      </w:r>
      <w:r w:rsidRPr="00712188">
        <w:rPr>
          <w:rFonts w:ascii="Times New Roman" w:hAnsi="Times New Roman" w:cs="Times New Roman"/>
        </w:rPr>
        <w:t>indicate that survey data from beneficiaries must be triangulated with SACCO financial records, district administrative data, and, where accessible, audit trail documentation. Self-reported income measures are subject to both recall bias and social desirability effects; the full study should combine household survey instruments with objective SACCO financial records and, wherever feasible, baseline data or staggered disbursement timing to enable quasi-experimental identification (World Bank, n.d.; Better Evaluation, n.d.).</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The pilot sample size and purposive design preclude causal inference, but this limitation is anticipated and appropriate given the exploratory purpose. The full doctoral study should plan for a larger, stratified sample and consider matched or randomised pilots of governance and training interventions to generate effect-size estimates that can inform policy recommendations with confidence.</w:t>
      </w:r>
    </w:p>
    <w:p w:rsidR="00B21F30" w:rsidRPr="00712188" w:rsidRDefault="000D2E66">
      <w:pPr>
        <w:pBdr>
          <w:bottom w:val="single" w:sz="6" w:space="2" w:color="1F5C99"/>
        </w:pBdr>
        <w:spacing w:before="200" w:after="100"/>
        <w:rPr>
          <w:rFonts w:ascii="Times New Roman" w:hAnsi="Times New Roman" w:cs="Times New Roman"/>
        </w:rPr>
      </w:pPr>
      <w:r w:rsidRPr="00712188">
        <w:rPr>
          <w:rFonts w:ascii="Times New Roman" w:hAnsi="Times New Roman" w:cs="Times New Roman"/>
          <w:b/>
          <w:bCs/>
          <w:color w:val="1F5C99"/>
          <w:sz w:val="22"/>
          <w:szCs w:val="22"/>
        </w:rPr>
        <w:t>5 Policy Implications</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Three pragmatic and immediately actionable implications flow from the pilot findings, each addressing a distinct mechanism through which </w:t>
      </w:r>
      <w:proofErr w:type="spellStart"/>
      <w:r w:rsidRPr="00712188">
        <w:rPr>
          <w:rFonts w:ascii="Times New Roman" w:hAnsi="Times New Roman" w:cs="Times New Roman"/>
        </w:rPr>
        <w:t>Emyooga's</w:t>
      </w:r>
      <w:proofErr w:type="spellEnd"/>
      <w:r w:rsidRPr="00712188">
        <w:rPr>
          <w:rFonts w:ascii="Times New Roman" w:hAnsi="Times New Roman" w:cs="Times New Roman"/>
        </w:rPr>
        <w:t xml:space="preserve"> effectiveness can be improved.</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5.1 Strengthening Transparency and Documentation</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The most straightforward and lowest-cost intervention available to the programme is the systematic introduction of written disbursement records and the public posting of SACCO accounts at the community level. These measures directly address the accountability vacuum identified in the pilot: when beneficiaries do not know what funds they are entitled to, when they arrived, or on what terms, meaningful member oversight is impossible. Written records transform disbursement into </w:t>
      </w:r>
      <w:r w:rsidRPr="00712188">
        <w:rPr>
          <w:rFonts w:ascii="Times New Roman" w:hAnsi="Times New Roman" w:cs="Times New Roman"/>
        </w:rPr>
        <w:lastRenderedPageBreak/>
        <w:t>an accountable act; public posting of accounts enables members to verify the accuracy of reported figures and to identify discrepancies. Both measures are feasible within existing programme structures and require minimal additional resource.</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5.2 Regularising Governance Practices</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Governance regularisation</w:t>
      </w:r>
      <w:r w:rsidR="002E21A0" w:rsidRPr="00712188">
        <w:rPr>
          <w:rFonts w:ascii="Times New Roman" w:hAnsi="Times New Roman" w:cs="Times New Roman"/>
        </w:rPr>
        <w:t xml:space="preserve"> </w:t>
      </w:r>
      <w:r w:rsidRPr="00712188">
        <w:rPr>
          <w:rFonts w:ascii="Times New Roman" w:hAnsi="Times New Roman" w:cs="Times New Roman"/>
        </w:rPr>
        <w:t>including mandatory monthly meetings, active and trained boards, basic double-entry bookkeeping, and systematic external oversight</w:t>
      </w:r>
      <w:r w:rsidR="002E21A0" w:rsidRPr="00712188">
        <w:rPr>
          <w:rFonts w:ascii="Times New Roman" w:hAnsi="Times New Roman" w:cs="Times New Roman"/>
        </w:rPr>
        <w:t xml:space="preserve"> </w:t>
      </w:r>
      <w:r w:rsidRPr="00712188">
        <w:rPr>
          <w:rFonts w:ascii="Times New Roman" w:hAnsi="Times New Roman" w:cs="Times New Roman"/>
        </w:rPr>
        <w:t xml:space="preserve">addresses the principal–agent risks that the pilot data identify as pervasive. The Tier 4 Microfinance Institutions and Money Lenders Act, 2016 (Parliament of Uganda, 2016) already provides a legal framework for minimum governance standards in microfinance institutions; the challenge is ensuring that this framework is </w:t>
      </w:r>
      <w:proofErr w:type="spellStart"/>
      <w:r w:rsidRPr="00712188">
        <w:rPr>
          <w:rFonts w:ascii="Times New Roman" w:hAnsi="Times New Roman" w:cs="Times New Roman"/>
        </w:rPr>
        <w:t>operationalised</w:t>
      </w:r>
      <w:proofErr w:type="spellEnd"/>
      <w:r w:rsidRPr="00712188">
        <w:rPr>
          <w:rFonts w:ascii="Times New Roman" w:hAnsi="Times New Roman" w:cs="Times New Roman"/>
        </w:rPr>
        <w:t xml:space="preserve"> consistently across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SACCOs. District-level capacity-building support for SACCO governance</w:t>
      </w:r>
      <w:r w:rsidR="002E21A0" w:rsidRPr="00712188">
        <w:rPr>
          <w:rFonts w:ascii="Times New Roman" w:hAnsi="Times New Roman" w:cs="Times New Roman"/>
        </w:rPr>
        <w:t xml:space="preserve"> </w:t>
      </w:r>
      <w:r w:rsidRPr="00712188">
        <w:rPr>
          <w:rFonts w:ascii="Times New Roman" w:hAnsi="Times New Roman" w:cs="Times New Roman"/>
        </w:rPr>
        <w:t>potentially delivered through a small cadre of trained governance advisers—could provide a scalable mechanism for this regularisation.</w:t>
      </w:r>
    </w:p>
    <w:p w:rsidR="00B21F30" w:rsidRPr="00712188" w:rsidRDefault="000D2E66">
      <w:pPr>
        <w:spacing w:before="160" w:after="80"/>
        <w:rPr>
          <w:rFonts w:ascii="Times New Roman" w:hAnsi="Times New Roman" w:cs="Times New Roman"/>
        </w:rPr>
      </w:pPr>
      <w:r w:rsidRPr="00712188">
        <w:rPr>
          <w:rFonts w:ascii="Times New Roman" w:hAnsi="Times New Roman" w:cs="Times New Roman"/>
          <w:b/>
          <w:bCs/>
          <w:color w:val="1F5C99"/>
        </w:rPr>
        <w:t>5.3 Reconfiguring Capacity-Building Provision</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The reconfiguration of training from one-off events to sustained, practical modules with scheduled follow-up coaching and peer mentoring represents the intervention with perhaps the greatest potential to increase the productive deployment of seed capital. Follow-up sessions need not be lengthy or expensive—evidence from comparable programmes suggests that brief, enterprise-specific coaching interactions, delivered at the business premises and focused on real operational challenges, can be more effective than generic classroom instruction (Xia &amp; Ding, 2026). </w:t>
      </w:r>
      <w:r w:rsidR="002E21A0" w:rsidRPr="00712188">
        <w:rPr>
          <w:rFonts w:ascii="Times New Roman" w:hAnsi="Times New Roman" w:cs="Times New Roman"/>
        </w:rPr>
        <w:t>Respondents</w:t>
      </w:r>
      <w:r w:rsidRPr="00712188">
        <w:rPr>
          <w:rFonts w:ascii="Times New Roman" w:hAnsi="Times New Roman" w:cs="Times New Roman"/>
        </w:rPr>
        <w:t xml:space="preserve"> expressed willingness to engage in such pilots provides the social licence needed to test this model rigorously.</w:t>
      </w:r>
    </w:p>
    <w:p w:rsidR="00B21F30" w:rsidRPr="00712188" w:rsidRDefault="00B21F30">
      <w:pPr>
        <w:spacing w:after="80"/>
        <w:rPr>
          <w:rFonts w:ascii="Times New Roman" w:hAnsi="Times New Roman" w:cs="Times New Roman"/>
        </w:rPr>
      </w:pPr>
    </w:p>
    <w:p w:rsidR="00B21F30" w:rsidRPr="00712188" w:rsidRDefault="000D2E66">
      <w:pPr>
        <w:pBdr>
          <w:bottom w:val="single" w:sz="6" w:space="2" w:color="1F5C99"/>
        </w:pBdr>
        <w:spacing w:before="200" w:after="100"/>
        <w:rPr>
          <w:rFonts w:ascii="Times New Roman" w:hAnsi="Times New Roman" w:cs="Times New Roman"/>
        </w:rPr>
      </w:pPr>
      <w:r w:rsidRPr="00712188">
        <w:rPr>
          <w:rFonts w:ascii="Times New Roman" w:hAnsi="Times New Roman" w:cs="Times New Roman"/>
          <w:b/>
          <w:bCs/>
          <w:color w:val="1F5C99"/>
          <w:sz w:val="22"/>
          <w:szCs w:val="22"/>
        </w:rPr>
        <w:t>6 Conclusion</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 xml:space="preserve">The </w:t>
      </w:r>
      <w:proofErr w:type="spellStart"/>
      <w:r w:rsidRPr="00712188">
        <w:rPr>
          <w:rFonts w:ascii="Times New Roman" w:hAnsi="Times New Roman" w:cs="Times New Roman"/>
        </w:rPr>
        <w:t>Emyooga</w:t>
      </w:r>
      <w:proofErr w:type="spellEnd"/>
      <w:r w:rsidRPr="00712188">
        <w:rPr>
          <w:rFonts w:ascii="Times New Roman" w:hAnsi="Times New Roman" w:cs="Times New Roman"/>
        </w:rPr>
        <w:t xml:space="preserve"> Programme embodies an optimistic vision</w:t>
      </w:r>
      <w:r w:rsidR="001947D0" w:rsidRPr="00712188">
        <w:rPr>
          <w:rFonts w:ascii="Times New Roman" w:hAnsi="Times New Roman" w:cs="Times New Roman"/>
        </w:rPr>
        <w:t xml:space="preserve"> </w:t>
      </w:r>
      <w:r w:rsidRPr="00712188">
        <w:rPr>
          <w:rFonts w:ascii="Times New Roman" w:hAnsi="Times New Roman" w:cs="Times New Roman"/>
        </w:rPr>
        <w:t>that well-organised seed capital, combined with collective enterprise and skills development, can catalyse a transformation in the economic lives of Uganda's working poor. The pilot evidence presented in this paper neither confirms nor refutes that vision in its entirety, but it does identify, with some precision, the delivery mechanism failures that stand between the programme's ambitions and their realisation.</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Pervasive uncertainty about disbursement terms, widespread governance weakness, limited and poorly designed training, and inadequate monitoring and evaluation create conditions in which even motivated and capable beneficiaries struggle to translate seed capital into productive enterprise. These findings are theoretically coherent</w:t>
      </w:r>
      <w:r w:rsidR="002E21A0" w:rsidRPr="00712188">
        <w:rPr>
          <w:rFonts w:ascii="Times New Roman" w:hAnsi="Times New Roman" w:cs="Times New Roman"/>
        </w:rPr>
        <w:t xml:space="preserve"> </w:t>
      </w:r>
      <w:r w:rsidRPr="00712188">
        <w:rPr>
          <w:rFonts w:ascii="Times New Roman" w:hAnsi="Times New Roman" w:cs="Times New Roman"/>
        </w:rPr>
        <w:t>they are precisely what principal–agent theory, microenterprise research, and enterprise risk management frameworks would predict under the conditions described</w:t>
      </w:r>
      <w:r w:rsidR="002E21A0" w:rsidRPr="00712188">
        <w:rPr>
          <w:rFonts w:ascii="Times New Roman" w:hAnsi="Times New Roman" w:cs="Times New Roman"/>
        </w:rPr>
        <w:t xml:space="preserve"> </w:t>
      </w:r>
      <w:r w:rsidRPr="00712188">
        <w:rPr>
          <w:rFonts w:ascii="Times New Roman" w:hAnsi="Times New Roman" w:cs="Times New Roman"/>
        </w:rPr>
        <w:t>and they are consistent with audit evidence from Uganda's own accountability institutions (OAG, 2025; Parliament of Uganda, 2016; Xia &amp; Ding, 2026; Goh, 2026).</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Crucially, the findings also point to solutions that are pragmatic, low-cost, and</w:t>
      </w:r>
      <w:r w:rsidR="001947D0" w:rsidRPr="00712188">
        <w:rPr>
          <w:rFonts w:ascii="Times New Roman" w:hAnsi="Times New Roman" w:cs="Times New Roman"/>
        </w:rPr>
        <w:t xml:space="preserve"> </w:t>
      </w:r>
      <w:r w:rsidRPr="00712188">
        <w:rPr>
          <w:rFonts w:ascii="Times New Roman" w:hAnsi="Times New Roman" w:cs="Times New Roman"/>
        </w:rPr>
        <w:t xml:space="preserve">on the evidence of </w:t>
      </w:r>
      <w:r w:rsidR="001947D0" w:rsidRPr="00712188">
        <w:rPr>
          <w:rFonts w:ascii="Times New Roman" w:hAnsi="Times New Roman" w:cs="Times New Roman"/>
        </w:rPr>
        <w:t>respondents</w:t>
      </w:r>
      <w:r w:rsidRPr="00712188">
        <w:rPr>
          <w:rFonts w:ascii="Times New Roman" w:hAnsi="Times New Roman" w:cs="Times New Roman"/>
        </w:rPr>
        <w:t xml:space="preserve"> expressed preferences</w:t>
      </w:r>
      <w:r w:rsidR="001947D0" w:rsidRPr="00712188">
        <w:rPr>
          <w:rFonts w:ascii="Times New Roman" w:hAnsi="Times New Roman" w:cs="Times New Roman"/>
        </w:rPr>
        <w:t xml:space="preserve"> </w:t>
      </w:r>
      <w:r w:rsidRPr="00712188">
        <w:rPr>
          <w:rFonts w:ascii="Times New Roman" w:hAnsi="Times New Roman" w:cs="Times New Roman"/>
        </w:rPr>
        <w:t xml:space="preserve">likely to attract genuine local buy-in. The research agenda going forward is clear: expand the sample, triangulate survey responses with SACCO administrative and financial records and district </w:t>
      </w:r>
      <w:r w:rsidR="001947D0" w:rsidRPr="00712188">
        <w:rPr>
          <w:rFonts w:ascii="Times New Roman" w:hAnsi="Times New Roman" w:cs="Times New Roman"/>
        </w:rPr>
        <w:t>reports and</w:t>
      </w:r>
      <w:r w:rsidRPr="00712188">
        <w:rPr>
          <w:rFonts w:ascii="Times New Roman" w:hAnsi="Times New Roman" w:cs="Times New Roman"/>
        </w:rPr>
        <w:t xml:space="preserve"> implement a rigorously evaluated randomised or matched pilot of selected governance and training enhancements. The goal is </w:t>
      </w:r>
      <w:r w:rsidR="001947D0" w:rsidRPr="00712188">
        <w:rPr>
          <w:rFonts w:ascii="Times New Roman" w:hAnsi="Times New Roman" w:cs="Times New Roman"/>
        </w:rPr>
        <w:t>evidence</w:t>
      </w:r>
      <w:r w:rsidRPr="00712188">
        <w:rPr>
          <w:rFonts w:ascii="Times New Roman" w:hAnsi="Times New Roman" w:cs="Times New Roman"/>
        </w:rPr>
        <w:t xml:space="preserve"> base robust enough to support policy recommendations that can strengthen </w:t>
      </w:r>
      <w:proofErr w:type="spellStart"/>
      <w:r w:rsidRPr="00712188">
        <w:rPr>
          <w:rFonts w:ascii="Times New Roman" w:hAnsi="Times New Roman" w:cs="Times New Roman"/>
        </w:rPr>
        <w:t>Emyooga's</w:t>
      </w:r>
      <w:proofErr w:type="spellEnd"/>
      <w:r w:rsidRPr="00712188">
        <w:rPr>
          <w:rFonts w:ascii="Times New Roman" w:hAnsi="Times New Roman" w:cs="Times New Roman"/>
        </w:rPr>
        <w:t xml:space="preserve"> delivery architecture and, in doing so, help the programme fulfil its considerable promise for Uganda's entrepreneurial poor.</w:t>
      </w:r>
    </w:p>
    <w:p w:rsidR="00B21F30" w:rsidRPr="00712188" w:rsidRDefault="000D2E66">
      <w:pPr>
        <w:pBdr>
          <w:bottom w:val="single" w:sz="6" w:space="2" w:color="1F5C99"/>
        </w:pBdr>
        <w:spacing w:before="200" w:after="100"/>
        <w:rPr>
          <w:rFonts w:ascii="Times New Roman" w:hAnsi="Times New Roman" w:cs="Times New Roman"/>
        </w:rPr>
      </w:pPr>
      <w:r w:rsidRPr="00712188">
        <w:rPr>
          <w:rFonts w:ascii="Times New Roman" w:hAnsi="Times New Roman" w:cs="Times New Roman"/>
          <w:b/>
          <w:bCs/>
          <w:color w:val="1F5C99"/>
          <w:sz w:val="22"/>
          <w:szCs w:val="22"/>
        </w:rPr>
        <w:t>Declarations</w:t>
      </w:r>
    </w:p>
    <w:p w:rsidR="00B21F30" w:rsidRPr="00712188" w:rsidRDefault="000D2E66">
      <w:pPr>
        <w:spacing w:before="80" w:after="40"/>
        <w:rPr>
          <w:rFonts w:ascii="Times New Roman" w:hAnsi="Times New Roman" w:cs="Times New Roman"/>
        </w:rPr>
      </w:pPr>
      <w:r w:rsidRPr="00712188">
        <w:rPr>
          <w:rFonts w:ascii="Times New Roman" w:hAnsi="Times New Roman" w:cs="Times New Roman"/>
          <w:b/>
          <w:bCs/>
        </w:rPr>
        <w:t>Funding</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This study was conducted as part of doctoral research at Kampala International University. No external funding was received for this pilot work.</w:t>
      </w:r>
    </w:p>
    <w:p w:rsidR="00B21F30" w:rsidRPr="00712188" w:rsidRDefault="000D2E66">
      <w:pPr>
        <w:spacing w:before="80" w:after="40"/>
        <w:rPr>
          <w:rFonts w:ascii="Times New Roman" w:hAnsi="Times New Roman" w:cs="Times New Roman"/>
        </w:rPr>
      </w:pPr>
      <w:r w:rsidRPr="00712188">
        <w:rPr>
          <w:rFonts w:ascii="Times New Roman" w:hAnsi="Times New Roman" w:cs="Times New Roman"/>
          <w:b/>
          <w:bCs/>
        </w:rPr>
        <w:t>Conflicts of Interest</w:t>
      </w:r>
    </w:p>
    <w:p w:rsidR="00B21F30" w:rsidRPr="00712188" w:rsidRDefault="000D2E66">
      <w:pPr>
        <w:spacing w:after="100" w:line="276" w:lineRule="auto"/>
        <w:jc w:val="both"/>
        <w:rPr>
          <w:rFonts w:ascii="Times New Roman" w:hAnsi="Times New Roman" w:cs="Times New Roman"/>
        </w:rPr>
      </w:pPr>
      <w:r w:rsidRPr="00712188">
        <w:rPr>
          <w:rFonts w:ascii="Times New Roman" w:hAnsi="Times New Roman" w:cs="Times New Roman"/>
        </w:rPr>
        <w:t>The author declares no conflicts of interest.</w:t>
      </w:r>
    </w:p>
    <w:p w:rsidR="00B21F30" w:rsidRPr="00712188" w:rsidRDefault="000D2E66">
      <w:pPr>
        <w:spacing w:before="80" w:after="40"/>
        <w:rPr>
          <w:rFonts w:ascii="Times New Roman" w:hAnsi="Times New Roman" w:cs="Times New Roman"/>
        </w:rPr>
      </w:pPr>
      <w:r w:rsidRPr="00712188">
        <w:rPr>
          <w:rFonts w:ascii="Times New Roman" w:hAnsi="Times New Roman" w:cs="Times New Roman"/>
          <w:b/>
          <w:bCs/>
        </w:rPr>
        <w:t>Data Availability</w:t>
      </w:r>
    </w:p>
    <w:p w:rsidR="00B21F30" w:rsidRDefault="000D2E66">
      <w:pPr>
        <w:spacing w:after="100" w:line="276" w:lineRule="auto"/>
        <w:jc w:val="both"/>
        <w:rPr>
          <w:rFonts w:ascii="Times New Roman" w:hAnsi="Times New Roman" w:cs="Times New Roman"/>
        </w:rPr>
      </w:pPr>
      <w:r w:rsidRPr="00712188">
        <w:rPr>
          <w:rFonts w:ascii="Times New Roman" w:hAnsi="Times New Roman" w:cs="Times New Roman"/>
        </w:rPr>
        <w:t>The pilot dataset is available from the corresponding author upon reasonable request, subject to the ethical and privacy conditions applicable at the time of the full study's completion.</w:t>
      </w:r>
    </w:p>
    <w:p w:rsidR="000D7171" w:rsidRPr="00A07D98" w:rsidRDefault="000D7171" w:rsidP="000D7171">
      <w:pPr>
        <w:spacing w:before="80" w:after="40" w:line="276" w:lineRule="auto"/>
        <w:jc w:val="both"/>
        <w:rPr>
          <w:rFonts w:ascii="Times New Roman" w:hAnsi="Times New Roman" w:cs="Times New Roman"/>
        </w:rPr>
      </w:pPr>
      <w:r w:rsidRPr="00A07D98">
        <w:rPr>
          <w:rFonts w:ascii="Times New Roman" w:hAnsi="Times New Roman" w:cs="Times New Roman"/>
          <w:b/>
          <w:bCs/>
        </w:rPr>
        <w:t>Author Contributions</w:t>
      </w:r>
    </w:p>
    <w:p w:rsidR="000D7171" w:rsidRPr="00A07D98" w:rsidRDefault="000D7171" w:rsidP="000D7171">
      <w:pPr>
        <w:spacing w:after="110" w:line="276" w:lineRule="auto"/>
        <w:jc w:val="both"/>
        <w:rPr>
          <w:rFonts w:ascii="Times New Roman" w:hAnsi="Times New Roman" w:cs="Times New Roman"/>
        </w:rPr>
      </w:pPr>
      <w:r w:rsidRPr="00A07D98">
        <w:rPr>
          <w:rFonts w:ascii="Times New Roman" w:hAnsi="Times New Roman" w:cs="Times New Roman"/>
        </w:rPr>
        <w:t xml:space="preserve">Hajji Abdu Bisaso: Conceptualisation, methodology, data collection, formal analysis, original draft preparation, review and editing. Nkuutu David Nelson: Theoretical framing, ecological discourse analysis, review and editing. </w:t>
      </w:r>
      <w:proofErr w:type="spellStart"/>
      <w:r w:rsidRPr="00A07D98">
        <w:rPr>
          <w:rFonts w:ascii="Times New Roman" w:hAnsi="Times New Roman" w:cs="Times New Roman"/>
        </w:rPr>
        <w:t>Ndyabarema</w:t>
      </w:r>
      <w:proofErr w:type="spellEnd"/>
      <w:r w:rsidRPr="00A07D98">
        <w:rPr>
          <w:rFonts w:ascii="Times New Roman" w:hAnsi="Times New Roman" w:cs="Times New Roman"/>
        </w:rPr>
        <w:t xml:space="preserve"> Robert: Institutional framework analysis, policy recommendations, review and editing. </w:t>
      </w:r>
      <w:proofErr w:type="spellStart"/>
      <w:r w:rsidRPr="00A07D98">
        <w:rPr>
          <w:rFonts w:ascii="Times New Roman" w:hAnsi="Times New Roman" w:cs="Times New Roman"/>
        </w:rPr>
        <w:t>Kareyo</w:t>
      </w:r>
      <w:proofErr w:type="spellEnd"/>
      <w:r w:rsidRPr="00A07D98">
        <w:rPr>
          <w:rFonts w:ascii="Times New Roman" w:hAnsi="Times New Roman" w:cs="Times New Roman"/>
        </w:rPr>
        <w:t xml:space="preserve"> Margaret (PhD): Supervision, conceptual review, final editing and approval.</w:t>
      </w:r>
    </w:p>
    <w:p w:rsidR="000D7171" w:rsidRPr="00712188" w:rsidRDefault="000D7171">
      <w:pPr>
        <w:spacing w:after="100" w:line="276" w:lineRule="auto"/>
        <w:jc w:val="both"/>
        <w:rPr>
          <w:rFonts w:ascii="Times New Roman" w:hAnsi="Times New Roman" w:cs="Times New Roman"/>
        </w:rPr>
      </w:pPr>
    </w:p>
    <w:p w:rsidR="00B21F30" w:rsidRPr="00712188" w:rsidRDefault="000D2E66">
      <w:pPr>
        <w:pBdr>
          <w:bottom w:val="single" w:sz="6" w:space="2" w:color="1F5C99"/>
        </w:pBdr>
        <w:spacing w:before="200" w:after="100"/>
        <w:rPr>
          <w:rFonts w:ascii="Times New Roman" w:hAnsi="Times New Roman" w:cs="Times New Roman"/>
        </w:rPr>
      </w:pPr>
      <w:r w:rsidRPr="00712188">
        <w:rPr>
          <w:rFonts w:ascii="Times New Roman" w:hAnsi="Times New Roman" w:cs="Times New Roman"/>
          <w:b/>
          <w:bCs/>
          <w:color w:val="1F5C99"/>
          <w:sz w:val="22"/>
          <w:szCs w:val="22"/>
        </w:rPr>
        <w:t>References</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Belanger, K. B. (2026). The crushing costs of toxicity: A literature review of the value of organisational support on toxicity. Open Journal of Business and Management, 14(3).</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Better Evaluation. (n.d.). Introduction to mixed methods in impact evaluation. Better Evaluation.</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Garrison, J. H., &amp; Critchlow, K. A. (2026). Financial stability success strategies for nursing homes. Open Journal of Business and Management, 14(3).</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Goh, C. (2026). From ERM to HERM: A holistic enterprise risk management framework for banks in a VUCA world. Open Journal of Business and Management, 14(3).</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 xml:space="preserve">Ministry of Finance, Planning and Economic Development. (2023). </w:t>
      </w:r>
      <w:proofErr w:type="spellStart"/>
      <w:r w:rsidRPr="00712188">
        <w:rPr>
          <w:rFonts w:ascii="Times New Roman" w:hAnsi="Times New Roman" w:cs="Times New Roman"/>
          <w:sz w:val="18"/>
          <w:szCs w:val="18"/>
        </w:rPr>
        <w:t>Emyooga</w:t>
      </w:r>
      <w:proofErr w:type="spellEnd"/>
      <w:r w:rsidRPr="00712188">
        <w:rPr>
          <w:rFonts w:ascii="Times New Roman" w:hAnsi="Times New Roman" w:cs="Times New Roman"/>
          <w:sz w:val="18"/>
          <w:szCs w:val="18"/>
        </w:rPr>
        <w:t xml:space="preserve"> implementation guidelines 2023. Government of Uganda.</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Office of the Auditor General. (2025). Annual performance report of the Auditor General on the accounts of government for the financial year ended 30 June 2024. Republic of Uganda.</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Parliament of Uganda. (2016). Tier 4 Microfinance Institutions and Money Lenders Act, 2016.</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 xml:space="preserve">Presidential Initiatives. (n.d.). </w:t>
      </w:r>
      <w:proofErr w:type="spellStart"/>
      <w:r w:rsidRPr="00712188">
        <w:rPr>
          <w:rFonts w:ascii="Times New Roman" w:hAnsi="Times New Roman" w:cs="Times New Roman"/>
          <w:sz w:val="18"/>
          <w:szCs w:val="18"/>
        </w:rPr>
        <w:t>Emyooga</w:t>
      </w:r>
      <w:proofErr w:type="spellEnd"/>
      <w:r w:rsidRPr="00712188">
        <w:rPr>
          <w:rFonts w:ascii="Times New Roman" w:hAnsi="Times New Roman" w:cs="Times New Roman"/>
          <w:sz w:val="18"/>
          <w:szCs w:val="18"/>
        </w:rPr>
        <w:t xml:space="preserve"> campaign. https://presidentialinitiatives.go.ug</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 xml:space="preserve">The Source. (n.d.). Mismanagement and irregularities mar </w:t>
      </w:r>
      <w:proofErr w:type="spellStart"/>
      <w:r w:rsidRPr="00712188">
        <w:rPr>
          <w:rFonts w:ascii="Times New Roman" w:hAnsi="Times New Roman" w:cs="Times New Roman"/>
          <w:sz w:val="18"/>
          <w:szCs w:val="18"/>
        </w:rPr>
        <w:t>Emyooga</w:t>
      </w:r>
      <w:proofErr w:type="spellEnd"/>
      <w:r w:rsidRPr="00712188">
        <w:rPr>
          <w:rFonts w:ascii="Times New Roman" w:hAnsi="Times New Roman" w:cs="Times New Roman"/>
          <w:sz w:val="18"/>
          <w:szCs w:val="18"/>
        </w:rPr>
        <w:t xml:space="preserve"> grant. The Source.</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 xml:space="preserve">UCU Scholar. (n.d.). Focus on </w:t>
      </w:r>
      <w:proofErr w:type="spellStart"/>
      <w:r w:rsidRPr="00712188">
        <w:rPr>
          <w:rFonts w:ascii="Times New Roman" w:hAnsi="Times New Roman" w:cs="Times New Roman"/>
          <w:sz w:val="18"/>
          <w:szCs w:val="18"/>
        </w:rPr>
        <w:t>Emyooga</w:t>
      </w:r>
      <w:proofErr w:type="spellEnd"/>
      <w:r w:rsidRPr="00712188">
        <w:rPr>
          <w:rFonts w:ascii="Times New Roman" w:hAnsi="Times New Roman" w:cs="Times New Roman"/>
          <w:sz w:val="18"/>
          <w:szCs w:val="18"/>
        </w:rPr>
        <w:t xml:space="preserve"> programme among market vendors: A case study of Kiko market. UCU Scholar Repository.</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World Bank. (n.d.). Impact Evaluation Collaborative. World Bank Group.</w:t>
      </w:r>
    </w:p>
    <w:p w:rsidR="00B21F30" w:rsidRPr="00712188" w:rsidRDefault="000D2E66">
      <w:pPr>
        <w:spacing w:before="40" w:after="60" w:line="276" w:lineRule="auto"/>
        <w:ind w:left="360" w:hanging="360"/>
        <w:jc w:val="both"/>
        <w:rPr>
          <w:rFonts w:ascii="Times New Roman" w:hAnsi="Times New Roman" w:cs="Times New Roman"/>
        </w:rPr>
      </w:pPr>
      <w:r w:rsidRPr="00712188">
        <w:rPr>
          <w:rFonts w:ascii="Times New Roman" w:hAnsi="Times New Roman" w:cs="Times New Roman"/>
          <w:sz w:val="18"/>
          <w:szCs w:val="18"/>
        </w:rPr>
        <w:t>Xia, Y., &amp; Ding, S. (2026). Research on China's internet finance: Definition, composition, and total accounting from the perspective of MFS. Open Journal of Business and Management, 14(3).</w:t>
      </w:r>
    </w:p>
    <w:p w:rsidR="00B21F30" w:rsidRPr="00712188" w:rsidRDefault="00B21F30">
      <w:pPr>
        <w:spacing w:after="80"/>
        <w:rPr>
          <w:rFonts w:ascii="Times New Roman" w:hAnsi="Times New Roman" w:cs="Times New Roman"/>
        </w:rPr>
      </w:pPr>
    </w:p>
    <w:p w:rsidR="00B21F30" w:rsidRPr="00712188" w:rsidRDefault="00B21F30">
      <w:pPr>
        <w:spacing w:before="60"/>
        <w:jc w:val="both"/>
        <w:rPr>
          <w:rFonts w:ascii="Times New Roman" w:hAnsi="Times New Roman" w:cs="Times New Roman"/>
        </w:rPr>
      </w:pPr>
    </w:p>
    <w:sectPr w:rsidR="00B21F30" w:rsidRPr="00712188" w:rsidSect="002E21A0">
      <w:headerReference w:type="default" r:id="rId8"/>
      <w:footerReference w:type="default" r:id="rId9"/>
      <w:pgSz w:w="11906" w:h="16838"/>
      <w:pgMar w:top="1000" w:right="1000" w:bottom="1000" w:left="1000" w:header="708" w:footer="7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34F" w:rsidRDefault="0001734F">
      <w:r>
        <w:separator/>
      </w:r>
    </w:p>
  </w:endnote>
  <w:endnote w:type="continuationSeparator" w:id="0">
    <w:p w:rsidR="0001734F" w:rsidRDefault="00017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84235"/>
      <w:docPartObj>
        <w:docPartGallery w:val="Page Numbers (Bottom of Page)"/>
        <w:docPartUnique/>
      </w:docPartObj>
    </w:sdtPr>
    <w:sdtEndPr>
      <w:rPr>
        <w:noProof/>
      </w:rPr>
    </w:sdtEndPr>
    <w:sdtContent>
      <w:p w:rsidR="00B21F30" w:rsidRDefault="00C429A4" w:rsidP="000D7171">
        <w:pPr>
          <w:pStyle w:val="Footer"/>
          <w:jc w:val="center"/>
        </w:pPr>
        <w:r>
          <w:fldChar w:fldCharType="begin"/>
        </w:r>
        <w:r w:rsidR="002E21A0">
          <w:instrText xml:space="preserve"> PAGE   \* MERGEFORMAT </w:instrText>
        </w:r>
        <w:r>
          <w:fldChar w:fldCharType="separate"/>
        </w:r>
        <w:r w:rsidR="001F3257">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34F" w:rsidRDefault="0001734F">
      <w:r>
        <w:separator/>
      </w:r>
    </w:p>
  </w:footnote>
  <w:footnote w:type="continuationSeparator" w:id="0">
    <w:p w:rsidR="0001734F" w:rsidRDefault="00017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F30" w:rsidRDefault="000D2E66" w:rsidP="001947D0">
    <w:pPr>
      <w:pBdr>
        <w:bottom w:val="single" w:sz="6" w:space="2" w:color="1F5C99"/>
      </w:pBdr>
      <w:spacing w:after="60"/>
      <w:jc w:val="center"/>
    </w:pPr>
    <w:r>
      <w:rPr>
        <w:color w:val="1F5C99"/>
        <w:sz w:val="16"/>
        <w:szCs w:val="16"/>
      </w:rPr>
      <w:t xml:space="preserve">Delivery Mechanisms and Outcomes of the </w:t>
    </w:r>
    <w:proofErr w:type="spellStart"/>
    <w:r>
      <w:rPr>
        <w:color w:val="1F5C99"/>
        <w:sz w:val="16"/>
        <w:szCs w:val="16"/>
      </w:rPr>
      <w:t>Emyooga</w:t>
    </w:r>
    <w:proofErr w:type="spellEnd"/>
    <w:r>
      <w:rPr>
        <w:color w:val="1F5C99"/>
        <w:sz w:val="16"/>
        <w:szCs w:val="16"/>
      </w:rPr>
      <w:t xml:space="preserve"> Programme in Uganda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86ECF"/>
    <w:multiLevelType w:val="hybridMultilevel"/>
    <w:tmpl w:val="913AC06A"/>
    <w:lvl w:ilvl="0" w:tplc="1A9AFAB4">
      <w:start w:val="1"/>
      <w:numFmt w:val="bullet"/>
      <w:lvlText w:val="●"/>
      <w:lvlJc w:val="left"/>
      <w:pPr>
        <w:ind w:left="720" w:hanging="360"/>
      </w:pPr>
    </w:lvl>
    <w:lvl w:ilvl="1" w:tplc="68BEA1E8">
      <w:start w:val="1"/>
      <w:numFmt w:val="bullet"/>
      <w:lvlText w:val="○"/>
      <w:lvlJc w:val="left"/>
      <w:pPr>
        <w:ind w:left="1440" w:hanging="360"/>
      </w:pPr>
    </w:lvl>
    <w:lvl w:ilvl="2" w:tplc="D8E8DB5E">
      <w:start w:val="1"/>
      <w:numFmt w:val="bullet"/>
      <w:lvlText w:val="■"/>
      <w:lvlJc w:val="left"/>
      <w:pPr>
        <w:ind w:left="2160" w:hanging="360"/>
      </w:pPr>
    </w:lvl>
    <w:lvl w:ilvl="3" w:tplc="638A1E24">
      <w:start w:val="1"/>
      <w:numFmt w:val="bullet"/>
      <w:lvlText w:val="●"/>
      <w:lvlJc w:val="left"/>
      <w:pPr>
        <w:ind w:left="2880" w:hanging="360"/>
      </w:pPr>
    </w:lvl>
    <w:lvl w:ilvl="4" w:tplc="C3E6CC9E">
      <w:start w:val="1"/>
      <w:numFmt w:val="bullet"/>
      <w:lvlText w:val="○"/>
      <w:lvlJc w:val="left"/>
      <w:pPr>
        <w:ind w:left="3600" w:hanging="360"/>
      </w:pPr>
    </w:lvl>
    <w:lvl w:ilvl="5" w:tplc="422AC5CA">
      <w:start w:val="1"/>
      <w:numFmt w:val="bullet"/>
      <w:lvlText w:val="■"/>
      <w:lvlJc w:val="left"/>
      <w:pPr>
        <w:ind w:left="4320" w:hanging="360"/>
      </w:pPr>
    </w:lvl>
    <w:lvl w:ilvl="6" w:tplc="8AB6E850">
      <w:start w:val="1"/>
      <w:numFmt w:val="bullet"/>
      <w:lvlText w:val="●"/>
      <w:lvlJc w:val="left"/>
      <w:pPr>
        <w:ind w:left="5040" w:hanging="360"/>
      </w:pPr>
    </w:lvl>
    <w:lvl w:ilvl="7" w:tplc="E7B0E736">
      <w:start w:val="1"/>
      <w:numFmt w:val="bullet"/>
      <w:lvlText w:val="●"/>
      <w:lvlJc w:val="left"/>
      <w:pPr>
        <w:ind w:left="5760" w:hanging="360"/>
      </w:pPr>
    </w:lvl>
    <w:lvl w:ilvl="8" w:tplc="B67413AC">
      <w:start w:val="1"/>
      <w:numFmt w:val="bullet"/>
      <w:lvlText w:val="●"/>
      <w:lvlJc w:val="left"/>
      <w:pPr>
        <w:ind w:left="6480" w:hanging="360"/>
      </w:pPr>
    </w:lvl>
  </w:abstractNum>
  <w:abstractNum w:abstractNumId="1">
    <w:nsid w:val="786C1A63"/>
    <w:multiLevelType w:val="hybridMultilevel"/>
    <w:tmpl w:val="43184EBE"/>
    <w:lvl w:ilvl="0" w:tplc="F106FE1C">
      <w:start w:val="1"/>
      <w:numFmt w:val="decimal"/>
      <w:lvlText w:val="%1."/>
      <w:lvlJc w:val="left"/>
      <w:pPr>
        <w:ind w:left="720" w:hanging="360"/>
      </w:pPr>
      <w:rPr>
        <w:rFonts w:hint="default"/>
        <w:i/>
        <w:color w:val="444444"/>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
  <w:displayBackgroundShape/>
  <w:proofState w:spelling="clean" w:grammar="clean"/>
  <w:defaultTabStop w:val="720"/>
  <w:characterSpacingControl w:val="doNotCompress"/>
  <w:footnotePr>
    <w:footnote w:id="-1"/>
    <w:footnote w:id="0"/>
  </w:footnotePr>
  <w:endnotePr>
    <w:endnote w:id="-1"/>
    <w:endnote w:id="0"/>
  </w:endnotePr>
  <w:compat/>
  <w:rsids>
    <w:rsidRoot w:val="00B21F30"/>
    <w:rsid w:val="0001734F"/>
    <w:rsid w:val="000D2E66"/>
    <w:rsid w:val="000D7171"/>
    <w:rsid w:val="000E3BA4"/>
    <w:rsid w:val="000F5D4C"/>
    <w:rsid w:val="001947D0"/>
    <w:rsid w:val="001F3257"/>
    <w:rsid w:val="00294821"/>
    <w:rsid w:val="002E21A0"/>
    <w:rsid w:val="00330C71"/>
    <w:rsid w:val="003D6677"/>
    <w:rsid w:val="004303D6"/>
    <w:rsid w:val="004C1186"/>
    <w:rsid w:val="00545210"/>
    <w:rsid w:val="00642D4F"/>
    <w:rsid w:val="006609EA"/>
    <w:rsid w:val="00705731"/>
    <w:rsid w:val="00712188"/>
    <w:rsid w:val="00716CED"/>
    <w:rsid w:val="00751D7F"/>
    <w:rsid w:val="00755103"/>
    <w:rsid w:val="007F6378"/>
    <w:rsid w:val="009E23C8"/>
    <w:rsid w:val="00A24A8D"/>
    <w:rsid w:val="00B21F30"/>
    <w:rsid w:val="00B30EF5"/>
    <w:rsid w:val="00C429A4"/>
    <w:rsid w:val="00C558AE"/>
    <w:rsid w:val="00C8554C"/>
    <w:rsid w:val="00D95D62"/>
    <w:rsid w:val="00ED2A46"/>
    <w:rsid w:val="00F25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1A1A1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9A4"/>
  </w:style>
  <w:style w:type="paragraph" w:styleId="Heading1">
    <w:name w:val="heading 1"/>
    <w:uiPriority w:val="9"/>
    <w:qFormat/>
    <w:rsid w:val="00C429A4"/>
    <w:pPr>
      <w:outlineLvl w:val="0"/>
    </w:pPr>
    <w:rPr>
      <w:color w:val="2E74B5"/>
      <w:sz w:val="32"/>
      <w:szCs w:val="32"/>
    </w:rPr>
  </w:style>
  <w:style w:type="paragraph" w:styleId="Heading2">
    <w:name w:val="heading 2"/>
    <w:uiPriority w:val="9"/>
    <w:semiHidden/>
    <w:unhideWhenUsed/>
    <w:qFormat/>
    <w:rsid w:val="00C429A4"/>
    <w:pPr>
      <w:outlineLvl w:val="1"/>
    </w:pPr>
    <w:rPr>
      <w:color w:val="2E74B5"/>
      <w:sz w:val="26"/>
      <w:szCs w:val="26"/>
    </w:rPr>
  </w:style>
  <w:style w:type="paragraph" w:styleId="Heading3">
    <w:name w:val="heading 3"/>
    <w:uiPriority w:val="9"/>
    <w:semiHidden/>
    <w:unhideWhenUsed/>
    <w:qFormat/>
    <w:rsid w:val="00C429A4"/>
    <w:pPr>
      <w:outlineLvl w:val="2"/>
    </w:pPr>
    <w:rPr>
      <w:color w:val="1F4D78"/>
      <w:sz w:val="24"/>
      <w:szCs w:val="24"/>
    </w:rPr>
  </w:style>
  <w:style w:type="paragraph" w:styleId="Heading4">
    <w:name w:val="heading 4"/>
    <w:uiPriority w:val="9"/>
    <w:semiHidden/>
    <w:unhideWhenUsed/>
    <w:qFormat/>
    <w:rsid w:val="00C429A4"/>
    <w:pPr>
      <w:outlineLvl w:val="3"/>
    </w:pPr>
    <w:rPr>
      <w:i/>
      <w:iCs/>
      <w:color w:val="2E74B5"/>
    </w:rPr>
  </w:style>
  <w:style w:type="paragraph" w:styleId="Heading5">
    <w:name w:val="heading 5"/>
    <w:uiPriority w:val="9"/>
    <w:semiHidden/>
    <w:unhideWhenUsed/>
    <w:qFormat/>
    <w:rsid w:val="00C429A4"/>
    <w:pPr>
      <w:outlineLvl w:val="4"/>
    </w:pPr>
    <w:rPr>
      <w:color w:val="2E74B5"/>
    </w:rPr>
  </w:style>
  <w:style w:type="paragraph" w:styleId="Heading6">
    <w:name w:val="heading 6"/>
    <w:uiPriority w:val="9"/>
    <w:semiHidden/>
    <w:unhideWhenUsed/>
    <w:qFormat/>
    <w:rsid w:val="00C429A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C429A4"/>
    <w:rPr>
      <w:sz w:val="56"/>
      <w:szCs w:val="56"/>
    </w:rPr>
  </w:style>
  <w:style w:type="paragraph" w:customStyle="1" w:styleId="Strong1">
    <w:name w:val="Strong1"/>
    <w:qFormat/>
    <w:rsid w:val="00C429A4"/>
    <w:rPr>
      <w:b/>
      <w:bCs/>
    </w:rPr>
  </w:style>
  <w:style w:type="paragraph" w:styleId="ListParagraph">
    <w:name w:val="List Paragraph"/>
    <w:qFormat/>
    <w:rsid w:val="00C429A4"/>
  </w:style>
  <w:style w:type="character" w:styleId="Hyperlink">
    <w:name w:val="Hyperlink"/>
    <w:uiPriority w:val="99"/>
    <w:unhideWhenUsed/>
    <w:rsid w:val="00C429A4"/>
    <w:rPr>
      <w:color w:val="0563C1"/>
      <w:u w:val="single"/>
    </w:rPr>
  </w:style>
  <w:style w:type="character" w:styleId="FootnoteReference">
    <w:name w:val="footnote reference"/>
    <w:uiPriority w:val="99"/>
    <w:semiHidden/>
    <w:unhideWhenUsed/>
    <w:rsid w:val="00C429A4"/>
    <w:rPr>
      <w:vertAlign w:val="superscript"/>
    </w:rPr>
  </w:style>
  <w:style w:type="paragraph" w:styleId="FootnoteText">
    <w:name w:val="footnote text"/>
    <w:link w:val="FootnoteTextChar"/>
    <w:uiPriority w:val="99"/>
    <w:semiHidden/>
    <w:unhideWhenUsed/>
    <w:rsid w:val="00C429A4"/>
  </w:style>
  <w:style w:type="character" w:customStyle="1" w:styleId="FootnoteTextChar">
    <w:name w:val="Footnote Text Char"/>
    <w:link w:val="FootnoteText"/>
    <w:uiPriority w:val="99"/>
    <w:semiHidden/>
    <w:unhideWhenUsed/>
    <w:rsid w:val="00C429A4"/>
    <w:rPr>
      <w:sz w:val="20"/>
      <w:szCs w:val="20"/>
    </w:rPr>
  </w:style>
  <w:style w:type="character" w:styleId="EndnoteReference">
    <w:name w:val="endnote reference"/>
    <w:uiPriority w:val="99"/>
    <w:semiHidden/>
    <w:unhideWhenUsed/>
    <w:rsid w:val="00C429A4"/>
    <w:rPr>
      <w:vertAlign w:val="superscript"/>
    </w:rPr>
  </w:style>
  <w:style w:type="paragraph" w:styleId="EndnoteText">
    <w:name w:val="endnote text"/>
    <w:link w:val="EndnoteTextChar"/>
    <w:uiPriority w:val="99"/>
    <w:semiHidden/>
    <w:unhideWhenUsed/>
    <w:rsid w:val="00C429A4"/>
  </w:style>
  <w:style w:type="character" w:customStyle="1" w:styleId="EndnoteTextChar">
    <w:name w:val="Endnote Text Char"/>
    <w:link w:val="EndnoteText"/>
    <w:uiPriority w:val="99"/>
    <w:semiHidden/>
    <w:unhideWhenUsed/>
    <w:rsid w:val="00C429A4"/>
    <w:rPr>
      <w:sz w:val="20"/>
      <w:szCs w:val="20"/>
    </w:rPr>
  </w:style>
  <w:style w:type="paragraph" w:styleId="Header">
    <w:name w:val="header"/>
    <w:basedOn w:val="Normal"/>
    <w:link w:val="HeaderChar"/>
    <w:uiPriority w:val="99"/>
    <w:unhideWhenUsed/>
    <w:rsid w:val="002E21A0"/>
    <w:pPr>
      <w:tabs>
        <w:tab w:val="center" w:pos="4513"/>
        <w:tab w:val="right" w:pos="9026"/>
      </w:tabs>
    </w:pPr>
  </w:style>
  <w:style w:type="character" w:customStyle="1" w:styleId="HeaderChar">
    <w:name w:val="Header Char"/>
    <w:basedOn w:val="DefaultParagraphFont"/>
    <w:link w:val="Header"/>
    <w:uiPriority w:val="99"/>
    <w:rsid w:val="002E21A0"/>
  </w:style>
  <w:style w:type="paragraph" w:styleId="Footer">
    <w:name w:val="footer"/>
    <w:basedOn w:val="Normal"/>
    <w:link w:val="FooterChar"/>
    <w:uiPriority w:val="99"/>
    <w:unhideWhenUsed/>
    <w:rsid w:val="002E21A0"/>
    <w:pPr>
      <w:tabs>
        <w:tab w:val="center" w:pos="4513"/>
        <w:tab w:val="right" w:pos="9026"/>
      </w:tabs>
    </w:pPr>
  </w:style>
  <w:style w:type="character" w:customStyle="1" w:styleId="FooterChar">
    <w:name w:val="Footer Char"/>
    <w:basedOn w:val="DefaultParagraphFont"/>
    <w:link w:val="Footer"/>
    <w:uiPriority w:val="99"/>
    <w:rsid w:val="002E21A0"/>
  </w:style>
  <w:style w:type="table" w:customStyle="1" w:styleId="PlainTable2">
    <w:name w:val="Plain Table 2"/>
    <w:basedOn w:val="TableNormal"/>
    <w:uiPriority w:val="42"/>
    <w:rsid w:val="001947D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0E3BA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dul.bisaso@studmc.kiu.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4587</Words>
  <Characters>26150</Characters>
  <Application>Microsoft Office Word</Application>
  <DocSecurity>0</DocSecurity>
  <Lines>217</Lines>
  <Paragraphs>61</Paragraphs>
  <ScaleCrop>false</ScaleCrop>
  <Company/>
  <LinksUpToDate>false</LinksUpToDate>
  <CharactersWithSpaces>30676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Bisaso Abdul;Nkuutu David;Robert Ndyabarema</dc:creator>
  <cp:lastModifiedBy>admin</cp:lastModifiedBy>
  <cp:revision>2</cp:revision>
  <dcterms:created xsi:type="dcterms:W3CDTF">2026-07-01T10:33:00Z</dcterms:created>
  <dcterms:modified xsi:type="dcterms:W3CDTF">2026-07-01T10:33:00Z</dcterms:modified>
</cp:coreProperties>
</file>